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7"/>
          <w:szCs w:val="17"/>
          <w:b w:val="1"/>
          <w:bCs w:val="1"/>
          <w:u w:val="single" w:color="auto"/>
          <w:color w:val="0000EE"/>
        </w:rPr>
        <w:t>Table of Contents</w:t>
      </w:r>
    </w:p>
    <w:p>
      <w:pPr>
        <w:spacing w:after="0" w:line="284" w:lineRule="exact"/>
        <w:rPr>
          <w:sz w:val="24"/>
          <w:szCs w:val="24"/>
          <w:color w:val="auto"/>
        </w:rPr>
      </w:pPr>
    </w:p>
    <w:p>
      <w:pPr>
        <w:jc w:val="center"/>
        <w:ind w:right="-1120"/>
        <w:spacing w:after="0"/>
        <w:rPr>
          <w:sz w:val="20"/>
          <w:szCs w:val="20"/>
          <w:color w:val="auto"/>
        </w:rPr>
      </w:pPr>
      <w:r>
        <w:rPr>
          <w:rFonts w:ascii="Arial" w:cs="Arial" w:eastAsia="Arial" w:hAnsi="Arial"/>
          <w:sz w:val="20"/>
          <w:szCs w:val="20"/>
          <w:b w:val="1"/>
          <w:bCs w:val="1"/>
          <w:color w:val="auto"/>
        </w:rPr>
        <w:t>UNITED STATES</w:t>
      </w:r>
    </w:p>
    <w:p>
      <w:pPr>
        <w:spacing w:after="0" w:line="102" w:lineRule="exact"/>
        <w:rPr>
          <w:sz w:val="24"/>
          <w:szCs w:val="24"/>
          <w:color w:val="auto"/>
        </w:rPr>
      </w:pPr>
    </w:p>
    <w:p>
      <w:pPr>
        <w:jc w:val="center"/>
        <w:ind w:right="-1120"/>
        <w:spacing w:after="0"/>
        <w:rPr>
          <w:sz w:val="20"/>
          <w:szCs w:val="20"/>
          <w:color w:val="auto"/>
        </w:rPr>
      </w:pPr>
      <w:r>
        <w:rPr>
          <w:rFonts w:ascii="Arial" w:cs="Arial" w:eastAsia="Arial" w:hAnsi="Arial"/>
          <w:sz w:val="20"/>
          <w:szCs w:val="20"/>
          <w:b w:val="1"/>
          <w:bCs w:val="1"/>
          <w:color w:val="auto"/>
        </w:rPr>
        <w:t>SECURITIES AND EXCHANGE COMMISSION</w:t>
      </w:r>
    </w:p>
    <w:p>
      <w:pPr>
        <w:spacing w:after="0" w:line="102" w:lineRule="exact"/>
        <w:rPr>
          <w:sz w:val="24"/>
          <w:szCs w:val="24"/>
          <w:color w:val="auto"/>
        </w:rPr>
      </w:pPr>
    </w:p>
    <w:p>
      <w:pPr>
        <w:jc w:val="center"/>
        <w:ind w:right="-1120"/>
        <w:spacing w:after="0"/>
        <w:rPr>
          <w:sz w:val="20"/>
          <w:szCs w:val="20"/>
          <w:color w:val="auto"/>
        </w:rPr>
      </w:pPr>
      <w:r>
        <w:rPr>
          <w:rFonts w:ascii="Arial" w:cs="Arial" w:eastAsia="Arial" w:hAnsi="Arial"/>
          <w:sz w:val="20"/>
          <w:szCs w:val="20"/>
          <w:b w:val="1"/>
          <w:bCs w:val="1"/>
          <w:color w:val="auto"/>
        </w:rPr>
        <w:t>Washington, D.C. 20549</w:t>
      </w:r>
    </w:p>
    <w:p>
      <w:pPr>
        <w:spacing w:after="0" w:line="198" w:lineRule="exact"/>
        <w:rPr>
          <w:sz w:val="24"/>
          <w:szCs w:val="24"/>
          <w:color w:val="auto"/>
        </w:rPr>
      </w:pPr>
    </w:p>
    <w:p>
      <w:pPr>
        <w:jc w:val="center"/>
        <w:ind w:right="-1120"/>
        <w:spacing w:after="0"/>
        <w:rPr>
          <w:sz w:val="20"/>
          <w:szCs w:val="20"/>
          <w:color w:val="auto"/>
        </w:rPr>
      </w:pPr>
      <w:r>
        <w:rPr>
          <w:rFonts w:ascii="Arial" w:cs="Arial" w:eastAsia="Arial" w:hAnsi="Arial"/>
          <w:sz w:val="27"/>
          <w:szCs w:val="27"/>
          <w:b w:val="1"/>
          <w:bCs w:val="1"/>
          <w:color w:val="auto"/>
        </w:rPr>
        <w:t>SCHEDULE 14A</w:t>
      </w:r>
    </w:p>
    <w:p>
      <w:pPr>
        <w:spacing w:after="0" w:line="66" w:lineRule="exact"/>
        <w:rPr>
          <w:sz w:val="24"/>
          <w:szCs w:val="24"/>
          <w:color w:val="auto"/>
        </w:rPr>
      </w:pPr>
    </w:p>
    <w:p>
      <w:pPr>
        <w:jc w:val="center"/>
        <w:ind w:right="-1120"/>
        <w:spacing w:after="0"/>
        <w:rPr>
          <w:sz w:val="20"/>
          <w:szCs w:val="20"/>
          <w:color w:val="auto"/>
        </w:rPr>
      </w:pPr>
      <w:r>
        <w:rPr>
          <w:rFonts w:ascii="Arial" w:cs="Arial" w:eastAsia="Arial" w:hAnsi="Arial"/>
          <w:sz w:val="20"/>
          <w:szCs w:val="20"/>
          <w:color w:val="auto"/>
        </w:rPr>
        <w:t>Proxy Statement Pursuant to Section 14(a) of</w:t>
      </w:r>
    </w:p>
    <w:p>
      <w:pPr>
        <w:spacing w:after="0" w:line="6" w:lineRule="exact"/>
        <w:rPr>
          <w:sz w:val="24"/>
          <w:szCs w:val="24"/>
          <w:color w:val="auto"/>
        </w:rPr>
      </w:pPr>
    </w:p>
    <w:p>
      <w:pPr>
        <w:jc w:val="center"/>
        <w:ind w:right="-1120"/>
        <w:spacing w:after="0"/>
        <w:rPr>
          <w:sz w:val="20"/>
          <w:szCs w:val="20"/>
          <w:color w:val="auto"/>
        </w:rPr>
      </w:pPr>
      <w:r>
        <w:rPr>
          <w:rFonts w:ascii="Arial" w:cs="Arial" w:eastAsia="Arial" w:hAnsi="Arial"/>
          <w:sz w:val="20"/>
          <w:szCs w:val="20"/>
          <w:color w:val="auto"/>
        </w:rPr>
        <w:t>the Securities Exchange Act of 1934 (Amendment No.            )</w:t>
      </w:r>
    </w:p>
    <w:p>
      <w:pPr>
        <w:spacing w:after="0" w:line="21" w:lineRule="exact"/>
        <w:rPr>
          <w:sz w:val="24"/>
          <w:szCs w:val="24"/>
          <w:color w:val="auto"/>
        </w:rPr>
      </w:pPr>
    </w:p>
    <w:p>
      <w:pPr>
        <w:ind w:left="420"/>
        <w:spacing w:after="0" w:line="196" w:lineRule="exact"/>
        <w:rPr>
          <w:sz w:val="20"/>
          <w:szCs w:val="20"/>
          <w:color w:val="auto"/>
        </w:rPr>
      </w:pPr>
      <w:r>
        <w:rPr>
          <w:rFonts w:ascii="Arial" w:cs="Arial" w:eastAsia="Arial" w:hAnsi="Arial"/>
          <w:sz w:val="17"/>
          <w:szCs w:val="17"/>
          <w:color w:val="auto"/>
        </w:rPr>
        <w:t xml:space="preserve">Filed by the Registrant  </w:t>
      </w:r>
      <w:r>
        <w:rPr>
          <w:rFonts w:ascii="MS PGothic" w:cs="MS PGothic" w:eastAsia="MS PGothic" w:hAnsi="MS PGothic"/>
          <w:sz w:val="17"/>
          <w:szCs w:val="17"/>
          <w:color w:val="auto"/>
        </w:rPr>
        <w:t>☒</w:t>
      </w:r>
    </w:p>
    <w:p>
      <w:pPr>
        <w:spacing w:after="0" w:line="182" w:lineRule="exact"/>
        <w:rPr>
          <w:sz w:val="24"/>
          <w:szCs w:val="24"/>
          <w:color w:val="auto"/>
        </w:rPr>
      </w:pPr>
    </w:p>
    <w:p>
      <w:pPr>
        <w:ind w:left="420"/>
        <w:spacing w:after="0" w:line="196" w:lineRule="exact"/>
        <w:rPr>
          <w:sz w:val="20"/>
          <w:szCs w:val="20"/>
          <w:color w:val="auto"/>
        </w:rPr>
      </w:pPr>
      <w:r>
        <w:rPr>
          <w:rFonts w:ascii="Arial" w:cs="Arial" w:eastAsia="Arial" w:hAnsi="Arial"/>
          <w:sz w:val="17"/>
          <w:szCs w:val="17"/>
          <w:color w:val="auto"/>
        </w:rPr>
        <w:t xml:space="preserve">Filed by a Party other than the Registrant  </w:t>
      </w:r>
      <w:r>
        <w:rPr>
          <w:rFonts w:ascii="MS PGothic" w:cs="MS PGothic" w:eastAsia="MS PGothic" w:hAnsi="MS PGothic"/>
          <w:sz w:val="17"/>
          <w:szCs w:val="17"/>
          <w:color w:val="auto"/>
        </w:rPr>
        <w:t>☐</w:t>
      </w:r>
    </w:p>
    <w:p>
      <w:pPr>
        <w:spacing w:after="0" w:line="149" w:lineRule="exact"/>
        <w:rPr>
          <w:sz w:val="24"/>
          <w:szCs w:val="24"/>
          <w:color w:val="auto"/>
        </w:rPr>
      </w:pPr>
    </w:p>
    <w:p>
      <w:pPr>
        <w:ind w:left="420"/>
        <w:spacing w:after="0"/>
        <w:rPr>
          <w:sz w:val="20"/>
          <w:szCs w:val="20"/>
          <w:color w:val="auto"/>
        </w:rPr>
      </w:pPr>
      <w:r>
        <w:rPr>
          <w:rFonts w:ascii="Arial" w:cs="Arial" w:eastAsia="Arial" w:hAnsi="Arial"/>
          <w:sz w:val="17"/>
          <w:szCs w:val="17"/>
          <w:color w:val="auto"/>
        </w:rPr>
        <w:t>Check the appropriate box:</w:t>
      </w:r>
    </w:p>
    <w:p>
      <w:pPr>
        <w:spacing w:after="0" w:line="47" w:lineRule="exact"/>
        <w:rPr>
          <w:sz w:val="24"/>
          <w:szCs w:val="24"/>
          <w:color w:val="auto"/>
        </w:rPr>
      </w:pPr>
    </w:p>
    <w:p>
      <w:pPr>
        <w:ind w:left="940" w:hanging="523"/>
        <w:spacing w:after="0"/>
        <w:tabs>
          <w:tab w:leader="none" w:pos="94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Preliminary Proxy Statement</w:t>
      </w:r>
    </w:p>
    <w:p>
      <w:pPr>
        <w:spacing w:after="0" w:line="34" w:lineRule="exact"/>
        <w:rPr>
          <w:sz w:val="24"/>
          <w:szCs w:val="24"/>
          <w:color w:val="auto"/>
        </w:rPr>
      </w:pPr>
    </w:p>
    <w:p>
      <w:pPr>
        <w:ind w:left="940" w:hanging="523"/>
        <w:spacing w:after="0"/>
        <w:tabs>
          <w:tab w:leader="none" w:pos="94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Confidential, for Use of the Commission Only (as permitted by Rule 14a-6(e)(2))</w:t>
      </w:r>
    </w:p>
    <w:p>
      <w:pPr>
        <w:spacing w:after="0" w:line="39" w:lineRule="exact"/>
        <w:rPr>
          <w:rFonts w:ascii="MS PGothic" w:cs="MS PGothic" w:eastAsia="MS PGothic" w:hAnsi="MS PGothic"/>
          <w:sz w:val="17"/>
          <w:szCs w:val="17"/>
          <w:color w:val="auto"/>
        </w:rPr>
      </w:pPr>
    </w:p>
    <w:p>
      <w:pPr>
        <w:ind w:left="940" w:hanging="523"/>
        <w:spacing w:after="0"/>
        <w:tabs>
          <w:tab w:leader="none" w:pos="94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Definitive Proxy Statement</w:t>
      </w:r>
    </w:p>
    <w:p>
      <w:pPr>
        <w:spacing w:after="0" w:line="34" w:lineRule="exact"/>
        <w:rPr>
          <w:rFonts w:ascii="MS PGothic" w:cs="MS PGothic" w:eastAsia="MS PGothic" w:hAnsi="MS PGothic"/>
          <w:sz w:val="17"/>
          <w:szCs w:val="17"/>
          <w:color w:val="auto"/>
        </w:rPr>
      </w:pPr>
    </w:p>
    <w:p>
      <w:pPr>
        <w:ind w:left="940" w:hanging="523"/>
        <w:spacing w:after="0"/>
        <w:tabs>
          <w:tab w:leader="none" w:pos="94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Definitive Additional Materials</w:t>
      </w:r>
    </w:p>
    <w:p>
      <w:pPr>
        <w:spacing w:after="0" w:line="34" w:lineRule="exact"/>
        <w:rPr>
          <w:rFonts w:ascii="MS PGothic" w:cs="MS PGothic" w:eastAsia="MS PGothic" w:hAnsi="MS PGothic"/>
          <w:sz w:val="17"/>
          <w:szCs w:val="17"/>
          <w:color w:val="auto"/>
        </w:rPr>
      </w:pPr>
    </w:p>
    <w:p>
      <w:pPr>
        <w:ind w:left="940" w:hanging="523"/>
        <w:spacing w:after="0"/>
        <w:tabs>
          <w:tab w:leader="none" w:pos="94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Soliciting Material under §240.14a-12</w:t>
      </w:r>
    </w:p>
    <w:p>
      <w:pPr>
        <w:spacing w:after="0" w:line="364" w:lineRule="exact"/>
        <w:rPr>
          <w:sz w:val="24"/>
          <w:szCs w:val="24"/>
          <w:color w:val="auto"/>
        </w:rPr>
      </w:pPr>
    </w:p>
    <w:p>
      <w:pPr>
        <w:jc w:val="center"/>
        <w:ind w:right="-1120"/>
        <w:spacing w:after="0"/>
        <w:rPr>
          <w:sz w:val="20"/>
          <w:szCs w:val="20"/>
          <w:color w:val="auto"/>
        </w:rPr>
      </w:pPr>
      <w:r>
        <w:rPr>
          <w:rFonts w:ascii="Arial" w:cs="Arial" w:eastAsia="Arial" w:hAnsi="Arial"/>
          <w:sz w:val="20"/>
          <w:szCs w:val="20"/>
          <w:b w:val="1"/>
          <w:bCs w:val="1"/>
          <w:color w:val="auto"/>
        </w:rPr>
        <w:t>LPL Financial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268605</wp:posOffset>
            </wp:positionH>
            <wp:positionV relativeFrom="paragraph">
              <wp:posOffset>16510</wp:posOffset>
            </wp:positionV>
            <wp:extent cx="6612890" cy="16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612890" cy="16510"/>
                    </a:xfrm>
                    <a:prstGeom prst="rect">
                      <a:avLst/>
                    </a:prstGeom>
                    <a:noFill/>
                  </pic:spPr>
                </pic:pic>
              </a:graphicData>
            </a:graphic>
          </wp:anchor>
        </w:drawing>
      </w:r>
    </w:p>
    <w:p>
      <w:pPr>
        <w:spacing w:after="0" w:line="66" w:lineRule="exact"/>
        <w:rPr>
          <w:sz w:val="24"/>
          <w:szCs w:val="24"/>
          <w:color w:val="auto"/>
        </w:rPr>
      </w:pPr>
    </w:p>
    <w:p>
      <w:pPr>
        <w:jc w:val="center"/>
        <w:ind w:right="-1120"/>
        <w:spacing w:after="0"/>
        <w:rPr>
          <w:sz w:val="20"/>
          <w:szCs w:val="20"/>
          <w:color w:val="auto"/>
        </w:rPr>
      </w:pPr>
      <w:r>
        <w:rPr>
          <w:rFonts w:ascii="Arial" w:cs="Arial" w:eastAsia="Arial" w:hAnsi="Arial"/>
          <w:sz w:val="17"/>
          <w:szCs w:val="17"/>
          <w:color w:val="auto"/>
        </w:rPr>
        <w:t>(Name of Registrant as Specified In Its Charter)</w:t>
      </w:r>
    </w:p>
    <w:p>
      <w:pPr>
        <w:spacing w:after="0" w:line="242" w:lineRule="exact"/>
        <w:rPr>
          <w:sz w:val="24"/>
          <w:szCs w:val="24"/>
          <w:color w:val="auto"/>
        </w:rPr>
      </w:pPr>
    </w:p>
    <w:p>
      <w:pPr>
        <w:jc w:val="center"/>
        <w:ind w:right="-960"/>
        <w:spacing w:after="0"/>
        <w:rPr>
          <w:sz w:val="20"/>
          <w:szCs w:val="20"/>
          <w:color w:val="auto"/>
        </w:rPr>
      </w:pPr>
      <w:r>
        <w:rPr>
          <w:rFonts w:ascii="Arial" w:cs="Arial" w:eastAsia="Arial" w:hAnsi="Arial"/>
          <w:sz w:val="20"/>
          <w:szCs w:val="20"/>
          <w:b w:val="1"/>
          <w:bCs w:val="1"/>
          <w:color w:val="auto"/>
        </w:rPr>
        <w:t xml:space="preserve">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268605</wp:posOffset>
            </wp:positionH>
            <wp:positionV relativeFrom="paragraph">
              <wp:posOffset>24765</wp:posOffset>
            </wp:positionV>
            <wp:extent cx="6612890" cy="165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612890" cy="16510"/>
                    </a:xfrm>
                    <a:prstGeom prst="rect">
                      <a:avLst/>
                    </a:prstGeom>
                    <a:noFill/>
                  </pic:spPr>
                </pic:pic>
              </a:graphicData>
            </a:graphic>
          </wp:anchor>
        </w:drawing>
      </w:r>
    </w:p>
    <w:p>
      <w:pPr>
        <w:spacing w:after="0" w:line="40" w:lineRule="exact"/>
        <w:rPr>
          <w:sz w:val="24"/>
          <w:szCs w:val="24"/>
          <w:color w:val="auto"/>
        </w:rPr>
      </w:pPr>
    </w:p>
    <w:p>
      <w:pPr>
        <w:ind w:left="2920"/>
        <w:spacing w:after="0"/>
        <w:rPr>
          <w:sz w:val="20"/>
          <w:szCs w:val="20"/>
          <w:color w:val="auto"/>
        </w:rPr>
      </w:pPr>
      <w:r>
        <w:rPr>
          <w:rFonts w:ascii="Arial" w:cs="Arial" w:eastAsia="Arial" w:hAnsi="Arial"/>
          <w:sz w:val="17"/>
          <w:szCs w:val="17"/>
          <w:color w:val="auto"/>
        </w:rPr>
        <w:t>(Name of Person(s) Filing Proxy Statement, if other than the Registrant)</w:t>
      </w:r>
    </w:p>
    <w:p>
      <w:pPr>
        <w:spacing w:after="0" w:line="200" w:lineRule="exact"/>
        <w:rPr>
          <w:sz w:val="24"/>
          <w:szCs w:val="24"/>
          <w:color w:val="auto"/>
        </w:rPr>
      </w:pPr>
    </w:p>
    <w:p>
      <w:pPr>
        <w:spacing w:after="0" w:line="204" w:lineRule="exact"/>
        <w:rPr>
          <w:sz w:val="24"/>
          <w:szCs w:val="24"/>
          <w:color w:val="auto"/>
        </w:rPr>
      </w:pPr>
    </w:p>
    <w:p>
      <w:pPr>
        <w:ind w:left="420"/>
        <w:spacing w:after="0"/>
        <w:rPr>
          <w:sz w:val="20"/>
          <w:szCs w:val="20"/>
          <w:color w:val="auto"/>
        </w:rPr>
      </w:pPr>
      <w:r>
        <w:rPr>
          <w:rFonts w:ascii="Arial" w:cs="Arial" w:eastAsia="Arial" w:hAnsi="Arial"/>
          <w:sz w:val="17"/>
          <w:szCs w:val="17"/>
          <w:color w:val="auto"/>
        </w:rPr>
        <w:t>Payment of Filing Fee (Check all boxes that apply):</w:t>
      </w:r>
    </w:p>
    <w:p>
      <w:pPr>
        <w:spacing w:after="0" w:line="136" w:lineRule="exact"/>
        <w:rPr>
          <w:sz w:val="24"/>
          <w:szCs w:val="24"/>
          <w:color w:val="auto"/>
        </w:rPr>
      </w:pPr>
    </w:p>
    <w:p>
      <w:pPr>
        <w:ind w:left="960" w:hanging="543"/>
        <w:spacing w:after="0"/>
        <w:tabs>
          <w:tab w:leader="none" w:pos="960" w:val="left"/>
        </w:tabs>
        <w:numPr>
          <w:ilvl w:val="0"/>
          <w:numId w:val="3"/>
        </w:numPr>
        <w:rPr>
          <w:rFonts w:ascii="MS PGothic" w:cs="MS PGothic" w:eastAsia="MS PGothic" w:hAnsi="MS PGothic"/>
          <w:sz w:val="17"/>
          <w:szCs w:val="17"/>
          <w:color w:val="auto"/>
        </w:rPr>
      </w:pPr>
      <w:r>
        <w:rPr>
          <w:rFonts w:ascii="Arial" w:cs="Arial" w:eastAsia="Arial" w:hAnsi="Arial"/>
          <w:sz w:val="17"/>
          <w:szCs w:val="17"/>
          <w:color w:val="auto"/>
        </w:rPr>
        <w:t>No fee required</w:t>
      </w:r>
    </w:p>
    <w:p>
      <w:pPr>
        <w:spacing w:after="0" w:line="46" w:lineRule="exact"/>
        <w:rPr>
          <w:sz w:val="24"/>
          <w:szCs w:val="24"/>
          <w:color w:val="auto"/>
        </w:rPr>
      </w:pPr>
    </w:p>
    <w:p>
      <w:pPr>
        <w:ind w:left="960" w:hanging="543"/>
        <w:spacing w:after="0"/>
        <w:tabs>
          <w:tab w:leader="none" w:pos="960" w:val="left"/>
        </w:tabs>
        <w:numPr>
          <w:ilvl w:val="0"/>
          <w:numId w:val="4"/>
        </w:numPr>
        <w:rPr>
          <w:rFonts w:ascii="MS PGothic" w:cs="MS PGothic" w:eastAsia="MS PGothic" w:hAnsi="MS PGothic"/>
          <w:sz w:val="17"/>
          <w:szCs w:val="17"/>
          <w:color w:val="auto"/>
        </w:rPr>
      </w:pPr>
      <w:r>
        <w:rPr>
          <w:rFonts w:ascii="Arial" w:cs="Arial" w:eastAsia="Arial" w:hAnsi="Arial"/>
          <w:sz w:val="17"/>
          <w:szCs w:val="17"/>
          <w:color w:val="auto"/>
        </w:rPr>
        <w:t>Fee paid previously with preliminary materials</w:t>
      </w:r>
    </w:p>
    <w:p>
      <w:pPr>
        <w:spacing w:after="0" w:line="38" w:lineRule="exact"/>
        <w:rPr>
          <w:rFonts w:ascii="MS PGothic" w:cs="MS PGothic" w:eastAsia="MS PGothic" w:hAnsi="MS PGothic"/>
          <w:sz w:val="17"/>
          <w:szCs w:val="17"/>
          <w:color w:val="auto"/>
        </w:rPr>
      </w:pPr>
    </w:p>
    <w:p>
      <w:pPr>
        <w:ind w:left="960" w:hanging="543"/>
        <w:spacing w:after="0"/>
        <w:tabs>
          <w:tab w:leader="none" w:pos="960" w:val="left"/>
        </w:tabs>
        <w:numPr>
          <w:ilvl w:val="0"/>
          <w:numId w:val="4"/>
        </w:numPr>
        <w:rPr>
          <w:rFonts w:ascii="MS PGothic" w:cs="MS PGothic" w:eastAsia="MS PGothic" w:hAnsi="MS PGothic"/>
          <w:sz w:val="16"/>
          <w:szCs w:val="16"/>
          <w:color w:val="auto"/>
        </w:rPr>
      </w:pPr>
      <w:r>
        <w:rPr>
          <w:rFonts w:ascii="Arial" w:cs="Arial" w:eastAsia="Arial" w:hAnsi="Arial"/>
          <w:sz w:val="16"/>
          <w:szCs w:val="16"/>
          <w:color w:val="auto"/>
        </w:rPr>
        <w:t>Fee computed on table in exhibit required by Item 25(b) per Exchange Act Rules 14a-6(i)(1) and 0-11</w:t>
      </w:r>
    </w:p>
    <w:p>
      <w:pPr>
        <w:sectPr>
          <w:pgSz w:w="11900" w:h="16838" w:orient="portrait"/>
          <w:cols w:equalWidth="0" w:num="1">
            <w:col w:w="10139"/>
          </w:cols>
          <w:pgMar w:left="320" w:top="221"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533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81215" cy="5334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268605</wp:posOffset>
            </wp:positionH>
            <wp:positionV relativeFrom="paragraph">
              <wp:posOffset>212090</wp:posOffset>
            </wp:positionV>
            <wp:extent cx="6807835" cy="87122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07835" cy="8712200"/>
                    </a:xfrm>
                    <a:prstGeom prst="rect">
                      <a:avLst/>
                    </a:prstGeom>
                    <a:noFill/>
                  </pic:spPr>
                </pic:pic>
              </a:graphicData>
            </a:graphic>
          </wp:anchor>
        </w:drawing>
      </w:r>
    </w:p>
    <w:p>
      <w:pPr>
        <w:sectPr>
          <w:pgSz w:w="11900" w:h="16838" w:orient="portrait"/>
          <w:cols w:equalWidth="0" w:num="1">
            <w:col w:w="10139"/>
          </w:cols>
          <w:pgMar w:left="320" w:top="464" w:right="1440"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533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81215" cy="5334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5617845</wp:posOffset>
            </wp:positionH>
            <wp:positionV relativeFrom="paragraph">
              <wp:posOffset>253365</wp:posOffset>
            </wp:positionV>
            <wp:extent cx="1256030" cy="74720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56030" cy="7472045"/>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ind w:left="540"/>
        <w:spacing w:after="0"/>
        <w:rPr>
          <w:sz w:val="20"/>
          <w:szCs w:val="20"/>
          <w:color w:val="auto"/>
        </w:rPr>
      </w:pPr>
      <w:r>
        <w:rPr>
          <w:rFonts w:ascii="Arial" w:cs="Arial" w:eastAsia="Arial" w:hAnsi="Arial"/>
          <w:sz w:val="26"/>
          <w:szCs w:val="26"/>
          <w:color w:val="002B5F"/>
        </w:rPr>
        <w:t>LETTER FROM OUR BOARD</w:t>
      </w:r>
    </w:p>
    <w:tbl>
      <w:tblPr>
        <w:tblLayout w:type="fixed"/>
        <w:tblInd w:w="540" w:type="dxa"/>
        <w:tblCellMar>
          <w:top w:w="0" w:type="dxa"/>
          <w:left w:w="0" w:type="dxa"/>
          <w:bottom w:w="0" w:type="dxa"/>
          <w:right w:w="0" w:type="dxa"/>
        </w:tblCellMar>
      </w:tblPr>
      <w:tr>
        <w:trPr>
          <w:trHeight w:val="146"/>
        </w:trPr>
        <w:tc>
          <w:tcPr>
            <w:tcW w:w="4480" w:type="dxa"/>
            <w:vAlign w:val="bottom"/>
            <w:vMerge w:val="restart"/>
          </w:tcPr>
          <w:p>
            <w:pPr>
              <w:spacing w:after="0"/>
              <w:rPr>
                <w:sz w:val="20"/>
                <w:szCs w:val="20"/>
                <w:color w:val="auto"/>
              </w:rPr>
            </w:pPr>
            <w:r>
              <w:rPr>
                <w:rFonts w:ascii="Arial" w:cs="Arial" w:eastAsia="Arial" w:hAnsi="Arial"/>
                <w:sz w:val="15"/>
                <w:szCs w:val="15"/>
                <w:color w:val="auto"/>
              </w:rPr>
              <w:t>[</w:t>
            </w:r>
            <w:r>
              <w:rPr>
                <w:rFonts w:ascii="Times New Roman" w:cs="Times New Roman" w:eastAsia="Times New Roman" w:hAnsi="Times New Roman"/>
                <w:sz w:val="15"/>
                <w:szCs w:val="15"/>
                <w:color w:val="auto"/>
              </w:rPr>
              <w:t>●</w:t>
            </w:r>
            <w:r>
              <w:rPr>
                <w:rFonts w:ascii="Arial" w:cs="Arial" w:eastAsia="Arial" w:hAnsi="Arial"/>
                <w:sz w:val="15"/>
                <w:szCs w:val="15"/>
                <w:color w:val="auto"/>
              </w:rPr>
              <w:t>], 2026</w:t>
            </w:r>
          </w:p>
        </w:tc>
        <w:tc>
          <w:tcPr>
            <w:tcW w:w="3980" w:type="dxa"/>
            <w:vAlign w:val="bottom"/>
          </w:tcPr>
          <w:p>
            <w:pPr>
              <w:ind w:left="3860"/>
              <w:spacing w:after="0" w:line="146" w:lineRule="exact"/>
              <w:rPr>
                <w:sz w:val="20"/>
                <w:szCs w:val="20"/>
                <w:color w:val="auto"/>
              </w:rPr>
            </w:pPr>
            <w:r>
              <w:rPr>
                <w:rFonts w:ascii="Arial" w:cs="Arial" w:eastAsia="Arial" w:hAnsi="Arial"/>
                <w:sz w:val="14"/>
                <w:szCs w:val="14"/>
                <w:color w:val="auto"/>
                <w:w w:val="71"/>
              </w:rPr>
              <w:t> </w:t>
            </w:r>
          </w:p>
        </w:tc>
        <w:tc>
          <w:tcPr>
            <w:tcW w:w="860" w:type="dxa"/>
            <w:vAlign w:val="bottom"/>
          </w:tcPr>
          <w:p>
            <w:pPr>
              <w:jc w:val="right"/>
              <w:ind w:right="520"/>
              <w:spacing w:after="0"/>
              <w:rPr>
                <w:sz w:val="20"/>
                <w:szCs w:val="20"/>
                <w:color w:val="auto"/>
              </w:rPr>
            </w:pPr>
            <w:r>
              <w:rPr>
                <w:rFonts w:ascii="Arial" w:cs="Arial" w:eastAsia="Arial" w:hAnsi="Arial"/>
                <w:sz w:val="12"/>
                <w:szCs w:val="12"/>
                <w:color w:val="FFFFFF"/>
              </w:rPr>
              <w:t xml:space="preserve">    </w:t>
            </w:r>
          </w:p>
        </w:tc>
        <w:tc>
          <w:tcPr>
            <w:tcW w:w="940" w:type="dxa"/>
            <w:vAlign w:val="bottom"/>
          </w:tcPr>
          <w:p>
            <w:pPr>
              <w:ind w:left="580"/>
              <w:spacing w:after="0" w:line="146" w:lineRule="exact"/>
              <w:rPr>
                <w:sz w:val="20"/>
                <w:szCs w:val="20"/>
                <w:color w:val="auto"/>
              </w:rPr>
            </w:pPr>
            <w:r>
              <w:rPr>
                <w:rFonts w:ascii="Arial" w:cs="Arial" w:eastAsia="Arial" w:hAnsi="Arial"/>
                <w:sz w:val="15"/>
                <w:szCs w:val="15"/>
                <w:color w:val="auto"/>
              </w:rPr>
              <w:t xml:space="preserve">       </w:t>
            </w:r>
          </w:p>
        </w:tc>
        <w:tc>
          <w:tcPr>
            <w:tcW w:w="0" w:type="dxa"/>
            <w:vAlign w:val="bottom"/>
          </w:tcPr>
          <w:p>
            <w:pPr>
              <w:spacing w:after="0"/>
              <w:rPr>
                <w:sz w:val="1"/>
                <w:szCs w:val="1"/>
                <w:color w:val="auto"/>
              </w:rPr>
            </w:pPr>
          </w:p>
        </w:tc>
      </w:tr>
      <w:tr>
        <w:trPr>
          <w:trHeight w:val="158"/>
        </w:trPr>
        <w:tc>
          <w:tcPr>
            <w:tcW w:w="4480" w:type="dxa"/>
            <w:vAlign w:val="bottom"/>
            <w:vMerge w:val="continue"/>
          </w:tcPr>
          <w:p>
            <w:pPr>
              <w:spacing w:after="0"/>
              <w:rPr>
                <w:sz w:val="13"/>
                <w:szCs w:val="13"/>
                <w:color w:val="auto"/>
              </w:rPr>
            </w:pPr>
          </w:p>
        </w:tc>
        <w:tc>
          <w:tcPr>
            <w:tcW w:w="3980" w:type="dxa"/>
            <w:vAlign w:val="bottom"/>
          </w:tcPr>
          <w:p>
            <w:pPr>
              <w:spacing w:after="0"/>
              <w:rPr>
                <w:sz w:val="13"/>
                <w:szCs w:val="13"/>
                <w:color w:val="auto"/>
              </w:rPr>
            </w:pPr>
          </w:p>
        </w:tc>
        <w:tc>
          <w:tcPr>
            <w:tcW w:w="860" w:type="dxa"/>
            <w:vAlign w:val="bottom"/>
          </w:tcPr>
          <w:p>
            <w:pPr>
              <w:jc w:val="right"/>
              <w:ind w:right="520"/>
              <w:spacing w:after="0"/>
              <w:rPr>
                <w:sz w:val="20"/>
                <w:szCs w:val="20"/>
                <w:color w:val="auto"/>
              </w:rPr>
            </w:pPr>
            <w:r>
              <w:rPr>
                <w:rFonts w:ascii="Arial" w:cs="Arial" w:eastAsia="Arial" w:hAnsi="Arial"/>
                <w:sz w:val="12"/>
                <w:szCs w:val="12"/>
                <w:color w:val="FFFFFF"/>
              </w:rPr>
              <w:t> </w:t>
            </w: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0800"/>
          </w:cols>
          <w:pgMar w:left="320" w:top="464" w:right="779" w:bottom="1440" w:gutter="0" w:footer="0" w:header="0"/>
        </w:sectPr>
      </w:pPr>
    </w:p>
    <w:p>
      <w:pPr>
        <w:ind w:left="540"/>
        <w:spacing w:after="0"/>
        <w:rPr>
          <w:sz w:val="20"/>
          <w:szCs w:val="20"/>
          <w:color w:val="auto"/>
        </w:rPr>
      </w:pPr>
      <w:r>
        <w:rPr>
          <w:rFonts w:ascii="Times New Roman" w:cs="Times New Roman" w:eastAsia="Times New Roman" w:hAnsi="Times New Roman"/>
          <w:sz w:val="47"/>
          <w:szCs w:val="47"/>
          <w:b w:val="1"/>
          <w:bCs w:val="1"/>
          <w:color w:val="002B5F"/>
        </w:rPr>
        <w:t>Dear Fellow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341630</wp:posOffset>
            </wp:positionH>
            <wp:positionV relativeFrom="paragraph">
              <wp:posOffset>59055</wp:posOffset>
            </wp:positionV>
            <wp:extent cx="49999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99999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spacing w:after="0"/>
        <w:rPr>
          <w:sz w:val="20"/>
          <w:szCs w:val="20"/>
          <w:color w:val="auto"/>
        </w:rPr>
      </w:pPr>
      <w:r>
        <w:rPr>
          <w:rFonts w:ascii="Arial" w:cs="Arial" w:eastAsia="Arial" w:hAnsi="Arial"/>
          <w:sz w:val="4"/>
          <w:szCs w:val="4"/>
          <w:color w:val="FFFFFF"/>
        </w:rPr>
        <w:t> </w:t>
      </w:r>
    </w:p>
    <w:p>
      <w:pPr>
        <w:spacing w:after="0" w:line="94" w:lineRule="exact"/>
        <w:rPr>
          <w:sz w:val="20"/>
          <w:szCs w:val="20"/>
          <w:color w:val="auto"/>
        </w:rPr>
      </w:pPr>
    </w:p>
    <w:p>
      <w:pPr>
        <w:spacing w:after="0"/>
        <w:rPr>
          <w:sz w:val="20"/>
          <w:szCs w:val="20"/>
          <w:color w:val="auto"/>
        </w:rPr>
      </w:pPr>
      <w:r>
        <w:rPr>
          <w:rFonts w:ascii="Arial" w:cs="Arial" w:eastAsia="Arial" w:hAnsi="Arial"/>
          <w:sz w:val="4"/>
          <w:szCs w:val="4"/>
          <w:color w:val="FFFFFF"/>
        </w:rPr>
        <w:t> </w:t>
      </w:r>
    </w:p>
    <w:p>
      <w:pPr>
        <w:spacing w:after="0" w:line="82" w:lineRule="exact"/>
        <w:rPr>
          <w:sz w:val="20"/>
          <w:szCs w:val="20"/>
          <w:color w:val="auto"/>
        </w:rPr>
      </w:pPr>
    </w:p>
    <w:p>
      <w:pPr>
        <w:spacing w:after="0"/>
        <w:rPr>
          <w:sz w:val="20"/>
          <w:szCs w:val="20"/>
          <w:color w:val="auto"/>
        </w:rPr>
      </w:pPr>
      <w:r>
        <w:rPr>
          <w:rFonts w:ascii="Arial" w:cs="Arial" w:eastAsia="Arial" w:hAnsi="Arial"/>
          <w:sz w:val="4"/>
          <w:szCs w:val="4"/>
          <w:color w:val="FFFFFF"/>
        </w:rPr>
        <w:t> </w:t>
      </w:r>
    </w:p>
    <w:p>
      <w:pPr>
        <w:spacing w:after="0" w:line="82" w:lineRule="exact"/>
        <w:rPr>
          <w:sz w:val="20"/>
          <w:szCs w:val="20"/>
          <w:color w:val="auto"/>
        </w:rPr>
      </w:pPr>
    </w:p>
    <w:p>
      <w:pPr>
        <w:spacing w:after="0"/>
        <w:rPr>
          <w:sz w:val="20"/>
          <w:szCs w:val="20"/>
          <w:color w:val="auto"/>
        </w:rPr>
      </w:pPr>
      <w:r>
        <w:rPr>
          <w:rFonts w:ascii="Arial" w:cs="Arial" w:eastAsia="Arial" w:hAnsi="Arial"/>
          <w:sz w:val="4"/>
          <w:szCs w:val="4"/>
          <w:color w:val="FFFFFF"/>
        </w:rPr>
        <w:t> </w:t>
      </w:r>
    </w:p>
    <w:p>
      <w:pPr>
        <w:spacing w:after="0" w:line="200" w:lineRule="exact"/>
        <w:rPr>
          <w:sz w:val="20"/>
          <w:szCs w:val="20"/>
          <w:color w:val="auto"/>
        </w:rPr>
      </w:pPr>
    </w:p>
    <w:p>
      <w:pPr>
        <w:sectPr>
          <w:pgSz w:w="11900" w:h="16838" w:orient="portrait"/>
          <w:cols w:equalWidth="0" w:num="2">
            <w:col w:w="8520" w:space="720"/>
            <w:col w:w="1560"/>
          </w:cols>
          <w:pgMar w:left="320" w:top="464" w:right="779" w:bottom="1440" w:gutter="0" w:footer="0" w:header="0"/>
          <w:type w:val="continuous"/>
        </w:sectPr>
      </w:pPr>
    </w:p>
    <w:p>
      <w:pPr>
        <w:spacing w:after="0" w:line="15" w:lineRule="exact"/>
        <w:rPr>
          <w:sz w:val="20"/>
          <w:szCs w:val="20"/>
          <w:color w:val="auto"/>
        </w:rPr>
      </w:pPr>
    </w:p>
    <w:p>
      <w:pPr>
        <w:ind w:left="540" w:right="220"/>
        <w:spacing w:after="0" w:line="252" w:lineRule="auto"/>
        <w:rPr>
          <w:sz w:val="20"/>
          <w:szCs w:val="20"/>
          <w:color w:val="auto"/>
        </w:rPr>
      </w:pPr>
      <w:r>
        <w:rPr>
          <w:rFonts w:ascii="Arial" w:cs="Arial" w:eastAsia="Arial" w:hAnsi="Arial"/>
          <w:sz w:val="15"/>
          <w:szCs w:val="15"/>
          <w:color w:val="auto"/>
        </w:rPr>
        <w:t>It is my pleasure to invite you to attend the 2026 Annual Meeting of Stockholders (the “Annual Meeting”) of LPL Financial Holdings Inc. The meeting will be held on Thursday, May 14, 2026, at 8:00 a.m., local time, at our offices located at 1055 LPL Way, Fort Mill, South Carolina 29715. Holders of record of our common stock as of March 16, 2026 are entitled to notice of and to vote at the Annual Meeting. The Notice of Annual Meeting of Stockholders and the proxy statement that follow describe the business to be conducted at the meeting.</w:t>
      </w:r>
    </w:p>
    <w:p>
      <w:pPr>
        <w:spacing w:after="0" w:line="2" w:lineRule="exact"/>
        <w:rPr>
          <w:sz w:val="20"/>
          <w:szCs w:val="20"/>
          <w:color w:val="auto"/>
        </w:rPr>
      </w:pPr>
    </w:p>
    <w:p>
      <w:pPr>
        <w:ind w:left="540" w:right="220" w:firstLine="315"/>
        <w:spacing w:after="0" w:line="250" w:lineRule="auto"/>
        <w:rPr>
          <w:sz w:val="20"/>
          <w:szCs w:val="20"/>
          <w:color w:val="auto"/>
        </w:rPr>
      </w:pPr>
      <w:r>
        <w:rPr>
          <w:rFonts w:ascii="Arial" w:cs="Arial" w:eastAsia="Arial" w:hAnsi="Arial"/>
          <w:sz w:val="15"/>
          <w:szCs w:val="15"/>
          <w:color w:val="auto"/>
        </w:rPr>
        <w:t>Consistent with our focus on sustainability, we are pleased to take advantage of the Securities and Exchange Commission rule allowing companies to furnish proxy materials to their stockholders through the internet. We believe this approach allows us to reduce the environmental impact of the Annual Meeting while expediting your receipt of these materials and lowering our costs of delivery. If you would like us to send you printed copies of our proxy statement and accompanying materials, we will be happy to do so upon your request at no charge. For more information, please refer to the Notice Regarding the Availability of Proxy Materials that we mailed to holders of record on or about [</w:t>
      </w:r>
      <w:r>
        <w:rPr>
          <w:rFonts w:ascii="Times New Roman" w:cs="Times New Roman" w:eastAsia="Times New Roman" w:hAnsi="Times New Roman"/>
          <w:sz w:val="15"/>
          <w:szCs w:val="15"/>
          <w:color w:val="auto"/>
        </w:rPr>
        <w:t>●</w:t>
      </w:r>
      <w:r>
        <w:rPr>
          <w:rFonts w:ascii="Arial" w:cs="Arial" w:eastAsia="Arial" w:hAnsi="Arial"/>
          <w:sz w:val="15"/>
          <w:szCs w:val="15"/>
          <w:color w:val="auto"/>
        </w:rPr>
        <w:t>], 2026.</w:t>
      </w:r>
    </w:p>
    <w:p>
      <w:pPr>
        <w:ind w:left="540" w:right="100" w:firstLine="315"/>
        <w:spacing w:after="0" w:line="249" w:lineRule="auto"/>
        <w:rPr>
          <w:sz w:val="20"/>
          <w:szCs w:val="20"/>
          <w:color w:val="auto"/>
        </w:rPr>
      </w:pPr>
      <w:r>
        <w:rPr>
          <w:rFonts w:ascii="Arial" w:cs="Arial" w:eastAsia="Arial" w:hAnsi="Arial"/>
          <w:sz w:val="15"/>
          <w:szCs w:val="15"/>
          <w:color w:val="auto"/>
        </w:rPr>
        <w:t>You are welcome to attend the Annual Meeting. However, even if you plan to attend, please vote your shares promptly to ensure they are represented at the meeting in the event you later decide not to attend in person. You may submit your proxy through the internet or by telephone, as described in the following materials, or if you request printed copies of these materials, by completing and signing the proxy card and returning it in the envelope provided. If you decide to attend the Annual Meeting and wish to change your proxy, you may do so automatically by voting at the meeting.</w:t>
      </w:r>
    </w:p>
    <w:p>
      <w:pPr>
        <w:spacing w:after="0" w:line="3" w:lineRule="exact"/>
        <w:rPr>
          <w:sz w:val="20"/>
          <w:szCs w:val="20"/>
          <w:color w:val="auto"/>
        </w:rPr>
      </w:pPr>
    </w:p>
    <w:p>
      <w:pPr>
        <w:ind w:left="540" w:right="340" w:firstLine="315"/>
        <w:spacing w:after="0" w:line="248" w:lineRule="auto"/>
        <w:rPr>
          <w:sz w:val="20"/>
          <w:szCs w:val="20"/>
          <w:color w:val="auto"/>
        </w:rPr>
      </w:pPr>
      <w:r>
        <w:rPr>
          <w:rFonts w:ascii="Arial" w:cs="Arial" w:eastAsia="Arial" w:hAnsi="Arial"/>
          <w:sz w:val="15"/>
          <w:szCs w:val="15"/>
          <w:color w:val="auto"/>
        </w:rPr>
        <w:t>We ask you to RSVP if you intend to attend the annual meeting. Please refer to page 2 of the accompanying proxy statement for further information concerning attendance.</w:t>
      </w:r>
    </w:p>
    <w:p>
      <w:pPr>
        <w:spacing w:after="0" w:line="1" w:lineRule="exact"/>
        <w:rPr>
          <w:sz w:val="20"/>
          <w:szCs w:val="20"/>
          <w:color w:val="auto"/>
        </w:rPr>
      </w:pPr>
    </w:p>
    <w:p>
      <w:pPr>
        <w:ind w:left="860"/>
        <w:spacing w:after="0"/>
        <w:rPr>
          <w:sz w:val="20"/>
          <w:szCs w:val="20"/>
          <w:color w:val="auto"/>
        </w:rPr>
      </w:pPr>
      <w:r>
        <w:rPr>
          <w:rFonts w:ascii="Arial" w:cs="Arial" w:eastAsia="Arial" w:hAnsi="Arial"/>
          <w:sz w:val="15"/>
          <w:szCs w:val="15"/>
          <w:color w:val="auto"/>
        </w:rPr>
        <w:t>On behalf of the Board of Directors, I thank you for your continued support of LPL Financial Holdings Inc.</w:t>
      </w:r>
    </w:p>
    <w:p>
      <w:pPr>
        <w:spacing w:after="0" w:line="337" w:lineRule="exact"/>
        <w:rPr>
          <w:sz w:val="20"/>
          <w:szCs w:val="20"/>
          <w:color w:val="auto"/>
        </w:rPr>
      </w:pPr>
    </w:p>
    <w:p>
      <w:pPr>
        <w:ind w:left="4320"/>
        <w:spacing w:after="0"/>
        <w:tabs>
          <w:tab w:leader="none" w:pos="4920" w:val="left"/>
        </w:tabs>
        <w:rPr>
          <w:sz w:val="20"/>
          <w:szCs w:val="20"/>
          <w:color w:val="auto"/>
        </w:rPr>
      </w:pPr>
      <w:r>
        <w:rPr>
          <w:rFonts w:ascii="Arial" w:cs="Arial" w:eastAsia="Arial" w:hAnsi="Arial"/>
          <w:sz w:val="15"/>
          <w:szCs w:val="15"/>
          <w:color w:val="auto"/>
        </w:rPr>
        <w:t xml:space="preserve">          </w:t>
        <w:tab/>
        <w:t>Sincerely,</w:t>
      </w:r>
    </w:p>
    <w:p>
      <w:pPr>
        <w:spacing w:after="0" w:line="247" w:lineRule="exact"/>
        <w:rPr>
          <w:sz w:val="20"/>
          <w:szCs w:val="20"/>
          <w:color w:val="auto"/>
        </w:rPr>
      </w:pPr>
    </w:p>
    <w:p>
      <w:pPr>
        <w:ind w:left="540" w:right="4400"/>
        <w:spacing w:after="0" w:line="256" w:lineRule="auto"/>
        <w:rPr>
          <w:sz w:val="20"/>
          <w:szCs w:val="20"/>
          <w:color w:val="auto"/>
        </w:rPr>
      </w:pPr>
      <w:r>
        <w:rPr>
          <w:rFonts w:ascii="Arial" w:cs="Arial" w:eastAsia="Arial" w:hAnsi="Arial"/>
          <w:sz w:val="15"/>
          <w:szCs w:val="15"/>
          <w:b w:val="1"/>
          <w:bCs w:val="1"/>
          <w:color w:val="002B5F"/>
        </w:rPr>
        <w:t>Your vote is very important. Please submit your proxy or voting instructions as soon as possible, whether or not you plan to attend the annual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3137535</wp:posOffset>
            </wp:positionH>
            <wp:positionV relativeFrom="paragraph">
              <wp:posOffset>-340995</wp:posOffset>
            </wp:positionV>
            <wp:extent cx="2115185" cy="6400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115185" cy="640080"/>
                    </a:xfrm>
                    <a:prstGeom prst="rect">
                      <a:avLst/>
                    </a:prstGeom>
                    <a:noFill/>
                  </pic:spPr>
                </pic:pic>
              </a:graphicData>
            </a:graphic>
          </wp:anchor>
        </w:drawing>
      </w:r>
    </w:p>
    <w:p>
      <w:pPr>
        <w:ind w:left="5980" w:right="1280" w:hanging="5439"/>
        <w:spacing w:after="0" w:line="180" w:lineRule="auto"/>
        <w:tabs>
          <w:tab w:leader="none" w:pos="5960" w:val="left"/>
        </w:tabs>
        <w:rPr>
          <w:sz w:val="20"/>
          <w:szCs w:val="20"/>
          <w:color w:val="auto"/>
        </w:rPr>
      </w:pPr>
      <w:r>
        <w:rPr>
          <w:rFonts w:ascii="Arial" w:cs="Arial" w:eastAsia="Arial" w:hAnsi="Arial"/>
          <w:sz w:val="29"/>
          <w:szCs w:val="29"/>
          <w:b w:val="1"/>
          <w:bCs w:val="1"/>
          <w:color w:val="002B5F"/>
          <w:vertAlign w:val="superscript"/>
        </w:rPr>
        <w:t>meeting.</w:t>
      </w:r>
      <w:r>
        <w:rPr>
          <w:sz w:val="20"/>
          <w:szCs w:val="20"/>
          <w:color w:val="auto"/>
        </w:rPr>
        <w:tab/>
      </w:r>
      <w:r>
        <w:rPr>
          <w:rFonts w:ascii="Arial" w:cs="Arial" w:eastAsia="Arial" w:hAnsi="Arial"/>
          <w:sz w:val="15"/>
          <w:szCs w:val="15"/>
          <w:b w:val="1"/>
          <w:bCs w:val="1"/>
          <w:color w:val="002B5F"/>
        </w:rPr>
        <w:t xml:space="preserve">James S. Putnam </w:t>
      </w:r>
      <w:r>
        <w:rPr>
          <w:rFonts w:ascii="Arial" w:cs="Arial" w:eastAsia="Arial" w:hAnsi="Arial"/>
          <w:sz w:val="15"/>
          <w:szCs w:val="15"/>
          <w:color w:val="000000"/>
        </w:rPr>
        <w:t>Chair</w:t>
      </w:r>
    </w:p>
    <w:p>
      <w:pPr>
        <w:spacing w:after="0" w:line="20" w:lineRule="exact"/>
        <w:rPr>
          <w:sz w:val="20"/>
          <w:szCs w:val="20"/>
          <w:color w:val="auto"/>
        </w:rPr>
      </w:pPr>
      <w:r>
        <w:rPr>
          <w:sz w:val="20"/>
          <w:szCs w:val="20"/>
          <w:color w:val="auto"/>
        </w:rPr>
        <w:br w:type="column"/>
      </w:r>
    </w:p>
    <w:p>
      <w:pPr>
        <w:spacing w:after="0" w:line="92" w:lineRule="exact"/>
        <w:rPr>
          <w:sz w:val="20"/>
          <w:szCs w:val="20"/>
          <w:color w:val="auto"/>
        </w:rPr>
      </w:pPr>
    </w:p>
    <w:p>
      <w:pPr>
        <w:spacing w:after="0"/>
        <w:rPr>
          <w:sz w:val="20"/>
          <w:szCs w:val="20"/>
          <w:color w:val="auto"/>
        </w:rPr>
      </w:pPr>
      <w:r>
        <w:rPr>
          <w:rFonts w:ascii="Arial" w:cs="Arial" w:eastAsia="Arial" w:hAnsi="Arial"/>
          <w:sz w:val="4"/>
          <w:szCs w:val="4"/>
          <w:b w:val="1"/>
          <w:bCs w:val="1"/>
          <w:color w:val="FFFFFF"/>
        </w:rPr>
        <w:t> </w:t>
      </w:r>
    </w:p>
    <w:p>
      <w:pPr>
        <w:spacing w:after="0" w:line="324" w:lineRule="exact"/>
        <w:rPr>
          <w:sz w:val="20"/>
          <w:szCs w:val="20"/>
          <w:color w:val="auto"/>
        </w:rPr>
      </w:pPr>
    </w:p>
    <w:p>
      <w:pPr>
        <w:spacing w:after="0"/>
        <w:rPr>
          <w:sz w:val="20"/>
          <w:szCs w:val="20"/>
          <w:color w:val="auto"/>
        </w:rPr>
      </w:pPr>
      <w:r>
        <w:rPr>
          <w:rFonts w:ascii="Arial" w:cs="Arial" w:eastAsia="Arial" w:hAnsi="Arial"/>
          <w:sz w:val="4"/>
          <w:szCs w:val="4"/>
          <w:color w:val="FFFFFF"/>
        </w:rPr>
        <w:t> </w:t>
      </w:r>
    </w:p>
    <w:p>
      <w:pPr>
        <w:spacing w:after="0" w:line="94" w:lineRule="exact"/>
        <w:rPr>
          <w:sz w:val="20"/>
          <w:szCs w:val="20"/>
          <w:color w:val="auto"/>
        </w:rPr>
      </w:pPr>
    </w:p>
    <w:p>
      <w:pPr>
        <w:spacing w:after="0"/>
        <w:rPr>
          <w:sz w:val="20"/>
          <w:szCs w:val="20"/>
          <w:color w:val="auto"/>
        </w:rPr>
      </w:pPr>
      <w:r>
        <w:rPr>
          <w:rFonts w:ascii="Arial" w:cs="Arial" w:eastAsia="Arial" w:hAnsi="Arial"/>
          <w:sz w:val="4"/>
          <w:szCs w:val="4"/>
          <w:color w:val="FFFFFF"/>
        </w:rPr>
        <w:t> </w:t>
      </w:r>
    </w:p>
    <w:p>
      <w:pPr>
        <w:spacing w:after="0" w:line="82" w:lineRule="exact"/>
        <w:rPr>
          <w:sz w:val="20"/>
          <w:szCs w:val="20"/>
          <w:color w:val="auto"/>
        </w:rPr>
      </w:pPr>
    </w:p>
    <w:p>
      <w:pPr>
        <w:spacing w:after="0"/>
        <w:rPr>
          <w:sz w:val="20"/>
          <w:szCs w:val="20"/>
          <w:color w:val="auto"/>
        </w:rPr>
      </w:pPr>
      <w:r>
        <w:rPr>
          <w:rFonts w:ascii="Arial" w:cs="Arial" w:eastAsia="Arial" w:hAnsi="Arial"/>
          <w:sz w:val="4"/>
          <w:szCs w:val="4"/>
          <w:color w:val="FFFFFF"/>
        </w:rPr>
        <w:t> </w:t>
      </w:r>
    </w:p>
    <w:p>
      <w:pPr>
        <w:spacing w:after="0" w:line="82" w:lineRule="exact"/>
        <w:rPr>
          <w:sz w:val="20"/>
          <w:szCs w:val="20"/>
          <w:color w:val="auto"/>
        </w:rPr>
      </w:pPr>
    </w:p>
    <w:p>
      <w:pPr>
        <w:spacing w:after="0"/>
        <w:rPr>
          <w:sz w:val="20"/>
          <w:szCs w:val="20"/>
          <w:color w:val="auto"/>
        </w:rPr>
      </w:pPr>
      <w:r>
        <w:rPr>
          <w:rFonts w:ascii="Arial" w:cs="Arial" w:eastAsia="Arial" w:hAnsi="Arial"/>
          <w:sz w:val="4"/>
          <w:szCs w:val="4"/>
          <w:color w:val="FFFFFF"/>
        </w:rPr>
        <w:t> </w:t>
      </w:r>
    </w:p>
    <w:p>
      <w:pPr>
        <w:spacing w:after="0" w:line="312" w:lineRule="exact"/>
        <w:rPr>
          <w:sz w:val="20"/>
          <w:szCs w:val="20"/>
          <w:color w:val="auto"/>
        </w:rPr>
      </w:pPr>
    </w:p>
    <w:p>
      <w:pPr>
        <w:spacing w:after="0"/>
        <w:rPr>
          <w:sz w:val="20"/>
          <w:szCs w:val="20"/>
          <w:color w:val="auto"/>
        </w:rPr>
      </w:pPr>
      <w:r>
        <w:rPr>
          <w:rFonts w:ascii="Arial" w:cs="Arial" w:eastAsia="Arial" w:hAnsi="Arial"/>
          <w:sz w:val="4"/>
          <w:szCs w:val="4"/>
          <w:color w:val="FFFFFF"/>
        </w:rPr>
        <w:t> </w:t>
      </w:r>
    </w:p>
    <w:p>
      <w:pPr>
        <w:spacing w:after="0" w:line="94" w:lineRule="exact"/>
        <w:rPr>
          <w:sz w:val="20"/>
          <w:szCs w:val="20"/>
          <w:color w:val="auto"/>
        </w:rPr>
      </w:pPr>
    </w:p>
    <w:p>
      <w:pPr>
        <w:spacing w:after="0"/>
        <w:rPr>
          <w:sz w:val="20"/>
          <w:szCs w:val="20"/>
          <w:color w:val="auto"/>
        </w:rPr>
      </w:pPr>
      <w:r>
        <w:rPr>
          <w:rFonts w:ascii="Arial" w:cs="Arial" w:eastAsia="Arial" w:hAnsi="Arial"/>
          <w:sz w:val="4"/>
          <w:szCs w:val="4"/>
          <w:color w:val="FFFFFF"/>
        </w:rPr>
        <w:t> </w:t>
      </w:r>
    </w:p>
    <w:p>
      <w:pPr>
        <w:spacing w:after="0" w:line="312" w:lineRule="exact"/>
        <w:rPr>
          <w:sz w:val="20"/>
          <w:szCs w:val="20"/>
          <w:color w:val="auto"/>
        </w:rPr>
      </w:pPr>
    </w:p>
    <w:p>
      <w:pPr>
        <w:spacing w:after="0"/>
        <w:rPr>
          <w:sz w:val="20"/>
          <w:szCs w:val="20"/>
          <w:color w:val="auto"/>
        </w:rPr>
      </w:pPr>
      <w:r>
        <w:rPr>
          <w:rFonts w:ascii="Arial" w:cs="Arial" w:eastAsia="Arial" w:hAnsi="Arial"/>
          <w:sz w:val="4"/>
          <w:szCs w:val="4"/>
          <w:color w:val="FFFFFF"/>
        </w:rPr>
        <w:t> </w:t>
      </w:r>
    </w:p>
    <w:p>
      <w:pPr>
        <w:spacing w:after="0" w:line="94" w:lineRule="exact"/>
        <w:rPr>
          <w:sz w:val="20"/>
          <w:szCs w:val="20"/>
          <w:color w:val="auto"/>
        </w:rPr>
      </w:pPr>
    </w:p>
    <w:p>
      <w:pPr>
        <w:spacing w:after="0"/>
        <w:rPr>
          <w:sz w:val="20"/>
          <w:szCs w:val="20"/>
          <w:color w:val="auto"/>
        </w:rPr>
      </w:pPr>
      <w:r>
        <w:rPr>
          <w:rFonts w:ascii="Arial" w:cs="Arial" w:eastAsia="Arial" w:hAnsi="Arial"/>
          <w:sz w:val="4"/>
          <w:szCs w:val="4"/>
          <w:color w:val="FFFFFF"/>
        </w:rPr>
        <w:t> </w:t>
      </w:r>
    </w:p>
    <w:p>
      <w:pPr>
        <w:spacing w:after="0" w:line="82" w:lineRule="exact"/>
        <w:rPr>
          <w:sz w:val="20"/>
          <w:szCs w:val="20"/>
          <w:color w:val="auto"/>
        </w:rPr>
      </w:pPr>
    </w:p>
    <w:p>
      <w:pPr>
        <w:spacing w:after="0"/>
        <w:rPr>
          <w:sz w:val="20"/>
          <w:szCs w:val="20"/>
          <w:color w:val="auto"/>
        </w:rPr>
      </w:pPr>
      <w:r>
        <w:rPr>
          <w:rFonts w:ascii="Arial" w:cs="Arial" w:eastAsia="Arial" w:hAnsi="Arial"/>
          <w:sz w:val="4"/>
          <w:szCs w:val="4"/>
          <w:color w:val="FFFFFF"/>
        </w:rPr>
        <w:t> </w:t>
      </w:r>
    </w:p>
    <w:p>
      <w:pPr>
        <w:spacing w:after="0" w:line="312" w:lineRule="exact"/>
        <w:rPr>
          <w:sz w:val="20"/>
          <w:szCs w:val="20"/>
          <w:color w:val="auto"/>
        </w:rPr>
      </w:pPr>
    </w:p>
    <w:p>
      <w:pPr>
        <w:spacing w:after="0"/>
        <w:rPr>
          <w:sz w:val="20"/>
          <w:szCs w:val="20"/>
          <w:color w:val="auto"/>
        </w:rPr>
      </w:pPr>
      <w:r>
        <w:rPr>
          <w:rFonts w:ascii="Arial" w:cs="Arial" w:eastAsia="Arial" w:hAnsi="Arial"/>
          <w:sz w:val="4"/>
          <w:szCs w:val="4"/>
          <w:color w:val="FFFFFF"/>
        </w:rPr>
        <w:t> </w:t>
      </w:r>
    </w:p>
    <w:p>
      <w:pPr>
        <w:spacing w:after="0" w:line="94" w:lineRule="exact"/>
        <w:rPr>
          <w:sz w:val="20"/>
          <w:szCs w:val="20"/>
          <w:color w:val="auto"/>
        </w:rPr>
      </w:pPr>
    </w:p>
    <w:p>
      <w:pPr>
        <w:spacing w:after="0"/>
        <w:rPr>
          <w:sz w:val="20"/>
          <w:szCs w:val="20"/>
          <w:color w:val="auto"/>
        </w:rPr>
      </w:pPr>
      <w:r>
        <w:rPr>
          <w:rFonts w:ascii="Arial" w:cs="Arial" w:eastAsia="Arial" w:hAnsi="Arial"/>
          <w:sz w:val="4"/>
          <w:szCs w:val="4"/>
          <w:color w:val="FFFFFF"/>
        </w:rPr>
        <w:t> </w:t>
      </w:r>
    </w:p>
    <w:p>
      <w:pPr>
        <w:spacing w:after="0" w:line="82" w:lineRule="exact"/>
        <w:rPr>
          <w:sz w:val="20"/>
          <w:szCs w:val="20"/>
          <w:color w:val="auto"/>
        </w:rPr>
      </w:pPr>
    </w:p>
    <w:p>
      <w:pPr>
        <w:spacing w:after="0"/>
        <w:rPr>
          <w:sz w:val="20"/>
          <w:szCs w:val="20"/>
          <w:color w:val="auto"/>
        </w:rPr>
      </w:pPr>
      <w:r>
        <w:rPr>
          <w:rFonts w:ascii="Arial" w:cs="Arial" w:eastAsia="Arial" w:hAnsi="Arial"/>
          <w:sz w:val="4"/>
          <w:szCs w:val="4"/>
          <w:color w:val="FFFFFF"/>
        </w:rPr>
        <w:t> </w:t>
      </w:r>
    </w:p>
    <w:p>
      <w:pPr>
        <w:spacing w:after="0" w:line="82" w:lineRule="exact"/>
        <w:rPr>
          <w:sz w:val="20"/>
          <w:szCs w:val="20"/>
          <w:color w:val="auto"/>
        </w:rPr>
      </w:pPr>
    </w:p>
    <w:p>
      <w:pPr>
        <w:spacing w:after="0"/>
        <w:rPr>
          <w:sz w:val="20"/>
          <w:szCs w:val="20"/>
          <w:color w:val="auto"/>
        </w:rPr>
      </w:pPr>
      <w:r>
        <w:rPr>
          <w:rFonts w:ascii="Arial" w:cs="Arial" w:eastAsia="Arial" w:hAnsi="Arial"/>
          <w:sz w:val="4"/>
          <w:szCs w:val="4"/>
          <w:color w:val="FFFFFF"/>
        </w:rPr>
        <w:t> </w:t>
      </w:r>
    </w:p>
    <w:p>
      <w:pPr>
        <w:spacing w:after="0" w:line="82" w:lineRule="exact"/>
        <w:rPr>
          <w:sz w:val="20"/>
          <w:szCs w:val="20"/>
          <w:color w:val="auto"/>
        </w:rPr>
      </w:pPr>
    </w:p>
    <w:p>
      <w:pPr>
        <w:spacing w:after="0"/>
        <w:rPr>
          <w:sz w:val="20"/>
          <w:szCs w:val="20"/>
          <w:color w:val="auto"/>
        </w:rPr>
      </w:pPr>
      <w:r>
        <w:rPr>
          <w:rFonts w:ascii="Arial" w:cs="Arial" w:eastAsia="Arial" w:hAnsi="Arial"/>
          <w:sz w:val="4"/>
          <w:szCs w:val="4"/>
          <w:color w:val="FFFFFF"/>
        </w:rPr>
        <w:t> </w:t>
      </w:r>
    </w:p>
    <w:p>
      <w:pPr>
        <w:spacing w:after="0" w:line="82" w:lineRule="exact"/>
        <w:rPr>
          <w:sz w:val="20"/>
          <w:szCs w:val="20"/>
          <w:color w:val="auto"/>
        </w:rPr>
      </w:pPr>
    </w:p>
    <w:p>
      <w:pPr>
        <w:spacing w:after="0"/>
        <w:rPr>
          <w:sz w:val="20"/>
          <w:szCs w:val="20"/>
          <w:color w:val="auto"/>
        </w:rPr>
      </w:pPr>
      <w:r>
        <w:rPr>
          <w:rFonts w:ascii="Arial" w:cs="Arial" w:eastAsia="Arial" w:hAnsi="Arial"/>
          <w:sz w:val="4"/>
          <w:szCs w:val="4"/>
          <w:color w:val="FFFFFF"/>
        </w:rPr>
        <w:t> </w:t>
      </w:r>
    </w:p>
    <w:p>
      <w:pPr>
        <w:spacing w:after="0" w:line="312" w:lineRule="exact"/>
        <w:rPr>
          <w:sz w:val="20"/>
          <w:szCs w:val="20"/>
          <w:color w:val="auto"/>
        </w:rPr>
      </w:pPr>
    </w:p>
    <w:p>
      <w:pPr>
        <w:spacing w:after="0"/>
        <w:rPr>
          <w:sz w:val="20"/>
          <w:szCs w:val="20"/>
          <w:color w:val="auto"/>
        </w:rPr>
      </w:pPr>
      <w:r>
        <w:rPr>
          <w:rFonts w:ascii="Arial" w:cs="Arial" w:eastAsia="Arial" w:hAnsi="Arial"/>
          <w:sz w:val="4"/>
          <w:szCs w:val="4"/>
          <w:color w:val="FFFFFF"/>
        </w:rPr>
        <w:t> </w:t>
      </w:r>
    </w:p>
    <w:p>
      <w:pPr>
        <w:spacing w:after="0" w:line="94" w:lineRule="exact"/>
        <w:rPr>
          <w:sz w:val="20"/>
          <w:szCs w:val="20"/>
          <w:color w:val="auto"/>
        </w:rPr>
      </w:pPr>
    </w:p>
    <w:p>
      <w:pPr>
        <w:spacing w:after="0"/>
        <w:rPr>
          <w:sz w:val="20"/>
          <w:szCs w:val="20"/>
          <w:color w:val="auto"/>
        </w:rPr>
      </w:pPr>
      <w:r>
        <w:rPr>
          <w:rFonts w:ascii="Arial" w:cs="Arial" w:eastAsia="Arial" w:hAnsi="Arial"/>
          <w:sz w:val="4"/>
          <w:szCs w:val="4"/>
          <w:color w:val="FFFFFF"/>
        </w:rPr>
        <w:t> </w:t>
      </w:r>
    </w:p>
    <w:p>
      <w:pPr>
        <w:spacing w:after="0" w:line="82" w:lineRule="exact"/>
        <w:rPr>
          <w:sz w:val="20"/>
          <w:szCs w:val="20"/>
          <w:color w:val="auto"/>
        </w:rPr>
      </w:pPr>
    </w:p>
    <w:p>
      <w:pPr>
        <w:spacing w:after="0"/>
        <w:rPr>
          <w:sz w:val="20"/>
          <w:szCs w:val="20"/>
          <w:color w:val="auto"/>
        </w:rPr>
      </w:pPr>
      <w:r>
        <w:rPr>
          <w:rFonts w:ascii="Arial" w:cs="Arial" w:eastAsia="Arial" w:hAnsi="Arial"/>
          <w:sz w:val="4"/>
          <w:szCs w:val="4"/>
          <w:color w:val="FFFFFF"/>
        </w:rPr>
        <w:t> </w:t>
      </w:r>
    </w:p>
    <w:p>
      <w:pPr>
        <w:spacing w:after="0" w:line="312" w:lineRule="exact"/>
        <w:rPr>
          <w:sz w:val="20"/>
          <w:szCs w:val="20"/>
          <w:color w:val="auto"/>
        </w:rPr>
      </w:pPr>
    </w:p>
    <w:p>
      <w:pPr>
        <w:spacing w:after="0"/>
        <w:rPr>
          <w:sz w:val="20"/>
          <w:szCs w:val="20"/>
          <w:color w:val="auto"/>
        </w:rPr>
      </w:pPr>
      <w:r>
        <w:rPr>
          <w:rFonts w:ascii="Arial" w:cs="Arial" w:eastAsia="Arial" w:hAnsi="Arial"/>
          <w:sz w:val="4"/>
          <w:szCs w:val="4"/>
          <w:color w:val="FFFFFF"/>
        </w:rPr>
        <w:t> </w:t>
      </w:r>
    </w:p>
    <w:p>
      <w:pPr>
        <w:spacing w:after="0" w:line="94" w:lineRule="exact"/>
        <w:rPr>
          <w:sz w:val="20"/>
          <w:szCs w:val="20"/>
          <w:color w:val="auto"/>
        </w:rPr>
      </w:pPr>
    </w:p>
    <w:p>
      <w:pPr>
        <w:spacing w:after="0"/>
        <w:rPr>
          <w:sz w:val="20"/>
          <w:szCs w:val="20"/>
          <w:color w:val="auto"/>
        </w:rPr>
      </w:pPr>
      <w:r>
        <w:rPr>
          <w:rFonts w:ascii="Arial" w:cs="Arial" w:eastAsia="Arial" w:hAnsi="Arial"/>
          <w:sz w:val="4"/>
          <w:szCs w:val="4"/>
          <w:color w:val="FFFFFF"/>
        </w:rPr>
        <w:t> </w:t>
      </w:r>
    </w:p>
    <w:p>
      <w:pPr>
        <w:spacing w:after="0" w:line="82" w:lineRule="exact"/>
        <w:rPr>
          <w:sz w:val="20"/>
          <w:szCs w:val="20"/>
          <w:color w:val="auto"/>
        </w:rPr>
      </w:pPr>
    </w:p>
    <w:p>
      <w:pPr>
        <w:spacing w:after="0"/>
        <w:rPr>
          <w:sz w:val="20"/>
          <w:szCs w:val="20"/>
          <w:color w:val="auto"/>
        </w:rPr>
      </w:pPr>
      <w:r>
        <w:rPr>
          <w:rFonts w:ascii="Arial" w:cs="Arial" w:eastAsia="Arial" w:hAnsi="Arial"/>
          <w:sz w:val="4"/>
          <w:szCs w:val="4"/>
          <w:color w:val="FFFFFF"/>
        </w:rPr>
        <w:t> </w:t>
      </w:r>
    </w:p>
    <w:p>
      <w:pPr>
        <w:spacing w:after="0" w:line="312" w:lineRule="exact"/>
        <w:rPr>
          <w:sz w:val="20"/>
          <w:szCs w:val="20"/>
          <w:color w:val="auto"/>
        </w:rPr>
      </w:pPr>
    </w:p>
    <w:p>
      <w:pPr>
        <w:spacing w:after="0"/>
        <w:rPr>
          <w:sz w:val="20"/>
          <w:szCs w:val="20"/>
          <w:color w:val="auto"/>
        </w:rPr>
      </w:pPr>
      <w:r>
        <w:rPr>
          <w:rFonts w:ascii="Arial" w:cs="Arial" w:eastAsia="Arial" w:hAnsi="Arial"/>
          <w:sz w:val="4"/>
          <w:szCs w:val="4"/>
          <w:color w:val="FFFFFF"/>
        </w:rPr>
        <w:t> </w:t>
      </w:r>
    </w:p>
    <w:p>
      <w:pPr>
        <w:spacing w:after="0" w:line="94" w:lineRule="exact"/>
        <w:rPr>
          <w:sz w:val="20"/>
          <w:szCs w:val="20"/>
          <w:color w:val="auto"/>
        </w:rPr>
      </w:pPr>
    </w:p>
    <w:p>
      <w:pPr>
        <w:spacing w:after="0"/>
        <w:rPr>
          <w:sz w:val="20"/>
          <w:szCs w:val="20"/>
          <w:color w:val="auto"/>
        </w:rPr>
      </w:pPr>
      <w:r>
        <w:rPr>
          <w:rFonts w:ascii="Arial" w:cs="Arial" w:eastAsia="Arial" w:hAnsi="Arial"/>
          <w:sz w:val="4"/>
          <w:szCs w:val="4"/>
          <w:color w:val="FFFFFF"/>
        </w:rPr>
        <w:t> </w:t>
      </w:r>
    </w:p>
    <w:p>
      <w:pPr>
        <w:spacing w:after="0" w:line="82" w:lineRule="exact"/>
        <w:rPr>
          <w:sz w:val="20"/>
          <w:szCs w:val="20"/>
          <w:color w:val="auto"/>
        </w:rPr>
      </w:pPr>
    </w:p>
    <w:p>
      <w:pPr>
        <w:spacing w:after="0"/>
        <w:rPr>
          <w:sz w:val="20"/>
          <w:szCs w:val="20"/>
          <w:color w:val="auto"/>
        </w:rPr>
      </w:pPr>
      <w:r>
        <w:rPr>
          <w:rFonts w:ascii="Arial" w:cs="Arial" w:eastAsia="Arial" w:hAnsi="Arial"/>
          <w:sz w:val="4"/>
          <w:szCs w:val="4"/>
          <w:color w:val="FFFFFF"/>
        </w:rPr>
        <w:t> </w:t>
      </w:r>
    </w:p>
    <w:p>
      <w:pPr>
        <w:spacing w:after="0" w:line="82" w:lineRule="exact"/>
        <w:rPr>
          <w:sz w:val="20"/>
          <w:szCs w:val="20"/>
          <w:color w:val="auto"/>
        </w:rPr>
      </w:pPr>
    </w:p>
    <w:p>
      <w:pPr>
        <w:spacing w:after="0"/>
        <w:rPr>
          <w:sz w:val="20"/>
          <w:szCs w:val="20"/>
          <w:color w:val="auto"/>
        </w:rPr>
      </w:pPr>
      <w:r>
        <w:rPr>
          <w:rFonts w:ascii="Arial" w:cs="Arial" w:eastAsia="Arial" w:hAnsi="Arial"/>
          <w:sz w:val="4"/>
          <w:szCs w:val="4"/>
          <w:color w:val="FFFFFF"/>
        </w:rPr>
        <w:t> </w:t>
      </w:r>
    </w:p>
    <w:p>
      <w:pPr>
        <w:spacing w:after="0" w:line="82" w:lineRule="exact"/>
        <w:rPr>
          <w:sz w:val="20"/>
          <w:szCs w:val="20"/>
          <w:color w:val="auto"/>
        </w:rPr>
      </w:pPr>
    </w:p>
    <w:p>
      <w:pPr>
        <w:spacing w:after="0"/>
        <w:rPr>
          <w:sz w:val="20"/>
          <w:szCs w:val="20"/>
          <w:color w:val="auto"/>
        </w:rPr>
      </w:pPr>
      <w:r>
        <w:rPr>
          <w:rFonts w:ascii="Arial" w:cs="Arial" w:eastAsia="Arial" w:hAnsi="Arial"/>
          <w:sz w:val="4"/>
          <w:szCs w:val="4"/>
          <w:color w:val="FFFFFF"/>
        </w:rPr>
        <w:t> </w:t>
      </w:r>
    </w:p>
    <w:p>
      <w:pPr>
        <w:spacing w:after="0" w:line="312" w:lineRule="exact"/>
        <w:rPr>
          <w:sz w:val="20"/>
          <w:szCs w:val="20"/>
          <w:color w:val="auto"/>
        </w:rPr>
      </w:pPr>
    </w:p>
    <w:p>
      <w:pPr>
        <w:spacing w:after="0"/>
        <w:rPr>
          <w:sz w:val="20"/>
          <w:szCs w:val="20"/>
          <w:color w:val="auto"/>
        </w:rPr>
      </w:pPr>
      <w:r>
        <w:rPr>
          <w:rFonts w:ascii="Arial" w:cs="Arial" w:eastAsia="Arial" w:hAnsi="Arial"/>
          <w:sz w:val="4"/>
          <w:szCs w:val="4"/>
          <w:color w:val="FFFFFF"/>
        </w:rPr>
        <w:t> </w:t>
      </w:r>
    </w:p>
    <w:p>
      <w:pPr>
        <w:spacing w:after="0" w:line="94" w:lineRule="exact"/>
        <w:rPr>
          <w:sz w:val="20"/>
          <w:szCs w:val="20"/>
          <w:color w:val="auto"/>
        </w:rPr>
      </w:pPr>
    </w:p>
    <w:p>
      <w:pPr>
        <w:spacing w:after="0"/>
        <w:rPr>
          <w:sz w:val="20"/>
          <w:szCs w:val="20"/>
          <w:color w:val="auto"/>
        </w:rPr>
      </w:pPr>
      <w:r>
        <w:rPr>
          <w:rFonts w:ascii="Arial" w:cs="Arial" w:eastAsia="Arial" w:hAnsi="Arial"/>
          <w:sz w:val="4"/>
          <w:szCs w:val="4"/>
          <w:color w:val="FFFFFF"/>
        </w:rPr>
        <w:t> </w:t>
      </w:r>
    </w:p>
    <w:p>
      <w:pPr>
        <w:spacing w:after="0" w:line="82" w:lineRule="exact"/>
        <w:rPr>
          <w:sz w:val="20"/>
          <w:szCs w:val="20"/>
          <w:color w:val="auto"/>
        </w:rPr>
      </w:pPr>
    </w:p>
    <w:p>
      <w:pPr>
        <w:spacing w:after="0"/>
        <w:rPr>
          <w:sz w:val="20"/>
          <w:szCs w:val="20"/>
          <w:color w:val="auto"/>
        </w:rPr>
      </w:pPr>
      <w:r>
        <w:rPr>
          <w:rFonts w:ascii="Arial" w:cs="Arial" w:eastAsia="Arial" w:hAnsi="Arial"/>
          <w:sz w:val="4"/>
          <w:szCs w:val="4"/>
          <w:color w:val="FFFFFF"/>
        </w:rPr>
        <w:t> </w:t>
      </w:r>
    </w:p>
    <w:p>
      <w:pPr>
        <w:spacing w:after="0" w:line="82" w:lineRule="exact"/>
        <w:rPr>
          <w:sz w:val="20"/>
          <w:szCs w:val="20"/>
          <w:color w:val="auto"/>
        </w:rPr>
      </w:pPr>
    </w:p>
    <w:p>
      <w:pPr>
        <w:spacing w:after="0"/>
        <w:rPr>
          <w:sz w:val="20"/>
          <w:szCs w:val="20"/>
          <w:color w:val="auto"/>
        </w:rPr>
      </w:pPr>
      <w:r>
        <w:rPr>
          <w:rFonts w:ascii="Arial" w:cs="Arial" w:eastAsia="Arial" w:hAnsi="Arial"/>
          <w:sz w:val="4"/>
          <w:szCs w:val="4"/>
          <w:color w:val="FFFFFF"/>
        </w:rPr>
        <w:t> </w:t>
      </w:r>
    </w:p>
    <w:p>
      <w:pPr>
        <w:spacing w:after="0" w:line="312" w:lineRule="exact"/>
        <w:rPr>
          <w:sz w:val="20"/>
          <w:szCs w:val="20"/>
          <w:color w:val="auto"/>
        </w:rPr>
      </w:pPr>
    </w:p>
    <w:p>
      <w:pPr>
        <w:spacing w:after="0"/>
        <w:rPr>
          <w:sz w:val="20"/>
          <w:szCs w:val="20"/>
          <w:color w:val="auto"/>
        </w:rPr>
      </w:pPr>
      <w:r>
        <w:rPr>
          <w:rFonts w:ascii="Arial" w:cs="Arial" w:eastAsia="Arial" w:hAnsi="Arial"/>
          <w:sz w:val="4"/>
          <w:szCs w:val="4"/>
          <w:color w:val="FFFFFF"/>
        </w:rPr>
        <w:t> </w:t>
      </w:r>
    </w:p>
    <w:p>
      <w:pPr>
        <w:spacing w:after="0" w:line="324" w:lineRule="exact"/>
        <w:rPr>
          <w:sz w:val="20"/>
          <w:szCs w:val="20"/>
          <w:color w:val="auto"/>
        </w:rPr>
      </w:pPr>
    </w:p>
    <w:p>
      <w:pPr>
        <w:spacing w:after="0"/>
        <w:rPr>
          <w:sz w:val="20"/>
          <w:szCs w:val="20"/>
          <w:color w:val="auto"/>
        </w:rPr>
      </w:pPr>
      <w:r>
        <w:rPr>
          <w:rFonts w:ascii="Arial" w:cs="Arial" w:eastAsia="Arial" w:hAnsi="Arial"/>
          <w:sz w:val="4"/>
          <w:szCs w:val="4"/>
          <w:color w:val="FFFFFF"/>
        </w:rPr>
        <w:t> </w:t>
      </w:r>
    </w:p>
    <w:p>
      <w:pPr>
        <w:spacing w:after="0" w:line="94" w:lineRule="exact"/>
        <w:rPr>
          <w:sz w:val="20"/>
          <w:szCs w:val="20"/>
          <w:color w:val="auto"/>
        </w:rPr>
      </w:pPr>
    </w:p>
    <w:p>
      <w:pPr>
        <w:spacing w:after="0"/>
        <w:rPr>
          <w:sz w:val="20"/>
          <w:szCs w:val="20"/>
          <w:color w:val="auto"/>
        </w:rPr>
      </w:pPr>
      <w:r>
        <w:rPr>
          <w:rFonts w:ascii="Arial" w:cs="Arial" w:eastAsia="Arial" w:hAnsi="Arial"/>
          <w:sz w:val="4"/>
          <w:szCs w:val="4"/>
          <w:color w:val="FFFFFF"/>
        </w:rPr>
        <w:t> </w:t>
      </w:r>
    </w:p>
    <w:p>
      <w:pPr>
        <w:spacing w:after="0" w:line="82" w:lineRule="exact"/>
        <w:rPr>
          <w:sz w:val="20"/>
          <w:szCs w:val="20"/>
          <w:color w:val="auto"/>
        </w:rPr>
      </w:pPr>
    </w:p>
    <w:p>
      <w:pPr>
        <w:spacing w:after="0"/>
        <w:rPr>
          <w:sz w:val="20"/>
          <w:szCs w:val="20"/>
          <w:color w:val="auto"/>
        </w:rPr>
      </w:pPr>
      <w:r>
        <w:rPr>
          <w:rFonts w:ascii="Arial" w:cs="Arial" w:eastAsia="Arial" w:hAnsi="Arial"/>
          <w:sz w:val="4"/>
          <w:szCs w:val="4"/>
          <w:color w:val="FFFFFF"/>
        </w:rPr>
        <w:t> </w:t>
      </w:r>
    </w:p>
    <w:p>
      <w:pPr>
        <w:spacing w:after="0" w:line="82" w:lineRule="exact"/>
        <w:rPr>
          <w:sz w:val="20"/>
          <w:szCs w:val="20"/>
          <w:color w:val="auto"/>
        </w:rPr>
      </w:pPr>
    </w:p>
    <w:p>
      <w:pPr>
        <w:spacing w:after="0"/>
        <w:rPr>
          <w:sz w:val="20"/>
          <w:szCs w:val="20"/>
          <w:color w:val="auto"/>
        </w:rPr>
      </w:pPr>
      <w:r>
        <w:rPr>
          <w:rFonts w:ascii="Arial" w:cs="Arial" w:eastAsia="Arial" w:hAnsi="Arial"/>
          <w:sz w:val="4"/>
          <w:szCs w:val="4"/>
          <w:color w:val="FFFFFF"/>
        </w:rPr>
        <w:t> </w:t>
      </w:r>
    </w:p>
    <w:p>
      <w:pPr>
        <w:spacing w:after="0" w:line="312" w:lineRule="exact"/>
        <w:rPr>
          <w:sz w:val="20"/>
          <w:szCs w:val="20"/>
          <w:color w:val="auto"/>
        </w:rPr>
      </w:pPr>
    </w:p>
    <w:p>
      <w:pPr>
        <w:spacing w:after="0"/>
        <w:rPr>
          <w:sz w:val="20"/>
          <w:szCs w:val="20"/>
          <w:color w:val="auto"/>
        </w:rPr>
      </w:pPr>
      <w:r>
        <w:rPr>
          <w:rFonts w:ascii="Arial" w:cs="Arial" w:eastAsia="Arial" w:hAnsi="Arial"/>
          <w:sz w:val="4"/>
          <w:szCs w:val="4"/>
          <w:color w:val="FFFFFF"/>
        </w:rPr>
        <w:t> </w:t>
      </w:r>
    </w:p>
    <w:p>
      <w:pPr>
        <w:spacing w:after="0" w:line="324" w:lineRule="exact"/>
        <w:rPr>
          <w:sz w:val="20"/>
          <w:szCs w:val="20"/>
          <w:color w:val="auto"/>
        </w:rPr>
      </w:pPr>
    </w:p>
    <w:p>
      <w:pPr>
        <w:spacing w:after="0"/>
        <w:rPr>
          <w:sz w:val="20"/>
          <w:szCs w:val="20"/>
          <w:color w:val="auto"/>
        </w:rPr>
      </w:pPr>
      <w:r>
        <w:rPr>
          <w:rFonts w:ascii="Arial" w:cs="Arial" w:eastAsia="Arial" w:hAnsi="Arial"/>
          <w:sz w:val="4"/>
          <w:szCs w:val="4"/>
          <w:color w:val="FFFFFF"/>
        </w:rPr>
        <w:t> </w:t>
      </w:r>
    </w:p>
    <w:p>
      <w:pPr>
        <w:spacing w:after="0" w:line="94" w:lineRule="exact"/>
        <w:rPr>
          <w:sz w:val="20"/>
          <w:szCs w:val="20"/>
          <w:color w:val="auto"/>
        </w:rPr>
      </w:pPr>
    </w:p>
    <w:p>
      <w:pPr>
        <w:spacing w:after="0"/>
        <w:rPr>
          <w:sz w:val="20"/>
          <w:szCs w:val="20"/>
          <w:color w:val="auto"/>
        </w:rPr>
      </w:pPr>
      <w:r>
        <w:rPr>
          <w:rFonts w:ascii="Arial" w:cs="Arial" w:eastAsia="Arial" w:hAnsi="Arial"/>
          <w:sz w:val="4"/>
          <w:szCs w:val="4"/>
          <w:color w:val="FFFFFF"/>
        </w:rPr>
        <w:t> </w:t>
      </w:r>
    </w:p>
    <w:p>
      <w:pPr>
        <w:spacing w:after="0" w:line="82" w:lineRule="exact"/>
        <w:rPr>
          <w:sz w:val="20"/>
          <w:szCs w:val="20"/>
          <w:color w:val="auto"/>
        </w:rPr>
      </w:pPr>
    </w:p>
    <w:p>
      <w:pPr>
        <w:spacing w:after="0"/>
        <w:rPr>
          <w:sz w:val="20"/>
          <w:szCs w:val="20"/>
          <w:color w:val="auto"/>
        </w:rPr>
      </w:pPr>
      <w:r>
        <w:rPr>
          <w:rFonts w:ascii="Arial" w:cs="Arial" w:eastAsia="Arial" w:hAnsi="Arial"/>
          <w:sz w:val="4"/>
          <w:szCs w:val="4"/>
          <w:color w:val="FFFFFF"/>
        </w:rPr>
        <w:t> </w:t>
      </w:r>
    </w:p>
    <w:p>
      <w:pPr>
        <w:spacing w:after="0" w:line="312" w:lineRule="exact"/>
        <w:rPr>
          <w:sz w:val="20"/>
          <w:szCs w:val="20"/>
          <w:color w:val="auto"/>
        </w:rPr>
      </w:pPr>
    </w:p>
    <w:p>
      <w:pPr>
        <w:spacing w:after="0"/>
        <w:rPr>
          <w:sz w:val="20"/>
          <w:szCs w:val="20"/>
          <w:color w:val="auto"/>
        </w:rPr>
      </w:pPr>
      <w:r>
        <w:rPr>
          <w:rFonts w:ascii="Arial" w:cs="Arial" w:eastAsia="Arial" w:hAnsi="Arial"/>
          <w:sz w:val="4"/>
          <w:szCs w:val="4"/>
          <w:color w:val="FFFFFF"/>
        </w:rPr>
        <w:t> </w:t>
      </w:r>
    </w:p>
    <w:p>
      <w:pPr>
        <w:spacing w:after="0" w:line="94" w:lineRule="exact"/>
        <w:rPr>
          <w:sz w:val="20"/>
          <w:szCs w:val="20"/>
          <w:color w:val="auto"/>
        </w:rPr>
      </w:pPr>
    </w:p>
    <w:p>
      <w:pPr>
        <w:spacing w:after="0"/>
        <w:rPr>
          <w:sz w:val="20"/>
          <w:szCs w:val="20"/>
          <w:color w:val="auto"/>
        </w:rPr>
      </w:pPr>
      <w:r>
        <w:rPr>
          <w:rFonts w:ascii="Arial" w:cs="Arial" w:eastAsia="Arial" w:hAnsi="Arial"/>
          <w:sz w:val="4"/>
          <w:szCs w:val="4"/>
          <w:color w:val="FFFFFF"/>
        </w:rPr>
        <w:t> </w:t>
      </w:r>
    </w:p>
    <w:p>
      <w:pPr>
        <w:spacing w:after="0" w:line="82" w:lineRule="exact"/>
        <w:rPr>
          <w:sz w:val="20"/>
          <w:szCs w:val="20"/>
          <w:color w:val="auto"/>
        </w:rPr>
      </w:pPr>
    </w:p>
    <w:p>
      <w:pPr>
        <w:spacing w:after="0"/>
        <w:rPr>
          <w:sz w:val="20"/>
          <w:szCs w:val="20"/>
          <w:color w:val="auto"/>
        </w:rPr>
      </w:pPr>
      <w:r>
        <w:rPr>
          <w:rFonts w:ascii="Arial" w:cs="Arial" w:eastAsia="Arial" w:hAnsi="Arial"/>
          <w:sz w:val="4"/>
          <w:szCs w:val="4"/>
          <w:color w:val="FFFFFF"/>
        </w:rPr>
        <w:t> </w:t>
      </w:r>
    </w:p>
    <w:p>
      <w:pPr>
        <w:spacing w:after="0" w:line="312" w:lineRule="exact"/>
        <w:rPr>
          <w:sz w:val="20"/>
          <w:szCs w:val="20"/>
          <w:color w:val="auto"/>
        </w:rPr>
      </w:pPr>
    </w:p>
    <w:p>
      <w:pPr>
        <w:spacing w:after="0"/>
        <w:rPr>
          <w:sz w:val="20"/>
          <w:szCs w:val="20"/>
          <w:color w:val="auto"/>
        </w:rPr>
      </w:pPr>
      <w:r>
        <w:rPr>
          <w:rFonts w:ascii="Arial" w:cs="Arial" w:eastAsia="Arial" w:hAnsi="Arial"/>
          <w:sz w:val="4"/>
          <w:szCs w:val="4"/>
          <w:color w:val="FFFFFF"/>
        </w:rPr>
        <w:t> </w:t>
      </w:r>
    </w:p>
    <w:p>
      <w:pPr>
        <w:spacing w:after="0" w:line="94" w:lineRule="exact"/>
        <w:rPr>
          <w:sz w:val="20"/>
          <w:szCs w:val="20"/>
          <w:color w:val="auto"/>
        </w:rPr>
      </w:pPr>
    </w:p>
    <w:p>
      <w:pPr>
        <w:spacing w:after="0"/>
        <w:rPr>
          <w:sz w:val="20"/>
          <w:szCs w:val="20"/>
          <w:color w:val="auto"/>
        </w:rPr>
      </w:pPr>
      <w:r>
        <w:rPr>
          <w:rFonts w:ascii="Arial" w:cs="Arial" w:eastAsia="Arial" w:hAnsi="Arial"/>
          <w:sz w:val="4"/>
          <w:szCs w:val="4"/>
          <w:color w:val="FFFFFF"/>
        </w:rPr>
        <w:t> </w:t>
      </w:r>
    </w:p>
    <w:p>
      <w:pPr>
        <w:spacing w:after="0" w:line="200" w:lineRule="exact"/>
        <w:rPr>
          <w:sz w:val="20"/>
          <w:szCs w:val="20"/>
          <w:color w:val="auto"/>
        </w:rPr>
      </w:pPr>
    </w:p>
    <w:p>
      <w:pPr>
        <w:sectPr>
          <w:pgSz w:w="11900" w:h="16838" w:orient="portrait"/>
          <w:cols w:equalWidth="0" w:num="2">
            <w:col w:w="8520" w:space="720"/>
            <w:col w:w="1560"/>
          </w:cols>
          <w:pgMar w:left="320" w:top="464" w:right="779" w:bottom="1440" w:gutter="0" w:footer="0" w:header="0"/>
          <w:type w:val="continuous"/>
        </w:sectPr>
      </w:pPr>
    </w:p>
    <w:p>
      <w:pPr>
        <w:spacing w:after="0" w:line="112" w:lineRule="exact"/>
        <w:rPr>
          <w:sz w:val="20"/>
          <w:szCs w:val="20"/>
          <w:color w:val="auto"/>
        </w:rPr>
      </w:pPr>
    </w:p>
    <w:p>
      <w:pPr>
        <w:ind w:left="9240"/>
        <w:spacing w:after="0"/>
        <w:rPr>
          <w:sz w:val="20"/>
          <w:szCs w:val="20"/>
          <w:color w:val="auto"/>
        </w:rPr>
      </w:pPr>
      <w:r>
        <w:rPr>
          <w:rFonts w:ascii="Arial" w:cs="Arial" w:eastAsia="Arial" w:hAnsi="Arial"/>
          <w:sz w:val="12"/>
          <w:szCs w:val="12"/>
          <w:color w:val="FFFFFF"/>
        </w:rPr>
        <w: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6360"/>
        <w:spacing w:after="0"/>
        <w:tabs>
          <w:tab w:leader="none" w:pos="8500" w:val="left"/>
          <w:tab w:leader="none" w:pos="9960" w:val="left"/>
        </w:tabs>
        <w:rPr>
          <w:sz w:val="20"/>
          <w:szCs w:val="20"/>
          <w:color w:val="auto"/>
        </w:rPr>
      </w:pPr>
      <w:r>
        <w:rPr>
          <w:rFonts w:ascii="Arial" w:cs="Arial" w:eastAsia="Arial" w:hAnsi="Arial"/>
          <w:sz w:val="15"/>
          <w:szCs w:val="15"/>
          <w:b w:val="1"/>
          <w:bCs w:val="1"/>
          <w:color w:val="002B5F"/>
        </w:rPr>
        <w:t xml:space="preserve">2026 Proxy Statement  </w:t>
      </w:r>
      <w:r>
        <w:rPr>
          <w:rFonts w:ascii="Arial" w:cs="Arial" w:eastAsia="Arial" w:hAnsi="Arial"/>
          <w:sz w:val="20"/>
          <w:szCs w:val="20"/>
          <w:color w:val="002B5F"/>
        </w:rPr>
        <w:t xml:space="preserve">   </w:t>
      </w:r>
      <w:r>
        <w:rPr>
          <w:rFonts w:ascii="Arial" w:cs="Arial" w:eastAsia="Arial" w:hAnsi="Arial"/>
          <w:sz w:val="15"/>
          <w:szCs w:val="15"/>
          <w:b w:val="1"/>
          <w:bCs w:val="1"/>
          <w:color w:val="002B5F"/>
        </w:rPr>
        <w:t xml:space="preserve">   </w:t>
      </w:r>
      <w:r>
        <w:rPr>
          <w:sz w:val="20"/>
          <w:szCs w:val="20"/>
          <w:color w:val="auto"/>
        </w:rPr>
        <w:tab/>
      </w:r>
      <w:r>
        <w:rPr>
          <w:rFonts w:ascii="Arial" w:cs="Arial" w:eastAsia="Arial" w:hAnsi="Arial"/>
          <w:sz w:val="17"/>
          <w:szCs w:val="17"/>
          <w:color w:val="auto"/>
        </w:rPr>
        <w:t xml:space="preserve">    </w:t>
      </w:r>
      <w:r>
        <w:rPr>
          <w:sz w:val="20"/>
          <w:szCs w:val="20"/>
          <w:color w:val="auto"/>
        </w:rPr>
        <w:tab/>
      </w:r>
      <w:r>
        <w:rPr>
          <w:rFonts w:ascii="Arial" w:cs="Arial" w:eastAsia="Arial" w:hAnsi="Arial"/>
          <w:sz w:val="17"/>
          <w:szCs w:val="17"/>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268605</wp:posOffset>
            </wp:positionH>
            <wp:positionV relativeFrom="paragraph">
              <wp:posOffset>-128905</wp:posOffset>
            </wp:positionV>
            <wp:extent cx="762000" cy="971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62000" cy="97155"/>
                    </a:xfrm>
                    <a:prstGeom prst="rect">
                      <a:avLst/>
                    </a:prstGeom>
                    <a:noFill/>
                  </pic:spPr>
                </pic:pic>
              </a:graphicData>
            </a:graphic>
          </wp:anchor>
        </w:drawing>
      </w:r>
    </w:p>
    <w:p>
      <w:pPr>
        <w:sectPr>
          <w:pgSz w:w="11900" w:h="16838" w:orient="portrait"/>
          <w:cols w:equalWidth="0" w:num="1">
            <w:col w:w="10800"/>
          </w:cols>
          <w:pgMar w:left="320" w:top="464" w:right="779" w:bottom="144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7"/>
          <w:szCs w:val="17"/>
          <w:b w:val="1"/>
          <w:bCs w:val="1"/>
          <w:u w:val="single" w:color="auto"/>
          <w:color w:val="0000EE"/>
        </w:rPr>
        <w:t>Table of Contents</w:t>
      </w:r>
    </w:p>
    <w:p>
      <w:pPr>
        <w:spacing w:after="0" w:line="399" w:lineRule="exact"/>
        <w:rPr>
          <w:sz w:val="20"/>
          <w:szCs w:val="20"/>
          <w:color w:val="auto"/>
        </w:rPr>
      </w:pPr>
    </w:p>
    <w:tbl>
      <w:tblPr>
        <w:tblLayout w:type="fixed"/>
        <w:tblInd w:w="420" w:type="dxa"/>
        <w:tblCellMar>
          <w:top w:w="0" w:type="dxa"/>
          <w:left w:w="0" w:type="dxa"/>
          <w:bottom w:w="0" w:type="dxa"/>
          <w:right w:w="0" w:type="dxa"/>
        </w:tblCellMar>
      </w:tblPr>
      <w:tr>
        <w:trPr>
          <w:trHeight w:val="485"/>
        </w:trPr>
        <w:tc>
          <w:tcPr>
            <w:tcW w:w="120" w:type="dxa"/>
            <w:vAlign w:val="bottom"/>
            <w:shd w:val="clear" w:color="auto" w:fill="002B5F"/>
          </w:tcPr>
          <w:p>
            <w:pPr>
              <w:ind w:left="20"/>
              <w:spacing w:after="0"/>
              <w:rPr>
                <w:sz w:val="20"/>
                <w:szCs w:val="20"/>
                <w:color w:val="auto"/>
              </w:rPr>
            </w:pPr>
            <w:r>
              <w:rPr>
                <w:rFonts w:ascii="Arial" w:cs="Arial" w:eastAsia="Arial" w:hAnsi="Arial"/>
                <w:sz w:val="11"/>
                <w:szCs w:val="11"/>
                <w:color w:val="auto"/>
                <w:w w:val="72"/>
              </w:rPr>
              <w:t> </w:t>
            </w:r>
          </w:p>
        </w:tc>
        <w:tc>
          <w:tcPr>
            <w:tcW w:w="160" w:type="dxa"/>
            <w:vAlign w:val="bottom"/>
            <w:shd w:val="clear" w:color="auto" w:fill="002B5F"/>
          </w:tcPr>
          <w:p>
            <w:pPr>
              <w:ind w:left="60"/>
              <w:spacing w:after="0"/>
              <w:rPr>
                <w:sz w:val="20"/>
                <w:szCs w:val="20"/>
                <w:color w:val="auto"/>
              </w:rPr>
            </w:pPr>
            <w:r>
              <w:rPr>
                <w:rFonts w:ascii="Arial" w:cs="Arial" w:eastAsia="Arial" w:hAnsi="Arial"/>
                <w:sz w:val="11"/>
                <w:szCs w:val="11"/>
                <w:color w:val="auto"/>
                <w:w w:val="72"/>
              </w:rPr>
              <w:t> </w:t>
            </w:r>
          </w:p>
        </w:tc>
        <w:tc>
          <w:tcPr>
            <w:tcW w:w="160" w:type="dxa"/>
            <w:vAlign w:val="bottom"/>
            <w:shd w:val="clear" w:color="auto" w:fill="002B5F"/>
          </w:tcPr>
          <w:p>
            <w:pPr>
              <w:ind w:left="60"/>
              <w:spacing w:after="0"/>
              <w:rPr>
                <w:sz w:val="20"/>
                <w:szCs w:val="20"/>
                <w:color w:val="auto"/>
              </w:rPr>
            </w:pPr>
            <w:r>
              <w:rPr>
                <w:rFonts w:ascii="Arial" w:cs="Arial" w:eastAsia="Arial" w:hAnsi="Arial"/>
                <w:sz w:val="11"/>
                <w:szCs w:val="11"/>
                <w:color w:val="auto"/>
                <w:w w:val="72"/>
              </w:rPr>
              <w:t> </w:t>
            </w:r>
          </w:p>
        </w:tc>
        <w:tc>
          <w:tcPr>
            <w:tcW w:w="220" w:type="dxa"/>
            <w:vAlign w:val="bottom"/>
            <w:shd w:val="clear" w:color="auto" w:fill="002B5F"/>
          </w:tcPr>
          <w:p>
            <w:pPr>
              <w:ind w:left="40"/>
              <w:spacing w:after="0"/>
              <w:rPr>
                <w:sz w:val="20"/>
                <w:szCs w:val="20"/>
                <w:color w:val="auto"/>
              </w:rPr>
            </w:pPr>
            <w:r>
              <w:rPr>
                <w:rFonts w:ascii="Arial" w:cs="Arial" w:eastAsia="Arial" w:hAnsi="Arial"/>
                <w:sz w:val="30"/>
                <w:szCs w:val="30"/>
                <w:color w:val="000000"/>
                <w:vertAlign w:val="subscript"/>
              </w:rPr>
              <w:t xml:space="preserve"> </w:t>
            </w:r>
            <w:r>
              <w:rPr>
                <w:rFonts w:ascii="Arial" w:cs="Arial" w:eastAsia="Arial" w:hAnsi="Arial"/>
                <w:sz w:val="12"/>
                <w:szCs w:val="12"/>
                <w:color w:val="FFFFFF"/>
              </w:rPr>
              <w:t xml:space="preserve">  </w:t>
            </w:r>
          </w:p>
        </w:tc>
        <w:tc>
          <w:tcPr>
            <w:tcW w:w="1200" w:type="dxa"/>
            <w:vAlign w:val="bottom"/>
            <w:shd w:val="clear" w:color="auto" w:fill="002B5F"/>
          </w:tcPr>
          <w:p>
            <w:pPr>
              <w:ind w:left="80"/>
              <w:spacing w:after="0"/>
              <w:rPr>
                <w:sz w:val="20"/>
                <w:szCs w:val="20"/>
                <w:color w:val="auto"/>
              </w:rPr>
            </w:pPr>
            <w:r>
              <w:rPr>
                <w:rFonts w:ascii="Arial" w:cs="Arial" w:eastAsia="Arial" w:hAnsi="Arial"/>
                <w:sz w:val="12"/>
                <w:szCs w:val="12"/>
                <w:color w:val="FFFFFF"/>
              </w:rPr>
              <w:t> </w:t>
            </w:r>
          </w:p>
        </w:tc>
      </w:tr>
      <w:tr>
        <w:trPr>
          <w:trHeight w:val="158"/>
        </w:trPr>
        <w:tc>
          <w:tcPr>
            <w:tcW w:w="120" w:type="dxa"/>
            <w:vAlign w:val="bottom"/>
            <w:shd w:val="clear" w:color="auto" w:fill="002B5F"/>
          </w:tcPr>
          <w:p>
            <w:pPr>
              <w:spacing w:after="0"/>
              <w:rPr>
                <w:sz w:val="13"/>
                <w:szCs w:val="13"/>
                <w:color w:val="auto"/>
              </w:rPr>
            </w:pPr>
          </w:p>
        </w:tc>
        <w:tc>
          <w:tcPr>
            <w:tcW w:w="160" w:type="dxa"/>
            <w:vAlign w:val="bottom"/>
            <w:shd w:val="clear" w:color="auto" w:fill="002B5F"/>
          </w:tcPr>
          <w:p>
            <w:pPr>
              <w:spacing w:after="0"/>
              <w:rPr>
                <w:sz w:val="13"/>
                <w:szCs w:val="13"/>
                <w:color w:val="auto"/>
              </w:rPr>
            </w:pPr>
          </w:p>
        </w:tc>
        <w:tc>
          <w:tcPr>
            <w:tcW w:w="160" w:type="dxa"/>
            <w:vAlign w:val="bottom"/>
            <w:shd w:val="clear" w:color="auto" w:fill="002B5F"/>
          </w:tcPr>
          <w:p>
            <w:pPr>
              <w:spacing w:after="0"/>
              <w:rPr>
                <w:sz w:val="13"/>
                <w:szCs w:val="13"/>
                <w:color w:val="auto"/>
              </w:rPr>
            </w:pPr>
          </w:p>
        </w:tc>
        <w:tc>
          <w:tcPr>
            <w:tcW w:w="220" w:type="dxa"/>
            <w:vAlign w:val="bottom"/>
            <w:shd w:val="clear" w:color="auto" w:fill="002B5F"/>
          </w:tcPr>
          <w:p>
            <w:pPr>
              <w:spacing w:after="0"/>
              <w:rPr>
                <w:sz w:val="13"/>
                <w:szCs w:val="13"/>
                <w:color w:val="auto"/>
              </w:rPr>
            </w:pPr>
          </w:p>
        </w:tc>
        <w:tc>
          <w:tcPr>
            <w:tcW w:w="1200" w:type="dxa"/>
            <w:vAlign w:val="bottom"/>
            <w:shd w:val="clear" w:color="auto" w:fill="002B5F"/>
          </w:tcPr>
          <w:p>
            <w:pPr>
              <w:ind w:left="80"/>
              <w:spacing w:after="0"/>
              <w:rPr>
                <w:sz w:val="20"/>
                <w:szCs w:val="20"/>
                <w:color w:val="auto"/>
              </w:rPr>
            </w:pPr>
            <w:r>
              <w:rPr>
                <w:rFonts w:ascii="Arial" w:cs="Arial" w:eastAsia="Arial" w:hAnsi="Arial"/>
                <w:sz w:val="12"/>
                <w:szCs w:val="12"/>
                <w:color w:val="FFFFFF"/>
              </w:rPr>
              <w:t> </w:t>
            </w:r>
          </w:p>
        </w:tc>
      </w:tr>
      <w:tr>
        <w:trPr>
          <w:trHeight w:val="310"/>
        </w:trPr>
        <w:tc>
          <w:tcPr>
            <w:tcW w:w="120" w:type="dxa"/>
            <w:vAlign w:val="bottom"/>
            <w:shd w:val="clear" w:color="auto" w:fill="002B5F"/>
          </w:tcPr>
          <w:p>
            <w:pPr>
              <w:spacing w:after="0"/>
              <w:rPr>
                <w:sz w:val="24"/>
                <w:szCs w:val="24"/>
                <w:color w:val="auto"/>
              </w:rPr>
            </w:pPr>
          </w:p>
        </w:tc>
        <w:tc>
          <w:tcPr>
            <w:tcW w:w="160" w:type="dxa"/>
            <w:vAlign w:val="bottom"/>
            <w:shd w:val="clear" w:color="auto" w:fill="002B5F"/>
          </w:tcPr>
          <w:p>
            <w:pPr>
              <w:spacing w:after="0"/>
              <w:rPr>
                <w:sz w:val="24"/>
                <w:szCs w:val="24"/>
                <w:color w:val="auto"/>
              </w:rPr>
            </w:pPr>
          </w:p>
        </w:tc>
        <w:tc>
          <w:tcPr>
            <w:tcW w:w="160" w:type="dxa"/>
            <w:vAlign w:val="bottom"/>
            <w:shd w:val="clear" w:color="auto" w:fill="002B5F"/>
          </w:tcPr>
          <w:p>
            <w:pPr>
              <w:spacing w:after="0"/>
              <w:rPr>
                <w:sz w:val="24"/>
                <w:szCs w:val="24"/>
                <w:color w:val="auto"/>
              </w:rPr>
            </w:pPr>
          </w:p>
        </w:tc>
        <w:tc>
          <w:tcPr>
            <w:tcW w:w="220" w:type="dxa"/>
            <w:vAlign w:val="bottom"/>
            <w:shd w:val="clear" w:color="auto" w:fill="002B5F"/>
          </w:tcPr>
          <w:p>
            <w:pPr>
              <w:spacing w:after="0"/>
              <w:rPr>
                <w:sz w:val="24"/>
                <w:szCs w:val="24"/>
                <w:color w:val="auto"/>
              </w:rPr>
            </w:pPr>
          </w:p>
        </w:tc>
        <w:tc>
          <w:tcPr>
            <w:tcW w:w="1200" w:type="dxa"/>
            <w:vAlign w:val="bottom"/>
            <w:shd w:val="clear" w:color="auto" w:fill="002B5F"/>
          </w:tcPr>
          <w:p>
            <w:pPr>
              <w:ind w:left="80"/>
              <w:spacing w:after="0"/>
              <w:rPr>
                <w:sz w:val="20"/>
                <w:szCs w:val="20"/>
                <w:color w:val="auto"/>
              </w:rPr>
            </w:pPr>
            <w:r>
              <w:rPr>
                <w:rFonts w:ascii="Arial" w:cs="Arial" w:eastAsia="Arial" w:hAnsi="Arial"/>
                <w:sz w:val="12"/>
                <w:szCs w:val="12"/>
                <w:color w:val="FFFFFF"/>
              </w:rPr>
              <w:t> </w:t>
            </w:r>
          </w:p>
        </w:tc>
      </w:tr>
      <w:tr>
        <w:trPr>
          <w:trHeight w:val="128"/>
        </w:trPr>
        <w:tc>
          <w:tcPr>
            <w:tcW w:w="120" w:type="dxa"/>
            <w:vAlign w:val="bottom"/>
            <w:shd w:val="clear" w:color="auto" w:fill="002B5F"/>
          </w:tcPr>
          <w:p>
            <w:pPr>
              <w:spacing w:after="0"/>
              <w:rPr>
                <w:sz w:val="11"/>
                <w:szCs w:val="11"/>
                <w:color w:val="auto"/>
              </w:rPr>
            </w:pPr>
          </w:p>
        </w:tc>
        <w:tc>
          <w:tcPr>
            <w:tcW w:w="160" w:type="dxa"/>
            <w:vAlign w:val="bottom"/>
            <w:shd w:val="clear" w:color="auto" w:fill="002B5F"/>
          </w:tcPr>
          <w:p>
            <w:pPr>
              <w:spacing w:after="0"/>
              <w:rPr>
                <w:sz w:val="11"/>
                <w:szCs w:val="11"/>
                <w:color w:val="auto"/>
              </w:rPr>
            </w:pPr>
          </w:p>
        </w:tc>
        <w:tc>
          <w:tcPr>
            <w:tcW w:w="160" w:type="dxa"/>
            <w:vAlign w:val="bottom"/>
            <w:shd w:val="clear" w:color="auto" w:fill="002B5F"/>
          </w:tcPr>
          <w:p>
            <w:pPr>
              <w:spacing w:after="0"/>
              <w:rPr>
                <w:sz w:val="11"/>
                <w:szCs w:val="11"/>
                <w:color w:val="auto"/>
              </w:rPr>
            </w:pPr>
          </w:p>
        </w:tc>
        <w:tc>
          <w:tcPr>
            <w:tcW w:w="220" w:type="dxa"/>
            <w:vAlign w:val="bottom"/>
            <w:shd w:val="clear" w:color="auto" w:fill="002B5F"/>
          </w:tcPr>
          <w:p>
            <w:pPr>
              <w:spacing w:after="0"/>
              <w:rPr>
                <w:sz w:val="11"/>
                <w:szCs w:val="11"/>
                <w:color w:val="auto"/>
              </w:rPr>
            </w:pPr>
          </w:p>
        </w:tc>
        <w:tc>
          <w:tcPr>
            <w:tcW w:w="1200" w:type="dxa"/>
            <w:vAlign w:val="bottom"/>
            <w:shd w:val="clear" w:color="auto" w:fill="002B5F"/>
          </w:tcPr>
          <w:p>
            <w:pPr>
              <w:ind w:left="80"/>
              <w:spacing w:after="0" w:line="128" w:lineRule="exact"/>
              <w:rPr>
                <w:sz w:val="20"/>
                <w:szCs w:val="20"/>
                <w:color w:val="auto"/>
              </w:rPr>
            </w:pPr>
            <w:r>
              <w:rPr>
                <w:rFonts w:ascii="Arial" w:cs="Arial" w:eastAsia="Arial" w:hAnsi="Arial"/>
                <w:sz w:val="12"/>
                <w:szCs w:val="12"/>
                <w:color w:val="FFFFFF"/>
              </w:rPr>
              <w:t> </w:t>
            </w:r>
          </w:p>
        </w:tc>
      </w:tr>
      <w:tr>
        <w:trPr>
          <w:trHeight w:val="128"/>
        </w:trPr>
        <w:tc>
          <w:tcPr>
            <w:tcW w:w="120" w:type="dxa"/>
            <w:vAlign w:val="bottom"/>
            <w:shd w:val="clear" w:color="auto" w:fill="002B5F"/>
          </w:tcPr>
          <w:p>
            <w:pPr>
              <w:spacing w:after="0"/>
              <w:rPr>
                <w:sz w:val="11"/>
                <w:szCs w:val="11"/>
                <w:color w:val="auto"/>
              </w:rPr>
            </w:pPr>
          </w:p>
        </w:tc>
        <w:tc>
          <w:tcPr>
            <w:tcW w:w="160" w:type="dxa"/>
            <w:vAlign w:val="bottom"/>
            <w:shd w:val="clear" w:color="auto" w:fill="002B5F"/>
          </w:tcPr>
          <w:p>
            <w:pPr>
              <w:spacing w:after="0"/>
              <w:rPr>
                <w:sz w:val="11"/>
                <w:szCs w:val="11"/>
                <w:color w:val="auto"/>
              </w:rPr>
            </w:pPr>
          </w:p>
        </w:tc>
        <w:tc>
          <w:tcPr>
            <w:tcW w:w="160" w:type="dxa"/>
            <w:vAlign w:val="bottom"/>
            <w:shd w:val="clear" w:color="auto" w:fill="002B5F"/>
          </w:tcPr>
          <w:p>
            <w:pPr>
              <w:spacing w:after="0"/>
              <w:rPr>
                <w:sz w:val="11"/>
                <w:szCs w:val="11"/>
                <w:color w:val="auto"/>
              </w:rPr>
            </w:pPr>
          </w:p>
        </w:tc>
        <w:tc>
          <w:tcPr>
            <w:tcW w:w="220" w:type="dxa"/>
            <w:vAlign w:val="bottom"/>
            <w:shd w:val="clear" w:color="auto" w:fill="002B5F"/>
          </w:tcPr>
          <w:p>
            <w:pPr>
              <w:spacing w:after="0"/>
              <w:rPr>
                <w:sz w:val="11"/>
                <w:szCs w:val="11"/>
                <w:color w:val="auto"/>
              </w:rPr>
            </w:pPr>
          </w:p>
        </w:tc>
        <w:tc>
          <w:tcPr>
            <w:tcW w:w="1200" w:type="dxa"/>
            <w:vAlign w:val="bottom"/>
            <w:shd w:val="clear" w:color="auto" w:fill="002B5F"/>
          </w:tcPr>
          <w:p>
            <w:pPr>
              <w:ind w:left="80"/>
              <w:spacing w:after="0" w:line="128" w:lineRule="exact"/>
              <w:rPr>
                <w:sz w:val="20"/>
                <w:szCs w:val="20"/>
                <w:color w:val="auto"/>
              </w:rPr>
            </w:pPr>
            <w:r>
              <w:rPr>
                <w:rFonts w:ascii="Arial" w:cs="Arial" w:eastAsia="Arial" w:hAnsi="Arial"/>
                <w:sz w:val="12"/>
                <w:szCs w:val="12"/>
                <w:color w:val="FFFFFF"/>
              </w:rPr>
              <w:t> </w:t>
            </w:r>
          </w:p>
        </w:tc>
      </w:tr>
      <w:tr>
        <w:trPr>
          <w:trHeight w:val="158"/>
        </w:trPr>
        <w:tc>
          <w:tcPr>
            <w:tcW w:w="120" w:type="dxa"/>
            <w:vAlign w:val="bottom"/>
            <w:shd w:val="clear" w:color="auto" w:fill="002B5F"/>
          </w:tcPr>
          <w:p>
            <w:pPr>
              <w:spacing w:after="0"/>
              <w:rPr>
                <w:sz w:val="13"/>
                <w:szCs w:val="13"/>
                <w:color w:val="auto"/>
              </w:rPr>
            </w:pPr>
          </w:p>
        </w:tc>
        <w:tc>
          <w:tcPr>
            <w:tcW w:w="160" w:type="dxa"/>
            <w:vAlign w:val="bottom"/>
            <w:shd w:val="clear" w:color="auto" w:fill="002B5F"/>
          </w:tcPr>
          <w:p>
            <w:pPr>
              <w:spacing w:after="0"/>
              <w:rPr>
                <w:sz w:val="13"/>
                <w:szCs w:val="13"/>
                <w:color w:val="auto"/>
              </w:rPr>
            </w:pPr>
          </w:p>
        </w:tc>
        <w:tc>
          <w:tcPr>
            <w:tcW w:w="160" w:type="dxa"/>
            <w:vAlign w:val="bottom"/>
            <w:shd w:val="clear" w:color="auto" w:fill="002B5F"/>
          </w:tcPr>
          <w:p>
            <w:pPr>
              <w:spacing w:after="0"/>
              <w:rPr>
                <w:sz w:val="13"/>
                <w:szCs w:val="13"/>
                <w:color w:val="auto"/>
              </w:rPr>
            </w:pPr>
          </w:p>
        </w:tc>
        <w:tc>
          <w:tcPr>
            <w:tcW w:w="220" w:type="dxa"/>
            <w:vAlign w:val="bottom"/>
            <w:shd w:val="clear" w:color="auto" w:fill="002B5F"/>
          </w:tcPr>
          <w:p>
            <w:pPr>
              <w:spacing w:after="0"/>
              <w:rPr>
                <w:sz w:val="13"/>
                <w:szCs w:val="13"/>
                <w:color w:val="auto"/>
              </w:rPr>
            </w:pPr>
          </w:p>
        </w:tc>
        <w:tc>
          <w:tcPr>
            <w:tcW w:w="1200" w:type="dxa"/>
            <w:vAlign w:val="bottom"/>
            <w:shd w:val="clear" w:color="auto" w:fill="002B5F"/>
          </w:tcPr>
          <w:p>
            <w:pPr>
              <w:ind w:left="80"/>
              <w:spacing w:after="0"/>
              <w:rPr>
                <w:sz w:val="20"/>
                <w:szCs w:val="20"/>
                <w:color w:val="auto"/>
              </w:rPr>
            </w:pPr>
            <w:r>
              <w:rPr>
                <w:rFonts w:ascii="Arial" w:cs="Arial" w:eastAsia="Arial" w:hAnsi="Arial"/>
                <w:sz w:val="12"/>
                <w:szCs w:val="12"/>
                <w:color w:val="FFFFFF"/>
              </w:rPr>
              <w:t> </w:t>
            </w:r>
          </w:p>
        </w:tc>
      </w:tr>
      <w:tr>
        <w:trPr>
          <w:trHeight w:val="376"/>
        </w:trPr>
        <w:tc>
          <w:tcPr>
            <w:tcW w:w="120" w:type="dxa"/>
            <w:vAlign w:val="bottom"/>
            <w:shd w:val="clear" w:color="auto" w:fill="002B5F"/>
          </w:tcPr>
          <w:p>
            <w:pPr>
              <w:spacing w:after="0"/>
              <w:rPr>
                <w:sz w:val="24"/>
                <w:szCs w:val="24"/>
                <w:color w:val="auto"/>
              </w:rPr>
            </w:pPr>
          </w:p>
        </w:tc>
        <w:tc>
          <w:tcPr>
            <w:tcW w:w="160" w:type="dxa"/>
            <w:vAlign w:val="bottom"/>
            <w:shd w:val="clear" w:color="auto" w:fill="002B5F"/>
          </w:tcPr>
          <w:p>
            <w:pPr>
              <w:spacing w:after="0"/>
              <w:rPr>
                <w:sz w:val="24"/>
                <w:szCs w:val="24"/>
                <w:color w:val="auto"/>
              </w:rPr>
            </w:pPr>
          </w:p>
        </w:tc>
        <w:tc>
          <w:tcPr>
            <w:tcW w:w="160" w:type="dxa"/>
            <w:vAlign w:val="bottom"/>
            <w:shd w:val="clear" w:color="auto" w:fill="002B5F"/>
          </w:tcPr>
          <w:p>
            <w:pPr>
              <w:spacing w:after="0"/>
              <w:rPr>
                <w:sz w:val="24"/>
                <w:szCs w:val="24"/>
                <w:color w:val="auto"/>
              </w:rPr>
            </w:pPr>
          </w:p>
        </w:tc>
        <w:tc>
          <w:tcPr>
            <w:tcW w:w="220" w:type="dxa"/>
            <w:vAlign w:val="bottom"/>
            <w:shd w:val="clear" w:color="auto" w:fill="002B5F"/>
          </w:tcPr>
          <w:p>
            <w:pPr>
              <w:spacing w:after="0"/>
              <w:rPr>
                <w:sz w:val="24"/>
                <w:szCs w:val="24"/>
                <w:color w:val="auto"/>
              </w:rPr>
            </w:pPr>
          </w:p>
        </w:tc>
        <w:tc>
          <w:tcPr>
            <w:tcW w:w="1200" w:type="dxa"/>
            <w:vAlign w:val="bottom"/>
            <w:shd w:val="clear" w:color="auto" w:fill="002B5F"/>
          </w:tcPr>
          <w:p>
            <w:pPr>
              <w:ind w:left="80"/>
              <w:spacing w:after="0"/>
              <w:rPr>
                <w:sz w:val="20"/>
                <w:szCs w:val="20"/>
                <w:color w:val="auto"/>
              </w:rPr>
            </w:pPr>
            <w:r>
              <w:rPr>
                <w:rFonts w:ascii="Arial" w:cs="Arial" w:eastAsia="Arial" w:hAnsi="Arial"/>
                <w:sz w:val="12"/>
                <w:szCs w:val="12"/>
                <w:b w:val="1"/>
                <w:bCs w:val="1"/>
                <w:color w:val="FFFFFF"/>
              </w:rPr>
              <w:t> </w:t>
            </w:r>
          </w:p>
        </w:tc>
      </w:tr>
      <w:tr>
        <w:trPr>
          <w:trHeight w:val="334"/>
        </w:trPr>
        <w:tc>
          <w:tcPr>
            <w:tcW w:w="120" w:type="dxa"/>
            <w:vAlign w:val="bottom"/>
            <w:shd w:val="clear" w:color="auto" w:fill="002B5F"/>
          </w:tcPr>
          <w:p>
            <w:pPr>
              <w:spacing w:after="0"/>
              <w:rPr>
                <w:sz w:val="24"/>
                <w:szCs w:val="24"/>
                <w:color w:val="auto"/>
              </w:rPr>
            </w:pPr>
          </w:p>
        </w:tc>
        <w:tc>
          <w:tcPr>
            <w:tcW w:w="160" w:type="dxa"/>
            <w:vAlign w:val="bottom"/>
            <w:shd w:val="clear" w:color="auto" w:fill="002B5F"/>
          </w:tcPr>
          <w:p>
            <w:pPr>
              <w:spacing w:after="0"/>
              <w:rPr>
                <w:sz w:val="24"/>
                <w:szCs w:val="24"/>
                <w:color w:val="auto"/>
              </w:rPr>
            </w:pPr>
          </w:p>
        </w:tc>
        <w:tc>
          <w:tcPr>
            <w:tcW w:w="160" w:type="dxa"/>
            <w:vAlign w:val="bottom"/>
            <w:shd w:val="clear" w:color="auto" w:fill="002B5F"/>
          </w:tcPr>
          <w:p>
            <w:pPr>
              <w:spacing w:after="0"/>
              <w:rPr>
                <w:sz w:val="24"/>
                <w:szCs w:val="24"/>
                <w:color w:val="auto"/>
              </w:rPr>
            </w:pPr>
          </w:p>
        </w:tc>
        <w:tc>
          <w:tcPr>
            <w:tcW w:w="220" w:type="dxa"/>
            <w:vAlign w:val="bottom"/>
            <w:shd w:val="clear" w:color="auto" w:fill="002B5F"/>
          </w:tcPr>
          <w:p>
            <w:pPr>
              <w:spacing w:after="0"/>
              <w:rPr>
                <w:sz w:val="24"/>
                <w:szCs w:val="24"/>
                <w:color w:val="auto"/>
              </w:rPr>
            </w:pPr>
          </w:p>
        </w:tc>
        <w:tc>
          <w:tcPr>
            <w:tcW w:w="1200" w:type="dxa"/>
            <w:vAlign w:val="bottom"/>
            <w:shd w:val="clear" w:color="auto" w:fill="002B5F"/>
          </w:tcPr>
          <w:p>
            <w:pPr>
              <w:ind w:left="80"/>
              <w:spacing w:after="0"/>
              <w:rPr>
                <w:sz w:val="20"/>
                <w:szCs w:val="20"/>
                <w:color w:val="auto"/>
              </w:rPr>
            </w:pPr>
            <w:r>
              <w:rPr>
                <w:rFonts w:ascii="Arial" w:cs="Arial" w:eastAsia="Arial" w:hAnsi="Arial"/>
                <w:sz w:val="12"/>
                <w:szCs w:val="12"/>
                <w:color w:val="FFFFFF"/>
              </w:rPr>
              <w:t> </w:t>
            </w:r>
          </w:p>
        </w:tc>
      </w:tr>
      <w:tr>
        <w:trPr>
          <w:trHeight w:val="128"/>
        </w:trPr>
        <w:tc>
          <w:tcPr>
            <w:tcW w:w="120" w:type="dxa"/>
            <w:vAlign w:val="bottom"/>
            <w:shd w:val="clear" w:color="auto" w:fill="002B5F"/>
          </w:tcPr>
          <w:p>
            <w:pPr>
              <w:spacing w:after="0"/>
              <w:rPr>
                <w:sz w:val="11"/>
                <w:szCs w:val="11"/>
                <w:color w:val="auto"/>
              </w:rPr>
            </w:pPr>
          </w:p>
        </w:tc>
        <w:tc>
          <w:tcPr>
            <w:tcW w:w="160" w:type="dxa"/>
            <w:vAlign w:val="bottom"/>
            <w:shd w:val="clear" w:color="auto" w:fill="002B5F"/>
          </w:tcPr>
          <w:p>
            <w:pPr>
              <w:spacing w:after="0"/>
              <w:rPr>
                <w:sz w:val="11"/>
                <w:szCs w:val="11"/>
                <w:color w:val="auto"/>
              </w:rPr>
            </w:pPr>
          </w:p>
        </w:tc>
        <w:tc>
          <w:tcPr>
            <w:tcW w:w="160" w:type="dxa"/>
            <w:vAlign w:val="bottom"/>
            <w:shd w:val="clear" w:color="auto" w:fill="002B5F"/>
          </w:tcPr>
          <w:p>
            <w:pPr>
              <w:spacing w:after="0"/>
              <w:rPr>
                <w:sz w:val="11"/>
                <w:szCs w:val="11"/>
                <w:color w:val="auto"/>
              </w:rPr>
            </w:pPr>
          </w:p>
        </w:tc>
        <w:tc>
          <w:tcPr>
            <w:tcW w:w="220" w:type="dxa"/>
            <w:vAlign w:val="bottom"/>
            <w:shd w:val="clear" w:color="auto" w:fill="002B5F"/>
          </w:tcPr>
          <w:p>
            <w:pPr>
              <w:spacing w:after="0"/>
              <w:rPr>
                <w:sz w:val="11"/>
                <w:szCs w:val="11"/>
                <w:color w:val="auto"/>
              </w:rPr>
            </w:pPr>
          </w:p>
        </w:tc>
        <w:tc>
          <w:tcPr>
            <w:tcW w:w="1200" w:type="dxa"/>
            <w:vAlign w:val="bottom"/>
            <w:shd w:val="clear" w:color="auto" w:fill="002B5F"/>
          </w:tcPr>
          <w:p>
            <w:pPr>
              <w:ind w:left="80"/>
              <w:spacing w:after="0" w:line="128" w:lineRule="exact"/>
              <w:rPr>
                <w:sz w:val="20"/>
                <w:szCs w:val="20"/>
                <w:color w:val="auto"/>
              </w:rPr>
            </w:pPr>
            <w:r>
              <w:rPr>
                <w:rFonts w:ascii="Arial" w:cs="Arial" w:eastAsia="Arial" w:hAnsi="Arial"/>
                <w:sz w:val="12"/>
                <w:szCs w:val="12"/>
                <w:color w:val="FFFFFF"/>
              </w:rPr>
              <w:t> </w:t>
            </w:r>
          </w:p>
        </w:tc>
      </w:tr>
      <w:tr>
        <w:trPr>
          <w:trHeight w:val="128"/>
        </w:trPr>
        <w:tc>
          <w:tcPr>
            <w:tcW w:w="120" w:type="dxa"/>
            <w:vAlign w:val="bottom"/>
            <w:shd w:val="clear" w:color="auto" w:fill="002B5F"/>
          </w:tcPr>
          <w:p>
            <w:pPr>
              <w:spacing w:after="0"/>
              <w:rPr>
                <w:sz w:val="11"/>
                <w:szCs w:val="11"/>
                <w:color w:val="auto"/>
              </w:rPr>
            </w:pPr>
          </w:p>
        </w:tc>
        <w:tc>
          <w:tcPr>
            <w:tcW w:w="160" w:type="dxa"/>
            <w:vAlign w:val="bottom"/>
            <w:shd w:val="clear" w:color="auto" w:fill="002B5F"/>
          </w:tcPr>
          <w:p>
            <w:pPr>
              <w:spacing w:after="0"/>
              <w:rPr>
                <w:sz w:val="11"/>
                <w:szCs w:val="11"/>
                <w:color w:val="auto"/>
              </w:rPr>
            </w:pPr>
          </w:p>
        </w:tc>
        <w:tc>
          <w:tcPr>
            <w:tcW w:w="160" w:type="dxa"/>
            <w:vAlign w:val="bottom"/>
            <w:shd w:val="clear" w:color="auto" w:fill="002B5F"/>
          </w:tcPr>
          <w:p>
            <w:pPr>
              <w:spacing w:after="0"/>
              <w:rPr>
                <w:sz w:val="11"/>
                <w:szCs w:val="11"/>
                <w:color w:val="auto"/>
              </w:rPr>
            </w:pPr>
          </w:p>
        </w:tc>
        <w:tc>
          <w:tcPr>
            <w:tcW w:w="220" w:type="dxa"/>
            <w:vAlign w:val="bottom"/>
            <w:shd w:val="clear" w:color="auto" w:fill="002B5F"/>
          </w:tcPr>
          <w:p>
            <w:pPr>
              <w:spacing w:after="0"/>
              <w:rPr>
                <w:sz w:val="11"/>
                <w:szCs w:val="11"/>
                <w:color w:val="auto"/>
              </w:rPr>
            </w:pPr>
          </w:p>
        </w:tc>
        <w:tc>
          <w:tcPr>
            <w:tcW w:w="1200" w:type="dxa"/>
            <w:vAlign w:val="bottom"/>
            <w:shd w:val="clear" w:color="auto" w:fill="002B5F"/>
          </w:tcPr>
          <w:p>
            <w:pPr>
              <w:ind w:left="80"/>
              <w:spacing w:after="0" w:line="128" w:lineRule="exact"/>
              <w:rPr>
                <w:sz w:val="20"/>
                <w:szCs w:val="20"/>
                <w:color w:val="auto"/>
              </w:rPr>
            </w:pPr>
            <w:r>
              <w:rPr>
                <w:rFonts w:ascii="Arial" w:cs="Arial" w:eastAsia="Arial" w:hAnsi="Arial"/>
                <w:sz w:val="12"/>
                <w:szCs w:val="12"/>
                <w:color w:val="FFFFFF"/>
              </w:rPr>
              <w:t> </w:t>
            </w:r>
          </w:p>
        </w:tc>
      </w:tr>
      <w:tr>
        <w:trPr>
          <w:trHeight w:val="158"/>
        </w:trPr>
        <w:tc>
          <w:tcPr>
            <w:tcW w:w="120" w:type="dxa"/>
            <w:vAlign w:val="bottom"/>
            <w:shd w:val="clear" w:color="auto" w:fill="002B5F"/>
          </w:tcPr>
          <w:p>
            <w:pPr>
              <w:spacing w:after="0"/>
              <w:rPr>
                <w:sz w:val="13"/>
                <w:szCs w:val="13"/>
                <w:color w:val="auto"/>
              </w:rPr>
            </w:pPr>
          </w:p>
        </w:tc>
        <w:tc>
          <w:tcPr>
            <w:tcW w:w="160" w:type="dxa"/>
            <w:vAlign w:val="bottom"/>
            <w:shd w:val="clear" w:color="auto" w:fill="002B5F"/>
          </w:tcPr>
          <w:p>
            <w:pPr>
              <w:spacing w:after="0"/>
              <w:rPr>
                <w:sz w:val="13"/>
                <w:szCs w:val="13"/>
                <w:color w:val="auto"/>
              </w:rPr>
            </w:pPr>
          </w:p>
        </w:tc>
        <w:tc>
          <w:tcPr>
            <w:tcW w:w="160" w:type="dxa"/>
            <w:vAlign w:val="bottom"/>
            <w:shd w:val="clear" w:color="auto" w:fill="002B5F"/>
          </w:tcPr>
          <w:p>
            <w:pPr>
              <w:spacing w:after="0"/>
              <w:rPr>
                <w:sz w:val="13"/>
                <w:szCs w:val="13"/>
                <w:color w:val="auto"/>
              </w:rPr>
            </w:pPr>
          </w:p>
        </w:tc>
        <w:tc>
          <w:tcPr>
            <w:tcW w:w="220" w:type="dxa"/>
            <w:vAlign w:val="bottom"/>
            <w:shd w:val="clear" w:color="auto" w:fill="002B5F"/>
          </w:tcPr>
          <w:p>
            <w:pPr>
              <w:spacing w:after="0"/>
              <w:rPr>
                <w:sz w:val="13"/>
                <w:szCs w:val="13"/>
                <w:color w:val="auto"/>
              </w:rPr>
            </w:pPr>
          </w:p>
        </w:tc>
        <w:tc>
          <w:tcPr>
            <w:tcW w:w="1200" w:type="dxa"/>
            <w:vAlign w:val="bottom"/>
            <w:shd w:val="clear" w:color="auto" w:fill="002B5F"/>
          </w:tcPr>
          <w:p>
            <w:pPr>
              <w:ind w:left="80"/>
              <w:spacing w:after="0"/>
              <w:rPr>
                <w:sz w:val="20"/>
                <w:szCs w:val="20"/>
                <w:color w:val="auto"/>
              </w:rPr>
            </w:pPr>
            <w:r>
              <w:rPr>
                <w:rFonts w:ascii="Arial" w:cs="Arial" w:eastAsia="Arial" w:hAnsi="Arial"/>
                <w:sz w:val="12"/>
                <w:szCs w:val="12"/>
                <w:color w:val="FFFFFF"/>
              </w:rPr>
              <w:t> </w:t>
            </w:r>
          </w:p>
        </w:tc>
      </w:tr>
      <w:tr>
        <w:trPr>
          <w:trHeight w:val="340"/>
        </w:trPr>
        <w:tc>
          <w:tcPr>
            <w:tcW w:w="120" w:type="dxa"/>
            <w:vAlign w:val="bottom"/>
            <w:shd w:val="clear" w:color="auto" w:fill="002B5F"/>
          </w:tcPr>
          <w:p>
            <w:pPr>
              <w:spacing w:after="0"/>
              <w:rPr>
                <w:sz w:val="24"/>
                <w:szCs w:val="24"/>
                <w:color w:val="auto"/>
              </w:rPr>
            </w:pPr>
          </w:p>
        </w:tc>
        <w:tc>
          <w:tcPr>
            <w:tcW w:w="160" w:type="dxa"/>
            <w:vAlign w:val="bottom"/>
            <w:shd w:val="clear" w:color="auto" w:fill="002B5F"/>
          </w:tcPr>
          <w:p>
            <w:pPr>
              <w:spacing w:after="0"/>
              <w:rPr>
                <w:sz w:val="24"/>
                <w:szCs w:val="24"/>
                <w:color w:val="auto"/>
              </w:rPr>
            </w:pPr>
          </w:p>
        </w:tc>
        <w:tc>
          <w:tcPr>
            <w:tcW w:w="160" w:type="dxa"/>
            <w:vAlign w:val="bottom"/>
            <w:shd w:val="clear" w:color="auto" w:fill="002B5F"/>
          </w:tcPr>
          <w:p>
            <w:pPr>
              <w:spacing w:after="0"/>
              <w:rPr>
                <w:sz w:val="24"/>
                <w:szCs w:val="24"/>
                <w:color w:val="auto"/>
              </w:rPr>
            </w:pPr>
          </w:p>
        </w:tc>
        <w:tc>
          <w:tcPr>
            <w:tcW w:w="220" w:type="dxa"/>
            <w:vAlign w:val="bottom"/>
            <w:shd w:val="clear" w:color="auto" w:fill="002B5F"/>
          </w:tcPr>
          <w:p>
            <w:pPr>
              <w:spacing w:after="0"/>
              <w:rPr>
                <w:sz w:val="24"/>
                <w:szCs w:val="24"/>
                <w:color w:val="auto"/>
              </w:rPr>
            </w:pPr>
          </w:p>
        </w:tc>
        <w:tc>
          <w:tcPr>
            <w:tcW w:w="1200" w:type="dxa"/>
            <w:vAlign w:val="bottom"/>
            <w:shd w:val="clear" w:color="auto" w:fill="002B5F"/>
          </w:tcPr>
          <w:p>
            <w:pPr>
              <w:ind w:left="80"/>
              <w:spacing w:after="0"/>
              <w:rPr>
                <w:sz w:val="20"/>
                <w:szCs w:val="20"/>
                <w:color w:val="auto"/>
              </w:rPr>
            </w:pPr>
            <w:r>
              <w:rPr>
                <w:rFonts w:ascii="Arial" w:cs="Arial" w:eastAsia="Arial" w:hAnsi="Arial"/>
                <w:sz w:val="12"/>
                <w:szCs w:val="12"/>
                <w:color w:val="FFFFFF"/>
              </w:rPr>
              <w:t> </w:t>
            </w:r>
          </w:p>
        </w:tc>
      </w:tr>
      <w:tr>
        <w:trPr>
          <w:trHeight w:val="158"/>
        </w:trPr>
        <w:tc>
          <w:tcPr>
            <w:tcW w:w="120" w:type="dxa"/>
            <w:vAlign w:val="bottom"/>
            <w:shd w:val="clear" w:color="auto" w:fill="002B5F"/>
          </w:tcPr>
          <w:p>
            <w:pPr>
              <w:spacing w:after="0"/>
              <w:rPr>
                <w:sz w:val="13"/>
                <w:szCs w:val="13"/>
                <w:color w:val="auto"/>
              </w:rPr>
            </w:pPr>
          </w:p>
        </w:tc>
        <w:tc>
          <w:tcPr>
            <w:tcW w:w="160" w:type="dxa"/>
            <w:vAlign w:val="bottom"/>
            <w:shd w:val="clear" w:color="auto" w:fill="002B5F"/>
          </w:tcPr>
          <w:p>
            <w:pPr>
              <w:spacing w:after="0"/>
              <w:rPr>
                <w:sz w:val="13"/>
                <w:szCs w:val="13"/>
                <w:color w:val="auto"/>
              </w:rPr>
            </w:pPr>
          </w:p>
        </w:tc>
        <w:tc>
          <w:tcPr>
            <w:tcW w:w="160" w:type="dxa"/>
            <w:vAlign w:val="bottom"/>
            <w:shd w:val="clear" w:color="auto" w:fill="002B5F"/>
          </w:tcPr>
          <w:p>
            <w:pPr>
              <w:spacing w:after="0"/>
              <w:rPr>
                <w:sz w:val="13"/>
                <w:szCs w:val="13"/>
                <w:color w:val="auto"/>
              </w:rPr>
            </w:pPr>
          </w:p>
        </w:tc>
        <w:tc>
          <w:tcPr>
            <w:tcW w:w="220" w:type="dxa"/>
            <w:vAlign w:val="bottom"/>
            <w:shd w:val="clear" w:color="auto" w:fill="002B5F"/>
          </w:tcPr>
          <w:p>
            <w:pPr>
              <w:spacing w:after="0"/>
              <w:rPr>
                <w:sz w:val="13"/>
                <w:szCs w:val="13"/>
                <w:color w:val="auto"/>
              </w:rPr>
            </w:pPr>
          </w:p>
        </w:tc>
        <w:tc>
          <w:tcPr>
            <w:tcW w:w="1200" w:type="dxa"/>
            <w:vAlign w:val="bottom"/>
            <w:shd w:val="clear" w:color="auto" w:fill="002B5F"/>
          </w:tcPr>
          <w:p>
            <w:pPr>
              <w:ind w:left="80"/>
              <w:spacing w:after="0"/>
              <w:rPr>
                <w:sz w:val="20"/>
                <w:szCs w:val="20"/>
                <w:color w:val="auto"/>
              </w:rPr>
            </w:pPr>
            <w:r>
              <w:rPr>
                <w:rFonts w:ascii="Arial" w:cs="Arial" w:eastAsia="Arial" w:hAnsi="Arial"/>
                <w:sz w:val="12"/>
                <w:szCs w:val="12"/>
                <w:color w:val="FFFFFF"/>
              </w:rPr>
              <w:t> </w:t>
            </w:r>
          </w:p>
        </w:tc>
      </w:tr>
      <w:tr>
        <w:trPr>
          <w:trHeight w:val="340"/>
        </w:trPr>
        <w:tc>
          <w:tcPr>
            <w:tcW w:w="120" w:type="dxa"/>
            <w:vAlign w:val="bottom"/>
            <w:shd w:val="clear" w:color="auto" w:fill="002B5F"/>
          </w:tcPr>
          <w:p>
            <w:pPr>
              <w:spacing w:after="0"/>
              <w:rPr>
                <w:sz w:val="24"/>
                <w:szCs w:val="24"/>
                <w:color w:val="auto"/>
              </w:rPr>
            </w:pPr>
          </w:p>
        </w:tc>
        <w:tc>
          <w:tcPr>
            <w:tcW w:w="160" w:type="dxa"/>
            <w:vAlign w:val="bottom"/>
            <w:shd w:val="clear" w:color="auto" w:fill="002B5F"/>
          </w:tcPr>
          <w:p>
            <w:pPr>
              <w:spacing w:after="0"/>
              <w:rPr>
                <w:sz w:val="24"/>
                <w:szCs w:val="24"/>
                <w:color w:val="auto"/>
              </w:rPr>
            </w:pPr>
          </w:p>
        </w:tc>
        <w:tc>
          <w:tcPr>
            <w:tcW w:w="160" w:type="dxa"/>
            <w:vAlign w:val="bottom"/>
            <w:shd w:val="clear" w:color="auto" w:fill="002B5F"/>
          </w:tcPr>
          <w:p>
            <w:pPr>
              <w:spacing w:after="0"/>
              <w:rPr>
                <w:sz w:val="24"/>
                <w:szCs w:val="24"/>
                <w:color w:val="auto"/>
              </w:rPr>
            </w:pPr>
          </w:p>
        </w:tc>
        <w:tc>
          <w:tcPr>
            <w:tcW w:w="220" w:type="dxa"/>
            <w:vAlign w:val="bottom"/>
            <w:shd w:val="clear" w:color="auto" w:fill="002B5F"/>
          </w:tcPr>
          <w:p>
            <w:pPr>
              <w:spacing w:after="0"/>
              <w:rPr>
                <w:sz w:val="24"/>
                <w:szCs w:val="24"/>
                <w:color w:val="auto"/>
              </w:rPr>
            </w:pPr>
          </w:p>
        </w:tc>
        <w:tc>
          <w:tcPr>
            <w:tcW w:w="1200" w:type="dxa"/>
            <w:vAlign w:val="bottom"/>
            <w:shd w:val="clear" w:color="auto" w:fill="002B5F"/>
          </w:tcPr>
          <w:p>
            <w:pPr>
              <w:ind w:left="80"/>
              <w:spacing w:after="0"/>
              <w:rPr>
                <w:sz w:val="20"/>
                <w:szCs w:val="20"/>
                <w:color w:val="auto"/>
              </w:rPr>
            </w:pPr>
            <w:r>
              <w:rPr>
                <w:rFonts w:ascii="Arial" w:cs="Arial" w:eastAsia="Arial" w:hAnsi="Arial"/>
                <w:sz w:val="12"/>
                <w:szCs w:val="12"/>
                <w:color w:val="FFFFFF"/>
              </w:rPr>
              <w:t> </w:t>
            </w:r>
          </w:p>
        </w:tc>
      </w:tr>
      <w:tr>
        <w:trPr>
          <w:trHeight w:val="128"/>
        </w:trPr>
        <w:tc>
          <w:tcPr>
            <w:tcW w:w="120" w:type="dxa"/>
            <w:vAlign w:val="bottom"/>
            <w:shd w:val="clear" w:color="auto" w:fill="002B5F"/>
          </w:tcPr>
          <w:p>
            <w:pPr>
              <w:spacing w:after="0"/>
              <w:rPr>
                <w:sz w:val="11"/>
                <w:szCs w:val="11"/>
                <w:color w:val="auto"/>
              </w:rPr>
            </w:pPr>
          </w:p>
        </w:tc>
        <w:tc>
          <w:tcPr>
            <w:tcW w:w="160" w:type="dxa"/>
            <w:vAlign w:val="bottom"/>
            <w:shd w:val="clear" w:color="auto" w:fill="002B5F"/>
          </w:tcPr>
          <w:p>
            <w:pPr>
              <w:spacing w:after="0"/>
              <w:rPr>
                <w:sz w:val="11"/>
                <w:szCs w:val="11"/>
                <w:color w:val="auto"/>
              </w:rPr>
            </w:pPr>
          </w:p>
        </w:tc>
        <w:tc>
          <w:tcPr>
            <w:tcW w:w="160" w:type="dxa"/>
            <w:vAlign w:val="bottom"/>
            <w:shd w:val="clear" w:color="auto" w:fill="002B5F"/>
          </w:tcPr>
          <w:p>
            <w:pPr>
              <w:spacing w:after="0"/>
              <w:rPr>
                <w:sz w:val="11"/>
                <w:szCs w:val="11"/>
                <w:color w:val="auto"/>
              </w:rPr>
            </w:pPr>
          </w:p>
        </w:tc>
        <w:tc>
          <w:tcPr>
            <w:tcW w:w="220" w:type="dxa"/>
            <w:vAlign w:val="bottom"/>
            <w:shd w:val="clear" w:color="auto" w:fill="002B5F"/>
          </w:tcPr>
          <w:p>
            <w:pPr>
              <w:spacing w:after="0"/>
              <w:rPr>
                <w:sz w:val="11"/>
                <w:szCs w:val="11"/>
                <w:color w:val="auto"/>
              </w:rPr>
            </w:pPr>
          </w:p>
        </w:tc>
        <w:tc>
          <w:tcPr>
            <w:tcW w:w="1200" w:type="dxa"/>
            <w:vAlign w:val="bottom"/>
            <w:shd w:val="clear" w:color="auto" w:fill="002B5F"/>
          </w:tcPr>
          <w:p>
            <w:pPr>
              <w:ind w:left="80"/>
              <w:spacing w:after="0" w:line="128" w:lineRule="exact"/>
              <w:rPr>
                <w:sz w:val="20"/>
                <w:szCs w:val="20"/>
                <w:color w:val="auto"/>
              </w:rPr>
            </w:pPr>
            <w:r>
              <w:rPr>
                <w:rFonts w:ascii="Arial" w:cs="Arial" w:eastAsia="Arial" w:hAnsi="Arial"/>
                <w:sz w:val="12"/>
                <w:szCs w:val="12"/>
                <w:color w:val="FFFFFF"/>
              </w:rPr>
              <w:t> </w:t>
            </w:r>
          </w:p>
        </w:tc>
      </w:tr>
      <w:tr>
        <w:trPr>
          <w:trHeight w:val="158"/>
        </w:trPr>
        <w:tc>
          <w:tcPr>
            <w:tcW w:w="120" w:type="dxa"/>
            <w:vAlign w:val="bottom"/>
            <w:shd w:val="clear" w:color="auto" w:fill="002B5F"/>
          </w:tcPr>
          <w:p>
            <w:pPr>
              <w:spacing w:after="0"/>
              <w:rPr>
                <w:sz w:val="13"/>
                <w:szCs w:val="13"/>
                <w:color w:val="auto"/>
              </w:rPr>
            </w:pPr>
          </w:p>
        </w:tc>
        <w:tc>
          <w:tcPr>
            <w:tcW w:w="160" w:type="dxa"/>
            <w:vAlign w:val="bottom"/>
            <w:shd w:val="clear" w:color="auto" w:fill="002B5F"/>
          </w:tcPr>
          <w:p>
            <w:pPr>
              <w:spacing w:after="0"/>
              <w:rPr>
                <w:sz w:val="13"/>
                <w:szCs w:val="13"/>
                <w:color w:val="auto"/>
              </w:rPr>
            </w:pPr>
          </w:p>
        </w:tc>
        <w:tc>
          <w:tcPr>
            <w:tcW w:w="160" w:type="dxa"/>
            <w:vAlign w:val="bottom"/>
            <w:shd w:val="clear" w:color="auto" w:fill="002B5F"/>
          </w:tcPr>
          <w:p>
            <w:pPr>
              <w:spacing w:after="0"/>
              <w:rPr>
                <w:sz w:val="13"/>
                <w:szCs w:val="13"/>
                <w:color w:val="auto"/>
              </w:rPr>
            </w:pPr>
          </w:p>
        </w:tc>
        <w:tc>
          <w:tcPr>
            <w:tcW w:w="220" w:type="dxa"/>
            <w:vAlign w:val="bottom"/>
            <w:shd w:val="clear" w:color="auto" w:fill="002B5F"/>
          </w:tcPr>
          <w:p>
            <w:pPr>
              <w:spacing w:after="0"/>
              <w:rPr>
                <w:sz w:val="13"/>
                <w:szCs w:val="13"/>
                <w:color w:val="auto"/>
              </w:rPr>
            </w:pPr>
          </w:p>
        </w:tc>
        <w:tc>
          <w:tcPr>
            <w:tcW w:w="1200" w:type="dxa"/>
            <w:vAlign w:val="bottom"/>
            <w:shd w:val="clear" w:color="auto" w:fill="002B5F"/>
          </w:tcPr>
          <w:p>
            <w:pPr>
              <w:ind w:left="80"/>
              <w:spacing w:after="0"/>
              <w:rPr>
                <w:sz w:val="20"/>
                <w:szCs w:val="20"/>
                <w:color w:val="auto"/>
              </w:rPr>
            </w:pPr>
            <w:r>
              <w:rPr>
                <w:rFonts w:ascii="Arial" w:cs="Arial" w:eastAsia="Arial" w:hAnsi="Arial"/>
                <w:sz w:val="12"/>
                <w:szCs w:val="12"/>
                <w:color w:val="FFFFFF"/>
              </w:rPr>
              <w:t> </w:t>
            </w:r>
          </w:p>
        </w:tc>
      </w:tr>
      <w:tr>
        <w:trPr>
          <w:trHeight w:val="340"/>
        </w:trPr>
        <w:tc>
          <w:tcPr>
            <w:tcW w:w="120" w:type="dxa"/>
            <w:vAlign w:val="bottom"/>
            <w:shd w:val="clear" w:color="auto" w:fill="002B5F"/>
          </w:tcPr>
          <w:p>
            <w:pPr>
              <w:spacing w:after="0"/>
              <w:rPr>
                <w:sz w:val="24"/>
                <w:szCs w:val="24"/>
                <w:color w:val="auto"/>
              </w:rPr>
            </w:pPr>
          </w:p>
        </w:tc>
        <w:tc>
          <w:tcPr>
            <w:tcW w:w="160" w:type="dxa"/>
            <w:vAlign w:val="bottom"/>
            <w:shd w:val="clear" w:color="auto" w:fill="002B5F"/>
          </w:tcPr>
          <w:p>
            <w:pPr>
              <w:spacing w:after="0"/>
              <w:rPr>
                <w:sz w:val="24"/>
                <w:szCs w:val="24"/>
                <w:color w:val="auto"/>
              </w:rPr>
            </w:pPr>
          </w:p>
        </w:tc>
        <w:tc>
          <w:tcPr>
            <w:tcW w:w="160" w:type="dxa"/>
            <w:vAlign w:val="bottom"/>
            <w:shd w:val="clear" w:color="auto" w:fill="002B5F"/>
          </w:tcPr>
          <w:p>
            <w:pPr>
              <w:spacing w:after="0"/>
              <w:rPr>
                <w:sz w:val="24"/>
                <w:szCs w:val="24"/>
                <w:color w:val="auto"/>
              </w:rPr>
            </w:pPr>
          </w:p>
        </w:tc>
        <w:tc>
          <w:tcPr>
            <w:tcW w:w="220" w:type="dxa"/>
            <w:vAlign w:val="bottom"/>
            <w:shd w:val="clear" w:color="auto" w:fill="002B5F"/>
          </w:tcPr>
          <w:p>
            <w:pPr>
              <w:spacing w:after="0"/>
              <w:rPr>
                <w:sz w:val="24"/>
                <w:szCs w:val="24"/>
                <w:color w:val="auto"/>
              </w:rPr>
            </w:pPr>
          </w:p>
        </w:tc>
        <w:tc>
          <w:tcPr>
            <w:tcW w:w="1200" w:type="dxa"/>
            <w:vAlign w:val="bottom"/>
            <w:shd w:val="clear" w:color="auto" w:fill="002B5F"/>
          </w:tcPr>
          <w:p>
            <w:pPr>
              <w:ind w:left="80"/>
              <w:spacing w:after="0"/>
              <w:rPr>
                <w:sz w:val="20"/>
                <w:szCs w:val="20"/>
                <w:color w:val="auto"/>
              </w:rPr>
            </w:pPr>
            <w:r>
              <w:rPr>
                <w:rFonts w:ascii="Arial" w:cs="Arial" w:eastAsia="Arial" w:hAnsi="Arial"/>
                <w:sz w:val="12"/>
                <w:szCs w:val="12"/>
                <w:color w:val="FFFFFF"/>
              </w:rPr>
              <w:t> </w:t>
            </w:r>
          </w:p>
        </w:tc>
      </w:tr>
      <w:tr>
        <w:trPr>
          <w:trHeight w:val="128"/>
        </w:trPr>
        <w:tc>
          <w:tcPr>
            <w:tcW w:w="120" w:type="dxa"/>
            <w:vAlign w:val="bottom"/>
            <w:shd w:val="clear" w:color="auto" w:fill="002B5F"/>
          </w:tcPr>
          <w:p>
            <w:pPr>
              <w:spacing w:after="0"/>
              <w:rPr>
                <w:sz w:val="11"/>
                <w:szCs w:val="11"/>
                <w:color w:val="auto"/>
              </w:rPr>
            </w:pPr>
          </w:p>
        </w:tc>
        <w:tc>
          <w:tcPr>
            <w:tcW w:w="160" w:type="dxa"/>
            <w:vAlign w:val="bottom"/>
            <w:shd w:val="clear" w:color="auto" w:fill="002B5F"/>
          </w:tcPr>
          <w:p>
            <w:pPr>
              <w:spacing w:after="0"/>
              <w:rPr>
                <w:sz w:val="11"/>
                <w:szCs w:val="11"/>
                <w:color w:val="auto"/>
              </w:rPr>
            </w:pPr>
          </w:p>
        </w:tc>
        <w:tc>
          <w:tcPr>
            <w:tcW w:w="160" w:type="dxa"/>
            <w:vAlign w:val="bottom"/>
            <w:shd w:val="clear" w:color="auto" w:fill="002B5F"/>
          </w:tcPr>
          <w:p>
            <w:pPr>
              <w:spacing w:after="0"/>
              <w:rPr>
                <w:sz w:val="11"/>
                <w:szCs w:val="11"/>
                <w:color w:val="auto"/>
              </w:rPr>
            </w:pPr>
          </w:p>
        </w:tc>
        <w:tc>
          <w:tcPr>
            <w:tcW w:w="220" w:type="dxa"/>
            <w:vAlign w:val="bottom"/>
            <w:shd w:val="clear" w:color="auto" w:fill="002B5F"/>
          </w:tcPr>
          <w:p>
            <w:pPr>
              <w:spacing w:after="0"/>
              <w:rPr>
                <w:sz w:val="11"/>
                <w:szCs w:val="11"/>
                <w:color w:val="auto"/>
              </w:rPr>
            </w:pPr>
          </w:p>
        </w:tc>
        <w:tc>
          <w:tcPr>
            <w:tcW w:w="1200" w:type="dxa"/>
            <w:vAlign w:val="bottom"/>
            <w:shd w:val="clear" w:color="auto" w:fill="002B5F"/>
          </w:tcPr>
          <w:p>
            <w:pPr>
              <w:ind w:left="80"/>
              <w:spacing w:after="0" w:line="128" w:lineRule="exact"/>
              <w:rPr>
                <w:sz w:val="20"/>
                <w:szCs w:val="20"/>
                <w:color w:val="auto"/>
              </w:rPr>
            </w:pPr>
            <w:r>
              <w:rPr>
                <w:rFonts w:ascii="Arial" w:cs="Arial" w:eastAsia="Arial" w:hAnsi="Arial"/>
                <w:sz w:val="12"/>
                <w:szCs w:val="12"/>
                <w:color w:val="FFFFFF"/>
              </w:rPr>
              <w:t> </w:t>
            </w:r>
          </w:p>
        </w:tc>
      </w:tr>
      <w:tr>
        <w:trPr>
          <w:trHeight w:val="128"/>
        </w:trPr>
        <w:tc>
          <w:tcPr>
            <w:tcW w:w="120" w:type="dxa"/>
            <w:vAlign w:val="bottom"/>
            <w:shd w:val="clear" w:color="auto" w:fill="002B5F"/>
          </w:tcPr>
          <w:p>
            <w:pPr>
              <w:spacing w:after="0"/>
              <w:rPr>
                <w:sz w:val="11"/>
                <w:szCs w:val="11"/>
                <w:color w:val="auto"/>
              </w:rPr>
            </w:pPr>
          </w:p>
        </w:tc>
        <w:tc>
          <w:tcPr>
            <w:tcW w:w="160" w:type="dxa"/>
            <w:vAlign w:val="bottom"/>
            <w:shd w:val="clear" w:color="auto" w:fill="002B5F"/>
          </w:tcPr>
          <w:p>
            <w:pPr>
              <w:spacing w:after="0"/>
              <w:rPr>
                <w:sz w:val="11"/>
                <w:szCs w:val="11"/>
                <w:color w:val="auto"/>
              </w:rPr>
            </w:pPr>
          </w:p>
        </w:tc>
        <w:tc>
          <w:tcPr>
            <w:tcW w:w="160" w:type="dxa"/>
            <w:vAlign w:val="bottom"/>
            <w:shd w:val="clear" w:color="auto" w:fill="002B5F"/>
          </w:tcPr>
          <w:p>
            <w:pPr>
              <w:spacing w:after="0"/>
              <w:rPr>
                <w:sz w:val="11"/>
                <w:szCs w:val="11"/>
                <w:color w:val="auto"/>
              </w:rPr>
            </w:pPr>
          </w:p>
        </w:tc>
        <w:tc>
          <w:tcPr>
            <w:tcW w:w="220" w:type="dxa"/>
            <w:vAlign w:val="bottom"/>
            <w:shd w:val="clear" w:color="auto" w:fill="002B5F"/>
          </w:tcPr>
          <w:p>
            <w:pPr>
              <w:spacing w:after="0"/>
              <w:rPr>
                <w:sz w:val="11"/>
                <w:szCs w:val="11"/>
                <w:color w:val="auto"/>
              </w:rPr>
            </w:pPr>
          </w:p>
        </w:tc>
        <w:tc>
          <w:tcPr>
            <w:tcW w:w="1200" w:type="dxa"/>
            <w:vAlign w:val="bottom"/>
            <w:shd w:val="clear" w:color="auto" w:fill="002B5F"/>
          </w:tcPr>
          <w:p>
            <w:pPr>
              <w:ind w:left="80"/>
              <w:spacing w:after="0" w:line="128" w:lineRule="exact"/>
              <w:rPr>
                <w:sz w:val="20"/>
                <w:szCs w:val="20"/>
                <w:color w:val="auto"/>
              </w:rPr>
            </w:pPr>
            <w:r>
              <w:rPr>
                <w:rFonts w:ascii="Arial" w:cs="Arial" w:eastAsia="Arial" w:hAnsi="Arial"/>
                <w:sz w:val="12"/>
                <w:szCs w:val="12"/>
                <w:color w:val="FFFFFF"/>
              </w:rPr>
              <w:t> </w:t>
            </w:r>
          </w:p>
        </w:tc>
      </w:tr>
      <w:tr>
        <w:trPr>
          <w:trHeight w:val="128"/>
        </w:trPr>
        <w:tc>
          <w:tcPr>
            <w:tcW w:w="120" w:type="dxa"/>
            <w:vAlign w:val="bottom"/>
            <w:shd w:val="clear" w:color="auto" w:fill="002B5F"/>
          </w:tcPr>
          <w:p>
            <w:pPr>
              <w:spacing w:after="0"/>
              <w:rPr>
                <w:sz w:val="11"/>
                <w:szCs w:val="11"/>
                <w:color w:val="auto"/>
              </w:rPr>
            </w:pPr>
          </w:p>
        </w:tc>
        <w:tc>
          <w:tcPr>
            <w:tcW w:w="160" w:type="dxa"/>
            <w:vAlign w:val="bottom"/>
            <w:shd w:val="clear" w:color="auto" w:fill="002B5F"/>
          </w:tcPr>
          <w:p>
            <w:pPr>
              <w:spacing w:after="0"/>
              <w:rPr>
                <w:sz w:val="11"/>
                <w:szCs w:val="11"/>
                <w:color w:val="auto"/>
              </w:rPr>
            </w:pPr>
          </w:p>
        </w:tc>
        <w:tc>
          <w:tcPr>
            <w:tcW w:w="160" w:type="dxa"/>
            <w:vAlign w:val="bottom"/>
            <w:shd w:val="clear" w:color="auto" w:fill="002B5F"/>
          </w:tcPr>
          <w:p>
            <w:pPr>
              <w:spacing w:after="0"/>
              <w:rPr>
                <w:sz w:val="11"/>
                <w:szCs w:val="11"/>
                <w:color w:val="auto"/>
              </w:rPr>
            </w:pPr>
          </w:p>
        </w:tc>
        <w:tc>
          <w:tcPr>
            <w:tcW w:w="220" w:type="dxa"/>
            <w:vAlign w:val="bottom"/>
            <w:shd w:val="clear" w:color="auto" w:fill="002B5F"/>
          </w:tcPr>
          <w:p>
            <w:pPr>
              <w:spacing w:after="0"/>
              <w:rPr>
                <w:sz w:val="11"/>
                <w:szCs w:val="11"/>
                <w:color w:val="auto"/>
              </w:rPr>
            </w:pPr>
          </w:p>
        </w:tc>
        <w:tc>
          <w:tcPr>
            <w:tcW w:w="1200" w:type="dxa"/>
            <w:vAlign w:val="bottom"/>
            <w:shd w:val="clear" w:color="auto" w:fill="002B5F"/>
          </w:tcPr>
          <w:p>
            <w:pPr>
              <w:ind w:left="80"/>
              <w:spacing w:after="0" w:line="128" w:lineRule="exact"/>
              <w:rPr>
                <w:sz w:val="20"/>
                <w:szCs w:val="20"/>
                <w:color w:val="auto"/>
              </w:rPr>
            </w:pPr>
            <w:r>
              <w:rPr>
                <w:rFonts w:ascii="Arial" w:cs="Arial" w:eastAsia="Arial" w:hAnsi="Arial"/>
                <w:sz w:val="12"/>
                <w:szCs w:val="12"/>
                <w:color w:val="FFFFFF"/>
              </w:rPr>
              <w:t> </w:t>
            </w:r>
          </w:p>
        </w:tc>
      </w:tr>
      <w:tr>
        <w:trPr>
          <w:trHeight w:val="128"/>
        </w:trPr>
        <w:tc>
          <w:tcPr>
            <w:tcW w:w="120" w:type="dxa"/>
            <w:vAlign w:val="bottom"/>
            <w:shd w:val="clear" w:color="auto" w:fill="002B5F"/>
          </w:tcPr>
          <w:p>
            <w:pPr>
              <w:spacing w:after="0"/>
              <w:rPr>
                <w:sz w:val="11"/>
                <w:szCs w:val="11"/>
                <w:color w:val="auto"/>
              </w:rPr>
            </w:pPr>
          </w:p>
        </w:tc>
        <w:tc>
          <w:tcPr>
            <w:tcW w:w="160" w:type="dxa"/>
            <w:vAlign w:val="bottom"/>
            <w:shd w:val="clear" w:color="auto" w:fill="002B5F"/>
          </w:tcPr>
          <w:p>
            <w:pPr>
              <w:spacing w:after="0"/>
              <w:rPr>
                <w:sz w:val="11"/>
                <w:szCs w:val="11"/>
                <w:color w:val="auto"/>
              </w:rPr>
            </w:pPr>
          </w:p>
        </w:tc>
        <w:tc>
          <w:tcPr>
            <w:tcW w:w="160" w:type="dxa"/>
            <w:vAlign w:val="bottom"/>
            <w:shd w:val="clear" w:color="auto" w:fill="002B5F"/>
          </w:tcPr>
          <w:p>
            <w:pPr>
              <w:spacing w:after="0"/>
              <w:rPr>
                <w:sz w:val="11"/>
                <w:szCs w:val="11"/>
                <w:color w:val="auto"/>
              </w:rPr>
            </w:pPr>
          </w:p>
        </w:tc>
        <w:tc>
          <w:tcPr>
            <w:tcW w:w="220" w:type="dxa"/>
            <w:vAlign w:val="bottom"/>
            <w:shd w:val="clear" w:color="auto" w:fill="002B5F"/>
          </w:tcPr>
          <w:p>
            <w:pPr>
              <w:spacing w:after="0"/>
              <w:rPr>
                <w:sz w:val="11"/>
                <w:szCs w:val="11"/>
                <w:color w:val="auto"/>
              </w:rPr>
            </w:pPr>
          </w:p>
        </w:tc>
        <w:tc>
          <w:tcPr>
            <w:tcW w:w="1200" w:type="dxa"/>
            <w:vAlign w:val="bottom"/>
            <w:shd w:val="clear" w:color="auto" w:fill="002B5F"/>
          </w:tcPr>
          <w:p>
            <w:pPr>
              <w:ind w:left="80"/>
              <w:spacing w:after="0" w:line="128" w:lineRule="exact"/>
              <w:rPr>
                <w:sz w:val="20"/>
                <w:szCs w:val="20"/>
                <w:color w:val="auto"/>
              </w:rPr>
            </w:pPr>
            <w:r>
              <w:rPr>
                <w:rFonts w:ascii="Arial" w:cs="Arial" w:eastAsia="Arial" w:hAnsi="Arial"/>
                <w:sz w:val="12"/>
                <w:szCs w:val="12"/>
                <w:color w:val="FFFFFF"/>
              </w:rPr>
              <w:t> </w:t>
            </w:r>
          </w:p>
        </w:tc>
      </w:tr>
      <w:tr>
        <w:trPr>
          <w:trHeight w:val="158"/>
        </w:trPr>
        <w:tc>
          <w:tcPr>
            <w:tcW w:w="120" w:type="dxa"/>
            <w:vAlign w:val="bottom"/>
            <w:shd w:val="clear" w:color="auto" w:fill="002B5F"/>
          </w:tcPr>
          <w:p>
            <w:pPr>
              <w:spacing w:after="0"/>
              <w:rPr>
                <w:sz w:val="13"/>
                <w:szCs w:val="13"/>
                <w:color w:val="auto"/>
              </w:rPr>
            </w:pPr>
          </w:p>
        </w:tc>
        <w:tc>
          <w:tcPr>
            <w:tcW w:w="160" w:type="dxa"/>
            <w:vAlign w:val="bottom"/>
            <w:shd w:val="clear" w:color="auto" w:fill="002B5F"/>
          </w:tcPr>
          <w:p>
            <w:pPr>
              <w:spacing w:after="0"/>
              <w:rPr>
                <w:sz w:val="13"/>
                <w:szCs w:val="13"/>
                <w:color w:val="auto"/>
              </w:rPr>
            </w:pPr>
          </w:p>
        </w:tc>
        <w:tc>
          <w:tcPr>
            <w:tcW w:w="160" w:type="dxa"/>
            <w:vAlign w:val="bottom"/>
            <w:shd w:val="clear" w:color="auto" w:fill="002B5F"/>
          </w:tcPr>
          <w:p>
            <w:pPr>
              <w:spacing w:after="0"/>
              <w:rPr>
                <w:sz w:val="13"/>
                <w:szCs w:val="13"/>
                <w:color w:val="auto"/>
              </w:rPr>
            </w:pPr>
          </w:p>
        </w:tc>
        <w:tc>
          <w:tcPr>
            <w:tcW w:w="220" w:type="dxa"/>
            <w:vAlign w:val="bottom"/>
            <w:shd w:val="clear" w:color="auto" w:fill="002B5F"/>
          </w:tcPr>
          <w:p>
            <w:pPr>
              <w:spacing w:after="0"/>
              <w:rPr>
                <w:sz w:val="13"/>
                <w:szCs w:val="13"/>
                <w:color w:val="auto"/>
              </w:rPr>
            </w:pPr>
          </w:p>
        </w:tc>
        <w:tc>
          <w:tcPr>
            <w:tcW w:w="1200" w:type="dxa"/>
            <w:vAlign w:val="bottom"/>
            <w:shd w:val="clear" w:color="auto" w:fill="002B5F"/>
          </w:tcPr>
          <w:p>
            <w:pPr>
              <w:ind w:left="80"/>
              <w:spacing w:after="0"/>
              <w:rPr>
                <w:sz w:val="20"/>
                <w:szCs w:val="20"/>
                <w:color w:val="auto"/>
              </w:rPr>
            </w:pPr>
            <w:r>
              <w:rPr>
                <w:rFonts w:ascii="Arial" w:cs="Arial" w:eastAsia="Arial" w:hAnsi="Arial"/>
                <w:sz w:val="12"/>
                <w:szCs w:val="12"/>
                <w:color w:val="FFFFFF"/>
              </w:rPr>
              <w:t> </w:t>
            </w:r>
          </w:p>
        </w:tc>
      </w:tr>
      <w:tr>
        <w:trPr>
          <w:trHeight w:val="340"/>
        </w:trPr>
        <w:tc>
          <w:tcPr>
            <w:tcW w:w="120" w:type="dxa"/>
            <w:vAlign w:val="bottom"/>
            <w:shd w:val="clear" w:color="auto" w:fill="002B5F"/>
          </w:tcPr>
          <w:p>
            <w:pPr>
              <w:spacing w:after="0"/>
              <w:rPr>
                <w:sz w:val="24"/>
                <w:szCs w:val="24"/>
                <w:color w:val="auto"/>
              </w:rPr>
            </w:pPr>
          </w:p>
        </w:tc>
        <w:tc>
          <w:tcPr>
            <w:tcW w:w="160" w:type="dxa"/>
            <w:vAlign w:val="bottom"/>
            <w:shd w:val="clear" w:color="auto" w:fill="002B5F"/>
          </w:tcPr>
          <w:p>
            <w:pPr>
              <w:spacing w:after="0"/>
              <w:rPr>
                <w:sz w:val="24"/>
                <w:szCs w:val="24"/>
                <w:color w:val="auto"/>
              </w:rPr>
            </w:pPr>
          </w:p>
        </w:tc>
        <w:tc>
          <w:tcPr>
            <w:tcW w:w="160" w:type="dxa"/>
            <w:vAlign w:val="bottom"/>
            <w:shd w:val="clear" w:color="auto" w:fill="002B5F"/>
          </w:tcPr>
          <w:p>
            <w:pPr>
              <w:spacing w:after="0"/>
              <w:rPr>
                <w:sz w:val="24"/>
                <w:szCs w:val="24"/>
                <w:color w:val="auto"/>
              </w:rPr>
            </w:pPr>
          </w:p>
        </w:tc>
        <w:tc>
          <w:tcPr>
            <w:tcW w:w="220" w:type="dxa"/>
            <w:vAlign w:val="bottom"/>
            <w:shd w:val="clear" w:color="auto" w:fill="002B5F"/>
          </w:tcPr>
          <w:p>
            <w:pPr>
              <w:spacing w:after="0"/>
              <w:rPr>
                <w:sz w:val="24"/>
                <w:szCs w:val="24"/>
                <w:color w:val="auto"/>
              </w:rPr>
            </w:pPr>
          </w:p>
        </w:tc>
        <w:tc>
          <w:tcPr>
            <w:tcW w:w="1200" w:type="dxa"/>
            <w:vAlign w:val="bottom"/>
            <w:shd w:val="clear" w:color="auto" w:fill="002B5F"/>
          </w:tcPr>
          <w:p>
            <w:pPr>
              <w:ind w:left="80"/>
              <w:spacing w:after="0"/>
              <w:rPr>
                <w:sz w:val="20"/>
                <w:szCs w:val="20"/>
                <w:color w:val="auto"/>
              </w:rPr>
            </w:pPr>
            <w:r>
              <w:rPr>
                <w:rFonts w:ascii="Arial" w:cs="Arial" w:eastAsia="Arial" w:hAnsi="Arial"/>
                <w:sz w:val="12"/>
                <w:szCs w:val="12"/>
                <w:color w:val="FFFFFF"/>
              </w:rPr>
              <w:t> </w:t>
            </w:r>
          </w:p>
        </w:tc>
      </w:tr>
      <w:tr>
        <w:trPr>
          <w:trHeight w:val="128"/>
        </w:trPr>
        <w:tc>
          <w:tcPr>
            <w:tcW w:w="120" w:type="dxa"/>
            <w:vAlign w:val="bottom"/>
            <w:shd w:val="clear" w:color="auto" w:fill="002B5F"/>
          </w:tcPr>
          <w:p>
            <w:pPr>
              <w:spacing w:after="0"/>
              <w:rPr>
                <w:sz w:val="11"/>
                <w:szCs w:val="11"/>
                <w:color w:val="auto"/>
              </w:rPr>
            </w:pPr>
          </w:p>
        </w:tc>
        <w:tc>
          <w:tcPr>
            <w:tcW w:w="160" w:type="dxa"/>
            <w:vAlign w:val="bottom"/>
            <w:shd w:val="clear" w:color="auto" w:fill="002B5F"/>
          </w:tcPr>
          <w:p>
            <w:pPr>
              <w:spacing w:after="0"/>
              <w:rPr>
                <w:sz w:val="11"/>
                <w:szCs w:val="11"/>
                <w:color w:val="auto"/>
              </w:rPr>
            </w:pPr>
          </w:p>
        </w:tc>
        <w:tc>
          <w:tcPr>
            <w:tcW w:w="160" w:type="dxa"/>
            <w:vAlign w:val="bottom"/>
            <w:shd w:val="clear" w:color="auto" w:fill="002B5F"/>
          </w:tcPr>
          <w:p>
            <w:pPr>
              <w:spacing w:after="0"/>
              <w:rPr>
                <w:sz w:val="11"/>
                <w:szCs w:val="11"/>
                <w:color w:val="auto"/>
              </w:rPr>
            </w:pPr>
          </w:p>
        </w:tc>
        <w:tc>
          <w:tcPr>
            <w:tcW w:w="220" w:type="dxa"/>
            <w:vAlign w:val="bottom"/>
            <w:shd w:val="clear" w:color="auto" w:fill="002B5F"/>
          </w:tcPr>
          <w:p>
            <w:pPr>
              <w:spacing w:after="0"/>
              <w:rPr>
                <w:sz w:val="11"/>
                <w:szCs w:val="11"/>
                <w:color w:val="auto"/>
              </w:rPr>
            </w:pPr>
          </w:p>
        </w:tc>
        <w:tc>
          <w:tcPr>
            <w:tcW w:w="1200" w:type="dxa"/>
            <w:vAlign w:val="bottom"/>
            <w:shd w:val="clear" w:color="auto" w:fill="002B5F"/>
          </w:tcPr>
          <w:p>
            <w:pPr>
              <w:ind w:left="80"/>
              <w:spacing w:after="0" w:line="128" w:lineRule="exact"/>
              <w:rPr>
                <w:sz w:val="20"/>
                <w:szCs w:val="20"/>
                <w:color w:val="auto"/>
              </w:rPr>
            </w:pPr>
            <w:r>
              <w:rPr>
                <w:rFonts w:ascii="Arial" w:cs="Arial" w:eastAsia="Arial" w:hAnsi="Arial"/>
                <w:sz w:val="12"/>
                <w:szCs w:val="12"/>
                <w:color w:val="FFFFFF"/>
              </w:rPr>
              <w:t> </w:t>
            </w:r>
          </w:p>
        </w:tc>
      </w:tr>
      <w:tr>
        <w:trPr>
          <w:trHeight w:val="158"/>
        </w:trPr>
        <w:tc>
          <w:tcPr>
            <w:tcW w:w="120" w:type="dxa"/>
            <w:vAlign w:val="bottom"/>
            <w:shd w:val="clear" w:color="auto" w:fill="002B5F"/>
          </w:tcPr>
          <w:p>
            <w:pPr>
              <w:spacing w:after="0"/>
              <w:rPr>
                <w:sz w:val="13"/>
                <w:szCs w:val="13"/>
                <w:color w:val="auto"/>
              </w:rPr>
            </w:pPr>
          </w:p>
        </w:tc>
        <w:tc>
          <w:tcPr>
            <w:tcW w:w="160" w:type="dxa"/>
            <w:vAlign w:val="bottom"/>
            <w:shd w:val="clear" w:color="auto" w:fill="002B5F"/>
          </w:tcPr>
          <w:p>
            <w:pPr>
              <w:spacing w:after="0"/>
              <w:rPr>
                <w:sz w:val="13"/>
                <w:szCs w:val="13"/>
                <w:color w:val="auto"/>
              </w:rPr>
            </w:pPr>
          </w:p>
        </w:tc>
        <w:tc>
          <w:tcPr>
            <w:tcW w:w="160" w:type="dxa"/>
            <w:vAlign w:val="bottom"/>
            <w:shd w:val="clear" w:color="auto" w:fill="002B5F"/>
          </w:tcPr>
          <w:p>
            <w:pPr>
              <w:spacing w:after="0"/>
              <w:rPr>
                <w:sz w:val="13"/>
                <w:szCs w:val="13"/>
                <w:color w:val="auto"/>
              </w:rPr>
            </w:pPr>
          </w:p>
        </w:tc>
        <w:tc>
          <w:tcPr>
            <w:tcW w:w="220" w:type="dxa"/>
            <w:vAlign w:val="bottom"/>
            <w:shd w:val="clear" w:color="auto" w:fill="002B5F"/>
          </w:tcPr>
          <w:p>
            <w:pPr>
              <w:spacing w:after="0"/>
              <w:rPr>
                <w:sz w:val="13"/>
                <w:szCs w:val="13"/>
                <w:color w:val="auto"/>
              </w:rPr>
            </w:pPr>
          </w:p>
        </w:tc>
        <w:tc>
          <w:tcPr>
            <w:tcW w:w="1200" w:type="dxa"/>
            <w:vAlign w:val="bottom"/>
            <w:shd w:val="clear" w:color="auto" w:fill="002B5F"/>
          </w:tcPr>
          <w:p>
            <w:pPr>
              <w:ind w:left="80"/>
              <w:spacing w:after="0"/>
              <w:rPr>
                <w:sz w:val="20"/>
                <w:szCs w:val="20"/>
                <w:color w:val="auto"/>
              </w:rPr>
            </w:pPr>
            <w:r>
              <w:rPr>
                <w:rFonts w:ascii="Arial" w:cs="Arial" w:eastAsia="Arial" w:hAnsi="Arial"/>
                <w:sz w:val="12"/>
                <w:szCs w:val="12"/>
                <w:color w:val="FFFFFF"/>
              </w:rPr>
              <w:t> </w:t>
            </w:r>
          </w:p>
        </w:tc>
      </w:tr>
      <w:tr>
        <w:trPr>
          <w:trHeight w:val="340"/>
        </w:trPr>
        <w:tc>
          <w:tcPr>
            <w:tcW w:w="120" w:type="dxa"/>
            <w:vAlign w:val="bottom"/>
            <w:shd w:val="clear" w:color="auto" w:fill="002B5F"/>
          </w:tcPr>
          <w:p>
            <w:pPr>
              <w:spacing w:after="0"/>
              <w:rPr>
                <w:sz w:val="24"/>
                <w:szCs w:val="24"/>
                <w:color w:val="auto"/>
              </w:rPr>
            </w:pPr>
          </w:p>
        </w:tc>
        <w:tc>
          <w:tcPr>
            <w:tcW w:w="160" w:type="dxa"/>
            <w:vAlign w:val="bottom"/>
            <w:shd w:val="clear" w:color="auto" w:fill="002B5F"/>
          </w:tcPr>
          <w:p>
            <w:pPr>
              <w:spacing w:after="0"/>
              <w:rPr>
                <w:sz w:val="24"/>
                <w:szCs w:val="24"/>
                <w:color w:val="auto"/>
              </w:rPr>
            </w:pPr>
          </w:p>
        </w:tc>
        <w:tc>
          <w:tcPr>
            <w:tcW w:w="160" w:type="dxa"/>
            <w:vAlign w:val="bottom"/>
            <w:shd w:val="clear" w:color="auto" w:fill="002B5F"/>
          </w:tcPr>
          <w:p>
            <w:pPr>
              <w:spacing w:after="0"/>
              <w:rPr>
                <w:sz w:val="24"/>
                <w:szCs w:val="24"/>
                <w:color w:val="auto"/>
              </w:rPr>
            </w:pPr>
          </w:p>
        </w:tc>
        <w:tc>
          <w:tcPr>
            <w:tcW w:w="220" w:type="dxa"/>
            <w:vAlign w:val="bottom"/>
            <w:shd w:val="clear" w:color="auto" w:fill="002B5F"/>
          </w:tcPr>
          <w:p>
            <w:pPr>
              <w:spacing w:after="0"/>
              <w:rPr>
                <w:sz w:val="24"/>
                <w:szCs w:val="24"/>
                <w:color w:val="auto"/>
              </w:rPr>
            </w:pPr>
          </w:p>
        </w:tc>
        <w:tc>
          <w:tcPr>
            <w:tcW w:w="1200" w:type="dxa"/>
            <w:vAlign w:val="bottom"/>
            <w:shd w:val="clear" w:color="auto" w:fill="002B5F"/>
          </w:tcPr>
          <w:p>
            <w:pPr>
              <w:ind w:left="80"/>
              <w:spacing w:after="0"/>
              <w:rPr>
                <w:sz w:val="20"/>
                <w:szCs w:val="20"/>
                <w:color w:val="auto"/>
              </w:rPr>
            </w:pPr>
            <w:r>
              <w:rPr>
                <w:rFonts w:ascii="Arial" w:cs="Arial" w:eastAsia="Arial" w:hAnsi="Arial"/>
                <w:sz w:val="12"/>
                <w:szCs w:val="12"/>
                <w:color w:val="FFFFFF"/>
              </w:rPr>
              <w:t> </w:t>
            </w:r>
          </w:p>
        </w:tc>
      </w:tr>
      <w:tr>
        <w:trPr>
          <w:trHeight w:val="128"/>
        </w:trPr>
        <w:tc>
          <w:tcPr>
            <w:tcW w:w="120" w:type="dxa"/>
            <w:vAlign w:val="bottom"/>
            <w:shd w:val="clear" w:color="auto" w:fill="002B5F"/>
          </w:tcPr>
          <w:p>
            <w:pPr>
              <w:spacing w:after="0"/>
              <w:rPr>
                <w:sz w:val="11"/>
                <w:szCs w:val="11"/>
                <w:color w:val="auto"/>
              </w:rPr>
            </w:pPr>
          </w:p>
        </w:tc>
        <w:tc>
          <w:tcPr>
            <w:tcW w:w="160" w:type="dxa"/>
            <w:vAlign w:val="bottom"/>
            <w:shd w:val="clear" w:color="auto" w:fill="002B5F"/>
          </w:tcPr>
          <w:p>
            <w:pPr>
              <w:spacing w:after="0"/>
              <w:rPr>
                <w:sz w:val="11"/>
                <w:szCs w:val="11"/>
                <w:color w:val="auto"/>
              </w:rPr>
            </w:pPr>
          </w:p>
        </w:tc>
        <w:tc>
          <w:tcPr>
            <w:tcW w:w="160" w:type="dxa"/>
            <w:vAlign w:val="bottom"/>
            <w:shd w:val="clear" w:color="auto" w:fill="002B5F"/>
          </w:tcPr>
          <w:p>
            <w:pPr>
              <w:spacing w:after="0"/>
              <w:rPr>
                <w:sz w:val="11"/>
                <w:szCs w:val="11"/>
                <w:color w:val="auto"/>
              </w:rPr>
            </w:pPr>
          </w:p>
        </w:tc>
        <w:tc>
          <w:tcPr>
            <w:tcW w:w="220" w:type="dxa"/>
            <w:vAlign w:val="bottom"/>
            <w:shd w:val="clear" w:color="auto" w:fill="002B5F"/>
          </w:tcPr>
          <w:p>
            <w:pPr>
              <w:spacing w:after="0"/>
              <w:rPr>
                <w:sz w:val="11"/>
                <w:szCs w:val="11"/>
                <w:color w:val="auto"/>
              </w:rPr>
            </w:pPr>
          </w:p>
        </w:tc>
        <w:tc>
          <w:tcPr>
            <w:tcW w:w="1200" w:type="dxa"/>
            <w:vAlign w:val="bottom"/>
            <w:shd w:val="clear" w:color="auto" w:fill="002B5F"/>
          </w:tcPr>
          <w:p>
            <w:pPr>
              <w:ind w:left="80"/>
              <w:spacing w:after="0" w:line="128" w:lineRule="exact"/>
              <w:rPr>
                <w:sz w:val="20"/>
                <w:szCs w:val="20"/>
                <w:color w:val="auto"/>
              </w:rPr>
            </w:pPr>
            <w:r>
              <w:rPr>
                <w:rFonts w:ascii="Arial" w:cs="Arial" w:eastAsia="Arial" w:hAnsi="Arial"/>
                <w:sz w:val="12"/>
                <w:szCs w:val="12"/>
                <w:color w:val="FFFFFF"/>
              </w:rPr>
              <w:t> </w:t>
            </w:r>
          </w:p>
        </w:tc>
      </w:tr>
      <w:tr>
        <w:trPr>
          <w:trHeight w:val="158"/>
        </w:trPr>
        <w:tc>
          <w:tcPr>
            <w:tcW w:w="120" w:type="dxa"/>
            <w:vAlign w:val="bottom"/>
            <w:shd w:val="clear" w:color="auto" w:fill="002B5F"/>
          </w:tcPr>
          <w:p>
            <w:pPr>
              <w:spacing w:after="0"/>
              <w:rPr>
                <w:sz w:val="13"/>
                <w:szCs w:val="13"/>
                <w:color w:val="auto"/>
              </w:rPr>
            </w:pPr>
          </w:p>
        </w:tc>
        <w:tc>
          <w:tcPr>
            <w:tcW w:w="160" w:type="dxa"/>
            <w:vAlign w:val="bottom"/>
            <w:shd w:val="clear" w:color="auto" w:fill="002B5F"/>
          </w:tcPr>
          <w:p>
            <w:pPr>
              <w:spacing w:after="0"/>
              <w:rPr>
                <w:sz w:val="13"/>
                <w:szCs w:val="13"/>
                <w:color w:val="auto"/>
              </w:rPr>
            </w:pPr>
          </w:p>
        </w:tc>
        <w:tc>
          <w:tcPr>
            <w:tcW w:w="160" w:type="dxa"/>
            <w:vAlign w:val="bottom"/>
            <w:shd w:val="clear" w:color="auto" w:fill="002B5F"/>
          </w:tcPr>
          <w:p>
            <w:pPr>
              <w:spacing w:after="0"/>
              <w:rPr>
                <w:sz w:val="13"/>
                <w:szCs w:val="13"/>
                <w:color w:val="auto"/>
              </w:rPr>
            </w:pPr>
          </w:p>
        </w:tc>
        <w:tc>
          <w:tcPr>
            <w:tcW w:w="220" w:type="dxa"/>
            <w:vAlign w:val="bottom"/>
            <w:shd w:val="clear" w:color="auto" w:fill="002B5F"/>
          </w:tcPr>
          <w:p>
            <w:pPr>
              <w:spacing w:after="0"/>
              <w:rPr>
                <w:sz w:val="13"/>
                <w:szCs w:val="13"/>
                <w:color w:val="auto"/>
              </w:rPr>
            </w:pPr>
          </w:p>
        </w:tc>
        <w:tc>
          <w:tcPr>
            <w:tcW w:w="1200" w:type="dxa"/>
            <w:vAlign w:val="bottom"/>
            <w:shd w:val="clear" w:color="auto" w:fill="002B5F"/>
          </w:tcPr>
          <w:p>
            <w:pPr>
              <w:ind w:left="80"/>
              <w:spacing w:after="0"/>
              <w:rPr>
                <w:sz w:val="20"/>
                <w:szCs w:val="20"/>
                <w:color w:val="auto"/>
              </w:rPr>
            </w:pPr>
            <w:r>
              <w:rPr>
                <w:rFonts w:ascii="Arial" w:cs="Arial" w:eastAsia="Arial" w:hAnsi="Arial"/>
                <w:sz w:val="12"/>
                <w:szCs w:val="12"/>
                <w:color w:val="FFFFFF"/>
              </w:rPr>
              <w:t> </w:t>
            </w:r>
          </w:p>
        </w:tc>
      </w:tr>
      <w:tr>
        <w:trPr>
          <w:trHeight w:val="340"/>
        </w:trPr>
        <w:tc>
          <w:tcPr>
            <w:tcW w:w="120" w:type="dxa"/>
            <w:vAlign w:val="bottom"/>
            <w:shd w:val="clear" w:color="auto" w:fill="002B5F"/>
          </w:tcPr>
          <w:p>
            <w:pPr>
              <w:spacing w:after="0"/>
              <w:rPr>
                <w:sz w:val="24"/>
                <w:szCs w:val="24"/>
                <w:color w:val="auto"/>
              </w:rPr>
            </w:pPr>
          </w:p>
        </w:tc>
        <w:tc>
          <w:tcPr>
            <w:tcW w:w="160" w:type="dxa"/>
            <w:vAlign w:val="bottom"/>
            <w:shd w:val="clear" w:color="auto" w:fill="002B5F"/>
          </w:tcPr>
          <w:p>
            <w:pPr>
              <w:spacing w:after="0"/>
              <w:rPr>
                <w:sz w:val="24"/>
                <w:szCs w:val="24"/>
                <w:color w:val="auto"/>
              </w:rPr>
            </w:pPr>
          </w:p>
        </w:tc>
        <w:tc>
          <w:tcPr>
            <w:tcW w:w="160" w:type="dxa"/>
            <w:vAlign w:val="bottom"/>
            <w:shd w:val="clear" w:color="auto" w:fill="002B5F"/>
          </w:tcPr>
          <w:p>
            <w:pPr>
              <w:spacing w:after="0"/>
              <w:rPr>
                <w:sz w:val="24"/>
                <w:szCs w:val="24"/>
                <w:color w:val="auto"/>
              </w:rPr>
            </w:pPr>
          </w:p>
        </w:tc>
        <w:tc>
          <w:tcPr>
            <w:tcW w:w="220" w:type="dxa"/>
            <w:vAlign w:val="bottom"/>
            <w:shd w:val="clear" w:color="auto" w:fill="002B5F"/>
          </w:tcPr>
          <w:p>
            <w:pPr>
              <w:spacing w:after="0"/>
              <w:rPr>
                <w:sz w:val="24"/>
                <w:szCs w:val="24"/>
                <w:color w:val="auto"/>
              </w:rPr>
            </w:pPr>
          </w:p>
        </w:tc>
        <w:tc>
          <w:tcPr>
            <w:tcW w:w="1200" w:type="dxa"/>
            <w:vAlign w:val="bottom"/>
            <w:shd w:val="clear" w:color="auto" w:fill="002B5F"/>
          </w:tcPr>
          <w:p>
            <w:pPr>
              <w:ind w:left="80"/>
              <w:spacing w:after="0"/>
              <w:rPr>
                <w:sz w:val="20"/>
                <w:szCs w:val="20"/>
                <w:color w:val="auto"/>
              </w:rPr>
            </w:pPr>
            <w:r>
              <w:rPr>
                <w:rFonts w:ascii="Arial" w:cs="Arial" w:eastAsia="Arial" w:hAnsi="Arial"/>
                <w:sz w:val="12"/>
                <w:szCs w:val="12"/>
                <w:color w:val="FFFFFF"/>
              </w:rPr>
              <w:t> </w:t>
            </w:r>
          </w:p>
        </w:tc>
      </w:tr>
      <w:tr>
        <w:trPr>
          <w:trHeight w:val="128"/>
        </w:trPr>
        <w:tc>
          <w:tcPr>
            <w:tcW w:w="120" w:type="dxa"/>
            <w:vAlign w:val="bottom"/>
            <w:shd w:val="clear" w:color="auto" w:fill="002B5F"/>
          </w:tcPr>
          <w:p>
            <w:pPr>
              <w:spacing w:after="0"/>
              <w:rPr>
                <w:sz w:val="11"/>
                <w:szCs w:val="11"/>
                <w:color w:val="auto"/>
              </w:rPr>
            </w:pPr>
          </w:p>
        </w:tc>
        <w:tc>
          <w:tcPr>
            <w:tcW w:w="160" w:type="dxa"/>
            <w:vAlign w:val="bottom"/>
            <w:shd w:val="clear" w:color="auto" w:fill="002B5F"/>
          </w:tcPr>
          <w:p>
            <w:pPr>
              <w:spacing w:after="0"/>
              <w:rPr>
                <w:sz w:val="11"/>
                <w:szCs w:val="11"/>
                <w:color w:val="auto"/>
              </w:rPr>
            </w:pPr>
          </w:p>
        </w:tc>
        <w:tc>
          <w:tcPr>
            <w:tcW w:w="160" w:type="dxa"/>
            <w:vAlign w:val="bottom"/>
            <w:shd w:val="clear" w:color="auto" w:fill="002B5F"/>
          </w:tcPr>
          <w:p>
            <w:pPr>
              <w:spacing w:after="0"/>
              <w:rPr>
                <w:sz w:val="11"/>
                <w:szCs w:val="11"/>
                <w:color w:val="auto"/>
              </w:rPr>
            </w:pPr>
          </w:p>
        </w:tc>
        <w:tc>
          <w:tcPr>
            <w:tcW w:w="220" w:type="dxa"/>
            <w:vAlign w:val="bottom"/>
            <w:shd w:val="clear" w:color="auto" w:fill="002B5F"/>
          </w:tcPr>
          <w:p>
            <w:pPr>
              <w:spacing w:after="0"/>
              <w:rPr>
                <w:sz w:val="11"/>
                <w:szCs w:val="11"/>
                <w:color w:val="auto"/>
              </w:rPr>
            </w:pPr>
          </w:p>
        </w:tc>
        <w:tc>
          <w:tcPr>
            <w:tcW w:w="1200" w:type="dxa"/>
            <w:vAlign w:val="bottom"/>
            <w:shd w:val="clear" w:color="auto" w:fill="002B5F"/>
          </w:tcPr>
          <w:p>
            <w:pPr>
              <w:ind w:left="80"/>
              <w:spacing w:after="0" w:line="128" w:lineRule="exact"/>
              <w:rPr>
                <w:sz w:val="20"/>
                <w:szCs w:val="20"/>
                <w:color w:val="auto"/>
              </w:rPr>
            </w:pPr>
            <w:r>
              <w:rPr>
                <w:rFonts w:ascii="Arial" w:cs="Arial" w:eastAsia="Arial" w:hAnsi="Arial"/>
                <w:sz w:val="12"/>
                <w:szCs w:val="12"/>
                <w:color w:val="FFFFFF"/>
              </w:rPr>
              <w:t> </w:t>
            </w:r>
          </w:p>
        </w:tc>
      </w:tr>
      <w:tr>
        <w:trPr>
          <w:trHeight w:val="128"/>
        </w:trPr>
        <w:tc>
          <w:tcPr>
            <w:tcW w:w="120" w:type="dxa"/>
            <w:vAlign w:val="bottom"/>
            <w:shd w:val="clear" w:color="auto" w:fill="002B5F"/>
          </w:tcPr>
          <w:p>
            <w:pPr>
              <w:spacing w:after="0"/>
              <w:rPr>
                <w:sz w:val="11"/>
                <w:szCs w:val="11"/>
                <w:color w:val="auto"/>
              </w:rPr>
            </w:pPr>
          </w:p>
        </w:tc>
        <w:tc>
          <w:tcPr>
            <w:tcW w:w="160" w:type="dxa"/>
            <w:vAlign w:val="bottom"/>
            <w:shd w:val="clear" w:color="auto" w:fill="002B5F"/>
          </w:tcPr>
          <w:p>
            <w:pPr>
              <w:spacing w:after="0"/>
              <w:rPr>
                <w:sz w:val="11"/>
                <w:szCs w:val="11"/>
                <w:color w:val="auto"/>
              </w:rPr>
            </w:pPr>
          </w:p>
        </w:tc>
        <w:tc>
          <w:tcPr>
            <w:tcW w:w="160" w:type="dxa"/>
            <w:vAlign w:val="bottom"/>
            <w:shd w:val="clear" w:color="auto" w:fill="002B5F"/>
          </w:tcPr>
          <w:p>
            <w:pPr>
              <w:spacing w:after="0"/>
              <w:rPr>
                <w:sz w:val="11"/>
                <w:szCs w:val="11"/>
                <w:color w:val="auto"/>
              </w:rPr>
            </w:pPr>
          </w:p>
        </w:tc>
        <w:tc>
          <w:tcPr>
            <w:tcW w:w="220" w:type="dxa"/>
            <w:vAlign w:val="bottom"/>
            <w:shd w:val="clear" w:color="auto" w:fill="002B5F"/>
          </w:tcPr>
          <w:p>
            <w:pPr>
              <w:spacing w:after="0"/>
              <w:rPr>
                <w:sz w:val="11"/>
                <w:szCs w:val="11"/>
                <w:color w:val="auto"/>
              </w:rPr>
            </w:pPr>
          </w:p>
        </w:tc>
        <w:tc>
          <w:tcPr>
            <w:tcW w:w="1200" w:type="dxa"/>
            <w:vAlign w:val="bottom"/>
            <w:shd w:val="clear" w:color="auto" w:fill="002B5F"/>
          </w:tcPr>
          <w:p>
            <w:pPr>
              <w:ind w:left="80"/>
              <w:spacing w:after="0" w:line="128" w:lineRule="exact"/>
              <w:rPr>
                <w:sz w:val="20"/>
                <w:szCs w:val="20"/>
                <w:color w:val="auto"/>
              </w:rPr>
            </w:pPr>
            <w:r>
              <w:rPr>
                <w:rFonts w:ascii="Arial" w:cs="Arial" w:eastAsia="Arial" w:hAnsi="Arial"/>
                <w:sz w:val="12"/>
                <w:szCs w:val="12"/>
                <w:color w:val="FFFFFF"/>
              </w:rPr>
              <w:t> </w:t>
            </w:r>
          </w:p>
        </w:tc>
      </w:tr>
      <w:tr>
        <w:trPr>
          <w:trHeight w:val="128"/>
        </w:trPr>
        <w:tc>
          <w:tcPr>
            <w:tcW w:w="120" w:type="dxa"/>
            <w:vAlign w:val="bottom"/>
            <w:shd w:val="clear" w:color="auto" w:fill="002B5F"/>
          </w:tcPr>
          <w:p>
            <w:pPr>
              <w:spacing w:after="0"/>
              <w:rPr>
                <w:sz w:val="11"/>
                <w:szCs w:val="11"/>
                <w:color w:val="auto"/>
              </w:rPr>
            </w:pPr>
          </w:p>
        </w:tc>
        <w:tc>
          <w:tcPr>
            <w:tcW w:w="160" w:type="dxa"/>
            <w:vAlign w:val="bottom"/>
            <w:shd w:val="clear" w:color="auto" w:fill="002B5F"/>
          </w:tcPr>
          <w:p>
            <w:pPr>
              <w:spacing w:after="0"/>
              <w:rPr>
                <w:sz w:val="11"/>
                <w:szCs w:val="11"/>
                <w:color w:val="auto"/>
              </w:rPr>
            </w:pPr>
          </w:p>
        </w:tc>
        <w:tc>
          <w:tcPr>
            <w:tcW w:w="160" w:type="dxa"/>
            <w:vAlign w:val="bottom"/>
            <w:shd w:val="clear" w:color="auto" w:fill="002B5F"/>
          </w:tcPr>
          <w:p>
            <w:pPr>
              <w:spacing w:after="0"/>
              <w:rPr>
                <w:sz w:val="11"/>
                <w:szCs w:val="11"/>
                <w:color w:val="auto"/>
              </w:rPr>
            </w:pPr>
          </w:p>
        </w:tc>
        <w:tc>
          <w:tcPr>
            <w:tcW w:w="220" w:type="dxa"/>
            <w:vAlign w:val="bottom"/>
            <w:shd w:val="clear" w:color="auto" w:fill="002B5F"/>
          </w:tcPr>
          <w:p>
            <w:pPr>
              <w:spacing w:after="0"/>
              <w:rPr>
                <w:sz w:val="11"/>
                <w:szCs w:val="11"/>
                <w:color w:val="auto"/>
              </w:rPr>
            </w:pPr>
          </w:p>
        </w:tc>
        <w:tc>
          <w:tcPr>
            <w:tcW w:w="1200" w:type="dxa"/>
            <w:vAlign w:val="bottom"/>
            <w:shd w:val="clear" w:color="auto" w:fill="002B5F"/>
          </w:tcPr>
          <w:p>
            <w:pPr>
              <w:ind w:left="80"/>
              <w:spacing w:after="0" w:line="128" w:lineRule="exact"/>
              <w:rPr>
                <w:sz w:val="20"/>
                <w:szCs w:val="20"/>
                <w:color w:val="auto"/>
              </w:rPr>
            </w:pPr>
            <w:r>
              <w:rPr>
                <w:rFonts w:ascii="Arial" w:cs="Arial" w:eastAsia="Arial" w:hAnsi="Arial"/>
                <w:sz w:val="12"/>
                <w:szCs w:val="12"/>
                <w:color w:val="FFFFFF"/>
              </w:rPr>
              <w:t> </w:t>
            </w:r>
          </w:p>
        </w:tc>
      </w:tr>
      <w:tr>
        <w:trPr>
          <w:trHeight w:val="158"/>
        </w:trPr>
        <w:tc>
          <w:tcPr>
            <w:tcW w:w="120" w:type="dxa"/>
            <w:vAlign w:val="bottom"/>
            <w:shd w:val="clear" w:color="auto" w:fill="002B5F"/>
          </w:tcPr>
          <w:p>
            <w:pPr>
              <w:spacing w:after="0"/>
              <w:rPr>
                <w:sz w:val="13"/>
                <w:szCs w:val="13"/>
                <w:color w:val="auto"/>
              </w:rPr>
            </w:pPr>
          </w:p>
        </w:tc>
        <w:tc>
          <w:tcPr>
            <w:tcW w:w="160" w:type="dxa"/>
            <w:vAlign w:val="bottom"/>
            <w:shd w:val="clear" w:color="auto" w:fill="002B5F"/>
          </w:tcPr>
          <w:p>
            <w:pPr>
              <w:spacing w:after="0"/>
              <w:rPr>
                <w:sz w:val="13"/>
                <w:szCs w:val="13"/>
                <w:color w:val="auto"/>
              </w:rPr>
            </w:pPr>
          </w:p>
        </w:tc>
        <w:tc>
          <w:tcPr>
            <w:tcW w:w="160" w:type="dxa"/>
            <w:vAlign w:val="bottom"/>
            <w:shd w:val="clear" w:color="auto" w:fill="002B5F"/>
          </w:tcPr>
          <w:p>
            <w:pPr>
              <w:spacing w:after="0"/>
              <w:rPr>
                <w:sz w:val="13"/>
                <w:szCs w:val="13"/>
                <w:color w:val="auto"/>
              </w:rPr>
            </w:pPr>
          </w:p>
        </w:tc>
        <w:tc>
          <w:tcPr>
            <w:tcW w:w="220" w:type="dxa"/>
            <w:vAlign w:val="bottom"/>
            <w:shd w:val="clear" w:color="auto" w:fill="002B5F"/>
          </w:tcPr>
          <w:p>
            <w:pPr>
              <w:spacing w:after="0"/>
              <w:rPr>
                <w:sz w:val="13"/>
                <w:szCs w:val="13"/>
                <w:color w:val="auto"/>
              </w:rPr>
            </w:pPr>
          </w:p>
        </w:tc>
        <w:tc>
          <w:tcPr>
            <w:tcW w:w="1200" w:type="dxa"/>
            <w:vAlign w:val="bottom"/>
            <w:shd w:val="clear" w:color="auto" w:fill="002B5F"/>
          </w:tcPr>
          <w:p>
            <w:pPr>
              <w:ind w:left="80"/>
              <w:spacing w:after="0"/>
              <w:rPr>
                <w:sz w:val="20"/>
                <w:szCs w:val="20"/>
                <w:color w:val="auto"/>
              </w:rPr>
            </w:pPr>
            <w:r>
              <w:rPr>
                <w:rFonts w:ascii="Arial" w:cs="Arial" w:eastAsia="Arial" w:hAnsi="Arial"/>
                <w:sz w:val="12"/>
                <w:szCs w:val="12"/>
                <w:color w:val="FFFFFF"/>
              </w:rPr>
              <w:t> </w:t>
            </w:r>
          </w:p>
        </w:tc>
      </w:tr>
      <w:tr>
        <w:trPr>
          <w:trHeight w:val="340"/>
        </w:trPr>
        <w:tc>
          <w:tcPr>
            <w:tcW w:w="120" w:type="dxa"/>
            <w:vAlign w:val="bottom"/>
            <w:shd w:val="clear" w:color="auto" w:fill="002B5F"/>
          </w:tcPr>
          <w:p>
            <w:pPr>
              <w:spacing w:after="0"/>
              <w:rPr>
                <w:sz w:val="24"/>
                <w:szCs w:val="24"/>
                <w:color w:val="auto"/>
              </w:rPr>
            </w:pPr>
          </w:p>
        </w:tc>
        <w:tc>
          <w:tcPr>
            <w:tcW w:w="160" w:type="dxa"/>
            <w:vAlign w:val="bottom"/>
            <w:shd w:val="clear" w:color="auto" w:fill="002B5F"/>
          </w:tcPr>
          <w:p>
            <w:pPr>
              <w:spacing w:after="0"/>
              <w:rPr>
                <w:sz w:val="24"/>
                <w:szCs w:val="24"/>
                <w:color w:val="auto"/>
              </w:rPr>
            </w:pPr>
          </w:p>
        </w:tc>
        <w:tc>
          <w:tcPr>
            <w:tcW w:w="160" w:type="dxa"/>
            <w:vAlign w:val="bottom"/>
            <w:shd w:val="clear" w:color="auto" w:fill="002B5F"/>
          </w:tcPr>
          <w:p>
            <w:pPr>
              <w:spacing w:after="0"/>
              <w:rPr>
                <w:sz w:val="24"/>
                <w:szCs w:val="24"/>
                <w:color w:val="auto"/>
              </w:rPr>
            </w:pPr>
          </w:p>
        </w:tc>
        <w:tc>
          <w:tcPr>
            <w:tcW w:w="220" w:type="dxa"/>
            <w:vAlign w:val="bottom"/>
            <w:shd w:val="clear" w:color="auto" w:fill="002B5F"/>
          </w:tcPr>
          <w:p>
            <w:pPr>
              <w:spacing w:after="0"/>
              <w:rPr>
                <w:sz w:val="24"/>
                <w:szCs w:val="24"/>
                <w:color w:val="auto"/>
              </w:rPr>
            </w:pPr>
          </w:p>
        </w:tc>
        <w:tc>
          <w:tcPr>
            <w:tcW w:w="1200" w:type="dxa"/>
            <w:vAlign w:val="bottom"/>
            <w:shd w:val="clear" w:color="auto" w:fill="002B5F"/>
          </w:tcPr>
          <w:p>
            <w:pPr>
              <w:ind w:left="80"/>
              <w:spacing w:after="0"/>
              <w:rPr>
                <w:sz w:val="20"/>
                <w:szCs w:val="20"/>
                <w:color w:val="auto"/>
              </w:rPr>
            </w:pPr>
            <w:r>
              <w:rPr>
                <w:rFonts w:ascii="Arial" w:cs="Arial" w:eastAsia="Arial" w:hAnsi="Arial"/>
                <w:sz w:val="12"/>
                <w:szCs w:val="12"/>
                <w:color w:val="FFFFFF"/>
              </w:rPr>
              <w:t> </w:t>
            </w:r>
          </w:p>
        </w:tc>
      </w:tr>
      <w:tr>
        <w:trPr>
          <w:trHeight w:val="128"/>
        </w:trPr>
        <w:tc>
          <w:tcPr>
            <w:tcW w:w="120" w:type="dxa"/>
            <w:vAlign w:val="bottom"/>
            <w:shd w:val="clear" w:color="auto" w:fill="002B5F"/>
          </w:tcPr>
          <w:p>
            <w:pPr>
              <w:spacing w:after="0"/>
              <w:rPr>
                <w:sz w:val="11"/>
                <w:szCs w:val="11"/>
                <w:color w:val="auto"/>
              </w:rPr>
            </w:pPr>
          </w:p>
        </w:tc>
        <w:tc>
          <w:tcPr>
            <w:tcW w:w="160" w:type="dxa"/>
            <w:vAlign w:val="bottom"/>
            <w:shd w:val="clear" w:color="auto" w:fill="002B5F"/>
          </w:tcPr>
          <w:p>
            <w:pPr>
              <w:spacing w:after="0"/>
              <w:rPr>
                <w:sz w:val="11"/>
                <w:szCs w:val="11"/>
                <w:color w:val="auto"/>
              </w:rPr>
            </w:pPr>
          </w:p>
        </w:tc>
        <w:tc>
          <w:tcPr>
            <w:tcW w:w="160" w:type="dxa"/>
            <w:vAlign w:val="bottom"/>
            <w:shd w:val="clear" w:color="auto" w:fill="002B5F"/>
          </w:tcPr>
          <w:p>
            <w:pPr>
              <w:spacing w:after="0"/>
              <w:rPr>
                <w:sz w:val="11"/>
                <w:szCs w:val="11"/>
                <w:color w:val="auto"/>
              </w:rPr>
            </w:pPr>
          </w:p>
        </w:tc>
        <w:tc>
          <w:tcPr>
            <w:tcW w:w="220" w:type="dxa"/>
            <w:vAlign w:val="bottom"/>
            <w:shd w:val="clear" w:color="auto" w:fill="002B5F"/>
          </w:tcPr>
          <w:p>
            <w:pPr>
              <w:spacing w:after="0"/>
              <w:rPr>
                <w:sz w:val="11"/>
                <w:szCs w:val="11"/>
                <w:color w:val="auto"/>
              </w:rPr>
            </w:pPr>
          </w:p>
        </w:tc>
        <w:tc>
          <w:tcPr>
            <w:tcW w:w="1200" w:type="dxa"/>
            <w:vAlign w:val="bottom"/>
            <w:shd w:val="clear" w:color="auto" w:fill="002B5F"/>
          </w:tcPr>
          <w:p>
            <w:pPr>
              <w:ind w:left="80"/>
              <w:spacing w:after="0" w:line="128" w:lineRule="exact"/>
              <w:rPr>
                <w:sz w:val="20"/>
                <w:szCs w:val="20"/>
                <w:color w:val="auto"/>
              </w:rPr>
            </w:pPr>
            <w:r>
              <w:rPr>
                <w:rFonts w:ascii="Arial" w:cs="Arial" w:eastAsia="Arial" w:hAnsi="Arial"/>
                <w:sz w:val="12"/>
                <w:szCs w:val="12"/>
                <w:color w:val="FFFFFF"/>
              </w:rPr>
              <w:t> </w:t>
            </w:r>
          </w:p>
        </w:tc>
      </w:tr>
      <w:tr>
        <w:trPr>
          <w:trHeight w:val="128"/>
        </w:trPr>
        <w:tc>
          <w:tcPr>
            <w:tcW w:w="120" w:type="dxa"/>
            <w:vAlign w:val="bottom"/>
            <w:shd w:val="clear" w:color="auto" w:fill="002B5F"/>
          </w:tcPr>
          <w:p>
            <w:pPr>
              <w:spacing w:after="0"/>
              <w:rPr>
                <w:sz w:val="11"/>
                <w:szCs w:val="11"/>
                <w:color w:val="auto"/>
              </w:rPr>
            </w:pPr>
          </w:p>
        </w:tc>
        <w:tc>
          <w:tcPr>
            <w:tcW w:w="160" w:type="dxa"/>
            <w:vAlign w:val="bottom"/>
            <w:shd w:val="clear" w:color="auto" w:fill="002B5F"/>
          </w:tcPr>
          <w:p>
            <w:pPr>
              <w:spacing w:after="0"/>
              <w:rPr>
                <w:sz w:val="11"/>
                <w:szCs w:val="11"/>
                <w:color w:val="auto"/>
              </w:rPr>
            </w:pPr>
          </w:p>
        </w:tc>
        <w:tc>
          <w:tcPr>
            <w:tcW w:w="160" w:type="dxa"/>
            <w:vAlign w:val="bottom"/>
            <w:shd w:val="clear" w:color="auto" w:fill="002B5F"/>
          </w:tcPr>
          <w:p>
            <w:pPr>
              <w:spacing w:after="0"/>
              <w:rPr>
                <w:sz w:val="11"/>
                <w:szCs w:val="11"/>
                <w:color w:val="auto"/>
              </w:rPr>
            </w:pPr>
          </w:p>
        </w:tc>
        <w:tc>
          <w:tcPr>
            <w:tcW w:w="220" w:type="dxa"/>
            <w:vAlign w:val="bottom"/>
            <w:shd w:val="clear" w:color="auto" w:fill="002B5F"/>
          </w:tcPr>
          <w:p>
            <w:pPr>
              <w:spacing w:after="0"/>
              <w:rPr>
                <w:sz w:val="11"/>
                <w:szCs w:val="11"/>
                <w:color w:val="auto"/>
              </w:rPr>
            </w:pPr>
          </w:p>
        </w:tc>
        <w:tc>
          <w:tcPr>
            <w:tcW w:w="1200" w:type="dxa"/>
            <w:vAlign w:val="bottom"/>
            <w:shd w:val="clear" w:color="auto" w:fill="002B5F"/>
          </w:tcPr>
          <w:p>
            <w:pPr>
              <w:ind w:left="80"/>
              <w:spacing w:after="0" w:line="128" w:lineRule="exact"/>
              <w:rPr>
                <w:sz w:val="20"/>
                <w:szCs w:val="20"/>
                <w:color w:val="auto"/>
              </w:rPr>
            </w:pPr>
            <w:r>
              <w:rPr>
                <w:rFonts w:ascii="Arial" w:cs="Arial" w:eastAsia="Arial" w:hAnsi="Arial"/>
                <w:sz w:val="12"/>
                <w:szCs w:val="12"/>
                <w:color w:val="FFFFFF"/>
              </w:rPr>
              <w:t> </w:t>
            </w:r>
          </w:p>
        </w:tc>
      </w:tr>
      <w:tr>
        <w:trPr>
          <w:trHeight w:val="158"/>
        </w:trPr>
        <w:tc>
          <w:tcPr>
            <w:tcW w:w="120" w:type="dxa"/>
            <w:vAlign w:val="bottom"/>
            <w:shd w:val="clear" w:color="auto" w:fill="002B5F"/>
          </w:tcPr>
          <w:p>
            <w:pPr>
              <w:spacing w:after="0"/>
              <w:rPr>
                <w:sz w:val="13"/>
                <w:szCs w:val="13"/>
                <w:color w:val="auto"/>
              </w:rPr>
            </w:pPr>
          </w:p>
        </w:tc>
        <w:tc>
          <w:tcPr>
            <w:tcW w:w="160" w:type="dxa"/>
            <w:vAlign w:val="bottom"/>
            <w:shd w:val="clear" w:color="auto" w:fill="002B5F"/>
          </w:tcPr>
          <w:p>
            <w:pPr>
              <w:spacing w:after="0"/>
              <w:rPr>
                <w:sz w:val="13"/>
                <w:szCs w:val="13"/>
                <w:color w:val="auto"/>
              </w:rPr>
            </w:pPr>
          </w:p>
        </w:tc>
        <w:tc>
          <w:tcPr>
            <w:tcW w:w="160" w:type="dxa"/>
            <w:vAlign w:val="bottom"/>
            <w:shd w:val="clear" w:color="auto" w:fill="002B5F"/>
          </w:tcPr>
          <w:p>
            <w:pPr>
              <w:spacing w:after="0"/>
              <w:rPr>
                <w:sz w:val="13"/>
                <w:szCs w:val="13"/>
                <w:color w:val="auto"/>
              </w:rPr>
            </w:pPr>
          </w:p>
        </w:tc>
        <w:tc>
          <w:tcPr>
            <w:tcW w:w="220" w:type="dxa"/>
            <w:vAlign w:val="bottom"/>
            <w:shd w:val="clear" w:color="auto" w:fill="002B5F"/>
          </w:tcPr>
          <w:p>
            <w:pPr>
              <w:spacing w:after="0"/>
              <w:rPr>
                <w:sz w:val="13"/>
                <w:szCs w:val="13"/>
                <w:color w:val="auto"/>
              </w:rPr>
            </w:pPr>
          </w:p>
        </w:tc>
        <w:tc>
          <w:tcPr>
            <w:tcW w:w="1200" w:type="dxa"/>
            <w:vAlign w:val="bottom"/>
            <w:shd w:val="clear" w:color="auto" w:fill="002B5F"/>
          </w:tcPr>
          <w:p>
            <w:pPr>
              <w:ind w:left="80"/>
              <w:spacing w:after="0"/>
              <w:rPr>
                <w:sz w:val="20"/>
                <w:szCs w:val="20"/>
                <w:color w:val="auto"/>
              </w:rPr>
            </w:pPr>
            <w:r>
              <w:rPr>
                <w:rFonts w:ascii="Arial" w:cs="Arial" w:eastAsia="Arial" w:hAnsi="Arial"/>
                <w:sz w:val="12"/>
                <w:szCs w:val="12"/>
                <w:color w:val="FFFFFF"/>
              </w:rPr>
              <w:t> </w:t>
            </w:r>
          </w:p>
        </w:tc>
      </w:tr>
      <w:tr>
        <w:trPr>
          <w:trHeight w:val="370"/>
        </w:trPr>
        <w:tc>
          <w:tcPr>
            <w:tcW w:w="120" w:type="dxa"/>
            <w:vAlign w:val="bottom"/>
            <w:shd w:val="clear" w:color="auto" w:fill="002B5F"/>
          </w:tcPr>
          <w:p>
            <w:pPr>
              <w:spacing w:after="0"/>
              <w:rPr>
                <w:sz w:val="24"/>
                <w:szCs w:val="24"/>
                <w:color w:val="auto"/>
              </w:rPr>
            </w:pPr>
          </w:p>
        </w:tc>
        <w:tc>
          <w:tcPr>
            <w:tcW w:w="160" w:type="dxa"/>
            <w:vAlign w:val="bottom"/>
            <w:shd w:val="clear" w:color="auto" w:fill="002B5F"/>
          </w:tcPr>
          <w:p>
            <w:pPr>
              <w:spacing w:after="0"/>
              <w:rPr>
                <w:sz w:val="24"/>
                <w:szCs w:val="24"/>
                <w:color w:val="auto"/>
              </w:rPr>
            </w:pPr>
          </w:p>
        </w:tc>
        <w:tc>
          <w:tcPr>
            <w:tcW w:w="160" w:type="dxa"/>
            <w:vAlign w:val="bottom"/>
            <w:shd w:val="clear" w:color="auto" w:fill="002B5F"/>
          </w:tcPr>
          <w:p>
            <w:pPr>
              <w:spacing w:after="0"/>
              <w:rPr>
                <w:sz w:val="24"/>
                <w:szCs w:val="24"/>
                <w:color w:val="auto"/>
              </w:rPr>
            </w:pPr>
          </w:p>
        </w:tc>
        <w:tc>
          <w:tcPr>
            <w:tcW w:w="220" w:type="dxa"/>
            <w:vAlign w:val="bottom"/>
            <w:shd w:val="clear" w:color="auto" w:fill="002B5F"/>
          </w:tcPr>
          <w:p>
            <w:pPr>
              <w:spacing w:after="0"/>
              <w:rPr>
                <w:sz w:val="24"/>
                <w:szCs w:val="24"/>
                <w:color w:val="auto"/>
              </w:rPr>
            </w:pPr>
          </w:p>
        </w:tc>
        <w:tc>
          <w:tcPr>
            <w:tcW w:w="1200" w:type="dxa"/>
            <w:vAlign w:val="bottom"/>
            <w:shd w:val="clear" w:color="auto" w:fill="002B5F"/>
          </w:tcPr>
          <w:p>
            <w:pPr>
              <w:ind w:left="80"/>
              <w:spacing w:after="0"/>
              <w:rPr>
                <w:sz w:val="20"/>
                <w:szCs w:val="20"/>
                <w:color w:val="auto"/>
              </w:rPr>
            </w:pPr>
            <w:r>
              <w:rPr>
                <w:rFonts w:ascii="Arial" w:cs="Arial" w:eastAsia="Arial" w:hAnsi="Arial"/>
                <w:sz w:val="12"/>
                <w:szCs w:val="12"/>
                <w:color w:val="FFFFFF"/>
              </w:rPr>
              <w:t> </w:t>
            </w:r>
          </w:p>
        </w:tc>
      </w:tr>
      <w:tr>
        <w:trPr>
          <w:trHeight w:val="340"/>
        </w:trPr>
        <w:tc>
          <w:tcPr>
            <w:tcW w:w="120" w:type="dxa"/>
            <w:vAlign w:val="bottom"/>
            <w:shd w:val="clear" w:color="auto" w:fill="002B5F"/>
          </w:tcPr>
          <w:p>
            <w:pPr>
              <w:spacing w:after="0"/>
              <w:rPr>
                <w:sz w:val="24"/>
                <w:szCs w:val="24"/>
                <w:color w:val="auto"/>
              </w:rPr>
            </w:pPr>
          </w:p>
        </w:tc>
        <w:tc>
          <w:tcPr>
            <w:tcW w:w="160" w:type="dxa"/>
            <w:vAlign w:val="bottom"/>
            <w:shd w:val="clear" w:color="auto" w:fill="002B5F"/>
          </w:tcPr>
          <w:p>
            <w:pPr>
              <w:spacing w:after="0"/>
              <w:rPr>
                <w:sz w:val="24"/>
                <w:szCs w:val="24"/>
                <w:color w:val="auto"/>
              </w:rPr>
            </w:pPr>
          </w:p>
        </w:tc>
        <w:tc>
          <w:tcPr>
            <w:tcW w:w="160" w:type="dxa"/>
            <w:vAlign w:val="bottom"/>
            <w:shd w:val="clear" w:color="auto" w:fill="002B5F"/>
          </w:tcPr>
          <w:p>
            <w:pPr>
              <w:spacing w:after="0"/>
              <w:rPr>
                <w:sz w:val="24"/>
                <w:szCs w:val="24"/>
                <w:color w:val="auto"/>
              </w:rPr>
            </w:pPr>
          </w:p>
        </w:tc>
        <w:tc>
          <w:tcPr>
            <w:tcW w:w="220" w:type="dxa"/>
            <w:vAlign w:val="bottom"/>
            <w:shd w:val="clear" w:color="auto" w:fill="002B5F"/>
          </w:tcPr>
          <w:p>
            <w:pPr>
              <w:spacing w:after="0"/>
              <w:rPr>
                <w:sz w:val="24"/>
                <w:szCs w:val="24"/>
                <w:color w:val="auto"/>
              </w:rPr>
            </w:pPr>
          </w:p>
        </w:tc>
        <w:tc>
          <w:tcPr>
            <w:tcW w:w="1200" w:type="dxa"/>
            <w:vAlign w:val="bottom"/>
            <w:shd w:val="clear" w:color="auto" w:fill="002B5F"/>
          </w:tcPr>
          <w:p>
            <w:pPr>
              <w:ind w:left="80"/>
              <w:spacing w:after="0"/>
              <w:rPr>
                <w:sz w:val="20"/>
                <w:szCs w:val="20"/>
                <w:color w:val="auto"/>
              </w:rPr>
            </w:pPr>
            <w:r>
              <w:rPr>
                <w:rFonts w:ascii="Arial" w:cs="Arial" w:eastAsia="Arial" w:hAnsi="Arial"/>
                <w:sz w:val="12"/>
                <w:szCs w:val="12"/>
                <w:color w:val="FFFFFF"/>
              </w:rPr>
              <w:t> </w:t>
            </w:r>
          </w:p>
        </w:tc>
      </w:tr>
      <w:tr>
        <w:trPr>
          <w:trHeight w:val="128"/>
        </w:trPr>
        <w:tc>
          <w:tcPr>
            <w:tcW w:w="120" w:type="dxa"/>
            <w:vAlign w:val="bottom"/>
            <w:shd w:val="clear" w:color="auto" w:fill="002B5F"/>
          </w:tcPr>
          <w:p>
            <w:pPr>
              <w:spacing w:after="0"/>
              <w:rPr>
                <w:sz w:val="11"/>
                <w:szCs w:val="11"/>
                <w:color w:val="auto"/>
              </w:rPr>
            </w:pPr>
          </w:p>
        </w:tc>
        <w:tc>
          <w:tcPr>
            <w:tcW w:w="160" w:type="dxa"/>
            <w:vAlign w:val="bottom"/>
            <w:shd w:val="clear" w:color="auto" w:fill="002B5F"/>
          </w:tcPr>
          <w:p>
            <w:pPr>
              <w:spacing w:after="0"/>
              <w:rPr>
                <w:sz w:val="11"/>
                <w:szCs w:val="11"/>
                <w:color w:val="auto"/>
              </w:rPr>
            </w:pPr>
          </w:p>
        </w:tc>
        <w:tc>
          <w:tcPr>
            <w:tcW w:w="160" w:type="dxa"/>
            <w:vAlign w:val="bottom"/>
            <w:shd w:val="clear" w:color="auto" w:fill="002B5F"/>
          </w:tcPr>
          <w:p>
            <w:pPr>
              <w:spacing w:after="0"/>
              <w:rPr>
                <w:sz w:val="11"/>
                <w:szCs w:val="11"/>
                <w:color w:val="auto"/>
              </w:rPr>
            </w:pPr>
          </w:p>
        </w:tc>
        <w:tc>
          <w:tcPr>
            <w:tcW w:w="220" w:type="dxa"/>
            <w:vAlign w:val="bottom"/>
            <w:shd w:val="clear" w:color="auto" w:fill="002B5F"/>
          </w:tcPr>
          <w:p>
            <w:pPr>
              <w:spacing w:after="0"/>
              <w:rPr>
                <w:sz w:val="11"/>
                <w:szCs w:val="11"/>
                <w:color w:val="auto"/>
              </w:rPr>
            </w:pPr>
          </w:p>
        </w:tc>
        <w:tc>
          <w:tcPr>
            <w:tcW w:w="1200" w:type="dxa"/>
            <w:vAlign w:val="bottom"/>
            <w:shd w:val="clear" w:color="auto" w:fill="002B5F"/>
          </w:tcPr>
          <w:p>
            <w:pPr>
              <w:ind w:left="80"/>
              <w:spacing w:after="0" w:line="128" w:lineRule="exact"/>
              <w:rPr>
                <w:sz w:val="20"/>
                <w:szCs w:val="20"/>
                <w:color w:val="auto"/>
              </w:rPr>
            </w:pPr>
            <w:r>
              <w:rPr>
                <w:rFonts w:ascii="Arial" w:cs="Arial" w:eastAsia="Arial" w:hAnsi="Arial"/>
                <w:sz w:val="12"/>
                <w:szCs w:val="12"/>
                <w:color w:val="FFFFFF"/>
              </w:rPr>
              <w:t> </w:t>
            </w:r>
          </w:p>
        </w:tc>
      </w:tr>
      <w:tr>
        <w:trPr>
          <w:trHeight w:val="128"/>
        </w:trPr>
        <w:tc>
          <w:tcPr>
            <w:tcW w:w="120" w:type="dxa"/>
            <w:vAlign w:val="bottom"/>
            <w:shd w:val="clear" w:color="auto" w:fill="002B5F"/>
          </w:tcPr>
          <w:p>
            <w:pPr>
              <w:spacing w:after="0"/>
              <w:rPr>
                <w:sz w:val="11"/>
                <w:szCs w:val="11"/>
                <w:color w:val="auto"/>
              </w:rPr>
            </w:pPr>
          </w:p>
        </w:tc>
        <w:tc>
          <w:tcPr>
            <w:tcW w:w="160" w:type="dxa"/>
            <w:vAlign w:val="bottom"/>
            <w:shd w:val="clear" w:color="auto" w:fill="002B5F"/>
          </w:tcPr>
          <w:p>
            <w:pPr>
              <w:spacing w:after="0"/>
              <w:rPr>
                <w:sz w:val="11"/>
                <w:szCs w:val="11"/>
                <w:color w:val="auto"/>
              </w:rPr>
            </w:pPr>
          </w:p>
        </w:tc>
        <w:tc>
          <w:tcPr>
            <w:tcW w:w="160" w:type="dxa"/>
            <w:vAlign w:val="bottom"/>
            <w:shd w:val="clear" w:color="auto" w:fill="002B5F"/>
          </w:tcPr>
          <w:p>
            <w:pPr>
              <w:spacing w:after="0"/>
              <w:rPr>
                <w:sz w:val="11"/>
                <w:szCs w:val="11"/>
                <w:color w:val="auto"/>
              </w:rPr>
            </w:pPr>
          </w:p>
        </w:tc>
        <w:tc>
          <w:tcPr>
            <w:tcW w:w="220" w:type="dxa"/>
            <w:vAlign w:val="bottom"/>
            <w:shd w:val="clear" w:color="auto" w:fill="002B5F"/>
          </w:tcPr>
          <w:p>
            <w:pPr>
              <w:spacing w:after="0"/>
              <w:rPr>
                <w:sz w:val="11"/>
                <w:szCs w:val="11"/>
                <w:color w:val="auto"/>
              </w:rPr>
            </w:pPr>
          </w:p>
        </w:tc>
        <w:tc>
          <w:tcPr>
            <w:tcW w:w="1200" w:type="dxa"/>
            <w:vAlign w:val="bottom"/>
            <w:shd w:val="clear" w:color="auto" w:fill="002B5F"/>
          </w:tcPr>
          <w:p>
            <w:pPr>
              <w:ind w:left="80"/>
              <w:spacing w:after="0" w:line="128" w:lineRule="exact"/>
              <w:rPr>
                <w:sz w:val="20"/>
                <w:szCs w:val="20"/>
                <w:color w:val="auto"/>
              </w:rPr>
            </w:pPr>
            <w:r>
              <w:rPr>
                <w:rFonts w:ascii="Arial" w:cs="Arial" w:eastAsia="Arial" w:hAnsi="Arial"/>
                <w:sz w:val="12"/>
                <w:szCs w:val="12"/>
                <w:color w:val="FFFFFF"/>
              </w:rPr>
              <w:t> </w:t>
            </w:r>
          </w:p>
        </w:tc>
      </w:tr>
      <w:tr>
        <w:trPr>
          <w:trHeight w:val="158"/>
        </w:trPr>
        <w:tc>
          <w:tcPr>
            <w:tcW w:w="120" w:type="dxa"/>
            <w:vAlign w:val="bottom"/>
            <w:shd w:val="clear" w:color="auto" w:fill="002B5F"/>
          </w:tcPr>
          <w:p>
            <w:pPr>
              <w:spacing w:after="0"/>
              <w:rPr>
                <w:sz w:val="13"/>
                <w:szCs w:val="13"/>
                <w:color w:val="auto"/>
              </w:rPr>
            </w:pPr>
          </w:p>
        </w:tc>
        <w:tc>
          <w:tcPr>
            <w:tcW w:w="160" w:type="dxa"/>
            <w:vAlign w:val="bottom"/>
            <w:shd w:val="clear" w:color="auto" w:fill="002B5F"/>
          </w:tcPr>
          <w:p>
            <w:pPr>
              <w:spacing w:after="0"/>
              <w:rPr>
                <w:sz w:val="13"/>
                <w:szCs w:val="13"/>
                <w:color w:val="auto"/>
              </w:rPr>
            </w:pPr>
          </w:p>
        </w:tc>
        <w:tc>
          <w:tcPr>
            <w:tcW w:w="160" w:type="dxa"/>
            <w:vAlign w:val="bottom"/>
            <w:shd w:val="clear" w:color="auto" w:fill="002B5F"/>
          </w:tcPr>
          <w:p>
            <w:pPr>
              <w:spacing w:after="0"/>
              <w:rPr>
                <w:sz w:val="13"/>
                <w:szCs w:val="13"/>
                <w:color w:val="auto"/>
              </w:rPr>
            </w:pPr>
          </w:p>
        </w:tc>
        <w:tc>
          <w:tcPr>
            <w:tcW w:w="220" w:type="dxa"/>
            <w:vAlign w:val="bottom"/>
            <w:shd w:val="clear" w:color="auto" w:fill="002B5F"/>
          </w:tcPr>
          <w:p>
            <w:pPr>
              <w:spacing w:after="0"/>
              <w:rPr>
                <w:sz w:val="13"/>
                <w:szCs w:val="13"/>
                <w:color w:val="auto"/>
              </w:rPr>
            </w:pPr>
          </w:p>
        </w:tc>
        <w:tc>
          <w:tcPr>
            <w:tcW w:w="1200" w:type="dxa"/>
            <w:vAlign w:val="bottom"/>
            <w:shd w:val="clear" w:color="auto" w:fill="002B5F"/>
          </w:tcPr>
          <w:p>
            <w:pPr>
              <w:ind w:left="80"/>
              <w:spacing w:after="0"/>
              <w:rPr>
                <w:sz w:val="20"/>
                <w:szCs w:val="20"/>
                <w:color w:val="auto"/>
              </w:rPr>
            </w:pPr>
            <w:r>
              <w:rPr>
                <w:rFonts w:ascii="Arial" w:cs="Arial" w:eastAsia="Arial" w:hAnsi="Arial"/>
                <w:sz w:val="12"/>
                <w:szCs w:val="12"/>
                <w:color w:val="FFFFFF"/>
              </w:rPr>
              <w:t> </w:t>
            </w:r>
          </w:p>
        </w:tc>
      </w:tr>
      <w:tr>
        <w:trPr>
          <w:trHeight w:val="370"/>
        </w:trPr>
        <w:tc>
          <w:tcPr>
            <w:tcW w:w="120" w:type="dxa"/>
            <w:vAlign w:val="bottom"/>
            <w:shd w:val="clear" w:color="auto" w:fill="002B5F"/>
          </w:tcPr>
          <w:p>
            <w:pPr>
              <w:spacing w:after="0"/>
              <w:rPr>
                <w:sz w:val="24"/>
                <w:szCs w:val="24"/>
                <w:color w:val="auto"/>
              </w:rPr>
            </w:pPr>
          </w:p>
        </w:tc>
        <w:tc>
          <w:tcPr>
            <w:tcW w:w="160" w:type="dxa"/>
            <w:vAlign w:val="bottom"/>
            <w:shd w:val="clear" w:color="auto" w:fill="002B5F"/>
          </w:tcPr>
          <w:p>
            <w:pPr>
              <w:spacing w:after="0"/>
              <w:rPr>
                <w:sz w:val="24"/>
                <w:szCs w:val="24"/>
                <w:color w:val="auto"/>
              </w:rPr>
            </w:pPr>
          </w:p>
        </w:tc>
        <w:tc>
          <w:tcPr>
            <w:tcW w:w="160" w:type="dxa"/>
            <w:vAlign w:val="bottom"/>
            <w:shd w:val="clear" w:color="auto" w:fill="002B5F"/>
          </w:tcPr>
          <w:p>
            <w:pPr>
              <w:spacing w:after="0"/>
              <w:rPr>
                <w:sz w:val="24"/>
                <w:szCs w:val="24"/>
                <w:color w:val="auto"/>
              </w:rPr>
            </w:pPr>
          </w:p>
        </w:tc>
        <w:tc>
          <w:tcPr>
            <w:tcW w:w="220" w:type="dxa"/>
            <w:vAlign w:val="bottom"/>
            <w:shd w:val="clear" w:color="auto" w:fill="002B5F"/>
          </w:tcPr>
          <w:p>
            <w:pPr>
              <w:spacing w:after="0"/>
              <w:rPr>
                <w:sz w:val="24"/>
                <w:szCs w:val="24"/>
                <w:color w:val="auto"/>
              </w:rPr>
            </w:pPr>
          </w:p>
        </w:tc>
        <w:tc>
          <w:tcPr>
            <w:tcW w:w="1200" w:type="dxa"/>
            <w:vAlign w:val="bottom"/>
            <w:shd w:val="clear" w:color="auto" w:fill="002B5F"/>
          </w:tcPr>
          <w:p>
            <w:pPr>
              <w:ind w:left="80"/>
              <w:spacing w:after="0"/>
              <w:rPr>
                <w:sz w:val="20"/>
                <w:szCs w:val="20"/>
                <w:color w:val="auto"/>
              </w:rPr>
            </w:pPr>
            <w:r>
              <w:rPr>
                <w:rFonts w:ascii="Arial" w:cs="Arial" w:eastAsia="Arial" w:hAnsi="Arial"/>
                <w:sz w:val="12"/>
                <w:szCs w:val="12"/>
                <w:color w:val="FFFFFF"/>
              </w:rPr>
              <w:t> </w:t>
            </w:r>
          </w:p>
        </w:tc>
      </w:tr>
      <w:tr>
        <w:trPr>
          <w:trHeight w:val="340"/>
        </w:trPr>
        <w:tc>
          <w:tcPr>
            <w:tcW w:w="120" w:type="dxa"/>
            <w:vAlign w:val="bottom"/>
            <w:shd w:val="clear" w:color="auto" w:fill="002B5F"/>
          </w:tcPr>
          <w:p>
            <w:pPr>
              <w:spacing w:after="0"/>
              <w:rPr>
                <w:sz w:val="24"/>
                <w:szCs w:val="24"/>
                <w:color w:val="auto"/>
              </w:rPr>
            </w:pPr>
          </w:p>
        </w:tc>
        <w:tc>
          <w:tcPr>
            <w:tcW w:w="160" w:type="dxa"/>
            <w:vAlign w:val="bottom"/>
            <w:shd w:val="clear" w:color="auto" w:fill="002B5F"/>
          </w:tcPr>
          <w:p>
            <w:pPr>
              <w:spacing w:after="0"/>
              <w:rPr>
                <w:sz w:val="24"/>
                <w:szCs w:val="24"/>
                <w:color w:val="auto"/>
              </w:rPr>
            </w:pPr>
          </w:p>
        </w:tc>
        <w:tc>
          <w:tcPr>
            <w:tcW w:w="160" w:type="dxa"/>
            <w:vAlign w:val="bottom"/>
            <w:shd w:val="clear" w:color="auto" w:fill="002B5F"/>
          </w:tcPr>
          <w:p>
            <w:pPr>
              <w:spacing w:after="0"/>
              <w:rPr>
                <w:sz w:val="24"/>
                <w:szCs w:val="24"/>
                <w:color w:val="auto"/>
              </w:rPr>
            </w:pPr>
          </w:p>
        </w:tc>
        <w:tc>
          <w:tcPr>
            <w:tcW w:w="220" w:type="dxa"/>
            <w:vAlign w:val="bottom"/>
            <w:shd w:val="clear" w:color="auto" w:fill="002B5F"/>
          </w:tcPr>
          <w:p>
            <w:pPr>
              <w:spacing w:after="0"/>
              <w:rPr>
                <w:sz w:val="24"/>
                <w:szCs w:val="24"/>
                <w:color w:val="auto"/>
              </w:rPr>
            </w:pPr>
          </w:p>
        </w:tc>
        <w:tc>
          <w:tcPr>
            <w:tcW w:w="1200" w:type="dxa"/>
            <w:vAlign w:val="bottom"/>
            <w:shd w:val="clear" w:color="auto" w:fill="002B5F"/>
          </w:tcPr>
          <w:p>
            <w:pPr>
              <w:ind w:left="80"/>
              <w:spacing w:after="0"/>
              <w:rPr>
                <w:sz w:val="20"/>
                <w:szCs w:val="20"/>
                <w:color w:val="auto"/>
              </w:rPr>
            </w:pPr>
            <w:r>
              <w:rPr>
                <w:rFonts w:ascii="Arial" w:cs="Arial" w:eastAsia="Arial" w:hAnsi="Arial"/>
                <w:sz w:val="12"/>
                <w:szCs w:val="12"/>
                <w:color w:val="FFFFFF"/>
              </w:rPr>
              <w:t> </w:t>
            </w:r>
          </w:p>
        </w:tc>
      </w:tr>
      <w:tr>
        <w:trPr>
          <w:trHeight w:val="128"/>
        </w:trPr>
        <w:tc>
          <w:tcPr>
            <w:tcW w:w="120" w:type="dxa"/>
            <w:vAlign w:val="bottom"/>
            <w:shd w:val="clear" w:color="auto" w:fill="002B5F"/>
          </w:tcPr>
          <w:p>
            <w:pPr>
              <w:spacing w:after="0"/>
              <w:rPr>
                <w:sz w:val="11"/>
                <w:szCs w:val="11"/>
                <w:color w:val="auto"/>
              </w:rPr>
            </w:pPr>
          </w:p>
        </w:tc>
        <w:tc>
          <w:tcPr>
            <w:tcW w:w="160" w:type="dxa"/>
            <w:vAlign w:val="bottom"/>
            <w:shd w:val="clear" w:color="auto" w:fill="002B5F"/>
          </w:tcPr>
          <w:p>
            <w:pPr>
              <w:spacing w:after="0"/>
              <w:rPr>
                <w:sz w:val="11"/>
                <w:szCs w:val="11"/>
                <w:color w:val="auto"/>
              </w:rPr>
            </w:pPr>
          </w:p>
        </w:tc>
        <w:tc>
          <w:tcPr>
            <w:tcW w:w="160" w:type="dxa"/>
            <w:vAlign w:val="bottom"/>
            <w:shd w:val="clear" w:color="auto" w:fill="002B5F"/>
          </w:tcPr>
          <w:p>
            <w:pPr>
              <w:spacing w:after="0"/>
              <w:rPr>
                <w:sz w:val="11"/>
                <w:szCs w:val="11"/>
                <w:color w:val="auto"/>
              </w:rPr>
            </w:pPr>
          </w:p>
        </w:tc>
        <w:tc>
          <w:tcPr>
            <w:tcW w:w="220" w:type="dxa"/>
            <w:vAlign w:val="bottom"/>
            <w:shd w:val="clear" w:color="auto" w:fill="002B5F"/>
          </w:tcPr>
          <w:p>
            <w:pPr>
              <w:spacing w:after="0"/>
              <w:rPr>
                <w:sz w:val="11"/>
                <w:szCs w:val="11"/>
                <w:color w:val="auto"/>
              </w:rPr>
            </w:pPr>
          </w:p>
        </w:tc>
        <w:tc>
          <w:tcPr>
            <w:tcW w:w="1200" w:type="dxa"/>
            <w:vAlign w:val="bottom"/>
            <w:shd w:val="clear" w:color="auto" w:fill="002B5F"/>
          </w:tcPr>
          <w:p>
            <w:pPr>
              <w:ind w:left="80"/>
              <w:spacing w:after="0" w:line="128" w:lineRule="exact"/>
              <w:rPr>
                <w:sz w:val="20"/>
                <w:szCs w:val="20"/>
                <w:color w:val="auto"/>
              </w:rPr>
            </w:pPr>
            <w:r>
              <w:rPr>
                <w:rFonts w:ascii="Arial" w:cs="Arial" w:eastAsia="Arial" w:hAnsi="Arial"/>
                <w:sz w:val="12"/>
                <w:szCs w:val="12"/>
                <w:color w:val="FFFFFF"/>
              </w:rPr>
              <w:t> </w:t>
            </w:r>
          </w:p>
        </w:tc>
      </w:tr>
      <w:tr>
        <w:trPr>
          <w:trHeight w:val="158"/>
        </w:trPr>
        <w:tc>
          <w:tcPr>
            <w:tcW w:w="120" w:type="dxa"/>
            <w:vAlign w:val="bottom"/>
            <w:shd w:val="clear" w:color="auto" w:fill="002B5F"/>
          </w:tcPr>
          <w:p>
            <w:pPr>
              <w:spacing w:after="0"/>
              <w:rPr>
                <w:sz w:val="13"/>
                <w:szCs w:val="13"/>
                <w:color w:val="auto"/>
              </w:rPr>
            </w:pPr>
          </w:p>
        </w:tc>
        <w:tc>
          <w:tcPr>
            <w:tcW w:w="160" w:type="dxa"/>
            <w:vAlign w:val="bottom"/>
            <w:shd w:val="clear" w:color="auto" w:fill="002B5F"/>
          </w:tcPr>
          <w:p>
            <w:pPr>
              <w:spacing w:after="0"/>
              <w:rPr>
                <w:sz w:val="13"/>
                <w:szCs w:val="13"/>
                <w:color w:val="auto"/>
              </w:rPr>
            </w:pPr>
          </w:p>
        </w:tc>
        <w:tc>
          <w:tcPr>
            <w:tcW w:w="160" w:type="dxa"/>
            <w:vAlign w:val="bottom"/>
            <w:shd w:val="clear" w:color="auto" w:fill="002B5F"/>
          </w:tcPr>
          <w:p>
            <w:pPr>
              <w:spacing w:after="0"/>
              <w:rPr>
                <w:sz w:val="13"/>
                <w:szCs w:val="13"/>
                <w:color w:val="auto"/>
              </w:rPr>
            </w:pPr>
          </w:p>
        </w:tc>
        <w:tc>
          <w:tcPr>
            <w:tcW w:w="220" w:type="dxa"/>
            <w:vAlign w:val="bottom"/>
            <w:shd w:val="clear" w:color="auto" w:fill="002B5F"/>
          </w:tcPr>
          <w:p>
            <w:pPr>
              <w:spacing w:after="0"/>
              <w:rPr>
                <w:sz w:val="13"/>
                <w:szCs w:val="13"/>
                <w:color w:val="auto"/>
              </w:rPr>
            </w:pPr>
          </w:p>
        </w:tc>
        <w:tc>
          <w:tcPr>
            <w:tcW w:w="1200" w:type="dxa"/>
            <w:vAlign w:val="bottom"/>
            <w:shd w:val="clear" w:color="auto" w:fill="002B5F"/>
          </w:tcPr>
          <w:p>
            <w:pPr>
              <w:ind w:left="80"/>
              <w:spacing w:after="0"/>
              <w:rPr>
                <w:sz w:val="20"/>
                <w:szCs w:val="20"/>
                <w:color w:val="auto"/>
              </w:rPr>
            </w:pPr>
            <w:r>
              <w:rPr>
                <w:rFonts w:ascii="Arial" w:cs="Arial" w:eastAsia="Arial" w:hAnsi="Arial"/>
                <w:sz w:val="12"/>
                <w:szCs w:val="12"/>
                <w:color w:val="FFFFFF"/>
              </w:rPr>
              <w:t> </w:t>
            </w:r>
          </w:p>
        </w:tc>
      </w:tr>
      <w:tr>
        <w:trPr>
          <w:trHeight w:val="340"/>
        </w:trPr>
        <w:tc>
          <w:tcPr>
            <w:tcW w:w="120" w:type="dxa"/>
            <w:vAlign w:val="bottom"/>
            <w:shd w:val="clear" w:color="auto" w:fill="002B5F"/>
          </w:tcPr>
          <w:p>
            <w:pPr>
              <w:spacing w:after="0"/>
              <w:rPr>
                <w:sz w:val="24"/>
                <w:szCs w:val="24"/>
                <w:color w:val="auto"/>
              </w:rPr>
            </w:pPr>
          </w:p>
        </w:tc>
        <w:tc>
          <w:tcPr>
            <w:tcW w:w="160" w:type="dxa"/>
            <w:vAlign w:val="bottom"/>
            <w:shd w:val="clear" w:color="auto" w:fill="002B5F"/>
          </w:tcPr>
          <w:p>
            <w:pPr>
              <w:spacing w:after="0"/>
              <w:rPr>
                <w:sz w:val="24"/>
                <w:szCs w:val="24"/>
                <w:color w:val="auto"/>
              </w:rPr>
            </w:pPr>
          </w:p>
        </w:tc>
        <w:tc>
          <w:tcPr>
            <w:tcW w:w="160" w:type="dxa"/>
            <w:vAlign w:val="bottom"/>
            <w:shd w:val="clear" w:color="auto" w:fill="002B5F"/>
          </w:tcPr>
          <w:p>
            <w:pPr>
              <w:spacing w:after="0"/>
              <w:rPr>
                <w:sz w:val="24"/>
                <w:szCs w:val="24"/>
                <w:color w:val="auto"/>
              </w:rPr>
            </w:pPr>
          </w:p>
        </w:tc>
        <w:tc>
          <w:tcPr>
            <w:tcW w:w="220" w:type="dxa"/>
            <w:vAlign w:val="bottom"/>
            <w:shd w:val="clear" w:color="auto" w:fill="002B5F"/>
          </w:tcPr>
          <w:p>
            <w:pPr>
              <w:spacing w:after="0"/>
              <w:rPr>
                <w:sz w:val="24"/>
                <w:szCs w:val="24"/>
                <w:color w:val="auto"/>
              </w:rPr>
            </w:pPr>
          </w:p>
        </w:tc>
        <w:tc>
          <w:tcPr>
            <w:tcW w:w="1200" w:type="dxa"/>
            <w:vAlign w:val="bottom"/>
            <w:shd w:val="clear" w:color="auto" w:fill="002B5F"/>
          </w:tcPr>
          <w:p>
            <w:pPr>
              <w:ind w:left="80"/>
              <w:spacing w:after="0"/>
              <w:rPr>
                <w:sz w:val="20"/>
                <w:szCs w:val="20"/>
                <w:color w:val="auto"/>
              </w:rPr>
            </w:pPr>
            <w:r>
              <w:rPr>
                <w:rFonts w:ascii="Arial" w:cs="Arial" w:eastAsia="Arial" w:hAnsi="Arial"/>
                <w:sz w:val="12"/>
                <w:szCs w:val="12"/>
                <w:color w:val="FFFFFF"/>
              </w:rPr>
              <w:t> </w:t>
            </w:r>
          </w:p>
        </w:tc>
      </w:tr>
      <w:tr>
        <w:trPr>
          <w:trHeight w:val="128"/>
        </w:trPr>
        <w:tc>
          <w:tcPr>
            <w:tcW w:w="120" w:type="dxa"/>
            <w:vAlign w:val="bottom"/>
            <w:shd w:val="clear" w:color="auto" w:fill="002B5F"/>
          </w:tcPr>
          <w:p>
            <w:pPr>
              <w:spacing w:after="0"/>
              <w:rPr>
                <w:sz w:val="11"/>
                <w:szCs w:val="11"/>
                <w:color w:val="auto"/>
              </w:rPr>
            </w:pPr>
          </w:p>
        </w:tc>
        <w:tc>
          <w:tcPr>
            <w:tcW w:w="160" w:type="dxa"/>
            <w:vAlign w:val="bottom"/>
            <w:shd w:val="clear" w:color="auto" w:fill="002B5F"/>
          </w:tcPr>
          <w:p>
            <w:pPr>
              <w:spacing w:after="0"/>
              <w:rPr>
                <w:sz w:val="11"/>
                <w:szCs w:val="11"/>
                <w:color w:val="auto"/>
              </w:rPr>
            </w:pPr>
          </w:p>
        </w:tc>
        <w:tc>
          <w:tcPr>
            <w:tcW w:w="160" w:type="dxa"/>
            <w:vAlign w:val="bottom"/>
            <w:shd w:val="clear" w:color="auto" w:fill="002B5F"/>
          </w:tcPr>
          <w:p>
            <w:pPr>
              <w:spacing w:after="0"/>
              <w:rPr>
                <w:sz w:val="11"/>
                <w:szCs w:val="11"/>
                <w:color w:val="auto"/>
              </w:rPr>
            </w:pPr>
          </w:p>
        </w:tc>
        <w:tc>
          <w:tcPr>
            <w:tcW w:w="220" w:type="dxa"/>
            <w:vAlign w:val="bottom"/>
            <w:shd w:val="clear" w:color="auto" w:fill="002B5F"/>
          </w:tcPr>
          <w:p>
            <w:pPr>
              <w:spacing w:after="0"/>
              <w:rPr>
                <w:sz w:val="11"/>
                <w:szCs w:val="11"/>
                <w:color w:val="auto"/>
              </w:rPr>
            </w:pPr>
          </w:p>
        </w:tc>
        <w:tc>
          <w:tcPr>
            <w:tcW w:w="1200" w:type="dxa"/>
            <w:vAlign w:val="bottom"/>
            <w:shd w:val="clear" w:color="auto" w:fill="002B5F"/>
          </w:tcPr>
          <w:p>
            <w:pPr>
              <w:ind w:left="80"/>
              <w:spacing w:after="0" w:line="128" w:lineRule="exact"/>
              <w:rPr>
                <w:sz w:val="20"/>
                <w:szCs w:val="20"/>
                <w:color w:val="auto"/>
              </w:rPr>
            </w:pPr>
            <w:r>
              <w:rPr>
                <w:rFonts w:ascii="Arial" w:cs="Arial" w:eastAsia="Arial" w:hAnsi="Arial"/>
                <w:sz w:val="12"/>
                <w:szCs w:val="12"/>
                <w:color w:val="FFFFFF"/>
              </w:rPr>
              <w:t> </w:t>
            </w:r>
          </w:p>
        </w:tc>
      </w:tr>
      <w:tr>
        <w:trPr>
          <w:trHeight w:val="158"/>
        </w:trPr>
        <w:tc>
          <w:tcPr>
            <w:tcW w:w="120" w:type="dxa"/>
            <w:vAlign w:val="bottom"/>
            <w:shd w:val="clear" w:color="auto" w:fill="002B5F"/>
          </w:tcPr>
          <w:p>
            <w:pPr>
              <w:spacing w:after="0"/>
              <w:rPr>
                <w:sz w:val="13"/>
                <w:szCs w:val="13"/>
                <w:color w:val="auto"/>
              </w:rPr>
            </w:pPr>
          </w:p>
        </w:tc>
        <w:tc>
          <w:tcPr>
            <w:tcW w:w="160" w:type="dxa"/>
            <w:vAlign w:val="bottom"/>
            <w:shd w:val="clear" w:color="auto" w:fill="002B5F"/>
          </w:tcPr>
          <w:p>
            <w:pPr>
              <w:spacing w:after="0"/>
              <w:rPr>
                <w:sz w:val="13"/>
                <w:szCs w:val="13"/>
                <w:color w:val="auto"/>
              </w:rPr>
            </w:pPr>
          </w:p>
        </w:tc>
        <w:tc>
          <w:tcPr>
            <w:tcW w:w="160" w:type="dxa"/>
            <w:vAlign w:val="bottom"/>
            <w:shd w:val="clear" w:color="auto" w:fill="002B5F"/>
          </w:tcPr>
          <w:p>
            <w:pPr>
              <w:spacing w:after="0"/>
              <w:rPr>
                <w:sz w:val="13"/>
                <w:szCs w:val="13"/>
                <w:color w:val="auto"/>
              </w:rPr>
            </w:pPr>
          </w:p>
        </w:tc>
        <w:tc>
          <w:tcPr>
            <w:tcW w:w="220" w:type="dxa"/>
            <w:vAlign w:val="bottom"/>
            <w:shd w:val="clear" w:color="auto" w:fill="002B5F"/>
          </w:tcPr>
          <w:p>
            <w:pPr>
              <w:spacing w:after="0"/>
              <w:rPr>
                <w:sz w:val="13"/>
                <w:szCs w:val="13"/>
                <w:color w:val="auto"/>
              </w:rPr>
            </w:pPr>
          </w:p>
        </w:tc>
        <w:tc>
          <w:tcPr>
            <w:tcW w:w="1200" w:type="dxa"/>
            <w:vAlign w:val="bottom"/>
            <w:shd w:val="clear" w:color="auto" w:fill="002B5F"/>
          </w:tcPr>
          <w:p>
            <w:pPr>
              <w:ind w:left="80"/>
              <w:spacing w:after="0"/>
              <w:rPr>
                <w:sz w:val="20"/>
                <w:szCs w:val="20"/>
                <w:color w:val="auto"/>
              </w:rPr>
            </w:pPr>
            <w:r>
              <w:rPr>
                <w:rFonts w:ascii="Arial" w:cs="Arial" w:eastAsia="Arial" w:hAnsi="Arial"/>
                <w:sz w:val="12"/>
                <w:szCs w:val="12"/>
                <w:color w:val="FFFFFF"/>
              </w:rPr>
              <w:t> </w:t>
            </w:r>
          </w:p>
        </w:tc>
      </w:tr>
      <w:tr>
        <w:trPr>
          <w:trHeight w:val="340"/>
        </w:trPr>
        <w:tc>
          <w:tcPr>
            <w:tcW w:w="120" w:type="dxa"/>
            <w:vAlign w:val="bottom"/>
            <w:shd w:val="clear" w:color="auto" w:fill="002B5F"/>
          </w:tcPr>
          <w:p>
            <w:pPr>
              <w:spacing w:after="0"/>
              <w:rPr>
                <w:sz w:val="24"/>
                <w:szCs w:val="24"/>
                <w:color w:val="auto"/>
              </w:rPr>
            </w:pPr>
          </w:p>
        </w:tc>
        <w:tc>
          <w:tcPr>
            <w:tcW w:w="160" w:type="dxa"/>
            <w:vAlign w:val="bottom"/>
            <w:shd w:val="clear" w:color="auto" w:fill="002B5F"/>
          </w:tcPr>
          <w:p>
            <w:pPr>
              <w:spacing w:after="0"/>
              <w:rPr>
                <w:sz w:val="24"/>
                <w:szCs w:val="24"/>
                <w:color w:val="auto"/>
              </w:rPr>
            </w:pPr>
          </w:p>
        </w:tc>
        <w:tc>
          <w:tcPr>
            <w:tcW w:w="160" w:type="dxa"/>
            <w:vAlign w:val="bottom"/>
            <w:shd w:val="clear" w:color="auto" w:fill="002B5F"/>
          </w:tcPr>
          <w:p>
            <w:pPr>
              <w:spacing w:after="0"/>
              <w:rPr>
                <w:sz w:val="24"/>
                <w:szCs w:val="24"/>
                <w:color w:val="auto"/>
              </w:rPr>
            </w:pPr>
          </w:p>
        </w:tc>
        <w:tc>
          <w:tcPr>
            <w:tcW w:w="220" w:type="dxa"/>
            <w:vAlign w:val="bottom"/>
            <w:shd w:val="clear" w:color="auto" w:fill="002B5F"/>
          </w:tcPr>
          <w:p>
            <w:pPr>
              <w:spacing w:after="0"/>
              <w:rPr>
                <w:sz w:val="24"/>
                <w:szCs w:val="24"/>
                <w:color w:val="auto"/>
              </w:rPr>
            </w:pPr>
          </w:p>
        </w:tc>
        <w:tc>
          <w:tcPr>
            <w:tcW w:w="1200" w:type="dxa"/>
            <w:vAlign w:val="bottom"/>
            <w:shd w:val="clear" w:color="auto" w:fill="002B5F"/>
          </w:tcPr>
          <w:p>
            <w:pPr>
              <w:ind w:left="80"/>
              <w:spacing w:after="0"/>
              <w:rPr>
                <w:sz w:val="20"/>
                <w:szCs w:val="20"/>
                <w:color w:val="auto"/>
              </w:rPr>
            </w:pPr>
            <w:r>
              <w:rPr>
                <w:rFonts w:ascii="Arial" w:cs="Arial" w:eastAsia="Arial" w:hAnsi="Arial"/>
                <w:sz w:val="12"/>
                <w:szCs w:val="12"/>
                <w:color w:val="FFFFFF"/>
              </w:rPr>
              <w:t> </w:t>
            </w:r>
          </w:p>
        </w:tc>
      </w:tr>
      <w:tr>
        <w:trPr>
          <w:trHeight w:val="158"/>
        </w:trPr>
        <w:tc>
          <w:tcPr>
            <w:tcW w:w="120" w:type="dxa"/>
            <w:vAlign w:val="bottom"/>
            <w:shd w:val="clear" w:color="auto" w:fill="002B5F"/>
          </w:tcPr>
          <w:p>
            <w:pPr>
              <w:spacing w:after="0"/>
              <w:rPr>
                <w:sz w:val="13"/>
                <w:szCs w:val="13"/>
                <w:color w:val="auto"/>
              </w:rPr>
            </w:pPr>
          </w:p>
        </w:tc>
        <w:tc>
          <w:tcPr>
            <w:tcW w:w="160" w:type="dxa"/>
            <w:vAlign w:val="bottom"/>
            <w:shd w:val="clear" w:color="auto" w:fill="002B5F"/>
          </w:tcPr>
          <w:p>
            <w:pPr>
              <w:spacing w:after="0"/>
              <w:rPr>
                <w:sz w:val="13"/>
                <w:szCs w:val="13"/>
                <w:color w:val="auto"/>
              </w:rPr>
            </w:pPr>
          </w:p>
        </w:tc>
        <w:tc>
          <w:tcPr>
            <w:tcW w:w="160" w:type="dxa"/>
            <w:vAlign w:val="bottom"/>
            <w:shd w:val="clear" w:color="auto" w:fill="002B5F"/>
          </w:tcPr>
          <w:p>
            <w:pPr>
              <w:spacing w:after="0"/>
              <w:rPr>
                <w:sz w:val="13"/>
                <w:szCs w:val="13"/>
                <w:color w:val="auto"/>
              </w:rPr>
            </w:pPr>
          </w:p>
        </w:tc>
        <w:tc>
          <w:tcPr>
            <w:tcW w:w="220" w:type="dxa"/>
            <w:vAlign w:val="bottom"/>
            <w:shd w:val="clear" w:color="auto" w:fill="002B5F"/>
          </w:tcPr>
          <w:p>
            <w:pPr>
              <w:spacing w:after="0"/>
              <w:rPr>
                <w:sz w:val="13"/>
                <w:szCs w:val="13"/>
                <w:color w:val="auto"/>
              </w:rPr>
            </w:pPr>
          </w:p>
        </w:tc>
        <w:tc>
          <w:tcPr>
            <w:tcW w:w="1200" w:type="dxa"/>
            <w:vAlign w:val="bottom"/>
            <w:shd w:val="clear" w:color="auto" w:fill="002B5F"/>
          </w:tcPr>
          <w:p>
            <w:pPr>
              <w:ind w:left="80"/>
              <w:spacing w:after="0"/>
              <w:rPr>
                <w:sz w:val="20"/>
                <w:szCs w:val="20"/>
                <w:color w:val="auto"/>
              </w:rPr>
            </w:pPr>
            <w:r>
              <w:rPr>
                <w:rFonts w:ascii="Arial" w:cs="Arial" w:eastAsia="Arial" w:hAnsi="Arial"/>
                <w:sz w:val="12"/>
                <w:szCs w:val="12"/>
                <w:color w:val="FFFFFF"/>
              </w:rPr>
              <w:t> </w:t>
            </w:r>
          </w:p>
        </w:tc>
      </w:tr>
      <w:tr>
        <w:trPr>
          <w:trHeight w:val="370"/>
        </w:trPr>
        <w:tc>
          <w:tcPr>
            <w:tcW w:w="120" w:type="dxa"/>
            <w:vAlign w:val="bottom"/>
            <w:shd w:val="clear" w:color="auto" w:fill="002B5F"/>
          </w:tcPr>
          <w:p>
            <w:pPr>
              <w:spacing w:after="0"/>
              <w:rPr>
                <w:sz w:val="24"/>
                <w:szCs w:val="24"/>
                <w:color w:val="auto"/>
              </w:rPr>
            </w:pPr>
          </w:p>
        </w:tc>
        <w:tc>
          <w:tcPr>
            <w:tcW w:w="160" w:type="dxa"/>
            <w:vAlign w:val="bottom"/>
            <w:shd w:val="clear" w:color="auto" w:fill="002B5F"/>
          </w:tcPr>
          <w:p>
            <w:pPr>
              <w:spacing w:after="0"/>
              <w:rPr>
                <w:sz w:val="24"/>
                <w:szCs w:val="24"/>
                <w:color w:val="auto"/>
              </w:rPr>
            </w:pPr>
          </w:p>
        </w:tc>
        <w:tc>
          <w:tcPr>
            <w:tcW w:w="160" w:type="dxa"/>
            <w:vAlign w:val="bottom"/>
            <w:shd w:val="clear" w:color="auto" w:fill="002B5F"/>
          </w:tcPr>
          <w:p>
            <w:pPr>
              <w:spacing w:after="0"/>
              <w:rPr>
                <w:sz w:val="24"/>
                <w:szCs w:val="24"/>
                <w:color w:val="auto"/>
              </w:rPr>
            </w:pPr>
          </w:p>
        </w:tc>
        <w:tc>
          <w:tcPr>
            <w:tcW w:w="220" w:type="dxa"/>
            <w:vAlign w:val="bottom"/>
            <w:shd w:val="clear" w:color="auto" w:fill="002B5F"/>
          </w:tcPr>
          <w:p>
            <w:pPr>
              <w:spacing w:after="0"/>
              <w:rPr>
                <w:sz w:val="24"/>
                <w:szCs w:val="24"/>
                <w:color w:val="auto"/>
              </w:rPr>
            </w:pPr>
          </w:p>
        </w:tc>
        <w:tc>
          <w:tcPr>
            <w:tcW w:w="1200" w:type="dxa"/>
            <w:vAlign w:val="bottom"/>
            <w:shd w:val="clear" w:color="auto" w:fill="002B5F"/>
          </w:tcPr>
          <w:p>
            <w:pPr>
              <w:ind w:left="80"/>
              <w:spacing w:after="0"/>
              <w:rPr>
                <w:sz w:val="20"/>
                <w:szCs w:val="20"/>
                <w:color w:val="auto"/>
              </w:rPr>
            </w:pPr>
            <w:r>
              <w:rPr>
                <w:rFonts w:ascii="Arial" w:cs="Arial" w:eastAsia="Arial" w:hAnsi="Arial"/>
                <w:sz w:val="12"/>
                <w:szCs w:val="12"/>
                <w:color w:val="FFFFFF"/>
              </w:rPr>
              <w:t> </w:t>
            </w:r>
          </w:p>
        </w:tc>
      </w:tr>
      <w:tr>
        <w:trPr>
          <w:trHeight w:val="626"/>
        </w:trPr>
        <w:tc>
          <w:tcPr>
            <w:tcW w:w="120" w:type="dxa"/>
            <w:vAlign w:val="bottom"/>
            <w:shd w:val="clear" w:color="auto" w:fill="002B5F"/>
          </w:tcPr>
          <w:p>
            <w:pPr>
              <w:spacing w:after="0"/>
              <w:rPr>
                <w:sz w:val="24"/>
                <w:szCs w:val="24"/>
                <w:color w:val="auto"/>
              </w:rPr>
            </w:pPr>
          </w:p>
        </w:tc>
        <w:tc>
          <w:tcPr>
            <w:tcW w:w="160" w:type="dxa"/>
            <w:vAlign w:val="bottom"/>
            <w:shd w:val="clear" w:color="auto" w:fill="002B5F"/>
          </w:tcPr>
          <w:p>
            <w:pPr>
              <w:spacing w:after="0"/>
              <w:rPr>
                <w:sz w:val="24"/>
                <w:szCs w:val="24"/>
                <w:color w:val="auto"/>
              </w:rPr>
            </w:pPr>
          </w:p>
        </w:tc>
        <w:tc>
          <w:tcPr>
            <w:tcW w:w="160" w:type="dxa"/>
            <w:vAlign w:val="bottom"/>
            <w:shd w:val="clear" w:color="auto" w:fill="002B5F"/>
          </w:tcPr>
          <w:p>
            <w:pPr>
              <w:spacing w:after="0"/>
              <w:rPr>
                <w:sz w:val="24"/>
                <w:szCs w:val="24"/>
                <w:color w:val="auto"/>
              </w:rPr>
            </w:pPr>
          </w:p>
        </w:tc>
        <w:tc>
          <w:tcPr>
            <w:tcW w:w="220" w:type="dxa"/>
            <w:vAlign w:val="bottom"/>
            <w:shd w:val="clear" w:color="auto" w:fill="002B5F"/>
          </w:tcPr>
          <w:p>
            <w:pPr>
              <w:spacing w:after="0"/>
              <w:rPr>
                <w:sz w:val="24"/>
                <w:szCs w:val="24"/>
                <w:color w:val="auto"/>
              </w:rPr>
            </w:pPr>
          </w:p>
        </w:tc>
        <w:tc>
          <w:tcPr>
            <w:tcW w:w="1200" w:type="dxa"/>
            <w:vAlign w:val="bottom"/>
            <w:shd w:val="clear" w:color="auto" w:fill="002B5F"/>
          </w:tcPr>
          <w:p>
            <w:pPr>
              <w:spacing w:after="0"/>
              <w:rPr>
                <w:sz w:val="24"/>
                <w:szCs w:val="24"/>
                <w:color w:val="auto"/>
              </w:rPr>
            </w:pPr>
          </w:p>
        </w:tc>
      </w:tr>
    </w:tbl>
    <w:p>
      <w:pPr>
        <w:spacing w:after="0" w:line="371" w:lineRule="exact"/>
        <w:rPr>
          <w:sz w:val="20"/>
          <w:szCs w:val="20"/>
          <w:color w:val="auto"/>
        </w:rPr>
      </w:pPr>
    </w:p>
    <w:p>
      <w:pPr>
        <w:ind w:left="420"/>
        <w:spacing w:after="0"/>
        <w:rPr>
          <w:sz w:val="20"/>
          <w:szCs w:val="20"/>
          <w:color w:val="auto"/>
        </w:rPr>
      </w:pPr>
      <w:r>
        <w:rPr>
          <w:rFonts w:ascii="Arial" w:cs="Arial" w:eastAsia="Arial" w:hAnsi="Arial"/>
          <w:sz w:val="15"/>
          <w:szCs w:val="15"/>
          <w:color w:val="auto"/>
        </w:rPr>
        <w:t xml:space="preserve">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320" w:right="2240"/>
        <w:spacing w:after="0" w:line="273" w:lineRule="auto"/>
        <w:rPr>
          <w:sz w:val="20"/>
          <w:szCs w:val="20"/>
          <w:color w:val="auto"/>
        </w:rPr>
      </w:pPr>
      <w:r>
        <w:rPr>
          <w:rFonts w:ascii="Times New Roman" w:cs="Times New Roman" w:eastAsia="Times New Roman" w:hAnsi="Times New Roman"/>
          <w:sz w:val="48"/>
          <w:szCs w:val="48"/>
          <w:b w:val="1"/>
          <w:bCs w:val="1"/>
          <w:color w:val="002B5F"/>
        </w:rPr>
        <w:t>Notice of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-1534795</wp:posOffset>
            </wp:positionH>
            <wp:positionV relativeFrom="paragraph">
              <wp:posOffset>-1402080</wp:posOffset>
            </wp:positionV>
            <wp:extent cx="7181215" cy="533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81215" cy="53340"/>
                    </a:xfrm>
                    <a:prstGeom prst="rect">
                      <a:avLst/>
                    </a:prstGeom>
                    <a:noFill/>
                  </pic:spPr>
                </pic:pic>
              </a:graphicData>
            </a:graphic>
          </wp:anchor>
        </w:drawing>
        <w:drawing>
          <wp:anchor simplePos="0" relativeHeight="251657728" behindDoc="1" locked="0" layoutInCell="0" allowOverlap="1">
            <wp:simplePos x="0" y="0"/>
            <wp:positionH relativeFrom="column">
              <wp:posOffset>211455</wp:posOffset>
            </wp:positionH>
            <wp:positionV relativeFrom="paragraph">
              <wp:posOffset>-32385</wp:posOffset>
            </wp:positionV>
            <wp:extent cx="506539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065395" cy="8255"/>
                    </a:xfrm>
                    <a:prstGeom prst="rect">
                      <a:avLst/>
                    </a:prstGeom>
                    <a:noFill/>
                  </pic:spPr>
                </pic:pic>
              </a:graphicData>
            </a:graphic>
          </wp:anchor>
        </w:drawing>
      </w:r>
    </w:p>
    <w:p>
      <w:pPr>
        <w:spacing w:after="0" w:line="196" w:lineRule="exact"/>
        <w:rPr>
          <w:sz w:val="20"/>
          <w:szCs w:val="20"/>
          <w:color w:val="auto"/>
        </w:rPr>
      </w:pPr>
    </w:p>
    <w:p>
      <w:pPr>
        <w:ind w:left="320"/>
        <w:spacing w:after="0"/>
        <w:tabs>
          <w:tab w:leader="none" w:pos="2500" w:val="left"/>
          <w:tab w:leader="none" w:pos="2820" w:val="left"/>
          <w:tab w:leader="none" w:pos="3160" w:val="left"/>
          <w:tab w:leader="none" w:pos="5320" w:val="left"/>
          <w:tab w:leader="none" w:pos="8060" w:val="left"/>
        </w:tabs>
        <w:rPr>
          <w:sz w:val="20"/>
          <w:szCs w:val="20"/>
          <w:color w:val="auto"/>
        </w:rPr>
      </w:pPr>
      <w:r>
        <w:rPr>
          <w:rFonts w:ascii="Arial" w:cs="Arial" w:eastAsia="Arial" w:hAnsi="Arial"/>
          <w:sz w:val="15"/>
          <w:szCs w:val="15"/>
          <w:color w:val="auto"/>
        </w:rPr>
        <w:t xml:space="preserve">    </w:t>
      </w:r>
      <w:r>
        <w:rPr>
          <w:sz w:val="20"/>
          <w:szCs w:val="20"/>
          <w:color w:val="auto"/>
        </w:rPr>
        <w:tab/>
      </w:r>
      <w:r>
        <w:rPr>
          <w:rFonts w:ascii="Arial" w:cs="Arial" w:eastAsia="Arial" w:hAnsi="Arial"/>
          <w:sz w:val="15"/>
          <w:szCs w:val="15"/>
          <w:color w:val="auto"/>
        </w:rPr>
        <w:t xml:space="preserve">    </w:t>
        <w:tab/>
        <w:t xml:space="preserve">    </w:t>
        <w:tab/>
        <w:t xml:space="preserve">    </w:t>
      </w:r>
      <w:r>
        <w:rPr>
          <w:sz w:val="20"/>
          <w:szCs w:val="20"/>
          <w:color w:val="auto"/>
        </w:rPr>
        <w:tab/>
      </w:r>
      <w:r>
        <w:rPr>
          <w:rFonts w:ascii="Arial" w:cs="Arial" w:eastAsia="Arial" w:hAnsi="Arial"/>
          <w:sz w:val="15"/>
          <w:szCs w:val="15"/>
          <w:color w:val="auto"/>
        </w:rPr>
        <w:t xml:space="preserve">                </w:t>
      </w:r>
      <w:r>
        <w:rPr>
          <w:sz w:val="20"/>
          <w:szCs w:val="20"/>
          <w:color w:val="auto"/>
        </w:rPr>
        <w:tab/>
      </w:r>
      <w:r>
        <w:rPr>
          <w:rFonts w:ascii="Arial" w:cs="Arial" w:eastAsia="Arial" w:hAnsi="Arial"/>
          <w:sz w:val="15"/>
          <w:szCs w:val="15"/>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wp:posOffset>
            </wp:positionH>
            <wp:positionV relativeFrom="paragraph">
              <wp:posOffset>-100965</wp:posOffset>
            </wp:positionV>
            <wp:extent cx="5065395" cy="16694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065395" cy="1669415"/>
                    </a:xfrm>
                    <a:prstGeom prst="rect">
                      <a:avLst/>
                    </a:prstGeom>
                    <a:noFill/>
                  </pic:spPr>
                </pic:pic>
              </a:graphicData>
            </a:graphic>
          </wp:anchor>
        </w:drawing>
      </w:r>
    </w:p>
    <w:p>
      <w:pPr>
        <w:spacing w:after="0" w:line="200" w:lineRule="exact"/>
        <w:rPr>
          <w:sz w:val="20"/>
          <w:szCs w:val="20"/>
          <w:color w:val="auto"/>
        </w:rPr>
      </w:pPr>
    </w:p>
    <w:p>
      <w:pPr>
        <w:spacing w:after="0" w:line="305" w:lineRule="exact"/>
        <w:rPr>
          <w:sz w:val="20"/>
          <w:szCs w:val="20"/>
          <w:color w:val="auto"/>
        </w:rPr>
      </w:pPr>
    </w:p>
    <w:tbl>
      <w:tblPr>
        <w:tblLayout w:type="fixed"/>
        <w:tblInd w:w="660" w:type="dxa"/>
        <w:tblCellMar>
          <w:top w:w="0" w:type="dxa"/>
          <w:left w:w="0" w:type="dxa"/>
          <w:bottom w:w="0" w:type="dxa"/>
          <w:right w:w="0" w:type="dxa"/>
        </w:tblCellMar>
      </w:tblPr>
      <w:tr>
        <w:trPr>
          <w:trHeight w:val="232"/>
        </w:trPr>
        <w:tc>
          <w:tcPr>
            <w:tcW w:w="2240" w:type="dxa"/>
            <w:vAlign w:val="bottom"/>
          </w:tcPr>
          <w:p>
            <w:pPr>
              <w:spacing w:after="0"/>
              <w:rPr>
                <w:sz w:val="20"/>
                <w:szCs w:val="20"/>
                <w:color w:val="auto"/>
              </w:rPr>
            </w:pPr>
            <w:r>
              <w:rPr>
                <w:rFonts w:ascii="Arial" w:cs="Arial" w:eastAsia="Arial" w:hAnsi="Arial"/>
                <w:sz w:val="17"/>
                <w:szCs w:val="17"/>
                <w:b w:val="1"/>
                <w:bCs w:val="1"/>
                <w:color w:val="B95827"/>
              </w:rPr>
              <w:t>TIME AND DATE</w:t>
            </w:r>
          </w:p>
        </w:tc>
        <w:tc>
          <w:tcPr>
            <w:tcW w:w="2800" w:type="dxa"/>
            <w:vAlign w:val="bottom"/>
          </w:tcPr>
          <w:p>
            <w:pPr>
              <w:ind w:left="600"/>
              <w:spacing w:after="0"/>
              <w:rPr>
                <w:sz w:val="20"/>
                <w:szCs w:val="20"/>
                <w:color w:val="auto"/>
              </w:rPr>
            </w:pPr>
            <w:r>
              <w:rPr>
                <w:rFonts w:ascii="Arial" w:cs="Arial" w:eastAsia="Arial" w:hAnsi="Arial"/>
                <w:sz w:val="17"/>
                <w:szCs w:val="17"/>
                <w:b w:val="1"/>
                <w:bCs w:val="1"/>
                <w:color w:val="B95827"/>
              </w:rPr>
              <w:t>LOCATION</w:t>
            </w:r>
          </w:p>
        </w:tc>
        <w:tc>
          <w:tcPr>
            <w:tcW w:w="2240" w:type="dxa"/>
            <w:vAlign w:val="bottom"/>
          </w:tcPr>
          <w:p>
            <w:pPr>
              <w:ind w:left="560"/>
              <w:spacing w:after="0"/>
              <w:rPr>
                <w:sz w:val="20"/>
                <w:szCs w:val="20"/>
                <w:color w:val="auto"/>
              </w:rPr>
            </w:pPr>
            <w:r>
              <w:rPr>
                <w:rFonts w:ascii="Arial" w:cs="Arial" w:eastAsia="Arial" w:hAnsi="Arial"/>
                <w:sz w:val="17"/>
                <w:szCs w:val="17"/>
                <w:b w:val="1"/>
                <w:bCs w:val="1"/>
                <w:color w:val="B95827"/>
              </w:rPr>
              <w:t>RECORD DATE</w:t>
            </w:r>
          </w:p>
        </w:tc>
      </w:tr>
      <w:tr>
        <w:trPr>
          <w:trHeight w:val="207"/>
        </w:trPr>
        <w:tc>
          <w:tcPr>
            <w:tcW w:w="2240" w:type="dxa"/>
            <w:vAlign w:val="bottom"/>
          </w:tcPr>
          <w:p>
            <w:pPr>
              <w:spacing w:after="0"/>
              <w:rPr>
                <w:sz w:val="20"/>
                <w:szCs w:val="20"/>
                <w:color w:val="auto"/>
              </w:rPr>
            </w:pPr>
            <w:r>
              <w:rPr>
                <w:rFonts w:ascii="Arial" w:cs="Arial" w:eastAsia="Arial" w:hAnsi="Arial"/>
                <w:sz w:val="15"/>
                <w:szCs w:val="15"/>
                <w:color w:val="auto"/>
              </w:rPr>
              <w:t>8:00 a.m., local time, on</w:t>
            </w:r>
          </w:p>
        </w:tc>
        <w:tc>
          <w:tcPr>
            <w:tcW w:w="2800" w:type="dxa"/>
            <w:vAlign w:val="bottom"/>
          </w:tcPr>
          <w:p>
            <w:pPr>
              <w:ind w:left="600"/>
              <w:spacing w:after="0"/>
              <w:rPr>
                <w:sz w:val="20"/>
                <w:szCs w:val="20"/>
                <w:color w:val="auto"/>
              </w:rPr>
            </w:pPr>
            <w:r>
              <w:rPr>
                <w:rFonts w:ascii="Arial" w:cs="Arial" w:eastAsia="Arial" w:hAnsi="Arial"/>
                <w:sz w:val="15"/>
                <w:szCs w:val="15"/>
                <w:color w:val="auto"/>
              </w:rPr>
              <w:t>LPL Financial Holdings</w:t>
            </w:r>
          </w:p>
        </w:tc>
        <w:tc>
          <w:tcPr>
            <w:tcW w:w="2240" w:type="dxa"/>
            <w:vAlign w:val="bottom"/>
          </w:tcPr>
          <w:p>
            <w:pPr>
              <w:ind w:left="560"/>
              <w:spacing w:after="0"/>
              <w:rPr>
                <w:sz w:val="20"/>
                <w:szCs w:val="20"/>
                <w:color w:val="auto"/>
              </w:rPr>
            </w:pPr>
            <w:r>
              <w:rPr>
                <w:rFonts w:ascii="Arial" w:cs="Arial" w:eastAsia="Arial" w:hAnsi="Arial"/>
                <w:sz w:val="15"/>
                <w:szCs w:val="15"/>
                <w:color w:val="auto"/>
              </w:rPr>
              <w:t>Stockholders of record</w:t>
            </w:r>
          </w:p>
        </w:tc>
      </w:tr>
      <w:tr>
        <w:trPr>
          <w:trHeight w:val="179"/>
        </w:trPr>
        <w:tc>
          <w:tcPr>
            <w:tcW w:w="2240" w:type="dxa"/>
            <w:vAlign w:val="bottom"/>
          </w:tcPr>
          <w:p>
            <w:pPr>
              <w:spacing w:after="0"/>
              <w:rPr>
                <w:sz w:val="20"/>
                <w:szCs w:val="20"/>
                <w:color w:val="auto"/>
              </w:rPr>
            </w:pPr>
            <w:r>
              <w:rPr>
                <w:rFonts w:ascii="Arial" w:cs="Arial" w:eastAsia="Arial" w:hAnsi="Arial"/>
                <w:sz w:val="15"/>
                <w:szCs w:val="15"/>
                <w:color w:val="auto"/>
              </w:rPr>
              <w:t>Thursday, May 14, 2026</w:t>
            </w:r>
          </w:p>
        </w:tc>
        <w:tc>
          <w:tcPr>
            <w:tcW w:w="2800" w:type="dxa"/>
            <w:vAlign w:val="bottom"/>
          </w:tcPr>
          <w:p>
            <w:pPr>
              <w:ind w:left="600"/>
              <w:spacing w:after="0"/>
              <w:rPr>
                <w:sz w:val="20"/>
                <w:szCs w:val="20"/>
                <w:color w:val="auto"/>
              </w:rPr>
            </w:pPr>
            <w:r>
              <w:rPr>
                <w:rFonts w:ascii="Arial" w:cs="Arial" w:eastAsia="Arial" w:hAnsi="Arial"/>
                <w:sz w:val="15"/>
                <w:szCs w:val="15"/>
                <w:color w:val="auto"/>
              </w:rPr>
              <w:t>Inc.</w:t>
            </w:r>
          </w:p>
        </w:tc>
        <w:tc>
          <w:tcPr>
            <w:tcW w:w="2240" w:type="dxa"/>
            <w:vAlign w:val="bottom"/>
          </w:tcPr>
          <w:p>
            <w:pPr>
              <w:ind w:left="560"/>
              <w:spacing w:after="0"/>
              <w:rPr>
                <w:sz w:val="20"/>
                <w:szCs w:val="20"/>
                <w:color w:val="auto"/>
              </w:rPr>
            </w:pPr>
            <w:r>
              <w:rPr>
                <w:rFonts w:ascii="Arial" w:cs="Arial" w:eastAsia="Arial" w:hAnsi="Arial"/>
                <w:sz w:val="15"/>
                <w:szCs w:val="15"/>
                <w:color w:val="auto"/>
              </w:rPr>
              <w:t>as of 5:00 p.m., Eastern</w:t>
            </w:r>
          </w:p>
        </w:tc>
      </w:tr>
      <w:tr>
        <w:trPr>
          <w:trHeight w:val="179"/>
        </w:trPr>
        <w:tc>
          <w:tcPr>
            <w:tcW w:w="2240" w:type="dxa"/>
            <w:vAlign w:val="bottom"/>
          </w:tcPr>
          <w:p>
            <w:pPr>
              <w:spacing w:after="0"/>
              <w:rPr>
                <w:sz w:val="15"/>
                <w:szCs w:val="15"/>
                <w:color w:val="auto"/>
              </w:rPr>
            </w:pPr>
          </w:p>
        </w:tc>
        <w:tc>
          <w:tcPr>
            <w:tcW w:w="2800" w:type="dxa"/>
            <w:vAlign w:val="bottom"/>
          </w:tcPr>
          <w:p>
            <w:pPr>
              <w:ind w:left="600"/>
              <w:spacing w:after="0"/>
              <w:rPr>
                <w:sz w:val="20"/>
                <w:szCs w:val="20"/>
                <w:color w:val="auto"/>
              </w:rPr>
            </w:pPr>
            <w:r>
              <w:rPr>
                <w:rFonts w:ascii="Arial" w:cs="Arial" w:eastAsia="Arial" w:hAnsi="Arial"/>
                <w:sz w:val="15"/>
                <w:szCs w:val="15"/>
                <w:color w:val="auto"/>
              </w:rPr>
              <w:t>1055 LPL Way</w:t>
            </w:r>
          </w:p>
        </w:tc>
        <w:tc>
          <w:tcPr>
            <w:tcW w:w="2240" w:type="dxa"/>
            <w:vAlign w:val="bottom"/>
          </w:tcPr>
          <w:p>
            <w:pPr>
              <w:ind w:left="560"/>
              <w:spacing w:after="0"/>
              <w:rPr>
                <w:sz w:val="20"/>
                <w:szCs w:val="20"/>
                <w:color w:val="auto"/>
              </w:rPr>
            </w:pPr>
            <w:r>
              <w:rPr>
                <w:rFonts w:ascii="Arial" w:cs="Arial" w:eastAsia="Arial" w:hAnsi="Arial"/>
                <w:sz w:val="15"/>
                <w:szCs w:val="15"/>
                <w:color w:val="auto"/>
                <w:w w:val="99"/>
              </w:rPr>
              <w:t>Time, on March 16, 2026</w:t>
            </w:r>
          </w:p>
        </w:tc>
      </w:tr>
      <w:tr>
        <w:trPr>
          <w:trHeight w:val="179"/>
        </w:trPr>
        <w:tc>
          <w:tcPr>
            <w:tcW w:w="2240" w:type="dxa"/>
            <w:vAlign w:val="bottom"/>
          </w:tcPr>
          <w:p>
            <w:pPr>
              <w:spacing w:after="0"/>
              <w:rPr>
                <w:sz w:val="15"/>
                <w:szCs w:val="15"/>
                <w:color w:val="auto"/>
              </w:rPr>
            </w:pPr>
          </w:p>
        </w:tc>
        <w:tc>
          <w:tcPr>
            <w:tcW w:w="2800" w:type="dxa"/>
            <w:vAlign w:val="bottom"/>
          </w:tcPr>
          <w:p>
            <w:pPr>
              <w:ind w:left="600"/>
              <w:spacing w:after="0"/>
              <w:rPr>
                <w:sz w:val="20"/>
                <w:szCs w:val="20"/>
                <w:color w:val="auto"/>
              </w:rPr>
            </w:pPr>
            <w:r>
              <w:rPr>
                <w:rFonts w:ascii="Arial" w:cs="Arial" w:eastAsia="Arial" w:hAnsi="Arial"/>
                <w:sz w:val="15"/>
                <w:szCs w:val="15"/>
                <w:color w:val="auto"/>
              </w:rPr>
              <w:t>Fort Mill, South Carolina</w:t>
            </w:r>
          </w:p>
        </w:tc>
        <w:tc>
          <w:tcPr>
            <w:tcW w:w="2240" w:type="dxa"/>
            <w:vAlign w:val="bottom"/>
          </w:tcPr>
          <w:p>
            <w:pPr>
              <w:ind w:left="560"/>
              <w:spacing w:after="0"/>
              <w:rPr>
                <w:sz w:val="20"/>
                <w:szCs w:val="20"/>
                <w:color w:val="auto"/>
              </w:rPr>
            </w:pPr>
            <w:r>
              <w:rPr>
                <w:rFonts w:ascii="Arial" w:cs="Arial" w:eastAsia="Arial" w:hAnsi="Arial"/>
                <w:sz w:val="15"/>
                <w:szCs w:val="15"/>
                <w:color w:val="auto"/>
              </w:rPr>
              <w:t>(the “Record Date”) will</w:t>
            </w:r>
          </w:p>
        </w:tc>
      </w:tr>
      <w:tr>
        <w:trPr>
          <w:trHeight w:val="179"/>
        </w:trPr>
        <w:tc>
          <w:tcPr>
            <w:tcW w:w="2240" w:type="dxa"/>
            <w:vAlign w:val="bottom"/>
          </w:tcPr>
          <w:p>
            <w:pPr>
              <w:spacing w:after="0"/>
              <w:rPr>
                <w:sz w:val="15"/>
                <w:szCs w:val="15"/>
                <w:color w:val="auto"/>
              </w:rPr>
            </w:pPr>
          </w:p>
        </w:tc>
        <w:tc>
          <w:tcPr>
            <w:tcW w:w="2800" w:type="dxa"/>
            <w:vAlign w:val="bottom"/>
          </w:tcPr>
          <w:p>
            <w:pPr>
              <w:ind w:left="600"/>
              <w:spacing w:after="0"/>
              <w:rPr>
                <w:sz w:val="20"/>
                <w:szCs w:val="20"/>
                <w:color w:val="auto"/>
              </w:rPr>
            </w:pPr>
            <w:r>
              <w:rPr>
                <w:rFonts w:ascii="Arial" w:cs="Arial" w:eastAsia="Arial" w:hAnsi="Arial"/>
                <w:sz w:val="15"/>
                <w:szCs w:val="15"/>
                <w:color w:val="auto"/>
              </w:rPr>
              <w:t>29715</w:t>
            </w:r>
          </w:p>
        </w:tc>
        <w:tc>
          <w:tcPr>
            <w:tcW w:w="2240" w:type="dxa"/>
            <w:vAlign w:val="bottom"/>
          </w:tcPr>
          <w:p>
            <w:pPr>
              <w:ind w:left="560"/>
              <w:spacing w:after="0"/>
              <w:rPr>
                <w:sz w:val="20"/>
                <w:szCs w:val="20"/>
                <w:color w:val="auto"/>
              </w:rPr>
            </w:pPr>
            <w:r>
              <w:rPr>
                <w:rFonts w:ascii="Arial" w:cs="Arial" w:eastAsia="Arial" w:hAnsi="Arial"/>
                <w:sz w:val="15"/>
                <w:szCs w:val="15"/>
                <w:color w:val="auto"/>
              </w:rPr>
              <w:t>be entitled to vote at</w:t>
            </w:r>
          </w:p>
        </w:tc>
      </w:tr>
      <w:tr>
        <w:trPr>
          <w:trHeight w:val="179"/>
        </w:trPr>
        <w:tc>
          <w:tcPr>
            <w:tcW w:w="224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2240" w:type="dxa"/>
            <w:vAlign w:val="bottom"/>
          </w:tcPr>
          <w:p>
            <w:pPr>
              <w:ind w:left="560"/>
              <w:spacing w:after="0"/>
              <w:rPr>
                <w:sz w:val="20"/>
                <w:szCs w:val="20"/>
                <w:color w:val="auto"/>
              </w:rPr>
            </w:pPr>
            <w:r>
              <w:rPr>
                <w:rFonts w:ascii="Arial" w:cs="Arial" w:eastAsia="Arial" w:hAnsi="Arial"/>
                <w:sz w:val="15"/>
                <w:szCs w:val="15"/>
                <w:color w:val="auto"/>
              </w:rPr>
              <w:t>the Annual Meeting and</w:t>
            </w:r>
          </w:p>
        </w:tc>
      </w:tr>
      <w:tr>
        <w:trPr>
          <w:trHeight w:val="179"/>
        </w:trPr>
        <w:tc>
          <w:tcPr>
            <w:tcW w:w="224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2240" w:type="dxa"/>
            <w:vAlign w:val="bottom"/>
          </w:tcPr>
          <w:p>
            <w:pPr>
              <w:ind w:left="560"/>
              <w:spacing w:after="0"/>
              <w:rPr>
                <w:sz w:val="20"/>
                <w:szCs w:val="20"/>
                <w:color w:val="auto"/>
              </w:rPr>
            </w:pPr>
            <w:r>
              <w:rPr>
                <w:rFonts w:ascii="Arial" w:cs="Arial" w:eastAsia="Arial" w:hAnsi="Arial"/>
                <w:sz w:val="15"/>
                <w:szCs w:val="15"/>
                <w:color w:val="auto"/>
              </w:rPr>
              <w:t>any postponements or</w:t>
            </w:r>
          </w:p>
        </w:tc>
      </w:tr>
      <w:tr>
        <w:trPr>
          <w:trHeight w:val="201"/>
        </w:trPr>
        <w:tc>
          <w:tcPr>
            <w:tcW w:w="224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2240" w:type="dxa"/>
            <w:vAlign w:val="bottom"/>
          </w:tcPr>
          <w:p>
            <w:pPr>
              <w:ind w:left="560"/>
              <w:spacing w:after="0"/>
              <w:rPr>
                <w:sz w:val="20"/>
                <w:szCs w:val="20"/>
                <w:color w:val="auto"/>
              </w:rPr>
            </w:pPr>
            <w:r>
              <w:rPr>
                <w:rFonts w:ascii="Arial" w:cs="Arial" w:eastAsia="Arial" w:hAnsi="Arial"/>
                <w:sz w:val="15"/>
                <w:szCs w:val="15"/>
                <w:color w:val="auto"/>
              </w:rPr>
              <w:t>adjournments thereof.</w:t>
            </w:r>
          </w:p>
        </w:tc>
      </w:tr>
    </w:tbl>
    <w:p>
      <w:pPr>
        <w:spacing w:after="0" w:line="200" w:lineRule="exact"/>
        <w:rPr>
          <w:sz w:val="20"/>
          <w:szCs w:val="20"/>
          <w:color w:val="auto"/>
        </w:rPr>
      </w:pPr>
    </w:p>
    <w:p>
      <w:pPr>
        <w:spacing w:after="0" w:line="317" w:lineRule="exact"/>
        <w:rPr>
          <w:sz w:val="20"/>
          <w:szCs w:val="20"/>
          <w:color w:val="auto"/>
        </w:rPr>
      </w:pPr>
    </w:p>
    <w:p>
      <w:pPr>
        <w:ind w:left="320"/>
        <w:spacing w:after="0"/>
        <w:rPr>
          <w:sz w:val="20"/>
          <w:szCs w:val="20"/>
          <w:color w:val="auto"/>
        </w:rPr>
      </w:pPr>
      <w:r>
        <w:rPr>
          <w:rFonts w:ascii="Arial" w:cs="Arial" w:eastAsia="Arial" w:hAnsi="Arial"/>
          <w:sz w:val="24"/>
          <w:szCs w:val="24"/>
          <w:color w:val="B95827"/>
        </w:rPr>
        <w:t>Items of Business</w:t>
      </w:r>
    </w:p>
    <w:p>
      <w:pPr>
        <w:spacing w:after="0" w:line="398" w:lineRule="exact"/>
        <w:rPr>
          <w:sz w:val="20"/>
          <w:szCs w:val="20"/>
          <w:color w:val="auto"/>
        </w:rPr>
      </w:pPr>
    </w:p>
    <w:p>
      <w:pPr>
        <w:ind w:left="1060" w:right="200" w:hanging="585"/>
        <w:spacing w:after="0"/>
        <w:tabs>
          <w:tab w:leader="none" w:pos="1060" w:val="left"/>
        </w:tabs>
        <w:numPr>
          <w:ilvl w:val="0"/>
          <w:numId w:val="5"/>
        </w:numPr>
        <w:rPr>
          <w:rFonts w:ascii="Times New Roman" w:cs="Times New Roman" w:eastAsia="Times New Roman" w:hAnsi="Times New Roman"/>
          <w:sz w:val="31"/>
          <w:szCs w:val="31"/>
          <w:color w:val="B95827"/>
        </w:rPr>
      </w:pPr>
      <w:r>
        <w:rPr>
          <w:rFonts w:ascii="Arial" w:cs="Arial" w:eastAsia="Arial" w:hAnsi="Arial"/>
          <w:sz w:val="12"/>
          <w:szCs w:val="12"/>
          <w:color w:val="auto"/>
        </w:rPr>
        <w:t>Elect the 11 nominees named in the proxy statement to the Board of Directors of LPL Financial Holdings Inc. (the “Company”);</w:t>
      </w:r>
    </w:p>
    <w:p>
      <w:pPr>
        <w:spacing w:after="0" w:line="200" w:lineRule="exact"/>
        <w:rPr>
          <w:sz w:val="20"/>
          <w:szCs w:val="20"/>
          <w:color w:val="auto"/>
        </w:rPr>
      </w:pPr>
    </w:p>
    <w:p>
      <w:pPr>
        <w:spacing w:after="0" w:line="209" w:lineRule="exact"/>
        <w:rPr>
          <w:sz w:val="20"/>
          <w:szCs w:val="20"/>
          <w:color w:val="auto"/>
        </w:rPr>
      </w:pPr>
    </w:p>
    <w:p>
      <w:pPr>
        <w:ind w:left="1060" w:hanging="585"/>
        <w:spacing w:after="0" w:line="181" w:lineRule="auto"/>
        <w:tabs>
          <w:tab w:leader="none" w:pos="1060" w:val="left"/>
        </w:tabs>
        <w:numPr>
          <w:ilvl w:val="0"/>
          <w:numId w:val="6"/>
        </w:numPr>
        <w:rPr>
          <w:rFonts w:ascii="Times New Roman" w:cs="Times New Roman" w:eastAsia="Times New Roman" w:hAnsi="Times New Roman"/>
          <w:sz w:val="50"/>
          <w:szCs w:val="50"/>
          <w:color w:val="B95827"/>
        </w:rPr>
      </w:pPr>
      <w:r>
        <w:rPr>
          <w:rFonts w:ascii="Arial" w:cs="Arial" w:eastAsia="Arial" w:hAnsi="Arial"/>
          <w:sz w:val="14"/>
          <w:szCs w:val="14"/>
          <w:color w:val="auto"/>
        </w:rPr>
        <w:t>Ratify the appointment of Deloitte &amp; Touche LLP by the Audit and Risk Committee of the Board of Directors as the Company’s independent registered public accounting firm for the fiscal year ending December 31,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wp:posOffset>
            </wp:positionH>
            <wp:positionV relativeFrom="paragraph">
              <wp:posOffset>-400685</wp:posOffset>
            </wp:positionV>
            <wp:extent cx="506539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065395" cy="8255"/>
                    </a:xfrm>
                    <a:prstGeom prst="rect">
                      <a:avLst/>
                    </a:prstGeom>
                    <a:noFill/>
                  </pic:spPr>
                </pic:pic>
              </a:graphicData>
            </a:graphic>
          </wp:anchor>
        </w:drawing>
      </w:r>
    </w:p>
    <w:p>
      <w:pPr>
        <w:ind w:left="1060" w:hanging="585"/>
        <w:spacing w:after="0" w:line="199" w:lineRule="auto"/>
        <w:tabs>
          <w:tab w:leader="none" w:pos="1060" w:val="left"/>
        </w:tabs>
        <w:numPr>
          <w:ilvl w:val="0"/>
          <w:numId w:val="7"/>
        </w:numPr>
        <w:rPr>
          <w:rFonts w:ascii="Times New Roman" w:cs="Times New Roman" w:eastAsia="Times New Roman" w:hAnsi="Times New Roman"/>
          <w:sz w:val="71"/>
          <w:szCs w:val="71"/>
          <w:color w:val="B95827"/>
        </w:rPr>
      </w:pPr>
      <w:r>
        <w:rPr>
          <w:rFonts w:ascii="Arial" w:cs="Arial" w:eastAsia="Arial" w:hAnsi="Arial"/>
          <w:sz w:val="15"/>
          <w:szCs w:val="15"/>
          <w:color w:val="auto"/>
        </w:rPr>
        <w:t>Approve, in an advisory vote, the compensation paid to the Company’s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wp:posOffset>
            </wp:positionH>
            <wp:positionV relativeFrom="paragraph">
              <wp:posOffset>254635</wp:posOffset>
            </wp:positionV>
            <wp:extent cx="506539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065395" cy="8255"/>
                    </a:xfrm>
                    <a:prstGeom prst="rect">
                      <a:avLst/>
                    </a:prstGeom>
                    <a:noFill/>
                  </pic:spPr>
                </pic:pic>
              </a:graphicData>
            </a:graphic>
          </wp:anchor>
        </w:drawing>
        <w:drawing>
          <wp:anchor simplePos="0" relativeHeight="251657728" behindDoc="1" locked="0" layoutInCell="0" allowOverlap="1">
            <wp:simplePos x="0" y="0"/>
            <wp:positionH relativeFrom="column">
              <wp:posOffset>211455</wp:posOffset>
            </wp:positionH>
            <wp:positionV relativeFrom="paragraph">
              <wp:posOffset>-279400</wp:posOffset>
            </wp:positionV>
            <wp:extent cx="506539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065395" cy="8255"/>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ind w:left="1060" w:right="480" w:hanging="585"/>
        <w:spacing w:after="0" w:line="181" w:lineRule="auto"/>
        <w:tabs>
          <w:tab w:leader="none" w:pos="1060" w:val="left"/>
        </w:tabs>
        <w:numPr>
          <w:ilvl w:val="0"/>
          <w:numId w:val="8"/>
        </w:numPr>
        <w:rPr>
          <w:rFonts w:ascii="Times New Roman" w:cs="Times New Roman" w:eastAsia="Times New Roman" w:hAnsi="Times New Roman"/>
          <w:sz w:val="38"/>
          <w:szCs w:val="38"/>
          <w:color w:val="B95827"/>
        </w:rPr>
      </w:pPr>
      <w:r>
        <w:rPr>
          <w:rFonts w:ascii="Arial" w:cs="Arial" w:eastAsia="Arial" w:hAnsi="Arial"/>
          <w:sz w:val="13"/>
          <w:szCs w:val="13"/>
          <w:color w:val="auto"/>
        </w:rPr>
        <w:t>Adopt an amendment and restatement of the Company’s Amended and Restated Certificate of Incorporation, as amended (our “Charter”), to eliminate supermajority voting requirements, eliminate obsolete provisions and make certain non-substantive changes;</w:t>
      </w:r>
    </w:p>
    <w:p>
      <w:pPr>
        <w:ind w:left="1060" w:hanging="585"/>
        <w:spacing w:after="0" w:line="199" w:lineRule="auto"/>
        <w:tabs>
          <w:tab w:leader="none" w:pos="1060" w:val="left"/>
        </w:tabs>
        <w:numPr>
          <w:ilvl w:val="0"/>
          <w:numId w:val="9"/>
        </w:numPr>
        <w:rPr>
          <w:rFonts w:ascii="Times New Roman" w:cs="Times New Roman" w:eastAsia="Times New Roman" w:hAnsi="Times New Roman"/>
          <w:sz w:val="71"/>
          <w:szCs w:val="71"/>
          <w:color w:val="B95827"/>
        </w:rPr>
      </w:pPr>
      <w:r>
        <w:rPr>
          <w:rFonts w:ascii="Arial" w:cs="Arial" w:eastAsia="Arial" w:hAnsi="Arial"/>
          <w:sz w:val="15"/>
          <w:szCs w:val="15"/>
          <w:color w:val="auto"/>
        </w:rPr>
        <w:t>Adopt amendments to our Charter to provide for officer exculpation;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wp:posOffset>
            </wp:positionH>
            <wp:positionV relativeFrom="paragraph">
              <wp:posOffset>254635</wp:posOffset>
            </wp:positionV>
            <wp:extent cx="506539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065395" cy="8255"/>
                    </a:xfrm>
                    <a:prstGeom prst="rect">
                      <a:avLst/>
                    </a:prstGeom>
                    <a:noFill/>
                  </pic:spPr>
                </pic:pic>
              </a:graphicData>
            </a:graphic>
          </wp:anchor>
        </w:drawing>
        <w:drawing>
          <wp:anchor simplePos="0" relativeHeight="251657728" behindDoc="1" locked="0" layoutInCell="0" allowOverlap="1">
            <wp:simplePos x="0" y="0"/>
            <wp:positionH relativeFrom="column">
              <wp:posOffset>211455</wp:posOffset>
            </wp:positionH>
            <wp:positionV relativeFrom="paragraph">
              <wp:posOffset>-279400</wp:posOffset>
            </wp:positionV>
            <wp:extent cx="506539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065395" cy="8255"/>
                    </a:xfrm>
                    <a:prstGeom prst="rect">
                      <a:avLst/>
                    </a:prstGeom>
                    <a:noFill/>
                  </pic:spPr>
                </pic:pic>
              </a:graphicData>
            </a:graphic>
          </wp:anchor>
        </w:drawing>
      </w:r>
    </w:p>
    <w:p>
      <w:pPr>
        <w:spacing w:after="0" w:line="8" w:lineRule="exact"/>
        <w:rPr>
          <w:sz w:val="20"/>
          <w:szCs w:val="20"/>
          <w:color w:val="auto"/>
        </w:rPr>
      </w:pPr>
    </w:p>
    <w:p>
      <w:pPr>
        <w:ind w:left="1060" w:hanging="585"/>
        <w:spacing w:after="0"/>
        <w:tabs>
          <w:tab w:leader="none" w:pos="1060" w:val="left"/>
        </w:tabs>
        <w:numPr>
          <w:ilvl w:val="0"/>
          <w:numId w:val="10"/>
        </w:numPr>
        <w:rPr>
          <w:rFonts w:ascii="Times New Roman" w:cs="Times New Roman" w:eastAsia="Times New Roman" w:hAnsi="Times New Roman"/>
          <w:sz w:val="71"/>
          <w:szCs w:val="71"/>
          <w:color w:val="B95827"/>
        </w:rPr>
      </w:pPr>
      <w:r>
        <w:rPr>
          <w:rFonts w:ascii="Arial" w:cs="Arial" w:eastAsia="Arial" w:hAnsi="Arial"/>
          <w:sz w:val="15"/>
          <w:szCs w:val="15"/>
          <w:color w:val="auto"/>
        </w:rPr>
        <w:t>Adopt amendments to our Charter to remove the corporate opportunities provision;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wp:posOffset>
            </wp:positionH>
            <wp:positionV relativeFrom="paragraph">
              <wp:posOffset>253365</wp:posOffset>
            </wp:positionV>
            <wp:extent cx="506539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065395" cy="8255"/>
                    </a:xfrm>
                    <a:prstGeom prst="rect">
                      <a:avLst/>
                    </a:prstGeom>
                    <a:noFill/>
                  </pic:spPr>
                </pic:pic>
              </a:graphicData>
            </a:graphic>
          </wp:anchor>
        </w:drawing>
      </w:r>
    </w:p>
    <w:p>
      <w:pPr>
        <w:spacing w:after="0" w:line="200" w:lineRule="exact"/>
        <w:rPr>
          <w:sz w:val="20"/>
          <w:szCs w:val="20"/>
          <w:color w:val="auto"/>
        </w:rPr>
      </w:pPr>
    </w:p>
    <w:p>
      <w:pPr>
        <w:spacing w:after="0" w:line="332" w:lineRule="exact"/>
        <w:rPr>
          <w:sz w:val="20"/>
          <w:szCs w:val="20"/>
          <w:color w:val="auto"/>
        </w:rPr>
      </w:pPr>
    </w:p>
    <w:p>
      <w:pPr>
        <w:ind w:left="1060" w:right="860" w:hanging="585"/>
        <w:spacing w:after="0" w:line="184" w:lineRule="auto"/>
        <w:tabs>
          <w:tab w:leader="none" w:pos="1060" w:val="left"/>
        </w:tabs>
        <w:numPr>
          <w:ilvl w:val="0"/>
          <w:numId w:val="11"/>
        </w:numPr>
        <w:rPr>
          <w:rFonts w:ascii="Times New Roman" w:cs="Times New Roman" w:eastAsia="Times New Roman" w:hAnsi="Times New Roman"/>
          <w:sz w:val="31"/>
          <w:szCs w:val="31"/>
          <w:color w:val="B95827"/>
        </w:rPr>
      </w:pPr>
      <w:r>
        <w:rPr>
          <w:rFonts w:ascii="Arial" w:cs="Arial" w:eastAsia="Arial" w:hAnsi="Arial"/>
          <w:sz w:val="12"/>
          <w:szCs w:val="12"/>
          <w:color w:val="auto"/>
        </w:rPr>
        <w:t>Consider and act upon any other business properly coming before the 2026 annual meeting of stockholders (the “Annual Meeting”) and at any adjournment or postponement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wp:posOffset>
            </wp:positionH>
            <wp:positionV relativeFrom="paragraph">
              <wp:posOffset>196850</wp:posOffset>
            </wp:positionV>
            <wp:extent cx="506539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065395" cy="825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ind w:left="320" w:right="320"/>
        <w:spacing w:after="0" w:line="268" w:lineRule="auto"/>
        <w:rPr>
          <w:sz w:val="20"/>
          <w:szCs w:val="20"/>
          <w:color w:val="auto"/>
        </w:rPr>
      </w:pPr>
      <w:r>
        <w:rPr>
          <w:rFonts w:ascii="Arial" w:cs="Arial" w:eastAsia="Arial" w:hAnsi="Arial"/>
          <w:sz w:val="15"/>
          <w:szCs w:val="15"/>
          <w:color w:val="auto"/>
        </w:rPr>
        <w:t>Information relating to the matters to be considered and voted on at the Annual Meeting is set forth in the proxy statement accompanying this Notice, and the summaries of the proposed amendments to our Charter are hereby incorporated herein by reference.</w:t>
      </w:r>
    </w:p>
    <w:p>
      <w:pPr>
        <w:spacing w:after="0" w:line="200" w:lineRule="exact"/>
        <w:rPr>
          <w:sz w:val="20"/>
          <w:szCs w:val="20"/>
          <w:color w:val="auto"/>
        </w:rPr>
      </w:pPr>
    </w:p>
    <w:p>
      <w:pPr>
        <w:spacing w:after="0" w:line="292" w:lineRule="exact"/>
        <w:rPr>
          <w:sz w:val="20"/>
          <w:szCs w:val="20"/>
          <w:color w:val="auto"/>
        </w:rPr>
      </w:pPr>
    </w:p>
    <w:p>
      <w:pPr>
        <w:spacing w:after="0"/>
        <w:tabs>
          <w:tab w:leader="none" w:pos="520" w:val="left"/>
        </w:tabs>
        <w:rPr>
          <w:sz w:val="20"/>
          <w:szCs w:val="20"/>
          <w:color w:val="auto"/>
        </w:rPr>
      </w:pPr>
      <w:r>
        <w:rPr>
          <w:rFonts w:ascii="Arial" w:cs="Arial" w:eastAsia="Arial" w:hAnsi="Arial"/>
          <w:sz w:val="15"/>
          <w:szCs w:val="15"/>
          <w:color w:val="auto"/>
        </w:rPr>
        <w:t xml:space="preserve">       </w:t>
      </w:r>
      <w:r>
        <w:rPr>
          <w:sz w:val="20"/>
          <w:szCs w:val="20"/>
          <w:color w:val="auto"/>
        </w:rPr>
        <w:tab/>
      </w:r>
      <w:r>
        <w:rPr>
          <w:rFonts w:ascii="Arial" w:cs="Arial" w:eastAsia="Arial" w:hAnsi="Arial"/>
          <w:sz w:val="14"/>
          <w:szCs w:val="14"/>
          <w:b w:val="1"/>
          <w:bCs w:val="1"/>
          <w:color w:val="002B5F"/>
        </w:rPr>
        <w:t>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4587875</wp:posOffset>
            </wp:positionH>
            <wp:positionV relativeFrom="paragraph">
              <wp:posOffset>-99695</wp:posOffset>
            </wp:positionV>
            <wp:extent cx="769620" cy="971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69620" cy="97155"/>
                    </a:xfrm>
                    <a:prstGeom prst="rect">
                      <a:avLst/>
                    </a:prstGeom>
                    <a:noFill/>
                  </pic:spPr>
                </pic:pic>
              </a:graphicData>
            </a:graphic>
          </wp:anchor>
        </w:drawing>
      </w:r>
    </w:p>
    <w:p>
      <w:pPr>
        <w:sectPr>
          <w:pgSz w:w="11900" w:h="16838" w:orient="portrait"/>
          <w:cols w:equalWidth="0" w:num="2">
            <w:col w:w="2280" w:space="120"/>
            <w:col w:w="8300"/>
          </w:cols>
          <w:pgMar w:left="320" w:top="464" w:right="87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533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81215" cy="5334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5617845</wp:posOffset>
            </wp:positionH>
            <wp:positionV relativeFrom="paragraph">
              <wp:posOffset>253365</wp:posOffset>
            </wp:positionV>
            <wp:extent cx="1256030" cy="74720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56030" cy="7472045"/>
                    </a:xfrm>
                    <a:prstGeom prst="rect">
                      <a:avLst/>
                    </a:prstGeom>
                    <a:noFill/>
                  </pic:spPr>
                </pic:pic>
              </a:graphicData>
            </a:graphic>
          </wp:anchor>
        </w:drawing>
      </w:r>
    </w:p>
    <w:p>
      <w:pPr>
        <w:spacing w:after="0" w:line="200" w:lineRule="exact"/>
        <w:rPr>
          <w:sz w:val="20"/>
          <w:szCs w:val="20"/>
          <w:color w:val="auto"/>
        </w:rPr>
      </w:pPr>
    </w:p>
    <w:p>
      <w:pPr>
        <w:spacing w:after="0" w:line="254" w:lineRule="exact"/>
        <w:rPr>
          <w:sz w:val="20"/>
          <w:szCs w:val="20"/>
          <w:color w:val="auto"/>
        </w:rPr>
      </w:pPr>
    </w:p>
    <w:tbl>
      <w:tblPr>
        <w:tblLayout w:type="fixed"/>
        <w:tblInd w:w="540" w:type="dxa"/>
        <w:tblCellMar>
          <w:top w:w="0" w:type="dxa"/>
          <w:left w:w="0" w:type="dxa"/>
          <w:bottom w:w="0" w:type="dxa"/>
          <w:right w:w="0" w:type="dxa"/>
        </w:tblCellMar>
      </w:tblPr>
      <w:tr>
        <w:trPr>
          <w:trHeight w:val="179"/>
        </w:trPr>
        <w:tc>
          <w:tcPr>
            <w:tcW w:w="8080" w:type="dxa"/>
            <w:vAlign w:val="bottom"/>
          </w:tcPr>
          <w:p>
            <w:pPr>
              <w:spacing w:after="0"/>
              <w:rPr>
                <w:sz w:val="20"/>
                <w:szCs w:val="20"/>
                <w:color w:val="auto"/>
              </w:rPr>
            </w:pPr>
            <w:r>
              <w:rPr>
                <w:rFonts w:ascii="Arial" w:cs="Arial" w:eastAsia="Arial" w:hAnsi="Arial"/>
                <w:sz w:val="15"/>
                <w:szCs w:val="15"/>
                <w:b w:val="1"/>
                <w:bCs w:val="1"/>
                <w:color w:val="002B5F"/>
              </w:rPr>
              <w:t>Your vote is important. Whether or not you plan to attend the meeting, please submit your proxy by</w:t>
            </w:r>
          </w:p>
        </w:tc>
        <w:tc>
          <w:tcPr>
            <w:tcW w:w="3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8080" w:type="dxa"/>
            <w:vAlign w:val="bottom"/>
          </w:tcPr>
          <w:p>
            <w:pPr>
              <w:spacing w:after="0"/>
              <w:rPr>
                <w:sz w:val="20"/>
                <w:szCs w:val="20"/>
                <w:color w:val="auto"/>
              </w:rPr>
            </w:pPr>
            <w:r>
              <w:rPr>
                <w:rFonts w:ascii="Arial" w:cs="Arial" w:eastAsia="Arial" w:hAnsi="Arial"/>
                <w:sz w:val="15"/>
                <w:szCs w:val="15"/>
                <w:b w:val="1"/>
                <w:bCs w:val="1"/>
                <w:color w:val="002B5F"/>
              </w:rPr>
              <w:t>following the instructions set forth in the following materials. You may vote your shares and submit a proxy</w:t>
            </w:r>
          </w:p>
        </w:tc>
        <w:tc>
          <w:tcPr>
            <w:tcW w:w="380" w:type="dxa"/>
            <w:vAlign w:val="bottom"/>
            <w:vMerge w:val="restart"/>
          </w:tcPr>
          <w:p>
            <w:pPr>
              <w:ind w:left="260"/>
              <w:spacing w:after="0"/>
              <w:rPr>
                <w:sz w:val="20"/>
                <w:szCs w:val="20"/>
                <w:color w:val="auto"/>
              </w:rPr>
            </w:pPr>
            <w:r>
              <w:rPr>
                <w:rFonts w:ascii="Arial" w:cs="Arial" w:eastAsia="Arial" w:hAnsi="Arial"/>
                <w:sz w:val="14"/>
                <w:szCs w:val="14"/>
                <w:color w:val="auto"/>
                <w:w w:val="71"/>
              </w:rPr>
              <w:t> </w:t>
            </w:r>
          </w:p>
        </w:tc>
        <w:tc>
          <w:tcPr>
            <w:tcW w:w="860" w:type="dxa"/>
            <w:vAlign w:val="bottom"/>
            <w:vMerge w:val="restart"/>
          </w:tcPr>
          <w:p>
            <w:pPr>
              <w:jc w:val="right"/>
              <w:ind w:right="520"/>
              <w:spacing w:after="0"/>
              <w:rPr>
                <w:sz w:val="20"/>
                <w:szCs w:val="20"/>
                <w:color w:val="auto"/>
              </w:rPr>
            </w:pPr>
            <w:r>
              <w:rPr>
                <w:rFonts w:ascii="Arial" w:cs="Arial" w:eastAsia="Arial" w:hAnsi="Arial"/>
                <w:sz w:val="12"/>
                <w:szCs w:val="12"/>
                <w:color w:val="FFFFFF"/>
              </w:rPr>
              <w:t xml:space="preserve">    </w:t>
            </w:r>
          </w:p>
        </w:tc>
        <w:tc>
          <w:tcPr>
            <w:tcW w:w="940" w:type="dxa"/>
            <w:vAlign w:val="bottom"/>
            <w:vMerge w:val="restart"/>
          </w:tcPr>
          <w:p>
            <w:pPr>
              <w:ind w:left="580"/>
              <w:spacing w:after="0"/>
              <w:rPr>
                <w:sz w:val="20"/>
                <w:szCs w:val="20"/>
                <w:color w:val="auto"/>
              </w:rPr>
            </w:pPr>
            <w:r>
              <w:rPr>
                <w:rFonts w:ascii="Arial" w:cs="Arial" w:eastAsia="Arial" w:hAnsi="Arial"/>
                <w:sz w:val="15"/>
                <w:szCs w:val="15"/>
                <w:color w:val="auto"/>
              </w:rPr>
              <w:t xml:space="preserve">       </w:t>
            </w:r>
          </w:p>
        </w:tc>
        <w:tc>
          <w:tcPr>
            <w:tcW w:w="0" w:type="dxa"/>
            <w:vAlign w:val="bottom"/>
          </w:tcPr>
          <w:p>
            <w:pPr>
              <w:spacing w:after="0"/>
              <w:rPr>
                <w:sz w:val="1"/>
                <w:szCs w:val="1"/>
                <w:color w:val="auto"/>
              </w:rPr>
            </w:pPr>
          </w:p>
        </w:tc>
      </w:tr>
      <w:tr>
        <w:trPr>
          <w:trHeight w:val="53"/>
        </w:trPr>
        <w:tc>
          <w:tcPr>
            <w:tcW w:w="8080" w:type="dxa"/>
            <w:vAlign w:val="bottom"/>
            <w:vMerge w:val="restart"/>
          </w:tcPr>
          <w:p>
            <w:pPr>
              <w:spacing w:after="0"/>
              <w:rPr>
                <w:sz w:val="20"/>
                <w:szCs w:val="20"/>
                <w:color w:val="auto"/>
              </w:rPr>
            </w:pPr>
            <w:r>
              <w:rPr>
                <w:rFonts w:ascii="Arial" w:cs="Arial" w:eastAsia="Arial" w:hAnsi="Arial"/>
                <w:sz w:val="15"/>
                <w:szCs w:val="15"/>
                <w:b w:val="1"/>
                <w:bCs w:val="1"/>
                <w:color w:val="002B5F"/>
              </w:rPr>
              <w:t>through the internet or by telephone as described herein or, if you requested printed copies of these</w:t>
            </w:r>
          </w:p>
        </w:tc>
        <w:tc>
          <w:tcPr>
            <w:tcW w:w="380" w:type="dxa"/>
            <w:vAlign w:val="bottom"/>
            <w:vMerge w:val="continue"/>
          </w:tcPr>
          <w:p>
            <w:pPr>
              <w:spacing w:after="0"/>
              <w:rPr>
                <w:sz w:val="4"/>
                <w:szCs w:val="4"/>
                <w:color w:val="auto"/>
              </w:rPr>
            </w:pPr>
          </w:p>
        </w:tc>
        <w:tc>
          <w:tcPr>
            <w:tcW w:w="86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6"/>
        </w:trPr>
        <w:tc>
          <w:tcPr>
            <w:tcW w:w="8080" w:type="dxa"/>
            <w:vAlign w:val="bottom"/>
            <w:vMerge w:val="continue"/>
          </w:tcPr>
          <w:p>
            <w:pPr>
              <w:spacing w:after="0"/>
              <w:rPr>
                <w:sz w:val="10"/>
                <w:szCs w:val="10"/>
                <w:color w:val="auto"/>
              </w:rPr>
            </w:pPr>
          </w:p>
        </w:tc>
        <w:tc>
          <w:tcPr>
            <w:tcW w:w="380" w:type="dxa"/>
            <w:vAlign w:val="bottom"/>
          </w:tcPr>
          <w:p>
            <w:pPr>
              <w:spacing w:after="0"/>
              <w:rPr>
                <w:sz w:val="10"/>
                <w:szCs w:val="10"/>
                <w:color w:val="auto"/>
              </w:rPr>
            </w:pPr>
          </w:p>
        </w:tc>
        <w:tc>
          <w:tcPr>
            <w:tcW w:w="860" w:type="dxa"/>
            <w:vAlign w:val="bottom"/>
          </w:tcPr>
          <w:p>
            <w:pPr>
              <w:jc w:val="right"/>
              <w:ind w:right="520"/>
              <w:spacing w:after="0" w:line="126" w:lineRule="exact"/>
              <w:rPr>
                <w:sz w:val="20"/>
                <w:szCs w:val="20"/>
                <w:color w:val="auto"/>
              </w:rPr>
            </w:pPr>
            <w:r>
              <w:rPr>
                <w:rFonts w:ascii="Arial" w:cs="Arial" w:eastAsia="Arial" w:hAnsi="Arial"/>
                <w:sz w:val="12"/>
                <w:szCs w:val="12"/>
                <w:color w:val="FFFFFF"/>
              </w:rPr>
              <w:t> </w:t>
            </w: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1"/>
        </w:trPr>
        <w:tc>
          <w:tcPr>
            <w:tcW w:w="8080" w:type="dxa"/>
            <w:vAlign w:val="bottom"/>
          </w:tcPr>
          <w:p>
            <w:pPr>
              <w:spacing w:after="0"/>
              <w:rPr>
                <w:sz w:val="20"/>
                <w:szCs w:val="20"/>
                <w:color w:val="auto"/>
              </w:rPr>
            </w:pPr>
            <w:r>
              <w:rPr>
                <w:rFonts w:ascii="Arial" w:cs="Arial" w:eastAsia="Arial" w:hAnsi="Arial"/>
                <w:sz w:val="15"/>
                <w:szCs w:val="15"/>
                <w:b w:val="1"/>
                <w:bCs w:val="1"/>
                <w:color w:val="002B5F"/>
              </w:rPr>
              <w:t>materials, by signing and returning a proxy card.</w:t>
            </w: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1"/>
        </w:trPr>
        <w:tc>
          <w:tcPr>
            <w:tcW w:w="8080" w:type="dxa"/>
            <w:vAlign w:val="bottom"/>
            <w:vMerge w:val="restart"/>
          </w:tcPr>
          <w:p>
            <w:pPr>
              <w:spacing w:after="0"/>
              <w:rPr>
                <w:sz w:val="20"/>
                <w:szCs w:val="20"/>
                <w:color w:val="auto"/>
              </w:rPr>
            </w:pPr>
            <w:r>
              <w:rPr>
                <w:rFonts w:ascii="Arial" w:cs="Arial" w:eastAsia="Arial" w:hAnsi="Arial"/>
                <w:sz w:val="15"/>
                <w:szCs w:val="15"/>
                <w:color w:val="auto"/>
              </w:rPr>
              <w:t>By Order of the Board of Directors,</w:t>
            </w:r>
          </w:p>
        </w:tc>
        <w:tc>
          <w:tcPr>
            <w:tcW w:w="380" w:type="dxa"/>
            <w:vAlign w:val="bottom"/>
          </w:tcPr>
          <w:p>
            <w:pPr>
              <w:spacing w:after="0"/>
              <w:rPr>
                <w:sz w:val="11"/>
                <w:szCs w:val="11"/>
                <w:color w:val="auto"/>
              </w:rPr>
            </w:pPr>
          </w:p>
        </w:tc>
        <w:tc>
          <w:tcPr>
            <w:tcW w:w="860" w:type="dxa"/>
            <w:vAlign w:val="bottom"/>
          </w:tcPr>
          <w:p>
            <w:pPr>
              <w:jc w:val="right"/>
              <w:ind w:right="520"/>
              <w:spacing w:after="0" w:line="131" w:lineRule="exact"/>
              <w:rPr>
                <w:sz w:val="20"/>
                <w:szCs w:val="20"/>
                <w:color w:val="auto"/>
              </w:rPr>
            </w:pPr>
            <w:r>
              <w:rPr>
                <w:rFonts w:ascii="Arial" w:cs="Arial" w:eastAsia="Arial" w:hAnsi="Arial"/>
                <w:sz w:val="12"/>
                <w:szCs w:val="12"/>
                <w:color w:val="FFFFFF"/>
              </w:rPr>
              <w:t> </w:t>
            </w: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8080" w:type="dxa"/>
            <w:vAlign w:val="bottom"/>
            <w:vMerge w:val="continue"/>
          </w:tcPr>
          <w:p>
            <w:pPr>
              <w:spacing w:after="0"/>
              <w:rPr>
                <w:sz w:val="11"/>
                <w:szCs w:val="11"/>
                <w:color w:val="auto"/>
              </w:rPr>
            </w:pPr>
          </w:p>
        </w:tc>
        <w:tc>
          <w:tcPr>
            <w:tcW w:w="380" w:type="dxa"/>
            <w:vAlign w:val="bottom"/>
          </w:tcPr>
          <w:p>
            <w:pPr>
              <w:spacing w:after="0"/>
              <w:rPr>
                <w:sz w:val="11"/>
                <w:szCs w:val="11"/>
                <w:color w:val="auto"/>
              </w:rPr>
            </w:pPr>
          </w:p>
        </w:tc>
        <w:tc>
          <w:tcPr>
            <w:tcW w:w="860" w:type="dxa"/>
            <w:vAlign w:val="bottom"/>
          </w:tcPr>
          <w:p>
            <w:pPr>
              <w:jc w:val="right"/>
              <w:ind w:right="520"/>
              <w:spacing w:after="0" w:line="133" w:lineRule="exact"/>
              <w:rPr>
                <w:sz w:val="20"/>
                <w:szCs w:val="20"/>
                <w:color w:val="auto"/>
              </w:rPr>
            </w:pPr>
            <w:r>
              <w:rPr>
                <w:rFonts w:ascii="Arial" w:cs="Arial" w:eastAsia="Arial" w:hAnsi="Arial"/>
                <w:sz w:val="12"/>
                <w:szCs w:val="12"/>
                <w:color w:val="FFFFFF"/>
              </w:rPr>
              <w:t> </w:t>
            </w: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3"/>
        </w:trPr>
        <w:tc>
          <w:tcPr>
            <w:tcW w:w="80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60" w:type="dxa"/>
            <w:vAlign w:val="bottom"/>
          </w:tcPr>
          <w:p>
            <w:pPr>
              <w:jc w:val="right"/>
              <w:ind w:right="520"/>
              <w:spacing w:after="0" w:line="123" w:lineRule="exact"/>
              <w:rPr>
                <w:sz w:val="20"/>
                <w:szCs w:val="20"/>
                <w:color w:val="auto"/>
              </w:rPr>
            </w:pPr>
            <w:r>
              <w:rPr>
                <w:rFonts w:ascii="Arial" w:cs="Arial" w:eastAsia="Arial" w:hAnsi="Arial"/>
                <w:sz w:val="12"/>
                <w:szCs w:val="12"/>
                <w:color w:val="FFFFFF"/>
              </w:rPr>
              <w:t> </w:t>
            </w: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80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60" w:type="dxa"/>
            <w:vAlign w:val="bottom"/>
          </w:tcPr>
          <w:p>
            <w:pPr>
              <w:jc w:val="right"/>
              <w:ind w:right="520"/>
              <w:spacing w:after="0"/>
              <w:rPr>
                <w:sz w:val="20"/>
                <w:szCs w:val="20"/>
                <w:color w:val="auto"/>
              </w:rPr>
            </w:pPr>
            <w:r>
              <w:rPr>
                <w:rFonts w:ascii="Arial" w:cs="Arial" w:eastAsia="Arial" w:hAnsi="Arial"/>
                <w:sz w:val="12"/>
                <w:szCs w:val="12"/>
                <w:color w:val="FFFFFF"/>
              </w:rPr>
              <w:t> </w:t>
            </w: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341630</wp:posOffset>
            </wp:positionH>
            <wp:positionV relativeFrom="paragraph">
              <wp:posOffset>-80010</wp:posOffset>
            </wp:positionV>
            <wp:extent cx="762000" cy="2997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62000" cy="299720"/>
                    </a:xfrm>
                    <a:prstGeom prst="rect">
                      <a:avLst/>
                    </a:prstGeom>
                    <a:noFill/>
                  </pic:spPr>
                </pic:pic>
              </a:graphicData>
            </a:graphic>
          </wp:anchor>
        </w:drawing>
      </w:r>
    </w:p>
    <w:p>
      <w:pPr>
        <w:sectPr>
          <w:pgSz w:w="11900" w:h="16838" w:orient="portrait"/>
          <w:cols w:equalWidth="0" w:num="1">
            <w:col w:w="10800"/>
          </w:cols>
          <w:pgMar w:left="320" w:top="464" w:right="779" w:bottom="1440" w:gutter="0" w:footer="0" w:header="0"/>
        </w:sectPr>
      </w:pPr>
    </w:p>
    <w:p>
      <w:pPr>
        <w:spacing w:after="0" w:line="331" w:lineRule="exact"/>
        <w:rPr>
          <w:sz w:val="20"/>
          <w:szCs w:val="20"/>
          <w:color w:val="auto"/>
        </w:rPr>
      </w:pPr>
    </w:p>
    <w:p>
      <w:pPr>
        <w:ind w:left="540"/>
        <w:spacing w:after="0"/>
        <w:rPr>
          <w:sz w:val="20"/>
          <w:szCs w:val="20"/>
          <w:color w:val="auto"/>
        </w:rPr>
      </w:pPr>
      <w:r>
        <w:rPr>
          <w:rFonts w:ascii="Arial" w:cs="Arial" w:eastAsia="Arial" w:hAnsi="Arial"/>
          <w:sz w:val="15"/>
          <w:szCs w:val="15"/>
          <w:b w:val="1"/>
          <w:bCs w:val="1"/>
          <w:color w:val="002B5F"/>
        </w:rPr>
        <w:t>Robert S. Hatfield III</w:t>
      </w:r>
    </w:p>
    <w:p>
      <w:pPr>
        <w:spacing w:after="0" w:line="22" w:lineRule="exact"/>
        <w:rPr>
          <w:sz w:val="20"/>
          <w:szCs w:val="20"/>
          <w:color w:val="auto"/>
        </w:rPr>
      </w:pPr>
    </w:p>
    <w:p>
      <w:pPr>
        <w:ind w:left="540"/>
        <w:spacing w:after="0"/>
        <w:rPr>
          <w:sz w:val="20"/>
          <w:szCs w:val="20"/>
          <w:color w:val="auto"/>
        </w:rPr>
      </w:pPr>
      <w:r>
        <w:rPr>
          <w:rFonts w:ascii="Arial" w:cs="Arial" w:eastAsia="Arial" w:hAnsi="Arial"/>
          <w:sz w:val="15"/>
          <w:szCs w:val="15"/>
          <w:color w:val="auto"/>
        </w:rPr>
        <w:t>Secretary</w:t>
      </w:r>
    </w:p>
    <w:p>
      <w:pPr>
        <w:spacing w:after="0" w:line="6" w:lineRule="exact"/>
        <w:rPr>
          <w:sz w:val="20"/>
          <w:szCs w:val="20"/>
          <w:color w:val="auto"/>
        </w:rPr>
      </w:pPr>
    </w:p>
    <w:p>
      <w:pPr>
        <w:ind w:left="540"/>
        <w:spacing w:after="0"/>
        <w:rPr>
          <w:sz w:val="20"/>
          <w:szCs w:val="20"/>
          <w:color w:val="auto"/>
        </w:rPr>
      </w:pPr>
      <w:r>
        <w:rPr>
          <w:rFonts w:ascii="Arial" w:cs="Arial" w:eastAsia="Arial" w:hAnsi="Arial"/>
          <w:sz w:val="15"/>
          <w:szCs w:val="15"/>
          <w:color w:val="auto"/>
        </w:rPr>
        <w:t>Fort Mill, South Carolina</w:t>
      </w:r>
    </w:p>
    <w:p>
      <w:pPr>
        <w:spacing w:after="0" w:line="6"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t>
      </w:r>
      <w:r>
        <w:rPr>
          <w:rFonts w:ascii="Times New Roman" w:cs="Times New Roman" w:eastAsia="Times New Roman" w:hAnsi="Times New Roman"/>
          <w:sz w:val="15"/>
          <w:szCs w:val="15"/>
          <w:color w:val="auto"/>
        </w:rPr>
        <w:t>●</w:t>
      </w:r>
      <w:r>
        <w:rPr>
          <w:rFonts w:ascii="Arial" w:cs="Arial" w:eastAsia="Arial" w:hAnsi="Arial"/>
          <w:sz w:val="15"/>
          <w:szCs w:val="15"/>
          <w:color w:val="auto"/>
        </w:rPr>
        <w:t>], 2026</w:t>
      </w:r>
    </w:p>
    <w:p>
      <w:pPr>
        <w:spacing w:after="0" w:line="297" w:lineRule="exact"/>
        <w:rPr>
          <w:sz w:val="20"/>
          <w:szCs w:val="20"/>
          <w:color w:val="auto"/>
        </w:rPr>
      </w:pPr>
    </w:p>
    <w:p>
      <w:pPr>
        <w:ind w:left="540" w:right="280"/>
        <w:spacing w:after="0" w:line="250" w:lineRule="auto"/>
        <w:rPr>
          <w:sz w:val="20"/>
          <w:szCs w:val="20"/>
          <w:color w:val="auto"/>
        </w:rPr>
      </w:pPr>
      <w:r>
        <w:rPr>
          <w:rFonts w:ascii="Arial" w:cs="Arial" w:eastAsia="Arial" w:hAnsi="Arial"/>
          <w:sz w:val="20"/>
          <w:szCs w:val="20"/>
          <w:b w:val="1"/>
          <w:bCs w:val="1"/>
          <w:color w:val="002B5F"/>
        </w:rPr>
        <w:t>Important notice regarding the availability of proxy materials for the Annual Meeting of Stockholders to be held on May 14, 2026: the proxy statement, the proxy card and LPL Financial Holdings Inc.’s 2025 Annual Report on Form 10-K are available at www.lpl.com. Additionally, in accordance with Securities and Exchange Commission rules, you may access these materials on the website indicated in the notice of internet availability of proxy materials.</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spacing w:after="0"/>
        <w:rPr>
          <w:sz w:val="20"/>
          <w:szCs w:val="20"/>
          <w:color w:val="auto"/>
        </w:rPr>
      </w:pPr>
      <w:r>
        <w:rPr>
          <w:rFonts w:ascii="Arial" w:cs="Arial" w:eastAsia="Arial" w:hAnsi="Arial"/>
          <w:sz w:val="4"/>
          <w:szCs w:val="4"/>
          <w:b w:val="1"/>
          <w:bCs w:val="1"/>
          <w:color w:val="FFFFFF"/>
        </w:rPr>
        <w:t> </w:t>
      </w:r>
    </w:p>
    <w:p>
      <w:pPr>
        <w:spacing w:after="0" w:line="324" w:lineRule="exact"/>
        <w:rPr>
          <w:sz w:val="20"/>
          <w:szCs w:val="20"/>
          <w:color w:val="auto"/>
        </w:rPr>
      </w:pPr>
    </w:p>
    <w:p>
      <w:pPr>
        <w:spacing w:after="0"/>
        <w:rPr>
          <w:sz w:val="20"/>
          <w:szCs w:val="20"/>
          <w:color w:val="auto"/>
        </w:rPr>
      </w:pPr>
      <w:r>
        <w:rPr>
          <w:rFonts w:ascii="Arial" w:cs="Arial" w:eastAsia="Arial" w:hAnsi="Arial"/>
          <w:sz w:val="4"/>
          <w:szCs w:val="4"/>
          <w:color w:val="FFFFFF"/>
        </w:rPr>
        <w:t> </w:t>
      </w:r>
    </w:p>
    <w:p>
      <w:pPr>
        <w:spacing w:after="0" w:line="94" w:lineRule="exact"/>
        <w:rPr>
          <w:sz w:val="20"/>
          <w:szCs w:val="20"/>
          <w:color w:val="auto"/>
        </w:rPr>
      </w:pPr>
    </w:p>
    <w:p>
      <w:pPr>
        <w:spacing w:after="0"/>
        <w:rPr>
          <w:sz w:val="20"/>
          <w:szCs w:val="20"/>
          <w:color w:val="auto"/>
        </w:rPr>
      </w:pPr>
      <w:r>
        <w:rPr>
          <w:rFonts w:ascii="Arial" w:cs="Arial" w:eastAsia="Arial" w:hAnsi="Arial"/>
          <w:sz w:val="4"/>
          <w:szCs w:val="4"/>
          <w:color w:val="FFFFFF"/>
        </w:rPr>
        <w:t> </w:t>
      </w:r>
    </w:p>
    <w:p>
      <w:pPr>
        <w:spacing w:after="0" w:line="82" w:lineRule="exact"/>
        <w:rPr>
          <w:sz w:val="20"/>
          <w:szCs w:val="20"/>
          <w:color w:val="auto"/>
        </w:rPr>
      </w:pPr>
    </w:p>
    <w:p>
      <w:pPr>
        <w:spacing w:after="0"/>
        <w:rPr>
          <w:sz w:val="20"/>
          <w:szCs w:val="20"/>
          <w:color w:val="auto"/>
        </w:rPr>
      </w:pPr>
      <w:r>
        <w:rPr>
          <w:rFonts w:ascii="Arial" w:cs="Arial" w:eastAsia="Arial" w:hAnsi="Arial"/>
          <w:sz w:val="4"/>
          <w:szCs w:val="4"/>
          <w:color w:val="FFFFFF"/>
        </w:rPr>
        <w:t> </w:t>
      </w:r>
    </w:p>
    <w:p>
      <w:pPr>
        <w:spacing w:after="0" w:line="82" w:lineRule="exact"/>
        <w:rPr>
          <w:sz w:val="20"/>
          <w:szCs w:val="20"/>
          <w:color w:val="auto"/>
        </w:rPr>
      </w:pPr>
    </w:p>
    <w:p>
      <w:pPr>
        <w:spacing w:after="0"/>
        <w:rPr>
          <w:sz w:val="20"/>
          <w:szCs w:val="20"/>
          <w:color w:val="auto"/>
        </w:rPr>
      </w:pPr>
      <w:r>
        <w:rPr>
          <w:rFonts w:ascii="Arial" w:cs="Arial" w:eastAsia="Arial" w:hAnsi="Arial"/>
          <w:sz w:val="4"/>
          <w:szCs w:val="4"/>
          <w:color w:val="FFFFFF"/>
        </w:rPr>
        <w:t> </w:t>
      </w:r>
    </w:p>
    <w:p>
      <w:pPr>
        <w:spacing w:after="0" w:line="312" w:lineRule="exact"/>
        <w:rPr>
          <w:sz w:val="20"/>
          <w:szCs w:val="20"/>
          <w:color w:val="auto"/>
        </w:rPr>
      </w:pPr>
    </w:p>
    <w:p>
      <w:pPr>
        <w:spacing w:after="0"/>
        <w:rPr>
          <w:sz w:val="20"/>
          <w:szCs w:val="20"/>
          <w:color w:val="auto"/>
        </w:rPr>
      </w:pPr>
      <w:r>
        <w:rPr>
          <w:rFonts w:ascii="Arial" w:cs="Arial" w:eastAsia="Arial" w:hAnsi="Arial"/>
          <w:sz w:val="4"/>
          <w:szCs w:val="4"/>
          <w:color w:val="FFFFFF"/>
        </w:rPr>
        <w:t> </w:t>
      </w:r>
    </w:p>
    <w:p>
      <w:pPr>
        <w:spacing w:after="0" w:line="94" w:lineRule="exact"/>
        <w:rPr>
          <w:sz w:val="20"/>
          <w:szCs w:val="20"/>
          <w:color w:val="auto"/>
        </w:rPr>
      </w:pPr>
    </w:p>
    <w:p>
      <w:pPr>
        <w:spacing w:after="0"/>
        <w:rPr>
          <w:sz w:val="20"/>
          <w:szCs w:val="20"/>
          <w:color w:val="auto"/>
        </w:rPr>
      </w:pPr>
      <w:r>
        <w:rPr>
          <w:rFonts w:ascii="Arial" w:cs="Arial" w:eastAsia="Arial" w:hAnsi="Arial"/>
          <w:sz w:val="4"/>
          <w:szCs w:val="4"/>
          <w:color w:val="FFFFFF"/>
        </w:rPr>
        <w:t> </w:t>
      </w:r>
    </w:p>
    <w:p>
      <w:pPr>
        <w:spacing w:after="0" w:line="312" w:lineRule="exact"/>
        <w:rPr>
          <w:sz w:val="20"/>
          <w:szCs w:val="20"/>
          <w:color w:val="auto"/>
        </w:rPr>
      </w:pPr>
    </w:p>
    <w:p>
      <w:pPr>
        <w:spacing w:after="0"/>
        <w:rPr>
          <w:sz w:val="20"/>
          <w:szCs w:val="20"/>
          <w:color w:val="auto"/>
        </w:rPr>
      </w:pPr>
      <w:r>
        <w:rPr>
          <w:rFonts w:ascii="Arial" w:cs="Arial" w:eastAsia="Arial" w:hAnsi="Arial"/>
          <w:sz w:val="4"/>
          <w:szCs w:val="4"/>
          <w:color w:val="FFFFFF"/>
        </w:rPr>
        <w:t> </w:t>
      </w:r>
    </w:p>
    <w:p>
      <w:pPr>
        <w:spacing w:after="0" w:line="94" w:lineRule="exact"/>
        <w:rPr>
          <w:sz w:val="20"/>
          <w:szCs w:val="20"/>
          <w:color w:val="auto"/>
        </w:rPr>
      </w:pPr>
    </w:p>
    <w:p>
      <w:pPr>
        <w:spacing w:after="0"/>
        <w:rPr>
          <w:sz w:val="20"/>
          <w:szCs w:val="20"/>
          <w:color w:val="auto"/>
        </w:rPr>
      </w:pPr>
      <w:r>
        <w:rPr>
          <w:rFonts w:ascii="Arial" w:cs="Arial" w:eastAsia="Arial" w:hAnsi="Arial"/>
          <w:sz w:val="4"/>
          <w:szCs w:val="4"/>
          <w:color w:val="FFFFFF"/>
        </w:rPr>
        <w:t> </w:t>
      </w:r>
    </w:p>
    <w:p>
      <w:pPr>
        <w:spacing w:after="0" w:line="82" w:lineRule="exact"/>
        <w:rPr>
          <w:sz w:val="20"/>
          <w:szCs w:val="20"/>
          <w:color w:val="auto"/>
        </w:rPr>
      </w:pPr>
    </w:p>
    <w:p>
      <w:pPr>
        <w:spacing w:after="0"/>
        <w:rPr>
          <w:sz w:val="20"/>
          <w:szCs w:val="20"/>
          <w:color w:val="auto"/>
        </w:rPr>
      </w:pPr>
      <w:r>
        <w:rPr>
          <w:rFonts w:ascii="Arial" w:cs="Arial" w:eastAsia="Arial" w:hAnsi="Arial"/>
          <w:sz w:val="4"/>
          <w:szCs w:val="4"/>
          <w:color w:val="FFFFFF"/>
        </w:rPr>
        <w:t> </w:t>
      </w:r>
    </w:p>
    <w:p>
      <w:pPr>
        <w:spacing w:after="0" w:line="312" w:lineRule="exact"/>
        <w:rPr>
          <w:sz w:val="20"/>
          <w:szCs w:val="20"/>
          <w:color w:val="auto"/>
        </w:rPr>
      </w:pPr>
    </w:p>
    <w:p>
      <w:pPr>
        <w:spacing w:after="0"/>
        <w:rPr>
          <w:sz w:val="20"/>
          <w:szCs w:val="20"/>
          <w:color w:val="auto"/>
        </w:rPr>
      </w:pPr>
      <w:r>
        <w:rPr>
          <w:rFonts w:ascii="Arial" w:cs="Arial" w:eastAsia="Arial" w:hAnsi="Arial"/>
          <w:sz w:val="4"/>
          <w:szCs w:val="4"/>
          <w:color w:val="FFFFFF"/>
        </w:rPr>
        <w:t> </w:t>
      </w:r>
    </w:p>
    <w:p>
      <w:pPr>
        <w:spacing w:after="0" w:line="94" w:lineRule="exact"/>
        <w:rPr>
          <w:sz w:val="20"/>
          <w:szCs w:val="20"/>
          <w:color w:val="auto"/>
        </w:rPr>
      </w:pPr>
    </w:p>
    <w:p>
      <w:pPr>
        <w:spacing w:after="0"/>
        <w:rPr>
          <w:sz w:val="20"/>
          <w:szCs w:val="20"/>
          <w:color w:val="auto"/>
        </w:rPr>
      </w:pPr>
      <w:r>
        <w:rPr>
          <w:rFonts w:ascii="Arial" w:cs="Arial" w:eastAsia="Arial" w:hAnsi="Arial"/>
          <w:sz w:val="4"/>
          <w:szCs w:val="4"/>
          <w:color w:val="FFFFFF"/>
        </w:rPr>
        <w:t> </w:t>
      </w:r>
    </w:p>
    <w:p>
      <w:pPr>
        <w:spacing w:after="0" w:line="82" w:lineRule="exact"/>
        <w:rPr>
          <w:sz w:val="20"/>
          <w:szCs w:val="20"/>
          <w:color w:val="auto"/>
        </w:rPr>
      </w:pPr>
    </w:p>
    <w:p>
      <w:pPr>
        <w:spacing w:after="0"/>
        <w:rPr>
          <w:sz w:val="20"/>
          <w:szCs w:val="20"/>
          <w:color w:val="auto"/>
        </w:rPr>
      </w:pPr>
      <w:r>
        <w:rPr>
          <w:rFonts w:ascii="Arial" w:cs="Arial" w:eastAsia="Arial" w:hAnsi="Arial"/>
          <w:sz w:val="4"/>
          <w:szCs w:val="4"/>
          <w:color w:val="FFFFFF"/>
        </w:rPr>
        <w:t> </w:t>
      </w:r>
    </w:p>
    <w:p>
      <w:pPr>
        <w:spacing w:after="0" w:line="82" w:lineRule="exact"/>
        <w:rPr>
          <w:sz w:val="20"/>
          <w:szCs w:val="20"/>
          <w:color w:val="auto"/>
        </w:rPr>
      </w:pPr>
    </w:p>
    <w:p>
      <w:pPr>
        <w:spacing w:after="0"/>
        <w:rPr>
          <w:sz w:val="20"/>
          <w:szCs w:val="20"/>
          <w:color w:val="auto"/>
        </w:rPr>
      </w:pPr>
      <w:r>
        <w:rPr>
          <w:rFonts w:ascii="Arial" w:cs="Arial" w:eastAsia="Arial" w:hAnsi="Arial"/>
          <w:sz w:val="4"/>
          <w:szCs w:val="4"/>
          <w:color w:val="FFFFFF"/>
        </w:rPr>
        <w:t> </w:t>
      </w:r>
    </w:p>
    <w:p>
      <w:pPr>
        <w:spacing w:after="0" w:line="82" w:lineRule="exact"/>
        <w:rPr>
          <w:sz w:val="20"/>
          <w:szCs w:val="20"/>
          <w:color w:val="auto"/>
        </w:rPr>
      </w:pPr>
    </w:p>
    <w:p>
      <w:pPr>
        <w:spacing w:after="0"/>
        <w:rPr>
          <w:sz w:val="20"/>
          <w:szCs w:val="20"/>
          <w:color w:val="auto"/>
        </w:rPr>
      </w:pPr>
      <w:r>
        <w:rPr>
          <w:rFonts w:ascii="Arial" w:cs="Arial" w:eastAsia="Arial" w:hAnsi="Arial"/>
          <w:sz w:val="4"/>
          <w:szCs w:val="4"/>
          <w:color w:val="FFFFFF"/>
        </w:rPr>
        <w:t> </w:t>
      </w:r>
    </w:p>
    <w:p>
      <w:pPr>
        <w:spacing w:after="0" w:line="82" w:lineRule="exact"/>
        <w:rPr>
          <w:sz w:val="20"/>
          <w:szCs w:val="20"/>
          <w:color w:val="auto"/>
        </w:rPr>
      </w:pPr>
    </w:p>
    <w:p>
      <w:pPr>
        <w:spacing w:after="0"/>
        <w:rPr>
          <w:sz w:val="20"/>
          <w:szCs w:val="20"/>
          <w:color w:val="auto"/>
        </w:rPr>
      </w:pPr>
      <w:r>
        <w:rPr>
          <w:rFonts w:ascii="Arial" w:cs="Arial" w:eastAsia="Arial" w:hAnsi="Arial"/>
          <w:sz w:val="4"/>
          <w:szCs w:val="4"/>
          <w:color w:val="FFFFFF"/>
        </w:rPr>
        <w:t> </w:t>
      </w:r>
    </w:p>
    <w:p>
      <w:pPr>
        <w:spacing w:after="0" w:line="312" w:lineRule="exact"/>
        <w:rPr>
          <w:sz w:val="20"/>
          <w:szCs w:val="20"/>
          <w:color w:val="auto"/>
        </w:rPr>
      </w:pPr>
    </w:p>
    <w:p>
      <w:pPr>
        <w:spacing w:after="0"/>
        <w:rPr>
          <w:sz w:val="20"/>
          <w:szCs w:val="20"/>
          <w:color w:val="auto"/>
        </w:rPr>
      </w:pPr>
      <w:r>
        <w:rPr>
          <w:rFonts w:ascii="Arial" w:cs="Arial" w:eastAsia="Arial" w:hAnsi="Arial"/>
          <w:sz w:val="4"/>
          <w:szCs w:val="4"/>
          <w:color w:val="FFFFFF"/>
        </w:rPr>
        <w:t> </w:t>
      </w:r>
    </w:p>
    <w:p>
      <w:pPr>
        <w:spacing w:after="0" w:line="94" w:lineRule="exact"/>
        <w:rPr>
          <w:sz w:val="20"/>
          <w:szCs w:val="20"/>
          <w:color w:val="auto"/>
        </w:rPr>
      </w:pPr>
    </w:p>
    <w:p>
      <w:pPr>
        <w:spacing w:after="0"/>
        <w:rPr>
          <w:sz w:val="20"/>
          <w:szCs w:val="20"/>
          <w:color w:val="auto"/>
        </w:rPr>
      </w:pPr>
      <w:r>
        <w:rPr>
          <w:rFonts w:ascii="Arial" w:cs="Arial" w:eastAsia="Arial" w:hAnsi="Arial"/>
          <w:sz w:val="4"/>
          <w:szCs w:val="4"/>
          <w:color w:val="FFFFFF"/>
        </w:rPr>
        <w:t> </w:t>
      </w:r>
    </w:p>
    <w:p>
      <w:pPr>
        <w:spacing w:after="0" w:line="82" w:lineRule="exact"/>
        <w:rPr>
          <w:sz w:val="20"/>
          <w:szCs w:val="20"/>
          <w:color w:val="auto"/>
        </w:rPr>
      </w:pPr>
    </w:p>
    <w:p>
      <w:pPr>
        <w:spacing w:after="0"/>
        <w:rPr>
          <w:sz w:val="20"/>
          <w:szCs w:val="20"/>
          <w:color w:val="auto"/>
        </w:rPr>
      </w:pPr>
      <w:r>
        <w:rPr>
          <w:rFonts w:ascii="Arial" w:cs="Arial" w:eastAsia="Arial" w:hAnsi="Arial"/>
          <w:sz w:val="4"/>
          <w:szCs w:val="4"/>
          <w:color w:val="FFFFFF"/>
        </w:rPr>
        <w:t> </w:t>
      </w:r>
    </w:p>
    <w:p>
      <w:pPr>
        <w:spacing w:after="0" w:line="312" w:lineRule="exact"/>
        <w:rPr>
          <w:sz w:val="20"/>
          <w:szCs w:val="20"/>
          <w:color w:val="auto"/>
        </w:rPr>
      </w:pPr>
    </w:p>
    <w:p>
      <w:pPr>
        <w:spacing w:after="0"/>
        <w:rPr>
          <w:sz w:val="20"/>
          <w:szCs w:val="20"/>
          <w:color w:val="auto"/>
        </w:rPr>
      </w:pPr>
      <w:r>
        <w:rPr>
          <w:rFonts w:ascii="Arial" w:cs="Arial" w:eastAsia="Arial" w:hAnsi="Arial"/>
          <w:sz w:val="4"/>
          <w:szCs w:val="4"/>
          <w:color w:val="FFFFFF"/>
        </w:rPr>
        <w:t> </w:t>
      </w:r>
    </w:p>
    <w:p>
      <w:pPr>
        <w:spacing w:after="0" w:line="94" w:lineRule="exact"/>
        <w:rPr>
          <w:sz w:val="20"/>
          <w:szCs w:val="20"/>
          <w:color w:val="auto"/>
        </w:rPr>
      </w:pPr>
    </w:p>
    <w:p>
      <w:pPr>
        <w:spacing w:after="0"/>
        <w:rPr>
          <w:sz w:val="20"/>
          <w:szCs w:val="20"/>
          <w:color w:val="auto"/>
        </w:rPr>
      </w:pPr>
      <w:r>
        <w:rPr>
          <w:rFonts w:ascii="Arial" w:cs="Arial" w:eastAsia="Arial" w:hAnsi="Arial"/>
          <w:sz w:val="4"/>
          <w:szCs w:val="4"/>
          <w:color w:val="FFFFFF"/>
        </w:rPr>
        <w:t> </w:t>
      </w:r>
    </w:p>
    <w:p>
      <w:pPr>
        <w:spacing w:after="0" w:line="82" w:lineRule="exact"/>
        <w:rPr>
          <w:sz w:val="20"/>
          <w:szCs w:val="20"/>
          <w:color w:val="auto"/>
        </w:rPr>
      </w:pPr>
    </w:p>
    <w:p>
      <w:pPr>
        <w:spacing w:after="0"/>
        <w:rPr>
          <w:sz w:val="20"/>
          <w:szCs w:val="20"/>
          <w:color w:val="auto"/>
        </w:rPr>
      </w:pPr>
      <w:r>
        <w:rPr>
          <w:rFonts w:ascii="Arial" w:cs="Arial" w:eastAsia="Arial" w:hAnsi="Arial"/>
          <w:sz w:val="4"/>
          <w:szCs w:val="4"/>
          <w:color w:val="FFFFFF"/>
        </w:rPr>
        <w:t> </w:t>
      </w:r>
    </w:p>
    <w:p>
      <w:pPr>
        <w:spacing w:after="0" w:line="312" w:lineRule="exact"/>
        <w:rPr>
          <w:sz w:val="20"/>
          <w:szCs w:val="20"/>
          <w:color w:val="auto"/>
        </w:rPr>
      </w:pPr>
    </w:p>
    <w:p>
      <w:pPr>
        <w:spacing w:after="0"/>
        <w:rPr>
          <w:sz w:val="20"/>
          <w:szCs w:val="20"/>
          <w:color w:val="auto"/>
        </w:rPr>
      </w:pPr>
      <w:r>
        <w:rPr>
          <w:rFonts w:ascii="Arial" w:cs="Arial" w:eastAsia="Arial" w:hAnsi="Arial"/>
          <w:sz w:val="4"/>
          <w:szCs w:val="4"/>
          <w:color w:val="FFFFFF"/>
        </w:rPr>
        <w:t> </w:t>
      </w:r>
    </w:p>
    <w:p>
      <w:pPr>
        <w:spacing w:after="0" w:line="94" w:lineRule="exact"/>
        <w:rPr>
          <w:sz w:val="20"/>
          <w:szCs w:val="20"/>
          <w:color w:val="auto"/>
        </w:rPr>
      </w:pPr>
    </w:p>
    <w:p>
      <w:pPr>
        <w:spacing w:after="0"/>
        <w:rPr>
          <w:sz w:val="20"/>
          <w:szCs w:val="20"/>
          <w:color w:val="auto"/>
        </w:rPr>
      </w:pPr>
      <w:r>
        <w:rPr>
          <w:rFonts w:ascii="Arial" w:cs="Arial" w:eastAsia="Arial" w:hAnsi="Arial"/>
          <w:sz w:val="4"/>
          <w:szCs w:val="4"/>
          <w:color w:val="FFFFFF"/>
        </w:rPr>
        <w:t> </w:t>
      </w:r>
    </w:p>
    <w:p>
      <w:pPr>
        <w:spacing w:after="0" w:line="82" w:lineRule="exact"/>
        <w:rPr>
          <w:sz w:val="20"/>
          <w:szCs w:val="20"/>
          <w:color w:val="auto"/>
        </w:rPr>
      </w:pPr>
    </w:p>
    <w:p>
      <w:pPr>
        <w:spacing w:after="0"/>
        <w:rPr>
          <w:sz w:val="20"/>
          <w:szCs w:val="20"/>
          <w:color w:val="auto"/>
        </w:rPr>
      </w:pPr>
      <w:r>
        <w:rPr>
          <w:rFonts w:ascii="Arial" w:cs="Arial" w:eastAsia="Arial" w:hAnsi="Arial"/>
          <w:sz w:val="4"/>
          <w:szCs w:val="4"/>
          <w:color w:val="FFFFFF"/>
        </w:rPr>
        <w:t> </w:t>
      </w:r>
    </w:p>
    <w:p>
      <w:pPr>
        <w:spacing w:after="0" w:line="82" w:lineRule="exact"/>
        <w:rPr>
          <w:sz w:val="20"/>
          <w:szCs w:val="20"/>
          <w:color w:val="auto"/>
        </w:rPr>
      </w:pPr>
    </w:p>
    <w:p>
      <w:pPr>
        <w:spacing w:after="0"/>
        <w:rPr>
          <w:sz w:val="20"/>
          <w:szCs w:val="20"/>
          <w:color w:val="auto"/>
        </w:rPr>
      </w:pPr>
      <w:r>
        <w:rPr>
          <w:rFonts w:ascii="Arial" w:cs="Arial" w:eastAsia="Arial" w:hAnsi="Arial"/>
          <w:sz w:val="4"/>
          <w:szCs w:val="4"/>
          <w:color w:val="FFFFFF"/>
        </w:rPr>
        <w:t> </w:t>
      </w:r>
    </w:p>
    <w:p>
      <w:pPr>
        <w:spacing w:after="0" w:line="82" w:lineRule="exact"/>
        <w:rPr>
          <w:sz w:val="20"/>
          <w:szCs w:val="20"/>
          <w:color w:val="auto"/>
        </w:rPr>
      </w:pPr>
    </w:p>
    <w:p>
      <w:pPr>
        <w:spacing w:after="0"/>
        <w:rPr>
          <w:sz w:val="20"/>
          <w:szCs w:val="20"/>
          <w:color w:val="auto"/>
        </w:rPr>
      </w:pPr>
      <w:r>
        <w:rPr>
          <w:rFonts w:ascii="Arial" w:cs="Arial" w:eastAsia="Arial" w:hAnsi="Arial"/>
          <w:sz w:val="4"/>
          <w:szCs w:val="4"/>
          <w:color w:val="FFFFFF"/>
        </w:rPr>
        <w:t> </w:t>
      </w:r>
    </w:p>
    <w:p>
      <w:pPr>
        <w:spacing w:after="0" w:line="312" w:lineRule="exact"/>
        <w:rPr>
          <w:sz w:val="20"/>
          <w:szCs w:val="20"/>
          <w:color w:val="auto"/>
        </w:rPr>
      </w:pPr>
    </w:p>
    <w:p>
      <w:pPr>
        <w:spacing w:after="0"/>
        <w:rPr>
          <w:sz w:val="20"/>
          <w:szCs w:val="20"/>
          <w:color w:val="auto"/>
        </w:rPr>
      </w:pPr>
      <w:r>
        <w:rPr>
          <w:rFonts w:ascii="Arial" w:cs="Arial" w:eastAsia="Arial" w:hAnsi="Arial"/>
          <w:sz w:val="4"/>
          <w:szCs w:val="4"/>
          <w:color w:val="FFFFFF"/>
        </w:rPr>
        <w:t> </w:t>
      </w:r>
    </w:p>
    <w:p>
      <w:pPr>
        <w:spacing w:after="0" w:line="94" w:lineRule="exact"/>
        <w:rPr>
          <w:sz w:val="20"/>
          <w:szCs w:val="20"/>
          <w:color w:val="auto"/>
        </w:rPr>
      </w:pPr>
    </w:p>
    <w:p>
      <w:pPr>
        <w:spacing w:after="0"/>
        <w:rPr>
          <w:sz w:val="20"/>
          <w:szCs w:val="20"/>
          <w:color w:val="auto"/>
        </w:rPr>
      </w:pPr>
      <w:r>
        <w:rPr>
          <w:rFonts w:ascii="Arial" w:cs="Arial" w:eastAsia="Arial" w:hAnsi="Arial"/>
          <w:sz w:val="4"/>
          <w:szCs w:val="4"/>
          <w:color w:val="FFFFFF"/>
        </w:rPr>
        <w:t> </w:t>
      </w:r>
    </w:p>
    <w:p>
      <w:pPr>
        <w:spacing w:after="0" w:line="82" w:lineRule="exact"/>
        <w:rPr>
          <w:sz w:val="20"/>
          <w:szCs w:val="20"/>
          <w:color w:val="auto"/>
        </w:rPr>
      </w:pPr>
    </w:p>
    <w:p>
      <w:pPr>
        <w:spacing w:after="0"/>
        <w:rPr>
          <w:sz w:val="20"/>
          <w:szCs w:val="20"/>
          <w:color w:val="auto"/>
        </w:rPr>
      </w:pPr>
      <w:r>
        <w:rPr>
          <w:rFonts w:ascii="Arial" w:cs="Arial" w:eastAsia="Arial" w:hAnsi="Arial"/>
          <w:sz w:val="4"/>
          <w:szCs w:val="4"/>
          <w:color w:val="FFFFFF"/>
        </w:rPr>
        <w:t> </w:t>
      </w:r>
    </w:p>
    <w:p>
      <w:pPr>
        <w:spacing w:after="0" w:line="82" w:lineRule="exact"/>
        <w:rPr>
          <w:sz w:val="20"/>
          <w:szCs w:val="20"/>
          <w:color w:val="auto"/>
        </w:rPr>
      </w:pPr>
    </w:p>
    <w:p>
      <w:pPr>
        <w:spacing w:after="0"/>
        <w:rPr>
          <w:sz w:val="20"/>
          <w:szCs w:val="20"/>
          <w:color w:val="auto"/>
        </w:rPr>
      </w:pPr>
      <w:r>
        <w:rPr>
          <w:rFonts w:ascii="Arial" w:cs="Arial" w:eastAsia="Arial" w:hAnsi="Arial"/>
          <w:sz w:val="4"/>
          <w:szCs w:val="4"/>
          <w:color w:val="FFFFFF"/>
        </w:rPr>
        <w:t> </w:t>
      </w:r>
    </w:p>
    <w:p>
      <w:pPr>
        <w:spacing w:after="0" w:line="312" w:lineRule="exact"/>
        <w:rPr>
          <w:sz w:val="20"/>
          <w:szCs w:val="20"/>
          <w:color w:val="auto"/>
        </w:rPr>
      </w:pPr>
    </w:p>
    <w:p>
      <w:pPr>
        <w:spacing w:after="0"/>
        <w:rPr>
          <w:sz w:val="20"/>
          <w:szCs w:val="20"/>
          <w:color w:val="auto"/>
        </w:rPr>
      </w:pPr>
      <w:r>
        <w:rPr>
          <w:rFonts w:ascii="Arial" w:cs="Arial" w:eastAsia="Arial" w:hAnsi="Arial"/>
          <w:sz w:val="4"/>
          <w:szCs w:val="4"/>
          <w:color w:val="FFFFFF"/>
        </w:rPr>
        <w:t> </w:t>
      </w:r>
    </w:p>
    <w:p>
      <w:pPr>
        <w:spacing w:after="0" w:line="324" w:lineRule="exact"/>
        <w:rPr>
          <w:sz w:val="20"/>
          <w:szCs w:val="20"/>
          <w:color w:val="auto"/>
        </w:rPr>
      </w:pPr>
    </w:p>
    <w:p>
      <w:pPr>
        <w:spacing w:after="0"/>
        <w:rPr>
          <w:sz w:val="20"/>
          <w:szCs w:val="20"/>
          <w:color w:val="auto"/>
        </w:rPr>
      </w:pPr>
      <w:r>
        <w:rPr>
          <w:rFonts w:ascii="Arial" w:cs="Arial" w:eastAsia="Arial" w:hAnsi="Arial"/>
          <w:sz w:val="4"/>
          <w:szCs w:val="4"/>
          <w:color w:val="FFFFFF"/>
        </w:rPr>
        <w:t> </w:t>
      </w:r>
    </w:p>
    <w:p>
      <w:pPr>
        <w:spacing w:after="0" w:line="94" w:lineRule="exact"/>
        <w:rPr>
          <w:sz w:val="20"/>
          <w:szCs w:val="20"/>
          <w:color w:val="auto"/>
        </w:rPr>
      </w:pPr>
    </w:p>
    <w:p>
      <w:pPr>
        <w:spacing w:after="0"/>
        <w:rPr>
          <w:sz w:val="20"/>
          <w:szCs w:val="20"/>
          <w:color w:val="auto"/>
        </w:rPr>
      </w:pPr>
      <w:r>
        <w:rPr>
          <w:rFonts w:ascii="Arial" w:cs="Arial" w:eastAsia="Arial" w:hAnsi="Arial"/>
          <w:sz w:val="4"/>
          <w:szCs w:val="4"/>
          <w:color w:val="FFFFFF"/>
        </w:rPr>
        <w:t> </w:t>
      </w:r>
    </w:p>
    <w:p>
      <w:pPr>
        <w:spacing w:after="0" w:line="82" w:lineRule="exact"/>
        <w:rPr>
          <w:sz w:val="20"/>
          <w:szCs w:val="20"/>
          <w:color w:val="auto"/>
        </w:rPr>
      </w:pPr>
    </w:p>
    <w:p>
      <w:pPr>
        <w:spacing w:after="0"/>
        <w:rPr>
          <w:sz w:val="20"/>
          <w:szCs w:val="20"/>
          <w:color w:val="auto"/>
        </w:rPr>
      </w:pPr>
      <w:r>
        <w:rPr>
          <w:rFonts w:ascii="Arial" w:cs="Arial" w:eastAsia="Arial" w:hAnsi="Arial"/>
          <w:sz w:val="4"/>
          <w:szCs w:val="4"/>
          <w:color w:val="FFFFFF"/>
        </w:rPr>
        <w:t> </w:t>
      </w:r>
    </w:p>
    <w:p>
      <w:pPr>
        <w:spacing w:after="0" w:line="82" w:lineRule="exact"/>
        <w:rPr>
          <w:sz w:val="20"/>
          <w:szCs w:val="20"/>
          <w:color w:val="auto"/>
        </w:rPr>
      </w:pPr>
    </w:p>
    <w:p>
      <w:pPr>
        <w:spacing w:after="0"/>
        <w:rPr>
          <w:sz w:val="20"/>
          <w:szCs w:val="20"/>
          <w:color w:val="auto"/>
        </w:rPr>
      </w:pPr>
      <w:r>
        <w:rPr>
          <w:rFonts w:ascii="Arial" w:cs="Arial" w:eastAsia="Arial" w:hAnsi="Arial"/>
          <w:sz w:val="4"/>
          <w:szCs w:val="4"/>
          <w:color w:val="FFFFFF"/>
        </w:rPr>
        <w:t> </w:t>
      </w:r>
    </w:p>
    <w:p>
      <w:pPr>
        <w:spacing w:after="0" w:line="312" w:lineRule="exact"/>
        <w:rPr>
          <w:sz w:val="20"/>
          <w:szCs w:val="20"/>
          <w:color w:val="auto"/>
        </w:rPr>
      </w:pPr>
    </w:p>
    <w:p>
      <w:pPr>
        <w:spacing w:after="0"/>
        <w:rPr>
          <w:sz w:val="20"/>
          <w:szCs w:val="20"/>
          <w:color w:val="auto"/>
        </w:rPr>
      </w:pPr>
      <w:r>
        <w:rPr>
          <w:rFonts w:ascii="Arial" w:cs="Arial" w:eastAsia="Arial" w:hAnsi="Arial"/>
          <w:sz w:val="4"/>
          <w:szCs w:val="4"/>
          <w:color w:val="FFFFFF"/>
        </w:rPr>
        <w:t> </w:t>
      </w:r>
    </w:p>
    <w:p>
      <w:pPr>
        <w:spacing w:after="0" w:line="324" w:lineRule="exact"/>
        <w:rPr>
          <w:sz w:val="20"/>
          <w:szCs w:val="20"/>
          <w:color w:val="auto"/>
        </w:rPr>
      </w:pPr>
    </w:p>
    <w:p>
      <w:pPr>
        <w:spacing w:after="0"/>
        <w:rPr>
          <w:sz w:val="20"/>
          <w:szCs w:val="20"/>
          <w:color w:val="auto"/>
        </w:rPr>
      </w:pPr>
      <w:r>
        <w:rPr>
          <w:rFonts w:ascii="Arial" w:cs="Arial" w:eastAsia="Arial" w:hAnsi="Arial"/>
          <w:sz w:val="4"/>
          <w:szCs w:val="4"/>
          <w:color w:val="FFFFFF"/>
        </w:rPr>
        <w:t> </w:t>
      </w:r>
    </w:p>
    <w:p>
      <w:pPr>
        <w:spacing w:after="0" w:line="94" w:lineRule="exact"/>
        <w:rPr>
          <w:sz w:val="20"/>
          <w:szCs w:val="20"/>
          <w:color w:val="auto"/>
        </w:rPr>
      </w:pPr>
    </w:p>
    <w:p>
      <w:pPr>
        <w:spacing w:after="0"/>
        <w:rPr>
          <w:sz w:val="20"/>
          <w:szCs w:val="20"/>
          <w:color w:val="auto"/>
        </w:rPr>
      </w:pPr>
      <w:r>
        <w:rPr>
          <w:rFonts w:ascii="Arial" w:cs="Arial" w:eastAsia="Arial" w:hAnsi="Arial"/>
          <w:sz w:val="4"/>
          <w:szCs w:val="4"/>
          <w:color w:val="FFFFFF"/>
        </w:rPr>
        <w:t> </w:t>
      </w:r>
    </w:p>
    <w:p>
      <w:pPr>
        <w:spacing w:after="0" w:line="82" w:lineRule="exact"/>
        <w:rPr>
          <w:sz w:val="20"/>
          <w:szCs w:val="20"/>
          <w:color w:val="auto"/>
        </w:rPr>
      </w:pPr>
    </w:p>
    <w:p>
      <w:pPr>
        <w:spacing w:after="0"/>
        <w:rPr>
          <w:sz w:val="20"/>
          <w:szCs w:val="20"/>
          <w:color w:val="auto"/>
        </w:rPr>
      </w:pPr>
      <w:r>
        <w:rPr>
          <w:rFonts w:ascii="Arial" w:cs="Arial" w:eastAsia="Arial" w:hAnsi="Arial"/>
          <w:sz w:val="4"/>
          <w:szCs w:val="4"/>
          <w:color w:val="FFFFFF"/>
        </w:rPr>
        <w:t> </w:t>
      </w:r>
    </w:p>
    <w:p>
      <w:pPr>
        <w:spacing w:after="0" w:line="312" w:lineRule="exact"/>
        <w:rPr>
          <w:sz w:val="20"/>
          <w:szCs w:val="20"/>
          <w:color w:val="auto"/>
        </w:rPr>
      </w:pPr>
    </w:p>
    <w:p>
      <w:pPr>
        <w:spacing w:after="0"/>
        <w:rPr>
          <w:sz w:val="20"/>
          <w:szCs w:val="20"/>
          <w:color w:val="auto"/>
        </w:rPr>
      </w:pPr>
      <w:r>
        <w:rPr>
          <w:rFonts w:ascii="Arial" w:cs="Arial" w:eastAsia="Arial" w:hAnsi="Arial"/>
          <w:sz w:val="4"/>
          <w:szCs w:val="4"/>
          <w:color w:val="FFFFFF"/>
        </w:rPr>
        <w:t> </w:t>
      </w:r>
    </w:p>
    <w:p>
      <w:pPr>
        <w:spacing w:after="0" w:line="94" w:lineRule="exact"/>
        <w:rPr>
          <w:sz w:val="20"/>
          <w:szCs w:val="20"/>
          <w:color w:val="auto"/>
        </w:rPr>
      </w:pPr>
    </w:p>
    <w:p>
      <w:pPr>
        <w:spacing w:after="0"/>
        <w:rPr>
          <w:sz w:val="20"/>
          <w:szCs w:val="20"/>
          <w:color w:val="auto"/>
        </w:rPr>
      </w:pPr>
      <w:r>
        <w:rPr>
          <w:rFonts w:ascii="Arial" w:cs="Arial" w:eastAsia="Arial" w:hAnsi="Arial"/>
          <w:sz w:val="4"/>
          <w:szCs w:val="4"/>
          <w:color w:val="FFFFFF"/>
        </w:rPr>
        <w:t> </w:t>
      </w:r>
    </w:p>
    <w:p>
      <w:pPr>
        <w:spacing w:after="0" w:line="82" w:lineRule="exact"/>
        <w:rPr>
          <w:sz w:val="20"/>
          <w:szCs w:val="20"/>
          <w:color w:val="auto"/>
        </w:rPr>
      </w:pPr>
    </w:p>
    <w:p>
      <w:pPr>
        <w:spacing w:after="0"/>
        <w:rPr>
          <w:sz w:val="20"/>
          <w:szCs w:val="20"/>
          <w:color w:val="auto"/>
        </w:rPr>
      </w:pPr>
      <w:r>
        <w:rPr>
          <w:rFonts w:ascii="Arial" w:cs="Arial" w:eastAsia="Arial" w:hAnsi="Arial"/>
          <w:sz w:val="4"/>
          <w:szCs w:val="4"/>
          <w:color w:val="FFFFFF"/>
        </w:rPr>
        <w:t> </w:t>
      </w:r>
    </w:p>
    <w:p>
      <w:pPr>
        <w:spacing w:after="0" w:line="312" w:lineRule="exact"/>
        <w:rPr>
          <w:sz w:val="20"/>
          <w:szCs w:val="20"/>
          <w:color w:val="auto"/>
        </w:rPr>
      </w:pPr>
    </w:p>
    <w:p>
      <w:pPr>
        <w:spacing w:after="0"/>
        <w:rPr>
          <w:sz w:val="20"/>
          <w:szCs w:val="20"/>
          <w:color w:val="auto"/>
        </w:rPr>
      </w:pPr>
      <w:r>
        <w:rPr>
          <w:rFonts w:ascii="Arial" w:cs="Arial" w:eastAsia="Arial" w:hAnsi="Arial"/>
          <w:sz w:val="4"/>
          <w:szCs w:val="4"/>
          <w:color w:val="FFFFFF"/>
        </w:rPr>
        <w:t> </w:t>
      </w:r>
    </w:p>
    <w:p>
      <w:pPr>
        <w:spacing w:after="0" w:line="94" w:lineRule="exact"/>
        <w:rPr>
          <w:sz w:val="20"/>
          <w:szCs w:val="20"/>
          <w:color w:val="auto"/>
        </w:rPr>
      </w:pPr>
    </w:p>
    <w:p>
      <w:pPr>
        <w:spacing w:after="0"/>
        <w:rPr>
          <w:sz w:val="20"/>
          <w:szCs w:val="20"/>
          <w:color w:val="auto"/>
        </w:rPr>
      </w:pPr>
      <w:r>
        <w:rPr>
          <w:rFonts w:ascii="Arial" w:cs="Arial" w:eastAsia="Arial" w:hAnsi="Arial"/>
          <w:sz w:val="4"/>
          <w:szCs w:val="4"/>
          <w:color w:val="FFFFFF"/>
        </w:rPr>
        <w:t> </w:t>
      </w:r>
    </w:p>
    <w:p>
      <w:pPr>
        <w:spacing w:after="0" w:line="200" w:lineRule="exact"/>
        <w:rPr>
          <w:sz w:val="20"/>
          <w:szCs w:val="20"/>
          <w:color w:val="auto"/>
        </w:rPr>
      </w:pPr>
    </w:p>
    <w:p>
      <w:pPr>
        <w:sectPr>
          <w:pgSz w:w="11900" w:h="16838" w:orient="portrait"/>
          <w:cols w:equalWidth="0" w:num="2">
            <w:col w:w="8520" w:space="720"/>
            <w:col w:w="1560"/>
          </w:cols>
          <w:pgMar w:left="320" w:top="464" w:right="779" w:bottom="1440" w:gutter="0" w:footer="0" w:header="0"/>
          <w:type w:val="continuous"/>
        </w:sectPr>
      </w:pPr>
    </w:p>
    <w:p>
      <w:pPr>
        <w:spacing w:after="0" w:line="112" w:lineRule="exact"/>
        <w:rPr>
          <w:sz w:val="20"/>
          <w:szCs w:val="20"/>
          <w:color w:val="auto"/>
        </w:rPr>
      </w:pPr>
    </w:p>
    <w:p>
      <w:pPr>
        <w:ind w:left="9240"/>
        <w:spacing w:after="0"/>
        <w:rPr>
          <w:sz w:val="20"/>
          <w:szCs w:val="20"/>
          <w:color w:val="auto"/>
        </w:rPr>
      </w:pPr>
      <w:r>
        <w:rPr>
          <w:rFonts w:ascii="Arial" w:cs="Arial" w:eastAsia="Arial" w:hAnsi="Arial"/>
          <w:sz w:val="12"/>
          <w:szCs w:val="12"/>
          <w:color w:val="FFFFFF"/>
        </w:rPr>
        <w: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6360"/>
        <w:spacing w:after="0"/>
        <w:tabs>
          <w:tab w:leader="none" w:pos="8500" w:val="left"/>
          <w:tab w:leader="none" w:pos="9960" w:val="left"/>
        </w:tabs>
        <w:rPr>
          <w:sz w:val="20"/>
          <w:szCs w:val="20"/>
          <w:color w:val="auto"/>
        </w:rPr>
      </w:pPr>
      <w:r>
        <w:rPr>
          <w:rFonts w:ascii="Arial" w:cs="Arial" w:eastAsia="Arial" w:hAnsi="Arial"/>
          <w:sz w:val="15"/>
          <w:szCs w:val="15"/>
          <w:b w:val="1"/>
          <w:bCs w:val="1"/>
          <w:color w:val="002B5F"/>
        </w:rPr>
        <w:t xml:space="preserve">2026 Proxy Statement  </w:t>
      </w:r>
      <w:r>
        <w:rPr>
          <w:rFonts w:ascii="Arial" w:cs="Arial" w:eastAsia="Arial" w:hAnsi="Arial"/>
          <w:sz w:val="20"/>
          <w:szCs w:val="20"/>
          <w:color w:val="002B5F"/>
        </w:rPr>
        <w:t xml:space="preserve">   </w:t>
      </w:r>
      <w:r>
        <w:rPr>
          <w:rFonts w:ascii="Arial" w:cs="Arial" w:eastAsia="Arial" w:hAnsi="Arial"/>
          <w:sz w:val="15"/>
          <w:szCs w:val="15"/>
          <w:b w:val="1"/>
          <w:bCs w:val="1"/>
          <w:color w:val="002B5F"/>
        </w:rPr>
        <w:t xml:space="preserve">   </w:t>
      </w:r>
      <w:r>
        <w:rPr>
          <w:sz w:val="20"/>
          <w:szCs w:val="20"/>
          <w:color w:val="auto"/>
        </w:rPr>
        <w:tab/>
      </w:r>
      <w:r>
        <w:rPr>
          <w:rFonts w:ascii="Arial" w:cs="Arial" w:eastAsia="Arial" w:hAnsi="Arial"/>
          <w:sz w:val="17"/>
          <w:szCs w:val="17"/>
          <w:color w:val="auto"/>
        </w:rPr>
        <w:t xml:space="preserve">    </w:t>
      </w:r>
      <w:r>
        <w:rPr>
          <w:sz w:val="20"/>
          <w:szCs w:val="20"/>
          <w:color w:val="auto"/>
        </w:rPr>
        <w:tab/>
      </w:r>
      <w:r>
        <w:rPr>
          <w:rFonts w:ascii="Arial" w:cs="Arial" w:eastAsia="Arial" w:hAnsi="Arial"/>
          <w:sz w:val="17"/>
          <w:szCs w:val="17"/>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268605</wp:posOffset>
            </wp:positionH>
            <wp:positionV relativeFrom="paragraph">
              <wp:posOffset>-128905</wp:posOffset>
            </wp:positionV>
            <wp:extent cx="762000" cy="971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62000" cy="97155"/>
                    </a:xfrm>
                    <a:prstGeom prst="rect">
                      <a:avLst/>
                    </a:prstGeom>
                    <a:noFill/>
                  </pic:spPr>
                </pic:pic>
              </a:graphicData>
            </a:graphic>
          </wp:anchor>
        </w:drawing>
      </w:r>
    </w:p>
    <w:p>
      <w:pPr>
        <w:sectPr>
          <w:pgSz w:w="11900" w:h="16838" w:orient="portrait"/>
          <w:cols w:equalWidth="0" w:num="1">
            <w:col w:w="10800"/>
          </w:cols>
          <w:pgMar w:left="320" w:top="464" w:right="779" w:bottom="144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7"/>
          <w:szCs w:val="17"/>
          <w:b w:val="1"/>
          <w:bCs w:val="1"/>
          <w:u w:val="single" w:color="auto"/>
          <w:color w:val="0000EE"/>
        </w:rPr>
        <w:t>Table of Contents</w:t>
      </w:r>
    </w:p>
    <w:p>
      <w:pPr>
        <w:spacing w:after="0" w:line="399" w:lineRule="exact"/>
        <w:rPr>
          <w:sz w:val="20"/>
          <w:szCs w:val="20"/>
          <w:color w:val="auto"/>
        </w:rPr>
      </w:pPr>
    </w:p>
    <w:tbl>
      <w:tblPr>
        <w:tblLayout w:type="fixed"/>
        <w:tblInd w:w="420" w:type="dxa"/>
        <w:tblCellMar>
          <w:top w:w="0" w:type="dxa"/>
          <w:left w:w="0" w:type="dxa"/>
          <w:bottom w:w="0" w:type="dxa"/>
          <w:right w:w="0" w:type="dxa"/>
        </w:tblCellMar>
      </w:tblPr>
      <w:tr>
        <w:trPr>
          <w:trHeight w:val="485"/>
        </w:trPr>
        <w:tc>
          <w:tcPr>
            <w:tcW w:w="120" w:type="dxa"/>
            <w:vAlign w:val="bottom"/>
            <w:shd w:val="clear" w:color="auto" w:fill="002B5F"/>
          </w:tcPr>
          <w:p>
            <w:pPr>
              <w:ind w:left="20"/>
              <w:spacing w:after="0"/>
              <w:rPr>
                <w:sz w:val="20"/>
                <w:szCs w:val="20"/>
                <w:color w:val="auto"/>
              </w:rPr>
            </w:pPr>
            <w:r>
              <w:rPr>
                <w:rFonts w:ascii="Arial" w:cs="Arial" w:eastAsia="Arial" w:hAnsi="Arial"/>
                <w:sz w:val="11"/>
                <w:szCs w:val="11"/>
                <w:color w:val="auto"/>
                <w:w w:val="72"/>
              </w:rPr>
              <w:t> </w:t>
            </w:r>
          </w:p>
        </w:tc>
        <w:tc>
          <w:tcPr>
            <w:tcW w:w="160" w:type="dxa"/>
            <w:vAlign w:val="bottom"/>
            <w:shd w:val="clear" w:color="auto" w:fill="002B5F"/>
          </w:tcPr>
          <w:p>
            <w:pPr>
              <w:ind w:left="60"/>
              <w:spacing w:after="0"/>
              <w:rPr>
                <w:sz w:val="20"/>
                <w:szCs w:val="20"/>
                <w:color w:val="auto"/>
              </w:rPr>
            </w:pPr>
            <w:r>
              <w:rPr>
                <w:rFonts w:ascii="Arial" w:cs="Arial" w:eastAsia="Arial" w:hAnsi="Arial"/>
                <w:sz w:val="11"/>
                <w:szCs w:val="11"/>
                <w:color w:val="auto"/>
                <w:w w:val="72"/>
              </w:rPr>
              <w:t> </w:t>
            </w:r>
          </w:p>
        </w:tc>
        <w:tc>
          <w:tcPr>
            <w:tcW w:w="160" w:type="dxa"/>
            <w:vAlign w:val="bottom"/>
            <w:shd w:val="clear" w:color="auto" w:fill="002B5F"/>
          </w:tcPr>
          <w:p>
            <w:pPr>
              <w:ind w:left="60"/>
              <w:spacing w:after="0"/>
              <w:rPr>
                <w:sz w:val="20"/>
                <w:szCs w:val="20"/>
                <w:color w:val="auto"/>
              </w:rPr>
            </w:pPr>
            <w:r>
              <w:rPr>
                <w:rFonts w:ascii="Arial" w:cs="Arial" w:eastAsia="Arial" w:hAnsi="Arial"/>
                <w:sz w:val="11"/>
                <w:szCs w:val="11"/>
                <w:color w:val="auto"/>
                <w:w w:val="72"/>
              </w:rPr>
              <w:t> </w:t>
            </w:r>
          </w:p>
        </w:tc>
        <w:tc>
          <w:tcPr>
            <w:tcW w:w="220" w:type="dxa"/>
            <w:vAlign w:val="bottom"/>
            <w:shd w:val="clear" w:color="auto" w:fill="002B5F"/>
          </w:tcPr>
          <w:p>
            <w:pPr>
              <w:ind w:left="40"/>
              <w:spacing w:after="0"/>
              <w:rPr>
                <w:sz w:val="20"/>
                <w:szCs w:val="20"/>
                <w:color w:val="auto"/>
              </w:rPr>
            </w:pPr>
            <w:r>
              <w:rPr>
                <w:rFonts w:ascii="Arial" w:cs="Arial" w:eastAsia="Arial" w:hAnsi="Arial"/>
                <w:sz w:val="15"/>
                <w:szCs w:val="15"/>
                <w:color w:val="auto"/>
              </w:rPr>
              <w:t xml:space="preserve">  </w:t>
            </w:r>
            <w:r>
              <w:rPr>
                <w:rFonts w:ascii="Arial" w:cs="Arial" w:eastAsia="Arial" w:hAnsi="Arial"/>
                <w:sz w:val="23"/>
                <w:szCs w:val="23"/>
                <w:color w:val="FFFFFF"/>
                <w:vertAlign w:val="superscript"/>
              </w:rPr>
              <w:t xml:space="preserve"> </w:t>
            </w:r>
          </w:p>
        </w:tc>
        <w:tc>
          <w:tcPr>
            <w:tcW w:w="1200" w:type="dxa"/>
            <w:vAlign w:val="bottom"/>
            <w:shd w:val="clear" w:color="auto" w:fill="002B5F"/>
          </w:tcPr>
          <w:p>
            <w:pPr>
              <w:ind w:left="80"/>
              <w:spacing w:after="0"/>
              <w:rPr>
                <w:sz w:val="20"/>
                <w:szCs w:val="20"/>
                <w:color w:val="auto"/>
              </w:rPr>
            </w:pPr>
            <w:r>
              <w:rPr>
                <w:rFonts w:ascii="Arial" w:cs="Arial" w:eastAsia="Arial" w:hAnsi="Arial"/>
                <w:sz w:val="12"/>
                <w:szCs w:val="12"/>
                <w:color w:val="FFFFFF"/>
              </w:rPr>
              <w:t> </w:t>
            </w:r>
          </w:p>
        </w:tc>
      </w:tr>
      <w:tr>
        <w:trPr>
          <w:trHeight w:val="158"/>
        </w:trPr>
        <w:tc>
          <w:tcPr>
            <w:tcW w:w="120" w:type="dxa"/>
            <w:vAlign w:val="bottom"/>
            <w:shd w:val="clear" w:color="auto" w:fill="002B5F"/>
          </w:tcPr>
          <w:p>
            <w:pPr>
              <w:spacing w:after="0"/>
              <w:rPr>
                <w:sz w:val="13"/>
                <w:szCs w:val="13"/>
                <w:color w:val="auto"/>
              </w:rPr>
            </w:pPr>
          </w:p>
        </w:tc>
        <w:tc>
          <w:tcPr>
            <w:tcW w:w="160" w:type="dxa"/>
            <w:vAlign w:val="bottom"/>
            <w:shd w:val="clear" w:color="auto" w:fill="002B5F"/>
          </w:tcPr>
          <w:p>
            <w:pPr>
              <w:spacing w:after="0"/>
              <w:rPr>
                <w:sz w:val="13"/>
                <w:szCs w:val="13"/>
                <w:color w:val="auto"/>
              </w:rPr>
            </w:pPr>
          </w:p>
        </w:tc>
        <w:tc>
          <w:tcPr>
            <w:tcW w:w="160" w:type="dxa"/>
            <w:vAlign w:val="bottom"/>
            <w:shd w:val="clear" w:color="auto" w:fill="002B5F"/>
          </w:tcPr>
          <w:p>
            <w:pPr>
              <w:spacing w:after="0"/>
              <w:rPr>
                <w:sz w:val="13"/>
                <w:szCs w:val="13"/>
                <w:color w:val="auto"/>
              </w:rPr>
            </w:pPr>
          </w:p>
        </w:tc>
        <w:tc>
          <w:tcPr>
            <w:tcW w:w="220" w:type="dxa"/>
            <w:vAlign w:val="bottom"/>
            <w:shd w:val="clear" w:color="auto" w:fill="002B5F"/>
          </w:tcPr>
          <w:p>
            <w:pPr>
              <w:spacing w:after="0"/>
              <w:rPr>
                <w:sz w:val="13"/>
                <w:szCs w:val="13"/>
                <w:color w:val="auto"/>
              </w:rPr>
            </w:pPr>
          </w:p>
        </w:tc>
        <w:tc>
          <w:tcPr>
            <w:tcW w:w="1200" w:type="dxa"/>
            <w:vAlign w:val="bottom"/>
            <w:shd w:val="clear" w:color="auto" w:fill="002B5F"/>
          </w:tcPr>
          <w:p>
            <w:pPr>
              <w:ind w:left="80"/>
              <w:spacing w:after="0"/>
              <w:rPr>
                <w:sz w:val="20"/>
                <w:szCs w:val="20"/>
                <w:color w:val="auto"/>
              </w:rPr>
            </w:pPr>
            <w:r>
              <w:rPr>
                <w:rFonts w:ascii="Arial" w:cs="Arial" w:eastAsia="Arial" w:hAnsi="Arial"/>
                <w:sz w:val="12"/>
                <w:szCs w:val="12"/>
                <w:color w:val="FFFFFF"/>
              </w:rPr>
              <w:t> </w:t>
            </w:r>
          </w:p>
        </w:tc>
      </w:tr>
      <w:tr>
        <w:trPr>
          <w:trHeight w:val="310"/>
        </w:trPr>
        <w:tc>
          <w:tcPr>
            <w:tcW w:w="120" w:type="dxa"/>
            <w:vAlign w:val="bottom"/>
            <w:shd w:val="clear" w:color="auto" w:fill="002B5F"/>
          </w:tcPr>
          <w:p>
            <w:pPr>
              <w:spacing w:after="0"/>
              <w:rPr>
                <w:sz w:val="24"/>
                <w:szCs w:val="24"/>
                <w:color w:val="auto"/>
              </w:rPr>
            </w:pPr>
          </w:p>
        </w:tc>
        <w:tc>
          <w:tcPr>
            <w:tcW w:w="160" w:type="dxa"/>
            <w:vAlign w:val="bottom"/>
            <w:shd w:val="clear" w:color="auto" w:fill="002B5F"/>
          </w:tcPr>
          <w:p>
            <w:pPr>
              <w:spacing w:after="0"/>
              <w:rPr>
                <w:sz w:val="24"/>
                <w:szCs w:val="24"/>
                <w:color w:val="auto"/>
              </w:rPr>
            </w:pPr>
          </w:p>
        </w:tc>
        <w:tc>
          <w:tcPr>
            <w:tcW w:w="160" w:type="dxa"/>
            <w:vAlign w:val="bottom"/>
            <w:shd w:val="clear" w:color="auto" w:fill="002B5F"/>
          </w:tcPr>
          <w:p>
            <w:pPr>
              <w:spacing w:after="0"/>
              <w:rPr>
                <w:sz w:val="24"/>
                <w:szCs w:val="24"/>
                <w:color w:val="auto"/>
              </w:rPr>
            </w:pPr>
          </w:p>
        </w:tc>
        <w:tc>
          <w:tcPr>
            <w:tcW w:w="220" w:type="dxa"/>
            <w:vAlign w:val="bottom"/>
            <w:shd w:val="clear" w:color="auto" w:fill="002B5F"/>
          </w:tcPr>
          <w:p>
            <w:pPr>
              <w:spacing w:after="0"/>
              <w:rPr>
                <w:sz w:val="24"/>
                <w:szCs w:val="24"/>
                <w:color w:val="auto"/>
              </w:rPr>
            </w:pPr>
          </w:p>
        </w:tc>
        <w:tc>
          <w:tcPr>
            <w:tcW w:w="1200" w:type="dxa"/>
            <w:vAlign w:val="bottom"/>
            <w:shd w:val="clear" w:color="auto" w:fill="002B5F"/>
          </w:tcPr>
          <w:p>
            <w:pPr>
              <w:ind w:left="80"/>
              <w:spacing w:after="0"/>
              <w:rPr>
                <w:sz w:val="20"/>
                <w:szCs w:val="20"/>
                <w:color w:val="auto"/>
              </w:rPr>
            </w:pPr>
            <w:r>
              <w:rPr>
                <w:rFonts w:ascii="Arial" w:cs="Arial" w:eastAsia="Arial" w:hAnsi="Arial"/>
                <w:sz w:val="12"/>
                <w:szCs w:val="12"/>
                <w:color w:val="FFFFFF"/>
              </w:rPr>
              <w:t> </w:t>
            </w:r>
          </w:p>
        </w:tc>
      </w:tr>
      <w:tr>
        <w:trPr>
          <w:trHeight w:val="128"/>
        </w:trPr>
        <w:tc>
          <w:tcPr>
            <w:tcW w:w="120" w:type="dxa"/>
            <w:vAlign w:val="bottom"/>
            <w:shd w:val="clear" w:color="auto" w:fill="002B5F"/>
          </w:tcPr>
          <w:p>
            <w:pPr>
              <w:spacing w:after="0"/>
              <w:rPr>
                <w:sz w:val="11"/>
                <w:szCs w:val="11"/>
                <w:color w:val="auto"/>
              </w:rPr>
            </w:pPr>
          </w:p>
        </w:tc>
        <w:tc>
          <w:tcPr>
            <w:tcW w:w="160" w:type="dxa"/>
            <w:vAlign w:val="bottom"/>
            <w:shd w:val="clear" w:color="auto" w:fill="002B5F"/>
          </w:tcPr>
          <w:p>
            <w:pPr>
              <w:spacing w:after="0"/>
              <w:rPr>
                <w:sz w:val="11"/>
                <w:szCs w:val="11"/>
                <w:color w:val="auto"/>
              </w:rPr>
            </w:pPr>
          </w:p>
        </w:tc>
        <w:tc>
          <w:tcPr>
            <w:tcW w:w="160" w:type="dxa"/>
            <w:vAlign w:val="bottom"/>
            <w:shd w:val="clear" w:color="auto" w:fill="002B5F"/>
          </w:tcPr>
          <w:p>
            <w:pPr>
              <w:spacing w:after="0"/>
              <w:rPr>
                <w:sz w:val="11"/>
                <w:szCs w:val="11"/>
                <w:color w:val="auto"/>
              </w:rPr>
            </w:pPr>
          </w:p>
        </w:tc>
        <w:tc>
          <w:tcPr>
            <w:tcW w:w="220" w:type="dxa"/>
            <w:vAlign w:val="bottom"/>
            <w:shd w:val="clear" w:color="auto" w:fill="002B5F"/>
          </w:tcPr>
          <w:p>
            <w:pPr>
              <w:spacing w:after="0"/>
              <w:rPr>
                <w:sz w:val="11"/>
                <w:szCs w:val="11"/>
                <w:color w:val="auto"/>
              </w:rPr>
            </w:pPr>
          </w:p>
        </w:tc>
        <w:tc>
          <w:tcPr>
            <w:tcW w:w="1200" w:type="dxa"/>
            <w:vAlign w:val="bottom"/>
            <w:shd w:val="clear" w:color="auto" w:fill="002B5F"/>
          </w:tcPr>
          <w:p>
            <w:pPr>
              <w:ind w:left="80"/>
              <w:spacing w:after="0" w:line="128" w:lineRule="exact"/>
              <w:rPr>
                <w:sz w:val="20"/>
                <w:szCs w:val="20"/>
                <w:color w:val="auto"/>
              </w:rPr>
            </w:pPr>
            <w:r>
              <w:rPr>
                <w:rFonts w:ascii="Arial" w:cs="Arial" w:eastAsia="Arial" w:hAnsi="Arial"/>
                <w:sz w:val="12"/>
                <w:szCs w:val="12"/>
                <w:color w:val="FFFFFF"/>
              </w:rPr>
              <w:t> </w:t>
            </w:r>
          </w:p>
        </w:tc>
      </w:tr>
      <w:tr>
        <w:trPr>
          <w:trHeight w:val="128"/>
        </w:trPr>
        <w:tc>
          <w:tcPr>
            <w:tcW w:w="120" w:type="dxa"/>
            <w:vAlign w:val="bottom"/>
            <w:shd w:val="clear" w:color="auto" w:fill="002B5F"/>
          </w:tcPr>
          <w:p>
            <w:pPr>
              <w:spacing w:after="0"/>
              <w:rPr>
                <w:sz w:val="11"/>
                <w:szCs w:val="11"/>
                <w:color w:val="auto"/>
              </w:rPr>
            </w:pPr>
          </w:p>
        </w:tc>
        <w:tc>
          <w:tcPr>
            <w:tcW w:w="160" w:type="dxa"/>
            <w:vAlign w:val="bottom"/>
            <w:shd w:val="clear" w:color="auto" w:fill="002B5F"/>
          </w:tcPr>
          <w:p>
            <w:pPr>
              <w:spacing w:after="0"/>
              <w:rPr>
                <w:sz w:val="11"/>
                <w:szCs w:val="11"/>
                <w:color w:val="auto"/>
              </w:rPr>
            </w:pPr>
          </w:p>
        </w:tc>
        <w:tc>
          <w:tcPr>
            <w:tcW w:w="160" w:type="dxa"/>
            <w:vAlign w:val="bottom"/>
            <w:shd w:val="clear" w:color="auto" w:fill="002B5F"/>
          </w:tcPr>
          <w:p>
            <w:pPr>
              <w:spacing w:after="0"/>
              <w:rPr>
                <w:sz w:val="11"/>
                <w:szCs w:val="11"/>
                <w:color w:val="auto"/>
              </w:rPr>
            </w:pPr>
          </w:p>
        </w:tc>
        <w:tc>
          <w:tcPr>
            <w:tcW w:w="220" w:type="dxa"/>
            <w:vAlign w:val="bottom"/>
            <w:shd w:val="clear" w:color="auto" w:fill="002B5F"/>
          </w:tcPr>
          <w:p>
            <w:pPr>
              <w:spacing w:after="0"/>
              <w:rPr>
                <w:sz w:val="11"/>
                <w:szCs w:val="11"/>
                <w:color w:val="auto"/>
              </w:rPr>
            </w:pPr>
          </w:p>
        </w:tc>
        <w:tc>
          <w:tcPr>
            <w:tcW w:w="1200" w:type="dxa"/>
            <w:vAlign w:val="bottom"/>
            <w:shd w:val="clear" w:color="auto" w:fill="002B5F"/>
          </w:tcPr>
          <w:p>
            <w:pPr>
              <w:ind w:left="80"/>
              <w:spacing w:after="0" w:line="128" w:lineRule="exact"/>
              <w:rPr>
                <w:sz w:val="20"/>
                <w:szCs w:val="20"/>
                <w:color w:val="auto"/>
              </w:rPr>
            </w:pPr>
            <w:r>
              <w:rPr>
                <w:rFonts w:ascii="Arial" w:cs="Arial" w:eastAsia="Arial" w:hAnsi="Arial"/>
                <w:sz w:val="12"/>
                <w:szCs w:val="12"/>
                <w:color w:val="FFFFFF"/>
              </w:rPr>
              <w:t> </w:t>
            </w:r>
          </w:p>
        </w:tc>
      </w:tr>
      <w:tr>
        <w:trPr>
          <w:trHeight w:val="158"/>
        </w:trPr>
        <w:tc>
          <w:tcPr>
            <w:tcW w:w="120" w:type="dxa"/>
            <w:vAlign w:val="bottom"/>
            <w:shd w:val="clear" w:color="auto" w:fill="002B5F"/>
          </w:tcPr>
          <w:p>
            <w:pPr>
              <w:spacing w:after="0"/>
              <w:rPr>
                <w:sz w:val="13"/>
                <w:szCs w:val="13"/>
                <w:color w:val="auto"/>
              </w:rPr>
            </w:pPr>
          </w:p>
        </w:tc>
        <w:tc>
          <w:tcPr>
            <w:tcW w:w="160" w:type="dxa"/>
            <w:vAlign w:val="bottom"/>
            <w:shd w:val="clear" w:color="auto" w:fill="002B5F"/>
          </w:tcPr>
          <w:p>
            <w:pPr>
              <w:spacing w:after="0"/>
              <w:rPr>
                <w:sz w:val="13"/>
                <w:szCs w:val="13"/>
                <w:color w:val="auto"/>
              </w:rPr>
            </w:pPr>
          </w:p>
        </w:tc>
        <w:tc>
          <w:tcPr>
            <w:tcW w:w="160" w:type="dxa"/>
            <w:vAlign w:val="bottom"/>
            <w:shd w:val="clear" w:color="auto" w:fill="002B5F"/>
          </w:tcPr>
          <w:p>
            <w:pPr>
              <w:spacing w:after="0"/>
              <w:rPr>
                <w:sz w:val="13"/>
                <w:szCs w:val="13"/>
                <w:color w:val="auto"/>
              </w:rPr>
            </w:pPr>
          </w:p>
        </w:tc>
        <w:tc>
          <w:tcPr>
            <w:tcW w:w="220" w:type="dxa"/>
            <w:vAlign w:val="bottom"/>
            <w:shd w:val="clear" w:color="auto" w:fill="002B5F"/>
          </w:tcPr>
          <w:p>
            <w:pPr>
              <w:spacing w:after="0"/>
              <w:rPr>
                <w:sz w:val="13"/>
                <w:szCs w:val="13"/>
                <w:color w:val="auto"/>
              </w:rPr>
            </w:pPr>
          </w:p>
        </w:tc>
        <w:tc>
          <w:tcPr>
            <w:tcW w:w="1200" w:type="dxa"/>
            <w:vAlign w:val="bottom"/>
            <w:shd w:val="clear" w:color="auto" w:fill="002B5F"/>
          </w:tcPr>
          <w:p>
            <w:pPr>
              <w:ind w:left="80"/>
              <w:spacing w:after="0"/>
              <w:rPr>
                <w:sz w:val="20"/>
                <w:szCs w:val="20"/>
                <w:color w:val="auto"/>
              </w:rPr>
            </w:pPr>
            <w:r>
              <w:rPr>
                <w:rFonts w:ascii="Arial" w:cs="Arial" w:eastAsia="Arial" w:hAnsi="Arial"/>
                <w:sz w:val="12"/>
                <w:szCs w:val="12"/>
                <w:color w:val="FFFFFF"/>
              </w:rPr>
              <w:t> </w:t>
            </w:r>
          </w:p>
        </w:tc>
      </w:tr>
      <w:tr>
        <w:trPr>
          <w:trHeight w:val="376"/>
        </w:trPr>
        <w:tc>
          <w:tcPr>
            <w:tcW w:w="120" w:type="dxa"/>
            <w:vAlign w:val="bottom"/>
            <w:shd w:val="clear" w:color="auto" w:fill="002B5F"/>
          </w:tcPr>
          <w:p>
            <w:pPr>
              <w:spacing w:after="0"/>
              <w:rPr>
                <w:sz w:val="24"/>
                <w:szCs w:val="24"/>
                <w:color w:val="auto"/>
              </w:rPr>
            </w:pPr>
          </w:p>
        </w:tc>
        <w:tc>
          <w:tcPr>
            <w:tcW w:w="160" w:type="dxa"/>
            <w:vAlign w:val="bottom"/>
            <w:shd w:val="clear" w:color="auto" w:fill="002B5F"/>
          </w:tcPr>
          <w:p>
            <w:pPr>
              <w:spacing w:after="0"/>
              <w:rPr>
                <w:sz w:val="24"/>
                <w:szCs w:val="24"/>
                <w:color w:val="auto"/>
              </w:rPr>
            </w:pPr>
          </w:p>
        </w:tc>
        <w:tc>
          <w:tcPr>
            <w:tcW w:w="160" w:type="dxa"/>
            <w:vAlign w:val="bottom"/>
            <w:shd w:val="clear" w:color="auto" w:fill="002B5F"/>
          </w:tcPr>
          <w:p>
            <w:pPr>
              <w:spacing w:after="0"/>
              <w:rPr>
                <w:sz w:val="24"/>
                <w:szCs w:val="24"/>
                <w:color w:val="auto"/>
              </w:rPr>
            </w:pPr>
          </w:p>
        </w:tc>
        <w:tc>
          <w:tcPr>
            <w:tcW w:w="220" w:type="dxa"/>
            <w:vAlign w:val="bottom"/>
            <w:shd w:val="clear" w:color="auto" w:fill="002B5F"/>
          </w:tcPr>
          <w:p>
            <w:pPr>
              <w:spacing w:after="0"/>
              <w:rPr>
                <w:sz w:val="24"/>
                <w:szCs w:val="24"/>
                <w:color w:val="auto"/>
              </w:rPr>
            </w:pPr>
          </w:p>
        </w:tc>
        <w:tc>
          <w:tcPr>
            <w:tcW w:w="1200" w:type="dxa"/>
            <w:vAlign w:val="bottom"/>
            <w:shd w:val="clear" w:color="auto" w:fill="002B5F"/>
          </w:tcPr>
          <w:p>
            <w:pPr>
              <w:ind w:left="80"/>
              <w:spacing w:after="0"/>
              <w:rPr>
                <w:sz w:val="20"/>
                <w:szCs w:val="20"/>
                <w:color w:val="auto"/>
              </w:rPr>
            </w:pPr>
            <w:r>
              <w:rPr>
                <w:rFonts w:ascii="Arial" w:cs="Arial" w:eastAsia="Arial" w:hAnsi="Arial"/>
                <w:sz w:val="12"/>
                <w:szCs w:val="12"/>
                <w:b w:val="1"/>
                <w:bCs w:val="1"/>
                <w:color w:val="FFFFFF"/>
              </w:rPr>
              <w:t> </w:t>
            </w:r>
          </w:p>
        </w:tc>
      </w:tr>
      <w:tr>
        <w:trPr>
          <w:trHeight w:val="334"/>
        </w:trPr>
        <w:tc>
          <w:tcPr>
            <w:tcW w:w="120" w:type="dxa"/>
            <w:vAlign w:val="bottom"/>
            <w:shd w:val="clear" w:color="auto" w:fill="002B5F"/>
          </w:tcPr>
          <w:p>
            <w:pPr>
              <w:spacing w:after="0"/>
              <w:rPr>
                <w:sz w:val="24"/>
                <w:szCs w:val="24"/>
                <w:color w:val="auto"/>
              </w:rPr>
            </w:pPr>
          </w:p>
        </w:tc>
        <w:tc>
          <w:tcPr>
            <w:tcW w:w="160" w:type="dxa"/>
            <w:vAlign w:val="bottom"/>
            <w:shd w:val="clear" w:color="auto" w:fill="002B5F"/>
          </w:tcPr>
          <w:p>
            <w:pPr>
              <w:spacing w:after="0"/>
              <w:rPr>
                <w:sz w:val="24"/>
                <w:szCs w:val="24"/>
                <w:color w:val="auto"/>
              </w:rPr>
            </w:pPr>
          </w:p>
        </w:tc>
        <w:tc>
          <w:tcPr>
            <w:tcW w:w="160" w:type="dxa"/>
            <w:vAlign w:val="bottom"/>
            <w:shd w:val="clear" w:color="auto" w:fill="002B5F"/>
          </w:tcPr>
          <w:p>
            <w:pPr>
              <w:spacing w:after="0"/>
              <w:rPr>
                <w:sz w:val="24"/>
                <w:szCs w:val="24"/>
                <w:color w:val="auto"/>
              </w:rPr>
            </w:pPr>
          </w:p>
        </w:tc>
        <w:tc>
          <w:tcPr>
            <w:tcW w:w="220" w:type="dxa"/>
            <w:vAlign w:val="bottom"/>
            <w:shd w:val="clear" w:color="auto" w:fill="002B5F"/>
          </w:tcPr>
          <w:p>
            <w:pPr>
              <w:spacing w:after="0"/>
              <w:rPr>
                <w:sz w:val="24"/>
                <w:szCs w:val="24"/>
                <w:color w:val="auto"/>
              </w:rPr>
            </w:pPr>
          </w:p>
        </w:tc>
        <w:tc>
          <w:tcPr>
            <w:tcW w:w="1200" w:type="dxa"/>
            <w:vAlign w:val="bottom"/>
            <w:shd w:val="clear" w:color="auto" w:fill="002B5F"/>
          </w:tcPr>
          <w:p>
            <w:pPr>
              <w:ind w:left="80"/>
              <w:spacing w:after="0"/>
              <w:rPr>
                <w:sz w:val="20"/>
                <w:szCs w:val="20"/>
                <w:color w:val="auto"/>
              </w:rPr>
            </w:pPr>
            <w:r>
              <w:rPr>
                <w:rFonts w:ascii="Arial" w:cs="Arial" w:eastAsia="Arial" w:hAnsi="Arial"/>
                <w:sz w:val="12"/>
                <w:szCs w:val="12"/>
                <w:color w:val="FFFFFF"/>
              </w:rPr>
              <w:t> </w:t>
            </w:r>
          </w:p>
        </w:tc>
      </w:tr>
      <w:tr>
        <w:trPr>
          <w:trHeight w:val="128"/>
        </w:trPr>
        <w:tc>
          <w:tcPr>
            <w:tcW w:w="120" w:type="dxa"/>
            <w:vAlign w:val="bottom"/>
            <w:shd w:val="clear" w:color="auto" w:fill="002B5F"/>
          </w:tcPr>
          <w:p>
            <w:pPr>
              <w:spacing w:after="0"/>
              <w:rPr>
                <w:sz w:val="11"/>
                <w:szCs w:val="11"/>
                <w:color w:val="auto"/>
              </w:rPr>
            </w:pPr>
          </w:p>
        </w:tc>
        <w:tc>
          <w:tcPr>
            <w:tcW w:w="160" w:type="dxa"/>
            <w:vAlign w:val="bottom"/>
            <w:shd w:val="clear" w:color="auto" w:fill="002B5F"/>
          </w:tcPr>
          <w:p>
            <w:pPr>
              <w:spacing w:after="0"/>
              <w:rPr>
                <w:sz w:val="11"/>
                <w:szCs w:val="11"/>
                <w:color w:val="auto"/>
              </w:rPr>
            </w:pPr>
          </w:p>
        </w:tc>
        <w:tc>
          <w:tcPr>
            <w:tcW w:w="160" w:type="dxa"/>
            <w:vAlign w:val="bottom"/>
            <w:shd w:val="clear" w:color="auto" w:fill="002B5F"/>
          </w:tcPr>
          <w:p>
            <w:pPr>
              <w:spacing w:after="0"/>
              <w:rPr>
                <w:sz w:val="11"/>
                <w:szCs w:val="11"/>
                <w:color w:val="auto"/>
              </w:rPr>
            </w:pPr>
          </w:p>
        </w:tc>
        <w:tc>
          <w:tcPr>
            <w:tcW w:w="220" w:type="dxa"/>
            <w:vAlign w:val="bottom"/>
            <w:shd w:val="clear" w:color="auto" w:fill="002B5F"/>
          </w:tcPr>
          <w:p>
            <w:pPr>
              <w:spacing w:after="0"/>
              <w:rPr>
                <w:sz w:val="11"/>
                <w:szCs w:val="11"/>
                <w:color w:val="auto"/>
              </w:rPr>
            </w:pPr>
          </w:p>
        </w:tc>
        <w:tc>
          <w:tcPr>
            <w:tcW w:w="1200" w:type="dxa"/>
            <w:vAlign w:val="bottom"/>
            <w:shd w:val="clear" w:color="auto" w:fill="002B5F"/>
          </w:tcPr>
          <w:p>
            <w:pPr>
              <w:ind w:left="80"/>
              <w:spacing w:after="0" w:line="128" w:lineRule="exact"/>
              <w:rPr>
                <w:sz w:val="20"/>
                <w:szCs w:val="20"/>
                <w:color w:val="auto"/>
              </w:rPr>
            </w:pPr>
            <w:r>
              <w:rPr>
                <w:rFonts w:ascii="Arial" w:cs="Arial" w:eastAsia="Arial" w:hAnsi="Arial"/>
                <w:sz w:val="12"/>
                <w:szCs w:val="12"/>
                <w:color w:val="FFFFFF"/>
              </w:rPr>
              <w:t> </w:t>
            </w:r>
          </w:p>
        </w:tc>
      </w:tr>
      <w:tr>
        <w:trPr>
          <w:trHeight w:val="128"/>
        </w:trPr>
        <w:tc>
          <w:tcPr>
            <w:tcW w:w="120" w:type="dxa"/>
            <w:vAlign w:val="bottom"/>
            <w:shd w:val="clear" w:color="auto" w:fill="002B5F"/>
          </w:tcPr>
          <w:p>
            <w:pPr>
              <w:spacing w:after="0"/>
              <w:rPr>
                <w:sz w:val="11"/>
                <w:szCs w:val="11"/>
                <w:color w:val="auto"/>
              </w:rPr>
            </w:pPr>
          </w:p>
        </w:tc>
        <w:tc>
          <w:tcPr>
            <w:tcW w:w="160" w:type="dxa"/>
            <w:vAlign w:val="bottom"/>
            <w:shd w:val="clear" w:color="auto" w:fill="002B5F"/>
          </w:tcPr>
          <w:p>
            <w:pPr>
              <w:spacing w:after="0"/>
              <w:rPr>
                <w:sz w:val="11"/>
                <w:szCs w:val="11"/>
                <w:color w:val="auto"/>
              </w:rPr>
            </w:pPr>
          </w:p>
        </w:tc>
        <w:tc>
          <w:tcPr>
            <w:tcW w:w="160" w:type="dxa"/>
            <w:vAlign w:val="bottom"/>
            <w:shd w:val="clear" w:color="auto" w:fill="002B5F"/>
          </w:tcPr>
          <w:p>
            <w:pPr>
              <w:spacing w:after="0"/>
              <w:rPr>
                <w:sz w:val="11"/>
                <w:szCs w:val="11"/>
                <w:color w:val="auto"/>
              </w:rPr>
            </w:pPr>
          </w:p>
        </w:tc>
        <w:tc>
          <w:tcPr>
            <w:tcW w:w="220" w:type="dxa"/>
            <w:vAlign w:val="bottom"/>
            <w:shd w:val="clear" w:color="auto" w:fill="002B5F"/>
          </w:tcPr>
          <w:p>
            <w:pPr>
              <w:spacing w:after="0"/>
              <w:rPr>
                <w:sz w:val="11"/>
                <w:szCs w:val="11"/>
                <w:color w:val="auto"/>
              </w:rPr>
            </w:pPr>
          </w:p>
        </w:tc>
        <w:tc>
          <w:tcPr>
            <w:tcW w:w="1200" w:type="dxa"/>
            <w:vAlign w:val="bottom"/>
            <w:shd w:val="clear" w:color="auto" w:fill="002B5F"/>
          </w:tcPr>
          <w:p>
            <w:pPr>
              <w:ind w:left="80"/>
              <w:spacing w:after="0" w:line="128" w:lineRule="exact"/>
              <w:rPr>
                <w:sz w:val="20"/>
                <w:szCs w:val="20"/>
                <w:color w:val="auto"/>
              </w:rPr>
            </w:pPr>
            <w:r>
              <w:rPr>
                <w:rFonts w:ascii="Arial" w:cs="Arial" w:eastAsia="Arial" w:hAnsi="Arial"/>
                <w:sz w:val="12"/>
                <w:szCs w:val="12"/>
                <w:color w:val="FFFFFF"/>
              </w:rPr>
              <w:t> </w:t>
            </w:r>
          </w:p>
        </w:tc>
      </w:tr>
      <w:tr>
        <w:trPr>
          <w:trHeight w:val="158"/>
        </w:trPr>
        <w:tc>
          <w:tcPr>
            <w:tcW w:w="120" w:type="dxa"/>
            <w:vAlign w:val="bottom"/>
            <w:shd w:val="clear" w:color="auto" w:fill="002B5F"/>
          </w:tcPr>
          <w:p>
            <w:pPr>
              <w:spacing w:after="0"/>
              <w:rPr>
                <w:sz w:val="13"/>
                <w:szCs w:val="13"/>
                <w:color w:val="auto"/>
              </w:rPr>
            </w:pPr>
          </w:p>
        </w:tc>
        <w:tc>
          <w:tcPr>
            <w:tcW w:w="160" w:type="dxa"/>
            <w:vAlign w:val="bottom"/>
            <w:shd w:val="clear" w:color="auto" w:fill="002B5F"/>
          </w:tcPr>
          <w:p>
            <w:pPr>
              <w:spacing w:after="0"/>
              <w:rPr>
                <w:sz w:val="13"/>
                <w:szCs w:val="13"/>
                <w:color w:val="auto"/>
              </w:rPr>
            </w:pPr>
          </w:p>
        </w:tc>
        <w:tc>
          <w:tcPr>
            <w:tcW w:w="160" w:type="dxa"/>
            <w:vAlign w:val="bottom"/>
            <w:shd w:val="clear" w:color="auto" w:fill="002B5F"/>
          </w:tcPr>
          <w:p>
            <w:pPr>
              <w:spacing w:after="0"/>
              <w:rPr>
                <w:sz w:val="13"/>
                <w:szCs w:val="13"/>
                <w:color w:val="auto"/>
              </w:rPr>
            </w:pPr>
          </w:p>
        </w:tc>
        <w:tc>
          <w:tcPr>
            <w:tcW w:w="220" w:type="dxa"/>
            <w:vAlign w:val="bottom"/>
            <w:shd w:val="clear" w:color="auto" w:fill="002B5F"/>
          </w:tcPr>
          <w:p>
            <w:pPr>
              <w:spacing w:after="0"/>
              <w:rPr>
                <w:sz w:val="13"/>
                <w:szCs w:val="13"/>
                <w:color w:val="auto"/>
              </w:rPr>
            </w:pPr>
          </w:p>
        </w:tc>
        <w:tc>
          <w:tcPr>
            <w:tcW w:w="1200" w:type="dxa"/>
            <w:vAlign w:val="bottom"/>
            <w:shd w:val="clear" w:color="auto" w:fill="002B5F"/>
          </w:tcPr>
          <w:p>
            <w:pPr>
              <w:ind w:left="80"/>
              <w:spacing w:after="0"/>
              <w:rPr>
                <w:sz w:val="20"/>
                <w:szCs w:val="20"/>
                <w:color w:val="auto"/>
              </w:rPr>
            </w:pPr>
            <w:r>
              <w:rPr>
                <w:rFonts w:ascii="Arial" w:cs="Arial" w:eastAsia="Arial" w:hAnsi="Arial"/>
                <w:sz w:val="12"/>
                <w:szCs w:val="12"/>
                <w:color w:val="FFFFFF"/>
              </w:rPr>
              <w:t> </w:t>
            </w:r>
          </w:p>
        </w:tc>
      </w:tr>
      <w:tr>
        <w:trPr>
          <w:trHeight w:val="340"/>
        </w:trPr>
        <w:tc>
          <w:tcPr>
            <w:tcW w:w="120" w:type="dxa"/>
            <w:vAlign w:val="bottom"/>
            <w:shd w:val="clear" w:color="auto" w:fill="002B5F"/>
          </w:tcPr>
          <w:p>
            <w:pPr>
              <w:spacing w:after="0"/>
              <w:rPr>
                <w:sz w:val="24"/>
                <w:szCs w:val="24"/>
                <w:color w:val="auto"/>
              </w:rPr>
            </w:pPr>
          </w:p>
        </w:tc>
        <w:tc>
          <w:tcPr>
            <w:tcW w:w="160" w:type="dxa"/>
            <w:vAlign w:val="bottom"/>
            <w:shd w:val="clear" w:color="auto" w:fill="002B5F"/>
          </w:tcPr>
          <w:p>
            <w:pPr>
              <w:spacing w:after="0"/>
              <w:rPr>
                <w:sz w:val="24"/>
                <w:szCs w:val="24"/>
                <w:color w:val="auto"/>
              </w:rPr>
            </w:pPr>
          </w:p>
        </w:tc>
        <w:tc>
          <w:tcPr>
            <w:tcW w:w="160" w:type="dxa"/>
            <w:vAlign w:val="bottom"/>
            <w:shd w:val="clear" w:color="auto" w:fill="002B5F"/>
          </w:tcPr>
          <w:p>
            <w:pPr>
              <w:spacing w:after="0"/>
              <w:rPr>
                <w:sz w:val="24"/>
                <w:szCs w:val="24"/>
                <w:color w:val="auto"/>
              </w:rPr>
            </w:pPr>
          </w:p>
        </w:tc>
        <w:tc>
          <w:tcPr>
            <w:tcW w:w="220" w:type="dxa"/>
            <w:vAlign w:val="bottom"/>
            <w:shd w:val="clear" w:color="auto" w:fill="002B5F"/>
          </w:tcPr>
          <w:p>
            <w:pPr>
              <w:spacing w:after="0"/>
              <w:rPr>
                <w:sz w:val="24"/>
                <w:szCs w:val="24"/>
                <w:color w:val="auto"/>
              </w:rPr>
            </w:pPr>
          </w:p>
        </w:tc>
        <w:tc>
          <w:tcPr>
            <w:tcW w:w="1200" w:type="dxa"/>
            <w:vAlign w:val="bottom"/>
            <w:shd w:val="clear" w:color="auto" w:fill="002B5F"/>
          </w:tcPr>
          <w:p>
            <w:pPr>
              <w:ind w:left="80"/>
              <w:spacing w:after="0"/>
              <w:rPr>
                <w:sz w:val="20"/>
                <w:szCs w:val="20"/>
                <w:color w:val="auto"/>
              </w:rPr>
            </w:pPr>
            <w:r>
              <w:rPr>
                <w:rFonts w:ascii="Arial" w:cs="Arial" w:eastAsia="Arial" w:hAnsi="Arial"/>
                <w:sz w:val="12"/>
                <w:szCs w:val="12"/>
                <w:color w:val="FFFFFF"/>
              </w:rPr>
              <w:t> </w:t>
            </w:r>
          </w:p>
        </w:tc>
      </w:tr>
      <w:tr>
        <w:trPr>
          <w:trHeight w:val="158"/>
        </w:trPr>
        <w:tc>
          <w:tcPr>
            <w:tcW w:w="120" w:type="dxa"/>
            <w:vAlign w:val="bottom"/>
            <w:shd w:val="clear" w:color="auto" w:fill="002B5F"/>
          </w:tcPr>
          <w:p>
            <w:pPr>
              <w:spacing w:after="0"/>
              <w:rPr>
                <w:sz w:val="13"/>
                <w:szCs w:val="13"/>
                <w:color w:val="auto"/>
              </w:rPr>
            </w:pPr>
          </w:p>
        </w:tc>
        <w:tc>
          <w:tcPr>
            <w:tcW w:w="160" w:type="dxa"/>
            <w:vAlign w:val="bottom"/>
            <w:shd w:val="clear" w:color="auto" w:fill="002B5F"/>
          </w:tcPr>
          <w:p>
            <w:pPr>
              <w:spacing w:after="0"/>
              <w:rPr>
                <w:sz w:val="13"/>
                <w:szCs w:val="13"/>
                <w:color w:val="auto"/>
              </w:rPr>
            </w:pPr>
          </w:p>
        </w:tc>
        <w:tc>
          <w:tcPr>
            <w:tcW w:w="160" w:type="dxa"/>
            <w:vAlign w:val="bottom"/>
            <w:shd w:val="clear" w:color="auto" w:fill="002B5F"/>
          </w:tcPr>
          <w:p>
            <w:pPr>
              <w:spacing w:after="0"/>
              <w:rPr>
                <w:sz w:val="13"/>
                <w:szCs w:val="13"/>
                <w:color w:val="auto"/>
              </w:rPr>
            </w:pPr>
          </w:p>
        </w:tc>
        <w:tc>
          <w:tcPr>
            <w:tcW w:w="220" w:type="dxa"/>
            <w:vAlign w:val="bottom"/>
            <w:shd w:val="clear" w:color="auto" w:fill="002B5F"/>
          </w:tcPr>
          <w:p>
            <w:pPr>
              <w:spacing w:after="0"/>
              <w:rPr>
                <w:sz w:val="13"/>
                <w:szCs w:val="13"/>
                <w:color w:val="auto"/>
              </w:rPr>
            </w:pPr>
          </w:p>
        </w:tc>
        <w:tc>
          <w:tcPr>
            <w:tcW w:w="1200" w:type="dxa"/>
            <w:vAlign w:val="bottom"/>
            <w:shd w:val="clear" w:color="auto" w:fill="002B5F"/>
          </w:tcPr>
          <w:p>
            <w:pPr>
              <w:ind w:left="80"/>
              <w:spacing w:after="0"/>
              <w:rPr>
                <w:sz w:val="20"/>
                <w:szCs w:val="20"/>
                <w:color w:val="auto"/>
              </w:rPr>
            </w:pPr>
            <w:r>
              <w:rPr>
                <w:rFonts w:ascii="Arial" w:cs="Arial" w:eastAsia="Arial" w:hAnsi="Arial"/>
                <w:sz w:val="12"/>
                <w:szCs w:val="12"/>
                <w:color w:val="FFFFFF"/>
              </w:rPr>
              <w:t> </w:t>
            </w:r>
          </w:p>
        </w:tc>
      </w:tr>
      <w:tr>
        <w:trPr>
          <w:trHeight w:val="340"/>
        </w:trPr>
        <w:tc>
          <w:tcPr>
            <w:tcW w:w="120" w:type="dxa"/>
            <w:vAlign w:val="bottom"/>
            <w:shd w:val="clear" w:color="auto" w:fill="002B5F"/>
          </w:tcPr>
          <w:p>
            <w:pPr>
              <w:spacing w:after="0"/>
              <w:rPr>
                <w:sz w:val="24"/>
                <w:szCs w:val="24"/>
                <w:color w:val="auto"/>
              </w:rPr>
            </w:pPr>
          </w:p>
        </w:tc>
        <w:tc>
          <w:tcPr>
            <w:tcW w:w="160" w:type="dxa"/>
            <w:vAlign w:val="bottom"/>
            <w:shd w:val="clear" w:color="auto" w:fill="002B5F"/>
          </w:tcPr>
          <w:p>
            <w:pPr>
              <w:spacing w:after="0"/>
              <w:rPr>
                <w:sz w:val="24"/>
                <w:szCs w:val="24"/>
                <w:color w:val="auto"/>
              </w:rPr>
            </w:pPr>
          </w:p>
        </w:tc>
        <w:tc>
          <w:tcPr>
            <w:tcW w:w="160" w:type="dxa"/>
            <w:vAlign w:val="bottom"/>
            <w:shd w:val="clear" w:color="auto" w:fill="002B5F"/>
          </w:tcPr>
          <w:p>
            <w:pPr>
              <w:spacing w:after="0"/>
              <w:rPr>
                <w:sz w:val="24"/>
                <w:szCs w:val="24"/>
                <w:color w:val="auto"/>
              </w:rPr>
            </w:pPr>
          </w:p>
        </w:tc>
        <w:tc>
          <w:tcPr>
            <w:tcW w:w="220" w:type="dxa"/>
            <w:vAlign w:val="bottom"/>
            <w:shd w:val="clear" w:color="auto" w:fill="002B5F"/>
          </w:tcPr>
          <w:p>
            <w:pPr>
              <w:spacing w:after="0"/>
              <w:rPr>
                <w:sz w:val="24"/>
                <w:szCs w:val="24"/>
                <w:color w:val="auto"/>
              </w:rPr>
            </w:pPr>
          </w:p>
        </w:tc>
        <w:tc>
          <w:tcPr>
            <w:tcW w:w="1200" w:type="dxa"/>
            <w:vAlign w:val="bottom"/>
            <w:shd w:val="clear" w:color="auto" w:fill="002B5F"/>
          </w:tcPr>
          <w:p>
            <w:pPr>
              <w:ind w:left="80"/>
              <w:spacing w:after="0"/>
              <w:rPr>
                <w:sz w:val="20"/>
                <w:szCs w:val="20"/>
                <w:color w:val="auto"/>
              </w:rPr>
            </w:pPr>
            <w:r>
              <w:rPr>
                <w:rFonts w:ascii="Arial" w:cs="Arial" w:eastAsia="Arial" w:hAnsi="Arial"/>
                <w:sz w:val="12"/>
                <w:szCs w:val="12"/>
                <w:color w:val="FFFFFF"/>
              </w:rPr>
              <w:t> </w:t>
            </w:r>
          </w:p>
        </w:tc>
      </w:tr>
      <w:tr>
        <w:trPr>
          <w:trHeight w:val="128"/>
        </w:trPr>
        <w:tc>
          <w:tcPr>
            <w:tcW w:w="120" w:type="dxa"/>
            <w:vAlign w:val="bottom"/>
            <w:shd w:val="clear" w:color="auto" w:fill="002B5F"/>
          </w:tcPr>
          <w:p>
            <w:pPr>
              <w:spacing w:after="0"/>
              <w:rPr>
                <w:sz w:val="11"/>
                <w:szCs w:val="11"/>
                <w:color w:val="auto"/>
              </w:rPr>
            </w:pPr>
          </w:p>
        </w:tc>
        <w:tc>
          <w:tcPr>
            <w:tcW w:w="160" w:type="dxa"/>
            <w:vAlign w:val="bottom"/>
            <w:shd w:val="clear" w:color="auto" w:fill="002B5F"/>
          </w:tcPr>
          <w:p>
            <w:pPr>
              <w:spacing w:after="0"/>
              <w:rPr>
                <w:sz w:val="11"/>
                <w:szCs w:val="11"/>
                <w:color w:val="auto"/>
              </w:rPr>
            </w:pPr>
          </w:p>
        </w:tc>
        <w:tc>
          <w:tcPr>
            <w:tcW w:w="160" w:type="dxa"/>
            <w:vAlign w:val="bottom"/>
            <w:shd w:val="clear" w:color="auto" w:fill="002B5F"/>
          </w:tcPr>
          <w:p>
            <w:pPr>
              <w:spacing w:after="0"/>
              <w:rPr>
                <w:sz w:val="11"/>
                <w:szCs w:val="11"/>
                <w:color w:val="auto"/>
              </w:rPr>
            </w:pPr>
          </w:p>
        </w:tc>
        <w:tc>
          <w:tcPr>
            <w:tcW w:w="220" w:type="dxa"/>
            <w:vAlign w:val="bottom"/>
            <w:shd w:val="clear" w:color="auto" w:fill="002B5F"/>
          </w:tcPr>
          <w:p>
            <w:pPr>
              <w:spacing w:after="0"/>
              <w:rPr>
                <w:sz w:val="11"/>
                <w:szCs w:val="11"/>
                <w:color w:val="auto"/>
              </w:rPr>
            </w:pPr>
          </w:p>
        </w:tc>
        <w:tc>
          <w:tcPr>
            <w:tcW w:w="1200" w:type="dxa"/>
            <w:vAlign w:val="bottom"/>
            <w:shd w:val="clear" w:color="auto" w:fill="002B5F"/>
          </w:tcPr>
          <w:p>
            <w:pPr>
              <w:ind w:left="80"/>
              <w:spacing w:after="0" w:line="128" w:lineRule="exact"/>
              <w:rPr>
                <w:sz w:val="20"/>
                <w:szCs w:val="20"/>
                <w:color w:val="auto"/>
              </w:rPr>
            </w:pPr>
            <w:r>
              <w:rPr>
                <w:rFonts w:ascii="Arial" w:cs="Arial" w:eastAsia="Arial" w:hAnsi="Arial"/>
                <w:sz w:val="12"/>
                <w:szCs w:val="12"/>
                <w:color w:val="FFFFFF"/>
              </w:rPr>
              <w:t> </w:t>
            </w:r>
          </w:p>
        </w:tc>
      </w:tr>
      <w:tr>
        <w:trPr>
          <w:trHeight w:val="158"/>
        </w:trPr>
        <w:tc>
          <w:tcPr>
            <w:tcW w:w="120" w:type="dxa"/>
            <w:vAlign w:val="bottom"/>
            <w:shd w:val="clear" w:color="auto" w:fill="002B5F"/>
          </w:tcPr>
          <w:p>
            <w:pPr>
              <w:spacing w:after="0"/>
              <w:rPr>
                <w:sz w:val="13"/>
                <w:szCs w:val="13"/>
                <w:color w:val="auto"/>
              </w:rPr>
            </w:pPr>
          </w:p>
        </w:tc>
        <w:tc>
          <w:tcPr>
            <w:tcW w:w="160" w:type="dxa"/>
            <w:vAlign w:val="bottom"/>
            <w:shd w:val="clear" w:color="auto" w:fill="002B5F"/>
          </w:tcPr>
          <w:p>
            <w:pPr>
              <w:spacing w:after="0"/>
              <w:rPr>
                <w:sz w:val="13"/>
                <w:szCs w:val="13"/>
                <w:color w:val="auto"/>
              </w:rPr>
            </w:pPr>
          </w:p>
        </w:tc>
        <w:tc>
          <w:tcPr>
            <w:tcW w:w="160" w:type="dxa"/>
            <w:vAlign w:val="bottom"/>
            <w:shd w:val="clear" w:color="auto" w:fill="002B5F"/>
          </w:tcPr>
          <w:p>
            <w:pPr>
              <w:spacing w:after="0"/>
              <w:rPr>
                <w:sz w:val="13"/>
                <w:szCs w:val="13"/>
                <w:color w:val="auto"/>
              </w:rPr>
            </w:pPr>
          </w:p>
        </w:tc>
        <w:tc>
          <w:tcPr>
            <w:tcW w:w="220" w:type="dxa"/>
            <w:vAlign w:val="bottom"/>
            <w:shd w:val="clear" w:color="auto" w:fill="002B5F"/>
          </w:tcPr>
          <w:p>
            <w:pPr>
              <w:spacing w:after="0"/>
              <w:rPr>
                <w:sz w:val="13"/>
                <w:szCs w:val="13"/>
                <w:color w:val="auto"/>
              </w:rPr>
            </w:pPr>
          </w:p>
        </w:tc>
        <w:tc>
          <w:tcPr>
            <w:tcW w:w="1200" w:type="dxa"/>
            <w:vAlign w:val="bottom"/>
            <w:shd w:val="clear" w:color="auto" w:fill="002B5F"/>
          </w:tcPr>
          <w:p>
            <w:pPr>
              <w:ind w:left="80"/>
              <w:spacing w:after="0"/>
              <w:rPr>
                <w:sz w:val="20"/>
                <w:szCs w:val="20"/>
                <w:color w:val="auto"/>
              </w:rPr>
            </w:pPr>
            <w:r>
              <w:rPr>
                <w:rFonts w:ascii="Arial" w:cs="Arial" w:eastAsia="Arial" w:hAnsi="Arial"/>
                <w:sz w:val="12"/>
                <w:szCs w:val="12"/>
                <w:color w:val="FFFFFF"/>
              </w:rPr>
              <w:t> </w:t>
            </w:r>
          </w:p>
        </w:tc>
      </w:tr>
      <w:tr>
        <w:trPr>
          <w:trHeight w:val="340"/>
        </w:trPr>
        <w:tc>
          <w:tcPr>
            <w:tcW w:w="120" w:type="dxa"/>
            <w:vAlign w:val="bottom"/>
            <w:shd w:val="clear" w:color="auto" w:fill="002B5F"/>
          </w:tcPr>
          <w:p>
            <w:pPr>
              <w:spacing w:after="0"/>
              <w:rPr>
                <w:sz w:val="24"/>
                <w:szCs w:val="24"/>
                <w:color w:val="auto"/>
              </w:rPr>
            </w:pPr>
          </w:p>
        </w:tc>
        <w:tc>
          <w:tcPr>
            <w:tcW w:w="160" w:type="dxa"/>
            <w:vAlign w:val="bottom"/>
            <w:shd w:val="clear" w:color="auto" w:fill="002B5F"/>
          </w:tcPr>
          <w:p>
            <w:pPr>
              <w:spacing w:after="0"/>
              <w:rPr>
                <w:sz w:val="24"/>
                <w:szCs w:val="24"/>
                <w:color w:val="auto"/>
              </w:rPr>
            </w:pPr>
          </w:p>
        </w:tc>
        <w:tc>
          <w:tcPr>
            <w:tcW w:w="160" w:type="dxa"/>
            <w:vAlign w:val="bottom"/>
            <w:shd w:val="clear" w:color="auto" w:fill="002B5F"/>
          </w:tcPr>
          <w:p>
            <w:pPr>
              <w:spacing w:after="0"/>
              <w:rPr>
                <w:sz w:val="24"/>
                <w:szCs w:val="24"/>
                <w:color w:val="auto"/>
              </w:rPr>
            </w:pPr>
          </w:p>
        </w:tc>
        <w:tc>
          <w:tcPr>
            <w:tcW w:w="220" w:type="dxa"/>
            <w:vAlign w:val="bottom"/>
            <w:shd w:val="clear" w:color="auto" w:fill="002B5F"/>
          </w:tcPr>
          <w:p>
            <w:pPr>
              <w:spacing w:after="0"/>
              <w:rPr>
                <w:sz w:val="24"/>
                <w:szCs w:val="24"/>
                <w:color w:val="auto"/>
              </w:rPr>
            </w:pPr>
          </w:p>
        </w:tc>
        <w:tc>
          <w:tcPr>
            <w:tcW w:w="1200" w:type="dxa"/>
            <w:vAlign w:val="bottom"/>
            <w:shd w:val="clear" w:color="auto" w:fill="002B5F"/>
          </w:tcPr>
          <w:p>
            <w:pPr>
              <w:ind w:left="80"/>
              <w:spacing w:after="0"/>
              <w:rPr>
                <w:sz w:val="20"/>
                <w:szCs w:val="20"/>
                <w:color w:val="auto"/>
              </w:rPr>
            </w:pPr>
            <w:r>
              <w:rPr>
                <w:rFonts w:ascii="Arial" w:cs="Arial" w:eastAsia="Arial" w:hAnsi="Arial"/>
                <w:sz w:val="12"/>
                <w:szCs w:val="12"/>
                <w:color w:val="FFFFFF"/>
              </w:rPr>
              <w:t> </w:t>
            </w:r>
          </w:p>
        </w:tc>
      </w:tr>
      <w:tr>
        <w:trPr>
          <w:trHeight w:val="128"/>
        </w:trPr>
        <w:tc>
          <w:tcPr>
            <w:tcW w:w="120" w:type="dxa"/>
            <w:vAlign w:val="bottom"/>
            <w:shd w:val="clear" w:color="auto" w:fill="002B5F"/>
          </w:tcPr>
          <w:p>
            <w:pPr>
              <w:spacing w:after="0"/>
              <w:rPr>
                <w:sz w:val="11"/>
                <w:szCs w:val="11"/>
                <w:color w:val="auto"/>
              </w:rPr>
            </w:pPr>
          </w:p>
        </w:tc>
        <w:tc>
          <w:tcPr>
            <w:tcW w:w="160" w:type="dxa"/>
            <w:vAlign w:val="bottom"/>
            <w:shd w:val="clear" w:color="auto" w:fill="002B5F"/>
          </w:tcPr>
          <w:p>
            <w:pPr>
              <w:spacing w:after="0"/>
              <w:rPr>
                <w:sz w:val="11"/>
                <w:szCs w:val="11"/>
                <w:color w:val="auto"/>
              </w:rPr>
            </w:pPr>
          </w:p>
        </w:tc>
        <w:tc>
          <w:tcPr>
            <w:tcW w:w="160" w:type="dxa"/>
            <w:vAlign w:val="bottom"/>
            <w:shd w:val="clear" w:color="auto" w:fill="002B5F"/>
          </w:tcPr>
          <w:p>
            <w:pPr>
              <w:spacing w:after="0"/>
              <w:rPr>
                <w:sz w:val="11"/>
                <w:szCs w:val="11"/>
                <w:color w:val="auto"/>
              </w:rPr>
            </w:pPr>
          </w:p>
        </w:tc>
        <w:tc>
          <w:tcPr>
            <w:tcW w:w="220" w:type="dxa"/>
            <w:vAlign w:val="bottom"/>
            <w:shd w:val="clear" w:color="auto" w:fill="002B5F"/>
          </w:tcPr>
          <w:p>
            <w:pPr>
              <w:spacing w:after="0"/>
              <w:rPr>
                <w:sz w:val="11"/>
                <w:szCs w:val="11"/>
                <w:color w:val="auto"/>
              </w:rPr>
            </w:pPr>
          </w:p>
        </w:tc>
        <w:tc>
          <w:tcPr>
            <w:tcW w:w="1200" w:type="dxa"/>
            <w:vAlign w:val="bottom"/>
            <w:shd w:val="clear" w:color="auto" w:fill="002B5F"/>
          </w:tcPr>
          <w:p>
            <w:pPr>
              <w:ind w:left="80"/>
              <w:spacing w:after="0" w:line="128" w:lineRule="exact"/>
              <w:rPr>
                <w:sz w:val="20"/>
                <w:szCs w:val="20"/>
                <w:color w:val="auto"/>
              </w:rPr>
            </w:pPr>
            <w:r>
              <w:rPr>
                <w:rFonts w:ascii="Arial" w:cs="Arial" w:eastAsia="Arial" w:hAnsi="Arial"/>
                <w:sz w:val="12"/>
                <w:szCs w:val="12"/>
                <w:color w:val="FFFFFF"/>
              </w:rPr>
              <w:t> </w:t>
            </w:r>
          </w:p>
        </w:tc>
      </w:tr>
      <w:tr>
        <w:trPr>
          <w:trHeight w:val="128"/>
        </w:trPr>
        <w:tc>
          <w:tcPr>
            <w:tcW w:w="120" w:type="dxa"/>
            <w:vAlign w:val="bottom"/>
            <w:shd w:val="clear" w:color="auto" w:fill="002B5F"/>
          </w:tcPr>
          <w:p>
            <w:pPr>
              <w:spacing w:after="0"/>
              <w:rPr>
                <w:sz w:val="11"/>
                <w:szCs w:val="11"/>
                <w:color w:val="auto"/>
              </w:rPr>
            </w:pPr>
          </w:p>
        </w:tc>
        <w:tc>
          <w:tcPr>
            <w:tcW w:w="160" w:type="dxa"/>
            <w:vAlign w:val="bottom"/>
            <w:shd w:val="clear" w:color="auto" w:fill="002B5F"/>
          </w:tcPr>
          <w:p>
            <w:pPr>
              <w:spacing w:after="0"/>
              <w:rPr>
                <w:sz w:val="11"/>
                <w:szCs w:val="11"/>
                <w:color w:val="auto"/>
              </w:rPr>
            </w:pPr>
          </w:p>
        </w:tc>
        <w:tc>
          <w:tcPr>
            <w:tcW w:w="160" w:type="dxa"/>
            <w:vAlign w:val="bottom"/>
            <w:shd w:val="clear" w:color="auto" w:fill="002B5F"/>
          </w:tcPr>
          <w:p>
            <w:pPr>
              <w:spacing w:after="0"/>
              <w:rPr>
                <w:sz w:val="11"/>
                <w:szCs w:val="11"/>
                <w:color w:val="auto"/>
              </w:rPr>
            </w:pPr>
          </w:p>
        </w:tc>
        <w:tc>
          <w:tcPr>
            <w:tcW w:w="220" w:type="dxa"/>
            <w:vAlign w:val="bottom"/>
            <w:shd w:val="clear" w:color="auto" w:fill="002B5F"/>
          </w:tcPr>
          <w:p>
            <w:pPr>
              <w:spacing w:after="0"/>
              <w:rPr>
                <w:sz w:val="11"/>
                <w:szCs w:val="11"/>
                <w:color w:val="auto"/>
              </w:rPr>
            </w:pPr>
          </w:p>
        </w:tc>
        <w:tc>
          <w:tcPr>
            <w:tcW w:w="1200" w:type="dxa"/>
            <w:vAlign w:val="bottom"/>
            <w:shd w:val="clear" w:color="auto" w:fill="002B5F"/>
          </w:tcPr>
          <w:p>
            <w:pPr>
              <w:ind w:left="80"/>
              <w:spacing w:after="0" w:line="128" w:lineRule="exact"/>
              <w:rPr>
                <w:sz w:val="20"/>
                <w:szCs w:val="20"/>
                <w:color w:val="auto"/>
              </w:rPr>
            </w:pPr>
            <w:r>
              <w:rPr>
                <w:rFonts w:ascii="Arial" w:cs="Arial" w:eastAsia="Arial" w:hAnsi="Arial"/>
                <w:sz w:val="12"/>
                <w:szCs w:val="12"/>
                <w:color w:val="FFFFFF"/>
              </w:rPr>
              <w:t> </w:t>
            </w:r>
          </w:p>
        </w:tc>
      </w:tr>
      <w:tr>
        <w:trPr>
          <w:trHeight w:val="128"/>
        </w:trPr>
        <w:tc>
          <w:tcPr>
            <w:tcW w:w="120" w:type="dxa"/>
            <w:vAlign w:val="bottom"/>
            <w:shd w:val="clear" w:color="auto" w:fill="002B5F"/>
          </w:tcPr>
          <w:p>
            <w:pPr>
              <w:spacing w:after="0"/>
              <w:rPr>
                <w:sz w:val="11"/>
                <w:szCs w:val="11"/>
                <w:color w:val="auto"/>
              </w:rPr>
            </w:pPr>
          </w:p>
        </w:tc>
        <w:tc>
          <w:tcPr>
            <w:tcW w:w="160" w:type="dxa"/>
            <w:vAlign w:val="bottom"/>
            <w:shd w:val="clear" w:color="auto" w:fill="002B5F"/>
          </w:tcPr>
          <w:p>
            <w:pPr>
              <w:spacing w:after="0"/>
              <w:rPr>
                <w:sz w:val="11"/>
                <w:szCs w:val="11"/>
                <w:color w:val="auto"/>
              </w:rPr>
            </w:pPr>
          </w:p>
        </w:tc>
        <w:tc>
          <w:tcPr>
            <w:tcW w:w="160" w:type="dxa"/>
            <w:vAlign w:val="bottom"/>
            <w:shd w:val="clear" w:color="auto" w:fill="002B5F"/>
          </w:tcPr>
          <w:p>
            <w:pPr>
              <w:spacing w:after="0"/>
              <w:rPr>
                <w:sz w:val="11"/>
                <w:szCs w:val="11"/>
                <w:color w:val="auto"/>
              </w:rPr>
            </w:pPr>
          </w:p>
        </w:tc>
        <w:tc>
          <w:tcPr>
            <w:tcW w:w="220" w:type="dxa"/>
            <w:vAlign w:val="bottom"/>
            <w:shd w:val="clear" w:color="auto" w:fill="002B5F"/>
          </w:tcPr>
          <w:p>
            <w:pPr>
              <w:spacing w:after="0"/>
              <w:rPr>
                <w:sz w:val="11"/>
                <w:szCs w:val="11"/>
                <w:color w:val="auto"/>
              </w:rPr>
            </w:pPr>
          </w:p>
        </w:tc>
        <w:tc>
          <w:tcPr>
            <w:tcW w:w="1200" w:type="dxa"/>
            <w:vAlign w:val="bottom"/>
            <w:shd w:val="clear" w:color="auto" w:fill="002B5F"/>
          </w:tcPr>
          <w:p>
            <w:pPr>
              <w:ind w:left="80"/>
              <w:spacing w:after="0" w:line="128" w:lineRule="exact"/>
              <w:rPr>
                <w:sz w:val="20"/>
                <w:szCs w:val="20"/>
                <w:color w:val="auto"/>
              </w:rPr>
            </w:pPr>
            <w:r>
              <w:rPr>
                <w:rFonts w:ascii="Arial" w:cs="Arial" w:eastAsia="Arial" w:hAnsi="Arial"/>
                <w:sz w:val="12"/>
                <w:szCs w:val="12"/>
                <w:color w:val="FFFFFF"/>
              </w:rPr>
              <w:t> </w:t>
            </w:r>
          </w:p>
        </w:tc>
      </w:tr>
      <w:tr>
        <w:trPr>
          <w:trHeight w:val="128"/>
        </w:trPr>
        <w:tc>
          <w:tcPr>
            <w:tcW w:w="120" w:type="dxa"/>
            <w:vAlign w:val="bottom"/>
            <w:shd w:val="clear" w:color="auto" w:fill="002B5F"/>
          </w:tcPr>
          <w:p>
            <w:pPr>
              <w:spacing w:after="0"/>
              <w:rPr>
                <w:sz w:val="11"/>
                <w:szCs w:val="11"/>
                <w:color w:val="auto"/>
              </w:rPr>
            </w:pPr>
          </w:p>
        </w:tc>
        <w:tc>
          <w:tcPr>
            <w:tcW w:w="160" w:type="dxa"/>
            <w:vAlign w:val="bottom"/>
            <w:shd w:val="clear" w:color="auto" w:fill="002B5F"/>
          </w:tcPr>
          <w:p>
            <w:pPr>
              <w:spacing w:after="0"/>
              <w:rPr>
                <w:sz w:val="11"/>
                <w:szCs w:val="11"/>
                <w:color w:val="auto"/>
              </w:rPr>
            </w:pPr>
          </w:p>
        </w:tc>
        <w:tc>
          <w:tcPr>
            <w:tcW w:w="160" w:type="dxa"/>
            <w:vAlign w:val="bottom"/>
            <w:shd w:val="clear" w:color="auto" w:fill="002B5F"/>
          </w:tcPr>
          <w:p>
            <w:pPr>
              <w:spacing w:after="0"/>
              <w:rPr>
                <w:sz w:val="11"/>
                <w:szCs w:val="11"/>
                <w:color w:val="auto"/>
              </w:rPr>
            </w:pPr>
          </w:p>
        </w:tc>
        <w:tc>
          <w:tcPr>
            <w:tcW w:w="220" w:type="dxa"/>
            <w:vAlign w:val="bottom"/>
            <w:shd w:val="clear" w:color="auto" w:fill="002B5F"/>
          </w:tcPr>
          <w:p>
            <w:pPr>
              <w:spacing w:after="0"/>
              <w:rPr>
                <w:sz w:val="11"/>
                <w:szCs w:val="11"/>
                <w:color w:val="auto"/>
              </w:rPr>
            </w:pPr>
          </w:p>
        </w:tc>
        <w:tc>
          <w:tcPr>
            <w:tcW w:w="1200" w:type="dxa"/>
            <w:vAlign w:val="bottom"/>
            <w:shd w:val="clear" w:color="auto" w:fill="002B5F"/>
          </w:tcPr>
          <w:p>
            <w:pPr>
              <w:ind w:left="80"/>
              <w:spacing w:after="0" w:line="128" w:lineRule="exact"/>
              <w:rPr>
                <w:sz w:val="20"/>
                <w:szCs w:val="20"/>
                <w:color w:val="auto"/>
              </w:rPr>
            </w:pPr>
            <w:r>
              <w:rPr>
                <w:rFonts w:ascii="Arial" w:cs="Arial" w:eastAsia="Arial" w:hAnsi="Arial"/>
                <w:sz w:val="12"/>
                <w:szCs w:val="12"/>
                <w:color w:val="FFFFFF"/>
              </w:rPr>
              <w:t> </w:t>
            </w:r>
          </w:p>
        </w:tc>
      </w:tr>
      <w:tr>
        <w:trPr>
          <w:trHeight w:val="158"/>
        </w:trPr>
        <w:tc>
          <w:tcPr>
            <w:tcW w:w="120" w:type="dxa"/>
            <w:vAlign w:val="bottom"/>
            <w:shd w:val="clear" w:color="auto" w:fill="002B5F"/>
          </w:tcPr>
          <w:p>
            <w:pPr>
              <w:spacing w:after="0"/>
              <w:rPr>
                <w:sz w:val="13"/>
                <w:szCs w:val="13"/>
                <w:color w:val="auto"/>
              </w:rPr>
            </w:pPr>
          </w:p>
        </w:tc>
        <w:tc>
          <w:tcPr>
            <w:tcW w:w="160" w:type="dxa"/>
            <w:vAlign w:val="bottom"/>
            <w:shd w:val="clear" w:color="auto" w:fill="002B5F"/>
          </w:tcPr>
          <w:p>
            <w:pPr>
              <w:spacing w:after="0"/>
              <w:rPr>
                <w:sz w:val="13"/>
                <w:szCs w:val="13"/>
                <w:color w:val="auto"/>
              </w:rPr>
            </w:pPr>
          </w:p>
        </w:tc>
        <w:tc>
          <w:tcPr>
            <w:tcW w:w="160" w:type="dxa"/>
            <w:vAlign w:val="bottom"/>
            <w:shd w:val="clear" w:color="auto" w:fill="002B5F"/>
          </w:tcPr>
          <w:p>
            <w:pPr>
              <w:spacing w:after="0"/>
              <w:rPr>
                <w:sz w:val="13"/>
                <w:szCs w:val="13"/>
                <w:color w:val="auto"/>
              </w:rPr>
            </w:pPr>
          </w:p>
        </w:tc>
        <w:tc>
          <w:tcPr>
            <w:tcW w:w="220" w:type="dxa"/>
            <w:vAlign w:val="bottom"/>
            <w:shd w:val="clear" w:color="auto" w:fill="002B5F"/>
          </w:tcPr>
          <w:p>
            <w:pPr>
              <w:spacing w:after="0"/>
              <w:rPr>
                <w:sz w:val="13"/>
                <w:szCs w:val="13"/>
                <w:color w:val="auto"/>
              </w:rPr>
            </w:pPr>
          </w:p>
        </w:tc>
        <w:tc>
          <w:tcPr>
            <w:tcW w:w="1200" w:type="dxa"/>
            <w:vAlign w:val="bottom"/>
            <w:shd w:val="clear" w:color="auto" w:fill="002B5F"/>
          </w:tcPr>
          <w:p>
            <w:pPr>
              <w:ind w:left="80"/>
              <w:spacing w:after="0"/>
              <w:rPr>
                <w:sz w:val="20"/>
                <w:szCs w:val="20"/>
                <w:color w:val="auto"/>
              </w:rPr>
            </w:pPr>
            <w:r>
              <w:rPr>
                <w:rFonts w:ascii="Arial" w:cs="Arial" w:eastAsia="Arial" w:hAnsi="Arial"/>
                <w:sz w:val="12"/>
                <w:szCs w:val="12"/>
                <w:color w:val="FFFFFF"/>
              </w:rPr>
              <w:t> </w:t>
            </w:r>
          </w:p>
        </w:tc>
      </w:tr>
      <w:tr>
        <w:trPr>
          <w:trHeight w:val="340"/>
        </w:trPr>
        <w:tc>
          <w:tcPr>
            <w:tcW w:w="120" w:type="dxa"/>
            <w:vAlign w:val="bottom"/>
            <w:shd w:val="clear" w:color="auto" w:fill="002B5F"/>
          </w:tcPr>
          <w:p>
            <w:pPr>
              <w:spacing w:after="0"/>
              <w:rPr>
                <w:sz w:val="24"/>
                <w:szCs w:val="24"/>
                <w:color w:val="auto"/>
              </w:rPr>
            </w:pPr>
          </w:p>
        </w:tc>
        <w:tc>
          <w:tcPr>
            <w:tcW w:w="160" w:type="dxa"/>
            <w:vAlign w:val="bottom"/>
            <w:shd w:val="clear" w:color="auto" w:fill="002B5F"/>
          </w:tcPr>
          <w:p>
            <w:pPr>
              <w:spacing w:after="0"/>
              <w:rPr>
                <w:sz w:val="24"/>
                <w:szCs w:val="24"/>
                <w:color w:val="auto"/>
              </w:rPr>
            </w:pPr>
          </w:p>
        </w:tc>
        <w:tc>
          <w:tcPr>
            <w:tcW w:w="160" w:type="dxa"/>
            <w:vAlign w:val="bottom"/>
            <w:shd w:val="clear" w:color="auto" w:fill="002B5F"/>
          </w:tcPr>
          <w:p>
            <w:pPr>
              <w:spacing w:after="0"/>
              <w:rPr>
                <w:sz w:val="24"/>
                <w:szCs w:val="24"/>
                <w:color w:val="auto"/>
              </w:rPr>
            </w:pPr>
          </w:p>
        </w:tc>
        <w:tc>
          <w:tcPr>
            <w:tcW w:w="220" w:type="dxa"/>
            <w:vAlign w:val="bottom"/>
            <w:shd w:val="clear" w:color="auto" w:fill="002B5F"/>
          </w:tcPr>
          <w:p>
            <w:pPr>
              <w:spacing w:after="0"/>
              <w:rPr>
                <w:sz w:val="24"/>
                <w:szCs w:val="24"/>
                <w:color w:val="auto"/>
              </w:rPr>
            </w:pPr>
          </w:p>
        </w:tc>
        <w:tc>
          <w:tcPr>
            <w:tcW w:w="1200" w:type="dxa"/>
            <w:vAlign w:val="bottom"/>
            <w:shd w:val="clear" w:color="auto" w:fill="002B5F"/>
          </w:tcPr>
          <w:p>
            <w:pPr>
              <w:ind w:left="80"/>
              <w:spacing w:after="0"/>
              <w:rPr>
                <w:sz w:val="20"/>
                <w:szCs w:val="20"/>
                <w:color w:val="auto"/>
              </w:rPr>
            </w:pPr>
            <w:r>
              <w:rPr>
                <w:rFonts w:ascii="Arial" w:cs="Arial" w:eastAsia="Arial" w:hAnsi="Arial"/>
                <w:sz w:val="12"/>
                <w:szCs w:val="12"/>
                <w:color w:val="FFFFFF"/>
              </w:rPr>
              <w:t> </w:t>
            </w:r>
          </w:p>
        </w:tc>
      </w:tr>
      <w:tr>
        <w:trPr>
          <w:trHeight w:val="128"/>
        </w:trPr>
        <w:tc>
          <w:tcPr>
            <w:tcW w:w="120" w:type="dxa"/>
            <w:vAlign w:val="bottom"/>
            <w:shd w:val="clear" w:color="auto" w:fill="002B5F"/>
          </w:tcPr>
          <w:p>
            <w:pPr>
              <w:spacing w:after="0"/>
              <w:rPr>
                <w:sz w:val="11"/>
                <w:szCs w:val="11"/>
                <w:color w:val="auto"/>
              </w:rPr>
            </w:pPr>
          </w:p>
        </w:tc>
        <w:tc>
          <w:tcPr>
            <w:tcW w:w="160" w:type="dxa"/>
            <w:vAlign w:val="bottom"/>
            <w:shd w:val="clear" w:color="auto" w:fill="002B5F"/>
          </w:tcPr>
          <w:p>
            <w:pPr>
              <w:spacing w:after="0"/>
              <w:rPr>
                <w:sz w:val="11"/>
                <w:szCs w:val="11"/>
                <w:color w:val="auto"/>
              </w:rPr>
            </w:pPr>
          </w:p>
        </w:tc>
        <w:tc>
          <w:tcPr>
            <w:tcW w:w="160" w:type="dxa"/>
            <w:vAlign w:val="bottom"/>
            <w:shd w:val="clear" w:color="auto" w:fill="002B5F"/>
          </w:tcPr>
          <w:p>
            <w:pPr>
              <w:spacing w:after="0"/>
              <w:rPr>
                <w:sz w:val="11"/>
                <w:szCs w:val="11"/>
                <w:color w:val="auto"/>
              </w:rPr>
            </w:pPr>
          </w:p>
        </w:tc>
        <w:tc>
          <w:tcPr>
            <w:tcW w:w="220" w:type="dxa"/>
            <w:vAlign w:val="bottom"/>
            <w:shd w:val="clear" w:color="auto" w:fill="002B5F"/>
          </w:tcPr>
          <w:p>
            <w:pPr>
              <w:spacing w:after="0"/>
              <w:rPr>
                <w:sz w:val="11"/>
                <w:szCs w:val="11"/>
                <w:color w:val="auto"/>
              </w:rPr>
            </w:pPr>
          </w:p>
        </w:tc>
        <w:tc>
          <w:tcPr>
            <w:tcW w:w="1200" w:type="dxa"/>
            <w:vAlign w:val="bottom"/>
            <w:shd w:val="clear" w:color="auto" w:fill="002B5F"/>
          </w:tcPr>
          <w:p>
            <w:pPr>
              <w:ind w:left="80"/>
              <w:spacing w:after="0" w:line="128" w:lineRule="exact"/>
              <w:rPr>
                <w:sz w:val="20"/>
                <w:szCs w:val="20"/>
                <w:color w:val="auto"/>
              </w:rPr>
            </w:pPr>
            <w:r>
              <w:rPr>
                <w:rFonts w:ascii="Arial" w:cs="Arial" w:eastAsia="Arial" w:hAnsi="Arial"/>
                <w:sz w:val="12"/>
                <w:szCs w:val="12"/>
                <w:color w:val="FFFFFF"/>
              </w:rPr>
              <w:t> </w:t>
            </w:r>
          </w:p>
        </w:tc>
      </w:tr>
      <w:tr>
        <w:trPr>
          <w:trHeight w:val="158"/>
        </w:trPr>
        <w:tc>
          <w:tcPr>
            <w:tcW w:w="120" w:type="dxa"/>
            <w:vAlign w:val="bottom"/>
            <w:shd w:val="clear" w:color="auto" w:fill="002B5F"/>
          </w:tcPr>
          <w:p>
            <w:pPr>
              <w:spacing w:after="0"/>
              <w:rPr>
                <w:sz w:val="13"/>
                <w:szCs w:val="13"/>
                <w:color w:val="auto"/>
              </w:rPr>
            </w:pPr>
          </w:p>
        </w:tc>
        <w:tc>
          <w:tcPr>
            <w:tcW w:w="160" w:type="dxa"/>
            <w:vAlign w:val="bottom"/>
            <w:shd w:val="clear" w:color="auto" w:fill="002B5F"/>
          </w:tcPr>
          <w:p>
            <w:pPr>
              <w:spacing w:after="0"/>
              <w:rPr>
                <w:sz w:val="13"/>
                <w:szCs w:val="13"/>
                <w:color w:val="auto"/>
              </w:rPr>
            </w:pPr>
          </w:p>
        </w:tc>
        <w:tc>
          <w:tcPr>
            <w:tcW w:w="160" w:type="dxa"/>
            <w:vAlign w:val="bottom"/>
            <w:shd w:val="clear" w:color="auto" w:fill="002B5F"/>
          </w:tcPr>
          <w:p>
            <w:pPr>
              <w:spacing w:after="0"/>
              <w:rPr>
                <w:sz w:val="13"/>
                <w:szCs w:val="13"/>
                <w:color w:val="auto"/>
              </w:rPr>
            </w:pPr>
          </w:p>
        </w:tc>
        <w:tc>
          <w:tcPr>
            <w:tcW w:w="220" w:type="dxa"/>
            <w:vAlign w:val="bottom"/>
            <w:shd w:val="clear" w:color="auto" w:fill="002B5F"/>
          </w:tcPr>
          <w:p>
            <w:pPr>
              <w:spacing w:after="0"/>
              <w:rPr>
                <w:sz w:val="13"/>
                <w:szCs w:val="13"/>
                <w:color w:val="auto"/>
              </w:rPr>
            </w:pPr>
          </w:p>
        </w:tc>
        <w:tc>
          <w:tcPr>
            <w:tcW w:w="1200" w:type="dxa"/>
            <w:vAlign w:val="bottom"/>
            <w:shd w:val="clear" w:color="auto" w:fill="002B5F"/>
          </w:tcPr>
          <w:p>
            <w:pPr>
              <w:ind w:left="80"/>
              <w:spacing w:after="0"/>
              <w:rPr>
                <w:sz w:val="20"/>
                <w:szCs w:val="20"/>
                <w:color w:val="auto"/>
              </w:rPr>
            </w:pPr>
            <w:r>
              <w:rPr>
                <w:rFonts w:ascii="Arial" w:cs="Arial" w:eastAsia="Arial" w:hAnsi="Arial"/>
                <w:sz w:val="12"/>
                <w:szCs w:val="12"/>
                <w:color w:val="FFFFFF"/>
              </w:rPr>
              <w:t> </w:t>
            </w:r>
          </w:p>
        </w:tc>
      </w:tr>
      <w:tr>
        <w:trPr>
          <w:trHeight w:val="340"/>
        </w:trPr>
        <w:tc>
          <w:tcPr>
            <w:tcW w:w="120" w:type="dxa"/>
            <w:vAlign w:val="bottom"/>
            <w:shd w:val="clear" w:color="auto" w:fill="002B5F"/>
          </w:tcPr>
          <w:p>
            <w:pPr>
              <w:spacing w:after="0"/>
              <w:rPr>
                <w:sz w:val="24"/>
                <w:szCs w:val="24"/>
                <w:color w:val="auto"/>
              </w:rPr>
            </w:pPr>
          </w:p>
        </w:tc>
        <w:tc>
          <w:tcPr>
            <w:tcW w:w="160" w:type="dxa"/>
            <w:vAlign w:val="bottom"/>
            <w:shd w:val="clear" w:color="auto" w:fill="002B5F"/>
          </w:tcPr>
          <w:p>
            <w:pPr>
              <w:spacing w:after="0"/>
              <w:rPr>
                <w:sz w:val="24"/>
                <w:szCs w:val="24"/>
                <w:color w:val="auto"/>
              </w:rPr>
            </w:pPr>
          </w:p>
        </w:tc>
        <w:tc>
          <w:tcPr>
            <w:tcW w:w="160" w:type="dxa"/>
            <w:vAlign w:val="bottom"/>
            <w:shd w:val="clear" w:color="auto" w:fill="002B5F"/>
          </w:tcPr>
          <w:p>
            <w:pPr>
              <w:spacing w:after="0"/>
              <w:rPr>
                <w:sz w:val="24"/>
                <w:szCs w:val="24"/>
                <w:color w:val="auto"/>
              </w:rPr>
            </w:pPr>
          </w:p>
        </w:tc>
        <w:tc>
          <w:tcPr>
            <w:tcW w:w="220" w:type="dxa"/>
            <w:vAlign w:val="bottom"/>
            <w:shd w:val="clear" w:color="auto" w:fill="002B5F"/>
          </w:tcPr>
          <w:p>
            <w:pPr>
              <w:spacing w:after="0"/>
              <w:rPr>
                <w:sz w:val="24"/>
                <w:szCs w:val="24"/>
                <w:color w:val="auto"/>
              </w:rPr>
            </w:pPr>
          </w:p>
        </w:tc>
        <w:tc>
          <w:tcPr>
            <w:tcW w:w="1200" w:type="dxa"/>
            <w:vAlign w:val="bottom"/>
            <w:shd w:val="clear" w:color="auto" w:fill="002B5F"/>
          </w:tcPr>
          <w:p>
            <w:pPr>
              <w:ind w:left="80"/>
              <w:spacing w:after="0"/>
              <w:rPr>
                <w:sz w:val="20"/>
                <w:szCs w:val="20"/>
                <w:color w:val="auto"/>
              </w:rPr>
            </w:pPr>
            <w:r>
              <w:rPr>
                <w:rFonts w:ascii="Arial" w:cs="Arial" w:eastAsia="Arial" w:hAnsi="Arial"/>
                <w:sz w:val="12"/>
                <w:szCs w:val="12"/>
                <w:color w:val="FFFFFF"/>
              </w:rPr>
              <w:t> </w:t>
            </w:r>
          </w:p>
        </w:tc>
      </w:tr>
      <w:tr>
        <w:trPr>
          <w:trHeight w:val="128"/>
        </w:trPr>
        <w:tc>
          <w:tcPr>
            <w:tcW w:w="120" w:type="dxa"/>
            <w:vAlign w:val="bottom"/>
            <w:shd w:val="clear" w:color="auto" w:fill="002B5F"/>
          </w:tcPr>
          <w:p>
            <w:pPr>
              <w:spacing w:after="0"/>
              <w:rPr>
                <w:sz w:val="11"/>
                <w:szCs w:val="11"/>
                <w:color w:val="auto"/>
              </w:rPr>
            </w:pPr>
          </w:p>
        </w:tc>
        <w:tc>
          <w:tcPr>
            <w:tcW w:w="160" w:type="dxa"/>
            <w:vAlign w:val="bottom"/>
            <w:shd w:val="clear" w:color="auto" w:fill="002B5F"/>
          </w:tcPr>
          <w:p>
            <w:pPr>
              <w:spacing w:after="0"/>
              <w:rPr>
                <w:sz w:val="11"/>
                <w:szCs w:val="11"/>
                <w:color w:val="auto"/>
              </w:rPr>
            </w:pPr>
          </w:p>
        </w:tc>
        <w:tc>
          <w:tcPr>
            <w:tcW w:w="160" w:type="dxa"/>
            <w:vAlign w:val="bottom"/>
            <w:shd w:val="clear" w:color="auto" w:fill="002B5F"/>
          </w:tcPr>
          <w:p>
            <w:pPr>
              <w:spacing w:after="0"/>
              <w:rPr>
                <w:sz w:val="11"/>
                <w:szCs w:val="11"/>
                <w:color w:val="auto"/>
              </w:rPr>
            </w:pPr>
          </w:p>
        </w:tc>
        <w:tc>
          <w:tcPr>
            <w:tcW w:w="220" w:type="dxa"/>
            <w:vAlign w:val="bottom"/>
            <w:shd w:val="clear" w:color="auto" w:fill="002B5F"/>
          </w:tcPr>
          <w:p>
            <w:pPr>
              <w:spacing w:after="0"/>
              <w:rPr>
                <w:sz w:val="11"/>
                <w:szCs w:val="11"/>
                <w:color w:val="auto"/>
              </w:rPr>
            </w:pPr>
          </w:p>
        </w:tc>
        <w:tc>
          <w:tcPr>
            <w:tcW w:w="1200" w:type="dxa"/>
            <w:vAlign w:val="bottom"/>
            <w:shd w:val="clear" w:color="auto" w:fill="002B5F"/>
          </w:tcPr>
          <w:p>
            <w:pPr>
              <w:ind w:left="80"/>
              <w:spacing w:after="0" w:line="128" w:lineRule="exact"/>
              <w:rPr>
                <w:sz w:val="20"/>
                <w:szCs w:val="20"/>
                <w:color w:val="auto"/>
              </w:rPr>
            </w:pPr>
            <w:r>
              <w:rPr>
                <w:rFonts w:ascii="Arial" w:cs="Arial" w:eastAsia="Arial" w:hAnsi="Arial"/>
                <w:sz w:val="12"/>
                <w:szCs w:val="12"/>
                <w:color w:val="FFFFFF"/>
              </w:rPr>
              <w:t> </w:t>
            </w:r>
          </w:p>
        </w:tc>
      </w:tr>
      <w:tr>
        <w:trPr>
          <w:trHeight w:val="158"/>
        </w:trPr>
        <w:tc>
          <w:tcPr>
            <w:tcW w:w="120" w:type="dxa"/>
            <w:vAlign w:val="bottom"/>
            <w:shd w:val="clear" w:color="auto" w:fill="002B5F"/>
          </w:tcPr>
          <w:p>
            <w:pPr>
              <w:spacing w:after="0"/>
              <w:rPr>
                <w:sz w:val="13"/>
                <w:szCs w:val="13"/>
                <w:color w:val="auto"/>
              </w:rPr>
            </w:pPr>
          </w:p>
        </w:tc>
        <w:tc>
          <w:tcPr>
            <w:tcW w:w="160" w:type="dxa"/>
            <w:vAlign w:val="bottom"/>
            <w:shd w:val="clear" w:color="auto" w:fill="002B5F"/>
          </w:tcPr>
          <w:p>
            <w:pPr>
              <w:spacing w:after="0"/>
              <w:rPr>
                <w:sz w:val="13"/>
                <w:szCs w:val="13"/>
                <w:color w:val="auto"/>
              </w:rPr>
            </w:pPr>
          </w:p>
        </w:tc>
        <w:tc>
          <w:tcPr>
            <w:tcW w:w="160" w:type="dxa"/>
            <w:vAlign w:val="bottom"/>
            <w:shd w:val="clear" w:color="auto" w:fill="002B5F"/>
          </w:tcPr>
          <w:p>
            <w:pPr>
              <w:spacing w:after="0"/>
              <w:rPr>
                <w:sz w:val="13"/>
                <w:szCs w:val="13"/>
                <w:color w:val="auto"/>
              </w:rPr>
            </w:pPr>
          </w:p>
        </w:tc>
        <w:tc>
          <w:tcPr>
            <w:tcW w:w="220" w:type="dxa"/>
            <w:vAlign w:val="bottom"/>
            <w:shd w:val="clear" w:color="auto" w:fill="002B5F"/>
          </w:tcPr>
          <w:p>
            <w:pPr>
              <w:spacing w:after="0"/>
              <w:rPr>
                <w:sz w:val="13"/>
                <w:szCs w:val="13"/>
                <w:color w:val="auto"/>
              </w:rPr>
            </w:pPr>
          </w:p>
        </w:tc>
        <w:tc>
          <w:tcPr>
            <w:tcW w:w="1200" w:type="dxa"/>
            <w:vAlign w:val="bottom"/>
            <w:shd w:val="clear" w:color="auto" w:fill="002B5F"/>
          </w:tcPr>
          <w:p>
            <w:pPr>
              <w:ind w:left="80"/>
              <w:spacing w:after="0"/>
              <w:rPr>
                <w:sz w:val="20"/>
                <w:szCs w:val="20"/>
                <w:color w:val="auto"/>
              </w:rPr>
            </w:pPr>
            <w:r>
              <w:rPr>
                <w:rFonts w:ascii="Arial" w:cs="Arial" w:eastAsia="Arial" w:hAnsi="Arial"/>
                <w:sz w:val="12"/>
                <w:szCs w:val="12"/>
                <w:color w:val="FFFFFF"/>
              </w:rPr>
              <w:t> </w:t>
            </w:r>
          </w:p>
        </w:tc>
      </w:tr>
      <w:tr>
        <w:trPr>
          <w:trHeight w:val="340"/>
        </w:trPr>
        <w:tc>
          <w:tcPr>
            <w:tcW w:w="120" w:type="dxa"/>
            <w:vAlign w:val="bottom"/>
            <w:shd w:val="clear" w:color="auto" w:fill="002B5F"/>
          </w:tcPr>
          <w:p>
            <w:pPr>
              <w:spacing w:after="0"/>
              <w:rPr>
                <w:sz w:val="24"/>
                <w:szCs w:val="24"/>
                <w:color w:val="auto"/>
              </w:rPr>
            </w:pPr>
          </w:p>
        </w:tc>
        <w:tc>
          <w:tcPr>
            <w:tcW w:w="160" w:type="dxa"/>
            <w:vAlign w:val="bottom"/>
            <w:shd w:val="clear" w:color="auto" w:fill="002B5F"/>
          </w:tcPr>
          <w:p>
            <w:pPr>
              <w:spacing w:after="0"/>
              <w:rPr>
                <w:sz w:val="24"/>
                <w:szCs w:val="24"/>
                <w:color w:val="auto"/>
              </w:rPr>
            </w:pPr>
          </w:p>
        </w:tc>
        <w:tc>
          <w:tcPr>
            <w:tcW w:w="160" w:type="dxa"/>
            <w:vAlign w:val="bottom"/>
            <w:shd w:val="clear" w:color="auto" w:fill="002B5F"/>
          </w:tcPr>
          <w:p>
            <w:pPr>
              <w:spacing w:after="0"/>
              <w:rPr>
                <w:sz w:val="24"/>
                <w:szCs w:val="24"/>
                <w:color w:val="auto"/>
              </w:rPr>
            </w:pPr>
          </w:p>
        </w:tc>
        <w:tc>
          <w:tcPr>
            <w:tcW w:w="220" w:type="dxa"/>
            <w:vAlign w:val="bottom"/>
            <w:shd w:val="clear" w:color="auto" w:fill="002B5F"/>
          </w:tcPr>
          <w:p>
            <w:pPr>
              <w:spacing w:after="0"/>
              <w:rPr>
                <w:sz w:val="24"/>
                <w:szCs w:val="24"/>
                <w:color w:val="auto"/>
              </w:rPr>
            </w:pPr>
          </w:p>
        </w:tc>
        <w:tc>
          <w:tcPr>
            <w:tcW w:w="1200" w:type="dxa"/>
            <w:vAlign w:val="bottom"/>
            <w:shd w:val="clear" w:color="auto" w:fill="002B5F"/>
          </w:tcPr>
          <w:p>
            <w:pPr>
              <w:ind w:left="80"/>
              <w:spacing w:after="0"/>
              <w:rPr>
                <w:sz w:val="20"/>
                <w:szCs w:val="20"/>
                <w:color w:val="auto"/>
              </w:rPr>
            </w:pPr>
            <w:r>
              <w:rPr>
                <w:rFonts w:ascii="Arial" w:cs="Arial" w:eastAsia="Arial" w:hAnsi="Arial"/>
                <w:sz w:val="12"/>
                <w:szCs w:val="12"/>
                <w:color w:val="FFFFFF"/>
              </w:rPr>
              <w:t> </w:t>
            </w:r>
          </w:p>
        </w:tc>
      </w:tr>
      <w:tr>
        <w:trPr>
          <w:trHeight w:val="128"/>
        </w:trPr>
        <w:tc>
          <w:tcPr>
            <w:tcW w:w="120" w:type="dxa"/>
            <w:vAlign w:val="bottom"/>
            <w:shd w:val="clear" w:color="auto" w:fill="002B5F"/>
          </w:tcPr>
          <w:p>
            <w:pPr>
              <w:spacing w:after="0"/>
              <w:rPr>
                <w:sz w:val="11"/>
                <w:szCs w:val="11"/>
                <w:color w:val="auto"/>
              </w:rPr>
            </w:pPr>
          </w:p>
        </w:tc>
        <w:tc>
          <w:tcPr>
            <w:tcW w:w="160" w:type="dxa"/>
            <w:vAlign w:val="bottom"/>
            <w:shd w:val="clear" w:color="auto" w:fill="002B5F"/>
          </w:tcPr>
          <w:p>
            <w:pPr>
              <w:spacing w:after="0"/>
              <w:rPr>
                <w:sz w:val="11"/>
                <w:szCs w:val="11"/>
                <w:color w:val="auto"/>
              </w:rPr>
            </w:pPr>
          </w:p>
        </w:tc>
        <w:tc>
          <w:tcPr>
            <w:tcW w:w="160" w:type="dxa"/>
            <w:vAlign w:val="bottom"/>
            <w:shd w:val="clear" w:color="auto" w:fill="002B5F"/>
          </w:tcPr>
          <w:p>
            <w:pPr>
              <w:spacing w:after="0"/>
              <w:rPr>
                <w:sz w:val="11"/>
                <w:szCs w:val="11"/>
                <w:color w:val="auto"/>
              </w:rPr>
            </w:pPr>
          </w:p>
        </w:tc>
        <w:tc>
          <w:tcPr>
            <w:tcW w:w="220" w:type="dxa"/>
            <w:vAlign w:val="bottom"/>
            <w:shd w:val="clear" w:color="auto" w:fill="002B5F"/>
          </w:tcPr>
          <w:p>
            <w:pPr>
              <w:spacing w:after="0"/>
              <w:rPr>
                <w:sz w:val="11"/>
                <w:szCs w:val="11"/>
                <w:color w:val="auto"/>
              </w:rPr>
            </w:pPr>
          </w:p>
        </w:tc>
        <w:tc>
          <w:tcPr>
            <w:tcW w:w="1200" w:type="dxa"/>
            <w:vAlign w:val="bottom"/>
            <w:shd w:val="clear" w:color="auto" w:fill="002B5F"/>
          </w:tcPr>
          <w:p>
            <w:pPr>
              <w:ind w:left="80"/>
              <w:spacing w:after="0" w:line="128" w:lineRule="exact"/>
              <w:rPr>
                <w:sz w:val="20"/>
                <w:szCs w:val="20"/>
                <w:color w:val="auto"/>
              </w:rPr>
            </w:pPr>
            <w:r>
              <w:rPr>
                <w:rFonts w:ascii="Arial" w:cs="Arial" w:eastAsia="Arial" w:hAnsi="Arial"/>
                <w:sz w:val="12"/>
                <w:szCs w:val="12"/>
                <w:color w:val="FFFFFF"/>
              </w:rPr>
              <w:t> </w:t>
            </w:r>
          </w:p>
        </w:tc>
      </w:tr>
      <w:tr>
        <w:trPr>
          <w:trHeight w:val="128"/>
        </w:trPr>
        <w:tc>
          <w:tcPr>
            <w:tcW w:w="120" w:type="dxa"/>
            <w:vAlign w:val="bottom"/>
            <w:shd w:val="clear" w:color="auto" w:fill="002B5F"/>
          </w:tcPr>
          <w:p>
            <w:pPr>
              <w:spacing w:after="0"/>
              <w:rPr>
                <w:sz w:val="11"/>
                <w:szCs w:val="11"/>
                <w:color w:val="auto"/>
              </w:rPr>
            </w:pPr>
          </w:p>
        </w:tc>
        <w:tc>
          <w:tcPr>
            <w:tcW w:w="160" w:type="dxa"/>
            <w:vAlign w:val="bottom"/>
            <w:shd w:val="clear" w:color="auto" w:fill="002B5F"/>
          </w:tcPr>
          <w:p>
            <w:pPr>
              <w:spacing w:after="0"/>
              <w:rPr>
                <w:sz w:val="11"/>
                <w:szCs w:val="11"/>
                <w:color w:val="auto"/>
              </w:rPr>
            </w:pPr>
          </w:p>
        </w:tc>
        <w:tc>
          <w:tcPr>
            <w:tcW w:w="160" w:type="dxa"/>
            <w:vAlign w:val="bottom"/>
            <w:shd w:val="clear" w:color="auto" w:fill="002B5F"/>
          </w:tcPr>
          <w:p>
            <w:pPr>
              <w:spacing w:after="0"/>
              <w:rPr>
                <w:sz w:val="11"/>
                <w:szCs w:val="11"/>
                <w:color w:val="auto"/>
              </w:rPr>
            </w:pPr>
          </w:p>
        </w:tc>
        <w:tc>
          <w:tcPr>
            <w:tcW w:w="220" w:type="dxa"/>
            <w:vAlign w:val="bottom"/>
            <w:shd w:val="clear" w:color="auto" w:fill="002B5F"/>
          </w:tcPr>
          <w:p>
            <w:pPr>
              <w:spacing w:after="0"/>
              <w:rPr>
                <w:sz w:val="11"/>
                <w:szCs w:val="11"/>
                <w:color w:val="auto"/>
              </w:rPr>
            </w:pPr>
          </w:p>
        </w:tc>
        <w:tc>
          <w:tcPr>
            <w:tcW w:w="1200" w:type="dxa"/>
            <w:vAlign w:val="bottom"/>
            <w:shd w:val="clear" w:color="auto" w:fill="002B5F"/>
          </w:tcPr>
          <w:p>
            <w:pPr>
              <w:ind w:left="80"/>
              <w:spacing w:after="0" w:line="128" w:lineRule="exact"/>
              <w:rPr>
                <w:sz w:val="20"/>
                <w:szCs w:val="20"/>
                <w:color w:val="auto"/>
              </w:rPr>
            </w:pPr>
            <w:r>
              <w:rPr>
                <w:rFonts w:ascii="Arial" w:cs="Arial" w:eastAsia="Arial" w:hAnsi="Arial"/>
                <w:sz w:val="12"/>
                <w:szCs w:val="12"/>
                <w:color w:val="FFFFFF"/>
              </w:rPr>
              <w:t> </w:t>
            </w:r>
          </w:p>
        </w:tc>
      </w:tr>
      <w:tr>
        <w:trPr>
          <w:trHeight w:val="128"/>
        </w:trPr>
        <w:tc>
          <w:tcPr>
            <w:tcW w:w="120" w:type="dxa"/>
            <w:vAlign w:val="bottom"/>
            <w:shd w:val="clear" w:color="auto" w:fill="002B5F"/>
          </w:tcPr>
          <w:p>
            <w:pPr>
              <w:spacing w:after="0"/>
              <w:rPr>
                <w:sz w:val="11"/>
                <w:szCs w:val="11"/>
                <w:color w:val="auto"/>
              </w:rPr>
            </w:pPr>
          </w:p>
        </w:tc>
        <w:tc>
          <w:tcPr>
            <w:tcW w:w="160" w:type="dxa"/>
            <w:vAlign w:val="bottom"/>
            <w:shd w:val="clear" w:color="auto" w:fill="002B5F"/>
          </w:tcPr>
          <w:p>
            <w:pPr>
              <w:spacing w:after="0"/>
              <w:rPr>
                <w:sz w:val="11"/>
                <w:szCs w:val="11"/>
                <w:color w:val="auto"/>
              </w:rPr>
            </w:pPr>
          </w:p>
        </w:tc>
        <w:tc>
          <w:tcPr>
            <w:tcW w:w="160" w:type="dxa"/>
            <w:vAlign w:val="bottom"/>
            <w:shd w:val="clear" w:color="auto" w:fill="002B5F"/>
          </w:tcPr>
          <w:p>
            <w:pPr>
              <w:spacing w:after="0"/>
              <w:rPr>
                <w:sz w:val="11"/>
                <w:szCs w:val="11"/>
                <w:color w:val="auto"/>
              </w:rPr>
            </w:pPr>
          </w:p>
        </w:tc>
        <w:tc>
          <w:tcPr>
            <w:tcW w:w="220" w:type="dxa"/>
            <w:vAlign w:val="bottom"/>
            <w:shd w:val="clear" w:color="auto" w:fill="002B5F"/>
          </w:tcPr>
          <w:p>
            <w:pPr>
              <w:spacing w:after="0"/>
              <w:rPr>
                <w:sz w:val="11"/>
                <w:szCs w:val="11"/>
                <w:color w:val="auto"/>
              </w:rPr>
            </w:pPr>
          </w:p>
        </w:tc>
        <w:tc>
          <w:tcPr>
            <w:tcW w:w="1200" w:type="dxa"/>
            <w:vAlign w:val="bottom"/>
            <w:shd w:val="clear" w:color="auto" w:fill="002B5F"/>
          </w:tcPr>
          <w:p>
            <w:pPr>
              <w:ind w:left="80"/>
              <w:spacing w:after="0" w:line="128" w:lineRule="exact"/>
              <w:rPr>
                <w:sz w:val="20"/>
                <w:szCs w:val="20"/>
                <w:color w:val="auto"/>
              </w:rPr>
            </w:pPr>
            <w:r>
              <w:rPr>
                <w:rFonts w:ascii="Arial" w:cs="Arial" w:eastAsia="Arial" w:hAnsi="Arial"/>
                <w:sz w:val="12"/>
                <w:szCs w:val="12"/>
                <w:color w:val="FFFFFF"/>
              </w:rPr>
              <w:t> </w:t>
            </w:r>
          </w:p>
        </w:tc>
      </w:tr>
      <w:tr>
        <w:trPr>
          <w:trHeight w:val="158"/>
        </w:trPr>
        <w:tc>
          <w:tcPr>
            <w:tcW w:w="120" w:type="dxa"/>
            <w:vAlign w:val="bottom"/>
            <w:shd w:val="clear" w:color="auto" w:fill="002B5F"/>
          </w:tcPr>
          <w:p>
            <w:pPr>
              <w:spacing w:after="0"/>
              <w:rPr>
                <w:sz w:val="13"/>
                <w:szCs w:val="13"/>
                <w:color w:val="auto"/>
              </w:rPr>
            </w:pPr>
          </w:p>
        </w:tc>
        <w:tc>
          <w:tcPr>
            <w:tcW w:w="160" w:type="dxa"/>
            <w:vAlign w:val="bottom"/>
            <w:shd w:val="clear" w:color="auto" w:fill="002B5F"/>
          </w:tcPr>
          <w:p>
            <w:pPr>
              <w:spacing w:after="0"/>
              <w:rPr>
                <w:sz w:val="13"/>
                <w:szCs w:val="13"/>
                <w:color w:val="auto"/>
              </w:rPr>
            </w:pPr>
          </w:p>
        </w:tc>
        <w:tc>
          <w:tcPr>
            <w:tcW w:w="160" w:type="dxa"/>
            <w:vAlign w:val="bottom"/>
            <w:shd w:val="clear" w:color="auto" w:fill="002B5F"/>
          </w:tcPr>
          <w:p>
            <w:pPr>
              <w:spacing w:after="0"/>
              <w:rPr>
                <w:sz w:val="13"/>
                <w:szCs w:val="13"/>
                <w:color w:val="auto"/>
              </w:rPr>
            </w:pPr>
          </w:p>
        </w:tc>
        <w:tc>
          <w:tcPr>
            <w:tcW w:w="220" w:type="dxa"/>
            <w:vAlign w:val="bottom"/>
            <w:shd w:val="clear" w:color="auto" w:fill="002B5F"/>
          </w:tcPr>
          <w:p>
            <w:pPr>
              <w:spacing w:after="0"/>
              <w:rPr>
                <w:sz w:val="13"/>
                <w:szCs w:val="13"/>
                <w:color w:val="auto"/>
              </w:rPr>
            </w:pPr>
          </w:p>
        </w:tc>
        <w:tc>
          <w:tcPr>
            <w:tcW w:w="1200" w:type="dxa"/>
            <w:vAlign w:val="bottom"/>
            <w:shd w:val="clear" w:color="auto" w:fill="002B5F"/>
          </w:tcPr>
          <w:p>
            <w:pPr>
              <w:ind w:left="80"/>
              <w:spacing w:after="0"/>
              <w:rPr>
                <w:sz w:val="20"/>
                <w:szCs w:val="20"/>
                <w:color w:val="auto"/>
              </w:rPr>
            </w:pPr>
            <w:r>
              <w:rPr>
                <w:rFonts w:ascii="Arial" w:cs="Arial" w:eastAsia="Arial" w:hAnsi="Arial"/>
                <w:sz w:val="12"/>
                <w:szCs w:val="12"/>
                <w:color w:val="FFFFFF"/>
              </w:rPr>
              <w:t> </w:t>
            </w:r>
          </w:p>
        </w:tc>
      </w:tr>
      <w:tr>
        <w:trPr>
          <w:trHeight w:val="340"/>
        </w:trPr>
        <w:tc>
          <w:tcPr>
            <w:tcW w:w="120" w:type="dxa"/>
            <w:vAlign w:val="bottom"/>
            <w:shd w:val="clear" w:color="auto" w:fill="002B5F"/>
          </w:tcPr>
          <w:p>
            <w:pPr>
              <w:spacing w:after="0"/>
              <w:rPr>
                <w:sz w:val="24"/>
                <w:szCs w:val="24"/>
                <w:color w:val="auto"/>
              </w:rPr>
            </w:pPr>
          </w:p>
        </w:tc>
        <w:tc>
          <w:tcPr>
            <w:tcW w:w="160" w:type="dxa"/>
            <w:vAlign w:val="bottom"/>
            <w:shd w:val="clear" w:color="auto" w:fill="002B5F"/>
          </w:tcPr>
          <w:p>
            <w:pPr>
              <w:spacing w:after="0"/>
              <w:rPr>
                <w:sz w:val="24"/>
                <w:szCs w:val="24"/>
                <w:color w:val="auto"/>
              </w:rPr>
            </w:pPr>
          </w:p>
        </w:tc>
        <w:tc>
          <w:tcPr>
            <w:tcW w:w="160" w:type="dxa"/>
            <w:vAlign w:val="bottom"/>
            <w:shd w:val="clear" w:color="auto" w:fill="002B5F"/>
          </w:tcPr>
          <w:p>
            <w:pPr>
              <w:spacing w:after="0"/>
              <w:rPr>
                <w:sz w:val="24"/>
                <w:szCs w:val="24"/>
                <w:color w:val="auto"/>
              </w:rPr>
            </w:pPr>
          </w:p>
        </w:tc>
        <w:tc>
          <w:tcPr>
            <w:tcW w:w="220" w:type="dxa"/>
            <w:vAlign w:val="bottom"/>
            <w:shd w:val="clear" w:color="auto" w:fill="002B5F"/>
          </w:tcPr>
          <w:p>
            <w:pPr>
              <w:spacing w:after="0"/>
              <w:rPr>
                <w:sz w:val="24"/>
                <w:szCs w:val="24"/>
                <w:color w:val="auto"/>
              </w:rPr>
            </w:pPr>
          </w:p>
        </w:tc>
        <w:tc>
          <w:tcPr>
            <w:tcW w:w="1200" w:type="dxa"/>
            <w:vAlign w:val="bottom"/>
            <w:shd w:val="clear" w:color="auto" w:fill="002B5F"/>
          </w:tcPr>
          <w:p>
            <w:pPr>
              <w:ind w:left="80"/>
              <w:spacing w:after="0"/>
              <w:rPr>
                <w:sz w:val="20"/>
                <w:szCs w:val="20"/>
                <w:color w:val="auto"/>
              </w:rPr>
            </w:pPr>
            <w:r>
              <w:rPr>
                <w:rFonts w:ascii="Arial" w:cs="Arial" w:eastAsia="Arial" w:hAnsi="Arial"/>
                <w:sz w:val="12"/>
                <w:szCs w:val="12"/>
                <w:color w:val="FFFFFF"/>
              </w:rPr>
              <w:t> </w:t>
            </w:r>
          </w:p>
        </w:tc>
      </w:tr>
      <w:tr>
        <w:trPr>
          <w:trHeight w:val="128"/>
        </w:trPr>
        <w:tc>
          <w:tcPr>
            <w:tcW w:w="120" w:type="dxa"/>
            <w:vAlign w:val="bottom"/>
            <w:shd w:val="clear" w:color="auto" w:fill="002B5F"/>
          </w:tcPr>
          <w:p>
            <w:pPr>
              <w:spacing w:after="0"/>
              <w:rPr>
                <w:sz w:val="11"/>
                <w:szCs w:val="11"/>
                <w:color w:val="auto"/>
              </w:rPr>
            </w:pPr>
          </w:p>
        </w:tc>
        <w:tc>
          <w:tcPr>
            <w:tcW w:w="160" w:type="dxa"/>
            <w:vAlign w:val="bottom"/>
            <w:shd w:val="clear" w:color="auto" w:fill="002B5F"/>
          </w:tcPr>
          <w:p>
            <w:pPr>
              <w:spacing w:after="0"/>
              <w:rPr>
                <w:sz w:val="11"/>
                <w:szCs w:val="11"/>
                <w:color w:val="auto"/>
              </w:rPr>
            </w:pPr>
          </w:p>
        </w:tc>
        <w:tc>
          <w:tcPr>
            <w:tcW w:w="160" w:type="dxa"/>
            <w:vAlign w:val="bottom"/>
            <w:shd w:val="clear" w:color="auto" w:fill="002B5F"/>
          </w:tcPr>
          <w:p>
            <w:pPr>
              <w:spacing w:after="0"/>
              <w:rPr>
                <w:sz w:val="11"/>
                <w:szCs w:val="11"/>
                <w:color w:val="auto"/>
              </w:rPr>
            </w:pPr>
          </w:p>
        </w:tc>
        <w:tc>
          <w:tcPr>
            <w:tcW w:w="220" w:type="dxa"/>
            <w:vAlign w:val="bottom"/>
            <w:shd w:val="clear" w:color="auto" w:fill="002B5F"/>
          </w:tcPr>
          <w:p>
            <w:pPr>
              <w:spacing w:after="0"/>
              <w:rPr>
                <w:sz w:val="11"/>
                <w:szCs w:val="11"/>
                <w:color w:val="auto"/>
              </w:rPr>
            </w:pPr>
          </w:p>
        </w:tc>
        <w:tc>
          <w:tcPr>
            <w:tcW w:w="1200" w:type="dxa"/>
            <w:vAlign w:val="bottom"/>
            <w:shd w:val="clear" w:color="auto" w:fill="002B5F"/>
          </w:tcPr>
          <w:p>
            <w:pPr>
              <w:ind w:left="80"/>
              <w:spacing w:after="0" w:line="128" w:lineRule="exact"/>
              <w:rPr>
                <w:sz w:val="20"/>
                <w:szCs w:val="20"/>
                <w:color w:val="auto"/>
              </w:rPr>
            </w:pPr>
            <w:r>
              <w:rPr>
                <w:rFonts w:ascii="Arial" w:cs="Arial" w:eastAsia="Arial" w:hAnsi="Arial"/>
                <w:sz w:val="12"/>
                <w:szCs w:val="12"/>
                <w:color w:val="FFFFFF"/>
              </w:rPr>
              <w:t> </w:t>
            </w:r>
          </w:p>
        </w:tc>
      </w:tr>
      <w:tr>
        <w:trPr>
          <w:trHeight w:val="128"/>
        </w:trPr>
        <w:tc>
          <w:tcPr>
            <w:tcW w:w="120" w:type="dxa"/>
            <w:vAlign w:val="bottom"/>
            <w:shd w:val="clear" w:color="auto" w:fill="002B5F"/>
          </w:tcPr>
          <w:p>
            <w:pPr>
              <w:spacing w:after="0"/>
              <w:rPr>
                <w:sz w:val="11"/>
                <w:szCs w:val="11"/>
                <w:color w:val="auto"/>
              </w:rPr>
            </w:pPr>
          </w:p>
        </w:tc>
        <w:tc>
          <w:tcPr>
            <w:tcW w:w="160" w:type="dxa"/>
            <w:vAlign w:val="bottom"/>
            <w:shd w:val="clear" w:color="auto" w:fill="002B5F"/>
          </w:tcPr>
          <w:p>
            <w:pPr>
              <w:spacing w:after="0"/>
              <w:rPr>
                <w:sz w:val="11"/>
                <w:szCs w:val="11"/>
                <w:color w:val="auto"/>
              </w:rPr>
            </w:pPr>
          </w:p>
        </w:tc>
        <w:tc>
          <w:tcPr>
            <w:tcW w:w="160" w:type="dxa"/>
            <w:vAlign w:val="bottom"/>
            <w:shd w:val="clear" w:color="auto" w:fill="002B5F"/>
          </w:tcPr>
          <w:p>
            <w:pPr>
              <w:spacing w:after="0"/>
              <w:rPr>
                <w:sz w:val="11"/>
                <w:szCs w:val="11"/>
                <w:color w:val="auto"/>
              </w:rPr>
            </w:pPr>
          </w:p>
        </w:tc>
        <w:tc>
          <w:tcPr>
            <w:tcW w:w="220" w:type="dxa"/>
            <w:vAlign w:val="bottom"/>
            <w:shd w:val="clear" w:color="auto" w:fill="002B5F"/>
          </w:tcPr>
          <w:p>
            <w:pPr>
              <w:spacing w:after="0"/>
              <w:rPr>
                <w:sz w:val="11"/>
                <w:szCs w:val="11"/>
                <w:color w:val="auto"/>
              </w:rPr>
            </w:pPr>
          </w:p>
        </w:tc>
        <w:tc>
          <w:tcPr>
            <w:tcW w:w="1200" w:type="dxa"/>
            <w:vAlign w:val="bottom"/>
            <w:shd w:val="clear" w:color="auto" w:fill="002B5F"/>
          </w:tcPr>
          <w:p>
            <w:pPr>
              <w:ind w:left="80"/>
              <w:spacing w:after="0" w:line="128" w:lineRule="exact"/>
              <w:rPr>
                <w:sz w:val="20"/>
                <w:szCs w:val="20"/>
                <w:color w:val="auto"/>
              </w:rPr>
            </w:pPr>
            <w:r>
              <w:rPr>
                <w:rFonts w:ascii="Arial" w:cs="Arial" w:eastAsia="Arial" w:hAnsi="Arial"/>
                <w:sz w:val="12"/>
                <w:szCs w:val="12"/>
                <w:color w:val="FFFFFF"/>
              </w:rPr>
              <w:t> </w:t>
            </w:r>
          </w:p>
        </w:tc>
      </w:tr>
      <w:tr>
        <w:trPr>
          <w:trHeight w:val="158"/>
        </w:trPr>
        <w:tc>
          <w:tcPr>
            <w:tcW w:w="120" w:type="dxa"/>
            <w:vAlign w:val="bottom"/>
            <w:shd w:val="clear" w:color="auto" w:fill="002B5F"/>
          </w:tcPr>
          <w:p>
            <w:pPr>
              <w:spacing w:after="0"/>
              <w:rPr>
                <w:sz w:val="13"/>
                <w:szCs w:val="13"/>
                <w:color w:val="auto"/>
              </w:rPr>
            </w:pPr>
          </w:p>
        </w:tc>
        <w:tc>
          <w:tcPr>
            <w:tcW w:w="160" w:type="dxa"/>
            <w:vAlign w:val="bottom"/>
            <w:shd w:val="clear" w:color="auto" w:fill="002B5F"/>
          </w:tcPr>
          <w:p>
            <w:pPr>
              <w:spacing w:after="0"/>
              <w:rPr>
                <w:sz w:val="13"/>
                <w:szCs w:val="13"/>
                <w:color w:val="auto"/>
              </w:rPr>
            </w:pPr>
          </w:p>
        </w:tc>
        <w:tc>
          <w:tcPr>
            <w:tcW w:w="160" w:type="dxa"/>
            <w:vAlign w:val="bottom"/>
            <w:shd w:val="clear" w:color="auto" w:fill="002B5F"/>
          </w:tcPr>
          <w:p>
            <w:pPr>
              <w:spacing w:after="0"/>
              <w:rPr>
                <w:sz w:val="13"/>
                <w:szCs w:val="13"/>
                <w:color w:val="auto"/>
              </w:rPr>
            </w:pPr>
          </w:p>
        </w:tc>
        <w:tc>
          <w:tcPr>
            <w:tcW w:w="220" w:type="dxa"/>
            <w:vAlign w:val="bottom"/>
            <w:shd w:val="clear" w:color="auto" w:fill="002B5F"/>
          </w:tcPr>
          <w:p>
            <w:pPr>
              <w:spacing w:after="0"/>
              <w:rPr>
                <w:sz w:val="13"/>
                <w:szCs w:val="13"/>
                <w:color w:val="auto"/>
              </w:rPr>
            </w:pPr>
          </w:p>
        </w:tc>
        <w:tc>
          <w:tcPr>
            <w:tcW w:w="1200" w:type="dxa"/>
            <w:vAlign w:val="bottom"/>
            <w:shd w:val="clear" w:color="auto" w:fill="002B5F"/>
          </w:tcPr>
          <w:p>
            <w:pPr>
              <w:ind w:left="80"/>
              <w:spacing w:after="0"/>
              <w:rPr>
                <w:sz w:val="20"/>
                <w:szCs w:val="20"/>
                <w:color w:val="auto"/>
              </w:rPr>
            </w:pPr>
            <w:r>
              <w:rPr>
                <w:rFonts w:ascii="Arial" w:cs="Arial" w:eastAsia="Arial" w:hAnsi="Arial"/>
                <w:sz w:val="12"/>
                <w:szCs w:val="12"/>
                <w:color w:val="FFFFFF"/>
              </w:rPr>
              <w:t> </w:t>
            </w:r>
          </w:p>
        </w:tc>
      </w:tr>
      <w:tr>
        <w:trPr>
          <w:trHeight w:val="370"/>
        </w:trPr>
        <w:tc>
          <w:tcPr>
            <w:tcW w:w="120" w:type="dxa"/>
            <w:vAlign w:val="bottom"/>
            <w:shd w:val="clear" w:color="auto" w:fill="002B5F"/>
          </w:tcPr>
          <w:p>
            <w:pPr>
              <w:spacing w:after="0"/>
              <w:rPr>
                <w:sz w:val="24"/>
                <w:szCs w:val="24"/>
                <w:color w:val="auto"/>
              </w:rPr>
            </w:pPr>
          </w:p>
        </w:tc>
        <w:tc>
          <w:tcPr>
            <w:tcW w:w="160" w:type="dxa"/>
            <w:vAlign w:val="bottom"/>
            <w:shd w:val="clear" w:color="auto" w:fill="002B5F"/>
          </w:tcPr>
          <w:p>
            <w:pPr>
              <w:spacing w:after="0"/>
              <w:rPr>
                <w:sz w:val="24"/>
                <w:szCs w:val="24"/>
                <w:color w:val="auto"/>
              </w:rPr>
            </w:pPr>
          </w:p>
        </w:tc>
        <w:tc>
          <w:tcPr>
            <w:tcW w:w="160" w:type="dxa"/>
            <w:vAlign w:val="bottom"/>
            <w:shd w:val="clear" w:color="auto" w:fill="002B5F"/>
          </w:tcPr>
          <w:p>
            <w:pPr>
              <w:spacing w:after="0"/>
              <w:rPr>
                <w:sz w:val="24"/>
                <w:szCs w:val="24"/>
                <w:color w:val="auto"/>
              </w:rPr>
            </w:pPr>
          </w:p>
        </w:tc>
        <w:tc>
          <w:tcPr>
            <w:tcW w:w="220" w:type="dxa"/>
            <w:vAlign w:val="bottom"/>
            <w:shd w:val="clear" w:color="auto" w:fill="002B5F"/>
          </w:tcPr>
          <w:p>
            <w:pPr>
              <w:spacing w:after="0"/>
              <w:rPr>
                <w:sz w:val="24"/>
                <w:szCs w:val="24"/>
                <w:color w:val="auto"/>
              </w:rPr>
            </w:pPr>
          </w:p>
        </w:tc>
        <w:tc>
          <w:tcPr>
            <w:tcW w:w="1200" w:type="dxa"/>
            <w:vAlign w:val="bottom"/>
            <w:shd w:val="clear" w:color="auto" w:fill="002B5F"/>
          </w:tcPr>
          <w:p>
            <w:pPr>
              <w:ind w:left="80"/>
              <w:spacing w:after="0"/>
              <w:rPr>
                <w:sz w:val="20"/>
                <w:szCs w:val="20"/>
                <w:color w:val="auto"/>
              </w:rPr>
            </w:pPr>
            <w:r>
              <w:rPr>
                <w:rFonts w:ascii="Arial" w:cs="Arial" w:eastAsia="Arial" w:hAnsi="Arial"/>
                <w:sz w:val="12"/>
                <w:szCs w:val="12"/>
                <w:color w:val="FFFFFF"/>
              </w:rPr>
              <w:t> </w:t>
            </w:r>
          </w:p>
        </w:tc>
      </w:tr>
      <w:tr>
        <w:trPr>
          <w:trHeight w:val="340"/>
        </w:trPr>
        <w:tc>
          <w:tcPr>
            <w:tcW w:w="120" w:type="dxa"/>
            <w:vAlign w:val="bottom"/>
            <w:shd w:val="clear" w:color="auto" w:fill="002B5F"/>
          </w:tcPr>
          <w:p>
            <w:pPr>
              <w:spacing w:after="0"/>
              <w:rPr>
                <w:sz w:val="24"/>
                <w:szCs w:val="24"/>
                <w:color w:val="auto"/>
              </w:rPr>
            </w:pPr>
          </w:p>
        </w:tc>
        <w:tc>
          <w:tcPr>
            <w:tcW w:w="160" w:type="dxa"/>
            <w:vAlign w:val="bottom"/>
            <w:shd w:val="clear" w:color="auto" w:fill="002B5F"/>
          </w:tcPr>
          <w:p>
            <w:pPr>
              <w:spacing w:after="0"/>
              <w:rPr>
                <w:sz w:val="24"/>
                <w:szCs w:val="24"/>
                <w:color w:val="auto"/>
              </w:rPr>
            </w:pPr>
          </w:p>
        </w:tc>
        <w:tc>
          <w:tcPr>
            <w:tcW w:w="160" w:type="dxa"/>
            <w:vAlign w:val="bottom"/>
            <w:shd w:val="clear" w:color="auto" w:fill="002B5F"/>
          </w:tcPr>
          <w:p>
            <w:pPr>
              <w:spacing w:after="0"/>
              <w:rPr>
                <w:sz w:val="24"/>
                <w:szCs w:val="24"/>
                <w:color w:val="auto"/>
              </w:rPr>
            </w:pPr>
          </w:p>
        </w:tc>
        <w:tc>
          <w:tcPr>
            <w:tcW w:w="220" w:type="dxa"/>
            <w:vAlign w:val="bottom"/>
            <w:shd w:val="clear" w:color="auto" w:fill="002B5F"/>
          </w:tcPr>
          <w:p>
            <w:pPr>
              <w:spacing w:after="0"/>
              <w:rPr>
                <w:sz w:val="24"/>
                <w:szCs w:val="24"/>
                <w:color w:val="auto"/>
              </w:rPr>
            </w:pPr>
          </w:p>
        </w:tc>
        <w:tc>
          <w:tcPr>
            <w:tcW w:w="1200" w:type="dxa"/>
            <w:vAlign w:val="bottom"/>
            <w:shd w:val="clear" w:color="auto" w:fill="002B5F"/>
          </w:tcPr>
          <w:p>
            <w:pPr>
              <w:ind w:left="80"/>
              <w:spacing w:after="0"/>
              <w:rPr>
                <w:sz w:val="20"/>
                <w:szCs w:val="20"/>
                <w:color w:val="auto"/>
              </w:rPr>
            </w:pPr>
            <w:r>
              <w:rPr>
                <w:rFonts w:ascii="Arial" w:cs="Arial" w:eastAsia="Arial" w:hAnsi="Arial"/>
                <w:sz w:val="12"/>
                <w:szCs w:val="12"/>
                <w:color w:val="FFFFFF"/>
              </w:rPr>
              <w:t> </w:t>
            </w:r>
          </w:p>
        </w:tc>
      </w:tr>
      <w:tr>
        <w:trPr>
          <w:trHeight w:val="128"/>
        </w:trPr>
        <w:tc>
          <w:tcPr>
            <w:tcW w:w="120" w:type="dxa"/>
            <w:vAlign w:val="bottom"/>
            <w:shd w:val="clear" w:color="auto" w:fill="002B5F"/>
          </w:tcPr>
          <w:p>
            <w:pPr>
              <w:spacing w:after="0"/>
              <w:rPr>
                <w:sz w:val="11"/>
                <w:szCs w:val="11"/>
                <w:color w:val="auto"/>
              </w:rPr>
            </w:pPr>
          </w:p>
        </w:tc>
        <w:tc>
          <w:tcPr>
            <w:tcW w:w="160" w:type="dxa"/>
            <w:vAlign w:val="bottom"/>
            <w:shd w:val="clear" w:color="auto" w:fill="002B5F"/>
          </w:tcPr>
          <w:p>
            <w:pPr>
              <w:spacing w:after="0"/>
              <w:rPr>
                <w:sz w:val="11"/>
                <w:szCs w:val="11"/>
                <w:color w:val="auto"/>
              </w:rPr>
            </w:pPr>
          </w:p>
        </w:tc>
        <w:tc>
          <w:tcPr>
            <w:tcW w:w="160" w:type="dxa"/>
            <w:vAlign w:val="bottom"/>
            <w:shd w:val="clear" w:color="auto" w:fill="002B5F"/>
          </w:tcPr>
          <w:p>
            <w:pPr>
              <w:spacing w:after="0"/>
              <w:rPr>
                <w:sz w:val="11"/>
                <w:szCs w:val="11"/>
                <w:color w:val="auto"/>
              </w:rPr>
            </w:pPr>
          </w:p>
        </w:tc>
        <w:tc>
          <w:tcPr>
            <w:tcW w:w="220" w:type="dxa"/>
            <w:vAlign w:val="bottom"/>
            <w:shd w:val="clear" w:color="auto" w:fill="002B5F"/>
          </w:tcPr>
          <w:p>
            <w:pPr>
              <w:spacing w:after="0"/>
              <w:rPr>
                <w:sz w:val="11"/>
                <w:szCs w:val="11"/>
                <w:color w:val="auto"/>
              </w:rPr>
            </w:pPr>
          </w:p>
        </w:tc>
        <w:tc>
          <w:tcPr>
            <w:tcW w:w="1200" w:type="dxa"/>
            <w:vAlign w:val="bottom"/>
            <w:shd w:val="clear" w:color="auto" w:fill="002B5F"/>
          </w:tcPr>
          <w:p>
            <w:pPr>
              <w:ind w:left="80"/>
              <w:spacing w:after="0" w:line="128" w:lineRule="exact"/>
              <w:rPr>
                <w:sz w:val="20"/>
                <w:szCs w:val="20"/>
                <w:color w:val="auto"/>
              </w:rPr>
            </w:pPr>
            <w:r>
              <w:rPr>
                <w:rFonts w:ascii="Arial" w:cs="Arial" w:eastAsia="Arial" w:hAnsi="Arial"/>
                <w:sz w:val="12"/>
                <w:szCs w:val="12"/>
                <w:color w:val="FFFFFF"/>
              </w:rPr>
              <w:t> </w:t>
            </w:r>
          </w:p>
        </w:tc>
      </w:tr>
      <w:tr>
        <w:trPr>
          <w:trHeight w:val="128"/>
        </w:trPr>
        <w:tc>
          <w:tcPr>
            <w:tcW w:w="120" w:type="dxa"/>
            <w:vAlign w:val="bottom"/>
            <w:shd w:val="clear" w:color="auto" w:fill="002B5F"/>
          </w:tcPr>
          <w:p>
            <w:pPr>
              <w:spacing w:after="0"/>
              <w:rPr>
                <w:sz w:val="11"/>
                <w:szCs w:val="11"/>
                <w:color w:val="auto"/>
              </w:rPr>
            </w:pPr>
          </w:p>
        </w:tc>
        <w:tc>
          <w:tcPr>
            <w:tcW w:w="160" w:type="dxa"/>
            <w:vAlign w:val="bottom"/>
            <w:shd w:val="clear" w:color="auto" w:fill="002B5F"/>
          </w:tcPr>
          <w:p>
            <w:pPr>
              <w:spacing w:after="0"/>
              <w:rPr>
                <w:sz w:val="11"/>
                <w:szCs w:val="11"/>
                <w:color w:val="auto"/>
              </w:rPr>
            </w:pPr>
          </w:p>
        </w:tc>
        <w:tc>
          <w:tcPr>
            <w:tcW w:w="160" w:type="dxa"/>
            <w:vAlign w:val="bottom"/>
            <w:shd w:val="clear" w:color="auto" w:fill="002B5F"/>
          </w:tcPr>
          <w:p>
            <w:pPr>
              <w:spacing w:after="0"/>
              <w:rPr>
                <w:sz w:val="11"/>
                <w:szCs w:val="11"/>
                <w:color w:val="auto"/>
              </w:rPr>
            </w:pPr>
          </w:p>
        </w:tc>
        <w:tc>
          <w:tcPr>
            <w:tcW w:w="220" w:type="dxa"/>
            <w:vAlign w:val="bottom"/>
            <w:shd w:val="clear" w:color="auto" w:fill="002B5F"/>
          </w:tcPr>
          <w:p>
            <w:pPr>
              <w:spacing w:after="0"/>
              <w:rPr>
                <w:sz w:val="11"/>
                <w:szCs w:val="11"/>
                <w:color w:val="auto"/>
              </w:rPr>
            </w:pPr>
          </w:p>
        </w:tc>
        <w:tc>
          <w:tcPr>
            <w:tcW w:w="1200" w:type="dxa"/>
            <w:vAlign w:val="bottom"/>
            <w:shd w:val="clear" w:color="auto" w:fill="002B5F"/>
          </w:tcPr>
          <w:p>
            <w:pPr>
              <w:ind w:left="80"/>
              <w:spacing w:after="0" w:line="128" w:lineRule="exact"/>
              <w:rPr>
                <w:sz w:val="20"/>
                <w:szCs w:val="20"/>
                <w:color w:val="auto"/>
              </w:rPr>
            </w:pPr>
            <w:r>
              <w:rPr>
                <w:rFonts w:ascii="Arial" w:cs="Arial" w:eastAsia="Arial" w:hAnsi="Arial"/>
                <w:sz w:val="12"/>
                <w:szCs w:val="12"/>
                <w:color w:val="FFFFFF"/>
              </w:rPr>
              <w:t> </w:t>
            </w:r>
          </w:p>
        </w:tc>
      </w:tr>
      <w:tr>
        <w:trPr>
          <w:trHeight w:val="158"/>
        </w:trPr>
        <w:tc>
          <w:tcPr>
            <w:tcW w:w="120" w:type="dxa"/>
            <w:vAlign w:val="bottom"/>
            <w:shd w:val="clear" w:color="auto" w:fill="002B5F"/>
          </w:tcPr>
          <w:p>
            <w:pPr>
              <w:spacing w:after="0"/>
              <w:rPr>
                <w:sz w:val="13"/>
                <w:szCs w:val="13"/>
                <w:color w:val="auto"/>
              </w:rPr>
            </w:pPr>
          </w:p>
        </w:tc>
        <w:tc>
          <w:tcPr>
            <w:tcW w:w="160" w:type="dxa"/>
            <w:vAlign w:val="bottom"/>
            <w:shd w:val="clear" w:color="auto" w:fill="002B5F"/>
          </w:tcPr>
          <w:p>
            <w:pPr>
              <w:spacing w:after="0"/>
              <w:rPr>
                <w:sz w:val="13"/>
                <w:szCs w:val="13"/>
                <w:color w:val="auto"/>
              </w:rPr>
            </w:pPr>
          </w:p>
        </w:tc>
        <w:tc>
          <w:tcPr>
            <w:tcW w:w="160" w:type="dxa"/>
            <w:vAlign w:val="bottom"/>
            <w:shd w:val="clear" w:color="auto" w:fill="002B5F"/>
          </w:tcPr>
          <w:p>
            <w:pPr>
              <w:spacing w:after="0"/>
              <w:rPr>
                <w:sz w:val="13"/>
                <w:szCs w:val="13"/>
                <w:color w:val="auto"/>
              </w:rPr>
            </w:pPr>
          </w:p>
        </w:tc>
        <w:tc>
          <w:tcPr>
            <w:tcW w:w="220" w:type="dxa"/>
            <w:vAlign w:val="bottom"/>
            <w:shd w:val="clear" w:color="auto" w:fill="002B5F"/>
          </w:tcPr>
          <w:p>
            <w:pPr>
              <w:spacing w:after="0"/>
              <w:rPr>
                <w:sz w:val="13"/>
                <w:szCs w:val="13"/>
                <w:color w:val="auto"/>
              </w:rPr>
            </w:pPr>
          </w:p>
        </w:tc>
        <w:tc>
          <w:tcPr>
            <w:tcW w:w="1200" w:type="dxa"/>
            <w:vAlign w:val="bottom"/>
            <w:shd w:val="clear" w:color="auto" w:fill="002B5F"/>
          </w:tcPr>
          <w:p>
            <w:pPr>
              <w:ind w:left="80"/>
              <w:spacing w:after="0"/>
              <w:rPr>
                <w:sz w:val="20"/>
                <w:szCs w:val="20"/>
                <w:color w:val="auto"/>
              </w:rPr>
            </w:pPr>
            <w:r>
              <w:rPr>
                <w:rFonts w:ascii="Arial" w:cs="Arial" w:eastAsia="Arial" w:hAnsi="Arial"/>
                <w:sz w:val="12"/>
                <w:szCs w:val="12"/>
                <w:color w:val="FFFFFF"/>
              </w:rPr>
              <w:t> </w:t>
            </w:r>
          </w:p>
        </w:tc>
      </w:tr>
      <w:tr>
        <w:trPr>
          <w:trHeight w:val="370"/>
        </w:trPr>
        <w:tc>
          <w:tcPr>
            <w:tcW w:w="120" w:type="dxa"/>
            <w:vAlign w:val="bottom"/>
            <w:shd w:val="clear" w:color="auto" w:fill="002B5F"/>
          </w:tcPr>
          <w:p>
            <w:pPr>
              <w:spacing w:after="0"/>
              <w:rPr>
                <w:sz w:val="24"/>
                <w:szCs w:val="24"/>
                <w:color w:val="auto"/>
              </w:rPr>
            </w:pPr>
          </w:p>
        </w:tc>
        <w:tc>
          <w:tcPr>
            <w:tcW w:w="160" w:type="dxa"/>
            <w:vAlign w:val="bottom"/>
            <w:shd w:val="clear" w:color="auto" w:fill="002B5F"/>
          </w:tcPr>
          <w:p>
            <w:pPr>
              <w:spacing w:after="0"/>
              <w:rPr>
                <w:sz w:val="24"/>
                <w:szCs w:val="24"/>
                <w:color w:val="auto"/>
              </w:rPr>
            </w:pPr>
          </w:p>
        </w:tc>
        <w:tc>
          <w:tcPr>
            <w:tcW w:w="160" w:type="dxa"/>
            <w:vAlign w:val="bottom"/>
            <w:shd w:val="clear" w:color="auto" w:fill="002B5F"/>
          </w:tcPr>
          <w:p>
            <w:pPr>
              <w:spacing w:after="0"/>
              <w:rPr>
                <w:sz w:val="24"/>
                <w:szCs w:val="24"/>
                <w:color w:val="auto"/>
              </w:rPr>
            </w:pPr>
          </w:p>
        </w:tc>
        <w:tc>
          <w:tcPr>
            <w:tcW w:w="220" w:type="dxa"/>
            <w:vAlign w:val="bottom"/>
            <w:shd w:val="clear" w:color="auto" w:fill="002B5F"/>
          </w:tcPr>
          <w:p>
            <w:pPr>
              <w:spacing w:after="0"/>
              <w:rPr>
                <w:sz w:val="24"/>
                <w:szCs w:val="24"/>
                <w:color w:val="auto"/>
              </w:rPr>
            </w:pPr>
          </w:p>
        </w:tc>
        <w:tc>
          <w:tcPr>
            <w:tcW w:w="1200" w:type="dxa"/>
            <w:vAlign w:val="bottom"/>
            <w:shd w:val="clear" w:color="auto" w:fill="002B5F"/>
          </w:tcPr>
          <w:p>
            <w:pPr>
              <w:ind w:left="80"/>
              <w:spacing w:after="0"/>
              <w:rPr>
                <w:sz w:val="20"/>
                <w:szCs w:val="20"/>
                <w:color w:val="auto"/>
              </w:rPr>
            </w:pPr>
            <w:r>
              <w:rPr>
                <w:rFonts w:ascii="Arial" w:cs="Arial" w:eastAsia="Arial" w:hAnsi="Arial"/>
                <w:sz w:val="12"/>
                <w:szCs w:val="12"/>
                <w:color w:val="FFFFFF"/>
              </w:rPr>
              <w:t> </w:t>
            </w:r>
          </w:p>
        </w:tc>
      </w:tr>
      <w:tr>
        <w:trPr>
          <w:trHeight w:val="340"/>
        </w:trPr>
        <w:tc>
          <w:tcPr>
            <w:tcW w:w="120" w:type="dxa"/>
            <w:vAlign w:val="bottom"/>
            <w:shd w:val="clear" w:color="auto" w:fill="002B5F"/>
          </w:tcPr>
          <w:p>
            <w:pPr>
              <w:spacing w:after="0"/>
              <w:rPr>
                <w:sz w:val="24"/>
                <w:szCs w:val="24"/>
                <w:color w:val="auto"/>
              </w:rPr>
            </w:pPr>
          </w:p>
        </w:tc>
        <w:tc>
          <w:tcPr>
            <w:tcW w:w="160" w:type="dxa"/>
            <w:vAlign w:val="bottom"/>
            <w:shd w:val="clear" w:color="auto" w:fill="002B5F"/>
          </w:tcPr>
          <w:p>
            <w:pPr>
              <w:spacing w:after="0"/>
              <w:rPr>
                <w:sz w:val="24"/>
                <w:szCs w:val="24"/>
                <w:color w:val="auto"/>
              </w:rPr>
            </w:pPr>
          </w:p>
        </w:tc>
        <w:tc>
          <w:tcPr>
            <w:tcW w:w="160" w:type="dxa"/>
            <w:vAlign w:val="bottom"/>
            <w:shd w:val="clear" w:color="auto" w:fill="002B5F"/>
          </w:tcPr>
          <w:p>
            <w:pPr>
              <w:spacing w:after="0"/>
              <w:rPr>
                <w:sz w:val="24"/>
                <w:szCs w:val="24"/>
                <w:color w:val="auto"/>
              </w:rPr>
            </w:pPr>
          </w:p>
        </w:tc>
        <w:tc>
          <w:tcPr>
            <w:tcW w:w="220" w:type="dxa"/>
            <w:vAlign w:val="bottom"/>
            <w:shd w:val="clear" w:color="auto" w:fill="002B5F"/>
          </w:tcPr>
          <w:p>
            <w:pPr>
              <w:spacing w:after="0"/>
              <w:rPr>
                <w:sz w:val="24"/>
                <w:szCs w:val="24"/>
                <w:color w:val="auto"/>
              </w:rPr>
            </w:pPr>
          </w:p>
        </w:tc>
        <w:tc>
          <w:tcPr>
            <w:tcW w:w="1200" w:type="dxa"/>
            <w:vAlign w:val="bottom"/>
            <w:shd w:val="clear" w:color="auto" w:fill="002B5F"/>
          </w:tcPr>
          <w:p>
            <w:pPr>
              <w:ind w:left="80"/>
              <w:spacing w:after="0"/>
              <w:rPr>
                <w:sz w:val="20"/>
                <w:szCs w:val="20"/>
                <w:color w:val="auto"/>
              </w:rPr>
            </w:pPr>
            <w:r>
              <w:rPr>
                <w:rFonts w:ascii="Arial" w:cs="Arial" w:eastAsia="Arial" w:hAnsi="Arial"/>
                <w:sz w:val="12"/>
                <w:szCs w:val="12"/>
                <w:color w:val="FFFFFF"/>
              </w:rPr>
              <w:t> </w:t>
            </w:r>
          </w:p>
        </w:tc>
      </w:tr>
      <w:tr>
        <w:trPr>
          <w:trHeight w:val="128"/>
        </w:trPr>
        <w:tc>
          <w:tcPr>
            <w:tcW w:w="120" w:type="dxa"/>
            <w:vAlign w:val="bottom"/>
            <w:shd w:val="clear" w:color="auto" w:fill="002B5F"/>
          </w:tcPr>
          <w:p>
            <w:pPr>
              <w:spacing w:after="0"/>
              <w:rPr>
                <w:sz w:val="11"/>
                <w:szCs w:val="11"/>
                <w:color w:val="auto"/>
              </w:rPr>
            </w:pPr>
          </w:p>
        </w:tc>
        <w:tc>
          <w:tcPr>
            <w:tcW w:w="160" w:type="dxa"/>
            <w:vAlign w:val="bottom"/>
            <w:shd w:val="clear" w:color="auto" w:fill="002B5F"/>
          </w:tcPr>
          <w:p>
            <w:pPr>
              <w:spacing w:after="0"/>
              <w:rPr>
                <w:sz w:val="11"/>
                <w:szCs w:val="11"/>
                <w:color w:val="auto"/>
              </w:rPr>
            </w:pPr>
          </w:p>
        </w:tc>
        <w:tc>
          <w:tcPr>
            <w:tcW w:w="160" w:type="dxa"/>
            <w:vAlign w:val="bottom"/>
            <w:shd w:val="clear" w:color="auto" w:fill="002B5F"/>
          </w:tcPr>
          <w:p>
            <w:pPr>
              <w:spacing w:after="0"/>
              <w:rPr>
                <w:sz w:val="11"/>
                <w:szCs w:val="11"/>
                <w:color w:val="auto"/>
              </w:rPr>
            </w:pPr>
          </w:p>
        </w:tc>
        <w:tc>
          <w:tcPr>
            <w:tcW w:w="220" w:type="dxa"/>
            <w:vAlign w:val="bottom"/>
            <w:shd w:val="clear" w:color="auto" w:fill="002B5F"/>
          </w:tcPr>
          <w:p>
            <w:pPr>
              <w:spacing w:after="0"/>
              <w:rPr>
                <w:sz w:val="11"/>
                <w:szCs w:val="11"/>
                <w:color w:val="auto"/>
              </w:rPr>
            </w:pPr>
          </w:p>
        </w:tc>
        <w:tc>
          <w:tcPr>
            <w:tcW w:w="1200" w:type="dxa"/>
            <w:vAlign w:val="bottom"/>
            <w:shd w:val="clear" w:color="auto" w:fill="002B5F"/>
          </w:tcPr>
          <w:p>
            <w:pPr>
              <w:ind w:left="80"/>
              <w:spacing w:after="0" w:line="128" w:lineRule="exact"/>
              <w:rPr>
                <w:sz w:val="20"/>
                <w:szCs w:val="20"/>
                <w:color w:val="auto"/>
              </w:rPr>
            </w:pPr>
            <w:r>
              <w:rPr>
                <w:rFonts w:ascii="Arial" w:cs="Arial" w:eastAsia="Arial" w:hAnsi="Arial"/>
                <w:sz w:val="12"/>
                <w:szCs w:val="12"/>
                <w:color w:val="FFFFFF"/>
              </w:rPr>
              <w:t> </w:t>
            </w:r>
          </w:p>
        </w:tc>
      </w:tr>
      <w:tr>
        <w:trPr>
          <w:trHeight w:val="158"/>
        </w:trPr>
        <w:tc>
          <w:tcPr>
            <w:tcW w:w="120" w:type="dxa"/>
            <w:vAlign w:val="bottom"/>
            <w:shd w:val="clear" w:color="auto" w:fill="002B5F"/>
          </w:tcPr>
          <w:p>
            <w:pPr>
              <w:spacing w:after="0"/>
              <w:rPr>
                <w:sz w:val="13"/>
                <w:szCs w:val="13"/>
                <w:color w:val="auto"/>
              </w:rPr>
            </w:pPr>
          </w:p>
        </w:tc>
        <w:tc>
          <w:tcPr>
            <w:tcW w:w="160" w:type="dxa"/>
            <w:vAlign w:val="bottom"/>
            <w:shd w:val="clear" w:color="auto" w:fill="002B5F"/>
          </w:tcPr>
          <w:p>
            <w:pPr>
              <w:spacing w:after="0"/>
              <w:rPr>
                <w:sz w:val="13"/>
                <w:szCs w:val="13"/>
                <w:color w:val="auto"/>
              </w:rPr>
            </w:pPr>
          </w:p>
        </w:tc>
        <w:tc>
          <w:tcPr>
            <w:tcW w:w="160" w:type="dxa"/>
            <w:vAlign w:val="bottom"/>
            <w:shd w:val="clear" w:color="auto" w:fill="002B5F"/>
          </w:tcPr>
          <w:p>
            <w:pPr>
              <w:spacing w:after="0"/>
              <w:rPr>
                <w:sz w:val="13"/>
                <w:szCs w:val="13"/>
                <w:color w:val="auto"/>
              </w:rPr>
            </w:pPr>
          </w:p>
        </w:tc>
        <w:tc>
          <w:tcPr>
            <w:tcW w:w="220" w:type="dxa"/>
            <w:vAlign w:val="bottom"/>
            <w:shd w:val="clear" w:color="auto" w:fill="002B5F"/>
          </w:tcPr>
          <w:p>
            <w:pPr>
              <w:spacing w:after="0"/>
              <w:rPr>
                <w:sz w:val="13"/>
                <w:szCs w:val="13"/>
                <w:color w:val="auto"/>
              </w:rPr>
            </w:pPr>
          </w:p>
        </w:tc>
        <w:tc>
          <w:tcPr>
            <w:tcW w:w="1200" w:type="dxa"/>
            <w:vAlign w:val="bottom"/>
            <w:shd w:val="clear" w:color="auto" w:fill="002B5F"/>
          </w:tcPr>
          <w:p>
            <w:pPr>
              <w:ind w:left="80"/>
              <w:spacing w:after="0"/>
              <w:rPr>
                <w:sz w:val="20"/>
                <w:szCs w:val="20"/>
                <w:color w:val="auto"/>
              </w:rPr>
            </w:pPr>
            <w:r>
              <w:rPr>
                <w:rFonts w:ascii="Arial" w:cs="Arial" w:eastAsia="Arial" w:hAnsi="Arial"/>
                <w:sz w:val="12"/>
                <w:szCs w:val="12"/>
                <w:color w:val="FFFFFF"/>
              </w:rPr>
              <w:t> </w:t>
            </w:r>
          </w:p>
        </w:tc>
      </w:tr>
      <w:tr>
        <w:trPr>
          <w:trHeight w:val="340"/>
        </w:trPr>
        <w:tc>
          <w:tcPr>
            <w:tcW w:w="120" w:type="dxa"/>
            <w:vAlign w:val="bottom"/>
            <w:shd w:val="clear" w:color="auto" w:fill="002B5F"/>
          </w:tcPr>
          <w:p>
            <w:pPr>
              <w:spacing w:after="0"/>
              <w:rPr>
                <w:sz w:val="24"/>
                <w:szCs w:val="24"/>
                <w:color w:val="auto"/>
              </w:rPr>
            </w:pPr>
          </w:p>
        </w:tc>
        <w:tc>
          <w:tcPr>
            <w:tcW w:w="160" w:type="dxa"/>
            <w:vAlign w:val="bottom"/>
            <w:shd w:val="clear" w:color="auto" w:fill="002B5F"/>
          </w:tcPr>
          <w:p>
            <w:pPr>
              <w:spacing w:after="0"/>
              <w:rPr>
                <w:sz w:val="24"/>
                <w:szCs w:val="24"/>
                <w:color w:val="auto"/>
              </w:rPr>
            </w:pPr>
          </w:p>
        </w:tc>
        <w:tc>
          <w:tcPr>
            <w:tcW w:w="160" w:type="dxa"/>
            <w:vAlign w:val="bottom"/>
            <w:shd w:val="clear" w:color="auto" w:fill="002B5F"/>
          </w:tcPr>
          <w:p>
            <w:pPr>
              <w:spacing w:after="0"/>
              <w:rPr>
                <w:sz w:val="24"/>
                <w:szCs w:val="24"/>
                <w:color w:val="auto"/>
              </w:rPr>
            </w:pPr>
          </w:p>
        </w:tc>
        <w:tc>
          <w:tcPr>
            <w:tcW w:w="220" w:type="dxa"/>
            <w:vAlign w:val="bottom"/>
            <w:shd w:val="clear" w:color="auto" w:fill="002B5F"/>
          </w:tcPr>
          <w:p>
            <w:pPr>
              <w:spacing w:after="0"/>
              <w:rPr>
                <w:sz w:val="24"/>
                <w:szCs w:val="24"/>
                <w:color w:val="auto"/>
              </w:rPr>
            </w:pPr>
          </w:p>
        </w:tc>
        <w:tc>
          <w:tcPr>
            <w:tcW w:w="1200" w:type="dxa"/>
            <w:vAlign w:val="bottom"/>
            <w:shd w:val="clear" w:color="auto" w:fill="002B5F"/>
          </w:tcPr>
          <w:p>
            <w:pPr>
              <w:ind w:left="80"/>
              <w:spacing w:after="0"/>
              <w:rPr>
                <w:sz w:val="20"/>
                <w:szCs w:val="20"/>
                <w:color w:val="auto"/>
              </w:rPr>
            </w:pPr>
            <w:r>
              <w:rPr>
                <w:rFonts w:ascii="Arial" w:cs="Arial" w:eastAsia="Arial" w:hAnsi="Arial"/>
                <w:sz w:val="12"/>
                <w:szCs w:val="12"/>
                <w:color w:val="FFFFFF"/>
              </w:rPr>
              <w:t> </w:t>
            </w:r>
          </w:p>
        </w:tc>
      </w:tr>
      <w:tr>
        <w:trPr>
          <w:trHeight w:val="128"/>
        </w:trPr>
        <w:tc>
          <w:tcPr>
            <w:tcW w:w="120" w:type="dxa"/>
            <w:vAlign w:val="bottom"/>
            <w:shd w:val="clear" w:color="auto" w:fill="002B5F"/>
          </w:tcPr>
          <w:p>
            <w:pPr>
              <w:spacing w:after="0"/>
              <w:rPr>
                <w:sz w:val="11"/>
                <w:szCs w:val="11"/>
                <w:color w:val="auto"/>
              </w:rPr>
            </w:pPr>
          </w:p>
        </w:tc>
        <w:tc>
          <w:tcPr>
            <w:tcW w:w="160" w:type="dxa"/>
            <w:vAlign w:val="bottom"/>
            <w:shd w:val="clear" w:color="auto" w:fill="002B5F"/>
          </w:tcPr>
          <w:p>
            <w:pPr>
              <w:spacing w:after="0"/>
              <w:rPr>
                <w:sz w:val="11"/>
                <w:szCs w:val="11"/>
                <w:color w:val="auto"/>
              </w:rPr>
            </w:pPr>
          </w:p>
        </w:tc>
        <w:tc>
          <w:tcPr>
            <w:tcW w:w="160" w:type="dxa"/>
            <w:vAlign w:val="bottom"/>
            <w:shd w:val="clear" w:color="auto" w:fill="002B5F"/>
          </w:tcPr>
          <w:p>
            <w:pPr>
              <w:spacing w:after="0"/>
              <w:rPr>
                <w:sz w:val="11"/>
                <w:szCs w:val="11"/>
                <w:color w:val="auto"/>
              </w:rPr>
            </w:pPr>
          </w:p>
        </w:tc>
        <w:tc>
          <w:tcPr>
            <w:tcW w:w="220" w:type="dxa"/>
            <w:vAlign w:val="bottom"/>
            <w:shd w:val="clear" w:color="auto" w:fill="002B5F"/>
          </w:tcPr>
          <w:p>
            <w:pPr>
              <w:spacing w:after="0"/>
              <w:rPr>
                <w:sz w:val="11"/>
                <w:szCs w:val="11"/>
                <w:color w:val="auto"/>
              </w:rPr>
            </w:pPr>
          </w:p>
        </w:tc>
        <w:tc>
          <w:tcPr>
            <w:tcW w:w="1200" w:type="dxa"/>
            <w:vAlign w:val="bottom"/>
            <w:shd w:val="clear" w:color="auto" w:fill="002B5F"/>
          </w:tcPr>
          <w:p>
            <w:pPr>
              <w:ind w:left="80"/>
              <w:spacing w:after="0" w:line="128" w:lineRule="exact"/>
              <w:rPr>
                <w:sz w:val="20"/>
                <w:szCs w:val="20"/>
                <w:color w:val="auto"/>
              </w:rPr>
            </w:pPr>
            <w:r>
              <w:rPr>
                <w:rFonts w:ascii="Arial" w:cs="Arial" w:eastAsia="Arial" w:hAnsi="Arial"/>
                <w:sz w:val="12"/>
                <w:szCs w:val="12"/>
                <w:color w:val="FFFFFF"/>
              </w:rPr>
              <w:t> </w:t>
            </w:r>
          </w:p>
        </w:tc>
      </w:tr>
      <w:tr>
        <w:trPr>
          <w:trHeight w:val="158"/>
        </w:trPr>
        <w:tc>
          <w:tcPr>
            <w:tcW w:w="120" w:type="dxa"/>
            <w:vAlign w:val="bottom"/>
            <w:shd w:val="clear" w:color="auto" w:fill="002B5F"/>
          </w:tcPr>
          <w:p>
            <w:pPr>
              <w:spacing w:after="0"/>
              <w:rPr>
                <w:sz w:val="13"/>
                <w:szCs w:val="13"/>
                <w:color w:val="auto"/>
              </w:rPr>
            </w:pPr>
          </w:p>
        </w:tc>
        <w:tc>
          <w:tcPr>
            <w:tcW w:w="160" w:type="dxa"/>
            <w:vAlign w:val="bottom"/>
            <w:shd w:val="clear" w:color="auto" w:fill="002B5F"/>
          </w:tcPr>
          <w:p>
            <w:pPr>
              <w:spacing w:after="0"/>
              <w:rPr>
                <w:sz w:val="13"/>
                <w:szCs w:val="13"/>
                <w:color w:val="auto"/>
              </w:rPr>
            </w:pPr>
          </w:p>
        </w:tc>
        <w:tc>
          <w:tcPr>
            <w:tcW w:w="160" w:type="dxa"/>
            <w:vAlign w:val="bottom"/>
            <w:shd w:val="clear" w:color="auto" w:fill="002B5F"/>
          </w:tcPr>
          <w:p>
            <w:pPr>
              <w:spacing w:after="0"/>
              <w:rPr>
                <w:sz w:val="13"/>
                <w:szCs w:val="13"/>
                <w:color w:val="auto"/>
              </w:rPr>
            </w:pPr>
          </w:p>
        </w:tc>
        <w:tc>
          <w:tcPr>
            <w:tcW w:w="220" w:type="dxa"/>
            <w:vAlign w:val="bottom"/>
            <w:shd w:val="clear" w:color="auto" w:fill="002B5F"/>
          </w:tcPr>
          <w:p>
            <w:pPr>
              <w:spacing w:after="0"/>
              <w:rPr>
                <w:sz w:val="13"/>
                <w:szCs w:val="13"/>
                <w:color w:val="auto"/>
              </w:rPr>
            </w:pPr>
          </w:p>
        </w:tc>
        <w:tc>
          <w:tcPr>
            <w:tcW w:w="1200" w:type="dxa"/>
            <w:vAlign w:val="bottom"/>
            <w:shd w:val="clear" w:color="auto" w:fill="002B5F"/>
          </w:tcPr>
          <w:p>
            <w:pPr>
              <w:ind w:left="80"/>
              <w:spacing w:after="0"/>
              <w:rPr>
                <w:sz w:val="20"/>
                <w:szCs w:val="20"/>
                <w:color w:val="auto"/>
              </w:rPr>
            </w:pPr>
            <w:r>
              <w:rPr>
                <w:rFonts w:ascii="Arial" w:cs="Arial" w:eastAsia="Arial" w:hAnsi="Arial"/>
                <w:sz w:val="12"/>
                <w:szCs w:val="12"/>
                <w:color w:val="FFFFFF"/>
              </w:rPr>
              <w:t> </w:t>
            </w:r>
          </w:p>
        </w:tc>
      </w:tr>
      <w:tr>
        <w:trPr>
          <w:trHeight w:val="340"/>
        </w:trPr>
        <w:tc>
          <w:tcPr>
            <w:tcW w:w="120" w:type="dxa"/>
            <w:vAlign w:val="bottom"/>
            <w:shd w:val="clear" w:color="auto" w:fill="002B5F"/>
          </w:tcPr>
          <w:p>
            <w:pPr>
              <w:spacing w:after="0"/>
              <w:rPr>
                <w:sz w:val="24"/>
                <w:szCs w:val="24"/>
                <w:color w:val="auto"/>
              </w:rPr>
            </w:pPr>
          </w:p>
        </w:tc>
        <w:tc>
          <w:tcPr>
            <w:tcW w:w="160" w:type="dxa"/>
            <w:vAlign w:val="bottom"/>
            <w:shd w:val="clear" w:color="auto" w:fill="002B5F"/>
          </w:tcPr>
          <w:p>
            <w:pPr>
              <w:spacing w:after="0"/>
              <w:rPr>
                <w:sz w:val="24"/>
                <w:szCs w:val="24"/>
                <w:color w:val="auto"/>
              </w:rPr>
            </w:pPr>
          </w:p>
        </w:tc>
        <w:tc>
          <w:tcPr>
            <w:tcW w:w="160" w:type="dxa"/>
            <w:vAlign w:val="bottom"/>
            <w:shd w:val="clear" w:color="auto" w:fill="002B5F"/>
          </w:tcPr>
          <w:p>
            <w:pPr>
              <w:spacing w:after="0"/>
              <w:rPr>
                <w:sz w:val="24"/>
                <w:szCs w:val="24"/>
                <w:color w:val="auto"/>
              </w:rPr>
            </w:pPr>
          </w:p>
        </w:tc>
        <w:tc>
          <w:tcPr>
            <w:tcW w:w="220" w:type="dxa"/>
            <w:vAlign w:val="bottom"/>
            <w:shd w:val="clear" w:color="auto" w:fill="002B5F"/>
          </w:tcPr>
          <w:p>
            <w:pPr>
              <w:spacing w:after="0"/>
              <w:rPr>
                <w:sz w:val="24"/>
                <w:szCs w:val="24"/>
                <w:color w:val="auto"/>
              </w:rPr>
            </w:pPr>
          </w:p>
        </w:tc>
        <w:tc>
          <w:tcPr>
            <w:tcW w:w="1200" w:type="dxa"/>
            <w:vAlign w:val="bottom"/>
            <w:shd w:val="clear" w:color="auto" w:fill="002B5F"/>
          </w:tcPr>
          <w:p>
            <w:pPr>
              <w:ind w:left="80"/>
              <w:spacing w:after="0"/>
              <w:rPr>
                <w:sz w:val="20"/>
                <w:szCs w:val="20"/>
                <w:color w:val="auto"/>
              </w:rPr>
            </w:pPr>
            <w:r>
              <w:rPr>
                <w:rFonts w:ascii="Arial" w:cs="Arial" w:eastAsia="Arial" w:hAnsi="Arial"/>
                <w:sz w:val="12"/>
                <w:szCs w:val="12"/>
                <w:color w:val="FFFFFF"/>
              </w:rPr>
              <w:t> </w:t>
            </w:r>
          </w:p>
        </w:tc>
      </w:tr>
      <w:tr>
        <w:trPr>
          <w:trHeight w:val="158"/>
        </w:trPr>
        <w:tc>
          <w:tcPr>
            <w:tcW w:w="120" w:type="dxa"/>
            <w:vAlign w:val="bottom"/>
            <w:shd w:val="clear" w:color="auto" w:fill="002B5F"/>
          </w:tcPr>
          <w:p>
            <w:pPr>
              <w:spacing w:after="0"/>
              <w:rPr>
                <w:sz w:val="13"/>
                <w:szCs w:val="13"/>
                <w:color w:val="auto"/>
              </w:rPr>
            </w:pPr>
          </w:p>
        </w:tc>
        <w:tc>
          <w:tcPr>
            <w:tcW w:w="160" w:type="dxa"/>
            <w:vAlign w:val="bottom"/>
            <w:shd w:val="clear" w:color="auto" w:fill="002B5F"/>
          </w:tcPr>
          <w:p>
            <w:pPr>
              <w:spacing w:after="0"/>
              <w:rPr>
                <w:sz w:val="13"/>
                <w:szCs w:val="13"/>
                <w:color w:val="auto"/>
              </w:rPr>
            </w:pPr>
          </w:p>
        </w:tc>
        <w:tc>
          <w:tcPr>
            <w:tcW w:w="160" w:type="dxa"/>
            <w:vAlign w:val="bottom"/>
            <w:shd w:val="clear" w:color="auto" w:fill="002B5F"/>
          </w:tcPr>
          <w:p>
            <w:pPr>
              <w:spacing w:after="0"/>
              <w:rPr>
                <w:sz w:val="13"/>
                <w:szCs w:val="13"/>
                <w:color w:val="auto"/>
              </w:rPr>
            </w:pPr>
          </w:p>
        </w:tc>
        <w:tc>
          <w:tcPr>
            <w:tcW w:w="220" w:type="dxa"/>
            <w:vAlign w:val="bottom"/>
            <w:shd w:val="clear" w:color="auto" w:fill="002B5F"/>
          </w:tcPr>
          <w:p>
            <w:pPr>
              <w:spacing w:after="0"/>
              <w:rPr>
                <w:sz w:val="13"/>
                <w:szCs w:val="13"/>
                <w:color w:val="auto"/>
              </w:rPr>
            </w:pPr>
          </w:p>
        </w:tc>
        <w:tc>
          <w:tcPr>
            <w:tcW w:w="1200" w:type="dxa"/>
            <w:vAlign w:val="bottom"/>
            <w:shd w:val="clear" w:color="auto" w:fill="002B5F"/>
          </w:tcPr>
          <w:p>
            <w:pPr>
              <w:ind w:left="80"/>
              <w:spacing w:after="0"/>
              <w:rPr>
                <w:sz w:val="20"/>
                <w:szCs w:val="20"/>
                <w:color w:val="auto"/>
              </w:rPr>
            </w:pPr>
            <w:r>
              <w:rPr>
                <w:rFonts w:ascii="Arial" w:cs="Arial" w:eastAsia="Arial" w:hAnsi="Arial"/>
                <w:sz w:val="12"/>
                <w:szCs w:val="12"/>
                <w:color w:val="FFFFFF"/>
              </w:rPr>
              <w:t> </w:t>
            </w:r>
          </w:p>
        </w:tc>
      </w:tr>
      <w:tr>
        <w:trPr>
          <w:trHeight w:val="370"/>
        </w:trPr>
        <w:tc>
          <w:tcPr>
            <w:tcW w:w="120" w:type="dxa"/>
            <w:vAlign w:val="bottom"/>
            <w:shd w:val="clear" w:color="auto" w:fill="002B5F"/>
          </w:tcPr>
          <w:p>
            <w:pPr>
              <w:spacing w:after="0"/>
              <w:rPr>
                <w:sz w:val="24"/>
                <w:szCs w:val="24"/>
                <w:color w:val="auto"/>
              </w:rPr>
            </w:pPr>
          </w:p>
        </w:tc>
        <w:tc>
          <w:tcPr>
            <w:tcW w:w="160" w:type="dxa"/>
            <w:vAlign w:val="bottom"/>
            <w:shd w:val="clear" w:color="auto" w:fill="002B5F"/>
          </w:tcPr>
          <w:p>
            <w:pPr>
              <w:spacing w:after="0"/>
              <w:rPr>
                <w:sz w:val="24"/>
                <w:szCs w:val="24"/>
                <w:color w:val="auto"/>
              </w:rPr>
            </w:pPr>
          </w:p>
        </w:tc>
        <w:tc>
          <w:tcPr>
            <w:tcW w:w="160" w:type="dxa"/>
            <w:vAlign w:val="bottom"/>
            <w:shd w:val="clear" w:color="auto" w:fill="002B5F"/>
          </w:tcPr>
          <w:p>
            <w:pPr>
              <w:spacing w:after="0"/>
              <w:rPr>
                <w:sz w:val="24"/>
                <w:szCs w:val="24"/>
                <w:color w:val="auto"/>
              </w:rPr>
            </w:pPr>
          </w:p>
        </w:tc>
        <w:tc>
          <w:tcPr>
            <w:tcW w:w="220" w:type="dxa"/>
            <w:vAlign w:val="bottom"/>
            <w:shd w:val="clear" w:color="auto" w:fill="002B5F"/>
          </w:tcPr>
          <w:p>
            <w:pPr>
              <w:spacing w:after="0"/>
              <w:rPr>
                <w:sz w:val="24"/>
                <w:szCs w:val="24"/>
                <w:color w:val="auto"/>
              </w:rPr>
            </w:pPr>
          </w:p>
        </w:tc>
        <w:tc>
          <w:tcPr>
            <w:tcW w:w="1200" w:type="dxa"/>
            <w:vAlign w:val="bottom"/>
            <w:shd w:val="clear" w:color="auto" w:fill="002B5F"/>
          </w:tcPr>
          <w:p>
            <w:pPr>
              <w:ind w:left="80"/>
              <w:spacing w:after="0"/>
              <w:rPr>
                <w:sz w:val="20"/>
                <w:szCs w:val="20"/>
                <w:color w:val="auto"/>
              </w:rPr>
            </w:pPr>
            <w:r>
              <w:rPr>
                <w:rFonts w:ascii="Arial" w:cs="Arial" w:eastAsia="Arial" w:hAnsi="Arial"/>
                <w:sz w:val="12"/>
                <w:szCs w:val="12"/>
                <w:color w:val="FFFFFF"/>
              </w:rPr>
              <w:t> </w:t>
            </w:r>
          </w:p>
        </w:tc>
      </w:tr>
      <w:tr>
        <w:trPr>
          <w:trHeight w:val="626"/>
        </w:trPr>
        <w:tc>
          <w:tcPr>
            <w:tcW w:w="120" w:type="dxa"/>
            <w:vAlign w:val="bottom"/>
            <w:shd w:val="clear" w:color="auto" w:fill="002B5F"/>
          </w:tcPr>
          <w:p>
            <w:pPr>
              <w:spacing w:after="0"/>
              <w:rPr>
                <w:sz w:val="24"/>
                <w:szCs w:val="24"/>
                <w:color w:val="auto"/>
              </w:rPr>
            </w:pPr>
          </w:p>
        </w:tc>
        <w:tc>
          <w:tcPr>
            <w:tcW w:w="160" w:type="dxa"/>
            <w:vAlign w:val="bottom"/>
            <w:shd w:val="clear" w:color="auto" w:fill="002B5F"/>
          </w:tcPr>
          <w:p>
            <w:pPr>
              <w:spacing w:after="0"/>
              <w:rPr>
                <w:sz w:val="24"/>
                <w:szCs w:val="24"/>
                <w:color w:val="auto"/>
              </w:rPr>
            </w:pPr>
          </w:p>
        </w:tc>
        <w:tc>
          <w:tcPr>
            <w:tcW w:w="160" w:type="dxa"/>
            <w:vAlign w:val="bottom"/>
            <w:shd w:val="clear" w:color="auto" w:fill="002B5F"/>
          </w:tcPr>
          <w:p>
            <w:pPr>
              <w:spacing w:after="0"/>
              <w:rPr>
                <w:sz w:val="24"/>
                <w:szCs w:val="24"/>
                <w:color w:val="auto"/>
              </w:rPr>
            </w:pPr>
          </w:p>
        </w:tc>
        <w:tc>
          <w:tcPr>
            <w:tcW w:w="220" w:type="dxa"/>
            <w:vAlign w:val="bottom"/>
            <w:shd w:val="clear" w:color="auto" w:fill="002B5F"/>
          </w:tcPr>
          <w:p>
            <w:pPr>
              <w:spacing w:after="0"/>
              <w:rPr>
                <w:sz w:val="24"/>
                <w:szCs w:val="24"/>
                <w:color w:val="auto"/>
              </w:rPr>
            </w:pPr>
          </w:p>
        </w:tc>
        <w:tc>
          <w:tcPr>
            <w:tcW w:w="1200" w:type="dxa"/>
            <w:vAlign w:val="bottom"/>
            <w:shd w:val="clear" w:color="auto" w:fill="002B5F"/>
          </w:tcPr>
          <w:p>
            <w:pPr>
              <w:spacing w:after="0"/>
              <w:rPr>
                <w:sz w:val="24"/>
                <w:szCs w:val="24"/>
                <w:color w:val="auto"/>
              </w:rPr>
            </w:pPr>
          </w:p>
        </w:tc>
      </w:tr>
    </w:tbl>
    <w:p>
      <w:pPr>
        <w:spacing w:after="0" w:line="154" w:lineRule="exact"/>
        <w:rPr>
          <w:sz w:val="20"/>
          <w:szCs w:val="20"/>
          <w:color w:val="auto"/>
        </w:rPr>
      </w:pPr>
    </w:p>
    <w:p>
      <w:pPr>
        <w:ind w:left="420"/>
        <w:spacing w:after="0"/>
        <w:rPr>
          <w:sz w:val="20"/>
          <w:szCs w:val="20"/>
          <w:color w:val="auto"/>
        </w:rPr>
      </w:pPr>
      <w:r>
        <w:rPr>
          <w:rFonts w:ascii="Arial" w:cs="Arial" w:eastAsia="Arial" w:hAnsi="Arial"/>
          <w:sz w:val="15"/>
          <w:szCs w:val="15"/>
          <w:color w:val="auto"/>
        </w:rPr>
        <w:t xml:space="preserve">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48"/>
          <w:szCs w:val="48"/>
          <w:b w:val="1"/>
          <w:bCs w:val="1"/>
          <w:color w:val="002B5F"/>
        </w:rPr>
        <w:t>Proxy Statement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-1534795</wp:posOffset>
            </wp:positionH>
            <wp:positionV relativeFrom="paragraph">
              <wp:posOffset>-955675</wp:posOffset>
            </wp:positionV>
            <wp:extent cx="7181215" cy="533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81215" cy="53340"/>
                    </a:xfrm>
                    <a:prstGeom prst="rect">
                      <a:avLst/>
                    </a:prstGeom>
                    <a:noFill/>
                  </pic:spPr>
                </pic:pic>
              </a:graphicData>
            </a:graphic>
          </wp:anchor>
        </w:drawing>
        <w:drawing>
          <wp:anchor simplePos="0" relativeHeight="251657728" behindDoc="1" locked="0" layoutInCell="0" allowOverlap="1">
            <wp:simplePos x="0" y="0"/>
            <wp:positionH relativeFrom="column">
              <wp:posOffset>211455</wp:posOffset>
            </wp:positionH>
            <wp:positionV relativeFrom="paragraph">
              <wp:posOffset>64770</wp:posOffset>
            </wp:positionV>
            <wp:extent cx="506539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065395" cy="8255"/>
                    </a:xfrm>
                    <a:prstGeom prst="rect">
                      <a:avLst/>
                    </a:prstGeom>
                    <a:noFill/>
                  </pic:spPr>
                </pic:pic>
              </a:graphicData>
            </a:graphic>
          </wp:anchor>
        </w:drawing>
      </w:r>
    </w:p>
    <w:p>
      <w:pPr>
        <w:spacing w:after="0" w:line="273" w:lineRule="exact"/>
        <w:rPr>
          <w:sz w:val="20"/>
          <w:szCs w:val="20"/>
          <w:color w:val="auto"/>
        </w:rPr>
      </w:pPr>
    </w:p>
    <w:p>
      <w:pPr>
        <w:ind w:left="320"/>
        <w:spacing w:after="0" w:line="266" w:lineRule="auto"/>
        <w:rPr>
          <w:sz w:val="20"/>
          <w:szCs w:val="20"/>
          <w:color w:val="auto"/>
        </w:rPr>
      </w:pPr>
      <w:r>
        <w:rPr>
          <w:rFonts w:ascii="Arial" w:cs="Arial" w:eastAsia="Arial" w:hAnsi="Arial"/>
          <w:sz w:val="20"/>
          <w:szCs w:val="20"/>
          <w:b w:val="1"/>
          <w:bCs w:val="1"/>
          <w:color w:val="002B5F"/>
        </w:rPr>
        <w:t>This summary highlights information contained elsewhere in this proxy statement. This summary does not contain all of the information that you should consider, and you should read the entire proxy statement carefully before voting.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wp:posOffset>
            </wp:positionH>
            <wp:positionV relativeFrom="paragraph">
              <wp:posOffset>268605</wp:posOffset>
            </wp:positionV>
            <wp:extent cx="5065395" cy="266636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065395" cy="266636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left="320"/>
        <w:spacing w:after="0"/>
        <w:rPr>
          <w:sz w:val="20"/>
          <w:szCs w:val="20"/>
          <w:color w:val="auto"/>
        </w:rPr>
      </w:pPr>
      <w:r>
        <w:rPr>
          <w:rFonts w:ascii="Arial" w:cs="Arial" w:eastAsia="Arial" w:hAnsi="Arial"/>
          <w:sz w:val="15"/>
          <w:szCs w:val="15"/>
          <w:color w:val="auto"/>
        </w:rPr>
        <w:t xml:space="preserve">       </w:t>
      </w:r>
    </w:p>
    <w:p>
      <w:pPr>
        <w:spacing w:after="0" w:line="175" w:lineRule="exact"/>
        <w:rPr>
          <w:sz w:val="20"/>
          <w:szCs w:val="20"/>
          <w:color w:val="auto"/>
        </w:rPr>
      </w:pPr>
    </w:p>
    <w:p>
      <w:pPr>
        <w:ind w:left="820"/>
        <w:spacing w:after="0"/>
        <w:rPr>
          <w:sz w:val="20"/>
          <w:szCs w:val="20"/>
          <w:color w:val="auto"/>
        </w:rPr>
      </w:pPr>
      <w:r>
        <w:rPr>
          <w:rFonts w:ascii="Arial" w:cs="Arial" w:eastAsia="Arial" w:hAnsi="Arial"/>
          <w:sz w:val="24"/>
          <w:szCs w:val="24"/>
          <w:color w:val="B95827"/>
        </w:rPr>
        <w:t>2026 Annual Meeting of Stockholders</w:t>
      </w:r>
    </w:p>
    <w:p>
      <w:pPr>
        <w:spacing w:after="0" w:line="253" w:lineRule="exact"/>
        <w:rPr>
          <w:sz w:val="20"/>
          <w:szCs w:val="20"/>
          <w:color w:val="auto"/>
        </w:rPr>
      </w:pPr>
    </w:p>
    <w:tbl>
      <w:tblPr>
        <w:tblLayout w:type="fixed"/>
        <w:tblInd w:w="820" w:type="dxa"/>
        <w:tblCellMar>
          <w:top w:w="0" w:type="dxa"/>
          <w:left w:w="0" w:type="dxa"/>
          <w:bottom w:w="0" w:type="dxa"/>
          <w:right w:w="0" w:type="dxa"/>
        </w:tblCellMar>
      </w:tblPr>
      <w:tr>
        <w:trPr>
          <w:trHeight w:val="232"/>
        </w:trPr>
        <w:tc>
          <w:tcPr>
            <w:tcW w:w="2020" w:type="dxa"/>
            <w:vAlign w:val="bottom"/>
          </w:tcPr>
          <w:p>
            <w:pPr>
              <w:spacing w:after="0"/>
              <w:rPr>
                <w:sz w:val="20"/>
                <w:szCs w:val="20"/>
                <w:color w:val="auto"/>
              </w:rPr>
            </w:pPr>
            <w:r>
              <w:rPr>
                <w:rFonts w:ascii="Arial" w:cs="Arial" w:eastAsia="Arial" w:hAnsi="Arial"/>
                <w:sz w:val="17"/>
                <w:szCs w:val="17"/>
                <w:b w:val="1"/>
                <w:bCs w:val="1"/>
                <w:color w:val="B95827"/>
              </w:rPr>
              <w:t>TIME AND DATE</w:t>
            </w:r>
          </w:p>
        </w:tc>
        <w:tc>
          <w:tcPr>
            <w:tcW w:w="5240" w:type="dxa"/>
            <w:vAlign w:val="bottom"/>
          </w:tcPr>
          <w:p>
            <w:pPr>
              <w:ind w:left="140"/>
              <w:spacing w:after="0"/>
              <w:rPr>
                <w:sz w:val="20"/>
                <w:szCs w:val="20"/>
                <w:color w:val="auto"/>
              </w:rPr>
            </w:pPr>
            <w:r>
              <w:rPr>
                <w:rFonts w:ascii="Arial" w:cs="Arial" w:eastAsia="Arial" w:hAnsi="Arial"/>
                <w:sz w:val="15"/>
                <w:szCs w:val="15"/>
                <w:color w:val="auto"/>
              </w:rPr>
              <w:t xml:space="preserve">         </w:t>
            </w:r>
            <w:r>
              <w:rPr>
                <w:rFonts w:ascii="Arial" w:cs="Arial" w:eastAsia="Arial" w:hAnsi="Arial"/>
                <w:sz w:val="17"/>
                <w:szCs w:val="17"/>
                <w:b w:val="1"/>
                <w:bCs w:val="1"/>
                <w:color w:val="B95827"/>
              </w:rPr>
              <w:t>VOTING</w:t>
            </w:r>
          </w:p>
        </w:tc>
        <w:tc>
          <w:tcPr>
            <w:tcW w:w="120" w:type="dxa"/>
            <w:vAlign w:val="bottom"/>
          </w:tcPr>
          <w:p>
            <w:pPr>
              <w:ind w:left="80"/>
              <w:spacing w:after="0"/>
              <w:rPr>
                <w:sz w:val="20"/>
                <w:szCs w:val="20"/>
                <w:color w:val="auto"/>
              </w:rPr>
            </w:pPr>
            <w:r>
              <w:rPr>
                <w:rFonts w:ascii="Arial" w:cs="Arial" w:eastAsia="Arial" w:hAnsi="Arial"/>
                <w:sz w:val="2"/>
                <w:szCs w:val="2"/>
                <w:color w:val="auto"/>
                <w:w w:val="97"/>
              </w:rPr>
              <w:t> </w:t>
            </w:r>
          </w:p>
        </w:tc>
        <w:tc>
          <w:tcPr>
            <w:tcW w:w="0" w:type="dxa"/>
            <w:vAlign w:val="bottom"/>
          </w:tcPr>
          <w:p>
            <w:pPr>
              <w:spacing w:after="0"/>
              <w:rPr>
                <w:sz w:val="1"/>
                <w:szCs w:val="1"/>
                <w:color w:val="auto"/>
              </w:rPr>
            </w:pPr>
          </w:p>
        </w:tc>
      </w:tr>
      <w:tr>
        <w:trPr>
          <w:trHeight w:val="207"/>
        </w:trPr>
        <w:tc>
          <w:tcPr>
            <w:tcW w:w="2020" w:type="dxa"/>
            <w:vAlign w:val="bottom"/>
          </w:tcPr>
          <w:p>
            <w:pPr>
              <w:spacing w:after="0"/>
              <w:rPr>
                <w:sz w:val="20"/>
                <w:szCs w:val="20"/>
                <w:color w:val="auto"/>
              </w:rPr>
            </w:pPr>
            <w:r>
              <w:rPr>
                <w:rFonts w:ascii="Arial" w:cs="Arial" w:eastAsia="Arial" w:hAnsi="Arial"/>
                <w:sz w:val="15"/>
                <w:szCs w:val="15"/>
                <w:color w:val="auto"/>
              </w:rPr>
              <w:t>8:00 a.m., local time, on</w:t>
            </w:r>
          </w:p>
        </w:tc>
        <w:tc>
          <w:tcPr>
            <w:tcW w:w="5240" w:type="dxa"/>
            <w:vAlign w:val="bottom"/>
          </w:tcPr>
          <w:p>
            <w:pPr>
              <w:ind w:left="620"/>
              <w:spacing w:after="0"/>
              <w:rPr>
                <w:sz w:val="20"/>
                <w:szCs w:val="20"/>
                <w:color w:val="auto"/>
              </w:rPr>
            </w:pPr>
            <w:r>
              <w:rPr>
                <w:rFonts w:ascii="Arial" w:cs="Arial" w:eastAsia="Arial" w:hAnsi="Arial"/>
                <w:sz w:val="15"/>
                <w:szCs w:val="15"/>
                <w:color w:val="auto"/>
              </w:rPr>
              <w:t>Stockholders as of the Record Date are entitled to one vote per</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20" w:type="dxa"/>
            <w:vAlign w:val="bottom"/>
          </w:tcPr>
          <w:p>
            <w:pPr>
              <w:spacing w:after="0"/>
              <w:rPr>
                <w:sz w:val="20"/>
                <w:szCs w:val="20"/>
                <w:color w:val="auto"/>
              </w:rPr>
            </w:pPr>
            <w:r>
              <w:rPr>
                <w:rFonts w:ascii="Arial" w:cs="Arial" w:eastAsia="Arial" w:hAnsi="Arial"/>
                <w:sz w:val="15"/>
                <w:szCs w:val="15"/>
                <w:color w:val="auto"/>
              </w:rPr>
              <w:t>Thursday, May 14, 2026</w:t>
            </w:r>
          </w:p>
        </w:tc>
        <w:tc>
          <w:tcPr>
            <w:tcW w:w="5240" w:type="dxa"/>
            <w:vAlign w:val="bottom"/>
          </w:tcPr>
          <w:p>
            <w:pPr>
              <w:ind w:left="620"/>
              <w:spacing w:after="0"/>
              <w:rPr>
                <w:sz w:val="20"/>
                <w:szCs w:val="20"/>
                <w:color w:val="auto"/>
              </w:rPr>
            </w:pPr>
            <w:r>
              <w:rPr>
                <w:rFonts w:ascii="Arial" w:cs="Arial" w:eastAsia="Arial" w:hAnsi="Arial"/>
                <w:sz w:val="15"/>
                <w:szCs w:val="15"/>
                <w:color w:val="auto"/>
              </w:rPr>
              <w:t>share on each matter to be voted upon at the Annual Meeting.</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76"/>
        </w:trPr>
        <w:tc>
          <w:tcPr>
            <w:tcW w:w="2020" w:type="dxa"/>
            <w:vAlign w:val="bottom"/>
          </w:tcPr>
          <w:p>
            <w:pPr>
              <w:spacing w:after="0"/>
              <w:rPr>
                <w:sz w:val="20"/>
                <w:szCs w:val="20"/>
                <w:color w:val="auto"/>
              </w:rPr>
            </w:pPr>
            <w:r>
              <w:rPr>
                <w:rFonts w:ascii="Arial" w:cs="Arial" w:eastAsia="Arial" w:hAnsi="Arial"/>
                <w:sz w:val="17"/>
                <w:szCs w:val="17"/>
                <w:b w:val="1"/>
                <w:bCs w:val="1"/>
                <w:color w:val="B95827"/>
              </w:rPr>
              <w:t>LOCATION</w:t>
            </w:r>
          </w:p>
        </w:tc>
        <w:tc>
          <w:tcPr>
            <w:tcW w:w="5240" w:type="dxa"/>
            <w:vAlign w:val="bottom"/>
          </w:tcPr>
          <w:p>
            <w:pPr>
              <w:ind w:left="620"/>
              <w:spacing w:after="0"/>
              <w:rPr>
                <w:sz w:val="20"/>
                <w:szCs w:val="20"/>
                <w:color w:val="auto"/>
              </w:rPr>
            </w:pPr>
            <w:r>
              <w:rPr>
                <w:rFonts w:ascii="Arial" w:cs="Arial" w:eastAsia="Arial" w:hAnsi="Arial"/>
                <w:sz w:val="17"/>
                <w:szCs w:val="17"/>
                <w:b w:val="1"/>
                <w:bCs w:val="1"/>
                <w:color w:val="B95827"/>
              </w:rPr>
              <w:t>ENTRY</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2020" w:type="dxa"/>
            <w:vAlign w:val="bottom"/>
          </w:tcPr>
          <w:p>
            <w:pPr>
              <w:spacing w:after="0"/>
              <w:rPr>
                <w:sz w:val="20"/>
                <w:szCs w:val="20"/>
                <w:color w:val="auto"/>
              </w:rPr>
            </w:pPr>
            <w:r>
              <w:rPr>
                <w:rFonts w:ascii="Arial" w:cs="Arial" w:eastAsia="Arial" w:hAnsi="Arial"/>
                <w:sz w:val="15"/>
                <w:szCs w:val="15"/>
                <w:color w:val="auto"/>
              </w:rPr>
              <w:t>LPL Financial Holdings Inc.</w:t>
            </w:r>
          </w:p>
        </w:tc>
        <w:tc>
          <w:tcPr>
            <w:tcW w:w="5240" w:type="dxa"/>
            <w:vAlign w:val="bottom"/>
          </w:tcPr>
          <w:p>
            <w:pPr>
              <w:ind w:left="620"/>
              <w:spacing w:after="0"/>
              <w:rPr>
                <w:sz w:val="20"/>
                <w:szCs w:val="20"/>
                <w:color w:val="auto"/>
              </w:rPr>
            </w:pPr>
            <w:r>
              <w:rPr>
                <w:rFonts w:ascii="Arial" w:cs="Arial" w:eastAsia="Arial" w:hAnsi="Arial"/>
                <w:sz w:val="15"/>
                <w:szCs w:val="15"/>
                <w:color w:val="auto"/>
              </w:rPr>
              <w:t>We invite all stockholders to attend the Annual Meeting. If you</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9"/>
        </w:trPr>
        <w:tc>
          <w:tcPr>
            <w:tcW w:w="2020" w:type="dxa"/>
            <w:vAlign w:val="bottom"/>
          </w:tcPr>
          <w:p>
            <w:pPr>
              <w:spacing w:after="0"/>
              <w:rPr>
                <w:sz w:val="20"/>
                <w:szCs w:val="20"/>
                <w:color w:val="auto"/>
              </w:rPr>
            </w:pPr>
            <w:r>
              <w:rPr>
                <w:rFonts w:ascii="Arial" w:cs="Arial" w:eastAsia="Arial" w:hAnsi="Arial"/>
                <w:sz w:val="15"/>
                <w:szCs w:val="15"/>
                <w:color w:val="auto"/>
              </w:rPr>
              <w:t>1055 LPL Way</w:t>
            </w:r>
          </w:p>
        </w:tc>
        <w:tc>
          <w:tcPr>
            <w:tcW w:w="5240" w:type="dxa"/>
            <w:vAlign w:val="bottom"/>
          </w:tcPr>
          <w:p>
            <w:pPr>
              <w:ind w:left="620"/>
              <w:spacing w:after="0"/>
              <w:rPr>
                <w:sz w:val="20"/>
                <w:szCs w:val="20"/>
                <w:color w:val="auto"/>
              </w:rPr>
            </w:pPr>
            <w:r>
              <w:rPr>
                <w:rFonts w:ascii="Arial" w:cs="Arial" w:eastAsia="Arial" w:hAnsi="Arial"/>
                <w:sz w:val="15"/>
                <w:szCs w:val="15"/>
                <w:color w:val="auto"/>
              </w:rPr>
              <w:t>attend the Annual Meeting, you will be required to present valid</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020" w:type="dxa"/>
            <w:vAlign w:val="bottom"/>
          </w:tcPr>
          <w:p>
            <w:pPr>
              <w:spacing w:after="0"/>
              <w:rPr>
                <w:sz w:val="20"/>
                <w:szCs w:val="20"/>
                <w:color w:val="auto"/>
              </w:rPr>
            </w:pPr>
            <w:r>
              <w:rPr>
                <w:rFonts w:ascii="Arial" w:cs="Arial" w:eastAsia="Arial" w:hAnsi="Arial"/>
                <w:sz w:val="15"/>
                <w:szCs w:val="15"/>
                <w:color w:val="auto"/>
              </w:rPr>
              <w:t>Fort Mill, South Carolina</w:t>
            </w:r>
          </w:p>
        </w:tc>
        <w:tc>
          <w:tcPr>
            <w:tcW w:w="5240" w:type="dxa"/>
            <w:vAlign w:val="bottom"/>
          </w:tcPr>
          <w:p>
            <w:pPr>
              <w:ind w:left="620"/>
              <w:spacing w:after="0"/>
              <w:rPr>
                <w:sz w:val="20"/>
                <w:szCs w:val="20"/>
                <w:color w:val="auto"/>
              </w:rPr>
            </w:pPr>
            <w:r>
              <w:rPr>
                <w:rFonts w:ascii="Arial" w:cs="Arial" w:eastAsia="Arial" w:hAnsi="Arial"/>
                <w:sz w:val="15"/>
                <w:szCs w:val="15"/>
                <w:color w:val="auto"/>
              </w:rPr>
              <w:t>picture identification, such as a driver’s license or passport. If your</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020" w:type="dxa"/>
            <w:vAlign w:val="bottom"/>
          </w:tcPr>
          <w:p>
            <w:pPr>
              <w:spacing w:after="0"/>
              <w:rPr>
                <w:sz w:val="20"/>
                <w:szCs w:val="20"/>
                <w:color w:val="auto"/>
              </w:rPr>
            </w:pPr>
            <w:r>
              <w:rPr>
                <w:rFonts w:ascii="Arial" w:cs="Arial" w:eastAsia="Arial" w:hAnsi="Arial"/>
                <w:sz w:val="15"/>
                <w:szCs w:val="15"/>
                <w:color w:val="auto"/>
              </w:rPr>
              <w:t>29715</w:t>
            </w:r>
          </w:p>
        </w:tc>
        <w:tc>
          <w:tcPr>
            <w:tcW w:w="5240" w:type="dxa"/>
            <w:vAlign w:val="bottom"/>
          </w:tcPr>
          <w:p>
            <w:pPr>
              <w:ind w:left="620"/>
              <w:spacing w:after="0"/>
              <w:rPr>
                <w:sz w:val="20"/>
                <w:szCs w:val="20"/>
                <w:color w:val="auto"/>
              </w:rPr>
            </w:pPr>
            <w:r>
              <w:rPr>
                <w:rFonts w:ascii="Arial" w:cs="Arial" w:eastAsia="Arial" w:hAnsi="Arial"/>
                <w:sz w:val="15"/>
                <w:szCs w:val="15"/>
                <w:color w:val="auto"/>
              </w:rPr>
              <w:t>shares are held in “street name,” you will also need to bring a</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020" w:type="dxa"/>
            <w:vAlign w:val="bottom"/>
          </w:tcPr>
          <w:p>
            <w:pPr>
              <w:spacing w:after="0"/>
              <w:rPr>
                <w:sz w:val="15"/>
                <w:szCs w:val="15"/>
                <w:color w:val="auto"/>
              </w:rPr>
            </w:pPr>
          </w:p>
        </w:tc>
        <w:tc>
          <w:tcPr>
            <w:tcW w:w="5240" w:type="dxa"/>
            <w:vAlign w:val="bottom"/>
          </w:tcPr>
          <w:p>
            <w:pPr>
              <w:ind w:left="620"/>
              <w:spacing w:after="0"/>
              <w:rPr>
                <w:sz w:val="20"/>
                <w:szCs w:val="20"/>
                <w:color w:val="auto"/>
              </w:rPr>
            </w:pPr>
            <w:r>
              <w:rPr>
                <w:rFonts w:ascii="Arial" w:cs="Arial" w:eastAsia="Arial" w:hAnsi="Arial"/>
                <w:sz w:val="15"/>
                <w:szCs w:val="15"/>
                <w:color w:val="auto"/>
              </w:rPr>
              <w:t>brokerage account statement or letter from your broker, bank or</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020" w:type="dxa"/>
            <w:vAlign w:val="bottom"/>
            <w:vMerge w:val="restart"/>
          </w:tcPr>
          <w:p>
            <w:pPr>
              <w:spacing w:after="0"/>
              <w:rPr>
                <w:sz w:val="20"/>
                <w:szCs w:val="20"/>
                <w:color w:val="auto"/>
              </w:rPr>
            </w:pPr>
            <w:r>
              <w:rPr>
                <w:rFonts w:ascii="Arial" w:cs="Arial" w:eastAsia="Arial" w:hAnsi="Arial"/>
                <w:sz w:val="17"/>
                <w:szCs w:val="17"/>
                <w:b w:val="1"/>
                <w:bCs w:val="1"/>
                <w:color w:val="B95827"/>
              </w:rPr>
              <w:t>RECORD DATE</w:t>
            </w:r>
          </w:p>
        </w:tc>
        <w:tc>
          <w:tcPr>
            <w:tcW w:w="5240" w:type="dxa"/>
            <w:vAlign w:val="bottom"/>
          </w:tcPr>
          <w:p>
            <w:pPr>
              <w:ind w:left="620"/>
              <w:spacing w:after="0"/>
              <w:rPr>
                <w:sz w:val="20"/>
                <w:szCs w:val="20"/>
                <w:color w:val="auto"/>
              </w:rPr>
            </w:pPr>
            <w:r>
              <w:rPr>
                <w:rFonts w:ascii="Arial" w:cs="Arial" w:eastAsia="Arial" w:hAnsi="Arial"/>
                <w:sz w:val="15"/>
                <w:szCs w:val="15"/>
                <w:color w:val="auto"/>
              </w:rPr>
              <w:t>other intermediary reflecting stock ownership as of the Record Date</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2020" w:type="dxa"/>
            <w:vAlign w:val="bottom"/>
            <w:vMerge w:val="continue"/>
          </w:tcPr>
          <w:p>
            <w:pPr>
              <w:spacing w:after="0"/>
              <w:rPr>
                <w:sz w:val="19"/>
                <w:szCs w:val="19"/>
                <w:color w:val="auto"/>
              </w:rPr>
            </w:pPr>
          </w:p>
        </w:tc>
        <w:tc>
          <w:tcPr>
            <w:tcW w:w="5240" w:type="dxa"/>
            <w:vAlign w:val="bottom"/>
          </w:tcPr>
          <w:p>
            <w:pPr>
              <w:ind w:left="620"/>
              <w:spacing w:after="0"/>
              <w:rPr>
                <w:sz w:val="20"/>
                <w:szCs w:val="20"/>
                <w:color w:val="auto"/>
              </w:rPr>
            </w:pPr>
            <w:r>
              <w:rPr>
                <w:rFonts w:ascii="Arial" w:cs="Arial" w:eastAsia="Arial" w:hAnsi="Arial"/>
                <w:sz w:val="15"/>
                <w:szCs w:val="15"/>
                <w:color w:val="auto"/>
              </w:rPr>
              <w:t>in order to be admitted to the Annual Meeting.</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020" w:type="dxa"/>
            <w:vAlign w:val="bottom"/>
          </w:tcPr>
          <w:p>
            <w:pPr>
              <w:spacing w:after="0"/>
              <w:rPr>
                <w:sz w:val="20"/>
                <w:szCs w:val="20"/>
                <w:color w:val="auto"/>
              </w:rPr>
            </w:pPr>
            <w:r>
              <w:rPr>
                <w:rFonts w:ascii="Arial" w:cs="Arial" w:eastAsia="Arial" w:hAnsi="Arial"/>
                <w:sz w:val="15"/>
                <w:szCs w:val="15"/>
                <w:color w:val="auto"/>
              </w:rPr>
              <w:t>5:00 p.m., Eastern Time,</w:t>
            </w:r>
          </w:p>
        </w:tc>
        <w:tc>
          <w:tcPr>
            <w:tcW w:w="5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20" w:type="dxa"/>
            <w:vAlign w:val="bottom"/>
          </w:tcPr>
          <w:p>
            <w:pPr>
              <w:spacing w:after="0"/>
              <w:rPr>
                <w:sz w:val="20"/>
                <w:szCs w:val="20"/>
                <w:color w:val="auto"/>
              </w:rPr>
            </w:pPr>
            <w:r>
              <w:rPr>
                <w:rFonts w:ascii="Arial" w:cs="Arial" w:eastAsia="Arial" w:hAnsi="Arial"/>
                <w:sz w:val="15"/>
                <w:szCs w:val="15"/>
                <w:color w:val="auto"/>
              </w:rPr>
              <w:t>on March 16, 2026</w:t>
            </w:r>
          </w:p>
        </w:tc>
        <w:tc>
          <w:tcPr>
            <w:tcW w:w="5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tabs>
          <w:tab w:leader="none" w:pos="400" w:val="left"/>
        </w:tabs>
        <w:rPr>
          <w:sz w:val="20"/>
          <w:szCs w:val="20"/>
          <w:color w:val="auto"/>
        </w:rPr>
      </w:pPr>
      <w:r>
        <w:rPr>
          <w:rFonts w:ascii="Arial" w:cs="Arial" w:eastAsia="Arial" w:hAnsi="Arial"/>
          <w:sz w:val="30"/>
          <w:szCs w:val="30"/>
          <w:color w:val="000000"/>
          <w:vertAlign w:val="superscript"/>
        </w:rPr>
        <w:t xml:space="preserve">    </w:t>
      </w:r>
      <w:r>
        <w:rPr>
          <w:sz w:val="20"/>
          <w:szCs w:val="20"/>
          <w:color w:val="auto"/>
        </w:rPr>
        <w:tab/>
      </w:r>
      <w:r>
        <w:rPr>
          <w:rFonts w:ascii="Arial" w:cs="Arial" w:eastAsia="Arial" w:hAnsi="Arial"/>
          <w:sz w:val="14"/>
          <w:szCs w:val="14"/>
          <w:b w:val="1"/>
          <w:bCs w:val="1"/>
          <w:color w:val="002B5F"/>
        </w:rPr>
        <w:t xml:space="preserve">  </w:t>
      </w:r>
      <w:r>
        <w:rPr>
          <w:rFonts w:ascii="Arial" w:cs="Arial" w:eastAsia="Arial" w:hAnsi="Arial"/>
          <w:sz w:val="18"/>
          <w:szCs w:val="18"/>
          <w:color w:val="002B5F"/>
        </w:rPr>
        <w:t xml:space="preserve">   </w:t>
      </w:r>
      <w:r>
        <w:rPr>
          <w:rFonts w:ascii="Arial" w:cs="Arial" w:eastAsia="Arial" w:hAnsi="Arial"/>
          <w:sz w:val="14"/>
          <w:szCs w:val="14"/>
          <w:b w:val="1"/>
          <w:bCs w:val="1"/>
          <w:color w:val="002B5F"/>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4587875</wp:posOffset>
            </wp:positionH>
            <wp:positionV relativeFrom="paragraph">
              <wp:posOffset>-201930</wp:posOffset>
            </wp:positionV>
            <wp:extent cx="769620" cy="971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69620" cy="97155"/>
                    </a:xfrm>
                    <a:prstGeom prst="rect">
                      <a:avLst/>
                    </a:prstGeom>
                    <a:noFill/>
                  </pic:spPr>
                </pic:pic>
              </a:graphicData>
            </a:graphic>
          </wp:anchor>
        </w:drawing>
      </w:r>
    </w:p>
    <w:p>
      <w:pPr>
        <w:sectPr>
          <w:pgSz w:w="11900" w:h="16838" w:orient="portrait"/>
          <w:cols w:equalWidth="0" w:num="2">
            <w:col w:w="2280" w:space="120"/>
            <w:col w:w="8200"/>
          </w:cols>
          <w:pgMar w:left="320" w:top="464" w:right="97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533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81215" cy="5334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5617845</wp:posOffset>
            </wp:positionH>
            <wp:positionV relativeFrom="paragraph">
              <wp:posOffset>253365</wp:posOffset>
            </wp:positionV>
            <wp:extent cx="1256030" cy="74720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56030" cy="7472045"/>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ind w:left="540"/>
        <w:spacing w:after="0"/>
        <w:rPr>
          <w:sz w:val="20"/>
          <w:szCs w:val="20"/>
          <w:color w:val="auto"/>
        </w:rPr>
      </w:pPr>
      <w:r>
        <w:rPr>
          <w:rFonts w:ascii="Arial" w:cs="Arial" w:eastAsia="Arial" w:hAnsi="Arial"/>
          <w:sz w:val="24"/>
          <w:szCs w:val="24"/>
          <w:color w:val="B95827"/>
        </w:rPr>
        <w:t>Voting Proposals</w:t>
      </w:r>
    </w:p>
    <w:tbl>
      <w:tblPr>
        <w:tblLayout w:type="fixed"/>
        <w:tblInd w:w="540" w:type="dxa"/>
        <w:tblCellMar>
          <w:top w:w="0" w:type="dxa"/>
          <w:left w:w="0" w:type="dxa"/>
          <w:bottom w:w="0" w:type="dxa"/>
          <w:right w:w="0" w:type="dxa"/>
        </w:tblCellMar>
      </w:tblPr>
      <w:tr>
        <w:trPr>
          <w:trHeight w:val="146"/>
        </w:trPr>
        <w:tc>
          <w:tcPr>
            <w:tcW w:w="94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580" w:type="dxa"/>
            <w:vAlign w:val="bottom"/>
          </w:tcPr>
          <w:p>
            <w:pPr>
              <w:ind w:left="460"/>
              <w:spacing w:after="0" w:line="146" w:lineRule="exact"/>
              <w:rPr>
                <w:sz w:val="20"/>
                <w:szCs w:val="20"/>
                <w:color w:val="auto"/>
              </w:rPr>
            </w:pPr>
            <w:r>
              <w:rPr>
                <w:rFonts w:ascii="Arial" w:cs="Arial" w:eastAsia="Arial" w:hAnsi="Arial"/>
                <w:sz w:val="14"/>
                <w:szCs w:val="14"/>
                <w:color w:val="auto"/>
                <w:w w:val="71"/>
              </w:rPr>
              <w:t> </w:t>
            </w:r>
          </w:p>
        </w:tc>
        <w:tc>
          <w:tcPr>
            <w:tcW w:w="860" w:type="dxa"/>
            <w:vAlign w:val="bottom"/>
          </w:tcPr>
          <w:p>
            <w:pPr>
              <w:jc w:val="right"/>
              <w:ind w:right="520"/>
              <w:spacing w:after="0"/>
              <w:rPr>
                <w:sz w:val="20"/>
                <w:szCs w:val="20"/>
                <w:color w:val="auto"/>
              </w:rPr>
            </w:pPr>
            <w:r>
              <w:rPr>
                <w:rFonts w:ascii="Arial" w:cs="Arial" w:eastAsia="Arial" w:hAnsi="Arial"/>
                <w:sz w:val="12"/>
                <w:szCs w:val="12"/>
                <w:color w:val="FFFFFF"/>
              </w:rPr>
              <w:t xml:space="preserve">    </w:t>
            </w:r>
          </w:p>
        </w:tc>
        <w:tc>
          <w:tcPr>
            <w:tcW w:w="940" w:type="dxa"/>
            <w:vAlign w:val="bottom"/>
          </w:tcPr>
          <w:p>
            <w:pPr>
              <w:ind w:left="580"/>
              <w:spacing w:after="0" w:line="146" w:lineRule="exact"/>
              <w:rPr>
                <w:sz w:val="20"/>
                <w:szCs w:val="20"/>
                <w:color w:val="auto"/>
              </w:rPr>
            </w:pPr>
            <w:r>
              <w:rPr>
                <w:rFonts w:ascii="Arial" w:cs="Arial" w:eastAsia="Arial" w:hAnsi="Arial"/>
                <w:sz w:val="15"/>
                <w:szCs w:val="15"/>
                <w:color w:val="auto"/>
              </w:rPr>
              <w:t xml:space="preserve">       </w:t>
            </w:r>
          </w:p>
        </w:tc>
        <w:tc>
          <w:tcPr>
            <w:tcW w:w="0" w:type="dxa"/>
            <w:vAlign w:val="bottom"/>
          </w:tcPr>
          <w:p>
            <w:pPr>
              <w:spacing w:after="0"/>
              <w:rPr>
                <w:sz w:val="1"/>
                <w:szCs w:val="1"/>
                <w:color w:val="auto"/>
              </w:rPr>
            </w:pPr>
          </w:p>
        </w:tc>
      </w:tr>
      <w:tr>
        <w:trPr>
          <w:trHeight w:val="158"/>
        </w:trPr>
        <w:tc>
          <w:tcPr>
            <w:tcW w:w="940" w:type="dxa"/>
            <w:vAlign w:val="bottom"/>
          </w:tcPr>
          <w:p>
            <w:pPr>
              <w:spacing w:after="0"/>
              <w:rPr>
                <w:sz w:val="13"/>
                <w:szCs w:val="13"/>
                <w:color w:val="auto"/>
              </w:rPr>
            </w:pPr>
          </w:p>
        </w:tc>
        <w:tc>
          <w:tcPr>
            <w:tcW w:w="4080" w:type="dxa"/>
            <w:vAlign w:val="bottom"/>
          </w:tcPr>
          <w:p>
            <w:pPr>
              <w:spacing w:after="0"/>
              <w:rPr>
                <w:sz w:val="13"/>
                <w:szCs w:val="13"/>
                <w:color w:val="auto"/>
              </w:rPr>
            </w:pPr>
          </w:p>
        </w:tc>
        <w:tc>
          <w:tcPr>
            <w:tcW w:w="1800" w:type="dxa"/>
            <w:vAlign w:val="bottom"/>
            <w:vMerge w:val="restart"/>
          </w:tcPr>
          <w:p>
            <w:pPr>
              <w:jc w:val="center"/>
              <w:spacing w:after="0"/>
              <w:rPr>
                <w:sz w:val="20"/>
                <w:szCs w:val="20"/>
                <w:color w:val="auto"/>
              </w:rPr>
            </w:pPr>
            <w:r>
              <w:rPr>
                <w:rFonts w:ascii="Arial" w:cs="Arial" w:eastAsia="Arial" w:hAnsi="Arial"/>
                <w:sz w:val="15"/>
                <w:szCs w:val="15"/>
                <w:b w:val="1"/>
                <w:bCs w:val="1"/>
                <w:color w:val="002B5F"/>
              </w:rPr>
              <w:t>Board</w:t>
            </w:r>
          </w:p>
        </w:tc>
        <w:tc>
          <w:tcPr>
            <w:tcW w:w="1640" w:type="dxa"/>
            <w:vAlign w:val="bottom"/>
            <w:gridSpan w:val="2"/>
            <w:vMerge w:val="restart"/>
          </w:tcPr>
          <w:p>
            <w:pPr>
              <w:jc w:val="center"/>
              <w:ind w:right="249"/>
              <w:spacing w:after="0"/>
              <w:rPr>
                <w:sz w:val="20"/>
                <w:szCs w:val="20"/>
                <w:color w:val="auto"/>
              </w:rPr>
            </w:pPr>
            <w:r>
              <w:rPr>
                <w:rFonts w:ascii="Arial" w:cs="Arial" w:eastAsia="Arial" w:hAnsi="Arial"/>
                <w:sz w:val="15"/>
                <w:szCs w:val="15"/>
                <w:b w:val="1"/>
                <w:bCs w:val="1"/>
                <w:color w:val="002B5F"/>
              </w:rPr>
              <w:t>Page</w:t>
            </w:r>
          </w:p>
        </w:tc>
        <w:tc>
          <w:tcPr>
            <w:tcW w:w="860" w:type="dxa"/>
            <w:vAlign w:val="bottom"/>
          </w:tcPr>
          <w:p>
            <w:pPr>
              <w:jc w:val="right"/>
              <w:ind w:right="520"/>
              <w:spacing w:after="0"/>
              <w:rPr>
                <w:sz w:val="20"/>
                <w:szCs w:val="20"/>
                <w:color w:val="auto"/>
              </w:rPr>
            </w:pPr>
            <w:r>
              <w:rPr>
                <w:rFonts w:ascii="Arial" w:cs="Arial" w:eastAsia="Arial" w:hAnsi="Arial"/>
                <w:sz w:val="12"/>
                <w:szCs w:val="12"/>
                <w:color w:val="FFFFFF"/>
              </w:rPr>
              <w:t> </w:t>
            </w: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940" w:type="dxa"/>
            <w:vAlign w:val="bottom"/>
          </w:tcPr>
          <w:p>
            <w:pPr>
              <w:spacing w:after="0"/>
              <w:rPr>
                <w:sz w:val="10"/>
                <w:szCs w:val="10"/>
                <w:color w:val="auto"/>
              </w:rPr>
            </w:pPr>
          </w:p>
        </w:tc>
        <w:tc>
          <w:tcPr>
            <w:tcW w:w="4080" w:type="dxa"/>
            <w:vAlign w:val="bottom"/>
          </w:tcPr>
          <w:p>
            <w:pPr>
              <w:spacing w:after="0"/>
              <w:rPr>
                <w:sz w:val="10"/>
                <w:szCs w:val="10"/>
                <w:color w:val="auto"/>
              </w:rPr>
            </w:pPr>
          </w:p>
        </w:tc>
        <w:tc>
          <w:tcPr>
            <w:tcW w:w="1800" w:type="dxa"/>
            <w:vAlign w:val="bottom"/>
            <w:vMerge w:val="continue"/>
          </w:tcPr>
          <w:p>
            <w:pPr>
              <w:spacing w:after="0"/>
              <w:rPr>
                <w:sz w:val="10"/>
                <w:szCs w:val="10"/>
                <w:color w:val="auto"/>
              </w:rPr>
            </w:pPr>
          </w:p>
        </w:tc>
        <w:tc>
          <w:tcPr>
            <w:tcW w:w="1640" w:type="dxa"/>
            <w:vAlign w:val="bottom"/>
            <w:gridSpan w:val="2"/>
            <w:vMerge w:val="continue"/>
          </w:tcPr>
          <w:p>
            <w:pPr>
              <w:spacing w:after="0"/>
              <w:rPr>
                <w:sz w:val="10"/>
                <w:szCs w:val="10"/>
                <w:color w:val="auto"/>
              </w:rPr>
            </w:pPr>
          </w:p>
        </w:tc>
        <w:tc>
          <w:tcPr>
            <w:tcW w:w="8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8"/>
        </w:trPr>
        <w:tc>
          <w:tcPr>
            <w:tcW w:w="940" w:type="dxa"/>
            <w:vAlign w:val="bottom"/>
          </w:tcPr>
          <w:p>
            <w:pPr>
              <w:jc w:val="right"/>
              <w:ind w:right="38"/>
              <w:spacing w:after="0"/>
              <w:rPr>
                <w:sz w:val="20"/>
                <w:szCs w:val="20"/>
                <w:color w:val="auto"/>
              </w:rPr>
            </w:pPr>
            <w:r>
              <w:rPr>
                <w:rFonts w:ascii="Arial" w:cs="Arial" w:eastAsia="Arial" w:hAnsi="Arial"/>
                <w:sz w:val="15"/>
                <w:szCs w:val="15"/>
                <w:b w:val="1"/>
                <w:bCs w:val="1"/>
                <w:color w:val="002B5F"/>
              </w:rPr>
              <w:t>Proposal</w:t>
            </w:r>
          </w:p>
        </w:tc>
        <w:tc>
          <w:tcPr>
            <w:tcW w:w="4080" w:type="dxa"/>
            <w:vAlign w:val="bottom"/>
          </w:tcPr>
          <w:p>
            <w:pPr>
              <w:spacing w:after="0"/>
              <w:rPr>
                <w:sz w:val="16"/>
                <w:szCs w:val="16"/>
                <w:color w:val="auto"/>
              </w:rPr>
            </w:pPr>
          </w:p>
        </w:tc>
        <w:tc>
          <w:tcPr>
            <w:tcW w:w="1800" w:type="dxa"/>
            <w:vAlign w:val="bottom"/>
          </w:tcPr>
          <w:p>
            <w:pPr>
              <w:jc w:val="center"/>
              <w:spacing w:after="0"/>
              <w:rPr>
                <w:sz w:val="20"/>
                <w:szCs w:val="20"/>
                <w:color w:val="auto"/>
              </w:rPr>
            </w:pPr>
            <w:r>
              <w:rPr>
                <w:rFonts w:ascii="Arial" w:cs="Arial" w:eastAsia="Arial" w:hAnsi="Arial"/>
                <w:sz w:val="15"/>
                <w:szCs w:val="15"/>
                <w:b w:val="1"/>
                <w:bCs w:val="1"/>
                <w:color w:val="002B5F"/>
              </w:rPr>
              <w:t>Recommendation</w:t>
            </w:r>
          </w:p>
        </w:tc>
        <w:tc>
          <w:tcPr>
            <w:tcW w:w="1640" w:type="dxa"/>
            <w:vAlign w:val="bottom"/>
            <w:gridSpan w:val="2"/>
          </w:tcPr>
          <w:p>
            <w:pPr>
              <w:jc w:val="center"/>
              <w:ind w:right="229"/>
              <w:spacing w:after="0"/>
              <w:rPr>
                <w:sz w:val="20"/>
                <w:szCs w:val="20"/>
                <w:color w:val="auto"/>
              </w:rPr>
            </w:pPr>
            <w:r>
              <w:rPr>
                <w:rFonts w:ascii="Arial" w:cs="Arial" w:eastAsia="Arial" w:hAnsi="Arial"/>
                <w:sz w:val="15"/>
                <w:szCs w:val="15"/>
                <w:b w:val="1"/>
                <w:bCs w:val="1"/>
                <w:color w:val="002B5F"/>
              </w:rPr>
              <w:t>Reference</w:t>
            </w:r>
          </w:p>
        </w:tc>
        <w:tc>
          <w:tcPr>
            <w:tcW w:w="860" w:type="dxa"/>
            <w:vAlign w:val="bottom"/>
          </w:tcPr>
          <w:p>
            <w:pPr>
              <w:jc w:val="right"/>
              <w:ind w:right="520"/>
              <w:spacing w:after="0"/>
              <w:rPr>
                <w:sz w:val="20"/>
                <w:szCs w:val="20"/>
                <w:color w:val="auto"/>
              </w:rPr>
            </w:pPr>
            <w:r>
              <w:rPr>
                <w:rFonts w:ascii="Arial" w:cs="Arial" w:eastAsia="Arial" w:hAnsi="Arial"/>
                <w:sz w:val="12"/>
                <w:szCs w:val="12"/>
                <w:color w:val="FFFFFF"/>
              </w:rPr>
              <w:t> </w:t>
            </w: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940" w:type="dxa"/>
            <w:vAlign w:val="bottom"/>
            <w:tcBorders>
              <w:bottom w:val="single" w:sz="8" w:color="002B5F"/>
            </w:tcBorders>
          </w:tcPr>
          <w:p>
            <w:pPr>
              <w:spacing w:after="0"/>
              <w:rPr>
                <w:sz w:val="3"/>
                <w:szCs w:val="3"/>
                <w:color w:val="auto"/>
              </w:rPr>
            </w:pPr>
          </w:p>
        </w:tc>
        <w:tc>
          <w:tcPr>
            <w:tcW w:w="4080" w:type="dxa"/>
            <w:vAlign w:val="bottom"/>
            <w:tcBorders>
              <w:bottom w:val="single" w:sz="8" w:color="002B5F"/>
            </w:tcBorders>
          </w:tcPr>
          <w:p>
            <w:pPr>
              <w:spacing w:after="0"/>
              <w:rPr>
                <w:sz w:val="3"/>
                <w:szCs w:val="3"/>
                <w:color w:val="auto"/>
              </w:rPr>
            </w:pPr>
          </w:p>
        </w:tc>
        <w:tc>
          <w:tcPr>
            <w:tcW w:w="1800" w:type="dxa"/>
            <w:vAlign w:val="bottom"/>
            <w:tcBorders>
              <w:bottom w:val="single" w:sz="8" w:color="002B5F"/>
            </w:tcBorders>
          </w:tcPr>
          <w:p>
            <w:pPr>
              <w:spacing w:after="0"/>
              <w:rPr>
                <w:sz w:val="3"/>
                <w:szCs w:val="3"/>
                <w:color w:val="auto"/>
              </w:rPr>
            </w:pPr>
          </w:p>
        </w:tc>
        <w:tc>
          <w:tcPr>
            <w:tcW w:w="1060" w:type="dxa"/>
            <w:vAlign w:val="bottom"/>
            <w:tcBorders>
              <w:bottom w:val="single" w:sz="8" w:color="002B5F"/>
            </w:tcBorders>
          </w:tcPr>
          <w:p>
            <w:pPr>
              <w:spacing w:after="0"/>
              <w:rPr>
                <w:sz w:val="3"/>
                <w:szCs w:val="3"/>
                <w:color w:val="auto"/>
              </w:rPr>
            </w:pPr>
          </w:p>
        </w:tc>
        <w:tc>
          <w:tcPr>
            <w:tcW w:w="580" w:type="dxa"/>
            <w:vAlign w:val="bottom"/>
          </w:tcPr>
          <w:p>
            <w:pPr>
              <w:spacing w:after="0"/>
              <w:rPr>
                <w:sz w:val="3"/>
                <w:szCs w:val="3"/>
                <w:color w:val="auto"/>
              </w:rPr>
            </w:pPr>
          </w:p>
        </w:tc>
        <w:tc>
          <w:tcPr>
            <w:tcW w:w="860" w:type="dxa"/>
            <w:vAlign w:val="bottom"/>
            <w:vMerge w:val="restart"/>
          </w:tcPr>
          <w:p>
            <w:pPr>
              <w:jc w:val="right"/>
              <w:ind w:right="520"/>
              <w:spacing w:after="0" w:line="128" w:lineRule="exact"/>
              <w:rPr>
                <w:sz w:val="20"/>
                <w:szCs w:val="20"/>
                <w:color w:val="auto"/>
              </w:rPr>
            </w:pPr>
            <w:r>
              <w:rPr>
                <w:rFonts w:ascii="Arial" w:cs="Arial" w:eastAsia="Arial" w:hAnsi="Arial"/>
                <w:sz w:val="12"/>
                <w:szCs w:val="12"/>
                <w:color w:val="FFFFFF"/>
              </w:rPr>
              <w:t> </w:t>
            </w:r>
          </w:p>
        </w:tc>
        <w:tc>
          <w:tcPr>
            <w:tcW w:w="9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64"/>
        </w:trPr>
        <w:tc>
          <w:tcPr>
            <w:tcW w:w="940" w:type="dxa"/>
            <w:vAlign w:val="bottom"/>
            <w:vMerge w:val="restart"/>
          </w:tcPr>
          <w:p>
            <w:pPr>
              <w:jc w:val="right"/>
              <w:ind w:right="298"/>
              <w:spacing w:after="0" w:line="191" w:lineRule="exact"/>
              <w:rPr>
                <w:sz w:val="20"/>
                <w:szCs w:val="20"/>
                <w:color w:val="auto"/>
              </w:rPr>
            </w:pPr>
            <w:r>
              <w:rPr>
                <w:rFonts w:ascii="Times New Roman" w:cs="Times New Roman" w:eastAsia="Times New Roman" w:hAnsi="Times New Roman"/>
                <w:sz w:val="22"/>
                <w:szCs w:val="22"/>
                <w:color w:val="B95827"/>
              </w:rPr>
              <w:t>1</w:t>
            </w:r>
          </w:p>
        </w:tc>
        <w:tc>
          <w:tcPr>
            <w:tcW w:w="408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060" w:type="dxa"/>
            <w:vAlign w:val="bottom"/>
          </w:tcPr>
          <w:p>
            <w:pPr>
              <w:spacing w:after="0"/>
              <w:rPr>
                <w:sz w:val="5"/>
                <w:szCs w:val="5"/>
                <w:color w:val="auto"/>
              </w:rPr>
            </w:pPr>
          </w:p>
        </w:tc>
        <w:tc>
          <w:tcPr>
            <w:tcW w:w="580" w:type="dxa"/>
            <w:vAlign w:val="bottom"/>
          </w:tcPr>
          <w:p>
            <w:pPr>
              <w:spacing w:after="0"/>
              <w:rPr>
                <w:sz w:val="5"/>
                <w:szCs w:val="5"/>
                <w:color w:val="auto"/>
              </w:rPr>
            </w:pPr>
          </w:p>
        </w:tc>
        <w:tc>
          <w:tcPr>
            <w:tcW w:w="86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940" w:type="dxa"/>
            <w:vAlign w:val="bottom"/>
            <w:vMerge w:val="continue"/>
          </w:tcPr>
          <w:p>
            <w:pPr>
              <w:spacing w:after="0"/>
              <w:rPr>
                <w:sz w:val="11"/>
                <w:szCs w:val="11"/>
                <w:color w:val="auto"/>
              </w:rPr>
            </w:pPr>
          </w:p>
        </w:tc>
        <w:tc>
          <w:tcPr>
            <w:tcW w:w="408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tcPr>
          <w:p>
            <w:pPr>
              <w:jc w:val="right"/>
              <w:ind w:right="520"/>
              <w:spacing w:after="0" w:line="128" w:lineRule="exact"/>
              <w:rPr>
                <w:sz w:val="20"/>
                <w:szCs w:val="20"/>
                <w:color w:val="auto"/>
              </w:rPr>
            </w:pPr>
            <w:r>
              <w:rPr>
                <w:rFonts w:ascii="Arial" w:cs="Arial" w:eastAsia="Arial" w:hAnsi="Arial"/>
                <w:sz w:val="12"/>
                <w:szCs w:val="12"/>
                <w:color w:val="FFFFFF"/>
              </w:rPr>
              <w:t> </w:t>
            </w: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940" w:type="dxa"/>
            <w:vAlign w:val="bottom"/>
          </w:tcPr>
          <w:p>
            <w:pPr>
              <w:spacing w:after="0"/>
              <w:rPr>
                <w:sz w:val="13"/>
                <w:szCs w:val="13"/>
                <w:color w:val="auto"/>
              </w:rPr>
            </w:pPr>
          </w:p>
        </w:tc>
        <w:tc>
          <w:tcPr>
            <w:tcW w:w="4080" w:type="dxa"/>
            <w:vAlign w:val="bottom"/>
          </w:tcPr>
          <w:p>
            <w:pPr>
              <w:spacing w:after="0"/>
              <w:rPr>
                <w:sz w:val="13"/>
                <w:szCs w:val="13"/>
                <w:color w:val="auto"/>
              </w:rPr>
            </w:pPr>
          </w:p>
        </w:tc>
        <w:tc>
          <w:tcPr>
            <w:tcW w:w="1800" w:type="dxa"/>
            <w:vAlign w:val="bottom"/>
            <w:vMerge w:val="restart"/>
          </w:tcPr>
          <w:p>
            <w:pPr>
              <w:jc w:val="center"/>
              <w:spacing w:after="0"/>
              <w:rPr>
                <w:sz w:val="20"/>
                <w:szCs w:val="20"/>
                <w:color w:val="auto"/>
              </w:rPr>
            </w:pPr>
            <w:r>
              <w:rPr>
                <w:rFonts w:ascii="Arial" w:cs="Arial" w:eastAsia="Arial" w:hAnsi="Arial"/>
                <w:sz w:val="15"/>
                <w:szCs w:val="15"/>
                <w:b w:val="1"/>
                <w:bCs w:val="1"/>
                <w:color w:val="B95827"/>
              </w:rPr>
              <w:t xml:space="preserve">FOR </w:t>
            </w:r>
            <w:r>
              <w:rPr>
                <w:rFonts w:ascii="Arial" w:cs="Arial" w:eastAsia="Arial" w:hAnsi="Arial"/>
                <w:sz w:val="15"/>
                <w:szCs w:val="15"/>
                <w:color w:val="000000"/>
              </w:rPr>
              <w:t>all</w:t>
            </w:r>
          </w:p>
        </w:tc>
        <w:tc>
          <w:tcPr>
            <w:tcW w:w="10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60" w:type="dxa"/>
            <w:vAlign w:val="bottom"/>
          </w:tcPr>
          <w:p>
            <w:pPr>
              <w:jc w:val="right"/>
              <w:ind w:right="520"/>
              <w:spacing w:after="0"/>
              <w:rPr>
                <w:sz w:val="20"/>
                <w:szCs w:val="20"/>
                <w:color w:val="auto"/>
              </w:rPr>
            </w:pPr>
            <w:r>
              <w:rPr>
                <w:rFonts w:ascii="Arial" w:cs="Arial" w:eastAsia="Arial" w:hAnsi="Arial"/>
                <w:sz w:val="12"/>
                <w:szCs w:val="12"/>
                <w:color w:val="FFFFFF"/>
              </w:rPr>
              <w:t> </w:t>
            </w: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940" w:type="dxa"/>
            <w:vAlign w:val="bottom"/>
          </w:tcPr>
          <w:p>
            <w:pPr>
              <w:spacing w:after="0"/>
              <w:rPr>
                <w:sz w:val="7"/>
                <w:szCs w:val="7"/>
                <w:color w:val="auto"/>
              </w:rPr>
            </w:pPr>
          </w:p>
        </w:tc>
        <w:tc>
          <w:tcPr>
            <w:tcW w:w="4080" w:type="dxa"/>
            <w:vAlign w:val="bottom"/>
            <w:vMerge w:val="restart"/>
          </w:tcPr>
          <w:p>
            <w:pPr>
              <w:ind w:left="240"/>
              <w:spacing w:after="0"/>
              <w:rPr>
                <w:sz w:val="20"/>
                <w:szCs w:val="20"/>
                <w:color w:val="auto"/>
              </w:rPr>
            </w:pPr>
            <w:r>
              <w:rPr>
                <w:rFonts w:ascii="Arial" w:cs="Arial" w:eastAsia="Arial" w:hAnsi="Arial"/>
                <w:sz w:val="15"/>
                <w:szCs w:val="15"/>
                <w:color w:val="auto"/>
              </w:rPr>
              <w:t>Election of Directors</w:t>
            </w:r>
          </w:p>
        </w:tc>
        <w:tc>
          <w:tcPr>
            <w:tcW w:w="1800" w:type="dxa"/>
            <w:vAlign w:val="bottom"/>
            <w:vMerge w:val="continue"/>
          </w:tcPr>
          <w:p>
            <w:pPr>
              <w:spacing w:after="0"/>
              <w:rPr>
                <w:sz w:val="7"/>
                <w:szCs w:val="7"/>
                <w:color w:val="auto"/>
              </w:rPr>
            </w:pPr>
          </w:p>
        </w:tc>
        <w:tc>
          <w:tcPr>
            <w:tcW w:w="1060" w:type="dxa"/>
            <w:vAlign w:val="bottom"/>
            <w:vMerge w:val="restart"/>
          </w:tcPr>
          <w:p>
            <w:pPr>
              <w:jc w:val="right"/>
              <w:ind w:right="283"/>
              <w:spacing w:after="0"/>
              <w:rPr>
                <w:sz w:val="20"/>
                <w:szCs w:val="20"/>
                <w:color w:val="auto"/>
              </w:rPr>
            </w:pPr>
            <w:r>
              <w:rPr>
                <w:rFonts w:ascii="Arial" w:cs="Arial" w:eastAsia="Arial" w:hAnsi="Arial"/>
                <w:sz w:val="15"/>
                <w:szCs w:val="15"/>
                <w:color w:val="auto"/>
              </w:rPr>
              <w:t>8</w:t>
            </w:r>
          </w:p>
        </w:tc>
        <w:tc>
          <w:tcPr>
            <w:tcW w:w="580" w:type="dxa"/>
            <w:vAlign w:val="bottom"/>
          </w:tcPr>
          <w:p>
            <w:pPr>
              <w:spacing w:after="0"/>
              <w:rPr>
                <w:sz w:val="7"/>
                <w:szCs w:val="7"/>
                <w:color w:val="auto"/>
              </w:rPr>
            </w:pPr>
          </w:p>
        </w:tc>
        <w:tc>
          <w:tcPr>
            <w:tcW w:w="860" w:type="dxa"/>
            <w:vAlign w:val="bottom"/>
          </w:tcPr>
          <w:p>
            <w:pPr>
              <w:spacing w:after="0"/>
              <w:rPr>
                <w:sz w:val="7"/>
                <w:szCs w:val="7"/>
                <w:color w:val="auto"/>
              </w:rPr>
            </w:pPr>
          </w:p>
        </w:tc>
        <w:tc>
          <w:tcPr>
            <w:tcW w:w="9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1"/>
        </w:trPr>
        <w:tc>
          <w:tcPr>
            <w:tcW w:w="940" w:type="dxa"/>
            <w:vAlign w:val="bottom"/>
          </w:tcPr>
          <w:p>
            <w:pPr>
              <w:spacing w:after="0"/>
              <w:rPr>
                <w:sz w:val="9"/>
                <w:szCs w:val="9"/>
                <w:color w:val="auto"/>
              </w:rPr>
            </w:pPr>
          </w:p>
        </w:tc>
        <w:tc>
          <w:tcPr>
            <w:tcW w:w="4080" w:type="dxa"/>
            <w:vAlign w:val="bottom"/>
            <w:vMerge w:val="continue"/>
          </w:tcPr>
          <w:p>
            <w:pPr>
              <w:spacing w:after="0"/>
              <w:rPr>
                <w:sz w:val="9"/>
                <w:szCs w:val="9"/>
                <w:color w:val="auto"/>
              </w:rPr>
            </w:pPr>
          </w:p>
        </w:tc>
        <w:tc>
          <w:tcPr>
            <w:tcW w:w="1800" w:type="dxa"/>
            <w:vAlign w:val="bottom"/>
            <w:vMerge w:val="restart"/>
          </w:tcPr>
          <w:p>
            <w:pPr>
              <w:jc w:val="center"/>
              <w:spacing w:after="0"/>
              <w:rPr>
                <w:sz w:val="20"/>
                <w:szCs w:val="20"/>
                <w:color w:val="auto"/>
              </w:rPr>
            </w:pPr>
            <w:r>
              <w:rPr>
                <w:rFonts w:ascii="Arial" w:cs="Arial" w:eastAsia="Arial" w:hAnsi="Arial"/>
                <w:sz w:val="15"/>
                <w:szCs w:val="15"/>
                <w:color w:val="auto"/>
              </w:rPr>
              <w:t>nominees</w:t>
            </w:r>
          </w:p>
        </w:tc>
        <w:tc>
          <w:tcPr>
            <w:tcW w:w="1060" w:type="dxa"/>
            <w:vAlign w:val="bottom"/>
            <w:vMerge w:val="continue"/>
          </w:tcPr>
          <w:p>
            <w:pPr>
              <w:spacing w:after="0"/>
              <w:rPr>
                <w:sz w:val="9"/>
                <w:szCs w:val="9"/>
                <w:color w:val="auto"/>
              </w:rPr>
            </w:pPr>
          </w:p>
        </w:tc>
        <w:tc>
          <w:tcPr>
            <w:tcW w:w="580" w:type="dxa"/>
            <w:vAlign w:val="bottom"/>
          </w:tcPr>
          <w:p>
            <w:pPr>
              <w:spacing w:after="0"/>
              <w:rPr>
                <w:sz w:val="9"/>
                <w:szCs w:val="9"/>
                <w:color w:val="auto"/>
              </w:rPr>
            </w:pPr>
          </w:p>
        </w:tc>
        <w:tc>
          <w:tcPr>
            <w:tcW w:w="860" w:type="dxa"/>
            <w:vAlign w:val="bottom"/>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9"/>
        </w:trPr>
        <w:tc>
          <w:tcPr>
            <w:tcW w:w="940" w:type="dxa"/>
            <w:vAlign w:val="bottom"/>
          </w:tcPr>
          <w:p>
            <w:pPr>
              <w:spacing w:after="0"/>
              <w:rPr>
                <w:sz w:val="7"/>
                <w:szCs w:val="7"/>
                <w:color w:val="auto"/>
              </w:rPr>
            </w:pPr>
          </w:p>
        </w:tc>
        <w:tc>
          <w:tcPr>
            <w:tcW w:w="4080" w:type="dxa"/>
            <w:vAlign w:val="bottom"/>
          </w:tcPr>
          <w:p>
            <w:pPr>
              <w:spacing w:after="0"/>
              <w:rPr>
                <w:sz w:val="7"/>
                <w:szCs w:val="7"/>
                <w:color w:val="auto"/>
              </w:rPr>
            </w:pPr>
          </w:p>
        </w:tc>
        <w:tc>
          <w:tcPr>
            <w:tcW w:w="1800" w:type="dxa"/>
            <w:vAlign w:val="bottom"/>
            <w:vMerge w:val="continue"/>
          </w:tcPr>
          <w:p>
            <w:pPr>
              <w:spacing w:after="0"/>
              <w:rPr>
                <w:sz w:val="7"/>
                <w:szCs w:val="7"/>
                <w:color w:val="auto"/>
              </w:rPr>
            </w:pPr>
          </w:p>
        </w:tc>
        <w:tc>
          <w:tcPr>
            <w:tcW w:w="1060" w:type="dxa"/>
            <w:vAlign w:val="bottom"/>
          </w:tcPr>
          <w:p>
            <w:pPr>
              <w:spacing w:after="0"/>
              <w:rPr>
                <w:sz w:val="7"/>
                <w:szCs w:val="7"/>
                <w:color w:val="auto"/>
              </w:rPr>
            </w:pPr>
          </w:p>
        </w:tc>
        <w:tc>
          <w:tcPr>
            <w:tcW w:w="580" w:type="dxa"/>
            <w:vAlign w:val="bottom"/>
          </w:tcPr>
          <w:p>
            <w:pPr>
              <w:spacing w:after="0"/>
              <w:rPr>
                <w:sz w:val="7"/>
                <w:szCs w:val="7"/>
                <w:color w:val="auto"/>
              </w:rPr>
            </w:pPr>
          </w:p>
        </w:tc>
        <w:tc>
          <w:tcPr>
            <w:tcW w:w="860" w:type="dxa"/>
            <w:vAlign w:val="bottom"/>
            <w:vMerge w:val="restart"/>
          </w:tcPr>
          <w:p>
            <w:pPr>
              <w:jc w:val="right"/>
              <w:ind w:right="520"/>
              <w:spacing w:after="0"/>
              <w:rPr>
                <w:sz w:val="20"/>
                <w:szCs w:val="20"/>
                <w:color w:val="auto"/>
              </w:rPr>
            </w:pPr>
            <w:r>
              <w:rPr>
                <w:rFonts w:ascii="Arial" w:cs="Arial" w:eastAsia="Arial" w:hAnsi="Arial"/>
                <w:sz w:val="12"/>
                <w:szCs w:val="12"/>
                <w:b w:val="1"/>
                <w:bCs w:val="1"/>
                <w:color w:val="FFFFFF"/>
              </w:rPr>
              <w:t> </w:t>
            </w:r>
          </w:p>
        </w:tc>
        <w:tc>
          <w:tcPr>
            <w:tcW w:w="9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5"/>
        </w:trPr>
        <w:tc>
          <w:tcPr>
            <w:tcW w:w="940" w:type="dxa"/>
            <w:vAlign w:val="bottom"/>
          </w:tcPr>
          <w:p>
            <w:pPr>
              <w:spacing w:after="0"/>
              <w:rPr>
                <w:sz w:val="7"/>
                <w:szCs w:val="7"/>
                <w:color w:val="auto"/>
              </w:rPr>
            </w:pPr>
          </w:p>
        </w:tc>
        <w:tc>
          <w:tcPr>
            <w:tcW w:w="4080" w:type="dxa"/>
            <w:vAlign w:val="bottom"/>
          </w:tcPr>
          <w:p>
            <w:pPr>
              <w:spacing w:after="0"/>
              <w:rPr>
                <w:sz w:val="7"/>
                <w:szCs w:val="7"/>
                <w:color w:val="auto"/>
              </w:rPr>
            </w:pPr>
          </w:p>
        </w:tc>
        <w:tc>
          <w:tcPr>
            <w:tcW w:w="1800" w:type="dxa"/>
            <w:vAlign w:val="bottom"/>
          </w:tcPr>
          <w:p>
            <w:pPr>
              <w:spacing w:after="0"/>
              <w:rPr>
                <w:sz w:val="7"/>
                <w:szCs w:val="7"/>
                <w:color w:val="auto"/>
              </w:rPr>
            </w:pPr>
          </w:p>
        </w:tc>
        <w:tc>
          <w:tcPr>
            <w:tcW w:w="1060" w:type="dxa"/>
            <w:vAlign w:val="bottom"/>
          </w:tcPr>
          <w:p>
            <w:pPr>
              <w:spacing w:after="0"/>
              <w:rPr>
                <w:sz w:val="7"/>
                <w:szCs w:val="7"/>
                <w:color w:val="auto"/>
              </w:rPr>
            </w:pPr>
          </w:p>
        </w:tc>
        <w:tc>
          <w:tcPr>
            <w:tcW w:w="580" w:type="dxa"/>
            <w:vAlign w:val="bottom"/>
          </w:tcPr>
          <w:p>
            <w:pPr>
              <w:spacing w:after="0"/>
              <w:rPr>
                <w:sz w:val="7"/>
                <w:szCs w:val="7"/>
                <w:color w:val="auto"/>
              </w:rPr>
            </w:pPr>
          </w:p>
        </w:tc>
        <w:tc>
          <w:tcPr>
            <w:tcW w:w="860" w:type="dxa"/>
            <w:vAlign w:val="bottom"/>
            <w:vMerge w:val="continue"/>
          </w:tcPr>
          <w:p>
            <w:pPr>
              <w:spacing w:after="0"/>
              <w:rPr>
                <w:sz w:val="7"/>
                <w:szCs w:val="7"/>
                <w:color w:val="auto"/>
              </w:rPr>
            </w:pPr>
          </w:p>
        </w:tc>
        <w:tc>
          <w:tcPr>
            <w:tcW w:w="9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940" w:type="dxa"/>
            <w:vAlign w:val="bottom"/>
            <w:tcBorders>
              <w:bottom w:val="single" w:sz="8" w:color="7F7F7F"/>
            </w:tcBorders>
          </w:tcPr>
          <w:p>
            <w:pPr>
              <w:spacing w:after="0"/>
              <w:rPr>
                <w:sz w:val="22"/>
                <w:szCs w:val="22"/>
                <w:color w:val="auto"/>
              </w:rPr>
            </w:pPr>
          </w:p>
        </w:tc>
        <w:tc>
          <w:tcPr>
            <w:tcW w:w="4080" w:type="dxa"/>
            <w:vAlign w:val="bottom"/>
            <w:tcBorders>
              <w:bottom w:val="single" w:sz="8" w:color="7F7F7F"/>
            </w:tcBorders>
          </w:tcPr>
          <w:p>
            <w:pPr>
              <w:spacing w:after="0"/>
              <w:rPr>
                <w:sz w:val="22"/>
                <w:szCs w:val="22"/>
                <w:color w:val="auto"/>
              </w:rPr>
            </w:pPr>
          </w:p>
        </w:tc>
        <w:tc>
          <w:tcPr>
            <w:tcW w:w="1800" w:type="dxa"/>
            <w:vAlign w:val="bottom"/>
            <w:tcBorders>
              <w:bottom w:val="single" w:sz="8" w:color="7F7F7F"/>
            </w:tcBorders>
          </w:tcPr>
          <w:p>
            <w:pPr>
              <w:spacing w:after="0"/>
              <w:rPr>
                <w:sz w:val="22"/>
                <w:szCs w:val="22"/>
                <w:color w:val="auto"/>
              </w:rPr>
            </w:pPr>
          </w:p>
        </w:tc>
        <w:tc>
          <w:tcPr>
            <w:tcW w:w="1060" w:type="dxa"/>
            <w:vAlign w:val="bottom"/>
            <w:tcBorders>
              <w:bottom w:val="single" w:sz="8" w:color="7F7F7F"/>
            </w:tcBorders>
          </w:tcPr>
          <w:p>
            <w:pPr>
              <w:spacing w:after="0"/>
              <w:rPr>
                <w:sz w:val="22"/>
                <w:szCs w:val="22"/>
                <w:color w:val="auto"/>
              </w:rPr>
            </w:pPr>
          </w:p>
        </w:tc>
        <w:tc>
          <w:tcPr>
            <w:tcW w:w="580" w:type="dxa"/>
            <w:vAlign w:val="bottom"/>
          </w:tcPr>
          <w:p>
            <w:pPr>
              <w:spacing w:after="0"/>
              <w:rPr>
                <w:sz w:val="22"/>
                <w:szCs w:val="22"/>
                <w:color w:val="auto"/>
              </w:rPr>
            </w:pPr>
          </w:p>
        </w:tc>
        <w:tc>
          <w:tcPr>
            <w:tcW w:w="860" w:type="dxa"/>
            <w:vAlign w:val="bottom"/>
            <w:vMerge w:val="restart"/>
          </w:tcPr>
          <w:p>
            <w:pPr>
              <w:jc w:val="right"/>
              <w:ind w:right="520"/>
              <w:spacing w:after="0"/>
              <w:rPr>
                <w:sz w:val="20"/>
                <w:szCs w:val="20"/>
                <w:color w:val="auto"/>
              </w:rPr>
            </w:pPr>
            <w:r>
              <w:rPr>
                <w:rFonts w:ascii="Arial" w:cs="Arial" w:eastAsia="Arial" w:hAnsi="Arial"/>
                <w:sz w:val="12"/>
                <w:szCs w:val="12"/>
                <w:color w:val="FFFFFF"/>
              </w:rPr>
              <w:t> </w:t>
            </w: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2"/>
        </w:trPr>
        <w:tc>
          <w:tcPr>
            <w:tcW w:w="940" w:type="dxa"/>
            <w:vAlign w:val="bottom"/>
          </w:tcPr>
          <w:p>
            <w:pPr>
              <w:spacing w:after="0"/>
              <w:rPr>
                <w:sz w:val="4"/>
                <w:szCs w:val="4"/>
                <w:color w:val="auto"/>
              </w:rPr>
            </w:pPr>
          </w:p>
        </w:tc>
        <w:tc>
          <w:tcPr>
            <w:tcW w:w="4080" w:type="dxa"/>
            <w:vAlign w:val="bottom"/>
          </w:tcPr>
          <w:p>
            <w:pPr>
              <w:spacing w:after="0"/>
              <w:rPr>
                <w:sz w:val="4"/>
                <w:szCs w:val="4"/>
                <w:color w:val="auto"/>
              </w:rPr>
            </w:pPr>
          </w:p>
        </w:tc>
        <w:tc>
          <w:tcPr>
            <w:tcW w:w="18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580" w:type="dxa"/>
            <w:vAlign w:val="bottom"/>
          </w:tcPr>
          <w:p>
            <w:pPr>
              <w:spacing w:after="0"/>
              <w:rPr>
                <w:sz w:val="4"/>
                <w:szCs w:val="4"/>
                <w:color w:val="auto"/>
              </w:rPr>
            </w:pPr>
          </w:p>
        </w:tc>
        <w:tc>
          <w:tcPr>
            <w:tcW w:w="860" w:type="dxa"/>
            <w:vAlign w:val="bottom"/>
            <w:vMerge w:val="continue"/>
          </w:tcPr>
          <w:p>
            <w:pPr>
              <w:spacing w:after="0"/>
              <w:rPr>
                <w:sz w:val="4"/>
                <w:szCs w:val="4"/>
                <w:color w:val="auto"/>
              </w:rPr>
            </w:pPr>
          </w:p>
        </w:tc>
        <w:tc>
          <w:tcPr>
            <w:tcW w:w="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8"/>
        </w:trPr>
        <w:tc>
          <w:tcPr>
            <w:tcW w:w="940" w:type="dxa"/>
            <w:vAlign w:val="bottom"/>
            <w:vMerge w:val="restart"/>
          </w:tcPr>
          <w:p>
            <w:pPr>
              <w:jc w:val="right"/>
              <w:ind w:right="298"/>
              <w:spacing w:after="0"/>
              <w:rPr>
                <w:sz w:val="20"/>
                <w:szCs w:val="20"/>
                <w:color w:val="auto"/>
              </w:rPr>
            </w:pPr>
            <w:r>
              <w:rPr>
                <w:rFonts w:ascii="Times New Roman" w:cs="Times New Roman" w:eastAsia="Times New Roman" w:hAnsi="Times New Roman"/>
                <w:sz w:val="71"/>
                <w:szCs w:val="71"/>
                <w:color w:val="B95827"/>
              </w:rPr>
              <w:t>2</w:t>
            </w:r>
          </w:p>
        </w:tc>
        <w:tc>
          <w:tcPr>
            <w:tcW w:w="408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tcPr>
          <w:p>
            <w:pPr>
              <w:jc w:val="right"/>
              <w:ind w:right="520"/>
              <w:spacing w:after="0" w:line="128" w:lineRule="exact"/>
              <w:rPr>
                <w:sz w:val="20"/>
                <w:szCs w:val="20"/>
                <w:color w:val="auto"/>
              </w:rPr>
            </w:pPr>
            <w:r>
              <w:rPr>
                <w:rFonts w:ascii="Arial" w:cs="Arial" w:eastAsia="Arial" w:hAnsi="Arial"/>
                <w:sz w:val="12"/>
                <w:szCs w:val="12"/>
                <w:color w:val="FFFFFF"/>
              </w:rPr>
              <w:t> </w:t>
            </w: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940" w:type="dxa"/>
            <w:vAlign w:val="bottom"/>
            <w:vMerge w:val="continue"/>
          </w:tcPr>
          <w:p>
            <w:pPr>
              <w:spacing w:after="0"/>
              <w:rPr>
                <w:sz w:val="11"/>
                <w:szCs w:val="11"/>
                <w:color w:val="auto"/>
              </w:rPr>
            </w:pPr>
          </w:p>
        </w:tc>
        <w:tc>
          <w:tcPr>
            <w:tcW w:w="4080" w:type="dxa"/>
            <w:vAlign w:val="bottom"/>
            <w:vMerge w:val="restart"/>
          </w:tcPr>
          <w:p>
            <w:pPr>
              <w:ind w:left="240"/>
              <w:spacing w:after="0"/>
              <w:rPr>
                <w:sz w:val="20"/>
                <w:szCs w:val="20"/>
                <w:color w:val="auto"/>
              </w:rPr>
            </w:pPr>
            <w:r>
              <w:rPr>
                <w:rFonts w:ascii="Arial" w:cs="Arial" w:eastAsia="Arial" w:hAnsi="Arial"/>
                <w:sz w:val="15"/>
                <w:szCs w:val="15"/>
                <w:color w:val="auto"/>
              </w:rPr>
              <w:t>Ratification of the Appointment of Deloitte &amp; Touche</w:t>
            </w:r>
          </w:p>
        </w:tc>
        <w:tc>
          <w:tcPr>
            <w:tcW w:w="18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tcPr>
          <w:p>
            <w:pPr>
              <w:jc w:val="right"/>
              <w:ind w:right="520"/>
              <w:spacing w:after="0" w:line="128" w:lineRule="exact"/>
              <w:rPr>
                <w:sz w:val="20"/>
                <w:szCs w:val="20"/>
                <w:color w:val="auto"/>
              </w:rPr>
            </w:pPr>
            <w:r>
              <w:rPr>
                <w:rFonts w:ascii="Arial" w:cs="Arial" w:eastAsia="Arial" w:hAnsi="Arial"/>
                <w:sz w:val="12"/>
                <w:szCs w:val="12"/>
                <w:color w:val="FFFFFF"/>
              </w:rPr>
              <w:t> </w:t>
            </w: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940" w:type="dxa"/>
            <w:vAlign w:val="bottom"/>
            <w:vMerge w:val="continue"/>
          </w:tcPr>
          <w:p>
            <w:pPr>
              <w:spacing w:after="0"/>
              <w:rPr>
                <w:sz w:val="10"/>
                <w:szCs w:val="10"/>
                <w:color w:val="auto"/>
              </w:rPr>
            </w:pPr>
          </w:p>
        </w:tc>
        <w:tc>
          <w:tcPr>
            <w:tcW w:w="4080" w:type="dxa"/>
            <w:vAlign w:val="bottom"/>
            <w:vMerge w:val="continue"/>
          </w:tcPr>
          <w:p>
            <w:pPr>
              <w:spacing w:after="0"/>
              <w:rPr>
                <w:sz w:val="10"/>
                <w:szCs w:val="10"/>
                <w:color w:val="auto"/>
              </w:rPr>
            </w:pPr>
          </w:p>
        </w:tc>
        <w:tc>
          <w:tcPr>
            <w:tcW w:w="18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60" w:type="dxa"/>
            <w:vAlign w:val="bottom"/>
          </w:tcPr>
          <w:p>
            <w:pPr>
              <w:jc w:val="right"/>
              <w:ind w:right="520"/>
              <w:spacing w:after="0" w:line="120" w:lineRule="exact"/>
              <w:rPr>
                <w:sz w:val="20"/>
                <w:szCs w:val="20"/>
                <w:color w:val="auto"/>
              </w:rPr>
            </w:pPr>
            <w:r>
              <w:rPr>
                <w:rFonts w:ascii="Arial" w:cs="Arial" w:eastAsia="Arial" w:hAnsi="Arial"/>
                <w:sz w:val="12"/>
                <w:szCs w:val="12"/>
                <w:color w:val="FFFFFF"/>
              </w:rPr>
              <w:t> </w:t>
            </w: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9"/>
        </w:trPr>
        <w:tc>
          <w:tcPr>
            <w:tcW w:w="940" w:type="dxa"/>
            <w:vAlign w:val="bottom"/>
            <w:vMerge w:val="continue"/>
          </w:tcPr>
          <w:p>
            <w:pPr>
              <w:spacing w:after="0"/>
              <w:rPr>
                <w:sz w:val="15"/>
                <w:szCs w:val="15"/>
                <w:color w:val="auto"/>
              </w:rPr>
            </w:pPr>
          </w:p>
        </w:tc>
        <w:tc>
          <w:tcPr>
            <w:tcW w:w="4080" w:type="dxa"/>
            <w:vAlign w:val="bottom"/>
          </w:tcPr>
          <w:p>
            <w:pPr>
              <w:ind w:left="240"/>
              <w:spacing w:after="0"/>
              <w:rPr>
                <w:sz w:val="20"/>
                <w:szCs w:val="20"/>
                <w:color w:val="auto"/>
              </w:rPr>
            </w:pPr>
            <w:r>
              <w:rPr>
                <w:rFonts w:ascii="Arial" w:cs="Arial" w:eastAsia="Arial" w:hAnsi="Arial"/>
                <w:sz w:val="15"/>
                <w:szCs w:val="15"/>
                <w:color w:val="auto"/>
              </w:rPr>
              <w:t>LLP by the Audit and Risk Committee of the Board of</w:t>
            </w:r>
          </w:p>
        </w:tc>
        <w:tc>
          <w:tcPr>
            <w:tcW w:w="1800" w:type="dxa"/>
            <w:vAlign w:val="bottom"/>
          </w:tcPr>
          <w:p>
            <w:pPr>
              <w:jc w:val="center"/>
              <w:spacing w:after="0"/>
              <w:rPr>
                <w:sz w:val="20"/>
                <w:szCs w:val="20"/>
                <w:color w:val="auto"/>
              </w:rPr>
            </w:pPr>
            <w:r>
              <w:rPr>
                <w:rFonts w:ascii="Arial" w:cs="Arial" w:eastAsia="Arial" w:hAnsi="Arial"/>
                <w:sz w:val="15"/>
                <w:szCs w:val="15"/>
                <w:b w:val="1"/>
                <w:bCs w:val="1"/>
                <w:color w:val="B95827"/>
              </w:rPr>
              <w:t>FOR</w:t>
            </w:r>
          </w:p>
        </w:tc>
        <w:tc>
          <w:tcPr>
            <w:tcW w:w="1060" w:type="dxa"/>
            <w:vAlign w:val="bottom"/>
          </w:tcPr>
          <w:p>
            <w:pPr>
              <w:jc w:val="right"/>
              <w:ind w:right="223"/>
              <w:spacing w:after="0"/>
              <w:rPr>
                <w:sz w:val="20"/>
                <w:szCs w:val="20"/>
                <w:color w:val="auto"/>
              </w:rPr>
            </w:pPr>
            <w:r>
              <w:rPr>
                <w:rFonts w:ascii="Arial" w:cs="Arial" w:eastAsia="Arial" w:hAnsi="Arial"/>
                <w:sz w:val="15"/>
                <w:szCs w:val="15"/>
                <w:color w:val="auto"/>
              </w:rPr>
              <w:t>82</w:t>
            </w:r>
          </w:p>
        </w:tc>
        <w:tc>
          <w:tcPr>
            <w:tcW w:w="5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940" w:type="dxa"/>
            <w:vAlign w:val="bottom"/>
            <w:vMerge w:val="continue"/>
          </w:tcPr>
          <w:p>
            <w:pPr>
              <w:spacing w:after="0"/>
              <w:rPr>
                <w:sz w:val="14"/>
                <w:szCs w:val="14"/>
                <w:color w:val="auto"/>
              </w:rPr>
            </w:pPr>
          </w:p>
        </w:tc>
        <w:tc>
          <w:tcPr>
            <w:tcW w:w="4080" w:type="dxa"/>
            <w:vAlign w:val="bottom"/>
          </w:tcPr>
          <w:p>
            <w:pPr>
              <w:ind w:left="240"/>
              <w:spacing w:after="0" w:line="167" w:lineRule="exact"/>
              <w:rPr>
                <w:sz w:val="20"/>
                <w:szCs w:val="20"/>
                <w:color w:val="auto"/>
              </w:rPr>
            </w:pPr>
            <w:r>
              <w:rPr>
                <w:rFonts w:ascii="Arial" w:cs="Arial" w:eastAsia="Arial" w:hAnsi="Arial"/>
                <w:sz w:val="15"/>
                <w:szCs w:val="15"/>
                <w:color w:val="auto"/>
              </w:rPr>
              <w:t>Directors as Our Independent Registered Public</w:t>
            </w:r>
          </w:p>
        </w:tc>
        <w:tc>
          <w:tcPr>
            <w:tcW w:w="18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60" w:type="dxa"/>
            <w:vAlign w:val="bottom"/>
          </w:tcPr>
          <w:p>
            <w:pPr>
              <w:jc w:val="right"/>
              <w:ind w:right="520"/>
              <w:spacing w:after="0"/>
              <w:rPr>
                <w:sz w:val="20"/>
                <w:szCs w:val="20"/>
                <w:color w:val="auto"/>
              </w:rPr>
            </w:pPr>
            <w:r>
              <w:rPr>
                <w:rFonts w:ascii="Arial" w:cs="Arial" w:eastAsia="Arial" w:hAnsi="Arial"/>
                <w:sz w:val="12"/>
                <w:szCs w:val="12"/>
                <w:color w:val="FFFFFF"/>
              </w:rPr>
              <w:t> </w:t>
            </w: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940" w:type="dxa"/>
            <w:vAlign w:val="bottom"/>
            <w:vMerge w:val="continue"/>
          </w:tcPr>
          <w:p>
            <w:pPr>
              <w:spacing w:after="0"/>
              <w:rPr>
                <w:sz w:val="21"/>
                <w:szCs w:val="21"/>
                <w:color w:val="auto"/>
              </w:rPr>
            </w:pPr>
          </w:p>
        </w:tc>
        <w:tc>
          <w:tcPr>
            <w:tcW w:w="4080" w:type="dxa"/>
            <w:vAlign w:val="bottom"/>
          </w:tcPr>
          <w:p>
            <w:pPr>
              <w:ind w:left="240"/>
              <w:spacing w:after="0"/>
              <w:rPr>
                <w:sz w:val="20"/>
                <w:szCs w:val="20"/>
                <w:color w:val="auto"/>
              </w:rPr>
            </w:pPr>
            <w:r>
              <w:rPr>
                <w:rFonts w:ascii="Arial" w:cs="Arial" w:eastAsia="Arial" w:hAnsi="Arial"/>
                <w:sz w:val="15"/>
                <w:szCs w:val="15"/>
                <w:color w:val="auto"/>
              </w:rPr>
              <w:t>Accounting Firm</w:t>
            </w:r>
          </w:p>
        </w:tc>
        <w:tc>
          <w:tcPr>
            <w:tcW w:w="18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60" w:type="dxa"/>
            <w:vAlign w:val="bottom"/>
          </w:tcPr>
          <w:p>
            <w:pPr>
              <w:jc w:val="right"/>
              <w:ind w:right="520"/>
              <w:spacing w:after="0"/>
              <w:rPr>
                <w:sz w:val="20"/>
                <w:szCs w:val="20"/>
                <w:color w:val="auto"/>
              </w:rPr>
            </w:pPr>
            <w:r>
              <w:rPr>
                <w:rFonts w:ascii="Arial" w:cs="Arial" w:eastAsia="Arial" w:hAnsi="Arial"/>
                <w:sz w:val="12"/>
                <w:szCs w:val="12"/>
                <w:color w:val="FFFFFF"/>
              </w:rPr>
              <w:t> </w:t>
            </w: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0800"/>
          </w:cols>
          <w:pgMar w:left="320" w:top="464" w:right="779" w:bottom="1440" w:gutter="0" w:footer="0" w:header="0"/>
        </w:sectPr>
      </w:pPr>
    </w:p>
    <w:tbl>
      <w:tblPr>
        <w:tblLayout w:type="fixed"/>
        <w:tblInd w:w="540" w:type="dxa"/>
        <w:tblCellMar>
          <w:top w:w="0" w:type="dxa"/>
          <w:left w:w="0" w:type="dxa"/>
          <w:bottom w:w="0" w:type="dxa"/>
          <w:right w:w="0" w:type="dxa"/>
        </w:tblCellMar>
      </w:tblPr>
      <w:tr>
        <w:trPr>
          <w:trHeight w:val="497"/>
        </w:trPr>
        <w:tc>
          <w:tcPr>
            <w:tcW w:w="820" w:type="dxa"/>
            <w:vAlign w:val="bottom"/>
          </w:tcPr>
          <w:p>
            <w:pPr>
              <w:jc w:val="right"/>
              <w:ind w:right="84"/>
              <w:spacing w:after="0" w:line="495" w:lineRule="exact"/>
              <w:rPr>
                <w:sz w:val="20"/>
                <w:szCs w:val="20"/>
                <w:color w:val="auto"/>
              </w:rPr>
            </w:pPr>
            <w:r>
              <w:rPr>
                <w:rFonts w:ascii="Times New Roman" w:cs="Times New Roman" w:eastAsia="Times New Roman" w:hAnsi="Times New Roman"/>
                <w:sz w:val="57"/>
                <w:szCs w:val="57"/>
                <w:color w:val="B95827"/>
              </w:rPr>
              <w:t>3</w:t>
            </w:r>
          </w:p>
        </w:tc>
        <w:tc>
          <w:tcPr>
            <w:tcW w:w="4400" w:type="dxa"/>
            <w:vAlign w:val="bottom"/>
            <w:vMerge w:val="restart"/>
          </w:tcPr>
          <w:p>
            <w:pPr>
              <w:ind w:left="360"/>
              <w:spacing w:after="0"/>
              <w:rPr>
                <w:sz w:val="20"/>
                <w:szCs w:val="20"/>
                <w:color w:val="auto"/>
              </w:rPr>
            </w:pPr>
            <w:r>
              <w:rPr>
                <w:rFonts w:ascii="Arial" w:cs="Arial" w:eastAsia="Arial" w:hAnsi="Arial"/>
                <w:sz w:val="15"/>
                <w:szCs w:val="15"/>
                <w:color w:val="auto"/>
              </w:rPr>
              <w:t>Approval, in an Advisory Vote, of the Compensation</w:t>
            </w:r>
          </w:p>
        </w:tc>
        <w:tc>
          <w:tcPr>
            <w:tcW w:w="1500" w:type="dxa"/>
            <w:vAlign w:val="bottom"/>
            <w:vMerge w:val="restart"/>
          </w:tcPr>
          <w:p>
            <w:pPr>
              <w:ind w:left="520"/>
              <w:spacing w:after="0"/>
              <w:rPr>
                <w:sz w:val="20"/>
                <w:szCs w:val="20"/>
                <w:color w:val="auto"/>
              </w:rPr>
            </w:pPr>
            <w:r>
              <w:rPr>
                <w:rFonts w:ascii="Arial" w:cs="Arial" w:eastAsia="Arial" w:hAnsi="Arial"/>
                <w:sz w:val="15"/>
                <w:szCs w:val="15"/>
                <w:b w:val="1"/>
                <w:bCs w:val="1"/>
                <w:color w:val="B95827"/>
              </w:rPr>
              <w:t>FOR</w:t>
            </w:r>
          </w:p>
        </w:tc>
        <w:tc>
          <w:tcPr>
            <w:tcW w:w="1160" w:type="dxa"/>
            <w:vAlign w:val="bottom"/>
            <w:vMerge w:val="restart"/>
          </w:tcPr>
          <w:p>
            <w:pPr>
              <w:jc w:val="right"/>
              <w:ind w:right="223"/>
              <w:spacing w:after="0"/>
              <w:rPr>
                <w:sz w:val="20"/>
                <w:szCs w:val="20"/>
                <w:color w:val="auto"/>
              </w:rPr>
            </w:pPr>
            <w:r>
              <w:rPr>
                <w:rFonts w:ascii="Arial" w:cs="Arial" w:eastAsia="Arial" w:hAnsi="Arial"/>
                <w:sz w:val="15"/>
                <w:szCs w:val="15"/>
                <w:color w:val="auto"/>
              </w:rPr>
              <w:t>85</w:t>
            </w:r>
          </w:p>
        </w:tc>
        <w:tc>
          <w:tcPr>
            <w:tcW w:w="0" w:type="dxa"/>
            <w:vAlign w:val="bottom"/>
          </w:tcPr>
          <w:p>
            <w:pPr>
              <w:spacing w:after="0"/>
              <w:rPr>
                <w:sz w:val="1"/>
                <w:szCs w:val="1"/>
                <w:color w:val="auto"/>
              </w:rPr>
            </w:pPr>
          </w:p>
        </w:tc>
      </w:tr>
      <w:tr>
        <w:trPr>
          <w:trHeight w:val="26"/>
        </w:trPr>
        <w:tc>
          <w:tcPr>
            <w:tcW w:w="820" w:type="dxa"/>
            <w:vAlign w:val="bottom"/>
          </w:tcPr>
          <w:p>
            <w:pPr>
              <w:spacing w:after="0"/>
              <w:rPr>
                <w:sz w:val="2"/>
                <w:szCs w:val="2"/>
                <w:color w:val="auto"/>
              </w:rPr>
            </w:pPr>
          </w:p>
        </w:tc>
        <w:tc>
          <w:tcPr>
            <w:tcW w:w="4400" w:type="dxa"/>
            <w:vAlign w:val="bottom"/>
            <w:vMerge w:val="continue"/>
          </w:tcPr>
          <w:p>
            <w:pPr>
              <w:spacing w:after="0"/>
              <w:rPr>
                <w:sz w:val="2"/>
                <w:szCs w:val="2"/>
                <w:color w:val="auto"/>
              </w:rPr>
            </w:pPr>
          </w:p>
        </w:tc>
        <w:tc>
          <w:tcPr>
            <w:tcW w:w="1500" w:type="dxa"/>
            <w:vAlign w:val="bottom"/>
            <w:vMerge w:val="continue"/>
          </w:tcPr>
          <w:p>
            <w:pPr>
              <w:spacing w:after="0"/>
              <w:rPr>
                <w:sz w:val="2"/>
                <w:szCs w:val="2"/>
                <w:color w:val="auto"/>
              </w:rPr>
            </w:pPr>
          </w:p>
        </w:tc>
        <w:tc>
          <w:tcPr>
            <w:tcW w:w="11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9"/>
        </w:trPr>
        <w:tc>
          <w:tcPr>
            <w:tcW w:w="820" w:type="dxa"/>
            <w:vAlign w:val="bottom"/>
          </w:tcPr>
          <w:p>
            <w:pPr>
              <w:spacing w:after="0"/>
              <w:rPr>
                <w:sz w:val="10"/>
                <w:szCs w:val="10"/>
                <w:color w:val="auto"/>
              </w:rPr>
            </w:pPr>
          </w:p>
        </w:tc>
        <w:tc>
          <w:tcPr>
            <w:tcW w:w="4400" w:type="dxa"/>
            <w:vAlign w:val="bottom"/>
            <w:vMerge w:val="restart"/>
          </w:tcPr>
          <w:p>
            <w:pPr>
              <w:ind w:left="360"/>
              <w:spacing w:after="0"/>
              <w:rPr>
                <w:sz w:val="20"/>
                <w:szCs w:val="20"/>
                <w:color w:val="auto"/>
              </w:rPr>
            </w:pPr>
            <w:r>
              <w:rPr>
                <w:rFonts w:ascii="Arial" w:cs="Arial" w:eastAsia="Arial" w:hAnsi="Arial"/>
                <w:sz w:val="15"/>
                <w:szCs w:val="15"/>
                <w:color w:val="auto"/>
              </w:rPr>
              <w:t>Paid to Our Named Executive Officers</w:t>
            </w:r>
          </w:p>
        </w:tc>
        <w:tc>
          <w:tcPr>
            <w:tcW w:w="150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820" w:type="dxa"/>
            <w:vAlign w:val="bottom"/>
          </w:tcPr>
          <w:p>
            <w:pPr>
              <w:spacing w:after="0"/>
              <w:rPr>
                <w:sz w:val="7"/>
                <w:szCs w:val="7"/>
                <w:color w:val="auto"/>
              </w:rPr>
            </w:pPr>
          </w:p>
        </w:tc>
        <w:tc>
          <w:tcPr>
            <w:tcW w:w="4400" w:type="dxa"/>
            <w:vAlign w:val="bottom"/>
            <w:vMerge w:val="continue"/>
          </w:tcPr>
          <w:p>
            <w:pPr>
              <w:spacing w:after="0"/>
              <w:rPr>
                <w:sz w:val="7"/>
                <w:szCs w:val="7"/>
                <w:color w:val="auto"/>
              </w:rPr>
            </w:pPr>
          </w:p>
        </w:tc>
        <w:tc>
          <w:tcPr>
            <w:tcW w:w="1500" w:type="dxa"/>
            <w:vAlign w:val="bottom"/>
          </w:tcPr>
          <w:p>
            <w:pPr>
              <w:spacing w:after="0"/>
              <w:rPr>
                <w:sz w:val="7"/>
                <w:szCs w:val="7"/>
                <w:color w:val="auto"/>
              </w:rPr>
            </w:pPr>
          </w:p>
        </w:tc>
        <w:tc>
          <w:tcPr>
            <w:tcW w:w="1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99"/>
        </w:trPr>
        <w:tc>
          <w:tcPr>
            <w:tcW w:w="820" w:type="dxa"/>
            <w:vAlign w:val="bottom"/>
            <w:tcBorders>
              <w:bottom w:val="single" w:sz="8" w:color="7F7F7F"/>
            </w:tcBorders>
          </w:tcPr>
          <w:p>
            <w:pPr>
              <w:spacing w:after="0"/>
              <w:rPr>
                <w:sz w:val="24"/>
                <w:szCs w:val="24"/>
                <w:color w:val="auto"/>
              </w:rPr>
            </w:pPr>
          </w:p>
        </w:tc>
        <w:tc>
          <w:tcPr>
            <w:tcW w:w="4400" w:type="dxa"/>
            <w:vAlign w:val="bottom"/>
            <w:tcBorders>
              <w:bottom w:val="single" w:sz="8" w:color="7F7F7F"/>
            </w:tcBorders>
          </w:tcPr>
          <w:p>
            <w:pPr>
              <w:spacing w:after="0"/>
              <w:rPr>
                <w:sz w:val="24"/>
                <w:szCs w:val="24"/>
                <w:color w:val="auto"/>
              </w:rPr>
            </w:pPr>
          </w:p>
        </w:tc>
        <w:tc>
          <w:tcPr>
            <w:tcW w:w="1500" w:type="dxa"/>
            <w:vAlign w:val="bottom"/>
            <w:tcBorders>
              <w:bottom w:val="single" w:sz="8" w:color="7F7F7F"/>
            </w:tcBorders>
          </w:tcPr>
          <w:p>
            <w:pPr>
              <w:spacing w:after="0"/>
              <w:rPr>
                <w:sz w:val="24"/>
                <w:szCs w:val="24"/>
                <w:color w:val="auto"/>
              </w:rPr>
            </w:pPr>
          </w:p>
        </w:tc>
        <w:tc>
          <w:tcPr>
            <w:tcW w:w="1160" w:type="dxa"/>
            <w:vAlign w:val="bottom"/>
            <w:tcBorders>
              <w:bottom w:val="single" w:sz="8" w:color="7F7F7F"/>
            </w:tcBorders>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820" w:type="dxa"/>
            <w:vAlign w:val="bottom"/>
            <w:vMerge w:val="restart"/>
          </w:tcPr>
          <w:p>
            <w:pPr>
              <w:jc w:val="right"/>
              <w:ind w:right="84"/>
              <w:spacing w:after="0"/>
              <w:rPr>
                <w:sz w:val="20"/>
                <w:szCs w:val="20"/>
                <w:color w:val="auto"/>
              </w:rPr>
            </w:pPr>
            <w:r>
              <w:rPr>
                <w:rFonts w:ascii="Times New Roman" w:cs="Times New Roman" w:eastAsia="Times New Roman" w:hAnsi="Times New Roman"/>
                <w:sz w:val="71"/>
                <w:szCs w:val="71"/>
                <w:color w:val="B95827"/>
              </w:rPr>
              <w:t>4</w:t>
            </w:r>
          </w:p>
        </w:tc>
        <w:tc>
          <w:tcPr>
            <w:tcW w:w="4400" w:type="dxa"/>
            <w:vAlign w:val="bottom"/>
          </w:tcPr>
          <w:p>
            <w:pPr>
              <w:ind w:left="360"/>
              <w:spacing w:after="0"/>
              <w:rPr>
                <w:sz w:val="20"/>
                <w:szCs w:val="20"/>
                <w:color w:val="auto"/>
              </w:rPr>
            </w:pPr>
            <w:r>
              <w:rPr>
                <w:rFonts w:ascii="Arial" w:cs="Arial" w:eastAsia="Arial" w:hAnsi="Arial"/>
                <w:sz w:val="15"/>
                <w:szCs w:val="15"/>
                <w:color w:val="auto"/>
              </w:rPr>
              <w:t>Adoption of an Amendment and Restatement of Our</w:t>
            </w:r>
          </w:p>
        </w:tc>
        <w:tc>
          <w:tcPr>
            <w:tcW w:w="15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820" w:type="dxa"/>
            <w:vAlign w:val="bottom"/>
            <w:vMerge w:val="continue"/>
          </w:tcPr>
          <w:p>
            <w:pPr>
              <w:spacing w:after="0"/>
              <w:rPr>
                <w:sz w:val="16"/>
                <w:szCs w:val="16"/>
                <w:color w:val="auto"/>
              </w:rPr>
            </w:pPr>
          </w:p>
        </w:tc>
        <w:tc>
          <w:tcPr>
            <w:tcW w:w="4400" w:type="dxa"/>
            <w:vAlign w:val="bottom"/>
          </w:tcPr>
          <w:p>
            <w:pPr>
              <w:ind w:left="360"/>
              <w:spacing w:after="0"/>
              <w:rPr>
                <w:sz w:val="20"/>
                <w:szCs w:val="20"/>
                <w:color w:val="auto"/>
              </w:rPr>
            </w:pPr>
            <w:r>
              <w:rPr>
                <w:rFonts w:ascii="Arial" w:cs="Arial" w:eastAsia="Arial" w:hAnsi="Arial"/>
                <w:sz w:val="15"/>
                <w:szCs w:val="15"/>
                <w:color w:val="auto"/>
              </w:rPr>
              <w:t>Charter to Eliminate Supermajority Voting</w:t>
            </w:r>
          </w:p>
        </w:tc>
        <w:tc>
          <w:tcPr>
            <w:tcW w:w="1500" w:type="dxa"/>
            <w:vAlign w:val="bottom"/>
          </w:tcPr>
          <w:p>
            <w:pPr>
              <w:ind w:left="520"/>
              <w:spacing w:after="0"/>
              <w:rPr>
                <w:sz w:val="20"/>
                <w:szCs w:val="20"/>
                <w:color w:val="auto"/>
              </w:rPr>
            </w:pPr>
            <w:r>
              <w:rPr>
                <w:rFonts w:ascii="Arial" w:cs="Arial" w:eastAsia="Arial" w:hAnsi="Arial"/>
                <w:sz w:val="15"/>
                <w:szCs w:val="15"/>
                <w:b w:val="1"/>
                <w:bCs w:val="1"/>
                <w:color w:val="B95827"/>
              </w:rPr>
              <w:t>FOR</w:t>
            </w:r>
          </w:p>
        </w:tc>
        <w:tc>
          <w:tcPr>
            <w:tcW w:w="1160" w:type="dxa"/>
            <w:vAlign w:val="bottom"/>
          </w:tcPr>
          <w:p>
            <w:pPr>
              <w:jc w:val="right"/>
              <w:ind w:right="223"/>
              <w:spacing w:after="0"/>
              <w:rPr>
                <w:sz w:val="20"/>
                <w:szCs w:val="20"/>
                <w:color w:val="auto"/>
              </w:rPr>
            </w:pPr>
            <w:r>
              <w:rPr>
                <w:rFonts w:ascii="Arial" w:cs="Arial" w:eastAsia="Arial" w:hAnsi="Arial"/>
                <w:sz w:val="15"/>
                <w:szCs w:val="15"/>
                <w:color w:val="auto"/>
              </w:rPr>
              <w:t>87</w:t>
            </w:r>
          </w:p>
        </w:tc>
        <w:tc>
          <w:tcPr>
            <w:tcW w:w="0" w:type="dxa"/>
            <w:vAlign w:val="bottom"/>
          </w:tcPr>
          <w:p>
            <w:pPr>
              <w:spacing w:after="0"/>
              <w:rPr>
                <w:sz w:val="1"/>
                <w:szCs w:val="1"/>
                <w:color w:val="auto"/>
              </w:rPr>
            </w:pPr>
          </w:p>
        </w:tc>
      </w:tr>
      <w:tr>
        <w:trPr>
          <w:trHeight w:val="166"/>
        </w:trPr>
        <w:tc>
          <w:tcPr>
            <w:tcW w:w="820" w:type="dxa"/>
            <w:vAlign w:val="bottom"/>
            <w:vMerge w:val="continue"/>
          </w:tcPr>
          <w:p>
            <w:pPr>
              <w:spacing w:after="0"/>
              <w:rPr>
                <w:sz w:val="14"/>
                <w:szCs w:val="14"/>
                <w:color w:val="auto"/>
              </w:rPr>
            </w:pPr>
          </w:p>
        </w:tc>
        <w:tc>
          <w:tcPr>
            <w:tcW w:w="4400" w:type="dxa"/>
            <w:vAlign w:val="bottom"/>
          </w:tcPr>
          <w:p>
            <w:pPr>
              <w:ind w:left="360"/>
              <w:spacing w:after="0" w:line="167" w:lineRule="exact"/>
              <w:rPr>
                <w:sz w:val="20"/>
                <w:szCs w:val="20"/>
                <w:color w:val="auto"/>
              </w:rPr>
            </w:pPr>
            <w:r>
              <w:rPr>
                <w:rFonts w:ascii="Arial" w:cs="Arial" w:eastAsia="Arial" w:hAnsi="Arial"/>
                <w:sz w:val="15"/>
                <w:szCs w:val="15"/>
                <w:color w:val="auto"/>
              </w:rPr>
              <w:t>Requirements, Eliminate Obsolete Provisions and</w:t>
            </w:r>
          </w:p>
        </w:tc>
        <w:tc>
          <w:tcPr>
            <w:tcW w:w="15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820" w:type="dxa"/>
            <w:vAlign w:val="bottom"/>
            <w:vMerge w:val="continue"/>
          </w:tcPr>
          <w:p>
            <w:pPr>
              <w:spacing w:after="0"/>
              <w:rPr>
                <w:sz w:val="21"/>
                <w:szCs w:val="21"/>
                <w:color w:val="auto"/>
              </w:rPr>
            </w:pPr>
          </w:p>
        </w:tc>
        <w:tc>
          <w:tcPr>
            <w:tcW w:w="4400" w:type="dxa"/>
            <w:vAlign w:val="bottom"/>
          </w:tcPr>
          <w:p>
            <w:pPr>
              <w:ind w:left="360"/>
              <w:spacing w:after="0"/>
              <w:rPr>
                <w:sz w:val="20"/>
                <w:szCs w:val="20"/>
                <w:color w:val="auto"/>
              </w:rPr>
            </w:pPr>
            <w:r>
              <w:rPr>
                <w:rFonts w:ascii="Arial" w:cs="Arial" w:eastAsia="Arial" w:hAnsi="Arial"/>
                <w:sz w:val="15"/>
                <w:szCs w:val="15"/>
                <w:color w:val="auto"/>
              </w:rPr>
              <w:t>Make Certain Non-Substantive Changes</w:t>
            </w:r>
          </w:p>
        </w:tc>
        <w:tc>
          <w:tcPr>
            <w:tcW w:w="15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6"/>
        </w:trPr>
        <w:tc>
          <w:tcPr>
            <w:tcW w:w="820" w:type="dxa"/>
            <w:vAlign w:val="bottom"/>
            <w:tcBorders>
              <w:bottom w:val="single" w:sz="8" w:color="7F7F7F"/>
            </w:tcBorders>
          </w:tcPr>
          <w:p>
            <w:pPr>
              <w:spacing w:after="0"/>
              <w:rPr>
                <w:sz w:val="6"/>
                <w:szCs w:val="6"/>
                <w:color w:val="auto"/>
              </w:rPr>
            </w:pPr>
          </w:p>
        </w:tc>
        <w:tc>
          <w:tcPr>
            <w:tcW w:w="4400" w:type="dxa"/>
            <w:vAlign w:val="bottom"/>
            <w:tcBorders>
              <w:bottom w:val="single" w:sz="8" w:color="7F7F7F"/>
            </w:tcBorders>
          </w:tcPr>
          <w:p>
            <w:pPr>
              <w:spacing w:after="0"/>
              <w:rPr>
                <w:sz w:val="6"/>
                <w:szCs w:val="6"/>
                <w:color w:val="auto"/>
              </w:rPr>
            </w:pPr>
          </w:p>
        </w:tc>
        <w:tc>
          <w:tcPr>
            <w:tcW w:w="1500" w:type="dxa"/>
            <w:vAlign w:val="bottom"/>
            <w:tcBorders>
              <w:bottom w:val="single" w:sz="8" w:color="7F7F7F"/>
            </w:tcBorders>
          </w:tcPr>
          <w:p>
            <w:pPr>
              <w:spacing w:after="0"/>
              <w:rPr>
                <w:sz w:val="6"/>
                <w:szCs w:val="6"/>
                <w:color w:val="auto"/>
              </w:rPr>
            </w:pPr>
          </w:p>
        </w:tc>
        <w:tc>
          <w:tcPr>
            <w:tcW w:w="1160" w:type="dxa"/>
            <w:vAlign w:val="bottom"/>
            <w:tcBorders>
              <w:bottom w:val="single" w:sz="8" w:color="7F7F7F"/>
            </w:tcBorders>
          </w:tcPr>
          <w:p>
            <w:pPr>
              <w:spacing w:after="0"/>
              <w:rPr>
                <w:sz w:val="6"/>
                <w:szCs w:val="6"/>
                <w:color w:val="auto"/>
              </w:rPr>
            </w:pPr>
          </w:p>
        </w:tc>
        <w:tc>
          <w:tcPr>
            <w:tcW w:w="0" w:type="dxa"/>
            <w:vAlign w:val="bottom"/>
          </w:tcPr>
          <w:p>
            <w:pPr>
              <w:spacing w:after="0"/>
              <w:rPr>
                <w:sz w:val="1"/>
                <w:szCs w:val="1"/>
                <w:color w:val="auto"/>
              </w:rPr>
            </w:pPr>
          </w:p>
        </w:tc>
      </w:tr>
      <w:tr>
        <w:trPr>
          <w:trHeight w:val="401"/>
        </w:trPr>
        <w:tc>
          <w:tcPr>
            <w:tcW w:w="820" w:type="dxa"/>
            <w:vAlign w:val="bottom"/>
          </w:tcPr>
          <w:p>
            <w:pPr>
              <w:jc w:val="right"/>
              <w:ind w:right="84"/>
              <w:spacing w:after="0" w:line="402" w:lineRule="exact"/>
              <w:rPr>
                <w:sz w:val="20"/>
                <w:szCs w:val="20"/>
                <w:color w:val="auto"/>
              </w:rPr>
            </w:pPr>
            <w:r>
              <w:rPr>
                <w:rFonts w:ascii="Times New Roman" w:cs="Times New Roman" w:eastAsia="Times New Roman" w:hAnsi="Times New Roman"/>
                <w:sz w:val="46"/>
                <w:szCs w:val="46"/>
                <w:color w:val="B95827"/>
              </w:rPr>
              <w:t>5</w:t>
            </w:r>
          </w:p>
        </w:tc>
        <w:tc>
          <w:tcPr>
            <w:tcW w:w="4400" w:type="dxa"/>
            <w:vAlign w:val="bottom"/>
            <w:vMerge w:val="restart"/>
          </w:tcPr>
          <w:p>
            <w:pPr>
              <w:ind w:left="360"/>
              <w:spacing w:after="0"/>
              <w:rPr>
                <w:sz w:val="20"/>
                <w:szCs w:val="20"/>
                <w:color w:val="auto"/>
              </w:rPr>
            </w:pPr>
            <w:r>
              <w:rPr>
                <w:rFonts w:ascii="Arial" w:cs="Arial" w:eastAsia="Arial" w:hAnsi="Arial"/>
                <w:sz w:val="15"/>
                <w:szCs w:val="15"/>
                <w:color w:val="auto"/>
              </w:rPr>
              <w:t>Adoption of Amendments to Our Charter to Provide</w:t>
            </w:r>
          </w:p>
        </w:tc>
        <w:tc>
          <w:tcPr>
            <w:tcW w:w="1500" w:type="dxa"/>
            <w:vAlign w:val="bottom"/>
            <w:vMerge w:val="restart"/>
          </w:tcPr>
          <w:p>
            <w:pPr>
              <w:ind w:left="520"/>
              <w:spacing w:after="0"/>
              <w:rPr>
                <w:sz w:val="20"/>
                <w:szCs w:val="20"/>
                <w:color w:val="auto"/>
              </w:rPr>
            </w:pPr>
            <w:r>
              <w:rPr>
                <w:rFonts w:ascii="Arial" w:cs="Arial" w:eastAsia="Arial" w:hAnsi="Arial"/>
                <w:sz w:val="15"/>
                <w:szCs w:val="15"/>
                <w:b w:val="1"/>
                <w:bCs w:val="1"/>
                <w:color w:val="B95827"/>
              </w:rPr>
              <w:t>FOR</w:t>
            </w:r>
          </w:p>
        </w:tc>
        <w:tc>
          <w:tcPr>
            <w:tcW w:w="1160" w:type="dxa"/>
            <w:vAlign w:val="bottom"/>
            <w:vMerge w:val="restart"/>
          </w:tcPr>
          <w:p>
            <w:pPr>
              <w:jc w:val="right"/>
              <w:ind w:right="223"/>
              <w:spacing w:after="0"/>
              <w:rPr>
                <w:sz w:val="20"/>
                <w:szCs w:val="20"/>
                <w:color w:val="auto"/>
              </w:rPr>
            </w:pPr>
            <w:r>
              <w:rPr>
                <w:rFonts w:ascii="Arial" w:cs="Arial" w:eastAsia="Arial" w:hAnsi="Arial"/>
                <w:sz w:val="15"/>
                <w:szCs w:val="15"/>
                <w:color w:val="auto"/>
              </w:rPr>
              <w:t>89</w:t>
            </w:r>
          </w:p>
        </w:tc>
        <w:tc>
          <w:tcPr>
            <w:tcW w:w="0" w:type="dxa"/>
            <w:vAlign w:val="bottom"/>
          </w:tcPr>
          <w:p>
            <w:pPr>
              <w:spacing w:after="0"/>
              <w:rPr>
                <w:sz w:val="1"/>
                <w:szCs w:val="1"/>
                <w:color w:val="auto"/>
              </w:rPr>
            </w:pPr>
          </w:p>
        </w:tc>
      </w:tr>
      <w:tr>
        <w:trPr>
          <w:trHeight w:val="26"/>
        </w:trPr>
        <w:tc>
          <w:tcPr>
            <w:tcW w:w="820" w:type="dxa"/>
            <w:vAlign w:val="bottom"/>
          </w:tcPr>
          <w:p>
            <w:pPr>
              <w:spacing w:after="0"/>
              <w:rPr>
                <w:sz w:val="2"/>
                <w:szCs w:val="2"/>
                <w:color w:val="auto"/>
              </w:rPr>
            </w:pPr>
          </w:p>
        </w:tc>
        <w:tc>
          <w:tcPr>
            <w:tcW w:w="4400" w:type="dxa"/>
            <w:vAlign w:val="bottom"/>
            <w:vMerge w:val="continue"/>
          </w:tcPr>
          <w:p>
            <w:pPr>
              <w:spacing w:after="0"/>
              <w:rPr>
                <w:sz w:val="2"/>
                <w:szCs w:val="2"/>
                <w:color w:val="auto"/>
              </w:rPr>
            </w:pPr>
          </w:p>
        </w:tc>
        <w:tc>
          <w:tcPr>
            <w:tcW w:w="1500" w:type="dxa"/>
            <w:vAlign w:val="bottom"/>
            <w:vMerge w:val="continue"/>
          </w:tcPr>
          <w:p>
            <w:pPr>
              <w:spacing w:after="0"/>
              <w:rPr>
                <w:sz w:val="2"/>
                <w:szCs w:val="2"/>
                <w:color w:val="auto"/>
              </w:rPr>
            </w:pPr>
          </w:p>
        </w:tc>
        <w:tc>
          <w:tcPr>
            <w:tcW w:w="11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9"/>
        </w:trPr>
        <w:tc>
          <w:tcPr>
            <w:tcW w:w="820" w:type="dxa"/>
            <w:vAlign w:val="bottom"/>
          </w:tcPr>
          <w:p>
            <w:pPr>
              <w:spacing w:after="0"/>
              <w:rPr>
                <w:sz w:val="10"/>
                <w:szCs w:val="10"/>
                <w:color w:val="auto"/>
              </w:rPr>
            </w:pPr>
          </w:p>
        </w:tc>
        <w:tc>
          <w:tcPr>
            <w:tcW w:w="4400" w:type="dxa"/>
            <w:vAlign w:val="bottom"/>
            <w:vMerge w:val="restart"/>
          </w:tcPr>
          <w:p>
            <w:pPr>
              <w:ind w:left="360"/>
              <w:spacing w:after="0"/>
              <w:rPr>
                <w:sz w:val="20"/>
                <w:szCs w:val="20"/>
                <w:color w:val="auto"/>
              </w:rPr>
            </w:pPr>
            <w:r>
              <w:rPr>
                <w:rFonts w:ascii="Arial" w:cs="Arial" w:eastAsia="Arial" w:hAnsi="Arial"/>
                <w:sz w:val="15"/>
                <w:szCs w:val="15"/>
                <w:color w:val="auto"/>
              </w:rPr>
              <w:t>for Officer Exculpation</w:t>
            </w:r>
          </w:p>
        </w:tc>
        <w:tc>
          <w:tcPr>
            <w:tcW w:w="150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820" w:type="dxa"/>
            <w:vAlign w:val="bottom"/>
          </w:tcPr>
          <w:p>
            <w:pPr>
              <w:spacing w:after="0"/>
              <w:rPr>
                <w:sz w:val="7"/>
                <w:szCs w:val="7"/>
                <w:color w:val="auto"/>
              </w:rPr>
            </w:pPr>
          </w:p>
        </w:tc>
        <w:tc>
          <w:tcPr>
            <w:tcW w:w="4400" w:type="dxa"/>
            <w:vAlign w:val="bottom"/>
            <w:vMerge w:val="continue"/>
          </w:tcPr>
          <w:p>
            <w:pPr>
              <w:spacing w:after="0"/>
              <w:rPr>
                <w:sz w:val="7"/>
                <w:szCs w:val="7"/>
                <w:color w:val="auto"/>
              </w:rPr>
            </w:pPr>
          </w:p>
        </w:tc>
        <w:tc>
          <w:tcPr>
            <w:tcW w:w="1500" w:type="dxa"/>
            <w:vAlign w:val="bottom"/>
          </w:tcPr>
          <w:p>
            <w:pPr>
              <w:spacing w:after="0"/>
              <w:rPr>
                <w:sz w:val="7"/>
                <w:szCs w:val="7"/>
                <w:color w:val="auto"/>
              </w:rPr>
            </w:pPr>
          </w:p>
        </w:tc>
        <w:tc>
          <w:tcPr>
            <w:tcW w:w="1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86"/>
        </w:trPr>
        <w:tc>
          <w:tcPr>
            <w:tcW w:w="820" w:type="dxa"/>
            <w:vAlign w:val="bottom"/>
            <w:tcBorders>
              <w:bottom w:val="single" w:sz="8" w:color="7F7F7F"/>
            </w:tcBorders>
          </w:tcPr>
          <w:p>
            <w:pPr>
              <w:spacing w:after="0"/>
              <w:rPr>
                <w:sz w:val="24"/>
                <w:szCs w:val="24"/>
                <w:color w:val="auto"/>
              </w:rPr>
            </w:pPr>
          </w:p>
        </w:tc>
        <w:tc>
          <w:tcPr>
            <w:tcW w:w="4400" w:type="dxa"/>
            <w:vAlign w:val="bottom"/>
            <w:tcBorders>
              <w:bottom w:val="single" w:sz="8" w:color="7F7F7F"/>
            </w:tcBorders>
          </w:tcPr>
          <w:p>
            <w:pPr>
              <w:spacing w:after="0"/>
              <w:rPr>
                <w:sz w:val="24"/>
                <w:szCs w:val="24"/>
                <w:color w:val="auto"/>
              </w:rPr>
            </w:pPr>
          </w:p>
        </w:tc>
        <w:tc>
          <w:tcPr>
            <w:tcW w:w="1500" w:type="dxa"/>
            <w:vAlign w:val="bottom"/>
            <w:tcBorders>
              <w:bottom w:val="single" w:sz="8" w:color="7F7F7F"/>
            </w:tcBorders>
          </w:tcPr>
          <w:p>
            <w:pPr>
              <w:spacing w:after="0"/>
              <w:rPr>
                <w:sz w:val="24"/>
                <w:szCs w:val="24"/>
                <w:color w:val="auto"/>
              </w:rPr>
            </w:pPr>
          </w:p>
        </w:tc>
        <w:tc>
          <w:tcPr>
            <w:tcW w:w="1160" w:type="dxa"/>
            <w:vAlign w:val="bottom"/>
            <w:tcBorders>
              <w:bottom w:val="single" w:sz="8" w:color="7F7F7F"/>
            </w:tcBorders>
          </w:tcPr>
          <w:p>
            <w:pPr>
              <w:spacing w:after="0"/>
              <w:rPr>
                <w:sz w:val="24"/>
                <w:szCs w:val="24"/>
                <w:color w:val="auto"/>
              </w:rPr>
            </w:pPr>
          </w:p>
        </w:tc>
        <w:tc>
          <w:tcPr>
            <w:tcW w:w="0" w:type="dxa"/>
            <w:vAlign w:val="bottom"/>
          </w:tcPr>
          <w:p>
            <w:pPr>
              <w:spacing w:after="0"/>
              <w:rPr>
                <w:sz w:val="1"/>
                <w:szCs w:val="1"/>
                <w:color w:val="auto"/>
              </w:rPr>
            </w:pPr>
          </w:p>
        </w:tc>
      </w:tr>
      <w:tr>
        <w:trPr>
          <w:trHeight w:val="401"/>
        </w:trPr>
        <w:tc>
          <w:tcPr>
            <w:tcW w:w="820" w:type="dxa"/>
            <w:vAlign w:val="bottom"/>
          </w:tcPr>
          <w:p>
            <w:pPr>
              <w:jc w:val="right"/>
              <w:ind w:right="84"/>
              <w:spacing w:after="0" w:line="402" w:lineRule="exact"/>
              <w:rPr>
                <w:sz w:val="20"/>
                <w:szCs w:val="20"/>
                <w:color w:val="auto"/>
              </w:rPr>
            </w:pPr>
            <w:r>
              <w:rPr>
                <w:rFonts w:ascii="Times New Roman" w:cs="Times New Roman" w:eastAsia="Times New Roman" w:hAnsi="Times New Roman"/>
                <w:sz w:val="46"/>
                <w:szCs w:val="46"/>
                <w:color w:val="B95827"/>
              </w:rPr>
              <w:t>6</w:t>
            </w:r>
          </w:p>
        </w:tc>
        <w:tc>
          <w:tcPr>
            <w:tcW w:w="4400" w:type="dxa"/>
            <w:vAlign w:val="bottom"/>
            <w:vMerge w:val="restart"/>
          </w:tcPr>
          <w:p>
            <w:pPr>
              <w:ind w:left="360"/>
              <w:spacing w:after="0"/>
              <w:rPr>
                <w:sz w:val="20"/>
                <w:szCs w:val="20"/>
                <w:color w:val="auto"/>
              </w:rPr>
            </w:pPr>
            <w:r>
              <w:rPr>
                <w:rFonts w:ascii="Arial" w:cs="Arial" w:eastAsia="Arial" w:hAnsi="Arial"/>
                <w:sz w:val="15"/>
                <w:szCs w:val="15"/>
                <w:color w:val="auto"/>
              </w:rPr>
              <w:t>Adoption of Amendments to Our Charter to Remove</w:t>
            </w:r>
          </w:p>
        </w:tc>
        <w:tc>
          <w:tcPr>
            <w:tcW w:w="1500" w:type="dxa"/>
            <w:vAlign w:val="bottom"/>
            <w:vMerge w:val="restart"/>
          </w:tcPr>
          <w:p>
            <w:pPr>
              <w:ind w:left="520"/>
              <w:spacing w:after="0"/>
              <w:rPr>
                <w:sz w:val="20"/>
                <w:szCs w:val="20"/>
                <w:color w:val="auto"/>
              </w:rPr>
            </w:pPr>
            <w:r>
              <w:rPr>
                <w:rFonts w:ascii="Arial" w:cs="Arial" w:eastAsia="Arial" w:hAnsi="Arial"/>
                <w:sz w:val="15"/>
                <w:szCs w:val="15"/>
                <w:b w:val="1"/>
                <w:bCs w:val="1"/>
                <w:color w:val="B95827"/>
              </w:rPr>
              <w:t>FOR</w:t>
            </w:r>
          </w:p>
        </w:tc>
        <w:tc>
          <w:tcPr>
            <w:tcW w:w="1160" w:type="dxa"/>
            <w:vAlign w:val="bottom"/>
            <w:vMerge w:val="restart"/>
          </w:tcPr>
          <w:p>
            <w:pPr>
              <w:jc w:val="right"/>
              <w:ind w:right="223"/>
              <w:spacing w:after="0"/>
              <w:rPr>
                <w:sz w:val="20"/>
                <w:szCs w:val="20"/>
                <w:color w:val="auto"/>
              </w:rPr>
            </w:pPr>
            <w:r>
              <w:rPr>
                <w:rFonts w:ascii="Arial" w:cs="Arial" w:eastAsia="Arial" w:hAnsi="Arial"/>
                <w:sz w:val="15"/>
                <w:szCs w:val="15"/>
                <w:color w:val="auto"/>
              </w:rPr>
              <w:t>91</w:t>
            </w:r>
          </w:p>
        </w:tc>
        <w:tc>
          <w:tcPr>
            <w:tcW w:w="0" w:type="dxa"/>
            <w:vAlign w:val="bottom"/>
          </w:tcPr>
          <w:p>
            <w:pPr>
              <w:spacing w:after="0"/>
              <w:rPr>
                <w:sz w:val="1"/>
                <w:szCs w:val="1"/>
                <w:color w:val="auto"/>
              </w:rPr>
            </w:pPr>
          </w:p>
        </w:tc>
      </w:tr>
      <w:tr>
        <w:trPr>
          <w:trHeight w:val="26"/>
        </w:trPr>
        <w:tc>
          <w:tcPr>
            <w:tcW w:w="820" w:type="dxa"/>
            <w:vAlign w:val="bottom"/>
          </w:tcPr>
          <w:p>
            <w:pPr>
              <w:spacing w:after="0"/>
              <w:rPr>
                <w:sz w:val="2"/>
                <w:szCs w:val="2"/>
                <w:color w:val="auto"/>
              </w:rPr>
            </w:pPr>
          </w:p>
        </w:tc>
        <w:tc>
          <w:tcPr>
            <w:tcW w:w="4400" w:type="dxa"/>
            <w:vAlign w:val="bottom"/>
            <w:vMerge w:val="continue"/>
          </w:tcPr>
          <w:p>
            <w:pPr>
              <w:spacing w:after="0"/>
              <w:rPr>
                <w:sz w:val="2"/>
                <w:szCs w:val="2"/>
                <w:color w:val="auto"/>
              </w:rPr>
            </w:pPr>
          </w:p>
        </w:tc>
        <w:tc>
          <w:tcPr>
            <w:tcW w:w="1500" w:type="dxa"/>
            <w:vAlign w:val="bottom"/>
            <w:vMerge w:val="continue"/>
          </w:tcPr>
          <w:p>
            <w:pPr>
              <w:spacing w:after="0"/>
              <w:rPr>
                <w:sz w:val="2"/>
                <w:szCs w:val="2"/>
                <w:color w:val="auto"/>
              </w:rPr>
            </w:pPr>
          </w:p>
        </w:tc>
        <w:tc>
          <w:tcPr>
            <w:tcW w:w="11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9"/>
        </w:trPr>
        <w:tc>
          <w:tcPr>
            <w:tcW w:w="820" w:type="dxa"/>
            <w:vAlign w:val="bottom"/>
          </w:tcPr>
          <w:p>
            <w:pPr>
              <w:spacing w:after="0"/>
              <w:rPr>
                <w:sz w:val="10"/>
                <w:szCs w:val="10"/>
                <w:color w:val="auto"/>
              </w:rPr>
            </w:pPr>
          </w:p>
        </w:tc>
        <w:tc>
          <w:tcPr>
            <w:tcW w:w="4400" w:type="dxa"/>
            <w:vAlign w:val="bottom"/>
            <w:vMerge w:val="restart"/>
          </w:tcPr>
          <w:p>
            <w:pPr>
              <w:ind w:left="360"/>
              <w:spacing w:after="0"/>
              <w:rPr>
                <w:sz w:val="20"/>
                <w:szCs w:val="20"/>
                <w:color w:val="auto"/>
              </w:rPr>
            </w:pPr>
            <w:r>
              <w:rPr>
                <w:rFonts w:ascii="Arial" w:cs="Arial" w:eastAsia="Arial" w:hAnsi="Arial"/>
                <w:sz w:val="15"/>
                <w:szCs w:val="15"/>
                <w:color w:val="auto"/>
              </w:rPr>
              <w:t>the Corporate Opportunities Provision</w:t>
            </w:r>
          </w:p>
        </w:tc>
        <w:tc>
          <w:tcPr>
            <w:tcW w:w="150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820" w:type="dxa"/>
            <w:vAlign w:val="bottom"/>
          </w:tcPr>
          <w:p>
            <w:pPr>
              <w:spacing w:after="0"/>
              <w:rPr>
                <w:sz w:val="7"/>
                <w:szCs w:val="7"/>
                <w:color w:val="auto"/>
              </w:rPr>
            </w:pPr>
          </w:p>
        </w:tc>
        <w:tc>
          <w:tcPr>
            <w:tcW w:w="4400" w:type="dxa"/>
            <w:vAlign w:val="bottom"/>
            <w:vMerge w:val="continue"/>
          </w:tcPr>
          <w:p>
            <w:pPr>
              <w:spacing w:after="0"/>
              <w:rPr>
                <w:sz w:val="7"/>
                <w:szCs w:val="7"/>
                <w:color w:val="auto"/>
              </w:rPr>
            </w:pPr>
          </w:p>
        </w:tc>
        <w:tc>
          <w:tcPr>
            <w:tcW w:w="1500" w:type="dxa"/>
            <w:vAlign w:val="bottom"/>
          </w:tcPr>
          <w:p>
            <w:pPr>
              <w:spacing w:after="0"/>
              <w:rPr>
                <w:sz w:val="7"/>
                <w:szCs w:val="7"/>
                <w:color w:val="auto"/>
              </w:rPr>
            </w:pPr>
          </w:p>
        </w:tc>
        <w:tc>
          <w:tcPr>
            <w:tcW w:w="1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86"/>
        </w:trPr>
        <w:tc>
          <w:tcPr>
            <w:tcW w:w="820" w:type="dxa"/>
            <w:vAlign w:val="bottom"/>
            <w:tcBorders>
              <w:bottom w:val="single" w:sz="8" w:color="7F7F7F"/>
            </w:tcBorders>
          </w:tcPr>
          <w:p>
            <w:pPr>
              <w:spacing w:after="0"/>
              <w:rPr>
                <w:sz w:val="24"/>
                <w:szCs w:val="24"/>
                <w:color w:val="auto"/>
              </w:rPr>
            </w:pPr>
          </w:p>
        </w:tc>
        <w:tc>
          <w:tcPr>
            <w:tcW w:w="4400" w:type="dxa"/>
            <w:vAlign w:val="bottom"/>
            <w:tcBorders>
              <w:bottom w:val="single" w:sz="8" w:color="7F7F7F"/>
            </w:tcBorders>
          </w:tcPr>
          <w:p>
            <w:pPr>
              <w:spacing w:after="0"/>
              <w:rPr>
                <w:sz w:val="24"/>
                <w:szCs w:val="24"/>
                <w:color w:val="auto"/>
              </w:rPr>
            </w:pPr>
          </w:p>
        </w:tc>
        <w:tc>
          <w:tcPr>
            <w:tcW w:w="1500" w:type="dxa"/>
            <w:vAlign w:val="bottom"/>
            <w:tcBorders>
              <w:bottom w:val="single" w:sz="8" w:color="7F7F7F"/>
            </w:tcBorders>
          </w:tcPr>
          <w:p>
            <w:pPr>
              <w:spacing w:after="0"/>
              <w:rPr>
                <w:sz w:val="24"/>
                <w:szCs w:val="24"/>
                <w:color w:val="auto"/>
              </w:rPr>
            </w:pPr>
          </w:p>
        </w:tc>
        <w:tc>
          <w:tcPr>
            <w:tcW w:w="1160" w:type="dxa"/>
            <w:vAlign w:val="bottom"/>
            <w:tcBorders>
              <w:bottom w:val="single" w:sz="8" w:color="7F7F7F"/>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341630</wp:posOffset>
            </wp:positionH>
            <wp:positionV relativeFrom="paragraph">
              <wp:posOffset>-2665730</wp:posOffset>
            </wp:positionV>
            <wp:extent cx="499999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499999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39" w:lineRule="exact"/>
        <w:rPr>
          <w:sz w:val="20"/>
          <w:szCs w:val="20"/>
          <w:color w:val="auto"/>
        </w:rPr>
      </w:pPr>
    </w:p>
    <w:p>
      <w:pPr>
        <w:spacing w:after="0"/>
        <w:rPr>
          <w:sz w:val="20"/>
          <w:szCs w:val="20"/>
          <w:color w:val="auto"/>
        </w:rPr>
      </w:pPr>
      <w:r>
        <w:rPr>
          <w:rFonts w:ascii="Arial" w:cs="Arial" w:eastAsia="Arial" w:hAnsi="Arial"/>
          <w:sz w:val="4"/>
          <w:szCs w:val="4"/>
          <w:color w:val="FFFFFF"/>
        </w:rPr>
        <w:t> </w:t>
      </w:r>
    </w:p>
    <w:p>
      <w:pPr>
        <w:spacing w:after="0" w:line="94" w:lineRule="exact"/>
        <w:rPr>
          <w:sz w:val="20"/>
          <w:szCs w:val="20"/>
          <w:color w:val="auto"/>
        </w:rPr>
      </w:pPr>
    </w:p>
    <w:p>
      <w:pPr>
        <w:spacing w:after="0"/>
        <w:rPr>
          <w:sz w:val="20"/>
          <w:szCs w:val="20"/>
          <w:color w:val="auto"/>
        </w:rPr>
      </w:pPr>
      <w:r>
        <w:rPr>
          <w:rFonts w:ascii="Arial" w:cs="Arial" w:eastAsia="Arial" w:hAnsi="Arial"/>
          <w:sz w:val="4"/>
          <w:szCs w:val="4"/>
          <w:color w:val="FFFFFF"/>
        </w:rPr>
        <w:t> </w:t>
      </w:r>
    </w:p>
    <w:p>
      <w:pPr>
        <w:spacing w:after="0" w:line="82" w:lineRule="exact"/>
        <w:rPr>
          <w:sz w:val="20"/>
          <w:szCs w:val="20"/>
          <w:color w:val="auto"/>
        </w:rPr>
      </w:pPr>
    </w:p>
    <w:p>
      <w:pPr>
        <w:spacing w:after="0"/>
        <w:rPr>
          <w:sz w:val="20"/>
          <w:szCs w:val="20"/>
          <w:color w:val="auto"/>
        </w:rPr>
      </w:pPr>
      <w:r>
        <w:rPr>
          <w:rFonts w:ascii="Arial" w:cs="Arial" w:eastAsia="Arial" w:hAnsi="Arial"/>
          <w:sz w:val="4"/>
          <w:szCs w:val="4"/>
          <w:color w:val="FFFFFF"/>
        </w:rPr>
        <w:t> </w:t>
      </w:r>
    </w:p>
    <w:p>
      <w:pPr>
        <w:spacing w:after="0" w:line="312" w:lineRule="exact"/>
        <w:rPr>
          <w:sz w:val="20"/>
          <w:szCs w:val="20"/>
          <w:color w:val="auto"/>
        </w:rPr>
      </w:pPr>
    </w:p>
    <w:p>
      <w:pPr>
        <w:spacing w:after="0"/>
        <w:rPr>
          <w:sz w:val="20"/>
          <w:szCs w:val="20"/>
          <w:color w:val="auto"/>
        </w:rPr>
      </w:pPr>
      <w:r>
        <w:rPr>
          <w:rFonts w:ascii="Arial" w:cs="Arial" w:eastAsia="Arial" w:hAnsi="Arial"/>
          <w:sz w:val="4"/>
          <w:szCs w:val="4"/>
          <w:color w:val="FFFFFF"/>
        </w:rPr>
        <w:t> </w:t>
      </w:r>
    </w:p>
    <w:p>
      <w:pPr>
        <w:spacing w:after="0" w:line="94" w:lineRule="exact"/>
        <w:rPr>
          <w:sz w:val="20"/>
          <w:szCs w:val="20"/>
          <w:color w:val="auto"/>
        </w:rPr>
      </w:pPr>
    </w:p>
    <w:p>
      <w:pPr>
        <w:spacing w:after="0"/>
        <w:rPr>
          <w:sz w:val="20"/>
          <w:szCs w:val="20"/>
          <w:color w:val="auto"/>
        </w:rPr>
      </w:pPr>
      <w:r>
        <w:rPr>
          <w:rFonts w:ascii="Arial" w:cs="Arial" w:eastAsia="Arial" w:hAnsi="Arial"/>
          <w:sz w:val="4"/>
          <w:szCs w:val="4"/>
          <w:color w:val="FFFFFF"/>
        </w:rPr>
        <w:t> </w:t>
      </w:r>
    </w:p>
    <w:p>
      <w:pPr>
        <w:spacing w:after="0" w:line="82" w:lineRule="exact"/>
        <w:rPr>
          <w:sz w:val="20"/>
          <w:szCs w:val="20"/>
          <w:color w:val="auto"/>
        </w:rPr>
      </w:pPr>
    </w:p>
    <w:p>
      <w:pPr>
        <w:spacing w:after="0"/>
        <w:rPr>
          <w:sz w:val="20"/>
          <w:szCs w:val="20"/>
          <w:color w:val="auto"/>
        </w:rPr>
      </w:pPr>
      <w:r>
        <w:rPr>
          <w:rFonts w:ascii="Arial" w:cs="Arial" w:eastAsia="Arial" w:hAnsi="Arial"/>
          <w:sz w:val="4"/>
          <w:szCs w:val="4"/>
          <w:color w:val="FFFFFF"/>
        </w:rPr>
        <w:t> </w:t>
      </w:r>
    </w:p>
    <w:p>
      <w:pPr>
        <w:spacing w:after="0" w:line="82" w:lineRule="exact"/>
        <w:rPr>
          <w:sz w:val="20"/>
          <w:szCs w:val="20"/>
          <w:color w:val="auto"/>
        </w:rPr>
      </w:pPr>
    </w:p>
    <w:p>
      <w:pPr>
        <w:spacing w:after="0"/>
        <w:rPr>
          <w:sz w:val="20"/>
          <w:szCs w:val="20"/>
          <w:color w:val="auto"/>
        </w:rPr>
      </w:pPr>
      <w:r>
        <w:rPr>
          <w:rFonts w:ascii="Arial" w:cs="Arial" w:eastAsia="Arial" w:hAnsi="Arial"/>
          <w:sz w:val="4"/>
          <w:szCs w:val="4"/>
          <w:color w:val="FFFFFF"/>
        </w:rPr>
        <w:t> </w:t>
      </w:r>
    </w:p>
    <w:p>
      <w:pPr>
        <w:spacing w:after="0" w:line="82" w:lineRule="exact"/>
        <w:rPr>
          <w:sz w:val="20"/>
          <w:szCs w:val="20"/>
          <w:color w:val="auto"/>
        </w:rPr>
      </w:pPr>
    </w:p>
    <w:p>
      <w:pPr>
        <w:spacing w:after="0"/>
        <w:rPr>
          <w:sz w:val="20"/>
          <w:szCs w:val="20"/>
          <w:color w:val="auto"/>
        </w:rPr>
      </w:pPr>
      <w:r>
        <w:rPr>
          <w:rFonts w:ascii="Arial" w:cs="Arial" w:eastAsia="Arial" w:hAnsi="Arial"/>
          <w:sz w:val="4"/>
          <w:szCs w:val="4"/>
          <w:color w:val="FFFFFF"/>
        </w:rPr>
        <w:t> </w:t>
      </w:r>
    </w:p>
    <w:p>
      <w:pPr>
        <w:spacing w:after="0" w:line="82" w:lineRule="exact"/>
        <w:rPr>
          <w:sz w:val="20"/>
          <w:szCs w:val="20"/>
          <w:color w:val="auto"/>
        </w:rPr>
      </w:pPr>
    </w:p>
    <w:p>
      <w:pPr>
        <w:spacing w:after="0"/>
        <w:rPr>
          <w:sz w:val="20"/>
          <w:szCs w:val="20"/>
          <w:color w:val="auto"/>
        </w:rPr>
      </w:pPr>
      <w:r>
        <w:rPr>
          <w:rFonts w:ascii="Arial" w:cs="Arial" w:eastAsia="Arial" w:hAnsi="Arial"/>
          <w:sz w:val="4"/>
          <w:szCs w:val="4"/>
          <w:color w:val="FFFFFF"/>
        </w:rPr>
        <w:t> </w:t>
      </w:r>
    </w:p>
    <w:p>
      <w:pPr>
        <w:spacing w:after="0" w:line="312" w:lineRule="exact"/>
        <w:rPr>
          <w:sz w:val="20"/>
          <w:szCs w:val="20"/>
          <w:color w:val="auto"/>
        </w:rPr>
      </w:pPr>
    </w:p>
    <w:p>
      <w:pPr>
        <w:spacing w:after="0"/>
        <w:rPr>
          <w:sz w:val="20"/>
          <w:szCs w:val="20"/>
          <w:color w:val="auto"/>
        </w:rPr>
      </w:pPr>
      <w:r>
        <w:rPr>
          <w:rFonts w:ascii="Arial" w:cs="Arial" w:eastAsia="Arial" w:hAnsi="Arial"/>
          <w:sz w:val="4"/>
          <w:szCs w:val="4"/>
          <w:color w:val="FFFFFF"/>
        </w:rPr>
        <w:t> </w:t>
      </w:r>
    </w:p>
    <w:p>
      <w:pPr>
        <w:spacing w:after="0" w:line="94" w:lineRule="exact"/>
        <w:rPr>
          <w:sz w:val="20"/>
          <w:szCs w:val="20"/>
          <w:color w:val="auto"/>
        </w:rPr>
      </w:pPr>
    </w:p>
    <w:p>
      <w:pPr>
        <w:spacing w:after="0"/>
        <w:rPr>
          <w:sz w:val="20"/>
          <w:szCs w:val="20"/>
          <w:color w:val="auto"/>
        </w:rPr>
      </w:pPr>
      <w:r>
        <w:rPr>
          <w:rFonts w:ascii="Arial" w:cs="Arial" w:eastAsia="Arial" w:hAnsi="Arial"/>
          <w:sz w:val="4"/>
          <w:szCs w:val="4"/>
          <w:color w:val="FFFFFF"/>
        </w:rPr>
        <w:t> </w:t>
      </w:r>
    </w:p>
    <w:p>
      <w:pPr>
        <w:spacing w:after="0" w:line="82" w:lineRule="exact"/>
        <w:rPr>
          <w:sz w:val="20"/>
          <w:szCs w:val="20"/>
          <w:color w:val="auto"/>
        </w:rPr>
      </w:pPr>
    </w:p>
    <w:p>
      <w:pPr>
        <w:spacing w:after="0"/>
        <w:rPr>
          <w:sz w:val="20"/>
          <w:szCs w:val="20"/>
          <w:color w:val="auto"/>
        </w:rPr>
      </w:pPr>
      <w:r>
        <w:rPr>
          <w:rFonts w:ascii="Arial" w:cs="Arial" w:eastAsia="Arial" w:hAnsi="Arial"/>
          <w:sz w:val="4"/>
          <w:szCs w:val="4"/>
          <w:color w:val="FFFFFF"/>
        </w:rPr>
        <w:t> </w:t>
      </w:r>
    </w:p>
    <w:p>
      <w:pPr>
        <w:spacing w:after="0" w:line="312" w:lineRule="exact"/>
        <w:rPr>
          <w:sz w:val="20"/>
          <w:szCs w:val="20"/>
          <w:color w:val="auto"/>
        </w:rPr>
      </w:pPr>
    </w:p>
    <w:p>
      <w:pPr>
        <w:spacing w:after="0"/>
        <w:rPr>
          <w:sz w:val="20"/>
          <w:szCs w:val="20"/>
          <w:color w:val="auto"/>
        </w:rPr>
      </w:pPr>
      <w:r>
        <w:rPr>
          <w:rFonts w:ascii="Arial" w:cs="Arial" w:eastAsia="Arial" w:hAnsi="Arial"/>
          <w:sz w:val="4"/>
          <w:szCs w:val="4"/>
          <w:color w:val="FFFFFF"/>
        </w:rPr>
        <w:t> </w:t>
      </w:r>
    </w:p>
    <w:p>
      <w:pPr>
        <w:spacing w:after="0" w:line="94" w:lineRule="exact"/>
        <w:rPr>
          <w:sz w:val="20"/>
          <w:szCs w:val="20"/>
          <w:color w:val="auto"/>
        </w:rPr>
      </w:pPr>
    </w:p>
    <w:p>
      <w:pPr>
        <w:spacing w:after="0"/>
        <w:rPr>
          <w:sz w:val="20"/>
          <w:szCs w:val="20"/>
          <w:color w:val="auto"/>
        </w:rPr>
      </w:pPr>
      <w:r>
        <w:rPr>
          <w:rFonts w:ascii="Arial" w:cs="Arial" w:eastAsia="Arial" w:hAnsi="Arial"/>
          <w:sz w:val="4"/>
          <w:szCs w:val="4"/>
          <w:color w:val="FFFFFF"/>
        </w:rPr>
        <w:t> </w:t>
      </w:r>
    </w:p>
    <w:p>
      <w:pPr>
        <w:spacing w:after="0" w:line="82" w:lineRule="exact"/>
        <w:rPr>
          <w:sz w:val="20"/>
          <w:szCs w:val="20"/>
          <w:color w:val="auto"/>
        </w:rPr>
      </w:pPr>
    </w:p>
    <w:p>
      <w:pPr>
        <w:spacing w:after="0"/>
        <w:rPr>
          <w:sz w:val="20"/>
          <w:szCs w:val="20"/>
          <w:color w:val="auto"/>
        </w:rPr>
      </w:pPr>
      <w:r>
        <w:rPr>
          <w:rFonts w:ascii="Arial" w:cs="Arial" w:eastAsia="Arial" w:hAnsi="Arial"/>
          <w:sz w:val="4"/>
          <w:szCs w:val="4"/>
          <w:color w:val="FFFFFF"/>
        </w:rPr>
        <w:t> </w:t>
      </w:r>
    </w:p>
    <w:p>
      <w:pPr>
        <w:spacing w:after="0" w:line="312" w:lineRule="exact"/>
        <w:rPr>
          <w:sz w:val="20"/>
          <w:szCs w:val="20"/>
          <w:color w:val="auto"/>
        </w:rPr>
      </w:pPr>
    </w:p>
    <w:p>
      <w:pPr>
        <w:spacing w:after="0"/>
        <w:rPr>
          <w:sz w:val="20"/>
          <w:szCs w:val="20"/>
          <w:color w:val="auto"/>
        </w:rPr>
      </w:pPr>
      <w:r>
        <w:rPr>
          <w:rFonts w:ascii="Arial" w:cs="Arial" w:eastAsia="Arial" w:hAnsi="Arial"/>
          <w:sz w:val="4"/>
          <w:szCs w:val="4"/>
          <w:color w:val="FFFFFF"/>
        </w:rPr>
        <w:t> </w:t>
      </w:r>
    </w:p>
    <w:p>
      <w:pPr>
        <w:spacing w:after="0" w:line="94" w:lineRule="exact"/>
        <w:rPr>
          <w:sz w:val="20"/>
          <w:szCs w:val="20"/>
          <w:color w:val="auto"/>
        </w:rPr>
      </w:pPr>
    </w:p>
    <w:p>
      <w:pPr>
        <w:spacing w:after="0"/>
        <w:rPr>
          <w:sz w:val="20"/>
          <w:szCs w:val="20"/>
          <w:color w:val="auto"/>
        </w:rPr>
      </w:pPr>
      <w:r>
        <w:rPr>
          <w:rFonts w:ascii="Arial" w:cs="Arial" w:eastAsia="Arial" w:hAnsi="Arial"/>
          <w:sz w:val="4"/>
          <w:szCs w:val="4"/>
          <w:color w:val="FFFFFF"/>
        </w:rPr>
        <w:t> </w:t>
      </w:r>
    </w:p>
    <w:p>
      <w:pPr>
        <w:spacing w:after="0" w:line="82" w:lineRule="exact"/>
        <w:rPr>
          <w:sz w:val="20"/>
          <w:szCs w:val="20"/>
          <w:color w:val="auto"/>
        </w:rPr>
      </w:pPr>
    </w:p>
    <w:p>
      <w:pPr>
        <w:spacing w:after="0"/>
        <w:rPr>
          <w:sz w:val="20"/>
          <w:szCs w:val="20"/>
          <w:color w:val="auto"/>
        </w:rPr>
      </w:pPr>
      <w:r>
        <w:rPr>
          <w:rFonts w:ascii="Arial" w:cs="Arial" w:eastAsia="Arial" w:hAnsi="Arial"/>
          <w:sz w:val="4"/>
          <w:szCs w:val="4"/>
          <w:color w:val="FFFFFF"/>
        </w:rPr>
        <w:t> </w:t>
      </w:r>
    </w:p>
    <w:p>
      <w:pPr>
        <w:spacing w:after="0" w:line="82" w:lineRule="exact"/>
        <w:rPr>
          <w:sz w:val="20"/>
          <w:szCs w:val="20"/>
          <w:color w:val="auto"/>
        </w:rPr>
      </w:pPr>
    </w:p>
    <w:p>
      <w:pPr>
        <w:spacing w:after="0"/>
        <w:rPr>
          <w:sz w:val="20"/>
          <w:szCs w:val="20"/>
          <w:color w:val="auto"/>
        </w:rPr>
      </w:pPr>
      <w:r>
        <w:rPr>
          <w:rFonts w:ascii="Arial" w:cs="Arial" w:eastAsia="Arial" w:hAnsi="Arial"/>
          <w:sz w:val="4"/>
          <w:szCs w:val="4"/>
          <w:color w:val="FFFFFF"/>
        </w:rPr>
        <w:t> </w:t>
      </w:r>
    </w:p>
    <w:p>
      <w:pPr>
        <w:spacing w:after="0" w:line="82" w:lineRule="exact"/>
        <w:rPr>
          <w:sz w:val="20"/>
          <w:szCs w:val="20"/>
          <w:color w:val="auto"/>
        </w:rPr>
      </w:pPr>
    </w:p>
    <w:p>
      <w:pPr>
        <w:spacing w:after="0"/>
        <w:rPr>
          <w:sz w:val="20"/>
          <w:szCs w:val="20"/>
          <w:color w:val="auto"/>
        </w:rPr>
      </w:pPr>
      <w:r>
        <w:rPr>
          <w:rFonts w:ascii="Arial" w:cs="Arial" w:eastAsia="Arial" w:hAnsi="Arial"/>
          <w:sz w:val="4"/>
          <w:szCs w:val="4"/>
          <w:color w:val="FFFFFF"/>
        </w:rPr>
        <w:t> </w:t>
      </w:r>
    </w:p>
    <w:p>
      <w:pPr>
        <w:spacing w:after="0" w:line="312" w:lineRule="exact"/>
        <w:rPr>
          <w:sz w:val="20"/>
          <w:szCs w:val="20"/>
          <w:color w:val="auto"/>
        </w:rPr>
      </w:pPr>
    </w:p>
    <w:p>
      <w:pPr>
        <w:spacing w:after="0"/>
        <w:rPr>
          <w:sz w:val="20"/>
          <w:szCs w:val="20"/>
          <w:color w:val="auto"/>
        </w:rPr>
      </w:pPr>
      <w:r>
        <w:rPr>
          <w:rFonts w:ascii="Arial" w:cs="Arial" w:eastAsia="Arial" w:hAnsi="Arial"/>
          <w:sz w:val="4"/>
          <w:szCs w:val="4"/>
          <w:color w:val="FFFFFF"/>
        </w:rPr>
        <w:t> </w:t>
      </w:r>
    </w:p>
    <w:p>
      <w:pPr>
        <w:spacing w:after="0" w:line="94" w:lineRule="exact"/>
        <w:rPr>
          <w:sz w:val="20"/>
          <w:szCs w:val="20"/>
          <w:color w:val="auto"/>
        </w:rPr>
      </w:pPr>
    </w:p>
    <w:p>
      <w:pPr>
        <w:spacing w:after="0"/>
        <w:rPr>
          <w:sz w:val="20"/>
          <w:szCs w:val="20"/>
          <w:color w:val="auto"/>
        </w:rPr>
      </w:pPr>
      <w:r>
        <w:rPr>
          <w:rFonts w:ascii="Arial" w:cs="Arial" w:eastAsia="Arial" w:hAnsi="Arial"/>
          <w:sz w:val="4"/>
          <w:szCs w:val="4"/>
          <w:color w:val="FFFFFF"/>
        </w:rPr>
        <w:t> </w:t>
      </w:r>
    </w:p>
    <w:p>
      <w:pPr>
        <w:spacing w:after="0" w:line="82" w:lineRule="exact"/>
        <w:rPr>
          <w:sz w:val="20"/>
          <w:szCs w:val="20"/>
          <w:color w:val="auto"/>
        </w:rPr>
      </w:pPr>
    </w:p>
    <w:p>
      <w:pPr>
        <w:spacing w:after="0"/>
        <w:rPr>
          <w:sz w:val="20"/>
          <w:szCs w:val="20"/>
          <w:color w:val="auto"/>
        </w:rPr>
      </w:pPr>
      <w:r>
        <w:rPr>
          <w:rFonts w:ascii="Arial" w:cs="Arial" w:eastAsia="Arial" w:hAnsi="Arial"/>
          <w:sz w:val="4"/>
          <w:szCs w:val="4"/>
          <w:color w:val="FFFFFF"/>
        </w:rPr>
        <w:t> </w:t>
      </w:r>
    </w:p>
    <w:p>
      <w:pPr>
        <w:spacing w:after="0" w:line="82" w:lineRule="exact"/>
        <w:rPr>
          <w:sz w:val="20"/>
          <w:szCs w:val="20"/>
          <w:color w:val="auto"/>
        </w:rPr>
      </w:pPr>
    </w:p>
    <w:p>
      <w:pPr>
        <w:spacing w:after="0"/>
        <w:rPr>
          <w:sz w:val="20"/>
          <w:szCs w:val="20"/>
          <w:color w:val="auto"/>
        </w:rPr>
      </w:pPr>
      <w:r>
        <w:rPr>
          <w:rFonts w:ascii="Arial" w:cs="Arial" w:eastAsia="Arial" w:hAnsi="Arial"/>
          <w:sz w:val="4"/>
          <w:szCs w:val="4"/>
          <w:color w:val="FFFFFF"/>
        </w:rPr>
        <w:t> </w:t>
      </w:r>
    </w:p>
    <w:p>
      <w:pPr>
        <w:spacing w:after="0" w:line="312" w:lineRule="exact"/>
        <w:rPr>
          <w:sz w:val="20"/>
          <w:szCs w:val="20"/>
          <w:color w:val="auto"/>
        </w:rPr>
      </w:pPr>
    </w:p>
    <w:p>
      <w:pPr>
        <w:spacing w:after="0"/>
        <w:rPr>
          <w:sz w:val="20"/>
          <w:szCs w:val="20"/>
          <w:color w:val="auto"/>
        </w:rPr>
      </w:pPr>
      <w:r>
        <w:rPr>
          <w:rFonts w:ascii="Arial" w:cs="Arial" w:eastAsia="Arial" w:hAnsi="Arial"/>
          <w:sz w:val="4"/>
          <w:szCs w:val="4"/>
          <w:color w:val="FFFFFF"/>
        </w:rPr>
        <w:t> </w:t>
      </w:r>
    </w:p>
    <w:p>
      <w:pPr>
        <w:spacing w:after="0" w:line="324" w:lineRule="exact"/>
        <w:rPr>
          <w:sz w:val="20"/>
          <w:szCs w:val="20"/>
          <w:color w:val="auto"/>
        </w:rPr>
      </w:pPr>
    </w:p>
    <w:p>
      <w:pPr>
        <w:spacing w:after="0"/>
        <w:rPr>
          <w:sz w:val="20"/>
          <w:szCs w:val="20"/>
          <w:color w:val="auto"/>
        </w:rPr>
      </w:pPr>
      <w:r>
        <w:rPr>
          <w:rFonts w:ascii="Arial" w:cs="Arial" w:eastAsia="Arial" w:hAnsi="Arial"/>
          <w:sz w:val="4"/>
          <w:szCs w:val="4"/>
          <w:color w:val="FFFFFF"/>
        </w:rPr>
        <w:t> </w:t>
      </w:r>
    </w:p>
    <w:p>
      <w:pPr>
        <w:spacing w:after="0" w:line="94" w:lineRule="exact"/>
        <w:rPr>
          <w:sz w:val="20"/>
          <w:szCs w:val="20"/>
          <w:color w:val="auto"/>
        </w:rPr>
      </w:pPr>
    </w:p>
    <w:p>
      <w:pPr>
        <w:spacing w:after="0"/>
        <w:rPr>
          <w:sz w:val="20"/>
          <w:szCs w:val="20"/>
          <w:color w:val="auto"/>
        </w:rPr>
      </w:pPr>
      <w:r>
        <w:rPr>
          <w:rFonts w:ascii="Arial" w:cs="Arial" w:eastAsia="Arial" w:hAnsi="Arial"/>
          <w:sz w:val="4"/>
          <w:szCs w:val="4"/>
          <w:color w:val="FFFFFF"/>
        </w:rPr>
        <w:t> </w:t>
      </w:r>
    </w:p>
    <w:p>
      <w:pPr>
        <w:spacing w:after="0" w:line="82" w:lineRule="exact"/>
        <w:rPr>
          <w:sz w:val="20"/>
          <w:szCs w:val="20"/>
          <w:color w:val="auto"/>
        </w:rPr>
      </w:pPr>
    </w:p>
    <w:p>
      <w:pPr>
        <w:spacing w:after="0"/>
        <w:rPr>
          <w:sz w:val="20"/>
          <w:szCs w:val="20"/>
          <w:color w:val="auto"/>
        </w:rPr>
      </w:pPr>
      <w:r>
        <w:rPr>
          <w:rFonts w:ascii="Arial" w:cs="Arial" w:eastAsia="Arial" w:hAnsi="Arial"/>
          <w:sz w:val="4"/>
          <w:szCs w:val="4"/>
          <w:color w:val="FFFFFF"/>
        </w:rPr>
        <w:t> </w:t>
      </w:r>
    </w:p>
    <w:p>
      <w:pPr>
        <w:spacing w:after="0" w:line="82" w:lineRule="exact"/>
        <w:rPr>
          <w:sz w:val="20"/>
          <w:szCs w:val="20"/>
          <w:color w:val="auto"/>
        </w:rPr>
      </w:pPr>
    </w:p>
    <w:p>
      <w:pPr>
        <w:spacing w:after="0"/>
        <w:rPr>
          <w:sz w:val="20"/>
          <w:szCs w:val="20"/>
          <w:color w:val="auto"/>
        </w:rPr>
      </w:pPr>
      <w:r>
        <w:rPr>
          <w:rFonts w:ascii="Arial" w:cs="Arial" w:eastAsia="Arial" w:hAnsi="Arial"/>
          <w:sz w:val="4"/>
          <w:szCs w:val="4"/>
          <w:color w:val="FFFFFF"/>
        </w:rPr>
        <w:t> </w:t>
      </w:r>
    </w:p>
    <w:p>
      <w:pPr>
        <w:spacing w:after="0" w:line="312" w:lineRule="exact"/>
        <w:rPr>
          <w:sz w:val="20"/>
          <w:szCs w:val="20"/>
          <w:color w:val="auto"/>
        </w:rPr>
      </w:pPr>
    </w:p>
    <w:p>
      <w:pPr>
        <w:spacing w:after="0"/>
        <w:rPr>
          <w:sz w:val="20"/>
          <w:szCs w:val="20"/>
          <w:color w:val="auto"/>
        </w:rPr>
      </w:pPr>
      <w:r>
        <w:rPr>
          <w:rFonts w:ascii="Arial" w:cs="Arial" w:eastAsia="Arial" w:hAnsi="Arial"/>
          <w:sz w:val="4"/>
          <w:szCs w:val="4"/>
          <w:color w:val="FFFFFF"/>
        </w:rPr>
        <w:t> </w:t>
      </w:r>
    </w:p>
    <w:p>
      <w:pPr>
        <w:spacing w:after="0" w:line="324" w:lineRule="exact"/>
        <w:rPr>
          <w:sz w:val="20"/>
          <w:szCs w:val="20"/>
          <w:color w:val="auto"/>
        </w:rPr>
      </w:pPr>
    </w:p>
    <w:p>
      <w:pPr>
        <w:spacing w:after="0"/>
        <w:rPr>
          <w:sz w:val="20"/>
          <w:szCs w:val="20"/>
          <w:color w:val="auto"/>
        </w:rPr>
      </w:pPr>
      <w:r>
        <w:rPr>
          <w:rFonts w:ascii="Arial" w:cs="Arial" w:eastAsia="Arial" w:hAnsi="Arial"/>
          <w:sz w:val="4"/>
          <w:szCs w:val="4"/>
          <w:color w:val="FFFFFF"/>
        </w:rPr>
        <w:t> </w:t>
      </w:r>
    </w:p>
    <w:p>
      <w:pPr>
        <w:spacing w:after="0" w:line="94" w:lineRule="exact"/>
        <w:rPr>
          <w:sz w:val="20"/>
          <w:szCs w:val="20"/>
          <w:color w:val="auto"/>
        </w:rPr>
      </w:pPr>
    </w:p>
    <w:p>
      <w:pPr>
        <w:spacing w:after="0"/>
        <w:rPr>
          <w:sz w:val="20"/>
          <w:szCs w:val="20"/>
          <w:color w:val="auto"/>
        </w:rPr>
      </w:pPr>
      <w:r>
        <w:rPr>
          <w:rFonts w:ascii="Arial" w:cs="Arial" w:eastAsia="Arial" w:hAnsi="Arial"/>
          <w:sz w:val="4"/>
          <w:szCs w:val="4"/>
          <w:color w:val="FFFFFF"/>
        </w:rPr>
        <w:t> </w:t>
      </w:r>
    </w:p>
    <w:p>
      <w:pPr>
        <w:spacing w:after="0" w:line="82" w:lineRule="exact"/>
        <w:rPr>
          <w:sz w:val="20"/>
          <w:szCs w:val="20"/>
          <w:color w:val="auto"/>
        </w:rPr>
      </w:pPr>
    </w:p>
    <w:p>
      <w:pPr>
        <w:spacing w:after="0"/>
        <w:rPr>
          <w:sz w:val="20"/>
          <w:szCs w:val="20"/>
          <w:color w:val="auto"/>
        </w:rPr>
      </w:pPr>
      <w:r>
        <w:rPr>
          <w:rFonts w:ascii="Arial" w:cs="Arial" w:eastAsia="Arial" w:hAnsi="Arial"/>
          <w:sz w:val="4"/>
          <w:szCs w:val="4"/>
          <w:color w:val="FFFFFF"/>
        </w:rPr>
        <w:t> </w:t>
      </w:r>
    </w:p>
    <w:p>
      <w:pPr>
        <w:spacing w:after="0" w:line="312" w:lineRule="exact"/>
        <w:rPr>
          <w:sz w:val="20"/>
          <w:szCs w:val="20"/>
          <w:color w:val="auto"/>
        </w:rPr>
      </w:pPr>
    </w:p>
    <w:p>
      <w:pPr>
        <w:spacing w:after="0"/>
        <w:rPr>
          <w:sz w:val="20"/>
          <w:szCs w:val="20"/>
          <w:color w:val="auto"/>
        </w:rPr>
      </w:pPr>
      <w:r>
        <w:rPr>
          <w:rFonts w:ascii="Arial" w:cs="Arial" w:eastAsia="Arial" w:hAnsi="Arial"/>
          <w:sz w:val="4"/>
          <w:szCs w:val="4"/>
          <w:color w:val="FFFFFF"/>
        </w:rPr>
        <w:t> </w:t>
      </w:r>
    </w:p>
    <w:p>
      <w:pPr>
        <w:spacing w:after="0" w:line="94" w:lineRule="exact"/>
        <w:rPr>
          <w:sz w:val="20"/>
          <w:szCs w:val="20"/>
          <w:color w:val="auto"/>
        </w:rPr>
      </w:pPr>
    </w:p>
    <w:p>
      <w:pPr>
        <w:spacing w:after="0"/>
        <w:rPr>
          <w:sz w:val="20"/>
          <w:szCs w:val="20"/>
          <w:color w:val="auto"/>
        </w:rPr>
      </w:pPr>
      <w:r>
        <w:rPr>
          <w:rFonts w:ascii="Arial" w:cs="Arial" w:eastAsia="Arial" w:hAnsi="Arial"/>
          <w:sz w:val="4"/>
          <w:szCs w:val="4"/>
          <w:color w:val="FFFFFF"/>
        </w:rPr>
        <w:t> </w:t>
      </w:r>
    </w:p>
    <w:p>
      <w:pPr>
        <w:spacing w:after="0" w:line="82" w:lineRule="exact"/>
        <w:rPr>
          <w:sz w:val="20"/>
          <w:szCs w:val="20"/>
          <w:color w:val="auto"/>
        </w:rPr>
      </w:pPr>
    </w:p>
    <w:p>
      <w:pPr>
        <w:spacing w:after="0"/>
        <w:rPr>
          <w:sz w:val="20"/>
          <w:szCs w:val="20"/>
          <w:color w:val="auto"/>
        </w:rPr>
      </w:pPr>
      <w:r>
        <w:rPr>
          <w:rFonts w:ascii="Arial" w:cs="Arial" w:eastAsia="Arial" w:hAnsi="Arial"/>
          <w:sz w:val="4"/>
          <w:szCs w:val="4"/>
          <w:color w:val="FFFFFF"/>
        </w:rPr>
        <w:t> </w:t>
      </w:r>
    </w:p>
    <w:p>
      <w:pPr>
        <w:spacing w:after="0" w:line="312" w:lineRule="exact"/>
        <w:rPr>
          <w:sz w:val="20"/>
          <w:szCs w:val="20"/>
          <w:color w:val="auto"/>
        </w:rPr>
      </w:pPr>
    </w:p>
    <w:p>
      <w:pPr>
        <w:spacing w:after="0"/>
        <w:rPr>
          <w:sz w:val="20"/>
          <w:szCs w:val="20"/>
          <w:color w:val="auto"/>
        </w:rPr>
      </w:pPr>
      <w:r>
        <w:rPr>
          <w:rFonts w:ascii="Arial" w:cs="Arial" w:eastAsia="Arial" w:hAnsi="Arial"/>
          <w:sz w:val="4"/>
          <w:szCs w:val="4"/>
          <w:color w:val="FFFFFF"/>
        </w:rPr>
        <w:t> </w:t>
      </w:r>
    </w:p>
    <w:p>
      <w:pPr>
        <w:spacing w:after="0" w:line="94" w:lineRule="exact"/>
        <w:rPr>
          <w:sz w:val="20"/>
          <w:szCs w:val="20"/>
          <w:color w:val="auto"/>
        </w:rPr>
      </w:pPr>
    </w:p>
    <w:p>
      <w:pPr>
        <w:spacing w:after="0"/>
        <w:rPr>
          <w:sz w:val="20"/>
          <w:szCs w:val="20"/>
          <w:color w:val="auto"/>
        </w:rPr>
      </w:pPr>
      <w:r>
        <w:rPr>
          <w:rFonts w:ascii="Arial" w:cs="Arial" w:eastAsia="Arial" w:hAnsi="Arial"/>
          <w:sz w:val="4"/>
          <w:szCs w:val="4"/>
          <w:color w:val="FFFFFF"/>
        </w:rPr>
        <w:t> </w:t>
      </w:r>
    </w:p>
    <w:p>
      <w:pPr>
        <w:spacing w:after="0" w:line="200" w:lineRule="exact"/>
        <w:rPr>
          <w:sz w:val="20"/>
          <w:szCs w:val="20"/>
          <w:color w:val="auto"/>
        </w:rPr>
      </w:pPr>
    </w:p>
    <w:p>
      <w:pPr>
        <w:sectPr>
          <w:pgSz w:w="11900" w:h="16838" w:orient="portrait"/>
          <w:cols w:equalWidth="0" w:num="2">
            <w:col w:w="8520" w:space="720"/>
            <w:col w:w="1560"/>
          </w:cols>
          <w:pgMar w:left="320" w:top="464" w:right="779" w:bottom="1440" w:gutter="0" w:footer="0" w:header="0"/>
          <w:type w:val="continuous"/>
        </w:sectPr>
      </w:pPr>
    </w:p>
    <w:p>
      <w:pPr>
        <w:spacing w:after="0" w:line="112" w:lineRule="exact"/>
        <w:rPr>
          <w:sz w:val="20"/>
          <w:szCs w:val="20"/>
          <w:color w:val="auto"/>
        </w:rPr>
      </w:pPr>
    </w:p>
    <w:p>
      <w:pPr>
        <w:ind w:left="9240"/>
        <w:spacing w:after="0"/>
        <w:rPr>
          <w:sz w:val="20"/>
          <w:szCs w:val="20"/>
          <w:color w:val="auto"/>
        </w:rPr>
      </w:pPr>
      <w:r>
        <w:rPr>
          <w:rFonts w:ascii="Arial" w:cs="Arial" w:eastAsia="Arial" w:hAnsi="Arial"/>
          <w:sz w:val="12"/>
          <w:szCs w:val="12"/>
          <w:color w:val="FFFFFF"/>
        </w:rPr>
        <w: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6360"/>
        <w:spacing w:after="0"/>
        <w:tabs>
          <w:tab w:leader="none" w:pos="8500" w:val="left"/>
          <w:tab w:leader="none" w:pos="9960" w:val="left"/>
        </w:tabs>
        <w:rPr>
          <w:sz w:val="20"/>
          <w:szCs w:val="20"/>
          <w:color w:val="auto"/>
        </w:rPr>
      </w:pPr>
      <w:r>
        <w:rPr>
          <w:rFonts w:ascii="Arial" w:cs="Arial" w:eastAsia="Arial" w:hAnsi="Arial"/>
          <w:sz w:val="15"/>
          <w:szCs w:val="15"/>
          <w:b w:val="1"/>
          <w:bCs w:val="1"/>
          <w:color w:val="002B5F"/>
        </w:rPr>
        <w:t xml:space="preserve">2026 Proxy Statement  </w:t>
      </w:r>
      <w:r>
        <w:rPr>
          <w:rFonts w:ascii="Arial" w:cs="Arial" w:eastAsia="Arial" w:hAnsi="Arial"/>
          <w:sz w:val="20"/>
          <w:szCs w:val="20"/>
          <w:color w:val="002B5F"/>
        </w:rPr>
        <w:t xml:space="preserve">   </w:t>
      </w:r>
      <w:r>
        <w:rPr>
          <w:rFonts w:ascii="Arial" w:cs="Arial" w:eastAsia="Arial" w:hAnsi="Arial"/>
          <w:sz w:val="15"/>
          <w:szCs w:val="15"/>
          <w:b w:val="1"/>
          <w:bCs w:val="1"/>
          <w:color w:val="002B5F"/>
        </w:rPr>
        <w:t xml:space="preserve">   </w:t>
      </w:r>
      <w:r>
        <w:rPr>
          <w:sz w:val="20"/>
          <w:szCs w:val="20"/>
          <w:color w:val="auto"/>
        </w:rPr>
        <w:tab/>
      </w:r>
      <w:r>
        <w:rPr>
          <w:rFonts w:ascii="Arial" w:cs="Arial" w:eastAsia="Arial" w:hAnsi="Arial"/>
          <w:sz w:val="17"/>
          <w:szCs w:val="17"/>
          <w:color w:val="auto"/>
        </w:rPr>
        <w:t xml:space="preserve">    </w:t>
      </w:r>
      <w:r>
        <w:rPr>
          <w:sz w:val="20"/>
          <w:szCs w:val="20"/>
          <w:color w:val="auto"/>
        </w:rPr>
        <w:tab/>
      </w:r>
      <w:r>
        <w:rPr>
          <w:rFonts w:ascii="Arial" w:cs="Arial" w:eastAsia="Arial" w:hAnsi="Arial"/>
          <w:sz w:val="17"/>
          <w:szCs w:val="17"/>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268605</wp:posOffset>
            </wp:positionH>
            <wp:positionV relativeFrom="paragraph">
              <wp:posOffset>-128905</wp:posOffset>
            </wp:positionV>
            <wp:extent cx="762000" cy="971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62000" cy="97155"/>
                    </a:xfrm>
                    <a:prstGeom prst="rect">
                      <a:avLst/>
                    </a:prstGeom>
                    <a:noFill/>
                  </pic:spPr>
                </pic:pic>
              </a:graphicData>
            </a:graphic>
          </wp:anchor>
        </w:drawing>
      </w:r>
    </w:p>
    <w:p>
      <w:pPr>
        <w:sectPr>
          <w:pgSz w:w="11900" w:h="16838" w:orient="portrait"/>
          <w:cols w:equalWidth="0" w:num="1">
            <w:col w:w="10800"/>
          </w:cols>
          <w:pgMar w:left="320" w:top="464" w:right="77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6"/>
          <w:szCs w:val="16"/>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268605</wp:posOffset>
            </wp:positionH>
            <wp:positionV relativeFrom="paragraph">
              <wp:posOffset>260985</wp:posOffset>
            </wp:positionV>
            <wp:extent cx="1183005" cy="745617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183005" cy="7456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440" w:type="dxa"/>
        <w:tblCellMar>
          <w:top w:w="0" w:type="dxa"/>
          <w:left w:w="0" w:type="dxa"/>
          <w:bottom w:w="0" w:type="dxa"/>
          <w:right w:w="0" w:type="dxa"/>
        </w:tblCellMar>
      </w:tblPr>
      <w:tr>
        <w:trPr>
          <w:trHeight w:val="264"/>
        </w:trPr>
        <w:tc>
          <w:tcPr>
            <w:tcW w:w="640" w:type="dxa"/>
            <w:vAlign w:val="bottom"/>
          </w:tcPr>
          <w:p>
            <w:pPr>
              <w:spacing w:after="0"/>
              <w:rPr>
                <w:sz w:val="20"/>
                <w:szCs w:val="20"/>
                <w:color w:val="auto"/>
              </w:rPr>
            </w:pPr>
            <w:r>
              <w:rPr>
                <w:rFonts w:ascii="Arial" w:cs="Arial" w:eastAsia="Arial" w:hAnsi="Arial"/>
                <w:sz w:val="15"/>
                <w:szCs w:val="15"/>
                <w:color w:val="auto"/>
              </w:rPr>
              <w:t xml:space="preserve">           </w:t>
            </w:r>
            <w:r>
              <w:rPr>
                <w:rFonts w:ascii="Arial" w:cs="Arial" w:eastAsia="Arial" w:hAnsi="Arial"/>
                <w:sz w:val="23"/>
                <w:szCs w:val="23"/>
                <w:color w:val="FFFFFF"/>
                <w:vertAlign w:val="superscript"/>
              </w:rPr>
              <w:t xml:space="preserve"> </w:t>
            </w:r>
          </w:p>
        </w:tc>
        <w:tc>
          <w:tcPr>
            <w:tcW w:w="100" w:type="dxa"/>
            <w:vAlign w:val="bottom"/>
          </w:tcPr>
          <w:p>
            <w:pPr>
              <w:ind w:left="80"/>
              <w:spacing w:after="0"/>
              <w:rPr>
                <w:sz w:val="20"/>
                <w:szCs w:val="20"/>
                <w:color w:val="auto"/>
              </w:rPr>
            </w:pPr>
            <w:r>
              <w:rPr>
                <w:rFonts w:ascii="Arial" w:cs="Arial" w:eastAsia="Arial" w:hAnsi="Arial"/>
                <w:sz w:val="1"/>
                <w:szCs w:val="1"/>
                <w:color w:val="FFFFFF"/>
                <w:w w:val="4294967291"/>
              </w:rPr>
              <w:t> </w:t>
            </w:r>
          </w:p>
        </w:tc>
      </w:tr>
      <w:tr>
        <w:trPr>
          <w:trHeight w:val="158"/>
        </w:trPr>
        <w:tc>
          <w:tcPr>
            <w:tcW w:w="640" w:type="dxa"/>
            <w:vAlign w:val="bottom"/>
          </w:tcPr>
          <w:p>
            <w:pPr>
              <w:spacing w:after="0"/>
              <w:rPr>
                <w:sz w:val="13"/>
                <w:szCs w:val="13"/>
                <w:color w:val="auto"/>
              </w:rPr>
            </w:pPr>
          </w:p>
        </w:tc>
        <w:tc>
          <w:tcPr>
            <w:tcW w:w="100" w:type="dxa"/>
            <w:vAlign w:val="bottom"/>
          </w:tcPr>
          <w:p>
            <w:pPr>
              <w:ind w:left="80"/>
              <w:spacing w:after="0"/>
              <w:rPr>
                <w:sz w:val="20"/>
                <w:szCs w:val="20"/>
                <w:color w:val="auto"/>
              </w:rPr>
            </w:pPr>
            <w:r>
              <w:rPr>
                <w:rFonts w:ascii="Arial" w:cs="Arial" w:eastAsia="Arial" w:hAnsi="Arial"/>
                <w:sz w:val="1"/>
                <w:szCs w:val="1"/>
                <w:color w:val="FFFFFF"/>
                <w:w w:val="4294967291"/>
              </w:rPr>
              <w:t> </w:t>
            </w:r>
          </w:p>
        </w:tc>
      </w:tr>
      <w:tr>
        <w:trPr>
          <w:trHeight w:val="310"/>
        </w:trPr>
        <w:tc>
          <w:tcPr>
            <w:tcW w:w="640" w:type="dxa"/>
            <w:vAlign w:val="bottom"/>
          </w:tcPr>
          <w:p>
            <w:pPr>
              <w:spacing w:after="0"/>
              <w:rPr>
                <w:sz w:val="24"/>
                <w:szCs w:val="24"/>
                <w:color w:val="auto"/>
              </w:rPr>
            </w:pPr>
          </w:p>
        </w:tc>
        <w:tc>
          <w:tcPr>
            <w:tcW w:w="100" w:type="dxa"/>
            <w:vAlign w:val="bottom"/>
          </w:tcPr>
          <w:p>
            <w:pPr>
              <w:ind w:left="80"/>
              <w:spacing w:after="0"/>
              <w:rPr>
                <w:sz w:val="20"/>
                <w:szCs w:val="20"/>
                <w:color w:val="auto"/>
              </w:rPr>
            </w:pPr>
            <w:r>
              <w:rPr>
                <w:rFonts w:ascii="Arial" w:cs="Arial" w:eastAsia="Arial" w:hAnsi="Arial"/>
                <w:sz w:val="1"/>
                <w:szCs w:val="1"/>
                <w:color w:val="FFFFFF"/>
                <w:w w:val="4294967291"/>
              </w:rPr>
              <w:t> </w:t>
            </w:r>
          </w:p>
        </w:tc>
      </w:tr>
      <w:tr>
        <w:trPr>
          <w:trHeight w:val="128"/>
        </w:trPr>
        <w:tc>
          <w:tcPr>
            <w:tcW w:w="640" w:type="dxa"/>
            <w:vAlign w:val="bottom"/>
          </w:tcPr>
          <w:p>
            <w:pPr>
              <w:spacing w:after="0"/>
              <w:rPr>
                <w:sz w:val="11"/>
                <w:szCs w:val="11"/>
                <w:color w:val="auto"/>
              </w:rPr>
            </w:pPr>
          </w:p>
        </w:tc>
        <w:tc>
          <w:tcPr>
            <w:tcW w:w="100" w:type="dxa"/>
            <w:vAlign w:val="bottom"/>
          </w:tcPr>
          <w:p>
            <w:pPr>
              <w:ind w:left="80"/>
              <w:spacing w:after="0"/>
              <w:rPr>
                <w:sz w:val="20"/>
                <w:szCs w:val="20"/>
                <w:color w:val="auto"/>
              </w:rPr>
            </w:pPr>
            <w:r>
              <w:rPr>
                <w:rFonts w:ascii="Arial" w:cs="Arial" w:eastAsia="Arial" w:hAnsi="Arial"/>
                <w:sz w:val="1"/>
                <w:szCs w:val="1"/>
                <w:color w:val="FFFFFF"/>
                <w:w w:val="4294967291"/>
              </w:rPr>
              <w:t> </w:t>
            </w:r>
          </w:p>
        </w:tc>
      </w:tr>
      <w:tr>
        <w:trPr>
          <w:trHeight w:val="128"/>
        </w:trPr>
        <w:tc>
          <w:tcPr>
            <w:tcW w:w="640" w:type="dxa"/>
            <w:vAlign w:val="bottom"/>
          </w:tcPr>
          <w:p>
            <w:pPr>
              <w:spacing w:after="0"/>
              <w:rPr>
                <w:sz w:val="11"/>
                <w:szCs w:val="11"/>
                <w:color w:val="auto"/>
              </w:rPr>
            </w:pPr>
          </w:p>
        </w:tc>
        <w:tc>
          <w:tcPr>
            <w:tcW w:w="100" w:type="dxa"/>
            <w:vAlign w:val="bottom"/>
          </w:tcPr>
          <w:p>
            <w:pPr>
              <w:ind w:left="80"/>
              <w:spacing w:after="0"/>
              <w:rPr>
                <w:sz w:val="20"/>
                <w:szCs w:val="20"/>
                <w:color w:val="auto"/>
              </w:rPr>
            </w:pPr>
            <w:r>
              <w:rPr>
                <w:rFonts w:ascii="Arial" w:cs="Arial" w:eastAsia="Arial" w:hAnsi="Arial"/>
                <w:sz w:val="1"/>
                <w:szCs w:val="1"/>
                <w:color w:val="FFFFFF"/>
                <w:w w:val="4294967291"/>
              </w:rPr>
              <w:t> </w:t>
            </w:r>
          </w:p>
        </w:tc>
      </w:tr>
      <w:tr>
        <w:trPr>
          <w:trHeight w:val="158"/>
        </w:trPr>
        <w:tc>
          <w:tcPr>
            <w:tcW w:w="640" w:type="dxa"/>
            <w:vAlign w:val="bottom"/>
          </w:tcPr>
          <w:p>
            <w:pPr>
              <w:spacing w:after="0"/>
              <w:rPr>
                <w:sz w:val="13"/>
                <w:szCs w:val="13"/>
                <w:color w:val="auto"/>
              </w:rPr>
            </w:pPr>
          </w:p>
        </w:tc>
        <w:tc>
          <w:tcPr>
            <w:tcW w:w="100" w:type="dxa"/>
            <w:vAlign w:val="bottom"/>
          </w:tcPr>
          <w:p>
            <w:pPr>
              <w:ind w:left="80"/>
              <w:spacing w:after="0"/>
              <w:rPr>
                <w:sz w:val="20"/>
                <w:szCs w:val="20"/>
                <w:color w:val="auto"/>
              </w:rPr>
            </w:pPr>
            <w:r>
              <w:rPr>
                <w:rFonts w:ascii="Arial" w:cs="Arial" w:eastAsia="Arial" w:hAnsi="Arial"/>
                <w:sz w:val="1"/>
                <w:szCs w:val="1"/>
                <w:color w:val="FFFFFF"/>
                <w:w w:val="4294967291"/>
              </w:rPr>
              <w:t> </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47"/>
          <w:szCs w:val="47"/>
          <w:b w:val="1"/>
          <w:bCs w:val="1"/>
          <w:color w:val="002B5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-1737995</wp:posOffset>
            </wp:positionH>
            <wp:positionV relativeFrom="paragraph">
              <wp:posOffset>-948055</wp:posOffset>
            </wp:positionV>
            <wp:extent cx="7181215" cy="533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81215" cy="5334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72390</wp:posOffset>
            </wp:positionV>
            <wp:extent cx="506539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065395" cy="8255"/>
                    </a:xfrm>
                    <a:prstGeom prst="rect">
                      <a:avLst/>
                    </a:prstGeom>
                    <a:noFill/>
                  </pic:spPr>
                </pic:pic>
              </a:graphicData>
            </a:graphic>
          </wp:anchor>
        </w:drawing>
      </w:r>
    </w:p>
    <w:p>
      <w:pPr>
        <w:spacing w:after="0" w:line="888" w:lineRule="exact"/>
        <w:rPr>
          <w:sz w:val="20"/>
          <w:szCs w:val="20"/>
          <w:color w:val="auto"/>
        </w:rPr>
      </w:pPr>
    </w:p>
    <w:p>
      <w:pPr>
        <w:sectPr>
          <w:pgSz w:w="11900" w:h="16838" w:orient="portrait"/>
          <w:cols w:equalWidth="0" w:num="2">
            <w:col w:w="2000" w:space="720"/>
            <w:col w:w="7940"/>
          </w:cols>
          <w:pgMar w:left="320" w:top="464" w:right="919" w:bottom="1440" w:gutter="0" w:footer="0" w:header="0"/>
        </w:sectPr>
      </w:pPr>
    </w:p>
    <w:p>
      <w:pPr>
        <w:spacing w:after="0" w:line="114" w:lineRule="exact"/>
        <w:rPr>
          <w:sz w:val="20"/>
          <w:szCs w:val="20"/>
          <w:color w:val="auto"/>
        </w:rPr>
      </w:pPr>
    </w:p>
    <w:p>
      <w:pPr>
        <w:ind w:left="1160"/>
        <w:spacing w:after="0"/>
        <w:rPr>
          <w:sz w:val="20"/>
          <w:szCs w:val="20"/>
          <w:color w:val="auto"/>
        </w:rPr>
      </w:pPr>
      <w:r>
        <w:rPr>
          <w:rFonts w:ascii="Arial" w:cs="Arial" w:eastAsia="Arial" w:hAnsi="Arial"/>
          <w:sz w:val="2"/>
          <w:szCs w:val="2"/>
          <w:b w:val="1"/>
          <w:bCs w:val="1"/>
          <w:color w:val="FFFFFF"/>
        </w:rPr>
        <w:t> </w:t>
      </w:r>
    </w:p>
    <w:p>
      <w:pPr>
        <w:spacing w:after="0" w:line="347" w:lineRule="exact"/>
        <w:rPr>
          <w:sz w:val="20"/>
          <w:szCs w:val="20"/>
          <w:color w:val="auto"/>
        </w:rPr>
      </w:pPr>
    </w:p>
    <w:p>
      <w:pPr>
        <w:ind w:left="1160"/>
        <w:spacing w:after="0"/>
        <w:rPr>
          <w:sz w:val="20"/>
          <w:szCs w:val="20"/>
          <w:color w:val="auto"/>
        </w:rPr>
      </w:pPr>
      <w:r>
        <w:rPr>
          <w:rFonts w:ascii="Arial" w:cs="Arial" w:eastAsia="Arial" w:hAnsi="Arial"/>
          <w:sz w:val="2"/>
          <w:szCs w:val="2"/>
          <w:color w:val="FFFFFF"/>
        </w:rPr>
        <w:t> </w:t>
      </w:r>
    </w:p>
    <w:p>
      <w:pPr>
        <w:spacing w:after="0" w:line="117" w:lineRule="exact"/>
        <w:rPr>
          <w:sz w:val="20"/>
          <w:szCs w:val="20"/>
          <w:color w:val="auto"/>
        </w:rPr>
      </w:pPr>
    </w:p>
    <w:p>
      <w:pPr>
        <w:ind w:left="1160"/>
        <w:spacing w:after="0"/>
        <w:rPr>
          <w:sz w:val="20"/>
          <w:szCs w:val="20"/>
          <w:color w:val="auto"/>
        </w:rPr>
      </w:pPr>
      <w:r>
        <w:rPr>
          <w:rFonts w:ascii="Arial" w:cs="Arial" w:eastAsia="Arial" w:hAnsi="Arial"/>
          <w:sz w:val="2"/>
          <w:szCs w:val="2"/>
          <w:color w:val="FFFFFF"/>
        </w:rPr>
        <w:t> </w:t>
      </w:r>
    </w:p>
    <w:p>
      <w:pPr>
        <w:spacing w:after="0" w:line="105" w:lineRule="exact"/>
        <w:rPr>
          <w:sz w:val="20"/>
          <w:szCs w:val="20"/>
          <w:color w:val="auto"/>
        </w:rPr>
      </w:pPr>
    </w:p>
    <w:p>
      <w:pPr>
        <w:ind w:left="1160"/>
        <w:spacing w:after="0"/>
        <w:rPr>
          <w:sz w:val="20"/>
          <w:szCs w:val="20"/>
          <w:color w:val="auto"/>
        </w:rPr>
      </w:pPr>
      <w:r>
        <w:rPr>
          <w:rFonts w:ascii="Arial" w:cs="Arial" w:eastAsia="Arial" w:hAnsi="Arial"/>
          <w:sz w:val="2"/>
          <w:szCs w:val="2"/>
          <w:color w:val="FFFFFF"/>
        </w:rPr>
        <w:t> </w:t>
      </w:r>
    </w:p>
    <w:p>
      <w:pPr>
        <w:spacing w:after="0" w:line="105" w:lineRule="exact"/>
        <w:rPr>
          <w:sz w:val="20"/>
          <w:szCs w:val="20"/>
          <w:color w:val="auto"/>
        </w:rPr>
      </w:pPr>
    </w:p>
    <w:p>
      <w:pPr>
        <w:ind w:left="1160"/>
        <w:spacing w:after="0"/>
        <w:rPr>
          <w:sz w:val="20"/>
          <w:szCs w:val="20"/>
          <w:color w:val="auto"/>
        </w:rPr>
      </w:pPr>
      <w:r>
        <w:rPr>
          <w:rFonts w:ascii="Arial" w:cs="Arial" w:eastAsia="Arial" w:hAnsi="Arial"/>
          <w:sz w:val="2"/>
          <w:szCs w:val="2"/>
          <w:color w:val="FFFFFF"/>
        </w:rPr>
        <w:t> </w:t>
      </w:r>
    </w:p>
    <w:p>
      <w:pPr>
        <w:spacing w:after="0" w:line="335" w:lineRule="exact"/>
        <w:rPr>
          <w:sz w:val="20"/>
          <w:szCs w:val="20"/>
          <w:color w:val="auto"/>
        </w:rPr>
      </w:pPr>
    </w:p>
    <w:p>
      <w:pPr>
        <w:ind w:left="1160"/>
        <w:spacing w:after="0"/>
        <w:rPr>
          <w:sz w:val="20"/>
          <w:szCs w:val="20"/>
          <w:color w:val="auto"/>
        </w:rPr>
      </w:pPr>
      <w:r>
        <w:rPr>
          <w:rFonts w:ascii="Arial" w:cs="Arial" w:eastAsia="Arial" w:hAnsi="Arial"/>
          <w:sz w:val="2"/>
          <w:szCs w:val="2"/>
          <w:color w:val="FFFFFF"/>
        </w:rPr>
        <w:t> </w:t>
      </w:r>
    </w:p>
    <w:p>
      <w:pPr>
        <w:spacing w:after="0" w:line="117" w:lineRule="exact"/>
        <w:rPr>
          <w:sz w:val="20"/>
          <w:szCs w:val="20"/>
          <w:color w:val="auto"/>
        </w:rPr>
      </w:pPr>
    </w:p>
    <w:p>
      <w:pPr>
        <w:ind w:left="1160"/>
        <w:spacing w:after="0"/>
        <w:rPr>
          <w:sz w:val="20"/>
          <w:szCs w:val="20"/>
          <w:color w:val="auto"/>
        </w:rPr>
      </w:pPr>
      <w:r>
        <w:rPr>
          <w:rFonts w:ascii="Arial" w:cs="Arial" w:eastAsia="Arial" w:hAnsi="Arial"/>
          <w:sz w:val="2"/>
          <w:szCs w:val="2"/>
          <w:color w:val="FFFFFF"/>
        </w:rPr>
        <w:t> </w:t>
      </w:r>
    </w:p>
    <w:p>
      <w:pPr>
        <w:spacing w:after="0" w:line="335" w:lineRule="exact"/>
        <w:rPr>
          <w:sz w:val="20"/>
          <w:szCs w:val="20"/>
          <w:color w:val="auto"/>
        </w:rPr>
      </w:pPr>
    </w:p>
    <w:p>
      <w:pPr>
        <w:ind w:left="1160"/>
        <w:spacing w:after="0"/>
        <w:rPr>
          <w:sz w:val="20"/>
          <w:szCs w:val="20"/>
          <w:color w:val="auto"/>
        </w:rPr>
      </w:pPr>
      <w:r>
        <w:rPr>
          <w:rFonts w:ascii="Arial" w:cs="Arial" w:eastAsia="Arial" w:hAnsi="Arial"/>
          <w:sz w:val="2"/>
          <w:szCs w:val="2"/>
          <w:color w:val="FFFFFF"/>
        </w:rPr>
        <w:t> </w:t>
      </w:r>
    </w:p>
    <w:p>
      <w:pPr>
        <w:spacing w:after="0" w:line="117" w:lineRule="exact"/>
        <w:rPr>
          <w:sz w:val="20"/>
          <w:szCs w:val="20"/>
          <w:color w:val="auto"/>
        </w:rPr>
      </w:pPr>
    </w:p>
    <w:p>
      <w:pPr>
        <w:ind w:left="1160"/>
        <w:spacing w:after="0"/>
        <w:rPr>
          <w:sz w:val="20"/>
          <w:szCs w:val="20"/>
          <w:color w:val="auto"/>
        </w:rPr>
      </w:pPr>
      <w:r>
        <w:rPr>
          <w:rFonts w:ascii="Arial" w:cs="Arial" w:eastAsia="Arial" w:hAnsi="Arial"/>
          <w:sz w:val="2"/>
          <w:szCs w:val="2"/>
          <w:color w:val="FFFFFF"/>
        </w:rPr>
        <w:t> </w:t>
      </w:r>
    </w:p>
    <w:p>
      <w:pPr>
        <w:spacing w:after="0" w:line="105" w:lineRule="exact"/>
        <w:rPr>
          <w:sz w:val="20"/>
          <w:szCs w:val="20"/>
          <w:color w:val="auto"/>
        </w:rPr>
      </w:pPr>
    </w:p>
    <w:p>
      <w:pPr>
        <w:ind w:left="1160"/>
        <w:spacing w:after="0"/>
        <w:rPr>
          <w:sz w:val="20"/>
          <w:szCs w:val="20"/>
          <w:color w:val="auto"/>
        </w:rPr>
      </w:pPr>
      <w:r>
        <w:rPr>
          <w:rFonts w:ascii="Arial" w:cs="Arial" w:eastAsia="Arial" w:hAnsi="Arial"/>
          <w:sz w:val="2"/>
          <w:szCs w:val="2"/>
          <w:color w:val="FFFFFF"/>
        </w:rPr>
        <w:t> </w:t>
      </w:r>
    </w:p>
    <w:p>
      <w:pPr>
        <w:spacing w:after="0" w:line="335" w:lineRule="exact"/>
        <w:rPr>
          <w:sz w:val="20"/>
          <w:szCs w:val="20"/>
          <w:color w:val="auto"/>
        </w:rPr>
      </w:pPr>
    </w:p>
    <w:p>
      <w:pPr>
        <w:ind w:left="1160"/>
        <w:spacing w:after="0"/>
        <w:rPr>
          <w:sz w:val="20"/>
          <w:szCs w:val="20"/>
          <w:color w:val="auto"/>
        </w:rPr>
      </w:pPr>
      <w:r>
        <w:rPr>
          <w:rFonts w:ascii="Arial" w:cs="Arial" w:eastAsia="Arial" w:hAnsi="Arial"/>
          <w:sz w:val="2"/>
          <w:szCs w:val="2"/>
          <w:color w:val="FFFFFF"/>
        </w:rPr>
        <w:t> </w:t>
      </w:r>
    </w:p>
    <w:p>
      <w:pPr>
        <w:spacing w:after="0" w:line="117" w:lineRule="exact"/>
        <w:rPr>
          <w:sz w:val="20"/>
          <w:szCs w:val="20"/>
          <w:color w:val="auto"/>
        </w:rPr>
      </w:pPr>
    </w:p>
    <w:p>
      <w:pPr>
        <w:ind w:left="1160"/>
        <w:spacing w:after="0"/>
        <w:rPr>
          <w:sz w:val="20"/>
          <w:szCs w:val="20"/>
          <w:color w:val="auto"/>
        </w:rPr>
      </w:pPr>
      <w:r>
        <w:rPr>
          <w:rFonts w:ascii="Arial" w:cs="Arial" w:eastAsia="Arial" w:hAnsi="Arial"/>
          <w:sz w:val="2"/>
          <w:szCs w:val="2"/>
          <w:color w:val="FFFFFF"/>
        </w:rPr>
        <w:t> </w:t>
      </w:r>
    </w:p>
    <w:p>
      <w:pPr>
        <w:spacing w:after="0" w:line="105" w:lineRule="exact"/>
        <w:rPr>
          <w:sz w:val="20"/>
          <w:szCs w:val="20"/>
          <w:color w:val="auto"/>
        </w:rPr>
      </w:pPr>
    </w:p>
    <w:p>
      <w:pPr>
        <w:ind w:left="1160"/>
        <w:spacing w:after="0"/>
        <w:rPr>
          <w:sz w:val="20"/>
          <w:szCs w:val="20"/>
          <w:color w:val="auto"/>
        </w:rPr>
      </w:pPr>
      <w:r>
        <w:rPr>
          <w:rFonts w:ascii="Arial" w:cs="Arial" w:eastAsia="Arial" w:hAnsi="Arial"/>
          <w:sz w:val="2"/>
          <w:szCs w:val="2"/>
          <w:color w:val="FFFFFF"/>
        </w:rPr>
        <w:t> </w:t>
      </w:r>
    </w:p>
    <w:p>
      <w:pPr>
        <w:spacing w:after="0" w:line="105" w:lineRule="exact"/>
        <w:rPr>
          <w:sz w:val="20"/>
          <w:szCs w:val="20"/>
          <w:color w:val="auto"/>
        </w:rPr>
      </w:pPr>
    </w:p>
    <w:p>
      <w:pPr>
        <w:ind w:left="1160"/>
        <w:spacing w:after="0"/>
        <w:rPr>
          <w:sz w:val="20"/>
          <w:szCs w:val="20"/>
          <w:color w:val="auto"/>
        </w:rPr>
      </w:pPr>
      <w:r>
        <w:rPr>
          <w:rFonts w:ascii="Arial" w:cs="Arial" w:eastAsia="Arial" w:hAnsi="Arial"/>
          <w:sz w:val="2"/>
          <w:szCs w:val="2"/>
          <w:color w:val="FFFFFF"/>
        </w:rPr>
        <w:t> </w:t>
      </w:r>
    </w:p>
    <w:p>
      <w:pPr>
        <w:spacing w:after="0" w:line="105" w:lineRule="exact"/>
        <w:rPr>
          <w:sz w:val="20"/>
          <w:szCs w:val="20"/>
          <w:color w:val="auto"/>
        </w:rPr>
      </w:pPr>
    </w:p>
    <w:p>
      <w:pPr>
        <w:ind w:left="1160"/>
        <w:spacing w:after="0"/>
        <w:rPr>
          <w:sz w:val="20"/>
          <w:szCs w:val="20"/>
          <w:color w:val="auto"/>
        </w:rPr>
      </w:pPr>
      <w:r>
        <w:rPr>
          <w:rFonts w:ascii="Arial" w:cs="Arial" w:eastAsia="Arial" w:hAnsi="Arial"/>
          <w:sz w:val="2"/>
          <w:szCs w:val="2"/>
          <w:color w:val="FFFFFF"/>
        </w:rPr>
        <w:t> </w:t>
      </w:r>
    </w:p>
    <w:p>
      <w:pPr>
        <w:spacing w:after="0" w:line="105" w:lineRule="exact"/>
        <w:rPr>
          <w:sz w:val="20"/>
          <w:szCs w:val="20"/>
          <w:color w:val="auto"/>
        </w:rPr>
      </w:pPr>
    </w:p>
    <w:p>
      <w:pPr>
        <w:ind w:left="1160"/>
        <w:spacing w:after="0"/>
        <w:rPr>
          <w:sz w:val="20"/>
          <w:szCs w:val="20"/>
          <w:color w:val="auto"/>
        </w:rPr>
      </w:pPr>
      <w:r>
        <w:rPr>
          <w:rFonts w:ascii="Arial" w:cs="Arial" w:eastAsia="Arial" w:hAnsi="Arial"/>
          <w:sz w:val="2"/>
          <w:szCs w:val="2"/>
          <w:color w:val="FFFFFF"/>
        </w:rPr>
        <w:t> </w:t>
      </w:r>
    </w:p>
    <w:p>
      <w:pPr>
        <w:spacing w:after="0" w:line="335" w:lineRule="exact"/>
        <w:rPr>
          <w:sz w:val="20"/>
          <w:szCs w:val="20"/>
          <w:color w:val="auto"/>
        </w:rPr>
      </w:pPr>
    </w:p>
    <w:p>
      <w:pPr>
        <w:ind w:left="1160"/>
        <w:spacing w:after="0"/>
        <w:rPr>
          <w:sz w:val="20"/>
          <w:szCs w:val="20"/>
          <w:color w:val="auto"/>
        </w:rPr>
      </w:pPr>
      <w:r>
        <w:rPr>
          <w:rFonts w:ascii="Arial" w:cs="Arial" w:eastAsia="Arial" w:hAnsi="Arial"/>
          <w:sz w:val="2"/>
          <w:szCs w:val="2"/>
          <w:color w:val="FFFFFF"/>
        </w:rPr>
        <w:t> </w:t>
      </w:r>
    </w:p>
    <w:p>
      <w:pPr>
        <w:spacing w:after="0" w:line="117" w:lineRule="exact"/>
        <w:rPr>
          <w:sz w:val="20"/>
          <w:szCs w:val="20"/>
          <w:color w:val="auto"/>
        </w:rPr>
      </w:pPr>
    </w:p>
    <w:p>
      <w:pPr>
        <w:ind w:left="1160"/>
        <w:spacing w:after="0"/>
        <w:rPr>
          <w:sz w:val="20"/>
          <w:szCs w:val="20"/>
          <w:color w:val="auto"/>
        </w:rPr>
      </w:pPr>
      <w:r>
        <w:rPr>
          <w:rFonts w:ascii="Arial" w:cs="Arial" w:eastAsia="Arial" w:hAnsi="Arial"/>
          <w:sz w:val="2"/>
          <w:szCs w:val="2"/>
          <w:color w:val="FFFFFF"/>
        </w:rPr>
        <w:t> </w:t>
      </w:r>
    </w:p>
    <w:p>
      <w:pPr>
        <w:spacing w:after="0" w:line="105" w:lineRule="exact"/>
        <w:rPr>
          <w:sz w:val="20"/>
          <w:szCs w:val="20"/>
          <w:color w:val="auto"/>
        </w:rPr>
      </w:pPr>
    </w:p>
    <w:p>
      <w:pPr>
        <w:ind w:left="1160"/>
        <w:spacing w:after="0"/>
        <w:rPr>
          <w:sz w:val="20"/>
          <w:szCs w:val="20"/>
          <w:color w:val="auto"/>
        </w:rPr>
      </w:pPr>
      <w:r>
        <w:rPr>
          <w:rFonts w:ascii="Arial" w:cs="Arial" w:eastAsia="Arial" w:hAnsi="Arial"/>
          <w:sz w:val="2"/>
          <w:szCs w:val="2"/>
          <w:color w:val="FFFFFF"/>
        </w:rPr>
        <w:t> </w:t>
      </w:r>
    </w:p>
    <w:p>
      <w:pPr>
        <w:spacing w:after="0" w:line="335" w:lineRule="exact"/>
        <w:rPr>
          <w:sz w:val="20"/>
          <w:szCs w:val="20"/>
          <w:color w:val="auto"/>
        </w:rPr>
      </w:pPr>
    </w:p>
    <w:p>
      <w:pPr>
        <w:ind w:left="1160"/>
        <w:spacing w:after="0"/>
        <w:rPr>
          <w:sz w:val="20"/>
          <w:szCs w:val="20"/>
          <w:color w:val="auto"/>
        </w:rPr>
      </w:pPr>
      <w:r>
        <w:rPr>
          <w:rFonts w:ascii="Arial" w:cs="Arial" w:eastAsia="Arial" w:hAnsi="Arial"/>
          <w:sz w:val="2"/>
          <w:szCs w:val="2"/>
          <w:color w:val="FFFFFF"/>
        </w:rPr>
        <w:t> </w:t>
      </w:r>
    </w:p>
    <w:p>
      <w:pPr>
        <w:spacing w:after="0" w:line="117" w:lineRule="exact"/>
        <w:rPr>
          <w:sz w:val="20"/>
          <w:szCs w:val="20"/>
          <w:color w:val="auto"/>
        </w:rPr>
      </w:pPr>
    </w:p>
    <w:p>
      <w:pPr>
        <w:ind w:left="1160"/>
        <w:spacing w:after="0"/>
        <w:rPr>
          <w:sz w:val="20"/>
          <w:szCs w:val="20"/>
          <w:color w:val="auto"/>
        </w:rPr>
      </w:pPr>
      <w:r>
        <w:rPr>
          <w:rFonts w:ascii="Arial" w:cs="Arial" w:eastAsia="Arial" w:hAnsi="Arial"/>
          <w:sz w:val="2"/>
          <w:szCs w:val="2"/>
          <w:color w:val="FFFFFF"/>
        </w:rPr>
        <w:t> </w:t>
      </w:r>
    </w:p>
    <w:p>
      <w:pPr>
        <w:spacing w:after="0" w:line="105" w:lineRule="exact"/>
        <w:rPr>
          <w:sz w:val="20"/>
          <w:szCs w:val="20"/>
          <w:color w:val="auto"/>
        </w:rPr>
      </w:pPr>
    </w:p>
    <w:p>
      <w:pPr>
        <w:ind w:left="1160"/>
        <w:spacing w:after="0"/>
        <w:rPr>
          <w:sz w:val="20"/>
          <w:szCs w:val="20"/>
          <w:color w:val="auto"/>
        </w:rPr>
      </w:pPr>
      <w:r>
        <w:rPr>
          <w:rFonts w:ascii="Arial" w:cs="Arial" w:eastAsia="Arial" w:hAnsi="Arial"/>
          <w:sz w:val="2"/>
          <w:szCs w:val="2"/>
          <w:color w:val="FFFFFF"/>
        </w:rPr>
        <w:t> </w:t>
      </w:r>
    </w:p>
    <w:p>
      <w:pPr>
        <w:spacing w:after="0" w:line="335" w:lineRule="exact"/>
        <w:rPr>
          <w:sz w:val="20"/>
          <w:szCs w:val="20"/>
          <w:color w:val="auto"/>
        </w:rPr>
      </w:pPr>
    </w:p>
    <w:p>
      <w:pPr>
        <w:ind w:left="1160"/>
        <w:spacing w:after="0"/>
        <w:rPr>
          <w:sz w:val="20"/>
          <w:szCs w:val="20"/>
          <w:color w:val="auto"/>
        </w:rPr>
      </w:pPr>
      <w:r>
        <w:rPr>
          <w:rFonts w:ascii="Arial" w:cs="Arial" w:eastAsia="Arial" w:hAnsi="Arial"/>
          <w:sz w:val="2"/>
          <w:szCs w:val="2"/>
          <w:color w:val="FFFFFF"/>
        </w:rPr>
        <w:t> </w:t>
      </w:r>
    </w:p>
    <w:p>
      <w:pPr>
        <w:spacing w:after="0" w:line="117" w:lineRule="exact"/>
        <w:rPr>
          <w:sz w:val="20"/>
          <w:szCs w:val="20"/>
          <w:color w:val="auto"/>
        </w:rPr>
      </w:pPr>
    </w:p>
    <w:p>
      <w:pPr>
        <w:ind w:left="1160"/>
        <w:spacing w:after="0"/>
        <w:rPr>
          <w:sz w:val="20"/>
          <w:szCs w:val="20"/>
          <w:color w:val="auto"/>
        </w:rPr>
      </w:pPr>
      <w:r>
        <w:rPr>
          <w:rFonts w:ascii="Arial" w:cs="Arial" w:eastAsia="Arial" w:hAnsi="Arial"/>
          <w:sz w:val="2"/>
          <w:szCs w:val="2"/>
          <w:color w:val="FFFFFF"/>
        </w:rPr>
        <w:t> </w:t>
      </w:r>
    </w:p>
    <w:p>
      <w:pPr>
        <w:spacing w:after="0" w:line="105" w:lineRule="exact"/>
        <w:rPr>
          <w:sz w:val="20"/>
          <w:szCs w:val="20"/>
          <w:color w:val="auto"/>
        </w:rPr>
      </w:pPr>
    </w:p>
    <w:p>
      <w:pPr>
        <w:ind w:left="1160"/>
        <w:spacing w:after="0"/>
        <w:rPr>
          <w:sz w:val="20"/>
          <w:szCs w:val="20"/>
          <w:color w:val="auto"/>
        </w:rPr>
      </w:pPr>
      <w:r>
        <w:rPr>
          <w:rFonts w:ascii="Arial" w:cs="Arial" w:eastAsia="Arial" w:hAnsi="Arial"/>
          <w:sz w:val="2"/>
          <w:szCs w:val="2"/>
          <w:color w:val="FFFFFF"/>
        </w:rPr>
        <w:t> </w:t>
      </w:r>
    </w:p>
    <w:p>
      <w:pPr>
        <w:spacing w:after="0" w:line="105" w:lineRule="exact"/>
        <w:rPr>
          <w:sz w:val="20"/>
          <w:szCs w:val="20"/>
          <w:color w:val="auto"/>
        </w:rPr>
      </w:pPr>
    </w:p>
    <w:p>
      <w:pPr>
        <w:ind w:left="1160"/>
        <w:spacing w:after="0"/>
        <w:rPr>
          <w:sz w:val="20"/>
          <w:szCs w:val="20"/>
          <w:color w:val="auto"/>
        </w:rPr>
      </w:pPr>
      <w:r>
        <w:rPr>
          <w:rFonts w:ascii="Arial" w:cs="Arial" w:eastAsia="Arial" w:hAnsi="Arial"/>
          <w:sz w:val="2"/>
          <w:szCs w:val="2"/>
          <w:color w:val="FFFFFF"/>
        </w:rPr>
        <w:t> </w:t>
      </w:r>
    </w:p>
    <w:p>
      <w:pPr>
        <w:spacing w:after="0" w:line="105" w:lineRule="exact"/>
        <w:rPr>
          <w:sz w:val="20"/>
          <w:szCs w:val="20"/>
          <w:color w:val="auto"/>
        </w:rPr>
      </w:pPr>
    </w:p>
    <w:p>
      <w:pPr>
        <w:ind w:left="1160"/>
        <w:spacing w:after="0"/>
        <w:rPr>
          <w:sz w:val="20"/>
          <w:szCs w:val="20"/>
          <w:color w:val="auto"/>
        </w:rPr>
      </w:pPr>
      <w:r>
        <w:rPr>
          <w:rFonts w:ascii="Arial" w:cs="Arial" w:eastAsia="Arial" w:hAnsi="Arial"/>
          <w:sz w:val="2"/>
          <w:szCs w:val="2"/>
          <w:color w:val="FFFFFF"/>
        </w:rPr>
        <w:t> </w:t>
      </w:r>
    </w:p>
    <w:p>
      <w:pPr>
        <w:spacing w:after="0" w:line="335" w:lineRule="exact"/>
        <w:rPr>
          <w:sz w:val="20"/>
          <w:szCs w:val="20"/>
          <w:color w:val="auto"/>
        </w:rPr>
      </w:pPr>
    </w:p>
    <w:p>
      <w:pPr>
        <w:ind w:left="1160"/>
        <w:spacing w:after="0"/>
        <w:rPr>
          <w:sz w:val="20"/>
          <w:szCs w:val="20"/>
          <w:color w:val="auto"/>
        </w:rPr>
      </w:pPr>
      <w:r>
        <w:rPr>
          <w:rFonts w:ascii="Arial" w:cs="Arial" w:eastAsia="Arial" w:hAnsi="Arial"/>
          <w:sz w:val="2"/>
          <w:szCs w:val="2"/>
          <w:color w:val="FFFFFF"/>
        </w:rPr>
        <w:t> </w:t>
      </w:r>
    </w:p>
    <w:p>
      <w:pPr>
        <w:spacing w:after="0" w:line="117" w:lineRule="exact"/>
        <w:rPr>
          <w:sz w:val="20"/>
          <w:szCs w:val="20"/>
          <w:color w:val="auto"/>
        </w:rPr>
      </w:pPr>
    </w:p>
    <w:p>
      <w:pPr>
        <w:ind w:left="1160"/>
        <w:spacing w:after="0"/>
        <w:rPr>
          <w:sz w:val="20"/>
          <w:szCs w:val="20"/>
          <w:color w:val="auto"/>
        </w:rPr>
      </w:pPr>
      <w:r>
        <w:rPr>
          <w:rFonts w:ascii="Arial" w:cs="Arial" w:eastAsia="Arial" w:hAnsi="Arial"/>
          <w:sz w:val="2"/>
          <w:szCs w:val="2"/>
          <w:color w:val="FFFFFF"/>
        </w:rPr>
        <w:t> </w:t>
      </w:r>
    </w:p>
    <w:p>
      <w:pPr>
        <w:spacing w:after="0" w:line="105" w:lineRule="exact"/>
        <w:rPr>
          <w:sz w:val="20"/>
          <w:szCs w:val="20"/>
          <w:color w:val="auto"/>
        </w:rPr>
      </w:pPr>
    </w:p>
    <w:p>
      <w:pPr>
        <w:ind w:left="1160"/>
        <w:spacing w:after="0"/>
        <w:rPr>
          <w:sz w:val="20"/>
          <w:szCs w:val="20"/>
          <w:color w:val="auto"/>
        </w:rPr>
      </w:pPr>
      <w:r>
        <w:rPr>
          <w:rFonts w:ascii="Arial" w:cs="Arial" w:eastAsia="Arial" w:hAnsi="Arial"/>
          <w:sz w:val="2"/>
          <w:szCs w:val="2"/>
          <w:color w:val="FFFFFF"/>
        </w:rPr>
        <w:t> </w:t>
      </w:r>
    </w:p>
    <w:p>
      <w:pPr>
        <w:spacing w:after="0" w:line="105" w:lineRule="exact"/>
        <w:rPr>
          <w:sz w:val="20"/>
          <w:szCs w:val="20"/>
          <w:color w:val="auto"/>
        </w:rPr>
      </w:pPr>
    </w:p>
    <w:p>
      <w:pPr>
        <w:ind w:left="1160"/>
        <w:spacing w:after="0"/>
        <w:rPr>
          <w:sz w:val="20"/>
          <w:szCs w:val="20"/>
          <w:color w:val="auto"/>
        </w:rPr>
      </w:pPr>
      <w:r>
        <w:rPr>
          <w:rFonts w:ascii="Arial" w:cs="Arial" w:eastAsia="Arial" w:hAnsi="Arial"/>
          <w:sz w:val="2"/>
          <w:szCs w:val="2"/>
          <w:color w:val="FFFFFF"/>
        </w:rPr>
        <w:t> </w:t>
      </w:r>
    </w:p>
    <w:p>
      <w:pPr>
        <w:spacing w:after="0" w:line="335" w:lineRule="exact"/>
        <w:rPr>
          <w:sz w:val="20"/>
          <w:szCs w:val="20"/>
          <w:color w:val="auto"/>
        </w:rPr>
      </w:pPr>
    </w:p>
    <w:p>
      <w:pPr>
        <w:ind w:left="1160"/>
        <w:spacing w:after="0"/>
        <w:rPr>
          <w:sz w:val="20"/>
          <w:szCs w:val="20"/>
          <w:color w:val="auto"/>
        </w:rPr>
      </w:pPr>
      <w:r>
        <w:rPr>
          <w:rFonts w:ascii="Arial" w:cs="Arial" w:eastAsia="Arial" w:hAnsi="Arial"/>
          <w:sz w:val="2"/>
          <w:szCs w:val="2"/>
          <w:color w:val="FFFFFF"/>
        </w:rPr>
        <w:t> </w:t>
      </w:r>
    </w:p>
    <w:p>
      <w:pPr>
        <w:spacing w:after="0" w:line="347" w:lineRule="exact"/>
        <w:rPr>
          <w:sz w:val="20"/>
          <w:szCs w:val="20"/>
          <w:color w:val="auto"/>
        </w:rPr>
      </w:pPr>
    </w:p>
    <w:p>
      <w:pPr>
        <w:ind w:left="1160"/>
        <w:spacing w:after="0"/>
        <w:rPr>
          <w:sz w:val="20"/>
          <w:szCs w:val="20"/>
          <w:color w:val="auto"/>
        </w:rPr>
      </w:pPr>
      <w:r>
        <w:rPr>
          <w:rFonts w:ascii="Arial" w:cs="Arial" w:eastAsia="Arial" w:hAnsi="Arial"/>
          <w:sz w:val="2"/>
          <w:szCs w:val="2"/>
          <w:color w:val="FFFFFF"/>
        </w:rPr>
        <w:t> </w:t>
      </w:r>
    </w:p>
    <w:p>
      <w:pPr>
        <w:spacing w:after="0" w:line="117" w:lineRule="exact"/>
        <w:rPr>
          <w:sz w:val="20"/>
          <w:szCs w:val="20"/>
          <w:color w:val="auto"/>
        </w:rPr>
      </w:pPr>
    </w:p>
    <w:p>
      <w:pPr>
        <w:ind w:left="1160"/>
        <w:spacing w:after="0"/>
        <w:rPr>
          <w:sz w:val="20"/>
          <w:szCs w:val="20"/>
          <w:color w:val="auto"/>
        </w:rPr>
      </w:pPr>
      <w:r>
        <w:rPr>
          <w:rFonts w:ascii="Arial" w:cs="Arial" w:eastAsia="Arial" w:hAnsi="Arial"/>
          <w:sz w:val="2"/>
          <w:szCs w:val="2"/>
          <w:color w:val="FFFFFF"/>
        </w:rPr>
        <w:t> </w:t>
      </w:r>
    </w:p>
    <w:p>
      <w:pPr>
        <w:spacing w:after="0" w:line="105" w:lineRule="exact"/>
        <w:rPr>
          <w:sz w:val="20"/>
          <w:szCs w:val="20"/>
          <w:color w:val="auto"/>
        </w:rPr>
      </w:pPr>
    </w:p>
    <w:p>
      <w:pPr>
        <w:ind w:left="1160"/>
        <w:spacing w:after="0"/>
        <w:rPr>
          <w:sz w:val="20"/>
          <w:szCs w:val="20"/>
          <w:color w:val="auto"/>
        </w:rPr>
      </w:pPr>
      <w:r>
        <w:rPr>
          <w:rFonts w:ascii="Arial" w:cs="Arial" w:eastAsia="Arial" w:hAnsi="Arial"/>
          <w:sz w:val="2"/>
          <w:szCs w:val="2"/>
          <w:color w:val="FFFFFF"/>
        </w:rPr>
        <w:t> </w:t>
      </w:r>
    </w:p>
    <w:p>
      <w:pPr>
        <w:spacing w:after="0" w:line="105" w:lineRule="exact"/>
        <w:rPr>
          <w:sz w:val="20"/>
          <w:szCs w:val="20"/>
          <w:color w:val="auto"/>
        </w:rPr>
      </w:pPr>
    </w:p>
    <w:p>
      <w:pPr>
        <w:ind w:left="1160"/>
        <w:spacing w:after="0"/>
        <w:rPr>
          <w:sz w:val="20"/>
          <w:szCs w:val="20"/>
          <w:color w:val="auto"/>
        </w:rPr>
      </w:pPr>
      <w:r>
        <w:rPr>
          <w:rFonts w:ascii="Arial" w:cs="Arial" w:eastAsia="Arial" w:hAnsi="Arial"/>
          <w:sz w:val="2"/>
          <w:szCs w:val="2"/>
          <w:color w:val="FFFFFF"/>
        </w:rPr>
        <w:t> </w:t>
      </w:r>
    </w:p>
    <w:p>
      <w:pPr>
        <w:spacing w:after="0" w:line="335" w:lineRule="exact"/>
        <w:rPr>
          <w:sz w:val="20"/>
          <w:szCs w:val="20"/>
          <w:color w:val="auto"/>
        </w:rPr>
      </w:pPr>
    </w:p>
    <w:p>
      <w:pPr>
        <w:ind w:left="1160"/>
        <w:spacing w:after="0"/>
        <w:rPr>
          <w:sz w:val="20"/>
          <w:szCs w:val="20"/>
          <w:color w:val="auto"/>
        </w:rPr>
      </w:pPr>
      <w:r>
        <w:rPr>
          <w:rFonts w:ascii="Arial" w:cs="Arial" w:eastAsia="Arial" w:hAnsi="Arial"/>
          <w:sz w:val="2"/>
          <w:szCs w:val="2"/>
          <w:color w:val="FFFFFF"/>
        </w:rPr>
        <w:t> </w:t>
      </w:r>
    </w:p>
    <w:p>
      <w:pPr>
        <w:spacing w:after="0" w:line="347" w:lineRule="exact"/>
        <w:rPr>
          <w:sz w:val="20"/>
          <w:szCs w:val="20"/>
          <w:color w:val="auto"/>
        </w:rPr>
      </w:pPr>
    </w:p>
    <w:p>
      <w:pPr>
        <w:ind w:left="1160"/>
        <w:spacing w:after="0"/>
        <w:rPr>
          <w:sz w:val="20"/>
          <w:szCs w:val="20"/>
          <w:color w:val="auto"/>
        </w:rPr>
      </w:pPr>
      <w:r>
        <w:rPr>
          <w:rFonts w:ascii="Arial" w:cs="Arial" w:eastAsia="Arial" w:hAnsi="Arial"/>
          <w:sz w:val="2"/>
          <w:szCs w:val="2"/>
          <w:color w:val="FFFFFF"/>
        </w:rPr>
        <w:t> </w:t>
      </w:r>
    </w:p>
    <w:p>
      <w:pPr>
        <w:spacing w:after="0" w:line="117" w:lineRule="exact"/>
        <w:rPr>
          <w:sz w:val="20"/>
          <w:szCs w:val="20"/>
          <w:color w:val="auto"/>
        </w:rPr>
      </w:pPr>
    </w:p>
    <w:p>
      <w:pPr>
        <w:ind w:left="1160"/>
        <w:spacing w:after="0"/>
        <w:rPr>
          <w:sz w:val="20"/>
          <w:szCs w:val="20"/>
          <w:color w:val="auto"/>
        </w:rPr>
      </w:pPr>
      <w:r>
        <w:rPr>
          <w:rFonts w:ascii="Arial" w:cs="Arial" w:eastAsia="Arial" w:hAnsi="Arial"/>
          <w:sz w:val="2"/>
          <w:szCs w:val="2"/>
          <w:color w:val="FFFFFF"/>
        </w:rPr>
        <w:t> </w:t>
      </w:r>
    </w:p>
    <w:p>
      <w:pPr>
        <w:spacing w:after="0" w:line="105" w:lineRule="exact"/>
        <w:rPr>
          <w:sz w:val="20"/>
          <w:szCs w:val="20"/>
          <w:color w:val="auto"/>
        </w:rPr>
      </w:pPr>
    </w:p>
    <w:p>
      <w:pPr>
        <w:ind w:left="1160"/>
        <w:spacing w:after="0"/>
        <w:rPr>
          <w:sz w:val="20"/>
          <w:szCs w:val="20"/>
          <w:color w:val="auto"/>
        </w:rPr>
      </w:pPr>
      <w:r>
        <w:rPr>
          <w:rFonts w:ascii="Arial" w:cs="Arial" w:eastAsia="Arial" w:hAnsi="Arial"/>
          <w:sz w:val="2"/>
          <w:szCs w:val="2"/>
          <w:color w:val="FFFFFF"/>
        </w:rPr>
        <w:t> </w:t>
      </w:r>
    </w:p>
    <w:p>
      <w:pPr>
        <w:spacing w:after="0" w:line="335" w:lineRule="exact"/>
        <w:rPr>
          <w:sz w:val="20"/>
          <w:szCs w:val="20"/>
          <w:color w:val="auto"/>
        </w:rPr>
      </w:pPr>
    </w:p>
    <w:p>
      <w:pPr>
        <w:ind w:left="1160"/>
        <w:spacing w:after="0"/>
        <w:rPr>
          <w:sz w:val="20"/>
          <w:szCs w:val="20"/>
          <w:color w:val="auto"/>
        </w:rPr>
      </w:pPr>
      <w:r>
        <w:rPr>
          <w:rFonts w:ascii="Arial" w:cs="Arial" w:eastAsia="Arial" w:hAnsi="Arial"/>
          <w:sz w:val="2"/>
          <w:szCs w:val="2"/>
          <w:color w:val="FFFFFF"/>
        </w:rPr>
        <w:t> </w:t>
      </w:r>
    </w:p>
    <w:p>
      <w:pPr>
        <w:spacing w:after="0" w:line="117" w:lineRule="exact"/>
        <w:rPr>
          <w:sz w:val="20"/>
          <w:szCs w:val="20"/>
          <w:color w:val="auto"/>
        </w:rPr>
      </w:pPr>
    </w:p>
    <w:p>
      <w:pPr>
        <w:ind w:left="1160"/>
        <w:spacing w:after="0"/>
        <w:rPr>
          <w:sz w:val="20"/>
          <w:szCs w:val="20"/>
          <w:color w:val="auto"/>
        </w:rPr>
      </w:pPr>
      <w:r>
        <w:rPr>
          <w:rFonts w:ascii="Arial" w:cs="Arial" w:eastAsia="Arial" w:hAnsi="Arial"/>
          <w:sz w:val="2"/>
          <w:szCs w:val="2"/>
          <w:color w:val="FFFFFF"/>
        </w:rPr>
        <w:t> </w:t>
      </w:r>
    </w:p>
    <w:p>
      <w:pPr>
        <w:spacing w:after="0" w:line="105" w:lineRule="exact"/>
        <w:rPr>
          <w:sz w:val="20"/>
          <w:szCs w:val="20"/>
          <w:color w:val="auto"/>
        </w:rPr>
      </w:pPr>
    </w:p>
    <w:p>
      <w:pPr>
        <w:ind w:left="1160"/>
        <w:spacing w:after="0"/>
        <w:rPr>
          <w:sz w:val="20"/>
          <w:szCs w:val="20"/>
          <w:color w:val="auto"/>
        </w:rPr>
      </w:pPr>
      <w:r>
        <w:rPr>
          <w:rFonts w:ascii="Arial" w:cs="Arial" w:eastAsia="Arial" w:hAnsi="Arial"/>
          <w:sz w:val="2"/>
          <w:szCs w:val="2"/>
          <w:color w:val="FFFFFF"/>
        </w:rPr>
        <w:t> </w:t>
      </w:r>
    </w:p>
    <w:p>
      <w:pPr>
        <w:spacing w:after="0" w:line="335" w:lineRule="exact"/>
        <w:rPr>
          <w:sz w:val="20"/>
          <w:szCs w:val="20"/>
          <w:color w:val="auto"/>
        </w:rPr>
      </w:pPr>
    </w:p>
    <w:p>
      <w:pPr>
        <w:ind w:left="1160"/>
        <w:spacing w:after="0"/>
        <w:rPr>
          <w:sz w:val="20"/>
          <w:szCs w:val="20"/>
          <w:color w:val="auto"/>
        </w:rPr>
      </w:pPr>
      <w:r>
        <w:rPr>
          <w:rFonts w:ascii="Arial" w:cs="Arial" w:eastAsia="Arial" w:hAnsi="Arial"/>
          <w:sz w:val="2"/>
          <w:szCs w:val="2"/>
          <w:color w:val="FFFFFF"/>
        </w:rPr>
        <w:t> </w:t>
      </w:r>
    </w:p>
    <w:p>
      <w:pPr>
        <w:spacing w:after="0" w:line="117" w:lineRule="exact"/>
        <w:rPr>
          <w:sz w:val="20"/>
          <w:szCs w:val="20"/>
          <w:color w:val="auto"/>
        </w:rPr>
      </w:pPr>
    </w:p>
    <w:p>
      <w:pPr>
        <w:ind w:left="1160"/>
        <w:spacing w:after="0"/>
        <w:rPr>
          <w:sz w:val="20"/>
          <w:szCs w:val="20"/>
          <w:color w:val="auto"/>
        </w:rPr>
      </w:pPr>
      <w:r>
        <w:rPr>
          <w:rFonts w:ascii="Arial" w:cs="Arial" w:eastAsia="Arial" w:hAnsi="Arial"/>
          <w:sz w:val="2"/>
          <w:szCs w:val="2"/>
          <w:color w:val="FFFFFF"/>
        </w:rPr>
        <w:t> </w:t>
      </w:r>
    </w:p>
    <w:p>
      <w:pPr>
        <w:spacing w:after="0" w:line="335" w:lineRule="exact"/>
        <w:rPr>
          <w:sz w:val="20"/>
          <w:szCs w:val="20"/>
          <w:color w:val="auto"/>
        </w:rPr>
      </w:pPr>
    </w:p>
    <w:p>
      <w:pPr>
        <w:ind w:left="1160"/>
        <w:spacing w:after="0"/>
        <w:rPr>
          <w:sz w:val="20"/>
          <w:szCs w:val="20"/>
          <w:color w:val="auto"/>
        </w:rPr>
      </w:pPr>
      <w:r>
        <w:rPr>
          <w:rFonts w:ascii="Arial" w:cs="Arial" w:eastAsia="Arial" w:hAnsi="Arial"/>
          <w:sz w:val="2"/>
          <w:szCs w:val="2"/>
          <w:color w:val="FFFFFF"/>
        </w:rPr>
        <w: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u w:val="single" w:color="auto"/>
          <w:color w:val="0000EE"/>
        </w:rPr>
        <w:t>General Information</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u w:val="single" w:color="auto"/>
          <w:color w:val="0000EE"/>
        </w:rPr>
        <w:t>General Information About</w:t>
      </w:r>
    </w:p>
    <w:p>
      <w:pPr>
        <w:spacing w:after="0" w:line="8" w:lineRule="exact"/>
        <w:rPr>
          <w:sz w:val="20"/>
          <w:szCs w:val="20"/>
          <w:color w:val="auto"/>
        </w:rPr>
      </w:pPr>
    </w:p>
    <w:p>
      <w:pPr>
        <w:spacing w:after="0"/>
        <w:rPr>
          <w:sz w:val="20"/>
          <w:szCs w:val="20"/>
          <w:color w:val="auto"/>
        </w:rPr>
      </w:pPr>
      <w:r>
        <w:rPr>
          <w:rFonts w:ascii="Arial" w:cs="Arial" w:eastAsia="Arial" w:hAnsi="Arial"/>
          <w:sz w:val="17"/>
          <w:szCs w:val="17"/>
          <w:u w:val="single" w:color="auto"/>
          <w:color w:val="0000EE"/>
        </w:rPr>
        <w:t>Corporate Governance and</w:t>
      </w:r>
    </w:p>
    <w:p>
      <w:pPr>
        <w:spacing w:after="0"/>
        <w:rPr>
          <w:sz w:val="20"/>
          <w:szCs w:val="20"/>
          <w:color w:val="auto"/>
        </w:rPr>
      </w:pPr>
      <w:r>
        <w:rPr>
          <w:rFonts w:ascii="Arial" w:cs="Arial" w:eastAsia="Arial" w:hAnsi="Arial"/>
          <w:sz w:val="17"/>
          <w:szCs w:val="17"/>
          <w:u w:val="single" w:color="auto"/>
          <w:color w:val="0000EE"/>
        </w:rPr>
        <w:t>the Board of Directors</w:t>
      </w:r>
    </w:p>
    <w:p>
      <w:pPr>
        <w:spacing w:after="0" w:line="388"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0000EE"/>
        </w:rPr>
        <w:t>PROPOSAL 1: Election of Directors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u w:val="single" w:color="auto"/>
          <w:color w:val="0000EE"/>
        </w:rPr>
        <w:t>Information Regarding Board and</w:t>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u w:val="single" w:color="auto"/>
          <w:color w:val="0000EE"/>
        </w:rPr>
        <w:t>Committee Structure</w:t>
      </w:r>
    </w:p>
    <w:p>
      <w:pPr>
        <w:spacing w:after="0" w:line="388" w:lineRule="exact"/>
        <w:rPr>
          <w:sz w:val="20"/>
          <w:szCs w:val="20"/>
          <w:color w:val="auto"/>
        </w:rPr>
      </w:pPr>
    </w:p>
    <w:p>
      <w:pPr>
        <w:spacing w:after="0"/>
        <w:rPr>
          <w:sz w:val="20"/>
          <w:szCs w:val="20"/>
          <w:color w:val="auto"/>
        </w:rPr>
      </w:pPr>
      <w:r>
        <w:rPr>
          <w:rFonts w:ascii="Arial" w:cs="Arial" w:eastAsia="Arial" w:hAnsi="Arial"/>
          <w:sz w:val="17"/>
          <w:szCs w:val="17"/>
          <w:u w:val="single" w:color="auto"/>
          <w:color w:val="0000EE"/>
        </w:rPr>
        <w:t>Board of Directors Compensation</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u w:val="single" w:color="auto"/>
          <w:color w:val="0000EE"/>
        </w:rPr>
        <w:t>Compensation Discussion and Analysis</w:t>
      </w:r>
    </w:p>
    <w:p>
      <w:pPr>
        <w:spacing w:after="0" w:line="200" w:lineRule="exact"/>
        <w:rPr>
          <w:sz w:val="20"/>
          <w:szCs w:val="20"/>
          <w:color w:val="auto"/>
        </w:rPr>
      </w:pPr>
    </w:p>
    <w:p>
      <w:pPr>
        <w:spacing w:after="0" w:line="204" w:lineRule="exact"/>
        <w:rPr>
          <w:sz w:val="20"/>
          <w:szCs w:val="20"/>
          <w:color w:val="auto"/>
        </w:rPr>
      </w:pPr>
    </w:p>
    <w:p>
      <w:pPr>
        <w:ind w:right="300"/>
        <w:spacing w:after="0" w:line="252" w:lineRule="auto"/>
        <w:rPr>
          <w:sz w:val="20"/>
          <w:szCs w:val="20"/>
          <w:color w:val="auto"/>
        </w:rPr>
      </w:pPr>
      <w:r>
        <w:rPr>
          <w:rFonts w:ascii="Arial" w:cs="Arial" w:eastAsia="Arial" w:hAnsi="Arial"/>
          <w:sz w:val="17"/>
          <w:szCs w:val="17"/>
          <w:u w:val="single" w:color="auto"/>
          <w:color w:val="0000EE"/>
        </w:rPr>
        <w:t>Report of the Compensation and Human Resources Committee of the Board of Directors</w:t>
      </w:r>
    </w:p>
    <w:p>
      <w:pPr>
        <w:spacing w:after="0" w:line="367" w:lineRule="exact"/>
        <w:rPr>
          <w:sz w:val="20"/>
          <w:szCs w:val="20"/>
          <w:color w:val="auto"/>
        </w:rPr>
      </w:pPr>
    </w:p>
    <w:p>
      <w:pPr>
        <w:spacing w:after="0"/>
        <w:rPr>
          <w:sz w:val="20"/>
          <w:szCs w:val="20"/>
          <w:color w:val="auto"/>
        </w:rPr>
      </w:pPr>
      <w:r>
        <w:rPr>
          <w:rFonts w:ascii="Arial" w:cs="Arial" w:eastAsia="Arial" w:hAnsi="Arial"/>
          <w:sz w:val="17"/>
          <w:szCs w:val="17"/>
          <w:u w:val="single" w:color="auto"/>
          <w:color w:val="0000EE"/>
        </w:rPr>
        <w:t>Compensation of Named</w:t>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u w:val="single" w:color="auto"/>
          <w:color w:val="0000EE"/>
        </w:rPr>
        <w:t>Executive Officers</w:t>
      </w:r>
    </w:p>
    <w:p>
      <w:pPr>
        <w:spacing w:after="0" w:line="388" w:lineRule="exact"/>
        <w:rPr>
          <w:sz w:val="20"/>
          <w:szCs w:val="20"/>
          <w:color w:val="auto"/>
        </w:rPr>
      </w:pPr>
    </w:p>
    <w:p>
      <w:pPr>
        <w:spacing w:after="0"/>
        <w:rPr>
          <w:sz w:val="20"/>
          <w:szCs w:val="20"/>
          <w:color w:val="auto"/>
        </w:rPr>
      </w:pPr>
      <w:r>
        <w:rPr>
          <w:rFonts w:ascii="Arial" w:cs="Arial" w:eastAsia="Arial" w:hAnsi="Arial"/>
          <w:sz w:val="17"/>
          <w:szCs w:val="17"/>
          <w:u w:val="single" w:color="auto"/>
          <w:color w:val="0000EE"/>
        </w:rPr>
        <w:t>Pay Versus Performance Disclosure</w:t>
      </w:r>
    </w:p>
    <w:p>
      <w:pPr>
        <w:spacing w:after="0" w:line="200" w:lineRule="exact"/>
        <w:rPr>
          <w:sz w:val="20"/>
          <w:szCs w:val="20"/>
          <w:color w:val="auto"/>
        </w:rPr>
      </w:pPr>
    </w:p>
    <w:p>
      <w:pPr>
        <w:spacing w:after="0" w:line="204" w:lineRule="exact"/>
        <w:rPr>
          <w:sz w:val="20"/>
          <w:szCs w:val="20"/>
          <w:color w:val="auto"/>
        </w:rPr>
      </w:pPr>
    </w:p>
    <w:p>
      <w:pPr>
        <w:ind w:right="300"/>
        <w:spacing w:after="0" w:line="270" w:lineRule="auto"/>
        <w:rPr>
          <w:sz w:val="20"/>
          <w:szCs w:val="20"/>
          <w:color w:val="auto"/>
        </w:rPr>
      </w:pPr>
      <w:r>
        <w:rPr>
          <w:rFonts w:ascii="Arial" w:cs="Arial" w:eastAsia="Arial" w:hAnsi="Arial"/>
          <w:sz w:val="17"/>
          <w:szCs w:val="17"/>
          <w:u w:val="single" w:color="auto"/>
          <w:color w:val="0000EE"/>
        </w:rPr>
        <w:t>Security Ownership of Certain Beneficial Owners and Management</w:t>
      </w:r>
    </w:p>
    <w:p>
      <w:pPr>
        <w:spacing w:after="0" w:line="351" w:lineRule="exact"/>
        <w:rPr>
          <w:sz w:val="20"/>
          <w:szCs w:val="20"/>
          <w:color w:val="auto"/>
        </w:rPr>
      </w:pPr>
    </w:p>
    <w:p>
      <w:pPr>
        <w:ind w:right="320"/>
        <w:spacing w:after="0" w:line="270" w:lineRule="auto"/>
        <w:rPr>
          <w:sz w:val="20"/>
          <w:szCs w:val="20"/>
          <w:color w:val="auto"/>
        </w:rPr>
      </w:pPr>
      <w:r>
        <w:rPr>
          <w:rFonts w:ascii="Arial" w:cs="Arial" w:eastAsia="Arial" w:hAnsi="Arial"/>
          <w:sz w:val="17"/>
          <w:szCs w:val="17"/>
          <w:u w:val="single" w:color="auto"/>
          <w:color w:val="0000EE"/>
        </w:rPr>
        <w:t>Certain Relationships and Related Party Transactions</w:t>
      </w:r>
    </w:p>
    <w:p>
      <w:pPr>
        <w:spacing w:after="0" w:line="351" w:lineRule="exact"/>
        <w:rPr>
          <w:sz w:val="20"/>
          <w:szCs w:val="20"/>
          <w:color w:val="auto"/>
        </w:rPr>
      </w:pPr>
    </w:p>
    <w:p>
      <w:pPr>
        <w:spacing w:after="0" w:line="246" w:lineRule="auto"/>
        <w:rPr>
          <w:sz w:val="20"/>
          <w:szCs w:val="20"/>
          <w:color w:val="auto"/>
        </w:rPr>
      </w:pPr>
      <w:r>
        <w:rPr>
          <w:rFonts w:ascii="Arial" w:cs="Arial" w:eastAsia="Arial" w:hAnsi="Arial"/>
          <w:sz w:val="17"/>
          <w:szCs w:val="17"/>
          <w:b w:val="1"/>
          <w:bCs w:val="1"/>
          <w:u w:val="single" w:color="auto"/>
          <w:color w:val="0000EE"/>
        </w:rPr>
        <w:t>PROPOSAL 2: Ratification of the Appointment of Deloitte &amp; Touche LLP by the Audit and Risk Committee of the Board of Directors as Our Independent Registered Public Accounting Firm</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104" w:type="dxa"/>
        <w:tblCellMar>
          <w:top w:w="0" w:type="dxa"/>
          <w:left w:w="0" w:type="dxa"/>
          <w:bottom w:w="0" w:type="dxa"/>
          <w:right w:w="0" w:type="dxa"/>
        </w:tblCellMar>
      </w:tblPr>
      <w:tr>
        <w:trPr>
          <w:trHeight w:val="195"/>
        </w:trPr>
        <w:tc>
          <w:tcPr>
            <w:tcW w:w="380" w:type="dxa"/>
            <w:vAlign w:val="bottom"/>
          </w:tcPr>
          <w:p>
            <w:pPr>
              <w:jc w:val="right"/>
              <w:ind w:right="226"/>
              <w:spacing w:after="0"/>
              <w:rPr>
                <w:sz w:val="20"/>
                <w:szCs w:val="20"/>
                <w:color w:val="auto"/>
              </w:rPr>
            </w:pPr>
            <w:r>
              <w:rPr>
                <w:rFonts w:ascii="Arial" w:cs="Arial" w:eastAsia="Arial" w:hAnsi="Arial"/>
                <w:sz w:val="15"/>
                <w:szCs w:val="15"/>
                <w:color w:val="auto"/>
                <w:w w:val="71"/>
              </w:rPr>
              <w:t>1</w:t>
            </w:r>
          </w:p>
        </w:tc>
        <w:tc>
          <w:tcPr>
            <w:tcW w:w="3440" w:type="dxa"/>
            <w:vAlign w:val="bottom"/>
            <w:gridSpan w:val="8"/>
          </w:tcPr>
          <w:p>
            <w:pPr>
              <w:spacing w:after="0"/>
              <w:rPr>
                <w:sz w:val="20"/>
                <w:szCs w:val="20"/>
                <w:color w:val="auto"/>
              </w:rPr>
            </w:pPr>
            <w:r>
              <w:rPr>
                <w:rFonts w:ascii="Arial" w:cs="Arial" w:eastAsia="Arial" w:hAnsi="Arial"/>
                <w:sz w:val="17"/>
                <w:szCs w:val="17"/>
                <w:color w:val="0000EE"/>
              </w:rPr>
              <w:t>Report of the Audit and Risk Committee of</w:t>
            </w:r>
          </w:p>
        </w:tc>
        <w:tc>
          <w:tcPr>
            <w:tcW w:w="420" w:type="dxa"/>
            <w:vAlign w:val="bottom"/>
          </w:tcPr>
          <w:p>
            <w:pPr>
              <w:jc w:val="right"/>
              <w:spacing w:after="0"/>
              <w:rPr>
                <w:sz w:val="20"/>
                <w:szCs w:val="20"/>
                <w:color w:val="auto"/>
              </w:rPr>
            </w:pPr>
            <w:r>
              <w:rPr>
                <w:rFonts w:ascii="Arial" w:cs="Arial" w:eastAsia="Arial" w:hAnsi="Arial"/>
                <w:sz w:val="17"/>
                <w:szCs w:val="17"/>
                <w:color w:val="auto"/>
              </w:rPr>
              <w:t>84</w:t>
            </w:r>
          </w:p>
        </w:tc>
        <w:tc>
          <w:tcPr>
            <w:tcW w:w="0" w:type="dxa"/>
            <w:vAlign w:val="bottom"/>
          </w:tcPr>
          <w:p>
            <w:pPr>
              <w:spacing w:after="0"/>
              <w:rPr>
                <w:sz w:val="1"/>
                <w:szCs w:val="1"/>
                <w:color w:val="auto"/>
              </w:rPr>
            </w:pPr>
          </w:p>
        </w:tc>
      </w:tr>
      <w:tr>
        <w:trPr>
          <w:trHeight w:val="171"/>
        </w:trPr>
        <w:tc>
          <w:tcPr>
            <w:tcW w:w="380" w:type="dxa"/>
            <w:vAlign w:val="bottom"/>
          </w:tcPr>
          <w:p>
            <w:pPr>
              <w:spacing w:after="0"/>
              <w:rPr>
                <w:sz w:val="14"/>
                <w:szCs w:val="14"/>
                <w:color w:val="auto"/>
              </w:rPr>
            </w:pPr>
          </w:p>
        </w:tc>
        <w:tc>
          <w:tcPr>
            <w:tcW w:w="1660" w:type="dxa"/>
            <w:vAlign w:val="bottom"/>
            <w:tcBorders>
              <w:top w:val="single" w:sz="8" w:color="0000EE"/>
              <w:bottom w:val="single" w:sz="8" w:color="0000EE"/>
            </w:tcBorders>
          </w:tcPr>
          <w:p>
            <w:pPr>
              <w:spacing w:after="0" w:line="172" w:lineRule="exact"/>
              <w:rPr>
                <w:sz w:val="20"/>
                <w:szCs w:val="20"/>
                <w:color w:val="auto"/>
              </w:rPr>
            </w:pPr>
            <w:r>
              <w:rPr>
                <w:rFonts w:ascii="Arial" w:cs="Arial" w:eastAsia="Arial" w:hAnsi="Arial"/>
                <w:sz w:val="17"/>
                <w:szCs w:val="17"/>
                <w:color w:val="0000EE"/>
                <w:w w:val="99"/>
              </w:rPr>
              <w:t>the Board of Directors</w:t>
            </w:r>
          </w:p>
        </w:tc>
        <w:tc>
          <w:tcPr>
            <w:tcW w:w="1520" w:type="dxa"/>
            <w:vAlign w:val="bottom"/>
            <w:tcBorders>
              <w:top w:val="single" w:sz="8" w:color="0000EE"/>
            </w:tcBorders>
            <w:gridSpan w:val="5"/>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0"/>
        </w:trPr>
        <w:tc>
          <w:tcPr>
            <w:tcW w:w="380" w:type="dxa"/>
            <w:vAlign w:val="bottom"/>
          </w:tcPr>
          <w:p>
            <w:pPr>
              <w:jc w:val="right"/>
              <w:ind w:right="226"/>
              <w:spacing w:after="0"/>
              <w:rPr>
                <w:sz w:val="20"/>
                <w:szCs w:val="20"/>
                <w:color w:val="auto"/>
              </w:rPr>
            </w:pPr>
            <w:r>
              <w:rPr>
                <w:rFonts w:ascii="Arial" w:cs="Arial" w:eastAsia="Arial" w:hAnsi="Arial"/>
                <w:sz w:val="15"/>
                <w:szCs w:val="15"/>
                <w:color w:val="auto"/>
                <w:w w:val="71"/>
              </w:rPr>
              <w:t>6</w:t>
            </w:r>
          </w:p>
        </w:tc>
        <w:tc>
          <w:tcPr>
            <w:tcW w:w="3440" w:type="dxa"/>
            <w:vAlign w:val="bottom"/>
            <w:gridSpan w:val="8"/>
            <w:vMerge w:val="restart"/>
          </w:tcPr>
          <w:p>
            <w:pPr>
              <w:spacing w:after="0"/>
              <w:rPr>
                <w:sz w:val="20"/>
                <w:szCs w:val="20"/>
                <w:color w:val="auto"/>
              </w:rPr>
            </w:pPr>
            <w:r>
              <w:rPr>
                <w:rFonts w:ascii="Arial" w:cs="Arial" w:eastAsia="Arial" w:hAnsi="Arial"/>
                <w:sz w:val="17"/>
                <w:szCs w:val="17"/>
                <w:b w:val="1"/>
                <w:bCs w:val="1"/>
                <w:color w:val="0000EE"/>
              </w:rPr>
              <w:t>PROPOSAL 3: Approval, in an Advisory</w:t>
            </w:r>
          </w:p>
        </w:tc>
        <w:tc>
          <w:tcPr>
            <w:tcW w:w="42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85</w:t>
            </w:r>
          </w:p>
        </w:tc>
        <w:tc>
          <w:tcPr>
            <w:tcW w:w="0" w:type="dxa"/>
            <w:vAlign w:val="bottom"/>
          </w:tcPr>
          <w:p>
            <w:pPr>
              <w:spacing w:after="0"/>
              <w:rPr>
                <w:sz w:val="1"/>
                <w:szCs w:val="1"/>
                <w:color w:val="auto"/>
              </w:rPr>
            </w:pPr>
          </w:p>
        </w:tc>
      </w:tr>
      <w:tr>
        <w:trPr>
          <w:trHeight w:val="150"/>
        </w:trPr>
        <w:tc>
          <w:tcPr>
            <w:tcW w:w="380" w:type="dxa"/>
            <w:vAlign w:val="bottom"/>
          </w:tcPr>
          <w:p>
            <w:pPr>
              <w:spacing w:after="0"/>
              <w:rPr>
                <w:sz w:val="13"/>
                <w:szCs w:val="13"/>
                <w:color w:val="auto"/>
              </w:rPr>
            </w:pPr>
          </w:p>
        </w:tc>
        <w:tc>
          <w:tcPr>
            <w:tcW w:w="3440" w:type="dxa"/>
            <w:vAlign w:val="bottom"/>
            <w:gridSpan w:val="8"/>
            <w:vMerge w:val="continue"/>
          </w:tcPr>
          <w:p>
            <w:pPr>
              <w:spacing w:after="0"/>
              <w:rPr>
                <w:sz w:val="13"/>
                <w:szCs w:val="13"/>
                <w:color w:val="auto"/>
              </w:rPr>
            </w:pPr>
          </w:p>
        </w:tc>
        <w:tc>
          <w:tcPr>
            <w:tcW w:w="4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380" w:type="dxa"/>
            <w:vAlign w:val="bottom"/>
          </w:tcPr>
          <w:p>
            <w:pPr>
              <w:spacing w:after="0"/>
              <w:rPr>
                <w:sz w:val="14"/>
                <w:szCs w:val="14"/>
                <w:color w:val="auto"/>
              </w:rPr>
            </w:pPr>
          </w:p>
        </w:tc>
        <w:tc>
          <w:tcPr>
            <w:tcW w:w="3200" w:type="dxa"/>
            <w:vAlign w:val="bottom"/>
            <w:tcBorders>
              <w:top w:val="single" w:sz="8" w:color="0000EE"/>
            </w:tcBorders>
            <w:gridSpan w:val="7"/>
          </w:tcPr>
          <w:p>
            <w:pPr>
              <w:spacing w:after="0" w:line="172" w:lineRule="exact"/>
              <w:rPr>
                <w:sz w:val="20"/>
                <w:szCs w:val="20"/>
                <w:color w:val="auto"/>
              </w:rPr>
            </w:pPr>
            <w:r>
              <w:rPr>
                <w:rFonts w:ascii="Arial" w:cs="Arial" w:eastAsia="Arial" w:hAnsi="Arial"/>
                <w:sz w:val="17"/>
                <w:szCs w:val="17"/>
                <w:b w:val="1"/>
                <w:bCs w:val="1"/>
                <w:color w:val="0000EE"/>
              </w:rPr>
              <w:t>Vote, of the Compensation Paid to Our</w:t>
            </w: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80" w:type="dxa"/>
            <w:vAlign w:val="bottom"/>
          </w:tcPr>
          <w:p>
            <w:pPr>
              <w:spacing w:after="0"/>
              <w:rPr>
                <w:sz w:val="14"/>
                <w:szCs w:val="14"/>
                <w:color w:val="auto"/>
              </w:rPr>
            </w:pPr>
          </w:p>
        </w:tc>
        <w:tc>
          <w:tcPr>
            <w:tcW w:w="2100" w:type="dxa"/>
            <w:vAlign w:val="bottom"/>
            <w:tcBorders>
              <w:top w:val="single" w:sz="8" w:color="0000EE"/>
              <w:bottom w:val="single" w:sz="8" w:color="0000EE"/>
            </w:tcBorders>
            <w:gridSpan w:val="2"/>
          </w:tcPr>
          <w:p>
            <w:pPr>
              <w:spacing w:after="0" w:line="172" w:lineRule="exact"/>
              <w:rPr>
                <w:sz w:val="20"/>
                <w:szCs w:val="20"/>
                <w:color w:val="auto"/>
              </w:rPr>
            </w:pPr>
            <w:r>
              <w:rPr>
                <w:rFonts w:ascii="Arial" w:cs="Arial" w:eastAsia="Arial" w:hAnsi="Arial"/>
                <w:sz w:val="17"/>
                <w:szCs w:val="17"/>
                <w:b w:val="1"/>
                <w:bCs w:val="1"/>
                <w:color w:val="0000EE"/>
                <w:w w:val="99"/>
              </w:rPr>
              <w:t>Named Executive Officers</w:t>
            </w:r>
          </w:p>
        </w:tc>
        <w:tc>
          <w:tcPr>
            <w:tcW w:w="1000" w:type="dxa"/>
            <w:vAlign w:val="bottom"/>
            <w:tcBorders>
              <w:top w:val="single" w:sz="8" w:color="0000EE"/>
            </w:tcBorders>
            <w:gridSpan w:val="3"/>
          </w:tcPr>
          <w:p>
            <w:pPr>
              <w:spacing w:after="0"/>
              <w:rPr>
                <w:sz w:val="14"/>
                <w:szCs w:val="14"/>
                <w:color w:val="auto"/>
              </w:rPr>
            </w:pPr>
          </w:p>
        </w:tc>
        <w:tc>
          <w:tcPr>
            <w:tcW w:w="340" w:type="dxa"/>
            <w:vAlign w:val="bottom"/>
            <w:gridSpan w:val="3"/>
          </w:tcPr>
          <w:p>
            <w:pPr>
              <w:spacing w:after="0"/>
              <w:rPr>
                <w:sz w:val="14"/>
                <w:szCs w:val="14"/>
                <w:color w:val="auto"/>
              </w:rPr>
            </w:pP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8"/>
        </w:trPr>
        <w:tc>
          <w:tcPr>
            <w:tcW w:w="380" w:type="dxa"/>
            <w:vAlign w:val="bottom"/>
          </w:tcPr>
          <w:p>
            <w:pPr>
              <w:jc w:val="right"/>
              <w:ind w:right="226"/>
              <w:spacing w:after="0"/>
              <w:rPr>
                <w:sz w:val="20"/>
                <w:szCs w:val="20"/>
                <w:color w:val="auto"/>
              </w:rPr>
            </w:pPr>
            <w:r>
              <w:rPr>
                <w:rFonts w:ascii="Arial" w:cs="Arial" w:eastAsia="Arial" w:hAnsi="Arial"/>
                <w:sz w:val="15"/>
                <w:szCs w:val="15"/>
                <w:b w:val="1"/>
                <w:bCs w:val="1"/>
                <w:color w:val="auto"/>
                <w:w w:val="71"/>
              </w:rPr>
              <w:t>8</w:t>
            </w:r>
          </w:p>
        </w:tc>
        <w:tc>
          <w:tcPr>
            <w:tcW w:w="3440" w:type="dxa"/>
            <w:vAlign w:val="bottom"/>
            <w:gridSpan w:val="8"/>
            <w:vMerge w:val="restart"/>
          </w:tcPr>
          <w:p>
            <w:pPr>
              <w:spacing w:after="0"/>
              <w:rPr>
                <w:sz w:val="20"/>
                <w:szCs w:val="20"/>
                <w:color w:val="auto"/>
              </w:rPr>
            </w:pPr>
            <w:r>
              <w:rPr>
                <w:rFonts w:ascii="Arial" w:cs="Arial" w:eastAsia="Arial" w:hAnsi="Arial"/>
                <w:sz w:val="17"/>
                <w:szCs w:val="17"/>
                <w:b w:val="1"/>
                <w:bCs w:val="1"/>
                <w:color w:val="0000EE"/>
              </w:rPr>
              <w:t>PROPOSAL 4: Adoption of an</w:t>
            </w:r>
          </w:p>
        </w:tc>
        <w:tc>
          <w:tcPr>
            <w:tcW w:w="42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87</w:t>
            </w:r>
          </w:p>
        </w:tc>
        <w:tc>
          <w:tcPr>
            <w:tcW w:w="0" w:type="dxa"/>
            <w:vAlign w:val="bottom"/>
          </w:tcPr>
          <w:p>
            <w:pPr>
              <w:spacing w:after="0"/>
              <w:rPr>
                <w:sz w:val="1"/>
                <w:szCs w:val="1"/>
                <w:color w:val="auto"/>
              </w:rPr>
            </w:pPr>
          </w:p>
        </w:tc>
      </w:tr>
      <w:tr>
        <w:trPr>
          <w:trHeight w:val="142"/>
        </w:trPr>
        <w:tc>
          <w:tcPr>
            <w:tcW w:w="380" w:type="dxa"/>
            <w:vAlign w:val="bottom"/>
          </w:tcPr>
          <w:p>
            <w:pPr>
              <w:spacing w:after="0"/>
              <w:rPr>
                <w:sz w:val="12"/>
                <w:szCs w:val="12"/>
                <w:color w:val="auto"/>
              </w:rPr>
            </w:pPr>
          </w:p>
        </w:tc>
        <w:tc>
          <w:tcPr>
            <w:tcW w:w="3440" w:type="dxa"/>
            <w:vAlign w:val="bottom"/>
            <w:gridSpan w:val="8"/>
            <w:vMerge w:val="continue"/>
          </w:tcPr>
          <w:p>
            <w:pPr>
              <w:spacing w:after="0"/>
              <w:rPr>
                <w:sz w:val="12"/>
                <w:szCs w:val="12"/>
                <w:color w:val="auto"/>
              </w:rPr>
            </w:pPr>
          </w:p>
        </w:tc>
        <w:tc>
          <w:tcPr>
            <w:tcW w:w="4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80" w:type="dxa"/>
            <w:vAlign w:val="bottom"/>
          </w:tcPr>
          <w:p>
            <w:pPr>
              <w:spacing w:after="0"/>
              <w:rPr>
                <w:sz w:val="14"/>
                <w:szCs w:val="14"/>
                <w:color w:val="auto"/>
              </w:rPr>
            </w:pPr>
          </w:p>
        </w:tc>
        <w:tc>
          <w:tcPr>
            <w:tcW w:w="2400" w:type="dxa"/>
            <w:vAlign w:val="bottom"/>
            <w:tcBorders>
              <w:top w:val="single" w:sz="8" w:color="0000EE"/>
              <w:bottom w:val="single" w:sz="8" w:color="0000EE"/>
            </w:tcBorders>
            <w:gridSpan w:val="3"/>
          </w:tcPr>
          <w:p>
            <w:pPr>
              <w:spacing w:after="0" w:line="172" w:lineRule="exact"/>
              <w:rPr>
                <w:sz w:val="20"/>
                <w:szCs w:val="20"/>
                <w:color w:val="auto"/>
              </w:rPr>
            </w:pPr>
            <w:r>
              <w:rPr>
                <w:rFonts w:ascii="Arial" w:cs="Arial" w:eastAsia="Arial" w:hAnsi="Arial"/>
                <w:sz w:val="17"/>
                <w:szCs w:val="17"/>
                <w:b w:val="1"/>
                <w:bCs w:val="1"/>
                <w:color w:val="0000EE"/>
                <w:w w:val="99"/>
              </w:rPr>
              <w:t>Amendment and Restatement</w:t>
            </w:r>
          </w:p>
        </w:tc>
        <w:tc>
          <w:tcPr>
            <w:tcW w:w="560" w:type="dxa"/>
            <w:vAlign w:val="bottom"/>
            <w:tcBorders>
              <w:bottom w:val="single" w:sz="8" w:color="0000EE"/>
            </w:tcBorders>
          </w:tcPr>
          <w:p>
            <w:pPr>
              <w:ind w:left="40"/>
              <w:spacing w:after="0" w:line="172" w:lineRule="exact"/>
              <w:rPr>
                <w:sz w:val="20"/>
                <w:szCs w:val="20"/>
                <w:color w:val="auto"/>
              </w:rPr>
            </w:pPr>
            <w:r>
              <w:rPr>
                <w:rFonts w:ascii="Arial" w:cs="Arial" w:eastAsia="Arial" w:hAnsi="Arial"/>
                <w:sz w:val="17"/>
                <w:szCs w:val="17"/>
                <w:b w:val="1"/>
                <w:bCs w:val="1"/>
                <w:color w:val="0000EE"/>
                <w:w w:val="97"/>
              </w:rPr>
              <w:t>of Our</w:t>
            </w:r>
          </w:p>
        </w:tc>
        <w:tc>
          <w:tcPr>
            <w:tcW w:w="480" w:type="dxa"/>
            <w:vAlign w:val="bottom"/>
            <w:gridSpan w:val="4"/>
          </w:tcPr>
          <w:p>
            <w:pPr>
              <w:spacing w:after="0"/>
              <w:rPr>
                <w:sz w:val="14"/>
                <w:szCs w:val="14"/>
                <w:color w:val="auto"/>
              </w:rPr>
            </w:pP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ind w:left="484" w:right="540" w:hanging="484"/>
        <w:spacing w:after="0" w:line="248" w:lineRule="auto"/>
        <w:tabs>
          <w:tab w:leader="none" w:pos="484" w:val="left"/>
        </w:tabs>
        <w:numPr>
          <w:ilvl w:val="0"/>
          <w:numId w:val="12"/>
        </w:numPr>
        <w:rPr>
          <w:rFonts w:ascii="Arial" w:cs="Arial" w:eastAsia="Arial" w:hAnsi="Arial"/>
          <w:sz w:val="17"/>
          <w:szCs w:val="17"/>
          <w:color w:val="auto"/>
        </w:rPr>
      </w:pPr>
      <w:r>
        <w:rPr>
          <w:rFonts w:ascii="Arial" w:cs="Arial" w:eastAsia="Arial" w:hAnsi="Arial"/>
          <w:sz w:val="17"/>
          <w:szCs w:val="17"/>
          <w:b w:val="1"/>
          <w:bCs w:val="1"/>
          <w:u w:val="single" w:color="auto"/>
          <w:color w:val="0000EE"/>
        </w:rPr>
        <w:t>Charter to Eliminate Supermajority Voting Requirements, Eliminate Obsolete Provisions and Make Certain Non-Substantive Changes</w:t>
      </w:r>
    </w:p>
    <w:p>
      <w:pPr>
        <w:spacing w:after="0" w:line="5" w:lineRule="exact"/>
        <w:rPr>
          <w:sz w:val="20"/>
          <w:szCs w:val="20"/>
          <w:color w:val="auto"/>
        </w:rPr>
      </w:pPr>
    </w:p>
    <w:p>
      <w:pPr>
        <w:ind w:left="4"/>
        <w:spacing w:after="0"/>
        <w:rPr>
          <w:sz w:val="20"/>
          <w:szCs w:val="20"/>
          <w:color w:val="auto"/>
        </w:rPr>
      </w:pPr>
      <w:r>
        <w:rPr>
          <w:rFonts w:ascii="Arial" w:cs="Arial" w:eastAsia="Arial" w:hAnsi="Arial"/>
          <w:sz w:val="17"/>
          <w:szCs w:val="17"/>
          <w:color w:val="auto"/>
        </w:rPr>
        <w:t>35</w:t>
      </w:r>
    </w:p>
    <w:p>
      <w:pPr>
        <w:spacing w:after="0" w:line="149" w:lineRule="exact"/>
        <w:rPr>
          <w:sz w:val="20"/>
          <w:szCs w:val="20"/>
          <w:color w:val="auto"/>
        </w:rPr>
      </w:pPr>
    </w:p>
    <w:tbl>
      <w:tblPr>
        <w:tblLayout w:type="fixed"/>
        <w:tblInd w:w="4" w:type="dxa"/>
        <w:tblCellMar>
          <w:top w:w="0" w:type="dxa"/>
          <w:left w:w="0" w:type="dxa"/>
          <w:bottom w:w="0" w:type="dxa"/>
          <w:right w:w="0" w:type="dxa"/>
        </w:tblCellMar>
      </w:tblPr>
      <w:tr>
        <w:trPr>
          <w:trHeight w:val="195"/>
        </w:trPr>
        <w:tc>
          <w:tcPr>
            <w:tcW w:w="480" w:type="dxa"/>
            <w:vAlign w:val="bottom"/>
          </w:tcPr>
          <w:p>
            <w:pPr>
              <w:spacing w:after="0"/>
              <w:rPr>
                <w:sz w:val="16"/>
                <w:szCs w:val="16"/>
                <w:color w:val="auto"/>
              </w:rPr>
            </w:pPr>
          </w:p>
        </w:tc>
        <w:tc>
          <w:tcPr>
            <w:tcW w:w="3440" w:type="dxa"/>
            <w:vAlign w:val="bottom"/>
            <w:gridSpan w:val="11"/>
          </w:tcPr>
          <w:p>
            <w:pPr>
              <w:spacing w:after="0"/>
              <w:rPr>
                <w:sz w:val="20"/>
                <w:szCs w:val="20"/>
                <w:color w:val="auto"/>
              </w:rPr>
            </w:pPr>
            <w:r>
              <w:rPr>
                <w:rFonts w:ascii="Arial" w:cs="Arial" w:eastAsia="Arial" w:hAnsi="Arial"/>
                <w:sz w:val="17"/>
                <w:szCs w:val="17"/>
                <w:b w:val="1"/>
                <w:bCs w:val="1"/>
                <w:color w:val="0000EE"/>
              </w:rPr>
              <w:t>PROPOSAL 5: Adoption of Amendments</w:t>
            </w:r>
          </w:p>
        </w:tc>
        <w:tc>
          <w:tcPr>
            <w:tcW w:w="420" w:type="dxa"/>
            <w:vAlign w:val="bottom"/>
          </w:tcPr>
          <w:p>
            <w:pPr>
              <w:jc w:val="right"/>
              <w:spacing w:after="0"/>
              <w:rPr>
                <w:sz w:val="20"/>
                <w:szCs w:val="20"/>
                <w:color w:val="auto"/>
              </w:rPr>
            </w:pPr>
            <w:r>
              <w:rPr>
                <w:rFonts w:ascii="Arial" w:cs="Arial" w:eastAsia="Arial" w:hAnsi="Arial"/>
                <w:sz w:val="17"/>
                <w:szCs w:val="17"/>
                <w:b w:val="1"/>
                <w:bCs w:val="1"/>
                <w:color w:val="auto"/>
              </w:rPr>
              <w:t>89</w:t>
            </w:r>
          </w:p>
        </w:tc>
        <w:tc>
          <w:tcPr>
            <w:tcW w:w="0" w:type="dxa"/>
            <w:vAlign w:val="bottom"/>
          </w:tcPr>
          <w:p>
            <w:pPr>
              <w:spacing w:after="0"/>
              <w:rPr>
                <w:sz w:val="1"/>
                <w:szCs w:val="1"/>
                <w:color w:val="auto"/>
              </w:rPr>
            </w:pPr>
          </w:p>
        </w:tc>
      </w:tr>
      <w:tr>
        <w:trPr>
          <w:trHeight w:val="171"/>
        </w:trPr>
        <w:tc>
          <w:tcPr>
            <w:tcW w:w="480" w:type="dxa"/>
            <w:vAlign w:val="bottom"/>
            <w:vMerge w:val="restart"/>
          </w:tcPr>
          <w:p>
            <w:pPr>
              <w:jc w:val="right"/>
              <w:ind w:right="215"/>
              <w:spacing w:after="0"/>
              <w:rPr>
                <w:sz w:val="20"/>
                <w:szCs w:val="20"/>
                <w:color w:val="auto"/>
              </w:rPr>
            </w:pPr>
            <w:r>
              <w:rPr>
                <w:rFonts w:ascii="Arial" w:cs="Arial" w:eastAsia="Arial" w:hAnsi="Arial"/>
                <w:sz w:val="17"/>
                <w:szCs w:val="17"/>
                <w:color w:val="auto"/>
                <w:w w:val="84"/>
              </w:rPr>
              <w:t>38</w:t>
            </w:r>
          </w:p>
        </w:tc>
        <w:tc>
          <w:tcPr>
            <w:tcW w:w="2900" w:type="dxa"/>
            <w:vAlign w:val="bottom"/>
            <w:tcBorders>
              <w:top w:val="single" w:sz="8" w:color="0000EE"/>
              <w:bottom w:val="single" w:sz="8" w:color="0000EE"/>
            </w:tcBorders>
            <w:gridSpan w:val="6"/>
          </w:tcPr>
          <w:p>
            <w:pPr>
              <w:spacing w:after="0" w:line="159" w:lineRule="exact"/>
              <w:rPr>
                <w:sz w:val="20"/>
                <w:szCs w:val="20"/>
                <w:color w:val="auto"/>
              </w:rPr>
            </w:pPr>
            <w:r>
              <w:rPr>
                <w:rFonts w:ascii="Arial" w:cs="Arial" w:eastAsia="Arial" w:hAnsi="Arial"/>
                <w:sz w:val="17"/>
                <w:szCs w:val="17"/>
                <w:b w:val="1"/>
                <w:bCs w:val="1"/>
                <w:color w:val="0000EE"/>
                <w:w w:val="98"/>
              </w:rPr>
              <w:t>to Our Charter to Provide for Officer</w:t>
            </w:r>
          </w:p>
        </w:tc>
        <w:tc>
          <w:tcPr>
            <w:tcW w:w="220" w:type="dxa"/>
            <w:vAlign w:val="bottom"/>
            <w:tcBorders>
              <w:top w:val="single" w:sz="8" w:color="0000EE"/>
              <w:bottom w:val="single" w:sz="8" w:color="0000EE"/>
            </w:tcBorders>
          </w:tcPr>
          <w:p>
            <w:pPr>
              <w:spacing w:after="0"/>
              <w:rPr>
                <w:sz w:val="14"/>
                <w:szCs w:val="14"/>
                <w:color w:val="auto"/>
              </w:rPr>
            </w:pPr>
          </w:p>
        </w:tc>
        <w:tc>
          <w:tcPr>
            <w:tcW w:w="140" w:type="dxa"/>
            <w:vAlign w:val="bottom"/>
            <w:tcBorders>
              <w:top w:val="single" w:sz="8" w:color="0000EE"/>
              <w:bottom w:val="single" w:sz="8" w:color="0000EE"/>
            </w:tcBorders>
          </w:tcPr>
          <w:p>
            <w:pPr>
              <w:spacing w:after="0"/>
              <w:rPr>
                <w:sz w:val="14"/>
                <w:szCs w:val="14"/>
                <w:color w:val="auto"/>
              </w:rPr>
            </w:pPr>
          </w:p>
        </w:tc>
        <w:tc>
          <w:tcPr>
            <w:tcW w:w="20" w:type="dxa"/>
            <w:vAlign w:val="bottom"/>
            <w:tcBorders>
              <w:top w:val="single" w:sz="8" w:color="0000EE"/>
              <w:bottom w:val="single" w:sz="8" w:color="0000EE"/>
            </w:tcBorders>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2"/>
        </w:trPr>
        <w:tc>
          <w:tcPr>
            <w:tcW w:w="480" w:type="dxa"/>
            <w:vAlign w:val="bottom"/>
            <w:vMerge w:val="continue"/>
          </w:tcPr>
          <w:p>
            <w:pPr>
              <w:spacing w:after="0"/>
              <w:rPr>
                <w:sz w:val="6"/>
                <w:szCs w:val="6"/>
                <w:color w:val="auto"/>
              </w:rPr>
            </w:pPr>
          </w:p>
        </w:tc>
        <w:tc>
          <w:tcPr>
            <w:tcW w:w="3440" w:type="dxa"/>
            <w:vAlign w:val="bottom"/>
            <w:gridSpan w:val="11"/>
            <w:vMerge w:val="restart"/>
          </w:tcPr>
          <w:p>
            <w:pPr>
              <w:spacing w:after="0" w:line="172" w:lineRule="exact"/>
              <w:rPr>
                <w:sz w:val="20"/>
                <w:szCs w:val="20"/>
                <w:color w:val="auto"/>
              </w:rPr>
            </w:pPr>
            <w:r>
              <w:rPr>
                <w:rFonts w:ascii="Arial" w:cs="Arial" w:eastAsia="Arial" w:hAnsi="Arial"/>
                <w:sz w:val="17"/>
                <w:szCs w:val="17"/>
                <w:b w:val="1"/>
                <w:bCs w:val="1"/>
                <w:color w:val="0000EE"/>
              </w:rPr>
              <w:t>Exculpation</w:t>
            </w:r>
          </w:p>
        </w:tc>
        <w:tc>
          <w:tcPr>
            <w:tcW w:w="4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480" w:type="dxa"/>
            <w:vAlign w:val="bottom"/>
          </w:tcPr>
          <w:p>
            <w:pPr>
              <w:spacing w:after="0"/>
              <w:rPr>
                <w:sz w:val="8"/>
                <w:szCs w:val="8"/>
                <w:color w:val="auto"/>
              </w:rPr>
            </w:pPr>
          </w:p>
        </w:tc>
        <w:tc>
          <w:tcPr>
            <w:tcW w:w="3440" w:type="dxa"/>
            <w:vAlign w:val="bottom"/>
            <w:gridSpan w:val="11"/>
            <w:vMerge w:val="continue"/>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480" w:type="dxa"/>
            <w:vAlign w:val="bottom"/>
            <w:vMerge w:val="restart"/>
          </w:tcPr>
          <w:p>
            <w:pPr>
              <w:jc w:val="right"/>
              <w:ind w:right="215"/>
              <w:spacing w:after="0"/>
              <w:rPr>
                <w:sz w:val="20"/>
                <w:szCs w:val="20"/>
                <w:color w:val="auto"/>
              </w:rPr>
            </w:pPr>
            <w:r>
              <w:rPr>
                <w:rFonts w:ascii="Arial" w:cs="Arial" w:eastAsia="Arial" w:hAnsi="Arial"/>
                <w:sz w:val="17"/>
                <w:szCs w:val="17"/>
                <w:color w:val="auto"/>
                <w:w w:val="84"/>
              </w:rPr>
              <w:t>59</w:t>
            </w:r>
          </w:p>
        </w:tc>
        <w:tc>
          <w:tcPr>
            <w:tcW w:w="96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1"/>
        </w:trPr>
        <w:tc>
          <w:tcPr>
            <w:tcW w:w="480" w:type="dxa"/>
            <w:vAlign w:val="bottom"/>
            <w:vMerge w:val="continue"/>
          </w:tcPr>
          <w:p>
            <w:pPr>
              <w:spacing w:after="0"/>
              <w:rPr>
                <w:sz w:val="24"/>
                <w:szCs w:val="24"/>
                <w:color w:val="auto"/>
              </w:rPr>
            </w:pPr>
          </w:p>
        </w:tc>
        <w:tc>
          <w:tcPr>
            <w:tcW w:w="3440" w:type="dxa"/>
            <w:vAlign w:val="bottom"/>
            <w:gridSpan w:val="11"/>
            <w:vMerge w:val="restart"/>
          </w:tcPr>
          <w:p>
            <w:pPr>
              <w:spacing w:after="0"/>
              <w:rPr>
                <w:sz w:val="20"/>
                <w:szCs w:val="20"/>
                <w:color w:val="auto"/>
              </w:rPr>
            </w:pPr>
            <w:r>
              <w:rPr>
                <w:rFonts w:ascii="Arial" w:cs="Arial" w:eastAsia="Arial" w:hAnsi="Arial"/>
                <w:sz w:val="17"/>
                <w:szCs w:val="17"/>
                <w:b w:val="1"/>
                <w:bCs w:val="1"/>
                <w:color w:val="0000EE"/>
              </w:rPr>
              <w:t>PROPOSAL 6: Adoption of Amendments</w:t>
            </w:r>
          </w:p>
        </w:tc>
        <w:tc>
          <w:tcPr>
            <w:tcW w:w="42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91</w:t>
            </w:r>
          </w:p>
        </w:tc>
        <w:tc>
          <w:tcPr>
            <w:tcW w:w="0" w:type="dxa"/>
            <w:vAlign w:val="bottom"/>
          </w:tcPr>
          <w:p>
            <w:pPr>
              <w:spacing w:after="0"/>
              <w:rPr>
                <w:sz w:val="1"/>
                <w:szCs w:val="1"/>
                <w:color w:val="auto"/>
              </w:rPr>
            </w:pPr>
          </w:p>
        </w:tc>
      </w:tr>
      <w:tr>
        <w:trPr>
          <w:trHeight w:val="99"/>
        </w:trPr>
        <w:tc>
          <w:tcPr>
            <w:tcW w:w="480" w:type="dxa"/>
            <w:vAlign w:val="bottom"/>
          </w:tcPr>
          <w:p>
            <w:pPr>
              <w:spacing w:after="0"/>
              <w:rPr>
                <w:sz w:val="8"/>
                <w:szCs w:val="8"/>
                <w:color w:val="auto"/>
              </w:rPr>
            </w:pPr>
          </w:p>
        </w:tc>
        <w:tc>
          <w:tcPr>
            <w:tcW w:w="3440" w:type="dxa"/>
            <w:vAlign w:val="bottom"/>
            <w:gridSpan w:val="11"/>
            <w:vMerge w:val="continue"/>
          </w:tcPr>
          <w:p>
            <w:pPr>
              <w:spacing w:after="0"/>
              <w:rPr>
                <w:sz w:val="8"/>
                <w:szCs w:val="8"/>
                <w:color w:val="auto"/>
              </w:rPr>
            </w:pPr>
          </w:p>
        </w:tc>
        <w:tc>
          <w:tcPr>
            <w:tcW w:w="4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1"/>
        </w:trPr>
        <w:tc>
          <w:tcPr>
            <w:tcW w:w="480" w:type="dxa"/>
            <w:vAlign w:val="bottom"/>
          </w:tcPr>
          <w:p>
            <w:pPr>
              <w:spacing w:after="0"/>
              <w:rPr>
                <w:sz w:val="14"/>
                <w:szCs w:val="14"/>
                <w:color w:val="auto"/>
              </w:rPr>
            </w:pPr>
          </w:p>
        </w:tc>
        <w:tc>
          <w:tcPr>
            <w:tcW w:w="3280" w:type="dxa"/>
            <w:vAlign w:val="bottom"/>
            <w:tcBorders>
              <w:top w:val="single" w:sz="8" w:color="0000EE"/>
            </w:tcBorders>
            <w:gridSpan w:val="9"/>
          </w:tcPr>
          <w:p>
            <w:pPr>
              <w:spacing w:after="0" w:line="172" w:lineRule="exact"/>
              <w:rPr>
                <w:sz w:val="20"/>
                <w:szCs w:val="20"/>
                <w:color w:val="auto"/>
              </w:rPr>
            </w:pPr>
            <w:r>
              <w:rPr>
                <w:rFonts w:ascii="Arial" w:cs="Arial" w:eastAsia="Arial" w:hAnsi="Arial"/>
                <w:sz w:val="17"/>
                <w:szCs w:val="17"/>
                <w:b w:val="1"/>
                <w:bCs w:val="1"/>
                <w:color w:val="0000EE"/>
              </w:rPr>
              <w:t>to Our Charter to Remove the Corporate</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80" w:type="dxa"/>
            <w:vAlign w:val="bottom"/>
          </w:tcPr>
          <w:p>
            <w:pPr>
              <w:spacing w:after="0"/>
              <w:rPr>
                <w:sz w:val="14"/>
                <w:szCs w:val="14"/>
                <w:color w:val="auto"/>
              </w:rPr>
            </w:pPr>
          </w:p>
        </w:tc>
        <w:tc>
          <w:tcPr>
            <w:tcW w:w="1940" w:type="dxa"/>
            <w:vAlign w:val="bottom"/>
            <w:tcBorders>
              <w:top w:val="single" w:sz="8" w:color="0000EE"/>
              <w:bottom w:val="single" w:sz="8" w:color="0000EE"/>
            </w:tcBorders>
            <w:gridSpan w:val="3"/>
          </w:tcPr>
          <w:p>
            <w:pPr>
              <w:spacing w:after="0" w:line="172" w:lineRule="exact"/>
              <w:rPr>
                <w:sz w:val="20"/>
                <w:szCs w:val="20"/>
                <w:color w:val="auto"/>
              </w:rPr>
            </w:pPr>
            <w:r>
              <w:rPr>
                <w:rFonts w:ascii="Arial" w:cs="Arial" w:eastAsia="Arial" w:hAnsi="Arial"/>
                <w:sz w:val="17"/>
                <w:szCs w:val="17"/>
                <w:b w:val="1"/>
                <w:bCs w:val="1"/>
                <w:color w:val="0000EE"/>
                <w:w w:val="99"/>
              </w:rPr>
              <w:t>Opportunities Provision</w:t>
            </w:r>
          </w:p>
        </w:tc>
        <w:tc>
          <w:tcPr>
            <w:tcW w:w="1320" w:type="dxa"/>
            <w:vAlign w:val="bottom"/>
            <w:tcBorders>
              <w:top w:val="single" w:sz="8" w:color="0000EE"/>
            </w:tcBorders>
            <w:gridSpan w:val="5"/>
          </w:tcPr>
          <w:p>
            <w:pPr>
              <w:spacing w:after="0"/>
              <w:rPr>
                <w:sz w:val="14"/>
                <w:szCs w:val="14"/>
                <w:color w:val="auto"/>
              </w:rPr>
            </w:pPr>
          </w:p>
        </w:tc>
        <w:tc>
          <w:tcPr>
            <w:tcW w:w="60" w:type="dxa"/>
            <w:vAlign w:val="bottom"/>
            <w:gridSpan w:val="2"/>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1"/>
        </w:trPr>
        <w:tc>
          <w:tcPr>
            <w:tcW w:w="480" w:type="dxa"/>
            <w:vAlign w:val="bottom"/>
          </w:tcPr>
          <w:p>
            <w:pPr>
              <w:jc w:val="right"/>
              <w:ind w:right="215"/>
              <w:spacing w:after="0"/>
              <w:rPr>
                <w:sz w:val="20"/>
                <w:szCs w:val="20"/>
                <w:color w:val="auto"/>
              </w:rPr>
            </w:pPr>
            <w:r>
              <w:rPr>
                <w:rFonts w:ascii="Arial" w:cs="Arial" w:eastAsia="Arial" w:hAnsi="Arial"/>
                <w:sz w:val="17"/>
                <w:szCs w:val="17"/>
                <w:color w:val="auto"/>
                <w:w w:val="84"/>
              </w:rPr>
              <w:t>60</w:t>
            </w:r>
          </w:p>
        </w:tc>
        <w:tc>
          <w:tcPr>
            <w:tcW w:w="3120" w:type="dxa"/>
            <w:vAlign w:val="bottom"/>
            <w:gridSpan w:val="7"/>
            <w:vMerge w:val="restart"/>
          </w:tcPr>
          <w:p>
            <w:pPr>
              <w:spacing w:after="0"/>
              <w:rPr>
                <w:sz w:val="20"/>
                <w:szCs w:val="20"/>
                <w:color w:val="auto"/>
              </w:rPr>
            </w:pPr>
            <w:r>
              <w:rPr>
                <w:rFonts w:ascii="Arial" w:cs="Arial" w:eastAsia="Arial" w:hAnsi="Arial"/>
                <w:sz w:val="17"/>
                <w:szCs w:val="17"/>
                <w:color w:val="0000EE"/>
                <w:w w:val="99"/>
              </w:rPr>
              <w:t>Stockholder Proposals and Other Matters</w:t>
            </w:r>
          </w:p>
        </w:tc>
        <w:tc>
          <w:tcPr>
            <w:tcW w:w="320" w:type="dxa"/>
            <w:vAlign w:val="bottom"/>
            <w:gridSpan w:val="4"/>
            <w:vMerge w:val="restart"/>
          </w:tcPr>
          <w:p>
            <w:pPr>
              <w:spacing w:after="0"/>
              <w:rPr>
                <w:sz w:val="24"/>
                <w:szCs w:val="24"/>
                <w:color w:val="auto"/>
              </w:rPr>
            </w:pPr>
          </w:p>
        </w:tc>
        <w:tc>
          <w:tcPr>
            <w:tcW w:w="420" w:type="dxa"/>
            <w:vAlign w:val="bottom"/>
            <w:vMerge w:val="restart"/>
          </w:tcPr>
          <w:p>
            <w:pPr>
              <w:jc w:val="right"/>
              <w:spacing w:after="0"/>
              <w:rPr>
                <w:sz w:val="20"/>
                <w:szCs w:val="20"/>
                <w:color w:val="auto"/>
              </w:rPr>
            </w:pPr>
            <w:r>
              <w:rPr>
                <w:rFonts w:ascii="Arial" w:cs="Arial" w:eastAsia="Arial" w:hAnsi="Arial"/>
                <w:sz w:val="17"/>
                <w:szCs w:val="17"/>
                <w:color w:val="auto"/>
              </w:rPr>
              <w:t>93</w:t>
            </w:r>
          </w:p>
        </w:tc>
        <w:tc>
          <w:tcPr>
            <w:tcW w:w="0" w:type="dxa"/>
            <w:vAlign w:val="bottom"/>
          </w:tcPr>
          <w:p>
            <w:pPr>
              <w:spacing w:after="0"/>
              <w:rPr>
                <w:sz w:val="1"/>
                <w:szCs w:val="1"/>
                <w:color w:val="auto"/>
              </w:rPr>
            </w:pPr>
          </w:p>
        </w:tc>
      </w:tr>
      <w:tr>
        <w:trPr>
          <w:trHeight w:val="104"/>
        </w:trPr>
        <w:tc>
          <w:tcPr>
            <w:tcW w:w="480" w:type="dxa"/>
            <w:vAlign w:val="bottom"/>
          </w:tcPr>
          <w:p>
            <w:pPr>
              <w:spacing w:after="0"/>
              <w:rPr>
                <w:sz w:val="8"/>
                <w:szCs w:val="8"/>
                <w:color w:val="auto"/>
              </w:rPr>
            </w:pPr>
          </w:p>
        </w:tc>
        <w:tc>
          <w:tcPr>
            <w:tcW w:w="3120" w:type="dxa"/>
            <w:vAlign w:val="bottom"/>
            <w:tcBorders>
              <w:bottom w:val="single" w:sz="8" w:color="0000EE"/>
            </w:tcBorders>
            <w:gridSpan w:val="7"/>
            <w:vMerge w:val="continue"/>
          </w:tcPr>
          <w:p>
            <w:pPr>
              <w:spacing w:after="0"/>
              <w:rPr>
                <w:sz w:val="8"/>
                <w:szCs w:val="8"/>
                <w:color w:val="auto"/>
              </w:rPr>
            </w:pPr>
          </w:p>
        </w:tc>
        <w:tc>
          <w:tcPr>
            <w:tcW w:w="320" w:type="dxa"/>
            <w:vAlign w:val="bottom"/>
            <w:gridSpan w:val="4"/>
            <w:vMerge w:val="continue"/>
          </w:tcPr>
          <w:p>
            <w:pPr>
              <w:spacing w:after="0"/>
              <w:rPr>
                <w:sz w:val="8"/>
                <w:szCs w:val="8"/>
                <w:color w:val="auto"/>
              </w:rPr>
            </w:pPr>
          </w:p>
        </w:tc>
        <w:tc>
          <w:tcPr>
            <w:tcW w:w="4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80"/>
        </w:trPr>
        <w:tc>
          <w:tcPr>
            <w:tcW w:w="480" w:type="dxa"/>
            <w:vAlign w:val="bottom"/>
            <w:vMerge w:val="restart"/>
          </w:tcPr>
          <w:p>
            <w:pPr>
              <w:jc w:val="right"/>
              <w:ind w:right="215"/>
              <w:spacing w:after="0"/>
              <w:rPr>
                <w:sz w:val="20"/>
                <w:szCs w:val="20"/>
                <w:color w:val="auto"/>
              </w:rPr>
            </w:pPr>
            <w:r>
              <w:rPr>
                <w:rFonts w:ascii="Arial" w:cs="Arial" w:eastAsia="Arial" w:hAnsi="Arial"/>
                <w:sz w:val="17"/>
                <w:szCs w:val="17"/>
                <w:color w:val="auto"/>
                <w:w w:val="84"/>
              </w:rPr>
              <w:t>75</w:t>
            </w:r>
          </w:p>
        </w:tc>
        <w:tc>
          <w:tcPr>
            <w:tcW w:w="2520" w:type="dxa"/>
            <w:vAlign w:val="bottom"/>
            <w:tcBorders>
              <w:bottom w:val="single" w:sz="8" w:color="0000EE"/>
            </w:tcBorders>
            <w:gridSpan w:val="4"/>
          </w:tcPr>
          <w:p>
            <w:pPr>
              <w:spacing w:after="0"/>
              <w:rPr>
                <w:sz w:val="20"/>
                <w:szCs w:val="20"/>
                <w:color w:val="auto"/>
              </w:rPr>
            </w:pPr>
            <w:r>
              <w:rPr>
                <w:rFonts w:ascii="Arial" w:cs="Arial" w:eastAsia="Arial" w:hAnsi="Arial"/>
                <w:sz w:val="17"/>
                <w:szCs w:val="17"/>
                <w:color w:val="0000EE"/>
                <w:w w:val="99"/>
              </w:rPr>
              <w:t>Delinquent Section 16(a) Reports</w:t>
            </w:r>
          </w:p>
        </w:tc>
        <w:tc>
          <w:tcPr>
            <w:tcW w:w="120" w:type="dxa"/>
            <w:vAlign w:val="bottom"/>
            <w:vMerge w:val="restart"/>
          </w:tcPr>
          <w:p>
            <w:pPr>
              <w:spacing w:after="0"/>
              <w:rPr>
                <w:sz w:val="24"/>
                <w:szCs w:val="24"/>
                <w:color w:val="auto"/>
              </w:rPr>
            </w:pPr>
          </w:p>
        </w:tc>
        <w:tc>
          <w:tcPr>
            <w:tcW w:w="620" w:type="dxa"/>
            <w:vAlign w:val="bottom"/>
            <w:gridSpan w:val="3"/>
            <w:vMerge w:val="restart"/>
          </w:tcPr>
          <w:p>
            <w:pPr>
              <w:spacing w:after="0"/>
              <w:rPr>
                <w:sz w:val="24"/>
                <w:szCs w:val="24"/>
                <w:color w:val="auto"/>
              </w:rPr>
            </w:pPr>
          </w:p>
        </w:tc>
        <w:tc>
          <w:tcPr>
            <w:tcW w:w="60" w:type="dxa"/>
            <w:vAlign w:val="bottom"/>
            <w:gridSpan w:val="2"/>
            <w:vMerge w:val="restart"/>
          </w:tcPr>
          <w:p>
            <w:pPr>
              <w:spacing w:after="0"/>
              <w:rPr>
                <w:sz w:val="24"/>
                <w:szCs w:val="24"/>
                <w:color w:val="auto"/>
              </w:rPr>
            </w:pPr>
          </w:p>
        </w:tc>
        <w:tc>
          <w:tcPr>
            <w:tcW w:w="120" w:type="dxa"/>
            <w:vAlign w:val="bottom"/>
            <w:vMerge w:val="restart"/>
          </w:tcPr>
          <w:p>
            <w:pPr>
              <w:spacing w:after="0"/>
              <w:rPr>
                <w:sz w:val="24"/>
                <w:szCs w:val="24"/>
                <w:color w:val="auto"/>
              </w:rPr>
            </w:pPr>
          </w:p>
        </w:tc>
        <w:tc>
          <w:tcPr>
            <w:tcW w:w="420" w:type="dxa"/>
            <w:vAlign w:val="bottom"/>
            <w:vMerge w:val="restart"/>
          </w:tcPr>
          <w:p>
            <w:pPr>
              <w:jc w:val="right"/>
              <w:spacing w:after="0"/>
              <w:rPr>
                <w:sz w:val="20"/>
                <w:szCs w:val="20"/>
                <w:color w:val="auto"/>
              </w:rPr>
            </w:pPr>
            <w:r>
              <w:rPr>
                <w:rFonts w:ascii="Arial" w:cs="Arial" w:eastAsia="Arial" w:hAnsi="Arial"/>
                <w:sz w:val="17"/>
                <w:szCs w:val="17"/>
                <w:color w:val="auto"/>
              </w:rPr>
              <w:t>95</w:t>
            </w:r>
          </w:p>
        </w:tc>
        <w:tc>
          <w:tcPr>
            <w:tcW w:w="0" w:type="dxa"/>
            <w:vAlign w:val="bottom"/>
          </w:tcPr>
          <w:p>
            <w:pPr>
              <w:spacing w:after="0"/>
              <w:rPr>
                <w:sz w:val="1"/>
                <w:szCs w:val="1"/>
                <w:color w:val="auto"/>
              </w:rPr>
            </w:pPr>
          </w:p>
        </w:tc>
      </w:tr>
      <w:tr>
        <w:trPr>
          <w:trHeight w:val="72"/>
        </w:trPr>
        <w:tc>
          <w:tcPr>
            <w:tcW w:w="480" w:type="dxa"/>
            <w:vAlign w:val="bottom"/>
            <w:vMerge w:val="continue"/>
          </w:tcPr>
          <w:p>
            <w:pPr>
              <w:spacing w:after="0"/>
              <w:rPr>
                <w:sz w:val="6"/>
                <w:szCs w:val="6"/>
                <w:color w:val="auto"/>
              </w:rPr>
            </w:pPr>
          </w:p>
        </w:tc>
        <w:tc>
          <w:tcPr>
            <w:tcW w:w="1320" w:type="dxa"/>
            <w:vAlign w:val="bottom"/>
            <w:gridSpan w:val="2"/>
          </w:tcPr>
          <w:p>
            <w:pPr>
              <w:spacing w:after="0"/>
              <w:rPr>
                <w:sz w:val="6"/>
                <w:szCs w:val="6"/>
                <w:color w:val="auto"/>
              </w:rPr>
            </w:pPr>
          </w:p>
        </w:tc>
        <w:tc>
          <w:tcPr>
            <w:tcW w:w="1200" w:type="dxa"/>
            <w:vAlign w:val="bottom"/>
            <w:gridSpan w:val="2"/>
          </w:tcPr>
          <w:p>
            <w:pPr>
              <w:spacing w:after="0"/>
              <w:rPr>
                <w:sz w:val="6"/>
                <w:szCs w:val="6"/>
                <w:color w:val="auto"/>
              </w:rPr>
            </w:pPr>
          </w:p>
        </w:tc>
        <w:tc>
          <w:tcPr>
            <w:tcW w:w="120" w:type="dxa"/>
            <w:vAlign w:val="bottom"/>
            <w:vMerge w:val="continue"/>
          </w:tcPr>
          <w:p>
            <w:pPr>
              <w:spacing w:after="0"/>
              <w:rPr>
                <w:sz w:val="6"/>
                <w:szCs w:val="6"/>
                <w:color w:val="auto"/>
              </w:rPr>
            </w:pPr>
          </w:p>
        </w:tc>
        <w:tc>
          <w:tcPr>
            <w:tcW w:w="620" w:type="dxa"/>
            <w:vAlign w:val="bottom"/>
            <w:gridSpan w:val="3"/>
            <w:vMerge w:val="continue"/>
          </w:tcPr>
          <w:p>
            <w:pPr>
              <w:spacing w:after="0"/>
              <w:rPr>
                <w:sz w:val="6"/>
                <w:szCs w:val="6"/>
                <w:color w:val="auto"/>
              </w:rPr>
            </w:pPr>
          </w:p>
        </w:tc>
        <w:tc>
          <w:tcPr>
            <w:tcW w:w="60" w:type="dxa"/>
            <w:vAlign w:val="bottom"/>
            <w:gridSpan w:val="2"/>
            <w:vMerge w:val="continue"/>
          </w:tcPr>
          <w:p>
            <w:pPr>
              <w:spacing w:after="0"/>
              <w:rPr>
                <w:sz w:val="6"/>
                <w:szCs w:val="6"/>
                <w:color w:val="auto"/>
              </w:rPr>
            </w:pPr>
          </w:p>
        </w:tc>
        <w:tc>
          <w:tcPr>
            <w:tcW w:w="120" w:type="dxa"/>
            <w:vAlign w:val="bottom"/>
            <w:vMerge w:val="continue"/>
          </w:tcPr>
          <w:p>
            <w:pPr>
              <w:spacing w:after="0"/>
              <w:rPr>
                <w:sz w:val="6"/>
                <w:szCs w:val="6"/>
                <w:color w:val="auto"/>
              </w:rPr>
            </w:pPr>
          </w:p>
        </w:tc>
        <w:tc>
          <w:tcPr>
            <w:tcW w:w="4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508"/>
        </w:trPr>
        <w:tc>
          <w:tcPr>
            <w:tcW w:w="480" w:type="dxa"/>
            <w:vAlign w:val="bottom"/>
            <w:vMerge w:val="restart"/>
          </w:tcPr>
          <w:p>
            <w:pPr>
              <w:jc w:val="right"/>
              <w:ind w:right="215"/>
              <w:spacing w:after="0"/>
              <w:rPr>
                <w:sz w:val="20"/>
                <w:szCs w:val="20"/>
                <w:color w:val="auto"/>
              </w:rPr>
            </w:pPr>
            <w:r>
              <w:rPr>
                <w:rFonts w:ascii="Arial" w:cs="Arial" w:eastAsia="Arial" w:hAnsi="Arial"/>
                <w:sz w:val="17"/>
                <w:szCs w:val="17"/>
                <w:color w:val="auto"/>
                <w:w w:val="84"/>
              </w:rPr>
              <w:t>79</w:t>
            </w:r>
          </w:p>
        </w:tc>
        <w:tc>
          <w:tcPr>
            <w:tcW w:w="1320" w:type="dxa"/>
            <w:vAlign w:val="bottom"/>
            <w:tcBorders>
              <w:bottom w:val="single" w:sz="8" w:color="0000EE"/>
            </w:tcBorders>
            <w:gridSpan w:val="2"/>
          </w:tcPr>
          <w:p>
            <w:pPr>
              <w:spacing w:after="0"/>
              <w:rPr>
                <w:sz w:val="20"/>
                <w:szCs w:val="20"/>
                <w:color w:val="auto"/>
              </w:rPr>
            </w:pPr>
            <w:r>
              <w:rPr>
                <w:rFonts w:ascii="Arial" w:cs="Arial" w:eastAsia="Arial" w:hAnsi="Arial"/>
                <w:sz w:val="17"/>
                <w:szCs w:val="17"/>
                <w:color w:val="0000EE"/>
                <w:w w:val="98"/>
              </w:rPr>
              <w:t>Other Information</w:t>
            </w:r>
          </w:p>
        </w:tc>
        <w:tc>
          <w:tcPr>
            <w:tcW w:w="1320" w:type="dxa"/>
            <w:vAlign w:val="bottom"/>
            <w:gridSpan w:val="3"/>
            <w:vMerge w:val="restart"/>
          </w:tcPr>
          <w:p>
            <w:pPr>
              <w:spacing w:after="0"/>
              <w:rPr>
                <w:sz w:val="24"/>
                <w:szCs w:val="24"/>
                <w:color w:val="auto"/>
              </w:rPr>
            </w:pPr>
          </w:p>
        </w:tc>
        <w:tc>
          <w:tcPr>
            <w:tcW w:w="620" w:type="dxa"/>
            <w:vAlign w:val="bottom"/>
            <w:gridSpan w:val="3"/>
            <w:vMerge w:val="restart"/>
          </w:tcPr>
          <w:p>
            <w:pPr>
              <w:spacing w:after="0"/>
              <w:rPr>
                <w:sz w:val="24"/>
                <w:szCs w:val="24"/>
                <w:color w:val="auto"/>
              </w:rPr>
            </w:pPr>
          </w:p>
        </w:tc>
        <w:tc>
          <w:tcPr>
            <w:tcW w:w="60" w:type="dxa"/>
            <w:vAlign w:val="bottom"/>
            <w:gridSpan w:val="2"/>
            <w:vMerge w:val="restart"/>
          </w:tcPr>
          <w:p>
            <w:pPr>
              <w:spacing w:after="0"/>
              <w:rPr>
                <w:sz w:val="24"/>
                <w:szCs w:val="24"/>
                <w:color w:val="auto"/>
              </w:rPr>
            </w:pPr>
          </w:p>
        </w:tc>
        <w:tc>
          <w:tcPr>
            <w:tcW w:w="120" w:type="dxa"/>
            <w:vAlign w:val="bottom"/>
            <w:vMerge w:val="restart"/>
          </w:tcPr>
          <w:p>
            <w:pPr>
              <w:spacing w:after="0"/>
              <w:rPr>
                <w:sz w:val="24"/>
                <w:szCs w:val="24"/>
                <w:color w:val="auto"/>
              </w:rPr>
            </w:pPr>
          </w:p>
        </w:tc>
        <w:tc>
          <w:tcPr>
            <w:tcW w:w="420" w:type="dxa"/>
            <w:vAlign w:val="bottom"/>
            <w:vMerge w:val="restart"/>
          </w:tcPr>
          <w:p>
            <w:pPr>
              <w:jc w:val="right"/>
              <w:spacing w:after="0"/>
              <w:rPr>
                <w:sz w:val="20"/>
                <w:szCs w:val="20"/>
                <w:color w:val="auto"/>
              </w:rPr>
            </w:pPr>
            <w:r>
              <w:rPr>
                <w:rFonts w:ascii="Arial" w:cs="Arial" w:eastAsia="Arial" w:hAnsi="Arial"/>
                <w:sz w:val="17"/>
                <w:szCs w:val="17"/>
                <w:color w:val="auto"/>
              </w:rPr>
              <w:t>96</w:t>
            </w:r>
          </w:p>
        </w:tc>
        <w:tc>
          <w:tcPr>
            <w:tcW w:w="0" w:type="dxa"/>
            <w:vAlign w:val="bottom"/>
          </w:tcPr>
          <w:p>
            <w:pPr>
              <w:spacing w:after="0"/>
              <w:rPr>
                <w:sz w:val="1"/>
                <w:szCs w:val="1"/>
                <w:color w:val="auto"/>
              </w:rPr>
            </w:pPr>
          </w:p>
        </w:tc>
      </w:tr>
      <w:tr>
        <w:trPr>
          <w:trHeight w:val="72"/>
        </w:trPr>
        <w:tc>
          <w:tcPr>
            <w:tcW w:w="480" w:type="dxa"/>
            <w:vAlign w:val="bottom"/>
            <w:vMerge w:val="continue"/>
          </w:tcPr>
          <w:p>
            <w:pPr>
              <w:spacing w:after="0"/>
              <w:rPr>
                <w:sz w:val="6"/>
                <w:szCs w:val="6"/>
                <w:color w:val="auto"/>
              </w:rPr>
            </w:pPr>
          </w:p>
        </w:tc>
        <w:tc>
          <w:tcPr>
            <w:tcW w:w="1320" w:type="dxa"/>
            <w:vAlign w:val="bottom"/>
            <w:gridSpan w:val="2"/>
          </w:tcPr>
          <w:p>
            <w:pPr>
              <w:spacing w:after="0"/>
              <w:rPr>
                <w:sz w:val="6"/>
                <w:szCs w:val="6"/>
                <w:color w:val="auto"/>
              </w:rPr>
            </w:pPr>
          </w:p>
        </w:tc>
        <w:tc>
          <w:tcPr>
            <w:tcW w:w="1320" w:type="dxa"/>
            <w:vAlign w:val="bottom"/>
            <w:gridSpan w:val="3"/>
            <w:vMerge w:val="continue"/>
          </w:tcPr>
          <w:p>
            <w:pPr>
              <w:spacing w:after="0"/>
              <w:rPr>
                <w:sz w:val="6"/>
                <w:szCs w:val="6"/>
                <w:color w:val="auto"/>
              </w:rPr>
            </w:pPr>
          </w:p>
        </w:tc>
        <w:tc>
          <w:tcPr>
            <w:tcW w:w="620" w:type="dxa"/>
            <w:vAlign w:val="bottom"/>
            <w:gridSpan w:val="3"/>
            <w:vMerge w:val="continue"/>
          </w:tcPr>
          <w:p>
            <w:pPr>
              <w:spacing w:after="0"/>
              <w:rPr>
                <w:sz w:val="6"/>
                <w:szCs w:val="6"/>
                <w:color w:val="auto"/>
              </w:rPr>
            </w:pPr>
          </w:p>
        </w:tc>
        <w:tc>
          <w:tcPr>
            <w:tcW w:w="60" w:type="dxa"/>
            <w:vAlign w:val="bottom"/>
            <w:gridSpan w:val="2"/>
            <w:vMerge w:val="continue"/>
          </w:tcPr>
          <w:p>
            <w:pPr>
              <w:spacing w:after="0"/>
              <w:rPr>
                <w:sz w:val="6"/>
                <w:szCs w:val="6"/>
                <w:color w:val="auto"/>
              </w:rPr>
            </w:pPr>
          </w:p>
        </w:tc>
        <w:tc>
          <w:tcPr>
            <w:tcW w:w="120" w:type="dxa"/>
            <w:vAlign w:val="bottom"/>
            <w:vMerge w:val="continue"/>
          </w:tcPr>
          <w:p>
            <w:pPr>
              <w:spacing w:after="0"/>
              <w:rPr>
                <w:sz w:val="6"/>
                <w:szCs w:val="6"/>
                <w:color w:val="auto"/>
              </w:rPr>
            </w:pPr>
          </w:p>
        </w:tc>
        <w:tc>
          <w:tcPr>
            <w:tcW w:w="4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508"/>
        </w:trPr>
        <w:tc>
          <w:tcPr>
            <w:tcW w:w="480" w:type="dxa"/>
            <w:vAlign w:val="bottom"/>
          </w:tcPr>
          <w:p>
            <w:pPr>
              <w:spacing w:after="0"/>
              <w:rPr>
                <w:sz w:val="24"/>
                <w:szCs w:val="24"/>
                <w:color w:val="auto"/>
              </w:rPr>
            </w:pPr>
          </w:p>
        </w:tc>
        <w:tc>
          <w:tcPr>
            <w:tcW w:w="3440" w:type="dxa"/>
            <w:vAlign w:val="bottom"/>
            <w:gridSpan w:val="11"/>
          </w:tcPr>
          <w:p>
            <w:pPr>
              <w:spacing w:after="0"/>
              <w:rPr>
                <w:sz w:val="20"/>
                <w:szCs w:val="20"/>
                <w:color w:val="auto"/>
              </w:rPr>
            </w:pPr>
            <w:r>
              <w:rPr>
                <w:rFonts w:ascii="Arial" w:cs="Arial" w:eastAsia="Arial" w:hAnsi="Arial"/>
                <w:sz w:val="17"/>
                <w:szCs w:val="17"/>
                <w:color w:val="0000EE"/>
              </w:rPr>
              <w:t>Appendix A: Non-GAAP Financial Measures</w:t>
            </w:r>
          </w:p>
        </w:tc>
        <w:tc>
          <w:tcPr>
            <w:tcW w:w="420" w:type="dxa"/>
            <w:vAlign w:val="bottom"/>
          </w:tcPr>
          <w:p>
            <w:pPr>
              <w:jc w:val="right"/>
              <w:spacing w:after="0"/>
              <w:rPr>
                <w:sz w:val="20"/>
                <w:szCs w:val="20"/>
                <w:color w:val="auto"/>
              </w:rPr>
            </w:pPr>
            <w:r>
              <w:rPr>
                <w:rFonts w:ascii="Arial" w:cs="Arial" w:eastAsia="Arial" w:hAnsi="Arial"/>
                <w:sz w:val="17"/>
                <w:szCs w:val="17"/>
                <w:color w:val="auto"/>
              </w:rPr>
              <w:t>97</w:t>
            </w:r>
          </w:p>
        </w:tc>
        <w:tc>
          <w:tcPr>
            <w:tcW w:w="0" w:type="dxa"/>
            <w:vAlign w:val="bottom"/>
          </w:tcPr>
          <w:p>
            <w:pPr>
              <w:spacing w:after="0"/>
              <w:rPr>
                <w:sz w:val="1"/>
                <w:szCs w:val="1"/>
                <w:color w:val="auto"/>
              </w:rPr>
            </w:pPr>
          </w:p>
        </w:tc>
      </w:tr>
      <w:tr>
        <w:trPr>
          <w:trHeight w:val="264"/>
        </w:trPr>
        <w:tc>
          <w:tcPr>
            <w:tcW w:w="480" w:type="dxa"/>
            <w:vAlign w:val="bottom"/>
          </w:tcPr>
          <w:p>
            <w:pPr>
              <w:jc w:val="right"/>
              <w:ind w:right="215"/>
              <w:spacing w:after="0"/>
              <w:rPr>
                <w:sz w:val="20"/>
                <w:szCs w:val="20"/>
                <w:color w:val="auto"/>
              </w:rPr>
            </w:pPr>
            <w:r>
              <w:rPr>
                <w:rFonts w:ascii="Arial" w:cs="Arial" w:eastAsia="Arial" w:hAnsi="Arial"/>
                <w:sz w:val="17"/>
                <w:szCs w:val="17"/>
                <w:color w:val="auto"/>
                <w:w w:val="84"/>
              </w:rPr>
              <w:t>81</w:t>
            </w:r>
          </w:p>
        </w:tc>
        <w:tc>
          <w:tcPr>
            <w:tcW w:w="960" w:type="dxa"/>
            <w:vAlign w:val="bottom"/>
            <w:tcBorders>
              <w:top w:val="single" w:sz="8" w:color="0000EE"/>
            </w:tcBorders>
          </w:tcPr>
          <w:p>
            <w:pPr>
              <w:spacing w:after="0"/>
              <w:rPr>
                <w:sz w:val="22"/>
                <w:szCs w:val="22"/>
                <w:color w:val="auto"/>
              </w:rPr>
            </w:pPr>
          </w:p>
        </w:tc>
        <w:tc>
          <w:tcPr>
            <w:tcW w:w="360" w:type="dxa"/>
            <w:vAlign w:val="bottom"/>
            <w:tcBorders>
              <w:top w:val="single" w:sz="8" w:color="0000EE"/>
            </w:tcBorders>
          </w:tcPr>
          <w:p>
            <w:pPr>
              <w:spacing w:after="0"/>
              <w:rPr>
                <w:sz w:val="22"/>
                <w:szCs w:val="22"/>
                <w:color w:val="auto"/>
              </w:rPr>
            </w:pPr>
          </w:p>
        </w:tc>
        <w:tc>
          <w:tcPr>
            <w:tcW w:w="620" w:type="dxa"/>
            <w:vAlign w:val="bottom"/>
            <w:tcBorders>
              <w:top w:val="single" w:sz="8" w:color="0000EE"/>
            </w:tcBorders>
          </w:tcPr>
          <w:p>
            <w:pPr>
              <w:spacing w:after="0"/>
              <w:rPr>
                <w:sz w:val="22"/>
                <w:szCs w:val="22"/>
                <w:color w:val="auto"/>
              </w:rPr>
            </w:pPr>
          </w:p>
        </w:tc>
        <w:tc>
          <w:tcPr>
            <w:tcW w:w="580" w:type="dxa"/>
            <w:vAlign w:val="bottom"/>
            <w:tcBorders>
              <w:top w:val="single" w:sz="8" w:color="0000EE"/>
            </w:tcBorders>
          </w:tcPr>
          <w:p>
            <w:pPr>
              <w:spacing w:after="0"/>
              <w:rPr>
                <w:sz w:val="22"/>
                <w:szCs w:val="22"/>
                <w:color w:val="auto"/>
              </w:rPr>
            </w:pPr>
          </w:p>
        </w:tc>
        <w:tc>
          <w:tcPr>
            <w:tcW w:w="120" w:type="dxa"/>
            <w:vAlign w:val="bottom"/>
            <w:tcBorders>
              <w:top w:val="single" w:sz="8" w:color="0000EE"/>
            </w:tcBorders>
          </w:tcPr>
          <w:p>
            <w:pPr>
              <w:spacing w:after="0"/>
              <w:rPr>
                <w:sz w:val="22"/>
                <w:szCs w:val="22"/>
                <w:color w:val="auto"/>
              </w:rPr>
            </w:pPr>
          </w:p>
        </w:tc>
        <w:tc>
          <w:tcPr>
            <w:tcW w:w="260" w:type="dxa"/>
            <w:vAlign w:val="bottom"/>
            <w:tcBorders>
              <w:top w:val="single" w:sz="8" w:color="0000EE"/>
            </w:tcBorders>
          </w:tcPr>
          <w:p>
            <w:pPr>
              <w:spacing w:after="0"/>
              <w:rPr>
                <w:sz w:val="22"/>
                <w:szCs w:val="22"/>
                <w:color w:val="auto"/>
              </w:rPr>
            </w:pPr>
          </w:p>
        </w:tc>
        <w:tc>
          <w:tcPr>
            <w:tcW w:w="220" w:type="dxa"/>
            <w:vAlign w:val="bottom"/>
            <w:tcBorders>
              <w:top w:val="single" w:sz="8" w:color="0000EE"/>
            </w:tcBorders>
          </w:tcPr>
          <w:p>
            <w:pPr>
              <w:spacing w:after="0"/>
              <w:rPr>
                <w:sz w:val="22"/>
                <w:szCs w:val="22"/>
                <w:color w:val="auto"/>
              </w:rPr>
            </w:pPr>
          </w:p>
        </w:tc>
        <w:tc>
          <w:tcPr>
            <w:tcW w:w="140" w:type="dxa"/>
            <w:vAlign w:val="bottom"/>
            <w:tcBorders>
              <w:top w:val="single" w:sz="8" w:color="0000EE"/>
            </w:tcBorders>
          </w:tcPr>
          <w:p>
            <w:pPr>
              <w:spacing w:after="0"/>
              <w:rPr>
                <w:sz w:val="22"/>
                <w:szCs w:val="22"/>
                <w:color w:val="auto"/>
              </w:rPr>
            </w:pPr>
          </w:p>
        </w:tc>
        <w:tc>
          <w:tcPr>
            <w:tcW w:w="20" w:type="dxa"/>
            <w:vAlign w:val="bottom"/>
            <w:tcBorders>
              <w:top w:val="single" w:sz="8" w:color="0000EE"/>
            </w:tcBorders>
          </w:tcPr>
          <w:p>
            <w:pPr>
              <w:spacing w:after="0"/>
              <w:rPr>
                <w:sz w:val="22"/>
                <w:szCs w:val="22"/>
                <w:color w:val="auto"/>
              </w:rPr>
            </w:pPr>
          </w:p>
        </w:tc>
        <w:tc>
          <w:tcPr>
            <w:tcW w:w="40" w:type="dxa"/>
            <w:vAlign w:val="bottom"/>
            <w:tcBorders>
              <w:top w:val="single" w:sz="8" w:color="0000EE"/>
            </w:tcBorders>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16"/>
        </w:trPr>
        <w:tc>
          <w:tcPr>
            <w:tcW w:w="480" w:type="dxa"/>
            <w:vAlign w:val="bottom"/>
          </w:tcPr>
          <w:p>
            <w:pPr>
              <w:spacing w:after="0"/>
              <w:rPr>
                <w:sz w:val="24"/>
                <w:szCs w:val="24"/>
                <w:color w:val="auto"/>
              </w:rPr>
            </w:pPr>
          </w:p>
        </w:tc>
        <w:tc>
          <w:tcPr>
            <w:tcW w:w="3440" w:type="dxa"/>
            <w:vAlign w:val="bottom"/>
            <w:gridSpan w:val="11"/>
          </w:tcPr>
          <w:p>
            <w:pPr>
              <w:spacing w:after="0"/>
              <w:rPr>
                <w:sz w:val="20"/>
                <w:szCs w:val="20"/>
                <w:color w:val="auto"/>
              </w:rPr>
            </w:pPr>
            <w:r>
              <w:rPr>
                <w:rFonts w:ascii="Arial" w:cs="Arial" w:eastAsia="Arial" w:hAnsi="Arial"/>
                <w:sz w:val="17"/>
                <w:szCs w:val="17"/>
                <w:color w:val="0000EE"/>
              </w:rPr>
              <w:t>Appendix B: Second Amended and</w:t>
            </w:r>
          </w:p>
        </w:tc>
        <w:tc>
          <w:tcPr>
            <w:tcW w:w="420" w:type="dxa"/>
            <w:vAlign w:val="bottom"/>
          </w:tcPr>
          <w:p>
            <w:pPr>
              <w:jc w:val="right"/>
              <w:spacing w:after="0"/>
              <w:rPr>
                <w:sz w:val="20"/>
                <w:szCs w:val="20"/>
                <w:color w:val="auto"/>
              </w:rPr>
            </w:pPr>
            <w:r>
              <w:rPr>
                <w:rFonts w:ascii="Arial" w:cs="Arial" w:eastAsia="Arial" w:hAnsi="Arial"/>
                <w:sz w:val="17"/>
                <w:szCs w:val="17"/>
                <w:color w:val="auto"/>
              </w:rPr>
              <w:t>100</w:t>
            </w:r>
          </w:p>
        </w:tc>
        <w:tc>
          <w:tcPr>
            <w:tcW w:w="0" w:type="dxa"/>
            <w:vAlign w:val="bottom"/>
          </w:tcPr>
          <w:p>
            <w:pPr>
              <w:spacing w:after="0"/>
              <w:rPr>
                <w:sz w:val="1"/>
                <w:szCs w:val="1"/>
                <w:color w:val="auto"/>
              </w:rPr>
            </w:pPr>
          </w:p>
        </w:tc>
      </w:tr>
      <w:tr>
        <w:trPr>
          <w:trHeight w:val="171"/>
        </w:trPr>
        <w:tc>
          <w:tcPr>
            <w:tcW w:w="480" w:type="dxa"/>
            <w:vAlign w:val="bottom"/>
          </w:tcPr>
          <w:p>
            <w:pPr>
              <w:spacing w:after="0"/>
              <w:rPr>
                <w:sz w:val="14"/>
                <w:szCs w:val="14"/>
                <w:color w:val="auto"/>
              </w:rPr>
            </w:pPr>
          </w:p>
        </w:tc>
        <w:tc>
          <w:tcPr>
            <w:tcW w:w="2640" w:type="dxa"/>
            <w:vAlign w:val="bottom"/>
            <w:tcBorders>
              <w:top w:val="single" w:sz="8" w:color="0000EE"/>
            </w:tcBorders>
            <w:gridSpan w:val="5"/>
          </w:tcPr>
          <w:p>
            <w:pPr>
              <w:spacing w:after="0" w:line="172" w:lineRule="exact"/>
              <w:rPr>
                <w:sz w:val="20"/>
                <w:szCs w:val="20"/>
                <w:color w:val="auto"/>
              </w:rPr>
            </w:pPr>
            <w:r>
              <w:rPr>
                <w:rFonts w:ascii="Arial" w:cs="Arial" w:eastAsia="Arial" w:hAnsi="Arial"/>
                <w:sz w:val="17"/>
                <w:szCs w:val="17"/>
                <w:color w:val="0000EE"/>
                <w:w w:val="96"/>
              </w:rPr>
              <w:t>Restated Certificate of Incorporation</w:t>
            </w:r>
          </w:p>
        </w:tc>
        <w:tc>
          <w:tcPr>
            <w:tcW w:w="800" w:type="dxa"/>
            <w:vAlign w:val="bottom"/>
            <w:gridSpan w:val="6"/>
          </w:tcPr>
          <w:p>
            <w:pPr>
              <w:ind w:left="120"/>
              <w:spacing w:after="0" w:line="172" w:lineRule="exact"/>
              <w:rPr>
                <w:sz w:val="20"/>
                <w:szCs w:val="20"/>
                <w:color w:val="auto"/>
              </w:rPr>
            </w:pPr>
            <w:r>
              <w:rPr>
                <w:rFonts w:ascii="Arial" w:cs="Arial" w:eastAsia="Arial" w:hAnsi="Arial"/>
                <w:sz w:val="17"/>
                <w:szCs w:val="17"/>
                <w:color w:val="0000EE"/>
              </w:rPr>
              <w:t>of LPL</w:t>
            </w: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484" w:hanging="484"/>
        <w:spacing w:after="0" w:line="183" w:lineRule="auto"/>
        <w:tabs>
          <w:tab w:leader="none" w:pos="484" w:val="left"/>
        </w:tabs>
        <w:numPr>
          <w:ilvl w:val="0"/>
          <w:numId w:val="13"/>
        </w:numPr>
        <w:rPr>
          <w:rFonts w:ascii="Arial" w:cs="Arial" w:eastAsia="Arial" w:hAnsi="Arial"/>
          <w:sz w:val="25"/>
          <w:szCs w:val="25"/>
          <w:b w:val="1"/>
          <w:bCs w:val="1"/>
          <w:color w:val="auto"/>
          <w:vertAlign w:val="subscript"/>
        </w:rPr>
      </w:pPr>
      <w:r>
        <w:rPr>
          <w:rFonts w:ascii="Arial" w:cs="Arial" w:eastAsia="Arial" w:hAnsi="Arial"/>
          <w:sz w:val="14"/>
          <w:szCs w:val="14"/>
          <w:u w:val="single" w:color="auto"/>
          <w:color w:val="0000EE"/>
        </w:rPr>
        <w:t>Financial Holdings Inc.</w:t>
      </w:r>
    </w:p>
    <w:p>
      <w:pPr>
        <w:spacing w:after="0" w:line="1402" w:lineRule="exact"/>
        <w:rPr>
          <w:sz w:val="20"/>
          <w:szCs w:val="20"/>
          <w:color w:val="auto"/>
        </w:rPr>
      </w:pPr>
    </w:p>
    <w:p>
      <w:pPr>
        <w:sectPr>
          <w:pgSz w:w="11900" w:h="16838" w:orient="portrait"/>
          <w:cols w:equalWidth="0" w:num="3">
            <w:col w:w="2000" w:space="720"/>
            <w:col w:w="3360" w:space="236"/>
            <w:col w:w="4344"/>
          </w:cols>
          <w:pgMar w:left="320" w:top="464" w:right="9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420"/>
        <w:spacing w:after="0"/>
        <w:rPr>
          <w:sz w:val="20"/>
          <w:szCs w:val="20"/>
          <w:color w:val="auto"/>
        </w:rPr>
      </w:pPr>
      <w:r>
        <w:rPr>
          <w:rFonts w:ascii="Arial" w:cs="Arial" w:eastAsia="Arial" w:hAnsi="Arial"/>
          <w:sz w:val="15"/>
          <w:szCs w:val="15"/>
          <w:color w:val="auto"/>
        </w:rPr>
        <w:t xml:space="preserve">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tabs>
          <w:tab w:leader="none" w:pos="400" w:val="left"/>
        </w:tabs>
        <w:rPr>
          <w:sz w:val="20"/>
          <w:szCs w:val="20"/>
          <w:color w:val="auto"/>
        </w:rPr>
      </w:pPr>
      <w:r>
        <w:rPr>
          <w:rFonts w:ascii="Arial" w:cs="Arial" w:eastAsia="Arial" w:hAnsi="Arial"/>
          <w:sz w:val="30"/>
          <w:szCs w:val="30"/>
          <w:color w:val="000000"/>
          <w:vertAlign w:val="superscript"/>
        </w:rPr>
        <w:t xml:space="preserve">    </w:t>
      </w:r>
      <w:r>
        <w:rPr>
          <w:sz w:val="20"/>
          <w:szCs w:val="20"/>
          <w:color w:val="auto"/>
        </w:rPr>
        <w:tab/>
      </w:r>
      <w:r>
        <w:rPr>
          <w:rFonts w:ascii="Arial" w:cs="Arial" w:eastAsia="Arial" w:hAnsi="Arial"/>
          <w:sz w:val="14"/>
          <w:szCs w:val="14"/>
          <w:b w:val="1"/>
          <w:bCs w:val="1"/>
          <w:color w:val="002B5F"/>
        </w:rPr>
        <w:t xml:space="preserve">  </w:t>
      </w:r>
      <w:r>
        <w:rPr>
          <w:rFonts w:ascii="Arial" w:cs="Arial" w:eastAsia="Arial" w:hAnsi="Arial"/>
          <w:sz w:val="18"/>
          <w:szCs w:val="18"/>
          <w:color w:val="002B5F"/>
        </w:rPr>
        <w:t xml:space="preserve">   </w:t>
      </w:r>
      <w:r>
        <w:rPr>
          <w:rFonts w:ascii="Arial" w:cs="Arial" w:eastAsia="Arial" w:hAnsi="Arial"/>
          <w:sz w:val="14"/>
          <w:szCs w:val="14"/>
          <w:b w:val="1"/>
          <w:bCs w:val="1"/>
          <w:color w:val="002B5F"/>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4587875</wp:posOffset>
            </wp:positionH>
            <wp:positionV relativeFrom="paragraph">
              <wp:posOffset>-201930</wp:posOffset>
            </wp:positionV>
            <wp:extent cx="769620" cy="971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69620" cy="97155"/>
                    </a:xfrm>
                    <a:prstGeom prst="rect">
                      <a:avLst/>
                    </a:prstGeom>
                    <a:noFill/>
                  </pic:spPr>
                </pic:pic>
              </a:graphicData>
            </a:graphic>
          </wp:anchor>
        </w:drawing>
      </w:r>
    </w:p>
    <w:p>
      <w:pPr>
        <w:sectPr>
          <w:pgSz w:w="11900" w:h="16838" w:orient="portrait"/>
          <w:cols w:equalWidth="0" w:num="2">
            <w:col w:w="1680" w:space="720"/>
            <w:col w:w="8260"/>
          </w:cols>
          <w:pgMar w:left="320" w:top="464" w:right="91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533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81215" cy="5334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5617845</wp:posOffset>
            </wp:positionH>
            <wp:positionV relativeFrom="paragraph">
              <wp:posOffset>253365</wp:posOffset>
            </wp:positionV>
            <wp:extent cx="1256030" cy="74720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56030" cy="7472045"/>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ind w:left="540"/>
        <w:spacing w:after="0"/>
        <w:rPr>
          <w:sz w:val="20"/>
          <w:szCs w:val="20"/>
          <w:color w:val="auto"/>
        </w:rPr>
      </w:pPr>
      <w:r>
        <w:rPr>
          <w:rFonts w:ascii="Arial" w:cs="Arial" w:eastAsia="Arial" w:hAnsi="Arial"/>
          <w:sz w:val="26"/>
          <w:szCs w:val="26"/>
          <w:color w:val="B95827"/>
        </w:rPr>
        <w:t>LPL FINANCIAL HOLDINGS INC.</w:t>
      </w:r>
    </w:p>
    <w:tbl>
      <w:tblPr>
        <w:tblLayout w:type="fixed"/>
        <w:tblInd w:w="540" w:type="dxa"/>
        <w:tblCellMar>
          <w:top w:w="0" w:type="dxa"/>
          <w:left w:w="0" w:type="dxa"/>
          <w:bottom w:w="0" w:type="dxa"/>
          <w:right w:w="0" w:type="dxa"/>
        </w:tblCellMar>
      </w:tblPr>
      <w:tr>
        <w:trPr>
          <w:trHeight w:val="146"/>
        </w:trPr>
        <w:tc>
          <w:tcPr>
            <w:tcW w:w="7880" w:type="dxa"/>
            <w:vAlign w:val="bottom"/>
          </w:tcPr>
          <w:p>
            <w:pPr>
              <w:spacing w:after="0"/>
              <w:rPr>
                <w:sz w:val="12"/>
                <w:szCs w:val="12"/>
                <w:color w:val="auto"/>
              </w:rPr>
            </w:pPr>
          </w:p>
        </w:tc>
        <w:tc>
          <w:tcPr>
            <w:tcW w:w="660" w:type="dxa"/>
            <w:vAlign w:val="bottom"/>
          </w:tcPr>
          <w:p>
            <w:pPr>
              <w:ind w:left="460"/>
              <w:spacing w:after="0" w:line="146" w:lineRule="exact"/>
              <w:rPr>
                <w:sz w:val="20"/>
                <w:szCs w:val="20"/>
                <w:color w:val="auto"/>
              </w:rPr>
            </w:pPr>
            <w:r>
              <w:rPr>
                <w:rFonts w:ascii="Arial" w:cs="Arial" w:eastAsia="Arial" w:hAnsi="Arial"/>
                <w:sz w:val="15"/>
                <w:szCs w:val="15"/>
                <w:color w:val="auto"/>
              </w:rPr>
              <w:t> </w:t>
            </w:r>
          </w:p>
        </w:tc>
        <w:tc>
          <w:tcPr>
            <w:tcW w:w="1280" w:type="dxa"/>
            <w:vAlign w:val="bottom"/>
          </w:tcPr>
          <w:p>
            <w:pPr>
              <w:ind w:left="140"/>
              <w:spacing w:after="0"/>
              <w:rPr>
                <w:sz w:val="20"/>
                <w:szCs w:val="20"/>
                <w:color w:val="auto"/>
              </w:rPr>
            </w:pPr>
            <w:r>
              <w:rPr>
                <w:rFonts w:ascii="Arial" w:cs="Arial" w:eastAsia="Arial" w:hAnsi="Arial"/>
                <w:sz w:val="12"/>
                <w:szCs w:val="12"/>
                <w:b w:val="1"/>
                <w:bCs w:val="1"/>
                <w:color w:val="FFFFFF"/>
              </w:rPr>
              <w:t>General</w:t>
            </w:r>
          </w:p>
        </w:tc>
        <w:tc>
          <w:tcPr>
            <w:tcW w:w="440" w:type="dxa"/>
            <w:vAlign w:val="bottom"/>
          </w:tcPr>
          <w:p>
            <w:pPr>
              <w:ind w:left="80"/>
              <w:spacing w:after="0" w:line="146" w:lineRule="exact"/>
              <w:rPr>
                <w:sz w:val="20"/>
                <w:szCs w:val="20"/>
                <w:color w:val="auto"/>
              </w:rPr>
            </w:pPr>
            <w:r>
              <w:rPr>
                <w:rFonts w:ascii="Arial" w:cs="Arial" w:eastAsia="Arial" w:hAnsi="Arial"/>
                <w:sz w:val="15"/>
                <w:szCs w:val="15"/>
                <w:color w:val="auto"/>
              </w:rPr>
              <w:t xml:space="preserve">       </w:t>
            </w:r>
          </w:p>
        </w:tc>
        <w:tc>
          <w:tcPr>
            <w:tcW w:w="0" w:type="dxa"/>
            <w:vAlign w:val="bottom"/>
          </w:tcPr>
          <w:p>
            <w:pPr>
              <w:spacing w:after="0"/>
              <w:rPr>
                <w:sz w:val="1"/>
                <w:szCs w:val="1"/>
                <w:color w:val="auto"/>
              </w:rPr>
            </w:pPr>
          </w:p>
        </w:tc>
      </w:tr>
      <w:tr>
        <w:trPr>
          <w:trHeight w:val="164"/>
        </w:trPr>
        <w:tc>
          <w:tcPr>
            <w:tcW w:w="8540" w:type="dxa"/>
            <w:vAlign w:val="bottom"/>
            <w:gridSpan w:val="2"/>
            <w:vMerge w:val="restart"/>
          </w:tcPr>
          <w:p>
            <w:pPr>
              <w:spacing w:after="0" w:line="268" w:lineRule="exact"/>
              <w:rPr>
                <w:sz w:val="20"/>
                <w:szCs w:val="20"/>
                <w:color w:val="auto"/>
              </w:rPr>
            </w:pPr>
            <w:r>
              <w:rPr>
                <w:rFonts w:ascii="Arial" w:cs="Arial" w:eastAsia="Arial" w:hAnsi="Arial"/>
                <w:sz w:val="26"/>
                <w:szCs w:val="26"/>
                <w:color w:val="B95827"/>
              </w:rPr>
              <w:t>PROXY STATEMENT</w:t>
            </w:r>
          </w:p>
        </w:tc>
        <w:tc>
          <w:tcPr>
            <w:tcW w:w="1280" w:type="dxa"/>
            <w:vAlign w:val="bottom"/>
          </w:tcPr>
          <w:p>
            <w:pPr>
              <w:ind w:left="140"/>
              <w:spacing w:after="0"/>
              <w:rPr>
                <w:sz w:val="20"/>
                <w:szCs w:val="20"/>
                <w:color w:val="auto"/>
              </w:rPr>
            </w:pPr>
            <w:r>
              <w:rPr>
                <w:rFonts w:ascii="Arial" w:cs="Arial" w:eastAsia="Arial" w:hAnsi="Arial"/>
                <w:sz w:val="12"/>
                <w:szCs w:val="12"/>
                <w:b w:val="1"/>
                <w:bCs w:val="1"/>
                <w:color w:val="FFFFFF"/>
              </w:rPr>
              <w:t>Information</w:t>
            </w: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5"/>
        </w:trPr>
        <w:tc>
          <w:tcPr>
            <w:tcW w:w="8540" w:type="dxa"/>
            <w:vAlign w:val="bottom"/>
            <w:gridSpan w:val="2"/>
            <w:vMerge w:val="continue"/>
          </w:tcPr>
          <w:p>
            <w:pPr>
              <w:spacing w:after="0"/>
              <w:rPr>
                <w:sz w:val="9"/>
                <w:szCs w:val="9"/>
                <w:color w:val="auto"/>
              </w:rPr>
            </w:pPr>
          </w:p>
        </w:tc>
        <w:tc>
          <w:tcPr>
            <w:tcW w:w="1280" w:type="dxa"/>
            <w:vAlign w:val="bottom"/>
            <w:vMerge w:val="restart"/>
          </w:tcPr>
          <w:p>
            <w:pPr>
              <w:ind w:left="140"/>
              <w:spacing w:after="0"/>
              <w:rPr>
                <w:sz w:val="20"/>
                <w:szCs w:val="20"/>
                <w:color w:val="auto"/>
              </w:rPr>
            </w:pPr>
            <w:r>
              <w:rPr>
                <w:rFonts w:ascii="Arial" w:cs="Arial" w:eastAsia="Arial" w:hAnsi="Arial"/>
                <w:sz w:val="12"/>
                <w:szCs w:val="12"/>
                <w:color w:val="FFFFFF"/>
              </w:rPr>
              <w:t>General Information</w:t>
            </w: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8540" w:type="dxa"/>
            <w:vAlign w:val="bottom"/>
            <w:gridSpan w:val="2"/>
            <w:vMerge w:val="restart"/>
          </w:tcPr>
          <w:p>
            <w:pPr>
              <w:spacing w:after="0" w:line="255" w:lineRule="exact"/>
              <w:rPr>
                <w:sz w:val="20"/>
                <w:szCs w:val="20"/>
                <w:color w:val="auto"/>
              </w:rPr>
            </w:pPr>
            <w:r>
              <w:rPr>
                <w:rFonts w:ascii="Arial" w:cs="Arial" w:eastAsia="Arial" w:hAnsi="Arial"/>
                <w:sz w:val="26"/>
                <w:szCs w:val="26"/>
                <w:color w:val="B95827"/>
              </w:rPr>
              <w:t>2026 ANNUAL MEETING OF STOCKHOLDERS</w:t>
            </w:r>
          </w:p>
        </w:tc>
        <w:tc>
          <w:tcPr>
            <w:tcW w:w="1280" w:type="dxa"/>
            <w:vAlign w:val="bottom"/>
            <w:vMerge w:val="continue"/>
          </w:tcPr>
          <w:p>
            <w:pPr>
              <w:spacing w:after="0"/>
              <w:rPr>
                <w:sz w:val="10"/>
                <w:szCs w:val="10"/>
                <w:color w:val="auto"/>
              </w:rPr>
            </w:pP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8540" w:type="dxa"/>
            <w:vAlign w:val="bottom"/>
            <w:gridSpan w:val="2"/>
            <w:vMerge w:val="continue"/>
          </w:tcPr>
          <w:p>
            <w:pPr>
              <w:spacing w:after="0"/>
              <w:rPr>
                <w:sz w:val="11"/>
                <w:szCs w:val="11"/>
                <w:color w:val="auto"/>
              </w:rPr>
            </w:pPr>
          </w:p>
        </w:tc>
        <w:tc>
          <w:tcPr>
            <w:tcW w:w="1280" w:type="dxa"/>
            <w:vAlign w:val="bottom"/>
          </w:tcPr>
          <w:p>
            <w:pPr>
              <w:ind w:left="140"/>
              <w:spacing w:after="0" w:line="133" w:lineRule="exact"/>
              <w:rPr>
                <w:sz w:val="20"/>
                <w:szCs w:val="20"/>
                <w:color w:val="auto"/>
              </w:rPr>
            </w:pPr>
            <w:r>
              <w:rPr>
                <w:rFonts w:ascii="Arial" w:cs="Arial" w:eastAsia="Arial" w:hAnsi="Arial"/>
                <w:sz w:val="12"/>
                <w:szCs w:val="12"/>
                <w:color w:val="FFFFFF"/>
              </w:rPr>
              <w:t>About Corporate</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8540" w:type="dxa"/>
            <w:vAlign w:val="bottom"/>
            <w:gridSpan w:val="2"/>
            <w:vMerge w:val="restart"/>
          </w:tcPr>
          <w:p>
            <w:pPr>
              <w:spacing w:after="0" w:line="135" w:lineRule="exact"/>
              <w:rPr>
                <w:sz w:val="20"/>
                <w:szCs w:val="20"/>
                <w:color w:val="auto"/>
              </w:rPr>
            </w:pPr>
            <w:r>
              <w:rPr>
                <w:rFonts w:ascii="Times New Roman" w:cs="Times New Roman" w:eastAsia="Times New Roman" w:hAnsi="Times New Roman"/>
                <w:sz w:val="14"/>
                <w:szCs w:val="14"/>
                <w:b w:val="1"/>
                <w:bCs w:val="1"/>
                <w:color w:val="002B5F"/>
              </w:rPr>
              <w:t>General Information</w:t>
            </w:r>
          </w:p>
        </w:tc>
        <w:tc>
          <w:tcPr>
            <w:tcW w:w="1280" w:type="dxa"/>
            <w:vAlign w:val="bottom"/>
          </w:tcPr>
          <w:p>
            <w:pPr>
              <w:ind w:left="140"/>
              <w:spacing w:after="0" w:line="135" w:lineRule="exact"/>
              <w:rPr>
                <w:sz w:val="20"/>
                <w:szCs w:val="20"/>
                <w:color w:val="auto"/>
              </w:rPr>
            </w:pPr>
            <w:r>
              <w:rPr>
                <w:rFonts w:ascii="Arial" w:cs="Arial" w:eastAsia="Arial" w:hAnsi="Arial"/>
                <w:sz w:val="12"/>
                <w:szCs w:val="12"/>
                <w:color w:val="FFFFFF"/>
              </w:rPr>
              <w:t>Governance</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0"/>
        </w:trPr>
        <w:tc>
          <w:tcPr>
            <w:tcW w:w="8540" w:type="dxa"/>
            <w:vAlign w:val="bottom"/>
            <w:gridSpan w:val="2"/>
            <w:vMerge w:val="continue"/>
          </w:tcPr>
          <w:p>
            <w:pPr>
              <w:spacing w:after="0" w:line="20" w:lineRule="exact"/>
              <w:rPr>
                <w:sz w:val="1"/>
                <w:szCs w:val="1"/>
                <w:color w:val="auto"/>
              </w:rPr>
            </w:pPr>
          </w:p>
        </w:tc>
        <w:tc>
          <w:tcPr>
            <w:tcW w:w="1280" w:type="dxa"/>
            <w:vAlign w:val="bottom"/>
          </w:tcPr>
          <w:p>
            <w:pPr>
              <w:ind w:left="140"/>
              <w:spacing w:after="0" w:line="1" w:lineRule="exact"/>
              <w:rPr>
                <w:sz w:val="20"/>
                <w:szCs w:val="20"/>
                <w:color w:val="auto"/>
              </w:rPr>
            </w:pPr>
            <w:r>
              <w:rPr>
                <w:rFonts w:ascii="Arial" w:cs="Arial" w:eastAsia="Arial" w:hAnsi="Arial"/>
                <w:sz w:val="1"/>
                <w:szCs w:val="1"/>
                <w:color w:val="FFFFFF"/>
              </w:rPr>
              <w:t>Proposal 1</w:t>
            </w: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78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80" w:type="dxa"/>
            <w:vAlign w:val="bottom"/>
          </w:tcPr>
          <w:p>
            <w:pPr>
              <w:ind w:left="140"/>
              <w:spacing w:after="0" w:line="116" w:lineRule="exact"/>
              <w:rPr>
                <w:sz w:val="20"/>
                <w:szCs w:val="20"/>
                <w:color w:val="auto"/>
              </w:rPr>
            </w:pPr>
            <w:r>
              <w:rPr>
                <w:rFonts w:ascii="Arial" w:cs="Arial" w:eastAsia="Arial" w:hAnsi="Arial"/>
                <w:sz w:val="12"/>
                <w:szCs w:val="12"/>
                <w:color w:val="FFFFFF"/>
              </w:rPr>
              <w:t>and the Board of</w:t>
            </w: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78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Directors</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7880" w:type="dxa"/>
            <w:vAlign w:val="bottom"/>
            <w:tcBorders>
              <w:bottom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1280" w:type="dxa"/>
            <w:vAlign w:val="bottom"/>
            <w:vMerge w:val="restart"/>
          </w:tcPr>
          <w:p>
            <w:pPr>
              <w:ind w:left="140"/>
              <w:spacing w:after="0"/>
              <w:rPr>
                <w:sz w:val="20"/>
                <w:szCs w:val="20"/>
                <w:color w:val="auto"/>
              </w:rPr>
            </w:pPr>
            <w:r>
              <w:rPr>
                <w:rFonts w:ascii="Arial" w:cs="Arial" w:eastAsia="Arial" w:hAnsi="Arial"/>
                <w:sz w:val="12"/>
                <w:szCs w:val="12"/>
                <w:color w:val="FFFFFF"/>
              </w:rPr>
              <w:t>Regarding Board</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8540" w:type="dxa"/>
            <w:vAlign w:val="bottom"/>
            <w:gridSpan w:val="2"/>
          </w:tcPr>
          <w:p>
            <w:pPr>
              <w:spacing w:after="0" w:line="115" w:lineRule="exact"/>
              <w:rPr>
                <w:sz w:val="20"/>
                <w:szCs w:val="20"/>
                <w:color w:val="auto"/>
              </w:rPr>
            </w:pPr>
            <w:r>
              <w:rPr>
                <w:rFonts w:ascii="Arial" w:cs="Arial" w:eastAsia="Arial" w:hAnsi="Arial"/>
                <w:sz w:val="13"/>
                <w:szCs w:val="13"/>
                <w:color w:val="B95827"/>
              </w:rPr>
              <w:t>Introduction</w:t>
            </w:r>
          </w:p>
        </w:tc>
        <w:tc>
          <w:tcPr>
            <w:tcW w:w="1280" w:type="dxa"/>
            <w:vAlign w:val="bottom"/>
            <w:vMerge w:val="continue"/>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78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Information</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8540" w:type="dxa"/>
            <w:vAlign w:val="bottom"/>
            <w:gridSpan w:val="2"/>
            <w:vMerge w:val="restart"/>
          </w:tcPr>
          <w:p>
            <w:pPr>
              <w:spacing w:after="0"/>
              <w:rPr>
                <w:sz w:val="20"/>
                <w:szCs w:val="20"/>
                <w:color w:val="auto"/>
              </w:rPr>
            </w:pPr>
            <w:r>
              <w:rPr>
                <w:rFonts w:ascii="Arial" w:cs="Arial" w:eastAsia="Arial" w:hAnsi="Arial"/>
                <w:sz w:val="15"/>
                <w:szCs w:val="15"/>
                <w:color w:val="auto"/>
              </w:rPr>
              <w:t>This proxy statement and the accompanying Notice of Annual Meeting of Stockholders are being furnished to the</w:t>
            </w:r>
          </w:p>
        </w:tc>
        <w:tc>
          <w:tcPr>
            <w:tcW w:w="1280" w:type="dxa"/>
            <w:vAlign w:val="bottom"/>
          </w:tcPr>
          <w:p>
            <w:pPr>
              <w:ind w:left="140"/>
              <w:spacing w:after="0"/>
              <w:rPr>
                <w:sz w:val="20"/>
                <w:szCs w:val="20"/>
                <w:color w:val="auto"/>
              </w:rPr>
            </w:pPr>
            <w:r>
              <w:rPr>
                <w:rFonts w:ascii="Arial" w:cs="Arial" w:eastAsia="Arial" w:hAnsi="Arial"/>
                <w:sz w:val="12"/>
                <w:szCs w:val="12"/>
                <w:color w:val="FFFFFF"/>
              </w:rPr>
              <w:t>and Committee</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8540" w:type="dxa"/>
            <w:vAlign w:val="bottom"/>
            <w:gridSpan w:val="2"/>
            <w:vMerge w:val="continue"/>
          </w:tcPr>
          <w:p>
            <w:pPr>
              <w:spacing w:after="0"/>
              <w:rPr>
                <w:sz w:val="13"/>
                <w:szCs w:val="13"/>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Structure</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8540" w:type="dxa"/>
            <w:vAlign w:val="bottom"/>
            <w:gridSpan w:val="2"/>
          </w:tcPr>
          <w:p>
            <w:pPr>
              <w:spacing w:after="0"/>
              <w:rPr>
                <w:sz w:val="20"/>
                <w:szCs w:val="20"/>
                <w:color w:val="auto"/>
              </w:rPr>
            </w:pPr>
            <w:r>
              <w:rPr>
                <w:rFonts w:ascii="Arial" w:cs="Arial" w:eastAsia="Arial" w:hAnsi="Arial"/>
                <w:sz w:val="15"/>
                <w:szCs w:val="15"/>
                <w:color w:val="auto"/>
              </w:rPr>
              <w:t>holders of common stock, $0.001 par value per share (the “Common Stock”), of LPL Financial Holdings Inc., a</w:t>
            </w:r>
          </w:p>
        </w:tc>
        <w:tc>
          <w:tcPr>
            <w:tcW w:w="1280" w:type="dxa"/>
            <w:vAlign w:val="bottom"/>
            <w:vMerge w:val="restart"/>
          </w:tcPr>
          <w:p>
            <w:pPr>
              <w:ind w:left="140"/>
              <w:spacing w:after="0"/>
              <w:rPr>
                <w:sz w:val="20"/>
                <w:szCs w:val="20"/>
                <w:color w:val="auto"/>
              </w:rPr>
            </w:pPr>
            <w:r>
              <w:rPr>
                <w:rFonts w:ascii="Arial" w:cs="Arial" w:eastAsia="Arial" w:hAnsi="Arial"/>
                <w:sz w:val="12"/>
                <w:szCs w:val="12"/>
                <w:color w:val="FFFFFF"/>
              </w:rPr>
              <w:t>Board of Directors</w:t>
            </w: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4"/>
        </w:trPr>
        <w:tc>
          <w:tcPr>
            <w:tcW w:w="8540" w:type="dxa"/>
            <w:vAlign w:val="bottom"/>
            <w:gridSpan w:val="2"/>
            <w:vMerge w:val="restart"/>
          </w:tcPr>
          <w:p>
            <w:pPr>
              <w:spacing w:after="0"/>
              <w:rPr>
                <w:sz w:val="20"/>
                <w:szCs w:val="20"/>
                <w:color w:val="auto"/>
              </w:rPr>
            </w:pPr>
            <w:r>
              <w:rPr>
                <w:rFonts w:ascii="Arial" w:cs="Arial" w:eastAsia="Arial" w:hAnsi="Arial"/>
                <w:sz w:val="15"/>
                <w:szCs w:val="15"/>
                <w:color w:val="auto"/>
              </w:rPr>
              <w:t>Delaware corporation (the “Company,” “we” or “our”), in connection with the Company’s 2026 annual meeting of</w:t>
            </w:r>
          </w:p>
        </w:tc>
        <w:tc>
          <w:tcPr>
            <w:tcW w:w="1280" w:type="dxa"/>
            <w:vAlign w:val="bottom"/>
            <w:vMerge w:val="continue"/>
          </w:tcPr>
          <w:p>
            <w:pPr>
              <w:spacing w:after="0"/>
              <w:rPr>
                <w:sz w:val="7"/>
                <w:szCs w:val="7"/>
                <w:color w:val="auto"/>
              </w:rPr>
            </w:pPr>
          </w:p>
        </w:tc>
        <w:tc>
          <w:tcPr>
            <w:tcW w:w="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8540" w:type="dxa"/>
            <w:vAlign w:val="bottom"/>
            <w:gridSpan w:val="2"/>
            <w:vMerge w:val="continue"/>
          </w:tcPr>
          <w:p>
            <w:pPr>
              <w:spacing w:after="0"/>
              <w:rPr>
                <w:sz w:val="8"/>
                <w:szCs w:val="8"/>
                <w:color w:val="auto"/>
              </w:rPr>
            </w:pPr>
          </w:p>
        </w:tc>
        <w:tc>
          <w:tcPr>
            <w:tcW w:w="1280" w:type="dxa"/>
            <w:vAlign w:val="bottom"/>
            <w:vMerge w:val="restart"/>
          </w:tcPr>
          <w:p>
            <w:pPr>
              <w:ind w:left="140"/>
              <w:spacing w:after="0"/>
              <w:rPr>
                <w:sz w:val="20"/>
                <w:szCs w:val="20"/>
                <w:color w:val="auto"/>
              </w:rPr>
            </w:pPr>
            <w:r>
              <w:rPr>
                <w:rFonts w:ascii="Arial" w:cs="Arial" w:eastAsia="Arial" w:hAnsi="Arial"/>
                <w:sz w:val="12"/>
                <w:szCs w:val="12"/>
                <w:color w:val="FFFFFF"/>
              </w:rPr>
              <w:t>Compensation</w:t>
            </w: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3"/>
        </w:trPr>
        <w:tc>
          <w:tcPr>
            <w:tcW w:w="8540" w:type="dxa"/>
            <w:vAlign w:val="bottom"/>
            <w:gridSpan w:val="2"/>
            <w:vMerge w:val="restart"/>
          </w:tcPr>
          <w:p>
            <w:pPr>
              <w:spacing w:after="0"/>
              <w:rPr>
                <w:sz w:val="20"/>
                <w:szCs w:val="20"/>
                <w:color w:val="auto"/>
              </w:rPr>
            </w:pPr>
            <w:r>
              <w:rPr>
                <w:rFonts w:ascii="Arial" w:cs="Arial" w:eastAsia="Arial" w:hAnsi="Arial"/>
                <w:sz w:val="15"/>
                <w:szCs w:val="15"/>
                <w:color w:val="auto"/>
              </w:rPr>
              <w:t>stockholders (the “Annual Meeting”).</w:t>
            </w:r>
          </w:p>
        </w:tc>
        <w:tc>
          <w:tcPr>
            <w:tcW w:w="128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8"/>
        </w:trPr>
        <w:tc>
          <w:tcPr>
            <w:tcW w:w="8540" w:type="dxa"/>
            <w:vAlign w:val="bottom"/>
            <w:gridSpan w:val="2"/>
            <w:vMerge w:val="continue"/>
          </w:tcPr>
          <w:p>
            <w:pPr>
              <w:spacing w:after="0"/>
              <w:rPr>
                <w:sz w:val="11"/>
                <w:szCs w:val="11"/>
                <w:color w:val="auto"/>
              </w:rPr>
            </w:pPr>
          </w:p>
        </w:tc>
        <w:tc>
          <w:tcPr>
            <w:tcW w:w="1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0800"/>
          </w:cols>
          <w:pgMar w:left="320" w:top="464" w:right="779" w:bottom="1440" w:gutter="0" w:footer="0" w:header="0"/>
        </w:sectPr>
      </w:pPr>
    </w:p>
    <w:p>
      <w:pPr>
        <w:spacing w:after="0" w:line="79" w:lineRule="exact"/>
        <w:rPr>
          <w:sz w:val="20"/>
          <w:szCs w:val="20"/>
          <w:color w:val="auto"/>
        </w:rPr>
      </w:pPr>
    </w:p>
    <w:p>
      <w:pPr>
        <w:ind w:left="540" w:right="340"/>
        <w:spacing w:after="0" w:line="287" w:lineRule="auto"/>
        <w:rPr>
          <w:sz w:val="20"/>
          <w:szCs w:val="20"/>
          <w:color w:val="auto"/>
        </w:rPr>
      </w:pPr>
      <w:r>
        <w:rPr>
          <w:rFonts w:ascii="Arial" w:cs="Arial" w:eastAsia="Arial" w:hAnsi="Arial"/>
          <w:sz w:val="15"/>
          <w:szCs w:val="15"/>
          <w:color w:val="auto"/>
        </w:rPr>
        <w:t>As a stockholder of the Company as of 5:00 p.m., Eastern Time, on March 16, 2026 (the “Record Date”), you are entitled and requested to vote on the items of business described in this proxy statement.</w:t>
      </w:r>
    </w:p>
    <w:p>
      <w:pPr>
        <w:spacing w:after="0" w:line="47" w:lineRule="exact"/>
        <w:rPr>
          <w:sz w:val="20"/>
          <w:szCs w:val="20"/>
          <w:color w:val="auto"/>
        </w:rPr>
      </w:pPr>
    </w:p>
    <w:p>
      <w:pPr>
        <w:ind w:left="540" w:right="120"/>
        <w:spacing w:after="0" w:line="287" w:lineRule="auto"/>
        <w:rPr>
          <w:sz w:val="20"/>
          <w:szCs w:val="20"/>
          <w:color w:val="auto"/>
        </w:rPr>
      </w:pPr>
      <w:r>
        <w:rPr>
          <w:rFonts w:ascii="Arial" w:cs="Arial" w:eastAsia="Arial" w:hAnsi="Arial"/>
          <w:sz w:val="15"/>
          <w:szCs w:val="15"/>
          <w:color w:val="auto"/>
        </w:rPr>
        <w:t>The Annual Meeting will be held on Thursday, May 14, 2026 at the offices of the Company, 1055 LPL Way, Fort Mill, South Carolina 29715, at 8:00 a.m., local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341630</wp:posOffset>
            </wp:positionH>
            <wp:positionV relativeFrom="paragraph">
              <wp:posOffset>110490</wp:posOffset>
            </wp:positionV>
            <wp:extent cx="4999990" cy="54292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4999990" cy="5429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FFFFFF"/>
        </w:rPr>
        <w:t>Compensation</w:t>
      </w:r>
    </w:p>
    <w:p>
      <w:pPr>
        <w:spacing w:after="0" w:line="221" w:lineRule="auto"/>
        <w:rPr>
          <w:sz w:val="20"/>
          <w:szCs w:val="20"/>
          <w:color w:val="auto"/>
        </w:rPr>
      </w:pPr>
      <w:r>
        <w:rPr>
          <w:rFonts w:ascii="Arial" w:cs="Arial" w:eastAsia="Arial" w:hAnsi="Arial"/>
          <w:sz w:val="12"/>
          <w:szCs w:val="12"/>
          <w:color w:val="FFFFFF"/>
        </w:rPr>
        <w:t>Discussion and</w:t>
      </w:r>
    </w:p>
    <w:p>
      <w:pPr>
        <w:spacing w:after="0" w:line="1" w:lineRule="exact"/>
        <w:rPr>
          <w:sz w:val="20"/>
          <w:szCs w:val="20"/>
          <w:color w:val="auto"/>
        </w:rPr>
      </w:pPr>
    </w:p>
    <w:p>
      <w:pPr>
        <w:spacing w:after="0"/>
        <w:rPr>
          <w:sz w:val="20"/>
          <w:szCs w:val="20"/>
          <w:color w:val="auto"/>
        </w:rPr>
      </w:pPr>
      <w:r>
        <w:rPr>
          <w:rFonts w:ascii="Arial" w:cs="Arial" w:eastAsia="Arial" w:hAnsi="Arial"/>
          <w:sz w:val="12"/>
          <w:szCs w:val="12"/>
          <w:color w:val="FFFFFF"/>
        </w:rPr>
        <w:t>Analysis</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Report of the</w:t>
      </w:r>
    </w:p>
    <w:p>
      <w:pPr>
        <w:spacing w:after="0" w:line="224" w:lineRule="auto"/>
        <w:rPr>
          <w:sz w:val="20"/>
          <w:szCs w:val="20"/>
          <w:color w:val="auto"/>
        </w:rPr>
      </w:pPr>
      <w:r>
        <w:rPr>
          <w:rFonts w:ascii="Arial" w:cs="Arial" w:eastAsia="Arial" w:hAnsi="Arial"/>
          <w:sz w:val="12"/>
          <w:szCs w:val="12"/>
          <w:color w:val="FFFFFF"/>
        </w:rPr>
        <w:t>Compensation</w:t>
      </w:r>
    </w:p>
    <w:p>
      <w:pPr>
        <w:spacing w:after="0" w:line="222" w:lineRule="auto"/>
        <w:rPr>
          <w:sz w:val="20"/>
          <w:szCs w:val="20"/>
          <w:color w:val="auto"/>
        </w:rPr>
      </w:pPr>
      <w:r>
        <w:rPr>
          <w:rFonts w:ascii="Arial" w:cs="Arial" w:eastAsia="Arial" w:hAnsi="Arial"/>
          <w:sz w:val="12"/>
          <w:szCs w:val="12"/>
          <w:color w:val="FFFFFF"/>
        </w:rPr>
        <w:t>and Human</w:t>
      </w:r>
    </w:p>
    <w:p>
      <w:pPr>
        <w:spacing w:after="0" w:line="222" w:lineRule="auto"/>
        <w:rPr>
          <w:sz w:val="20"/>
          <w:szCs w:val="20"/>
          <w:color w:val="auto"/>
        </w:rPr>
      </w:pPr>
      <w:r>
        <w:rPr>
          <w:rFonts w:ascii="Arial" w:cs="Arial" w:eastAsia="Arial" w:hAnsi="Arial"/>
          <w:sz w:val="12"/>
          <w:szCs w:val="12"/>
          <w:color w:val="FFFFFF"/>
        </w:rPr>
        <w:t>Resources</w:t>
      </w:r>
    </w:p>
    <w:p>
      <w:pPr>
        <w:spacing w:after="0" w:line="222" w:lineRule="auto"/>
        <w:rPr>
          <w:sz w:val="20"/>
          <w:szCs w:val="20"/>
          <w:color w:val="auto"/>
        </w:rPr>
      </w:pPr>
      <w:r>
        <w:rPr>
          <w:rFonts w:ascii="Arial" w:cs="Arial" w:eastAsia="Arial" w:hAnsi="Arial"/>
          <w:sz w:val="12"/>
          <w:szCs w:val="12"/>
          <w:color w:val="FFFFFF"/>
        </w:rPr>
        <w:t>Committee of the</w:t>
      </w:r>
    </w:p>
    <w:p>
      <w:pPr>
        <w:spacing w:after="0"/>
        <w:rPr>
          <w:sz w:val="20"/>
          <w:szCs w:val="20"/>
          <w:color w:val="auto"/>
        </w:rPr>
      </w:pPr>
      <w:r>
        <w:rPr>
          <w:rFonts w:ascii="Arial" w:cs="Arial" w:eastAsia="Arial" w:hAnsi="Arial"/>
          <w:sz w:val="11"/>
          <w:szCs w:val="11"/>
          <w:color w:val="FFFFFF"/>
        </w:rPr>
        <w:t>Board of Directors</w:t>
      </w:r>
    </w:p>
    <w:p>
      <w:pPr>
        <w:spacing w:after="0" w:line="46" w:lineRule="exact"/>
        <w:rPr>
          <w:sz w:val="20"/>
          <w:szCs w:val="20"/>
          <w:color w:val="auto"/>
        </w:rPr>
      </w:pPr>
    </w:p>
    <w:p>
      <w:pPr>
        <w:sectPr>
          <w:pgSz w:w="11900" w:h="16838" w:orient="portrait"/>
          <w:cols w:equalWidth="0" w:num="2">
            <w:col w:w="8500" w:space="720"/>
            <w:col w:w="1580"/>
          </w:cols>
          <w:pgMar w:left="320" w:top="464" w:right="779" w:bottom="1440" w:gutter="0" w:footer="0" w:header="0"/>
          <w:type w:val="continuous"/>
        </w:sectPr>
      </w:pPr>
    </w:p>
    <w:p>
      <w:pPr>
        <w:ind w:left="720" w:right="400"/>
        <w:spacing w:after="0" w:line="287" w:lineRule="auto"/>
        <w:rPr>
          <w:sz w:val="20"/>
          <w:szCs w:val="20"/>
          <w:color w:val="auto"/>
        </w:rPr>
      </w:pPr>
      <w:r>
        <w:rPr>
          <w:rFonts w:ascii="Arial" w:cs="Arial" w:eastAsia="Arial" w:hAnsi="Arial"/>
          <w:sz w:val="15"/>
          <w:szCs w:val="15"/>
          <w:i w:val="1"/>
          <w:iCs w:val="1"/>
          <w:color w:val="auto"/>
        </w:rPr>
        <w:t>We invite all stockholders to attend the Annual Meeting. Please see “Attending the Annual Meeting” below for instructions if you plan to attend.</w:t>
      </w:r>
    </w:p>
    <w:p>
      <w:pPr>
        <w:spacing w:after="0" w:line="381" w:lineRule="exact"/>
        <w:rPr>
          <w:sz w:val="20"/>
          <w:szCs w:val="20"/>
          <w:color w:val="auto"/>
        </w:rPr>
      </w:pPr>
    </w:p>
    <w:p>
      <w:pPr>
        <w:ind w:left="540"/>
        <w:spacing w:after="0"/>
        <w:rPr>
          <w:sz w:val="20"/>
          <w:szCs w:val="20"/>
          <w:color w:val="auto"/>
        </w:rPr>
      </w:pPr>
      <w:r>
        <w:rPr>
          <w:rFonts w:ascii="Arial" w:cs="Arial" w:eastAsia="Arial" w:hAnsi="Arial"/>
          <w:sz w:val="24"/>
          <w:szCs w:val="24"/>
          <w:color w:val="B95827"/>
        </w:rPr>
        <w:t>Notice of Internet Availability of Proxy Statement and Annual Report</w:t>
      </w:r>
    </w:p>
    <w:p>
      <w:pPr>
        <w:spacing w:after="0" w:line="117" w:lineRule="exact"/>
        <w:rPr>
          <w:sz w:val="20"/>
          <w:szCs w:val="20"/>
          <w:color w:val="auto"/>
        </w:rPr>
      </w:pPr>
    </w:p>
    <w:p>
      <w:pPr>
        <w:ind w:left="540" w:right="120"/>
        <w:spacing w:after="0" w:line="256" w:lineRule="auto"/>
        <w:rPr>
          <w:sz w:val="20"/>
          <w:szCs w:val="20"/>
          <w:color w:val="auto"/>
        </w:rPr>
      </w:pPr>
      <w:r>
        <w:rPr>
          <w:rFonts w:ascii="Arial" w:cs="Arial" w:eastAsia="Arial" w:hAnsi="Arial"/>
          <w:sz w:val="15"/>
          <w:szCs w:val="15"/>
          <w:color w:val="auto"/>
        </w:rPr>
        <w:t>As permitted by the Securities and Exchange Commission (the “SEC”), we are making this proxy statement, the accompanying proxy card and our 2025 annual report on Form 10-K (the “Annual Report”) available to our stockholders electronically through the internet in lieu of mailing printed copies to each record holder of Common Stock as of the Record Date. You will not receive a printed copy of our proxy materials unless you request one, which we will deliver free of charge. On or about [</w:t>
      </w:r>
      <w:r>
        <w:rPr>
          <w:rFonts w:ascii="Times New Roman" w:cs="Times New Roman" w:eastAsia="Times New Roman" w:hAnsi="Times New Roman"/>
          <w:sz w:val="15"/>
          <w:szCs w:val="15"/>
          <w:color w:val="auto"/>
        </w:rPr>
        <w:t>●</w:t>
      </w:r>
      <w:r>
        <w:rPr>
          <w:rFonts w:ascii="Arial" w:cs="Arial" w:eastAsia="Arial" w:hAnsi="Arial"/>
          <w:sz w:val="15"/>
          <w:szCs w:val="15"/>
          <w:color w:val="auto"/>
        </w:rPr>
        <w:t>], 2026, a Notice Regarding the Availability of Proxy Materials (the “Notice”) was mailed to stockholders of record as of the Record Date. The Notice instructs you as to how to access and review through the internet all of the important information contained in these proxy materials or request a printed copy. The Notice also instructs you as to how you may vote your proxy.</w:t>
      </w:r>
    </w:p>
    <w:p>
      <w:pPr>
        <w:spacing w:after="0" w:line="72" w:lineRule="exact"/>
        <w:rPr>
          <w:sz w:val="20"/>
          <w:szCs w:val="20"/>
          <w:color w:val="auto"/>
        </w:rPr>
      </w:pPr>
    </w:p>
    <w:p>
      <w:pPr>
        <w:ind w:left="540" w:right="180"/>
        <w:spacing w:after="0" w:line="268" w:lineRule="auto"/>
        <w:rPr>
          <w:sz w:val="20"/>
          <w:szCs w:val="20"/>
          <w:color w:val="auto"/>
        </w:rPr>
      </w:pPr>
      <w:r>
        <w:rPr>
          <w:rFonts w:ascii="Arial" w:cs="Arial" w:eastAsia="Arial" w:hAnsi="Arial"/>
          <w:sz w:val="15"/>
          <w:szCs w:val="15"/>
          <w:color w:val="auto"/>
        </w:rPr>
        <w:t>The Notice, this proxy statement, the Annual Report and the proxy card are also available through the internet at www.proxyvote.com. You will need your 16-digit control number located on the Notice or your proxy card in order to access the materials. The website does not use “cookies” to track or identify visitors to the website.</w:t>
      </w:r>
    </w:p>
    <w:p>
      <w:pPr>
        <w:spacing w:after="0" w:line="152" w:lineRule="exact"/>
        <w:rPr>
          <w:sz w:val="20"/>
          <w:szCs w:val="20"/>
          <w:color w:val="auto"/>
        </w:rPr>
      </w:pPr>
    </w:p>
    <w:p>
      <w:pPr>
        <w:ind w:left="540"/>
        <w:spacing w:after="0"/>
        <w:rPr>
          <w:sz w:val="20"/>
          <w:szCs w:val="20"/>
          <w:color w:val="auto"/>
        </w:rPr>
      </w:pPr>
      <w:r>
        <w:rPr>
          <w:rFonts w:ascii="Arial" w:cs="Arial" w:eastAsia="Arial" w:hAnsi="Arial"/>
          <w:sz w:val="24"/>
          <w:szCs w:val="24"/>
          <w:color w:val="B95827"/>
        </w:rPr>
        <w:t>Record Date, Shares Outstanding and Quorum</w:t>
      </w:r>
    </w:p>
    <w:p>
      <w:pPr>
        <w:spacing w:after="0" w:line="117" w:lineRule="exact"/>
        <w:rPr>
          <w:sz w:val="20"/>
          <w:szCs w:val="20"/>
          <w:color w:val="auto"/>
        </w:rPr>
      </w:pPr>
    </w:p>
    <w:p>
      <w:pPr>
        <w:ind w:left="540" w:right="360"/>
        <w:spacing w:after="0" w:line="287" w:lineRule="auto"/>
        <w:rPr>
          <w:sz w:val="20"/>
          <w:szCs w:val="20"/>
          <w:color w:val="auto"/>
        </w:rPr>
      </w:pPr>
      <w:r>
        <w:rPr>
          <w:rFonts w:ascii="Arial" w:cs="Arial" w:eastAsia="Arial" w:hAnsi="Arial"/>
          <w:sz w:val="15"/>
          <w:szCs w:val="15"/>
          <w:color w:val="auto"/>
        </w:rPr>
        <w:t>Stockholders of record as of the Record Date will be entitled to vote at the Annual Meeting. On the Record Date, there were 80,188,080 outstanding shares of Common Stock.</w:t>
      </w:r>
    </w:p>
    <w:p>
      <w:pPr>
        <w:spacing w:after="0" w:line="47" w:lineRule="exact"/>
        <w:rPr>
          <w:sz w:val="20"/>
          <w:szCs w:val="20"/>
          <w:color w:val="auto"/>
        </w:rPr>
      </w:pPr>
    </w:p>
    <w:p>
      <w:pPr>
        <w:ind w:left="540" w:right="140"/>
        <w:spacing w:after="0" w:line="261" w:lineRule="auto"/>
        <w:rPr>
          <w:sz w:val="20"/>
          <w:szCs w:val="20"/>
          <w:color w:val="auto"/>
        </w:rPr>
      </w:pPr>
      <w:r>
        <w:rPr>
          <w:rFonts w:ascii="Arial" w:cs="Arial" w:eastAsia="Arial" w:hAnsi="Arial"/>
          <w:sz w:val="15"/>
          <w:szCs w:val="15"/>
          <w:color w:val="auto"/>
        </w:rPr>
        <w:t>You may contact our corporate secretary at LPL Financial Holdings Inc., 1055 LPL Way, Fort Mill, South Carolina 29715, to make arrangements to review a copy of the stockholder list at our offices, for any purpose germane to the Annual Meeting, between the hours of 9:00 a.m. and 5:00 p.m., local time, on any business day from May 4, 2026 up to the time of the Annual Meeting.</w:t>
      </w:r>
    </w:p>
    <w:p>
      <w:pPr>
        <w:spacing w:after="0" w:line="20" w:lineRule="exact"/>
        <w:rPr>
          <w:sz w:val="20"/>
          <w:szCs w:val="20"/>
          <w:color w:val="auto"/>
        </w:rPr>
      </w:pPr>
      <w:r>
        <w:rPr>
          <w:sz w:val="20"/>
          <w:szCs w:val="20"/>
          <w:color w:val="auto"/>
        </w:rPr>
        <w:br w:type="column"/>
      </w:r>
    </w:p>
    <w:p>
      <w:pPr>
        <w:spacing w:after="0" w:line="89" w:lineRule="exact"/>
        <w:rPr>
          <w:sz w:val="20"/>
          <w:szCs w:val="20"/>
          <w:color w:val="auto"/>
        </w:rPr>
      </w:pPr>
    </w:p>
    <w:p>
      <w:pPr>
        <w:spacing w:after="0"/>
        <w:rPr>
          <w:sz w:val="20"/>
          <w:szCs w:val="20"/>
          <w:color w:val="auto"/>
        </w:rPr>
      </w:pPr>
      <w:r>
        <w:rPr>
          <w:rFonts w:ascii="Arial" w:cs="Arial" w:eastAsia="Arial" w:hAnsi="Arial"/>
          <w:sz w:val="12"/>
          <w:szCs w:val="12"/>
          <w:color w:val="FFFFFF"/>
        </w:rPr>
        <w:t>Compensation of</w:t>
      </w:r>
    </w:p>
    <w:p>
      <w:pPr>
        <w:spacing w:after="0" w:line="224" w:lineRule="auto"/>
        <w:rPr>
          <w:sz w:val="20"/>
          <w:szCs w:val="20"/>
          <w:color w:val="auto"/>
        </w:rPr>
      </w:pPr>
      <w:r>
        <w:rPr>
          <w:rFonts w:ascii="Arial" w:cs="Arial" w:eastAsia="Arial" w:hAnsi="Arial"/>
          <w:sz w:val="12"/>
          <w:szCs w:val="12"/>
          <w:color w:val="FFFFFF"/>
        </w:rPr>
        <w:t>Named Executive</w:t>
      </w:r>
    </w:p>
    <w:p>
      <w:pPr>
        <w:spacing w:after="0"/>
        <w:rPr>
          <w:sz w:val="20"/>
          <w:szCs w:val="20"/>
          <w:color w:val="auto"/>
        </w:rPr>
      </w:pPr>
      <w:r>
        <w:rPr>
          <w:rFonts w:ascii="Arial" w:cs="Arial" w:eastAsia="Arial" w:hAnsi="Arial"/>
          <w:sz w:val="12"/>
          <w:szCs w:val="12"/>
          <w:color w:val="FFFFFF"/>
        </w:rPr>
        <w:t>Officers</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Pay Versus</w:t>
      </w:r>
    </w:p>
    <w:p>
      <w:pPr>
        <w:spacing w:after="0" w:line="224" w:lineRule="auto"/>
        <w:rPr>
          <w:sz w:val="20"/>
          <w:szCs w:val="20"/>
          <w:color w:val="auto"/>
        </w:rPr>
      </w:pPr>
      <w:r>
        <w:rPr>
          <w:rFonts w:ascii="Arial" w:cs="Arial" w:eastAsia="Arial" w:hAnsi="Arial"/>
          <w:sz w:val="12"/>
          <w:szCs w:val="12"/>
          <w:color w:val="FFFFFF"/>
        </w:rPr>
        <w:t>Performance</w:t>
      </w:r>
    </w:p>
    <w:p>
      <w:pPr>
        <w:spacing w:after="0"/>
        <w:rPr>
          <w:sz w:val="20"/>
          <w:szCs w:val="20"/>
          <w:color w:val="auto"/>
        </w:rPr>
      </w:pPr>
      <w:r>
        <w:rPr>
          <w:rFonts w:ascii="Arial" w:cs="Arial" w:eastAsia="Arial" w:hAnsi="Arial"/>
          <w:sz w:val="12"/>
          <w:szCs w:val="12"/>
          <w:color w:val="FFFFFF"/>
        </w:rPr>
        <w:t>Disclosure</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Security</w:t>
      </w:r>
    </w:p>
    <w:p>
      <w:pPr>
        <w:spacing w:after="0" w:line="224" w:lineRule="auto"/>
        <w:rPr>
          <w:sz w:val="20"/>
          <w:szCs w:val="20"/>
          <w:color w:val="auto"/>
        </w:rPr>
      </w:pPr>
      <w:r>
        <w:rPr>
          <w:rFonts w:ascii="Arial" w:cs="Arial" w:eastAsia="Arial" w:hAnsi="Arial"/>
          <w:sz w:val="12"/>
          <w:szCs w:val="12"/>
          <w:color w:val="FFFFFF"/>
        </w:rPr>
        <w:t>Ownership of</w:t>
      </w:r>
    </w:p>
    <w:p>
      <w:pPr>
        <w:spacing w:after="0" w:line="222" w:lineRule="auto"/>
        <w:rPr>
          <w:sz w:val="20"/>
          <w:szCs w:val="20"/>
          <w:color w:val="auto"/>
        </w:rPr>
      </w:pPr>
      <w:r>
        <w:rPr>
          <w:rFonts w:ascii="Arial" w:cs="Arial" w:eastAsia="Arial" w:hAnsi="Arial"/>
          <w:sz w:val="12"/>
          <w:szCs w:val="12"/>
          <w:color w:val="FFFFFF"/>
        </w:rPr>
        <w:t>Certain Beneficial</w:t>
      </w:r>
    </w:p>
    <w:p>
      <w:pPr>
        <w:spacing w:after="0" w:line="222" w:lineRule="auto"/>
        <w:rPr>
          <w:sz w:val="20"/>
          <w:szCs w:val="20"/>
          <w:color w:val="auto"/>
        </w:rPr>
      </w:pPr>
      <w:r>
        <w:rPr>
          <w:rFonts w:ascii="Arial" w:cs="Arial" w:eastAsia="Arial" w:hAnsi="Arial"/>
          <w:sz w:val="12"/>
          <w:szCs w:val="12"/>
          <w:color w:val="FFFFFF"/>
        </w:rPr>
        <w:t>Owners and</w:t>
      </w:r>
    </w:p>
    <w:p>
      <w:pPr>
        <w:spacing w:after="0"/>
        <w:rPr>
          <w:sz w:val="20"/>
          <w:szCs w:val="20"/>
          <w:color w:val="auto"/>
        </w:rPr>
      </w:pPr>
      <w:r>
        <w:rPr>
          <w:rFonts w:ascii="Arial" w:cs="Arial" w:eastAsia="Arial" w:hAnsi="Arial"/>
          <w:sz w:val="12"/>
          <w:szCs w:val="12"/>
          <w:color w:val="FFFFFF"/>
        </w:rPr>
        <w:t>Management</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Certain</w:t>
      </w:r>
    </w:p>
    <w:p>
      <w:pPr>
        <w:spacing w:after="0" w:line="224" w:lineRule="auto"/>
        <w:rPr>
          <w:sz w:val="20"/>
          <w:szCs w:val="20"/>
          <w:color w:val="auto"/>
        </w:rPr>
      </w:pPr>
      <w:r>
        <w:rPr>
          <w:rFonts w:ascii="Arial" w:cs="Arial" w:eastAsia="Arial" w:hAnsi="Arial"/>
          <w:sz w:val="12"/>
          <w:szCs w:val="12"/>
          <w:color w:val="FFFFFF"/>
        </w:rPr>
        <w:t>Relationships and</w:t>
      </w:r>
    </w:p>
    <w:p>
      <w:pPr>
        <w:spacing w:after="0" w:line="222" w:lineRule="auto"/>
        <w:rPr>
          <w:sz w:val="20"/>
          <w:szCs w:val="20"/>
          <w:color w:val="auto"/>
        </w:rPr>
      </w:pPr>
      <w:r>
        <w:rPr>
          <w:rFonts w:ascii="Arial" w:cs="Arial" w:eastAsia="Arial" w:hAnsi="Arial"/>
          <w:sz w:val="12"/>
          <w:szCs w:val="12"/>
          <w:color w:val="FFFFFF"/>
        </w:rPr>
        <w:t>Related Party</w:t>
      </w:r>
    </w:p>
    <w:p>
      <w:pPr>
        <w:spacing w:after="0"/>
        <w:rPr>
          <w:sz w:val="20"/>
          <w:szCs w:val="20"/>
          <w:color w:val="auto"/>
        </w:rPr>
      </w:pPr>
      <w:r>
        <w:rPr>
          <w:rFonts w:ascii="Arial" w:cs="Arial" w:eastAsia="Arial" w:hAnsi="Arial"/>
          <w:sz w:val="12"/>
          <w:szCs w:val="12"/>
          <w:color w:val="FFFFFF"/>
        </w:rPr>
        <w:t>Transactions</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Proposal 2</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FFFFFF"/>
        </w:rPr>
        <w:t>Report of the</w:t>
      </w:r>
    </w:p>
    <w:p>
      <w:pPr>
        <w:spacing w:after="0" w:line="224" w:lineRule="auto"/>
        <w:rPr>
          <w:sz w:val="20"/>
          <w:szCs w:val="20"/>
          <w:color w:val="auto"/>
        </w:rPr>
      </w:pPr>
      <w:r>
        <w:rPr>
          <w:rFonts w:ascii="Arial" w:cs="Arial" w:eastAsia="Arial" w:hAnsi="Arial"/>
          <w:sz w:val="12"/>
          <w:szCs w:val="12"/>
          <w:color w:val="FFFFFF"/>
        </w:rPr>
        <w:t>Audit and Risk</w:t>
      </w:r>
    </w:p>
    <w:p>
      <w:pPr>
        <w:spacing w:after="0" w:line="222" w:lineRule="auto"/>
        <w:rPr>
          <w:sz w:val="20"/>
          <w:szCs w:val="20"/>
          <w:color w:val="auto"/>
        </w:rPr>
      </w:pPr>
      <w:r>
        <w:rPr>
          <w:rFonts w:ascii="Arial" w:cs="Arial" w:eastAsia="Arial" w:hAnsi="Arial"/>
          <w:sz w:val="12"/>
          <w:szCs w:val="12"/>
          <w:color w:val="FFFFFF"/>
        </w:rPr>
        <w:t>Committee of the</w:t>
      </w:r>
    </w:p>
    <w:p>
      <w:pPr>
        <w:spacing w:after="0"/>
        <w:rPr>
          <w:sz w:val="20"/>
          <w:szCs w:val="20"/>
          <w:color w:val="auto"/>
        </w:rPr>
      </w:pPr>
      <w:r>
        <w:rPr>
          <w:rFonts w:ascii="Arial" w:cs="Arial" w:eastAsia="Arial" w:hAnsi="Arial"/>
          <w:sz w:val="11"/>
          <w:szCs w:val="11"/>
          <w:color w:val="FFFFFF"/>
        </w:rPr>
        <w:t>Board of Directors</w:t>
      </w:r>
    </w:p>
    <w:p>
      <w:pPr>
        <w:spacing w:after="0" w:line="155" w:lineRule="exact"/>
        <w:rPr>
          <w:sz w:val="20"/>
          <w:szCs w:val="20"/>
          <w:color w:val="auto"/>
        </w:rPr>
      </w:pPr>
    </w:p>
    <w:p>
      <w:pPr>
        <w:spacing w:after="0"/>
        <w:rPr>
          <w:sz w:val="20"/>
          <w:szCs w:val="20"/>
          <w:color w:val="auto"/>
        </w:rPr>
      </w:pPr>
      <w:r>
        <w:rPr>
          <w:rFonts w:ascii="Arial" w:cs="Arial" w:eastAsia="Arial" w:hAnsi="Arial"/>
          <w:sz w:val="12"/>
          <w:szCs w:val="12"/>
          <w:color w:val="FFFFFF"/>
        </w:rPr>
        <w:t>Proposal 3</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FFFFFF"/>
        </w:rPr>
        <w:t>Proposal 4</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FFFFFF"/>
        </w:rPr>
        <w:t>Proposal 5</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FFFFFF"/>
        </w:rPr>
        <w:t>Proposal 6</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FFFFFF"/>
        </w:rPr>
        <w:t>Stockholder</w:t>
      </w:r>
    </w:p>
    <w:p>
      <w:pPr>
        <w:spacing w:after="0" w:line="224" w:lineRule="auto"/>
        <w:rPr>
          <w:sz w:val="20"/>
          <w:szCs w:val="20"/>
          <w:color w:val="auto"/>
        </w:rPr>
      </w:pPr>
      <w:r>
        <w:rPr>
          <w:rFonts w:ascii="Arial" w:cs="Arial" w:eastAsia="Arial" w:hAnsi="Arial"/>
          <w:sz w:val="12"/>
          <w:szCs w:val="12"/>
          <w:color w:val="FFFFFF"/>
        </w:rPr>
        <w:t>Proposals and</w:t>
      </w:r>
    </w:p>
    <w:p>
      <w:pPr>
        <w:spacing w:after="0"/>
        <w:rPr>
          <w:sz w:val="20"/>
          <w:szCs w:val="20"/>
          <w:color w:val="auto"/>
        </w:rPr>
      </w:pPr>
      <w:r>
        <w:rPr>
          <w:rFonts w:ascii="Arial" w:cs="Arial" w:eastAsia="Arial" w:hAnsi="Arial"/>
          <w:sz w:val="12"/>
          <w:szCs w:val="12"/>
          <w:color w:val="FFFFFF"/>
        </w:rPr>
        <w:t>Other Matters</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Delinquent</w:t>
      </w:r>
    </w:p>
    <w:p>
      <w:pPr>
        <w:spacing w:after="0" w:line="224" w:lineRule="auto"/>
        <w:rPr>
          <w:sz w:val="20"/>
          <w:szCs w:val="20"/>
          <w:color w:val="auto"/>
        </w:rPr>
      </w:pPr>
      <w:r>
        <w:rPr>
          <w:rFonts w:ascii="Arial" w:cs="Arial" w:eastAsia="Arial" w:hAnsi="Arial"/>
          <w:sz w:val="12"/>
          <w:szCs w:val="12"/>
          <w:color w:val="FFFFFF"/>
        </w:rPr>
        <w:t>Section 16(a)</w:t>
      </w:r>
    </w:p>
    <w:p>
      <w:pPr>
        <w:spacing w:after="0"/>
        <w:rPr>
          <w:sz w:val="20"/>
          <w:szCs w:val="20"/>
          <w:color w:val="auto"/>
        </w:rPr>
      </w:pPr>
      <w:r>
        <w:rPr>
          <w:rFonts w:ascii="Arial" w:cs="Arial" w:eastAsia="Arial" w:hAnsi="Arial"/>
          <w:sz w:val="12"/>
          <w:szCs w:val="12"/>
          <w:color w:val="FFFFFF"/>
        </w:rPr>
        <w:t>Reports</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Other</w:t>
      </w:r>
    </w:p>
    <w:p>
      <w:pPr>
        <w:spacing w:after="0" w:line="2" w:lineRule="exact"/>
        <w:rPr>
          <w:sz w:val="20"/>
          <w:szCs w:val="20"/>
          <w:color w:val="auto"/>
        </w:rPr>
      </w:pPr>
    </w:p>
    <w:p>
      <w:pPr>
        <w:spacing w:after="0"/>
        <w:rPr>
          <w:sz w:val="20"/>
          <w:szCs w:val="20"/>
          <w:color w:val="auto"/>
        </w:rPr>
      </w:pPr>
      <w:r>
        <w:rPr>
          <w:rFonts w:ascii="Arial" w:cs="Arial" w:eastAsia="Arial" w:hAnsi="Arial"/>
          <w:sz w:val="12"/>
          <w:szCs w:val="12"/>
          <w:color w:val="FFFFFF"/>
        </w:rPr>
        <w:t>Information</w:t>
      </w:r>
    </w:p>
    <w:p>
      <w:pPr>
        <w:spacing w:after="0" w:line="144" w:lineRule="exact"/>
        <w:rPr>
          <w:sz w:val="20"/>
          <w:szCs w:val="20"/>
          <w:color w:val="auto"/>
        </w:rPr>
      </w:pPr>
    </w:p>
    <w:p>
      <w:pPr>
        <w:jc w:val="center"/>
        <w:ind w:right="960"/>
        <w:spacing w:after="0"/>
        <w:rPr>
          <w:sz w:val="20"/>
          <w:szCs w:val="20"/>
          <w:color w:val="auto"/>
        </w:rPr>
      </w:pPr>
      <w:r>
        <w:rPr>
          <w:rFonts w:ascii="Arial" w:cs="Arial" w:eastAsia="Arial" w:hAnsi="Arial"/>
          <w:sz w:val="12"/>
          <w:szCs w:val="12"/>
          <w:color w:val="FFFFFF"/>
        </w:rPr>
        <w:t>Appendix A</w:t>
      </w:r>
    </w:p>
    <w:p>
      <w:pPr>
        <w:spacing w:after="0" w:line="156" w:lineRule="exact"/>
        <w:rPr>
          <w:sz w:val="20"/>
          <w:szCs w:val="20"/>
          <w:color w:val="auto"/>
        </w:rPr>
      </w:pPr>
    </w:p>
    <w:p>
      <w:pPr>
        <w:jc w:val="center"/>
        <w:ind w:right="960"/>
        <w:spacing w:after="0"/>
        <w:rPr>
          <w:sz w:val="20"/>
          <w:szCs w:val="20"/>
          <w:color w:val="auto"/>
        </w:rPr>
      </w:pPr>
      <w:r>
        <w:rPr>
          <w:rFonts w:ascii="Arial" w:cs="Arial" w:eastAsia="Arial" w:hAnsi="Arial"/>
          <w:sz w:val="12"/>
          <w:szCs w:val="12"/>
          <w:color w:val="FFFFFF"/>
        </w:rPr>
        <w:t>Appendix B</w:t>
      </w:r>
    </w:p>
    <w:p>
      <w:pPr>
        <w:spacing w:after="0" w:line="200" w:lineRule="exact"/>
        <w:rPr>
          <w:sz w:val="20"/>
          <w:szCs w:val="20"/>
          <w:color w:val="auto"/>
        </w:rPr>
      </w:pPr>
    </w:p>
    <w:p>
      <w:pPr>
        <w:sectPr>
          <w:pgSz w:w="11900" w:h="16838" w:orient="portrait"/>
          <w:cols w:equalWidth="0" w:num="2">
            <w:col w:w="8500" w:space="720"/>
            <w:col w:w="1580"/>
          </w:cols>
          <w:pgMar w:left="320" w:top="464" w:right="7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6480"/>
        <w:spacing w:after="0"/>
        <w:tabs>
          <w:tab w:leader="none" w:pos="8500" w:val="left"/>
          <w:tab w:leader="none" w:pos="9960" w:val="left"/>
        </w:tabs>
        <w:rPr>
          <w:sz w:val="20"/>
          <w:szCs w:val="20"/>
          <w:color w:val="auto"/>
        </w:rPr>
      </w:pPr>
      <w:r>
        <w:rPr>
          <w:rFonts w:ascii="Arial" w:cs="Arial" w:eastAsia="Arial" w:hAnsi="Arial"/>
          <w:sz w:val="15"/>
          <w:szCs w:val="15"/>
          <w:b w:val="1"/>
          <w:bCs w:val="1"/>
          <w:color w:val="002B5F"/>
        </w:rPr>
        <w:t xml:space="preserve">2026 Proxy Statement  </w:t>
      </w:r>
      <w:r>
        <w:rPr>
          <w:rFonts w:ascii="Arial" w:cs="Arial" w:eastAsia="Arial" w:hAnsi="Arial"/>
          <w:sz w:val="20"/>
          <w:szCs w:val="20"/>
          <w:color w:val="002B5F"/>
        </w:rPr>
        <w:t>|</w:t>
      </w:r>
      <w:r>
        <w:rPr>
          <w:rFonts w:ascii="Arial" w:cs="Arial" w:eastAsia="Arial" w:hAnsi="Arial"/>
          <w:sz w:val="15"/>
          <w:szCs w:val="15"/>
          <w:b w:val="1"/>
          <w:bCs w:val="1"/>
          <w:color w:val="002B5F"/>
        </w:rPr>
        <w:t xml:space="preserve">  1</w:t>
      </w:r>
      <w:r>
        <w:rPr>
          <w:sz w:val="20"/>
          <w:szCs w:val="20"/>
          <w:color w:val="auto"/>
        </w:rPr>
        <w:tab/>
      </w:r>
      <w:r>
        <w:rPr>
          <w:rFonts w:ascii="Arial" w:cs="Arial" w:eastAsia="Arial" w:hAnsi="Arial"/>
          <w:sz w:val="17"/>
          <w:szCs w:val="17"/>
          <w:color w:val="auto"/>
        </w:rPr>
        <w:t xml:space="preserve">    </w:t>
      </w:r>
      <w:r>
        <w:rPr>
          <w:sz w:val="20"/>
          <w:szCs w:val="20"/>
          <w:color w:val="auto"/>
        </w:rPr>
        <w:tab/>
      </w:r>
      <w:r>
        <w:rPr>
          <w:rFonts w:ascii="Arial" w:cs="Arial" w:eastAsia="Arial" w:hAnsi="Arial"/>
          <w:sz w:val="17"/>
          <w:szCs w:val="17"/>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268605</wp:posOffset>
            </wp:positionH>
            <wp:positionV relativeFrom="paragraph">
              <wp:posOffset>-128905</wp:posOffset>
            </wp:positionV>
            <wp:extent cx="762000" cy="971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62000" cy="97155"/>
                    </a:xfrm>
                    <a:prstGeom prst="rect">
                      <a:avLst/>
                    </a:prstGeom>
                    <a:noFill/>
                  </pic:spPr>
                </pic:pic>
              </a:graphicData>
            </a:graphic>
          </wp:anchor>
        </w:drawing>
      </w:r>
    </w:p>
    <w:p>
      <w:pPr>
        <w:sectPr>
          <w:pgSz w:w="11900" w:h="16838" w:orient="portrait"/>
          <w:cols w:equalWidth="0" w:num="1">
            <w:col w:w="10800"/>
          </w:cols>
          <w:pgMar w:left="320" w:top="464" w:right="77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7"/>
          <w:szCs w:val="17"/>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268605</wp:posOffset>
            </wp:positionH>
            <wp:positionV relativeFrom="paragraph">
              <wp:posOffset>253365</wp:posOffset>
            </wp:positionV>
            <wp:extent cx="1183005" cy="745617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183005" cy="7456170"/>
                    </a:xfrm>
                    <a:prstGeom prst="rect">
                      <a:avLst/>
                    </a:prstGeom>
                    <a:noFill/>
                  </pic:spPr>
                </pic:pic>
              </a:graphicData>
            </a:graphic>
          </wp:anchor>
        </w:drawing>
      </w:r>
    </w:p>
    <w:p>
      <w:pPr>
        <w:spacing w:after="0" w:line="200" w:lineRule="exact"/>
        <w:rPr>
          <w:sz w:val="20"/>
          <w:szCs w:val="20"/>
          <w:color w:val="auto"/>
        </w:rPr>
      </w:pPr>
    </w:p>
    <w:p>
      <w:pPr>
        <w:spacing w:after="0" w:line="304" w:lineRule="exact"/>
        <w:rPr>
          <w:sz w:val="20"/>
          <w:szCs w:val="20"/>
          <w:color w:val="auto"/>
        </w:rPr>
      </w:pPr>
    </w:p>
    <w:p>
      <w:pPr>
        <w:ind w:left="600" w:hanging="152"/>
        <w:spacing w:after="0"/>
        <w:tabs>
          <w:tab w:leader="none" w:pos="600" w:val="left"/>
        </w:tabs>
        <w:numPr>
          <w:ilvl w:val="0"/>
          <w:numId w:val="14"/>
        </w:numPr>
        <w:rPr>
          <w:rFonts w:ascii="Arial" w:cs="Arial" w:eastAsia="Arial" w:hAnsi="Arial"/>
          <w:sz w:val="22"/>
          <w:szCs w:val="22"/>
          <w:color w:val="auto"/>
          <w:vertAlign w:val="subscript"/>
        </w:rPr>
      </w:pPr>
      <w:r>
        <w:rPr>
          <w:rFonts w:ascii="Arial" w:cs="Arial" w:eastAsia="Arial" w:hAnsi="Arial"/>
          <w:sz w:val="22"/>
          <w:szCs w:val="22"/>
          <w:color w:val="000000"/>
          <w:vertAlign w:val="subscript"/>
        </w:rPr>
        <w:t xml:space="preserve">       </w:t>
      </w:r>
      <w:r>
        <w:rPr>
          <w:rFonts w:ascii="Arial" w:cs="Arial" w:eastAsia="Arial" w:hAnsi="Arial"/>
          <w:sz w:val="10"/>
          <w:szCs w:val="10"/>
          <w:b w:val="1"/>
          <w:bCs w:val="1"/>
          <w:color w:val="FFFFFF"/>
        </w:rPr>
        <w:t xml:space="preserve">  General</w:t>
      </w:r>
    </w:p>
    <w:p>
      <w:pPr>
        <w:spacing w:after="0" w:line="89" w:lineRule="exact"/>
        <w:rPr>
          <w:rFonts w:ascii="Arial" w:cs="Arial" w:eastAsia="Arial" w:hAnsi="Arial"/>
          <w:sz w:val="22"/>
          <w:szCs w:val="22"/>
          <w:color w:val="auto"/>
          <w:vertAlign w:val="subscript"/>
        </w:rPr>
      </w:pPr>
    </w:p>
    <w:p>
      <w:pPr>
        <w:ind w:left="1120"/>
        <w:spacing w:after="0"/>
        <w:rPr>
          <w:rFonts w:ascii="Arial" w:cs="Arial" w:eastAsia="Arial" w:hAnsi="Arial"/>
          <w:sz w:val="22"/>
          <w:szCs w:val="22"/>
          <w:color w:val="auto"/>
          <w:vertAlign w:val="subscript"/>
        </w:rPr>
      </w:pPr>
      <w:r>
        <w:rPr>
          <w:rFonts w:ascii="Arial" w:cs="Arial" w:eastAsia="Arial" w:hAnsi="Arial"/>
          <w:sz w:val="12"/>
          <w:szCs w:val="12"/>
          <w:b w:val="1"/>
          <w:bCs w:val="1"/>
          <w:color w:val="FFFFFF"/>
        </w:rPr>
        <w:t>Information</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1"/>
          <w:szCs w:val="11"/>
          <w:color w:val="FFFFFF"/>
        </w:rPr>
        <w:t>General Information</w:t>
      </w:r>
    </w:p>
    <w:p>
      <w:pPr>
        <w:spacing w:after="0" w:line="3"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About Corporate</w:t>
      </w:r>
    </w:p>
    <w:p>
      <w:pPr>
        <w:ind w:left="1120"/>
        <w:spacing w:after="0" w:line="221" w:lineRule="auto"/>
        <w:rPr>
          <w:sz w:val="20"/>
          <w:szCs w:val="20"/>
          <w:color w:val="auto"/>
        </w:rPr>
      </w:pPr>
      <w:r>
        <w:rPr>
          <w:rFonts w:ascii="Arial" w:cs="Arial" w:eastAsia="Arial" w:hAnsi="Arial"/>
          <w:sz w:val="12"/>
          <w:szCs w:val="12"/>
          <w:color w:val="FFFFFF"/>
        </w:rPr>
        <w:t>Governance</w:t>
      </w:r>
    </w:p>
    <w:p>
      <w:pPr>
        <w:ind w:left="1120"/>
        <w:spacing w:after="0" w:line="222" w:lineRule="auto"/>
        <w:rPr>
          <w:sz w:val="20"/>
          <w:szCs w:val="20"/>
          <w:color w:val="auto"/>
        </w:rPr>
      </w:pPr>
      <w:r>
        <w:rPr>
          <w:rFonts w:ascii="Arial" w:cs="Arial" w:eastAsia="Arial" w:hAnsi="Arial"/>
          <w:sz w:val="12"/>
          <w:szCs w:val="12"/>
          <w:color w:val="FFFFFF"/>
        </w:rPr>
        <w:t>and the Board of</w:t>
      </w:r>
    </w:p>
    <w:p>
      <w:pPr>
        <w:spacing w:after="0" w:line="1"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Directors</w:t>
      </w:r>
    </w:p>
    <w:p>
      <w:pPr>
        <w:spacing w:after="0" w:line="144" w:lineRule="exact"/>
        <w:rPr>
          <w:sz w:val="20"/>
          <w:szCs w:val="20"/>
          <w:color w:val="auto"/>
        </w:rPr>
      </w:pPr>
    </w:p>
    <w:p>
      <w:pPr>
        <w:jc w:val="center"/>
        <w:ind w:left="620"/>
        <w:spacing w:after="0"/>
        <w:rPr>
          <w:sz w:val="20"/>
          <w:szCs w:val="20"/>
          <w:color w:val="auto"/>
        </w:rPr>
      </w:pPr>
      <w:r>
        <w:rPr>
          <w:rFonts w:ascii="Arial" w:cs="Arial" w:eastAsia="Arial" w:hAnsi="Arial"/>
          <w:sz w:val="12"/>
          <w:szCs w:val="12"/>
          <w:color w:val="FFFFFF"/>
        </w:rPr>
        <w:t>Proposal 1</w:t>
      </w:r>
    </w:p>
    <w:p>
      <w:pPr>
        <w:spacing w:after="0" w:line="156"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Information</w:t>
      </w:r>
    </w:p>
    <w:p>
      <w:pPr>
        <w:ind w:left="1120"/>
        <w:spacing w:after="0" w:line="224" w:lineRule="auto"/>
        <w:rPr>
          <w:sz w:val="20"/>
          <w:szCs w:val="20"/>
          <w:color w:val="auto"/>
        </w:rPr>
      </w:pPr>
      <w:r>
        <w:rPr>
          <w:rFonts w:ascii="Arial" w:cs="Arial" w:eastAsia="Arial" w:hAnsi="Arial"/>
          <w:sz w:val="12"/>
          <w:szCs w:val="12"/>
          <w:color w:val="FFFFFF"/>
        </w:rPr>
        <w:t>Regarding Board</w:t>
      </w:r>
    </w:p>
    <w:p>
      <w:pPr>
        <w:ind w:left="1120"/>
        <w:spacing w:after="0" w:line="222" w:lineRule="auto"/>
        <w:rPr>
          <w:sz w:val="20"/>
          <w:szCs w:val="20"/>
          <w:color w:val="auto"/>
        </w:rPr>
      </w:pPr>
      <w:r>
        <w:rPr>
          <w:rFonts w:ascii="Arial" w:cs="Arial" w:eastAsia="Arial" w:hAnsi="Arial"/>
          <w:sz w:val="12"/>
          <w:szCs w:val="12"/>
          <w:color w:val="FFFFFF"/>
        </w:rPr>
        <w:t>and Committee</w:t>
      </w:r>
    </w:p>
    <w:p>
      <w:pPr>
        <w:ind w:left="1120"/>
        <w:spacing w:after="0"/>
        <w:rPr>
          <w:sz w:val="20"/>
          <w:szCs w:val="20"/>
          <w:color w:val="auto"/>
        </w:rPr>
      </w:pPr>
      <w:r>
        <w:rPr>
          <w:rFonts w:ascii="Arial" w:cs="Arial" w:eastAsia="Arial" w:hAnsi="Arial"/>
          <w:sz w:val="12"/>
          <w:szCs w:val="12"/>
          <w:color w:val="FFFFFF"/>
        </w:rPr>
        <w:t>Structure</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Board of Directors</w:t>
      </w:r>
    </w:p>
    <w:p>
      <w:pPr>
        <w:spacing w:after="0" w:line="2"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Compensation</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Compensation</w:t>
      </w:r>
    </w:p>
    <w:p>
      <w:pPr>
        <w:ind w:left="1120"/>
        <w:spacing w:after="0" w:line="224" w:lineRule="auto"/>
        <w:rPr>
          <w:sz w:val="20"/>
          <w:szCs w:val="20"/>
          <w:color w:val="auto"/>
        </w:rPr>
      </w:pPr>
      <w:r>
        <w:rPr>
          <w:rFonts w:ascii="Arial" w:cs="Arial" w:eastAsia="Arial" w:hAnsi="Arial"/>
          <w:sz w:val="12"/>
          <w:szCs w:val="12"/>
          <w:color w:val="FFFFFF"/>
        </w:rPr>
        <w:t>Discussion and</w:t>
      </w:r>
    </w:p>
    <w:p>
      <w:pPr>
        <w:ind w:left="1120"/>
        <w:spacing w:after="0"/>
        <w:rPr>
          <w:sz w:val="20"/>
          <w:szCs w:val="20"/>
          <w:color w:val="auto"/>
        </w:rPr>
      </w:pPr>
      <w:r>
        <w:rPr>
          <w:rFonts w:ascii="Arial" w:cs="Arial" w:eastAsia="Arial" w:hAnsi="Arial"/>
          <w:sz w:val="12"/>
          <w:szCs w:val="12"/>
          <w:color w:val="FFFFFF"/>
        </w:rPr>
        <w:t>Analysis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Report of the</w:t>
      </w:r>
    </w:p>
    <w:p>
      <w:pPr>
        <w:ind w:left="1120"/>
        <w:spacing w:after="0" w:line="224" w:lineRule="auto"/>
        <w:rPr>
          <w:sz w:val="20"/>
          <w:szCs w:val="20"/>
          <w:color w:val="auto"/>
        </w:rPr>
      </w:pPr>
      <w:r>
        <w:rPr>
          <w:rFonts w:ascii="Arial" w:cs="Arial" w:eastAsia="Arial" w:hAnsi="Arial"/>
          <w:sz w:val="12"/>
          <w:szCs w:val="12"/>
          <w:color w:val="FFFFFF"/>
        </w:rPr>
        <w:t>Compensation</w:t>
      </w:r>
    </w:p>
    <w:p>
      <w:pPr>
        <w:ind w:left="1120"/>
        <w:spacing w:after="0" w:line="222" w:lineRule="auto"/>
        <w:rPr>
          <w:sz w:val="20"/>
          <w:szCs w:val="20"/>
          <w:color w:val="auto"/>
        </w:rPr>
      </w:pPr>
      <w:r>
        <w:rPr>
          <w:rFonts w:ascii="Arial" w:cs="Arial" w:eastAsia="Arial" w:hAnsi="Arial"/>
          <w:sz w:val="12"/>
          <w:szCs w:val="12"/>
          <w:color w:val="FFFFFF"/>
        </w:rPr>
        <w:t>and Human</w:t>
      </w:r>
    </w:p>
    <w:p>
      <w:pPr>
        <w:ind w:left="1120"/>
        <w:spacing w:after="0" w:line="222" w:lineRule="auto"/>
        <w:rPr>
          <w:sz w:val="20"/>
          <w:szCs w:val="20"/>
          <w:color w:val="auto"/>
        </w:rPr>
      </w:pPr>
      <w:r>
        <w:rPr>
          <w:rFonts w:ascii="Arial" w:cs="Arial" w:eastAsia="Arial" w:hAnsi="Arial"/>
          <w:sz w:val="12"/>
          <w:szCs w:val="12"/>
          <w:color w:val="FFFFFF"/>
        </w:rPr>
        <w:t>Resources</w:t>
      </w:r>
    </w:p>
    <w:p>
      <w:pPr>
        <w:ind w:left="1120"/>
        <w:spacing w:after="0" w:line="222" w:lineRule="auto"/>
        <w:rPr>
          <w:sz w:val="20"/>
          <w:szCs w:val="20"/>
          <w:color w:val="auto"/>
        </w:rPr>
      </w:pPr>
      <w:r>
        <w:rPr>
          <w:rFonts w:ascii="Arial" w:cs="Arial" w:eastAsia="Arial" w:hAnsi="Arial"/>
          <w:sz w:val="12"/>
          <w:szCs w:val="12"/>
          <w:color w:val="FFFFFF"/>
        </w:rPr>
        <w:t>Committee of the</w:t>
      </w:r>
    </w:p>
    <w:p>
      <w:pPr>
        <w:ind w:left="1120"/>
        <w:spacing w:after="0"/>
        <w:rPr>
          <w:sz w:val="20"/>
          <w:szCs w:val="20"/>
          <w:color w:val="auto"/>
        </w:rPr>
      </w:pPr>
      <w:r>
        <w:rPr>
          <w:rFonts w:ascii="Arial" w:cs="Arial" w:eastAsia="Arial" w:hAnsi="Arial"/>
          <w:sz w:val="12"/>
          <w:szCs w:val="12"/>
          <w:color w:val="FFFFFF"/>
        </w:rPr>
        <w:t>Board of Directors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Compensation of</w:t>
      </w:r>
    </w:p>
    <w:p>
      <w:pPr>
        <w:ind w:left="1120"/>
        <w:spacing w:after="0" w:line="224" w:lineRule="auto"/>
        <w:rPr>
          <w:sz w:val="20"/>
          <w:szCs w:val="20"/>
          <w:color w:val="auto"/>
        </w:rPr>
      </w:pPr>
      <w:r>
        <w:rPr>
          <w:rFonts w:ascii="Arial" w:cs="Arial" w:eastAsia="Arial" w:hAnsi="Arial"/>
          <w:sz w:val="12"/>
          <w:szCs w:val="12"/>
          <w:color w:val="FFFFFF"/>
        </w:rPr>
        <w:t>Named Executive</w:t>
      </w:r>
    </w:p>
    <w:p>
      <w:pPr>
        <w:ind w:left="1120"/>
        <w:spacing w:after="0"/>
        <w:rPr>
          <w:sz w:val="20"/>
          <w:szCs w:val="20"/>
          <w:color w:val="auto"/>
        </w:rPr>
      </w:pPr>
      <w:r>
        <w:rPr>
          <w:rFonts w:ascii="Arial" w:cs="Arial" w:eastAsia="Arial" w:hAnsi="Arial"/>
          <w:sz w:val="12"/>
          <w:szCs w:val="12"/>
          <w:color w:val="FFFFFF"/>
        </w:rPr>
        <w:t>Officers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Pay Versus</w:t>
      </w:r>
    </w:p>
    <w:p>
      <w:pPr>
        <w:ind w:left="1120"/>
        <w:spacing w:after="0" w:line="224" w:lineRule="auto"/>
        <w:rPr>
          <w:sz w:val="20"/>
          <w:szCs w:val="20"/>
          <w:color w:val="auto"/>
        </w:rPr>
      </w:pPr>
      <w:r>
        <w:rPr>
          <w:rFonts w:ascii="Arial" w:cs="Arial" w:eastAsia="Arial" w:hAnsi="Arial"/>
          <w:sz w:val="12"/>
          <w:szCs w:val="12"/>
          <w:color w:val="FFFFFF"/>
        </w:rPr>
        <w:t>Performance</w:t>
      </w:r>
    </w:p>
    <w:p>
      <w:pPr>
        <w:ind w:left="1120"/>
        <w:spacing w:after="0"/>
        <w:rPr>
          <w:sz w:val="20"/>
          <w:szCs w:val="20"/>
          <w:color w:val="auto"/>
        </w:rPr>
      </w:pPr>
      <w:r>
        <w:rPr>
          <w:rFonts w:ascii="Arial" w:cs="Arial" w:eastAsia="Arial" w:hAnsi="Arial"/>
          <w:sz w:val="12"/>
          <w:szCs w:val="12"/>
          <w:color w:val="FFFFFF"/>
        </w:rPr>
        <w:t>Disclosure</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Security</w:t>
      </w:r>
    </w:p>
    <w:p>
      <w:pPr>
        <w:ind w:left="1120"/>
        <w:spacing w:after="0" w:line="224" w:lineRule="auto"/>
        <w:rPr>
          <w:sz w:val="20"/>
          <w:szCs w:val="20"/>
          <w:color w:val="auto"/>
        </w:rPr>
      </w:pPr>
      <w:r>
        <w:rPr>
          <w:rFonts w:ascii="Arial" w:cs="Arial" w:eastAsia="Arial" w:hAnsi="Arial"/>
          <w:sz w:val="12"/>
          <w:szCs w:val="12"/>
          <w:color w:val="FFFFFF"/>
        </w:rPr>
        <w:t>Ownership of</w:t>
      </w:r>
    </w:p>
    <w:p>
      <w:pPr>
        <w:ind w:left="1120"/>
        <w:spacing w:after="0" w:line="222" w:lineRule="auto"/>
        <w:rPr>
          <w:sz w:val="20"/>
          <w:szCs w:val="20"/>
          <w:color w:val="auto"/>
        </w:rPr>
      </w:pPr>
      <w:r>
        <w:rPr>
          <w:rFonts w:ascii="Arial" w:cs="Arial" w:eastAsia="Arial" w:hAnsi="Arial"/>
          <w:sz w:val="12"/>
          <w:szCs w:val="12"/>
          <w:color w:val="FFFFFF"/>
        </w:rPr>
        <w:t>Certain Beneficial</w:t>
      </w:r>
    </w:p>
    <w:p>
      <w:pPr>
        <w:ind w:left="1120"/>
        <w:spacing w:after="0" w:line="222" w:lineRule="auto"/>
        <w:rPr>
          <w:sz w:val="20"/>
          <w:szCs w:val="20"/>
          <w:color w:val="auto"/>
        </w:rPr>
      </w:pPr>
      <w:r>
        <w:rPr>
          <w:rFonts w:ascii="Arial" w:cs="Arial" w:eastAsia="Arial" w:hAnsi="Arial"/>
          <w:sz w:val="12"/>
          <w:szCs w:val="12"/>
          <w:color w:val="FFFFFF"/>
        </w:rPr>
        <w:t>Owners and</w:t>
      </w:r>
    </w:p>
    <w:p>
      <w:pPr>
        <w:ind w:left="1120"/>
        <w:spacing w:after="0"/>
        <w:rPr>
          <w:sz w:val="20"/>
          <w:szCs w:val="20"/>
          <w:color w:val="auto"/>
        </w:rPr>
      </w:pPr>
      <w:r>
        <w:rPr>
          <w:rFonts w:ascii="Arial" w:cs="Arial" w:eastAsia="Arial" w:hAnsi="Arial"/>
          <w:sz w:val="12"/>
          <w:szCs w:val="12"/>
          <w:color w:val="FFFFFF"/>
        </w:rPr>
        <w:t>Management</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Certain</w:t>
      </w:r>
    </w:p>
    <w:p>
      <w:pPr>
        <w:ind w:left="1120"/>
        <w:spacing w:after="0" w:line="224" w:lineRule="auto"/>
        <w:rPr>
          <w:sz w:val="20"/>
          <w:szCs w:val="20"/>
          <w:color w:val="auto"/>
        </w:rPr>
      </w:pPr>
      <w:r>
        <w:rPr>
          <w:rFonts w:ascii="Arial" w:cs="Arial" w:eastAsia="Arial" w:hAnsi="Arial"/>
          <w:sz w:val="12"/>
          <w:szCs w:val="12"/>
          <w:color w:val="FFFFFF"/>
        </w:rPr>
        <w:t>Relationships and</w:t>
      </w:r>
    </w:p>
    <w:p>
      <w:pPr>
        <w:ind w:left="1120"/>
        <w:spacing w:after="0" w:line="222" w:lineRule="auto"/>
        <w:rPr>
          <w:sz w:val="20"/>
          <w:szCs w:val="20"/>
          <w:color w:val="auto"/>
        </w:rPr>
      </w:pPr>
      <w:r>
        <w:rPr>
          <w:rFonts w:ascii="Arial" w:cs="Arial" w:eastAsia="Arial" w:hAnsi="Arial"/>
          <w:sz w:val="12"/>
          <w:szCs w:val="12"/>
          <w:color w:val="FFFFFF"/>
        </w:rPr>
        <w:t>Related Party</w:t>
      </w:r>
    </w:p>
    <w:p>
      <w:pPr>
        <w:ind w:left="1120"/>
        <w:spacing w:after="0"/>
        <w:rPr>
          <w:sz w:val="20"/>
          <w:szCs w:val="20"/>
          <w:color w:val="auto"/>
        </w:rPr>
      </w:pPr>
      <w:r>
        <w:rPr>
          <w:rFonts w:ascii="Arial" w:cs="Arial" w:eastAsia="Arial" w:hAnsi="Arial"/>
          <w:sz w:val="12"/>
          <w:szCs w:val="12"/>
          <w:color w:val="FFFFFF"/>
        </w:rPr>
        <w:t>Transactions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Proposal 2</w:t>
      </w:r>
    </w:p>
    <w:p>
      <w:pPr>
        <w:spacing w:after="0" w:line="156"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Report of the</w:t>
      </w:r>
    </w:p>
    <w:p>
      <w:pPr>
        <w:ind w:left="1120"/>
        <w:spacing w:after="0" w:line="224" w:lineRule="auto"/>
        <w:rPr>
          <w:sz w:val="20"/>
          <w:szCs w:val="20"/>
          <w:color w:val="auto"/>
        </w:rPr>
      </w:pPr>
      <w:r>
        <w:rPr>
          <w:rFonts w:ascii="Arial" w:cs="Arial" w:eastAsia="Arial" w:hAnsi="Arial"/>
          <w:sz w:val="12"/>
          <w:szCs w:val="12"/>
          <w:color w:val="FFFFFF"/>
        </w:rPr>
        <w:t>Audit and Risk</w:t>
      </w:r>
    </w:p>
    <w:p>
      <w:pPr>
        <w:ind w:left="1120"/>
        <w:spacing w:after="0" w:line="222" w:lineRule="auto"/>
        <w:rPr>
          <w:sz w:val="20"/>
          <w:szCs w:val="20"/>
          <w:color w:val="auto"/>
        </w:rPr>
      </w:pPr>
      <w:r>
        <w:rPr>
          <w:rFonts w:ascii="Arial" w:cs="Arial" w:eastAsia="Arial" w:hAnsi="Arial"/>
          <w:sz w:val="12"/>
          <w:szCs w:val="12"/>
          <w:color w:val="FFFFFF"/>
        </w:rPr>
        <w:t>Committee of the</w:t>
      </w:r>
    </w:p>
    <w:p>
      <w:pPr>
        <w:ind w:left="1120"/>
        <w:spacing w:after="0"/>
        <w:rPr>
          <w:sz w:val="20"/>
          <w:szCs w:val="20"/>
          <w:color w:val="auto"/>
        </w:rPr>
      </w:pPr>
      <w:r>
        <w:rPr>
          <w:rFonts w:ascii="Arial" w:cs="Arial" w:eastAsia="Arial" w:hAnsi="Arial"/>
          <w:sz w:val="12"/>
          <w:szCs w:val="12"/>
          <w:color w:val="FFFFFF"/>
        </w:rPr>
        <w:t>Board of Directors</w:t>
      </w:r>
    </w:p>
    <w:p>
      <w:pPr>
        <w:spacing w:after="0" w:line="144" w:lineRule="exact"/>
        <w:rPr>
          <w:sz w:val="20"/>
          <w:szCs w:val="20"/>
          <w:color w:val="auto"/>
        </w:rPr>
      </w:pPr>
    </w:p>
    <w:p>
      <w:pPr>
        <w:jc w:val="center"/>
        <w:ind w:left="620"/>
        <w:spacing w:after="0"/>
        <w:rPr>
          <w:sz w:val="20"/>
          <w:szCs w:val="20"/>
          <w:color w:val="auto"/>
        </w:rPr>
      </w:pPr>
      <w:r>
        <w:rPr>
          <w:rFonts w:ascii="Arial" w:cs="Arial" w:eastAsia="Arial" w:hAnsi="Arial"/>
          <w:sz w:val="12"/>
          <w:szCs w:val="12"/>
          <w:color w:val="FFFFFF"/>
        </w:rPr>
        <w:t>Proposal 3</w:t>
      </w:r>
    </w:p>
    <w:p>
      <w:pPr>
        <w:spacing w:after="0" w:line="156" w:lineRule="exact"/>
        <w:rPr>
          <w:sz w:val="20"/>
          <w:szCs w:val="20"/>
          <w:color w:val="auto"/>
        </w:rPr>
      </w:pPr>
    </w:p>
    <w:p>
      <w:pPr>
        <w:jc w:val="center"/>
        <w:ind w:left="620"/>
        <w:spacing w:after="0"/>
        <w:rPr>
          <w:sz w:val="20"/>
          <w:szCs w:val="20"/>
          <w:color w:val="auto"/>
        </w:rPr>
      </w:pPr>
      <w:r>
        <w:rPr>
          <w:rFonts w:ascii="Arial" w:cs="Arial" w:eastAsia="Arial" w:hAnsi="Arial"/>
          <w:sz w:val="12"/>
          <w:szCs w:val="12"/>
          <w:color w:val="FFFFFF"/>
        </w:rPr>
        <w:t>Proposal 4</w:t>
      </w:r>
    </w:p>
    <w:p>
      <w:pPr>
        <w:spacing w:after="0" w:line="156" w:lineRule="exact"/>
        <w:rPr>
          <w:sz w:val="20"/>
          <w:szCs w:val="20"/>
          <w:color w:val="auto"/>
        </w:rPr>
      </w:pPr>
    </w:p>
    <w:p>
      <w:pPr>
        <w:jc w:val="center"/>
        <w:ind w:left="620"/>
        <w:spacing w:after="0"/>
        <w:rPr>
          <w:sz w:val="20"/>
          <w:szCs w:val="20"/>
          <w:color w:val="auto"/>
        </w:rPr>
      </w:pPr>
      <w:r>
        <w:rPr>
          <w:rFonts w:ascii="Arial" w:cs="Arial" w:eastAsia="Arial" w:hAnsi="Arial"/>
          <w:sz w:val="12"/>
          <w:szCs w:val="12"/>
          <w:color w:val="FFFFFF"/>
        </w:rPr>
        <w:t>Proposal 5</w:t>
      </w:r>
    </w:p>
    <w:p>
      <w:pPr>
        <w:spacing w:after="0" w:line="156"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Proposal 6</w:t>
      </w:r>
    </w:p>
    <w:p>
      <w:pPr>
        <w:spacing w:after="0" w:line="156"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Stockholder</w:t>
      </w:r>
    </w:p>
    <w:p>
      <w:pPr>
        <w:ind w:left="1120"/>
        <w:spacing w:after="0" w:line="224" w:lineRule="auto"/>
        <w:rPr>
          <w:sz w:val="20"/>
          <w:szCs w:val="20"/>
          <w:color w:val="auto"/>
        </w:rPr>
      </w:pPr>
      <w:r>
        <w:rPr>
          <w:rFonts w:ascii="Arial" w:cs="Arial" w:eastAsia="Arial" w:hAnsi="Arial"/>
          <w:sz w:val="12"/>
          <w:szCs w:val="12"/>
          <w:color w:val="FFFFFF"/>
        </w:rPr>
        <w:t>Proposals and</w:t>
      </w:r>
    </w:p>
    <w:p>
      <w:pPr>
        <w:ind w:left="1120"/>
        <w:spacing w:after="0"/>
        <w:rPr>
          <w:sz w:val="20"/>
          <w:szCs w:val="20"/>
          <w:color w:val="auto"/>
        </w:rPr>
      </w:pPr>
      <w:r>
        <w:rPr>
          <w:rFonts w:ascii="Arial" w:cs="Arial" w:eastAsia="Arial" w:hAnsi="Arial"/>
          <w:sz w:val="12"/>
          <w:szCs w:val="12"/>
          <w:color w:val="FFFFFF"/>
        </w:rPr>
        <w:t>Other Matters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Delinquent</w:t>
      </w:r>
    </w:p>
    <w:p>
      <w:pPr>
        <w:ind w:left="1120"/>
        <w:spacing w:after="0" w:line="224" w:lineRule="auto"/>
        <w:rPr>
          <w:sz w:val="20"/>
          <w:szCs w:val="20"/>
          <w:color w:val="auto"/>
        </w:rPr>
      </w:pPr>
      <w:r>
        <w:rPr>
          <w:rFonts w:ascii="Arial" w:cs="Arial" w:eastAsia="Arial" w:hAnsi="Arial"/>
          <w:sz w:val="12"/>
          <w:szCs w:val="12"/>
          <w:color w:val="FFFFFF"/>
        </w:rPr>
        <w:t>Section 16(a)</w:t>
      </w:r>
    </w:p>
    <w:p>
      <w:pPr>
        <w:ind w:left="1120"/>
        <w:spacing w:after="0"/>
        <w:rPr>
          <w:sz w:val="20"/>
          <w:szCs w:val="20"/>
          <w:color w:val="auto"/>
        </w:rPr>
      </w:pPr>
      <w:r>
        <w:rPr>
          <w:rFonts w:ascii="Arial" w:cs="Arial" w:eastAsia="Arial" w:hAnsi="Arial"/>
          <w:sz w:val="12"/>
          <w:szCs w:val="12"/>
          <w:color w:val="FFFFFF"/>
        </w:rPr>
        <w:t>Reports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Other</w:t>
      </w:r>
    </w:p>
    <w:p>
      <w:pPr>
        <w:spacing w:after="0" w:line="2"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Information</w:t>
      </w:r>
    </w:p>
    <w:p>
      <w:pPr>
        <w:spacing w:after="0" w:line="144" w:lineRule="exact"/>
        <w:rPr>
          <w:sz w:val="20"/>
          <w:szCs w:val="20"/>
          <w:color w:val="auto"/>
        </w:rPr>
      </w:pPr>
    </w:p>
    <w:p>
      <w:pPr>
        <w:jc w:val="center"/>
        <w:ind w:left="660"/>
        <w:spacing w:after="0"/>
        <w:rPr>
          <w:sz w:val="20"/>
          <w:szCs w:val="20"/>
          <w:color w:val="auto"/>
        </w:rPr>
      </w:pPr>
      <w:r>
        <w:rPr>
          <w:rFonts w:ascii="Arial" w:cs="Arial" w:eastAsia="Arial" w:hAnsi="Arial"/>
          <w:sz w:val="12"/>
          <w:szCs w:val="12"/>
          <w:color w:val="FFFFFF"/>
        </w:rPr>
        <w:t>Appendix A</w:t>
      </w:r>
    </w:p>
    <w:p>
      <w:pPr>
        <w:spacing w:after="0" w:line="156" w:lineRule="exact"/>
        <w:rPr>
          <w:sz w:val="20"/>
          <w:szCs w:val="20"/>
          <w:color w:val="auto"/>
        </w:rPr>
      </w:pPr>
    </w:p>
    <w:p>
      <w:pPr>
        <w:jc w:val="center"/>
        <w:ind w:left="660"/>
        <w:spacing w:after="0"/>
        <w:rPr>
          <w:sz w:val="20"/>
          <w:szCs w:val="20"/>
          <w:color w:val="auto"/>
        </w:rPr>
      </w:pPr>
      <w:r>
        <w:rPr>
          <w:rFonts w:ascii="Arial" w:cs="Arial" w:eastAsia="Arial" w:hAnsi="Arial"/>
          <w:sz w:val="12"/>
          <w:szCs w:val="12"/>
          <w:color w:val="FFFFFF"/>
        </w:rPr>
        <w:t>Appendix 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right="40"/>
        <w:spacing w:after="0" w:line="255" w:lineRule="auto"/>
        <w:rPr>
          <w:sz w:val="20"/>
          <w:szCs w:val="20"/>
          <w:color w:val="auto"/>
        </w:rPr>
      </w:pPr>
      <w:r>
        <w:rPr>
          <w:rFonts w:ascii="Arial" w:cs="Arial" w:eastAsia="Arial" w:hAnsi="Arial"/>
          <w:sz w:val="15"/>
          <w:szCs w:val="15"/>
          <w:color w:val="auto"/>
        </w:rPr>
        <w:t>A quorum at the Annual Meeting will consist of the presence, in person or by proxy, of a majority of shares of Common Stock outstanding and entitled to vote at the Annual Meeting. Both abstentions and broker non-votes will be counted as present in determining the presence of a quorum. A “broker non-vote” is a proxy from a broker or other nominee indicating that such person has not received instructions from the beneficial owner on a particular matter with respect to which the broker or other nominee does not have discretionary voting power. Brokers have the discretion to vote their clients’ proxies only on routine matters. At the Annual Meeting, only the ratification of our auditors is a routine matter. Each share of Common Stock is entitled to one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-1737995</wp:posOffset>
            </wp:positionH>
            <wp:positionV relativeFrom="paragraph">
              <wp:posOffset>-1446530</wp:posOffset>
            </wp:positionV>
            <wp:extent cx="7181215" cy="533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81215" cy="53340"/>
                    </a:xfrm>
                    <a:prstGeom prst="rect">
                      <a:avLst/>
                    </a:prstGeom>
                    <a:noFill/>
                  </pic:spPr>
                </pic:pic>
              </a:graphicData>
            </a:graphic>
          </wp:anchor>
        </w:drawing>
      </w:r>
    </w:p>
    <w:p>
      <w:pPr>
        <w:spacing w:after="0" w:line="142" w:lineRule="exact"/>
        <w:rPr>
          <w:sz w:val="20"/>
          <w:szCs w:val="20"/>
          <w:color w:val="auto"/>
        </w:rPr>
      </w:pPr>
    </w:p>
    <w:p>
      <w:pPr>
        <w:spacing w:after="0"/>
        <w:rPr>
          <w:sz w:val="20"/>
          <w:szCs w:val="20"/>
          <w:color w:val="auto"/>
        </w:rPr>
      </w:pPr>
      <w:r>
        <w:rPr>
          <w:rFonts w:ascii="Arial" w:cs="Arial" w:eastAsia="Arial" w:hAnsi="Arial"/>
          <w:sz w:val="24"/>
          <w:szCs w:val="24"/>
          <w:color w:val="B95827"/>
        </w:rPr>
        <w:t>Attending the Annual Meeting</w:t>
      </w:r>
    </w:p>
    <w:p>
      <w:pPr>
        <w:spacing w:after="0" w:line="117" w:lineRule="exact"/>
        <w:rPr>
          <w:sz w:val="20"/>
          <w:szCs w:val="20"/>
          <w:color w:val="auto"/>
        </w:rPr>
      </w:pPr>
    </w:p>
    <w:p>
      <w:pPr>
        <w:spacing w:after="0" w:line="253" w:lineRule="auto"/>
        <w:rPr>
          <w:sz w:val="20"/>
          <w:szCs w:val="20"/>
          <w:color w:val="auto"/>
        </w:rPr>
      </w:pPr>
      <w:r>
        <w:rPr>
          <w:rFonts w:ascii="Arial" w:cs="Arial" w:eastAsia="Arial" w:hAnsi="Arial"/>
          <w:sz w:val="15"/>
          <w:szCs w:val="15"/>
          <w:color w:val="auto"/>
        </w:rPr>
        <w:t>We invite all stockholders as of the Record Date to attend the Annual Meeting. If you are a record holder of our Common Stock, which means that your shares are represented by ledger entries in your own name directly registered with our transfer agent, Computershare Shareowner Services, please bring valid picture identification with you to the Annual Meeting to allow us to verify your ownership. If your Common Stock is held in “street name,” which means that the shares are held for your benefit in the name of a broker, bank or other intermediary, please also bring a brokerage account statement or letter from your broker, bank or other intermediary reflecting stock ownership in order to be admitted to the Annual Meeting. Please note that if you hold your Common Stock in street name, you may not vote your shares in person unless you obtain a legal proxy from your broker giving you the right to vote the shares 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135890</wp:posOffset>
            </wp:positionV>
            <wp:extent cx="5065395" cy="656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065395" cy="656590"/>
                    </a:xfrm>
                    <a:prstGeom prst="rect">
                      <a:avLst/>
                    </a:prstGeom>
                    <a:noFill/>
                  </pic:spPr>
                </pic:pic>
              </a:graphicData>
            </a:graphic>
          </wp:anchor>
        </w:drawing>
      </w:r>
    </w:p>
    <w:p>
      <w:pPr>
        <w:spacing w:after="0" w:line="200" w:lineRule="exact"/>
        <w:rPr>
          <w:sz w:val="20"/>
          <w:szCs w:val="20"/>
          <w:color w:val="auto"/>
        </w:rPr>
      </w:pPr>
    </w:p>
    <w:p>
      <w:pPr>
        <w:spacing w:after="0" w:line="237" w:lineRule="exact"/>
        <w:rPr>
          <w:sz w:val="20"/>
          <w:szCs w:val="20"/>
          <w:color w:val="auto"/>
        </w:rPr>
      </w:pPr>
    </w:p>
    <w:p>
      <w:pPr>
        <w:ind w:left="180" w:right="260"/>
        <w:spacing w:after="0" w:line="268" w:lineRule="auto"/>
        <w:rPr>
          <w:sz w:val="20"/>
          <w:szCs w:val="20"/>
          <w:color w:val="auto"/>
        </w:rPr>
      </w:pPr>
      <w:r>
        <w:rPr>
          <w:rFonts w:ascii="Arial" w:cs="Arial" w:eastAsia="Arial" w:hAnsi="Arial"/>
          <w:sz w:val="15"/>
          <w:szCs w:val="15"/>
          <w:i w:val="1"/>
          <w:iCs w:val="1"/>
          <w:color w:val="auto"/>
        </w:rPr>
        <w:t>If you plan to attend the Annual Meeting, please be sure to RSVP via email to annualmeeting@lplfinancial.com. Please include your name and phone number in your email. A confirmation, including driving directions and additional meeting information, will be emailed to registered participants.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281305</wp:posOffset>
            </wp:positionV>
            <wp:extent cx="5065395" cy="24149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065395" cy="2414905"/>
                    </a:xfrm>
                    <a:prstGeom prst="rect">
                      <a:avLst/>
                    </a:prstGeom>
                    <a:noFill/>
                  </pic:spPr>
                </pic:pic>
              </a:graphicData>
            </a:graphic>
          </wp:anchor>
        </w:drawing>
      </w:r>
    </w:p>
    <w:p>
      <w:pPr>
        <w:spacing w:after="0" w:line="200" w:lineRule="exact"/>
        <w:rPr>
          <w:sz w:val="20"/>
          <w:szCs w:val="20"/>
          <w:color w:val="auto"/>
        </w:rPr>
      </w:pPr>
    </w:p>
    <w:p>
      <w:pPr>
        <w:spacing w:after="0" w:line="340" w:lineRule="exact"/>
        <w:rPr>
          <w:sz w:val="20"/>
          <w:szCs w:val="20"/>
          <w:color w:val="auto"/>
        </w:rPr>
      </w:pPr>
    </w:p>
    <w:p>
      <w:pPr>
        <w:ind w:left="100"/>
        <w:spacing w:after="0"/>
        <w:rPr>
          <w:sz w:val="20"/>
          <w:szCs w:val="20"/>
          <w:color w:val="auto"/>
        </w:rPr>
      </w:pPr>
      <w:r>
        <w:rPr>
          <w:rFonts w:ascii="Arial" w:cs="Arial" w:eastAsia="Arial" w:hAnsi="Arial"/>
          <w:sz w:val="17"/>
          <w:szCs w:val="17"/>
          <w:b w:val="1"/>
          <w:bCs w:val="1"/>
          <w:i w:val="1"/>
          <w:iCs w:val="1"/>
          <w:color w:val="002B5F"/>
        </w:rPr>
        <w:t xml:space="preserve">   </w:t>
      </w:r>
      <w:r>
        <w:rPr>
          <w:rFonts w:ascii="Arial" w:cs="Arial" w:eastAsia="Arial" w:hAnsi="Arial"/>
          <w:sz w:val="23"/>
          <w:szCs w:val="23"/>
          <w:color w:val="B95827"/>
        </w:rPr>
        <w:t>Items of Business to be Voted upon at the Annual Meeting</w:t>
      </w:r>
    </w:p>
    <w:p>
      <w:pPr>
        <w:spacing w:after="0" w:line="154" w:lineRule="exact"/>
        <w:rPr>
          <w:sz w:val="20"/>
          <w:szCs w:val="20"/>
          <w:color w:val="auto"/>
        </w:rPr>
      </w:pPr>
    </w:p>
    <w:p>
      <w:pPr>
        <w:ind w:left="440" w:right="80" w:hanging="202"/>
        <w:spacing w:after="0" w:line="287" w:lineRule="auto"/>
        <w:tabs>
          <w:tab w:leader="none" w:pos="440" w:val="left"/>
        </w:tabs>
        <w:numPr>
          <w:ilvl w:val="0"/>
          <w:numId w:val="15"/>
        </w:numPr>
        <w:rPr>
          <w:rFonts w:ascii="Arial" w:cs="Arial" w:eastAsia="Arial" w:hAnsi="Arial"/>
          <w:sz w:val="15"/>
          <w:szCs w:val="15"/>
          <w:color w:val="auto"/>
        </w:rPr>
      </w:pPr>
      <w:r>
        <w:rPr>
          <w:rFonts w:ascii="Arial" w:cs="Arial" w:eastAsia="Arial" w:hAnsi="Arial"/>
          <w:sz w:val="15"/>
          <w:szCs w:val="15"/>
          <w:color w:val="auto"/>
        </w:rPr>
        <w:t>To elect each of the 11 nominees named in this proxy statement to the Board of Directors of the Company (the “Board of Directors” or the “Board”) for a term to end at our annual meeting of stockholders in 2027;</w:t>
      </w:r>
    </w:p>
    <w:p>
      <w:pPr>
        <w:spacing w:after="0" w:line="59" w:lineRule="exact"/>
        <w:rPr>
          <w:rFonts w:ascii="Arial" w:cs="Arial" w:eastAsia="Arial" w:hAnsi="Arial"/>
          <w:sz w:val="15"/>
          <w:szCs w:val="15"/>
          <w:color w:val="auto"/>
        </w:rPr>
      </w:pPr>
    </w:p>
    <w:p>
      <w:pPr>
        <w:ind w:left="440" w:hanging="202"/>
        <w:spacing w:after="0" w:line="268" w:lineRule="auto"/>
        <w:tabs>
          <w:tab w:leader="none" w:pos="440" w:val="left"/>
        </w:tabs>
        <w:numPr>
          <w:ilvl w:val="0"/>
          <w:numId w:val="15"/>
        </w:numPr>
        <w:rPr>
          <w:rFonts w:ascii="Arial" w:cs="Arial" w:eastAsia="Arial" w:hAnsi="Arial"/>
          <w:sz w:val="15"/>
          <w:szCs w:val="15"/>
          <w:color w:val="auto"/>
        </w:rPr>
      </w:pPr>
      <w:r>
        <w:rPr>
          <w:rFonts w:ascii="Arial" w:cs="Arial" w:eastAsia="Arial" w:hAnsi="Arial"/>
          <w:sz w:val="15"/>
          <w:szCs w:val="15"/>
          <w:color w:val="auto"/>
        </w:rPr>
        <w:t>To ratify the appointment of Deloitte &amp; Touche LLP by the audit and risk committee of the Board of Directors (the “Audit and Risk Committee”) as our independent registered public accounting firm for the fiscal year ending December 31, 2026;</w:t>
      </w:r>
    </w:p>
    <w:p>
      <w:pPr>
        <w:spacing w:after="0" w:line="73" w:lineRule="exact"/>
        <w:rPr>
          <w:rFonts w:ascii="Arial" w:cs="Arial" w:eastAsia="Arial" w:hAnsi="Arial"/>
          <w:sz w:val="15"/>
          <w:szCs w:val="15"/>
          <w:color w:val="auto"/>
        </w:rPr>
      </w:pPr>
    </w:p>
    <w:p>
      <w:pPr>
        <w:ind w:left="440" w:hanging="202"/>
        <w:spacing w:after="0"/>
        <w:tabs>
          <w:tab w:leader="none" w:pos="440" w:val="left"/>
        </w:tabs>
        <w:numPr>
          <w:ilvl w:val="0"/>
          <w:numId w:val="15"/>
        </w:numPr>
        <w:rPr>
          <w:rFonts w:ascii="Arial" w:cs="Arial" w:eastAsia="Arial" w:hAnsi="Arial"/>
          <w:sz w:val="15"/>
          <w:szCs w:val="15"/>
          <w:color w:val="auto"/>
        </w:rPr>
      </w:pPr>
      <w:r>
        <w:rPr>
          <w:rFonts w:ascii="Arial" w:cs="Arial" w:eastAsia="Arial" w:hAnsi="Arial"/>
          <w:sz w:val="15"/>
          <w:szCs w:val="15"/>
          <w:color w:val="auto"/>
        </w:rPr>
        <w:t>To approve, in an advisory vote, the compensation paid to the Company’s named executive officers;</w:t>
      </w:r>
    </w:p>
    <w:p>
      <w:pPr>
        <w:spacing w:after="0" w:line="121" w:lineRule="exact"/>
        <w:rPr>
          <w:rFonts w:ascii="Arial" w:cs="Arial" w:eastAsia="Arial" w:hAnsi="Arial"/>
          <w:sz w:val="15"/>
          <w:szCs w:val="15"/>
          <w:color w:val="auto"/>
        </w:rPr>
      </w:pPr>
    </w:p>
    <w:p>
      <w:pPr>
        <w:ind w:left="440" w:right="440" w:hanging="202"/>
        <w:spacing w:after="0" w:line="268" w:lineRule="auto"/>
        <w:tabs>
          <w:tab w:leader="none" w:pos="440" w:val="left"/>
        </w:tabs>
        <w:numPr>
          <w:ilvl w:val="0"/>
          <w:numId w:val="15"/>
        </w:numPr>
        <w:rPr>
          <w:rFonts w:ascii="Arial" w:cs="Arial" w:eastAsia="Arial" w:hAnsi="Arial"/>
          <w:sz w:val="15"/>
          <w:szCs w:val="15"/>
          <w:color w:val="auto"/>
        </w:rPr>
      </w:pPr>
      <w:r>
        <w:rPr>
          <w:rFonts w:ascii="Arial" w:cs="Arial" w:eastAsia="Arial" w:hAnsi="Arial"/>
          <w:sz w:val="15"/>
          <w:szCs w:val="15"/>
          <w:color w:val="auto"/>
        </w:rPr>
        <w:t>To adopt an amendment and restatement of our Amended and Restated Certificate of Incorporation (the “Charter”) to eliminate supermajority voting requirements, eliminate obsolete provisions and make certain non-substantive changes;</w:t>
      </w:r>
    </w:p>
    <w:p>
      <w:pPr>
        <w:spacing w:after="0" w:line="73" w:lineRule="exact"/>
        <w:rPr>
          <w:rFonts w:ascii="Arial" w:cs="Arial" w:eastAsia="Arial" w:hAnsi="Arial"/>
          <w:sz w:val="15"/>
          <w:szCs w:val="15"/>
          <w:color w:val="auto"/>
        </w:rPr>
      </w:pPr>
    </w:p>
    <w:p>
      <w:pPr>
        <w:ind w:left="440" w:hanging="202"/>
        <w:spacing w:after="0"/>
        <w:tabs>
          <w:tab w:leader="none" w:pos="440" w:val="left"/>
        </w:tabs>
        <w:numPr>
          <w:ilvl w:val="0"/>
          <w:numId w:val="15"/>
        </w:numPr>
        <w:rPr>
          <w:rFonts w:ascii="Arial" w:cs="Arial" w:eastAsia="Arial" w:hAnsi="Arial"/>
          <w:sz w:val="15"/>
          <w:szCs w:val="15"/>
          <w:color w:val="auto"/>
        </w:rPr>
      </w:pPr>
      <w:r>
        <w:rPr>
          <w:rFonts w:ascii="Arial" w:cs="Arial" w:eastAsia="Arial" w:hAnsi="Arial"/>
          <w:sz w:val="15"/>
          <w:szCs w:val="15"/>
          <w:color w:val="auto"/>
        </w:rPr>
        <w:t>To adopt amendments to our Charter to provide for officer exculpation;</w:t>
      </w:r>
    </w:p>
    <w:p>
      <w:pPr>
        <w:spacing w:after="0" w:line="121" w:lineRule="exact"/>
        <w:rPr>
          <w:rFonts w:ascii="Arial" w:cs="Arial" w:eastAsia="Arial" w:hAnsi="Arial"/>
          <w:sz w:val="15"/>
          <w:szCs w:val="15"/>
          <w:color w:val="auto"/>
        </w:rPr>
      </w:pPr>
    </w:p>
    <w:p>
      <w:pPr>
        <w:ind w:left="440" w:hanging="202"/>
        <w:spacing w:after="0"/>
        <w:tabs>
          <w:tab w:leader="none" w:pos="440" w:val="left"/>
        </w:tabs>
        <w:numPr>
          <w:ilvl w:val="0"/>
          <w:numId w:val="15"/>
        </w:numPr>
        <w:rPr>
          <w:rFonts w:ascii="Arial" w:cs="Arial" w:eastAsia="Arial" w:hAnsi="Arial"/>
          <w:sz w:val="15"/>
          <w:szCs w:val="15"/>
          <w:color w:val="auto"/>
        </w:rPr>
      </w:pPr>
      <w:r>
        <w:rPr>
          <w:rFonts w:ascii="Arial" w:cs="Arial" w:eastAsia="Arial" w:hAnsi="Arial"/>
          <w:sz w:val="15"/>
          <w:szCs w:val="15"/>
          <w:color w:val="auto"/>
        </w:rPr>
        <w:t>To adopt amendments to our Charter to remove the corporate opportunities provision; and</w:t>
      </w:r>
    </w:p>
    <w:p>
      <w:pPr>
        <w:spacing w:after="0" w:line="121" w:lineRule="exact"/>
        <w:rPr>
          <w:rFonts w:ascii="Arial" w:cs="Arial" w:eastAsia="Arial" w:hAnsi="Arial"/>
          <w:sz w:val="15"/>
          <w:szCs w:val="15"/>
          <w:color w:val="auto"/>
        </w:rPr>
      </w:pPr>
    </w:p>
    <w:p>
      <w:pPr>
        <w:ind w:left="440" w:right="780" w:hanging="202"/>
        <w:spacing w:after="0" w:line="287" w:lineRule="auto"/>
        <w:tabs>
          <w:tab w:leader="none" w:pos="440" w:val="left"/>
        </w:tabs>
        <w:numPr>
          <w:ilvl w:val="0"/>
          <w:numId w:val="15"/>
        </w:numPr>
        <w:rPr>
          <w:rFonts w:ascii="Arial" w:cs="Arial" w:eastAsia="Arial" w:hAnsi="Arial"/>
          <w:sz w:val="15"/>
          <w:szCs w:val="15"/>
          <w:color w:val="auto"/>
        </w:rPr>
      </w:pPr>
      <w:r>
        <w:rPr>
          <w:rFonts w:ascii="Arial" w:cs="Arial" w:eastAsia="Arial" w:hAnsi="Arial"/>
          <w:sz w:val="15"/>
          <w:szCs w:val="15"/>
          <w:color w:val="auto"/>
        </w:rPr>
        <w:t>To consider and act upon any other business properly coming before the Annual Meeting and at any adjournment or postponement thereof.</w:t>
      </w:r>
    </w:p>
    <w:p>
      <w:pPr>
        <w:spacing w:after="0" w:line="2663" w:lineRule="exact"/>
        <w:rPr>
          <w:sz w:val="20"/>
          <w:szCs w:val="20"/>
          <w:color w:val="auto"/>
        </w:rPr>
      </w:pPr>
    </w:p>
    <w:p>
      <w:pPr>
        <w:sectPr>
          <w:pgSz w:w="11900" w:h="16838" w:orient="portrait"/>
          <w:cols w:equalWidth="0" w:num="2">
            <w:col w:w="2160" w:space="560"/>
            <w:col w:w="7980"/>
          </w:cols>
          <w:pgMar w:left="320" w:top="464" w:right="879" w:bottom="1440" w:gutter="0" w:footer="0" w:header="0"/>
        </w:sectPr>
      </w:pPr>
    </w:p>
    <w:p>
      <w:pPr>
        <w:spacing w:after="0" w:line="200" w:lineRule="exact"/>
        <w:rPr>
          <w:sz w:val="20"/>
          <w:szCs w:val="20"/>
          <w:color w:val="auto"/>
        </w:rPr>
      </w:pPr>
    </w:p>
    <w:p>
      <w:pPr>
        <w:spacing w:after="0" w:line="385" w:lineRule="exact"/>
        <w:rPr>
          <w:sz w:val="20"/>
          <w:szCs w:val="20"/>
          <w:color w:val="auto"/>
        </w:rPr>
      </w:pPr>
    </w:p>
    <w:p>
      <w:pPr>
        <w:ind w:left="420"/>
        <w:spacing w:after="0"/>
        <w:tabs>
          <w:tab w:leader="none" w:pos="2380" w:val="left"/>
          <w:tab w:leader="none" w:pos="2800" w:val="left"/>
        </w:tabs>
        <w:rPr>
          <w:sz w:val="20"/>
          <w:szCs w:val="20"/>
          <w:color w:val="auto"/>
        </w:rPr>
      </w:pPr>
      <w:r>
        <w:rPr>
          <w:rFonts w:ascii="Arial" w:cs="Arial" w:eastAsia="Arial" w:hAnsi="Arial"/>
          <w:sz w:val="30"/>
          <w:szCs w:val="30"/>
          <w:color w:val="000000"/>
          <w:vertAlign w:val="superscript"/>
        </w:rPr>
        <w:t xml:space="preserve">             </w:t>
      </w:r>
      <w:r>
        <w:rPr>
          <w:sz w:val="20"/>
          <w:szCs w:val="20"/>
          <w:color w:val="auto"/>
        </w:rPr>
        <w:tab/>
      </w:r>
      <w:r>
        <w:rPr>
          <w:rFonts w:ascii="Arial" w:cs="Arial" w:eastAsia="Arial" w:hAnsi="Arial"/>
          <w:sz w:val="31"/>
          <w:szCs w:val="31"/>
          <w:color w:val="auto"/>
          <w:vertAlign w:val="superscript"/>
        </w:rPr>
        <w:t xml:space="preserve">    </w:t>
      </w:r>
      <w:r>
        <w:rPr>
          <w:sz w:val="20"/>
          <w:szCs w:val="20"/>
          <w:color w:val="auto"/>
        </w:rPr>
        <w:tab/>
      </w:r>
      <w:r>
        <w:rPr>
          <w:rFonts w:ascii="Arial" w:cs="Arial" w:eastAsia="Arial" w:hAnsi="Arial"/>
          <w:sz w:val="15"/>
          <w:szCs w:val="15"/>
          <w:b w:val="1"/>
          <w:bCs w:val="1"/>
          <w:color w:val="002B5F"/>
        </w:rPr>
        <w:t xml:space="preserve">2  </w:t>
      </w:r>
      <w:r>
        <w:rPr>
          <w:rFonts w:ascii="Arial" w:cs="Arial" w:eastAsia="Arial" w:hAnsi="Arial"/>
          <w:sz w:val="20"/>
          <w:szCs w:val="20"/>
          <w:color w:val="002B5F"/>
        </w:rPr>
        <w:t>|</w:t>
      </w:r>
      <w:r>
        <w:rPr>
          <w:rFonts w:ascii="Arial" w:cs="Arial" w:eastAsia="Arial" w:hAnsi="Arial"/>
          <w:sz w:val="15"/>
          <w:szCs w:val="15"/>
          <w:b w:val="1"/>
          <w:bCs w:val="1"/>
          <w:color w:val="002B5F"/>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6111875</wp:posOffset>
            </wp:positionH>
            <wp:positionV relativeFrom="paragraph">
              <wp:posOffset>-208915</wp:posOffset>
            </wp:positionV>
            <wp:extent cx="769620" cy="971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69620" cy="97155"/>
                    </a:xfrm>
                    <a:prstGeom prst="rect">
                      <a:avLst/>
                    </a:prstGeom>
                    <a:noFill/>
                  </pic:spPr>
                </pic:pic>
              </a:graphicData>
            </a:graphic>
          </wp:anchor>
        </w:drawing>
      </w:r>
    </w:p>
    <w:p>
      <w:pPr>
        <w:sectPr>
          <w:pgSz w:w="11900" w:h="16838" w:orient="portrait"/>
          <w:cols w:equalWidth="0" w:num="1">
            <w:col w:w="10700"/>
          </w:cols>
          <w:pgMar w:left="320" w:top="464" w:right="87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533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81215" cy="5334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5617845</wp:posOffset>
            </wp:positionH>
            <wp:positionV relativeFrom="paragraph">
              <wp:posOffset>253365</wp:posOffset>
            </wp:positionV>
            <wp:extent cx="1256030" cy="74720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56030" cy="7472045"/>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ind w:left="540"/>
        <w:spacing w:after="0"/>
        <w:rPr>
          <w:sz w:val="20"/>
          <w:szCs w:val="20"/>
          <w:color w:val="auto"/>
        </w:rPr>
      </w:pPr>
      <w:r>
        <w:rPr>
          <w:rFonts w:ascii="Arial" w:cs="Arial" w:eastAsia="Arial" w:hAnsi="Arial"/>
          <w:sz w:val="24"/>
          <w:szCs w:val="24"/>
          <w:color w:val="B95827"/>
        </w:rPr>
        <w:t>Manner of Voting</w:t>
      </w:r>
    </w:p>
    <w:tbl>
      <w:tblPr>
        <w:tblLayout w:type="fixed"/>
        <w:tblInd w:w="540" w:type="dxa"/>
        <w:tblCellMar>
          <w:top w:w="0" w:type="dxa"/>
          <w:left w:w="0" w:type="dxa"/>
          <w:bottom w:w="0" w:type="dxa"/>
          <w:right w:w="0" w:type="dxa"/>
        </w:tblCellMar>
      </w:tblPr>
      <w:tr>
        <w:trPr>
          <w:trHeight w:val="146"/>
        </w:trPr>
        <w:tc>
          <w:tcPr>
            <w:tcW w:w="7560" w:type="dxa"/>
            <w:vAlign w:val="bottom"/>
            <w:gridSpan w:val="4"/>
            <w:vMerge w:val="restart"/>
          </w:tcPr>
          <w:p>
            <w:pPr>
              <w:spacing w:after="0"/>
              <w:rPr>
                <w:sz w:val="20"/>
                <w:szCs w:val="20"/>
                <w:color w:val="auto"/>
              </w:rPr>
            </w:pPr>
            <w:r>
              <w:rPr>
                <w:rFonts w:ascii="Arial" w:cs="Arial" w:eastAsia="Arial" w:hAnsi="Arial"/>
                <w:sz w:val="15"/>
                <w:szCs w:val="15"/>
                <w:color w:val="auto"/>
              </w:rPr>
              <w:t>If you are a holder of record of our Common Stock as of the Record Date, you may vote in one of the following</w:t>
            </w:r>
          </w:p>
        </w:tc>
        <w:tc>
          <w:tcPr>
            <w:tcW w:w="320" w:type="dxa"/>
            <w:vAlign w:val="bottom"/>
          </w:tcPr>
          <w:p>
            <w:pPr>
              <w:spacing w:after="0"/>
              <w:rPr>
                <w:sz w:val="12"/>
                <w:szCs w:val="12"/>
                <w:color w:val="auto"/>
              </w:rPr>
            </w:pPr>
          </w:p>
        </w:tc>
        <w:tc>
          <w:tcPr>
            <w:tcW w:w="660" w:type="dxa"/>
            <w:vAlign w:val="bottom"/>
          </w:tcPr>
          <w:p>
            <w:pPr>
              <w:ind w:left="460"/>
              <w:spacing w:after="0" w:line="146" w:lineRule="exact"/>
              <w:rPr>
                <w:sz w:val="20"/>
                <w:szCs w:val="20"/>
                <w:color w:val="auto"/>
              </w:rPr>
            </w:pPr>
            <w:r>
              <w:rPr>
                <w:rFonts w:ascii="Arial" w:cs="Arial" w:eastAsia="Arial" w:hAnsi="Arial"/>
                <w:sz w:val="15"/>
                <w:szCs w:val="15"/>
                <w:color w:val="auto"/>
              </w:rPr>
              <w:t> </w:t>
            </w:r>
          </w:p>
        </w:tc>
        <w:tc>
          <w:tcPr>
            <w:tcW w:w="1280" w:type="dxa"/>
            <w:vAlign w:val="bottom"/>
          </w:tcPr>
          <w:p>
            <w:pPr>
              <w:ind w:left="140"/>
              <w:spacing w:after="0"/>
              <w:rPr>
                <w:sz w:val="20"/>
                <w:szCs w:val="20"/>
                <w:color w:val="auto"/>
              </w:rPr>
            </w:pPr>
            <w:r>
              <w:rPr>
                <w:rFonts w:ascii="Arial" w:cs="Arial" w:eastAsia="Arial" w:hAnsi="Arial"/>
                <w:sz w:val="12"/>
                <w:szCs w:val="12"/>
                <w:b w:val="1"/>
                <w:bCs w:val="1"/>
                <w:color w:val="FFFFFF"/>
              </w:rPr>
              <w:t>General</w:t>
            </w:r>
          </w:p>
        </w:tc>
        <w:tc>
          <w:tcPr>
            <w:tcW w:w="440" w:type="dxa"/>
            <w:vAlign w:val="bottom"/>
          </w:tcPr>
          <w:p>
            <w:pPr>
              <w:ind w:left="80"/>
              <w:spacing w:after="0" w:line="146" w:lineRule="exact"/>
              <w:rPr>
                <w:sz w:val="20"/>
                <w:szCs w:val="20"/>
                <w:color w:val="auto"/>
              </w:rPr>
            </w:pPr>
            <w:r>
              <w:rPr>
                <w:rFonts w:ascii="Arial" w:cs="Arial" w:eastAsia="Arial" w:hAnsi="Arial"/>
                <w:sz w:val="15"/>
                <w:szCs w:val="15"/>
                <w:color w:val="auto"/>
              </w:rPr>
              <w:t xml:space="preserve">       </w:t>
            </w:r>
          </w:p>
        </w:tc>
        <w:tc>
          <w:tcPr>
            <w:tcW w:w="0" w:type="dxa"/>
            <w:vAlign w:val="bottom"/>
          </w:tcPr>
          <w:p>
            <w:pPr>
              <w:spacing w:after="0"/>
              <w:rPr>
                <w:sz w:val="1"/>
                <w:szCs w:val="1"/>
                <w:color w:val="auto"/>
              </w:rPr>
            </w:pPr>
          </w:p>
        </w:tc>
      </w:tr>
      <w:tr>
        <w:trPr>
          <w:trHeight w:val="154"/>
        </w:trPr>
        <w:tc>
          <w:tcPr>
            <w:tcW w:w="7560" w:type="dxa"/>
            <w:vAlign w:val="bottom"/>
            <w:gridSpan w:val="4"/>
            <w:vMerge w:val="continue"/>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80" w:type="dxa"/>
            <w:vAlign w:val="bottom"/>
          </w:tcPr>
          <w:p>
            <w:pPr>
              <w:ind w:left="140"/>
              <w:spacing w:after="0"/>
              <w:rPr>
                <w:sz w:val="20"/>
                <w:szCs w:val="20"/>
                <w:color w:val="auto"/>
              </w:rPr>
            </w:pPr>
            <w:r>
              <w:rPr>
                <w:rFonts w:ascii="Arial" w:cs="Arial" w:eastAsia="Arial" w:hAnsi="Arial"/>
                <w:sz w:val="12"/>
                <w:szCs w:val="12"/>
                <w:b w:val="1"/>
                <w:bCs w:val="1"/>
                <w:color w:val="FFFFFF"/>
              </w:rPr>
              <w:t>Information</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1"/>
        </w:trPr>
        <w:tc>
          <w:tcPr>
            <w:tcW w:w="3440" w:type="dxa"/>
            <w:vAlign w:val="bottom"/>
          </w:tcPr>
          <w:p>
            <w:pPr>
              <w:spacing w:after="0"/>
              <w:rPr>
                <w:sz w:val="20"/>
                <w:szCs w:val="20"/>
                <w:color w:val="auto"/>
              </w:rPr>
            </w:pPr>
            <w:r>
              <w:rPr>
                <w:rFonts w:ascii="Arial" w:cs="Arial" w:eastAsia="Arial" w:hAnsi="Arial"/>
                <w:sz w:val="15"/>
                <w:szCs w:val="15"/>
                <w:color w:val="auto"/>
              </w:rPr>
              <w:t>ways:</w:t>
            </w: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80" w:type="dxa"/>
            <w:vAlign w:val="bottom"/>
            <w:vMerge w:val="restart"/>
          </w:tcPr>
          <w:p>
            <w:pPr>
              <w:ind w:left="140"/>
              <w:spacing w:after="0"/>
              <w:rPr>
                <w:sz w:val="20"/>
                <w:szCs w:val="20"/>
                <w:color w:val="auto"/>
              </w:rPr>
            </w:pPr>
            <w:r>
              <w:rPr>
                <w:rFonts w:ascii="Arial" w:cs="Arial" w:eastAsia="Arial" w:hAnsi="Arial"/>
                <w:sz w:val="12"/>
                <w:szCs w:val="12"/>
                <w:color w:val="FFFFFF"/>
              </w:rPr>
              <w:t>General Information</w:t>
            </w: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6"/>
        </w:trPr>
        <w:tc>
          <w:tcPr>
            <w:tcW w:w="3440" w:type="dxa"/>
            <w:vAlign w:val="bottom"/>
          </w:tcPr>
          <w:p>
            <w:pPr>
              <w:spacing w:after="0"/>
              <w:rPr>
                <w:sz w:val="3"/>
                <w:szCs w:val="3"/>
                <w:color w:val="auto"/>
              </w:rPr>
            </w:pPr>
          </w:p>
        </w:tc>
        <w:tc>
          <w:tcPr>
            <w:tcW w:w="380" w:type="dxa"/>
            <w:vAlign w:val="bottom"/>
          </w:tcPr>
          <w:p>
            <w:pPr>
              <w:spacing w:after="0"/>
              <w:rPr>
                <w:sz w:val="3"/>
                <w:szCs w:val="3"/>
                <w:color w:val="auto"/>
              </w:rPr>
            </w:pPr>
          </w:p>
        </w:tc>
        <w:tc>
          <w:tcPr>
            <w:tcW w:w="140" w:type="dxa"/>
            <w:vAlign w:val="bottom"/>
          </w:tcPr>
          <w:p>
            <w:pPr>
              <w:spacing w:after="0"/>
              <w:rPr>
                <w:sz w:val="3"/>
                <w:szCs w:val="3"/>
                <w:color w:val="auto"/>
              </w:rPr>
            </w:pPr>
          </w:p>
        </w:tc>
        <w:tc>
          <w:tcPr>
            <w:tcW w:w="3600" w:type="dxa"/>
            <w:vAlign w:val="bottom"/>
          </w:tcPr>
          <w:p>
            <w:pPr>
              <w:spacing w:after="0"/>
              <w:rPr>
                <w:sz w:val="3"/>
                <w:szCs w:val="3"/>
                <w:color w:val="auto"/>
              </w:rPr>
            </w:pPr>
          </w:p>
        </w:tc>
        <w:tc>
          <w:tcPr>
            <w:tcW w:w="3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69"/>
        </w:trPr>
        <w:tc>
          <w:tcPr>
            <w:tcW w:w="3440" w:type="dxa"/>
            <w:vAlign w:val="bottom"/>
          </w:tcPr>
          <w:p>
            <w:pPr>
              <w:spacing w:after="0"/>
              <w:rPr>
                <w:sz w:val="5"/>
                <w:szCs w:val="5"/>
                <w:color w:val="auto"/>
              </w:rPr>
            </w:pPr>
          </w:p>
        </w:tc>
        <w:tc>
          <w:tcPr>
            <w:tcW w:w="380" w:type="dxa"/>
            <w:vAlign w:val="bottom"/>
          </w:tcPr>
          <w:p>
            <w:pPr>
              <w:spacing w:after="0"/>
              <w:rPr>
                <w:sz w:val="5"/>
                <w:szCs w:val="5"/>
                <w:color w:val="auto"/>
              </w:rPr>
            </w:pPr>
          </w:p>
        </w:tc>
        <w:tc>
          <w:tcPr>
            <w:tcW w:w="140" w:type="dxa"/>
            <w:vAlign w:val="bottom"/>
          </w:tcPr>
          <w:p>
            <w:pPr>
              <w:spacing w:after="0"/>
              <w:rPr>
                <w:sz w:val="5"/>
                <w:szCs w:val="5"/>
                <w:color w:val="auto"/>
              </w:rPr>
            </w:pPr>
          </w:p>
        </w:tc>
        <w:tc>
          <w:tcPr>
            <w:tcW w:w="3600" w:type="dxa"/>
            <w:vAlign w:val="bottom"/>
          </w:tcPr>
          <w:p>
            <w:pPr>
              <w:spacing w:after="0"/>
              <w:rPr>
                <w:sz w:val="5"/>
                <w:szCs w:val="5"/>
                <w:color w:val="auto"/>
              </w:rPr>
            </w:pPr>
          </w:p>
        </w:tc>
        <w:tc>
          <w:tcPr>
            <w:tcW w:w="3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280" w:type="dxa"/>
            <w:vAlign w:val="bottom"/>
            <w:vMerge w:val="restart"/>
          </w:tcPr>
          <w:p>
            <w:pPr>
              <w:ind w:left="140"/>
              <w:spacing w:after="0" w:line="128" w:lineRule="exact"/>
              <w:rPr>
                <w:sz w:val="20"/>
                <w:szCs w:val="20"/>
                <w:color w:val="auto"/>
              </w:rPr>
            </w:pPr>
            <w:r>
              <w:rPr>
                <w:rFonts w:ascii="Arial" w:cs="Arial" w:eastAsia="Arial" w:hAnsi="Arial"/>
                <w:sz w:val="12"/>
                <w:szCs w:val="12"/>
                <w:color w:val="FFFFFF"/>
              </w:rPr>
              <w:t>About Corporate</w:t>
            </w:r>
          </w:p>
        </w:tc>
        <w:tc>
          <w:tcPr>
            <w:tcW w:w="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9"/>
        </w:trPr>
        <w:tc>
          <w:tcPr>
            <w:tcW w:w="3440" w:type="dxa"/>
            <w:vAlign w:val="bottom"/>
            <w:vMerge w:val="restart"/>
            <w:shd w:val="clear" w:color="auto" w:fill="F7F1EC"/>
          </w:tcPr>
          <w:p>
            <w:pPr>
              <w:spacing w:after="0"/>
              <w:rPr>
                <w:sz w:val="20"/>
                <w:szCs w:val="20"/>
                <w:color w:val="auto"/>
              </w:rPr>
            </w:pPr>
            <w:r>
              <w:rPr>
                <w:rFonts w:ascii="Arial" w:cs="Arial" w:eastAsia="Arial" w:hAnsi="Arial"/>
                <w:sz w:val="15"/>
                <w:szCs w:val="15"/>
                <w:color w:val="auto"/>
              </w:rPr>
              <w:t>       </w:t>
            </w:r>
          </w:p>
        </w:tc>
        <w:tc>
          <w:tcPr>
            <w:tcW w:w="380" w:type="dxa"/>
            <w:vAlign w:val="bottom"/>
            <w:vMerge w:val="restart"/>
            <w:shd w:val="clear" w:color="auto" w:fill="F7F1EC"/>
          </w:tcPr>
          <w:p>
            <w:pPr>
              <w:ind w:left="80"/>
              <w:spacing w:after="0"/>
              <w:rPr>
                <w:sz w:val="20"/>
                <w:szCs w:val="20"/>
                <w:color w:val="auto"/>
              </w:rPr>
            </w:pPr>
            <w:r>
              <w:rPr>
                <w:rFonts w:ascii="Arial" w:cs="Arial" w:eastAsia="Arial" w:hAnsi="Arial"/>
                <w:sz w:val="15"/>
                <w:szCs w:val="15"/>
                <w:color w:val="auto"/>
                <w:w w:val="73"/>
              </w:rPr>
              <w:t>       </w:t>
            </w:r>
          </w:p>
        </w:tc>
        <w:tc>
          <w:tcPr>
            <w:tcW w:w="140" w:type="dxa"/>
            <w:vAlign w:val="bottom"/>
            <w:vMerge w:val="restart"/>
          </w:tcPr>
          <w:p>
            <w:pPr>
              <w:ind w:left="80"/>
              <w:spacing w:after="0"/>
              <w:rPr>
                <w:sz w:val="20"/>
                <w:szCs w:val="20"/>
                <w:color w:val="auto"/>
              </w:rPr>
            </w:pPr>
            <w:r>
              <w:rPr>
                <w:rFonts w:ascii="Arial" w:cs="Arial" w:eastAsia="Arial" w:hAnsi="Arial"/>
                <w:sz w:val="15"/>
                <w:szCs w:val="15"/>
                <w:color w:val="auto"/>
              </w:rPr>
              <w:t> </w:t>
            </w:r>
          </w:p>
        </w:tc>
        <w:tc>
          <w:tcPr>
            <w:tcW w:w="3600" w:type="dxa"/>
            <w:vAlign w:val="bottom"/>
            <w:vMerge w:val="restart"/>
            <w:shd w:val="clear" w:color="auto" w:fill="F7F1EC"/>
          </w:tcPr>
          <w:p>
            <w:pPr>
              <w:ind w:left="80"/>
              <w:spacing w:after="0"/>
              <w:rPr>
                <w:sz w:val="20"/>
                <w:szCs w:val="20"/>
                <w:color w:val="auto"/>
              </w:rPr>
            </w:pPr>
            <w:r>
              <w:rPr>
                <w:rFonts w:ascii="Arial" w:cs="Arial" w:eastAsia="Arial" w:hAnsi="Arial"/>
                <w:sz w:val="15"/>
                <w:szCs w:val="15"/>
                <w:color w:val="auto"/>
              </w:rPr>
              <w:t xml:space="preserve">    </w:t>
            </w:r>
          </w:p>
        </w:tc>
        <w:tc>
          <w:tcPr>
            <w:tcW w:w="320" w:type="dxa"/>
            <w:vAlign w:val="bottom"/>
            <w:vMerge w:val="restart"/>
            <w:shd w:val="clear" w:color="auto" w:fill="F7F1EC"/>
          </w:tcPr>
          <w:p>
            <w:pPr>
              <w:spacing w:after="0"/>
              <w:rPr>
                <w:sz w:val="20"/>
                <w:szCs w:val="20"/>
                <w:color w:val="auto"/>
              </w:rPr>
            </w:pPr>
            <w:r>
              <w:rPr>
                <w:rFonts w:ascii="Arial" w:cs="Arial" w:eastAsia="Arial" w:hAnsi="Arial"/>
                <w:sz w:val="15"/>
                <w:szCs w:val="15"/>
                <w:color w:val="auto"/>
                <w:w w:val="78"/>
              </w:rPr>
              <w:t>       </w:t>
            </w:r>
          </w:p>
        </w:tc>
        <w:tc>
          <w:tcPr>
            <w:tcW w:w="660" w:type="dxa"/>
            <w:vAlign w:val="bottom"/>
          </w:tcPr>
          <w:p>
            <w:pPr>
              <w:spacing w:after="0"/>
              <w:rPr>
                <w:sz w:val="5"/>
                <w:szCs w:val="5"/>
                <w:color w:val="auto"/>
              </w:rPr>
            </w:pPr>
          </w:p>
        </w:tc>
        <w:tc>
          <w:tcPr>
            <w:tcW w:w="128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3440" w:type="dxa"/>
            <w:vAlign w:val="bottom"/>
            <w:vMerge w:val="continue"/>
            <w:shd w:val="clear" w:color="auto" w:fill="F7F1EC"/>
          </w:tcPr>
          <w:p>
            <w:pPr>
              <w:spacing w:after="0"/>
              <w:rPr>
                <w:sz w:val="11"/>
                <w:szCs w:val="11"/>
                <w:color w:val="auto"/>
              </w:rPr>
            </w:pPr>
          </w:p>
        </w:tc>
        <w:tc>
          <w:tcPr>
            <w:tcW w:w="380" w:type="dxa"/>
            <w:vAlign w:val="bottom"/>
            <w:vMerge w:val="continue"/>
            <w:shd w:val="clear" w:color="auto" w:fill="F7F1EC"/>
          </w:tcPr>
          <w:p>
            <w:pPr>
              <w:spacing w:after="0"/>
              <w:rPr>
                <w:sz w:val="11"/>
                <w:szCs w:val="11"/>
                <w:color w:val="auto"/>
              </w:rPr>
            </w:pPr>
          </w:p>
        </w:tc>
        <w:tc>
          <w:tcPr>
            <w:tcW w:w="140" w:type="dxa"/>
            <w:vAlign w:val="bottom"/>
            <w:vMerge w:val="continue"/>
          </w:tcPr>
          <w:p>
            <w:pPr>
              <w:spacing w:after="0"/>
              <w:rPr>
                <w:sz w:val="11"/>
                <w:szCs w:val="11"/>
                <w:color w:val="auto"/>
              </w:rPr>
            </w:pPr>
          </w:p>
        </w:tc>
        <w:tc>
          <w:tcPr>
            <w:tcW w:w="3600" w:type="dxa"/>
            <w:vAlign w:val="bottom"/>
            <w:vMerge w:val="continue"/>
            <w:shd w:val="clear" w:color="auto" w:fill="F7F1EC"/>
          </w:tcPr>
          <w:p>
            <w:pPr>
              <w:spacing w:after="0"/>
              <w:rPr>
                <w:sz w:val="11"/>
                <w:szCs w:val="11"/>
                <w:color w:val="auto"/>
              </w:rPr>
            </w:pPr>
          </w:p>
        </w:tc>
        <w:tc>
          <w:tcPr>
            <w:tcW w:w="320" w:type="dxa"/>
            <w:vAlign w:val="bottom"/>
            <w:vMerge w:val="continue"/>
            <w:shd w:val="clear" w:color="auto" w:fill="F7F1EC"/>
          </w:tcPr>
          <w:p>
            <w:pPr>
              <w:spacing w:after="0"/>
              <w:rPr>
                <w:sz w:val="11"/>
                <w:szCs w:val="11"/>
                <w:color w:val="auto"/>
              </w:rPr>
            </w:pPr>
          </w:p>
        </w:tc>
        <w:tc>
          <w:tcPr>
            <w:tcW w:w="660" w:type="dxa"/>
            <w:vAlign w:val="bottom"/>
          </w:tcPr>
          <w:p>
            <w:pPr>
              <w:spacing w:after="0"/>
              <w:rPr>
                <w:sz w:val="11"/>
                <w:szCs w:val="11"/>
                <w:color w:val="auto"/>
              </w:rPr>
            </w:pPr>
          </w:p>
        </w:tc>
        <w:tc>
          <w:tcPr>
            <w:tcW w:w="1280" w:type="dxa"/>
            <w:vAlign w:val="bottom"/>
          </w:tcPr>
          <w:p>
            <w:pPr>
              <w:ind w:left="140"/>
              <w:spacing w:after="0" w:line="128" w:lineRule="exact"/>
              <w:rPr>
                <w:sz w:val="20"/>
                <w:szCs w:val="20"/>
                <w:color w:val="auto"/>
              </w:rPr>
            </w:pPr>
            <w:r>
              <w:rPr>
                <w:rFonts w:ascii="Arial" w:cs="Arial" w:eastAsia="Arial" w:hAnsi="Arial"/>
                <w:sz w:val="12"/>
                <w:szCs w:val="12"/>
                <w:color w:val="FFFFFF"/>
              </w:rPr>
              <w:t>Governance</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440" w:type="dxa"/>
            <w:vAlign w:val="bottom"/>
            <w:shd w:val="clear" w:color="auto" w:fill="F7F1EC"/>
          </w:tcPr>
          <w:p>
            <w:pPr>
              <w:spacing w:after="0"/>
              <w:rPr>
                <w:sz w:val="11"/>
                <w:szCs w:val="11"/>
                <w:color w:val="auto"/>
              </w:rPr>
            </w:pPr>
          </w:p>
        </w:tc>
        <w:tc>
          <w:tcPr>
            <w:tcW w:w="380" w:type="dxa"/>
            <w:vAlign w:val="bottom"/>
            <w:shd w:val="clear" w:color="auto" w:fill="F7F1EC"/>
          </w:tcPr>
          <w:p>
            <w:pPr>
              <w:spacing w:after="0"/>
              <w:rPr>
                <w:sz w:val="11"/>
                <w:szCs w:val="11"/>
                <w:color w:val="auto"/>
              </w:rPr>
            </w:pPr>
          </w:p>
        </w:tc>
        <w:tc>
          <w:tcPr>
            <w:tcW w:w="140" w:type="dxa"/>
            <w:vAlign w:val="bottom"/>
          </w:tcPr>
          <w:p>
            <w:pPr>
              <w:spacing w:after="0"/>
              <w:rPr>
                <w:sz w:val="11"/>
                <w:szCs w:val="11"/>
                <w:color w:val="auto"/>
              </w:rPr>
            </w:pPr>
          </w:p>
        </w:tc>
        <w:tc>
          <w:tcPr>
            <w:tcW w:w="3600" w:type="dxa"/>
            <w:vAlign w:val="bottom"/>
            <w:shd w:val="clear" w:color="auto" w:fill="F7F1EC"/>
          </w:tcPr>
          <w:p>
            <w:pPr>
              <w:spacing w:after="0"/>
              <w:rPr>
                <w:sz w:val="11"/>
                <w:szCs w:val="11"/>
                <w:color w:val="auto"/>
              </w:rPr>
            </w:pPr>
          </w:p>
        </w:tc>
        <w:tc>
          <w:tcPr>
            <w:tcW w:w="320" w:type="dxa"/>
            <w:vAlign w:val="bottom"/>
            <w:shd w:val="clear" w:color="auto" w:fill="F7F1EC"/>
          </w:tcPr>
          <w:p>
            <w:pPr>
              <w:spacing w:after="0"/>
              <w:rPr>
                <w:sz w:val="11"/>
                <w:szCs w:val="11"/>
                <w:color w:val="auto"/>
              </w:rPr>
            </w:pPr>
          </w:p>
        </w:tc>
        <w:tc>
          <w:tcPr>
            <w:tcW w:w="660" w:type="dxa"/>
            <w:vAlign w:val="bottom"/>
          </w:tcPr>
          <w:p>
            <w:pPr>
              <w:spacing w:after="0"/>
              <w:rPr>
                <w:sz w:val="11"/>
                <w:szCs w:val="11"/>
                <w:color w:val="auto"/>
              </w:rPr>
            </w:pPr>
          </w:p>
        </w:tc>
        <w:tc>
          <w:tcPr>
            <w:tcW w:w="1280" w:type="dxa"/>
            <w:vAlign w:val="bottom"/>
          </w:tcPr>
          <w:p>
            <w:pPr>
              <w:ind w:left="140"/>
              <w:spacing w:after="0" w:line="128" w:lineRule="exact"/>
              <w:rPr>
                <w:sz w:val="20"/>
                <w:szCs w:val="20"/>
                <w:color w:val="auto"/>
              </w:rPr>
            </w:pPr>
            <w:r>
              <w:rPr>
                <w:rFonts w:ascii="Arial" w:cs="Arial" w:eastAsia="Arial" w:hAnsi="Arial"/>
                <w:sz w:val="12"/>
                <w:szCs w:val="12"/>
                <w:color w:val="FFFFFF"/>
              </w:rPr>
              <w:t>and the Board of</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3440" w:type="dxa"/>
            <w:vAlign w:val="bottom"/>
            <w:shd w:val="clear" w:color="auto" w:fill="F7F1EC"/>
          </w:tcPr>
          <w:p>
            <w:pPr>
              <w:spacing w:after="0"/>
              <w:rPr>
                <w:sz w:val="13"/>
                <w:szCs w:val="13"/>
                <w:color w:val="auto"/>
              </w:rPr>
            </w:pPr>
          </w:p>
        </w:tc>
        <w:tc>
          <w:tcPr>
            <w:tcW w:w="380" w:type="dxa"/>
            <w:vAlign w:val="bottom"/>
            <w:shd w:val="clear" w:color="auto" w:fill="F7F1EC"/>
          </w:tcPr>
          <w:p>
            <w:pPr>
              <w:spacing w:after="0"/>
              <w:rPr>
                <w:sz w:val="13"/>
                <w:szCs w:val="13"/>
                <w:color w:val="auto"/>
              </w:rPr>
            </w:pPr>
          </w:p>
        </w:tc>
        <w:tc>
          <w:tcPr>
            <w:tcW w:w="140" w:type="dxa"/>
            <w:vAlign w:val="bottom"/>
          </w:tcPr>
          <w:p>
            <w:pPr>
              <w:spacing w:after="0"/>
              <w:rPr>
                <w:sz w:val="13"/>
                <w:szCs w:val="13"/>
                <w:color w:val="auto"/>
              </w:rPr>
            </w:pPr>
          </w:p>
        </w:tc>
        <w:tc>
          <w:tcPr>
            <w:tcW w:w="3600" w:type="dxa"/>
            <w:vAlign w:val="bottom"/>
            <w:shd w:val="clear" w:color="auto" w:fill="F7F1EC"/>
          </w:tcPr>
          <w:p>
            <w:pPr>
              <w:spacing w:after="0"/>
              <w:rPr>
                <w:sz w:val="13"/>
                <w:szCs w:val="13"/>
                <w:color w:val="auto"/>
              </w:rPr>
            </w:pPr>
          </w:p>
        </w:tc>
        <w:tc>
          <w:tcPr>
            <w:tcW w:w="320" w:type="dxa"/>
            <w:vAlign w:val="bottom"/>
            <w:shd w:val="clear" w:color="auto" w:fill="F7F1EC"/>
          </w:tcPr>
          <w:p>
            <w:pPr>
              <w:spacing w:after="0"/>
              <w:rPr>
                <w:sz w:val="13"/>
                <w:szCs w:val="13"/>
                <w:color w:val="auto"/>
              </w:rPr>
            </w:pPr>
          </w:p>
        </w:tc>
        <w:tc>
          <w:tcPr>
            <w:tcW w:w="660" w:type="dxa"/>
            <w:vAlign w:val="bottom"/>
          </w:tcPr>
          <w:p>
            <w:pPr>
              <w:spacing w:after="0"/>
              <w:rPr>
                <w:sz w:val="13"/>
                <w:szCs w:val="13"/>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Directors</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4"/>
        </w:trPr>
        <w:tc>
          <w:tcPr>
            <w:tcW w:w="3440" w:type="dxa"/>
            <w:vAlign w:val="bottom"/>
            <w:shd w:val="clear" w:color="auto" w:fill="F7F1EC"/>
          </w:tcPr>
          <w:p>
            <w:pPr>
              <w:spacing w:after="0"/>
              <w:rPr>
                <w:sz w:val="24"/>
                <w:szCs w:val="24"/>
                <w:color w:val="auto"/>
              </w:rPr>
            </w:pPr>
          </w:p>
        </w:tc>
        <w:tc>
          <w:tcPr>
            <w:tcW w:w="380" w:type="dxa"/>
            <w:vAlign w:val="bottom"/>
            <w:shd w:val="clear" w:color="auto" w:fill="F7F1EC"/>
          </w:tcPr>
          <w:p>
            <w:pPr>
              <w:spacing w:after="0"/>
              <w:rPr>
                <w:sz w:val="24"/>
                <w:szCs w:val="24"/>
                <w:color w:val="auto"/>
              </w:rPr>
            </w:pPr>
          </w:p>
        </w:tc>
        <w:tc>
          <w:tcPr>
            <w:tcW w:w="140" w:type="dxa"/>
            <w:vAlign w:val="bottom"/>
          </w:tcPr>
          <w:p>
            <w:pPr>
              <w:spacing w:after="0"/>
              <w:rPr>
                <w:sz w:val="24"/>
                <w:szCs w:val="24"/>
                <w:color w:val="auto"/>
              </w:rPr>
            </w:pPr>
          </w:p>
        </w:tc>
        <w:tc>
          <w:tcPr>
            <w:tcW w:w="3600" w:type="dxa"/>
            <w:vAlign w:val="bottom"/>
            <w:shd w:val="clear" w:color="auto" w:fill="F7F1EC"/>
          </w:tcPr>
          <w:p>
            <w:pPr>
              <w:spacing w:after="0"/>
              <w:rPr>
                <w:sz w:val="24"/>
                <w:szCs w:val="24"/>
                <w:color w:val="auto"/>
              </w:rPr>
            </w:pPr>
          </w:p>
        </w:tc>
        <w:tc>
          <w:tcPr>
            <w:tcW w:w="320" w:type="dxa"/>
            <w:vAlign w:val="bottom"/>
            <w:shd w:val="clear" w:color="auto" w:fill="F7F1EC"/>
          </w:tcPr>
          <w:p>
            <w:pPr>
              <w:spacing w:after="0"/>
              <w:rPr>
                <w:sz w:val="24"/>
                <w:szCs w:val="24"/>
                <w:color w:val="auto"/>
              </w:rPr>
            </w:pPr>
          </w:p>
        </w:tc>
        <w:tc>
          <w:tcPr>
            <w:tcW w:w="660" w:type="dxa"/>
            <w:vAlign w:val="bottom"/>
          </w:tcPr>
          <w:p>
            <w:pPr>
              <w:spacing w:after="0"/>
              <w:rPr>
                <w:sz w:val="24"/>
                <w:szCs w:val="24"/>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Proposal 1</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3440" w:type="dxa"/>
            <w:vAlign w:val="bottom"/>
            <w:vMerge w:val="restart"/>
            <w:shd w:val="clear" w:color="auto" w:fill="F7F1EC"/>
          </w:tcPr>
          <w:p>
            <w:pPr>
              <w:ind w:left="380"/>
              <w:spacing w:after="0"/>
              <w:rPr>
                <w:sz w:val="20"/>
                <w:szCs w:val="20"/>
                <w:color w:val="auto"/>
              </w:rPr>
            </w:pPr>
            <w:r>
              <w:rPr>
                <w:rFonts w:ascii="Arial" w:cs="Arial" w:eastAsia="Arial" w:hAnsi="Arial"/>
                <w:sz w:val="17"/>
                <w:szCs w:val="17"/>
                <w:b w:val="1"/>
                <w:bCs w:val="1"/>
                <w:color w:val="B95827"/>
              </w:rPr>
              <w:t>BY INTERNET:</w:t>
            </w:r>
          </w:p>
        </w:tc>
        <w:tc>
          <w:tcPr>
            <w:tcW w:w="380" w:type="dxa"/>
            <w:vAlign w:val="bottom"/>
            <w:shd w:val="clear" w:color="auto" w:fill="F7F1EC"/>
          </w:tcPr>
          <w:p>
            <w:pPr>
              <w:spacing w:after="0"/>
              <w:rPr>
                <w:sz w:val="24"/>
                <w:szCs w:val="24"/>
                <w:color w:val="auto"/>
              </w:rPr>
            </w:pPr>
          </w:p>
        </w:tc>
        <w:tc>
          <w:tcPr>
            <w:tcW w:w="140" w:type="dxa"/>
            <w:vAlign w:val="bottom"/>
          </w:tcPr>
          <w:p>
            <w:pPr>
              <w:spacing w:after="0"/>
              <w:rPr>
                <w:sz w:val="24"/>
                <w:szCs w:val="24"/>
                <w:color w:val="auto"/>
              </w:rPr>
            </w:pPr>
          </w:p>
        </w:tc>
        <w:tc>
          <w:tcPr>
            <w:tcW w:w="3600" w:type="dxa"/>
            <w:vAlign w:val="bottom"/>
            <w:shd w:val="clear" w:color="auto" w:fill="F7F1EC"/>
          </w:tcPr>
          <w:p>
            <w:pPr>
              <w:ind w:left="400"/>
              <w:spacing w:after="0"/>
              <w:rPr>
                <w:sz w:val="20"/>
                <w:szCs w:val="20"/>
                <w:color w:val="auto"/>
              </w:rPr>
            </w:pPr>
            <w:r>
              <w:rPr>
                <w:rFonts w:ascii="Arial" w:cs="Arial" w:eastAsia="Arial" w:hAnsi="Arial"/>
                <w:sz w:val="17"/>
                <w:szCs w:val="17"/>
                <w:b w:val="1"/>
                <w:bCs w:val="1"/>
                <w:color w:val="B95827"/>
              </w:rPr>
              <w:t>BY TELEPHONE:</w:t>
            </w:r>
          </w:p>
        </w:tc>
        <w:tc>
          <w:tcPr>
            <w:tcW w:w="320" w:type="dxa"/>
            <w:vAlign w:val="bottom"/>
            <w:shd w:val="clear" w:color="auto" w:fill="F7F1EC"/>
          </w:tcPr>
          <w:p>
            <w:pPr>
              <w:spacing w:after="0"/>
              <w:rPr>
                <w:sz w:val="24"/>
                <w:szCs w:val="24"/>
                <w:color w:val="auto"/>
              </w:rPr>
            </w:pPr>
          </w:p>
        </w:tc>
        <w:tc>
          <w:tcPr>
            <w:tcW w:w="660" w:type="dxa"/>
            <w:vAlign w:val="bottom"/>
          </w:tcPr>
          <w:p>
            <w:pPr>
              <w:spacing w:after="0"/>
              <w:rPr>
                <w:sz w:val="24"/>
                <w:szCs w:val="24"/>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Information</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3440" w:type="dxa"/>
            <w:vAlign w:val="bottom"/>
            <w:vMerge w:val="continue"/>
            <w:shd w:val="clear" w:color="auto" w:fill="F7F1EC"/>
          </w:tcPr>
          <w:p>
            <w:pPr>
              <w:spacing w:after="0"/>
              <w:rPr>
                <w:sz w:val="9"/>
                <w:szCs w:val="9"/>
                <w:color w:val="auto"/>
              </w:rPr>
            </w:pPr>
          </w:p>
        </w:tc>
        <w:tc>
          <w:tcPr>
            <w:tcW w:w="380" w:type="dxa"/>
            <w:vAlign w:val="bottom"/>
            <w:shd w:val="clear" w:color="auto" w:fill="F7F1EC"/>
          </w:tcPr>
          <w:p>
            <w:pPr>
              <w:spacing w:after="0"/>
              <w:rPr>
                <w:sz w:val="9"/>
                <w:szCs w:val="9"/>
                <w:color w:val="auto"/>
              </w:rPr>
            </w:pPr>
          </w:p>
        </w:tc>
        <w:tc>
          <w:tcPr>
            <w:tcW w:w="140" w:type="dxa"/>
            <w:vAlign w:val="bottom"/>
          </w:tcPr>
          <w:p>
            <w:pPr>
              <w:spacing w:after="0"/>
              <w:rPr>
                <w:sz w:val="9"/>
                <w:szCs w:val="9"/>
                <w:color w:val="auto"/>
              </w:rPr>
            </w:pPr>
          </w:p>
        </w:tc>
        <w:tc>
          <w:tcPr>
            <w:tcW w:w="3600" w:type="dxa"/>
            <w:vAlign w:val="bottom"/>
            <w:vMerge w:val="restart"/>
            <w:shd w:val="clear" w:color="auto" w:fill="F7F1EC"/>
          </w:tcPr>
          <w:p>
            <w:pPr>
              <w:ind w:left="400"/>
              <w:spacing w:after="0"/>
              <w:rPr>
                <w:sz w:val="20"/>
                <w:szCs w:val="20"/>
                <w:color w:val="auto"/>
              </w:rPr>
            </w:pPr>
            <w:r>
              <w:rPr>
                <w:rFonts w:ascii="Arial" w:cs="Arial" w:eastAsia="Arial" w:hAnsi="Arial"/>
                <w:sz w:val="15"/>
                <w:szCs w:val="15"/>
                <w:color w:val="auto"/>
              </w:rPr>
              <w:t>by following the telephone voting instructions</w:t>
            </w:r>
          </w:p>
        </w:tc>
        <w:tc>
          <w:tcPr>
            <w:tcW w:w="320" w:type="dxa"/>
            <w:vAlign w:val="bottom"/>
            <w:shd w:val="clear" w:color="auto" w:fill="F7F1EC"/>
          </w:tcPr>
          <w:p>
            <w:pPr>
              <w:spacing w:after="0"/>
              <w:rPr>
                <w:sz w:val="9"/>
                <w:szCs w:val="9"/>
                <w:color w:val="auto"/>
              </w:rPr>
            </w:pPr>
          </w:p>
        </w:tc>
        <w:tc>
          <w:tcPr>
            <w:tcW w:w="660" w:type="dxa"/>
            <w:vAlign w:val="bottom"/>
          </w:tcPr>
          <w:p>
            <w:pPr>
              <w:spacing w:after="0"/>
              <w:rPr>
                <w:sz w:val="9"/>
                <w:szCs w:val="9"/>
                <w:color w:val="auto"/>
              </w:rPr>
            </w:pPr>
          </w:p>
        </w:tc>
        <w:tc>
          <w:tcPr>
            <w:tcW w:w="1280" w:type="dxa"/>
            <w:vAlign w:val="bottom"/>
          </w:tcPr>
          <w:p>
            <w:pPr>
              <w:ind w:left="140"/>
              <w:spacing w:after="0" w:line="110" w:lineRule="exact"/>
              <w:rPr>
                <w:sz w:val="20"/>
                <w:szCs w:val="20"/>
                <w:color w:val="auto"/>
              </w:rPr>
            </w:pPr>
            <w:r>
              <w:rPr>
                <w:rFonts w:ascii="Arial" w:cs="Arial" w:eastAsia="Arial" w:hAnsi="Arial"/>
                <w:sz w:val="12"/>
                <w:szCs w:val="12"/>
                <w:color w:val="FFFFFF"/>
              </w:rPr>
              <w:t>Regarding Board</w:t>
            </w: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3440" w:type="dxa"/>
            <w:vAlign w:val="bottom"/>
            <w:vMerge w:val="restart"/>
            <w:shd w:val="clear" w:color="auto" w:fill="F7F1EC"/>
          </w:tcPr>
          <w:p>
            <w:pPr>
              <w:ind w:left="380"/>
              <w:spacing w:after="0"/>
              <w:rPr>
                <w:sz w:val="20"/>
                <w:szCs w:val="20"/>
                <w:color w:val="auto"/>
              </w:rPr>
            </w:pPr>
            <w:r>
              <w:rPr>
                <w:rFonts w:ascii="Arial" w:cs="Arial" w:eastAsia="Arial" w:hAnsi="Arial"/>
                <w:sz w:val="15"/>
                <w:szCs w:val="15"/>
                <w:color w:val="auto"/>
              </w:rPr>
              <w:t>by following the internet voting instructions</w:t>
            </w:r>
          </w:p>
        </w:tc>
        <w:tc>
          <w:tcPr>
            <w:tcW w:w="380" w:type="dxa"/>
            <w:vAlign w:val="bottom"/>
            <w:shd w:val="clear" w:color="auto" w:fill="F7F1EC"/>
          </w:tcPr>
          <w:p>
            <w:pPr>
              <w:spacing w:after="0"/>
              <w:rPr>
                <w:sz w:val="11"/>
                <w:szCs w:val="11"/>
                <w:color w:val="auto"/>
              </w:rPr>
            </w:pPr>
          </w:p>
        </w:tc>
        <w:tc>
          <w:tcPr>
            <w:tcW w:w="140" w:type="dxa"/>
            <w:vAlign w:val="bottom"/>
          </w:tcPr>
          <w:p>
            <w:pPr>
              <w:spacing w:after="0"/>
              <w:rPr>
                <w:sz w:val="11"/>
                <w:szCs w:val="11"/>
                <w:color w:val="auto"/>
              </w:rPr>
            </w:pPr>
          </w:p>
        </w:tc>
        <w:tc>
          <w:tcPr>
            <w:tcW w:w="3600" w:type="dxa"/>
            <w:vAlign w:val="bottom"/>
            <w:vMerge w:val="continue"/>
            <w:shd w:val="clear" w:color="auto" w:fill="F7F1EC"/>
          </w:tcPr>
          <w:p>
            <w:pPr>
              <w:spacing w:after="0"/>
              <w:rPr>
                <w:sz w:val="11"/>
                <w:szCs w:val="11"/>
                <w:color w:val="auto"/>
              </w:rPr>
            </w:pPr>
          </w:p>
        </w:tc>
        <w:tc>
          <w:tcPr>
            <w:tcW w:w="320" w:type="dxa"/>
            <w:vAlign w:val="bottom"/>
            <w:shd w:val="clear" w:color="auto" w:fill="F7F1EC"/>
          </w:tcPr>
          <w:p>
            <w:pPr>
              <w:spacing w:after="0"/>
              <w:rPr>
                <w:sz w:val="11"/>
                <w:szCs w:val="11"/>
                <w:color w:val="auto"/>
              </w:rPr>
            </w:pPr>
          </w:p>
        </w:tc>
        <w:tc>
          <w:tcPr>
            <w:tcW w:w="660" w:type="dxa"/>
            <w:vAlign w:val="bottom"/>
          </w:tcPr>
          <w:p>
            <w:pPr>
              <w:spacing w:after="0"/>
              <w:rPr>
                <w:sz w:val="11"/>
                <w:szCs w:val="11"/>
                <w:color w:val="auto"/>
              </w:rPr>
            </w:pPr>
          </w:p>
        </w:tc>
        <w:tc>
          <w:tcPr>
            <w:tcW w:w="1280" w:type="dxa"/>
            <w:vAlign w:val="bottom"/>
          </w:tcPr>
          <w:p>
            <w:pPr>
              <w:ind w:left="140"/>
              <w:spacing w:after="0" w:line="133" w:lineRule="exact"/>
              <w:rPr>
                <w:sz w:val="20"/>
                <w:szCs w:val="20"/>
                <w:color w:val="auto"/>
              </w:rPr>
            </w:pPr>
            <w:r>
              <w:rPr>
                <w:rFonts w:ascii="Arial" w:cs="Arial" w:eastAsia="Arial" w:hAnsi="Arial"/>
                <w:sz w:val="12"/>
                <w:szCs w:val="12"/>
                <w:color w:val="FFFFFF"/>
              </w:rPr>
              <w:t>and Committee</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3440" w:type="dxa"/>
            <w:vAlign w:val="bottom"/>
            <w:vMerge w:val="continue"/>
            <w:shd w:val="clear" w:color="auto" w:fill="F7F1EC"/>
          </w:tcPr>
          <w:p>
            <w:pPr>
              <w:spacing w:after="0"/>
              <w:rPr>
                <w:sz w:val="8"/>
                <w:szCs w:val="8"/>
                <w:color w:val="auto"/>
              </w:rPr>
            </w:pPr>
          </w:p>
        </w:tc>
        <w:tc>
          <w:tcPr>
            <w:tcW w:w="380" w:type="dxa"/>
            <w:vAlign w:val="bottom"/>
            <w:shd w:val="clear" w:color="auto" w:fill="F7F1EC"/>
          </w:tcPr>
          <w:p>
            <w:pPr>
              <w:spacing w:after="0"/>
              <w:rPr>
                <w:sz w:val="8"/>
                <w:szCs w:val="8"/>
                <w:color w:val="auto"/>
              </w:rPr>
            </w:pPr>
          </w:p>
        </w:tc>
        <w:tc>
          <w:tcPr>
            <w:tcW w:w="140" w:type="dxa"/>
            <w:vAlign w:val="bottom"/>
          </w:tcPr>
          <w:p>
            <w:pPr>
              <w:spacing w:after="0"/>
              <w:rPr>
                <w:sz w:val="8"/>
                <w:szCs w:val="8"/>
                <w:color w:val="auto"/>
              </w:rPr>
            </w:pPr>
          </w:p>
        </w:tc>
        <w:tc>
          <w:tcPr>
            <w:tcW w:w="3600" w:type="dxa"/>
            <w:vAlign w:val="bottom"/>
            <w:vMerge w:val="restart"/>
            <w:shd w:val="clear" w:color="auto" w:fill="F7F1EC"/>
          </w:tcPr>
          <w:p>
            <w:pPr>
              <w:ind w:left="400"/>
              <w:spacing w:after="0"/>
              <w:rPr>
                <w:sz w:val="20"/>
                <w:szCs w:val="20"/>
                <w:color w:val="auto"/>
              </w:rPr>
            </w:pPr>
            <w:r>
              <w:rPr>
                <w:rFonts w:ascii="Arial" w:cs="Arial" w:eastAsia="Arial" w:hAnsi="Arial"/>
                <w:sz w:val="15"/>
                <w:szCs w:val="15"/>
                <w:color w:val="auto"/>
              </w:rPr>
              <w:t>included in the proxy card and Notice at any</w:t>
            </w:r>
          </w:p>
        </w:tc>
        <w:tc>
          <w:tcPr>
            <w:tcW w:w="320" w:type="dxa"/>
            <w:vAlign w:val="bottom"/>
            <w:shd w:val="clear" w:color="auto" w:fill="F7F1EC"/>
          </w:tcPr>
          <w:p>
            <w:pPr>
              <w:spacing w:after="0"/>
              <w:rPr>
                <w:sz w:val="8"/>
                <w:szCs w:val="8"/>
                <w:color w:val="auto"/>
              </w:rPr>
            </w:pPr>
          </w:p>
        </w:tc>
        <w:tc>
          <w:tcPr>
            <w:tcW w:w="660" w:type="dxa"/>
            <w:vAlign w:val="bottom"/>
          </w:tcPr>
          <w:p>
            <w:pPr>
              <w:spacing w:after="0"/>
              <w:rPr>
                <w:sz w:val="8"/>
                <w:szCs w:val="8"/>
                <w:color w:val="auto"/>
              </w:rPr>
            </w:pPr>
          </w:p>
        </w:tc>
        <w:tc>
          <w:tcPr>
            <w:tcW w:w="1280" w:type="dxa"/>
            <w:vAlign w:val="bottom"/>
            <w:vMerge w:val="restart"/>
          </w:tcPr>
          <w:p>
            <w:pPr>
              <w:ind w:left="140"/>
              <w:spacing w:after="0"/>
              <w:rPr>
                <w:sz w:val="20"/>
                <w:szCs w:val="20"/>
                <w:color w:val="auto"/>
              </w:rPr>
            </w:pPr>
            <w:r>
              <w:rPr>
                <w:rFonts w:ascii="Arial" w:cs="Arial" w:eastAsia="Arial" w:hAnsi="Arial"/>
                <w:sz w:val="12"/>
                <w:szCs w:val="12"/>
                <w:color w:val="FFFFFF"/>
              </w:rPr>
              <w:t>Structure</w:t>
            </w: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3440" w:type="dxa"/>
            <w:vAlign w:val="bottom"/>
            <w:vMerge w:val="restart"/>
            <w:shd w:val="clear" w:color="auto" w:fill="F7F1EC"/>
          </w:tcPr>
          <w:p>
            <w:pPr>
              <w:ind w:left="380"/>
              <w:spacing w:after="0"/>
              <w:rPr>
                <w:sz w:val="20"/>
                <w:szCs w:val="20"/>
                <w:color w:val="auto"/>
              </w:rPr>
            </w:pPr>
            <w:r>
              <w:rPr>
                <w:rFonts w:ascii="Arial" w:cs="Arial" w:eastAsia="Arial" w:hAnsi="Arial"/>
                <w:sz w:val="15"/>
                <w:szCs w:val="15"/>
                <w:color w:val="auto"/>
              </w:rPr>
              <w:t>included in the proxy card and Notice at any</w:t>
            </w:r>
          </w:p>
        </w:tc>
        <w:tc>
          <w:tcPr>
            <w:tcW w:w="380" w:type="dxa"/>
            <w:vAlign w:val="bottom"/>
            <w:shd w:val="clear" w:color="auto" w:fill="F7F1EC"/>
          </w:tcPr>
          <w:p>
            <w:pPr>
              <w:spacing w:after="0"/>
              <w:rPr>
                <w:sz w:val="8"/>
                <w:szCs w:val="8"/>
                <w:color w:val="auto"/>
              </w:rPr>
            </w:pPr>
          </w:p>
        </w:tc>
        <w:tc>
          <w:tcPr>
            <w:tcW w:w="140" w:type="dxa"/>
            <w:vAlign w:val="bottom"/>
          </w:tcPr>
          <w:p>
            <w:pPr>
              <w:spacing w:after="0"/>
              <w:rPr>
                <w:sz w:val="8"/>
                <w:szCs w:val="8"/>
                <w:color w:val="auto"/>
              </w:rPr>
            </w:pPr>
          </w:p>
        </w:tc>
        <w:tc>
          <w:tcPr>
            <w:tcW w:w="3600" w:type="dxa"/>
            <w:vAlign w:val="bottom"/>
            <w:vMerge w:val="continue"/>
            <w:shd w:val="clear" w:color="auto" w:fill="F7F1EC"/>
          </w:tcPr>
          <w:p>
            <w:pPr>
              <w:spacing w:after="0"/>
              <w:rPr>
                <w:sz w:val="8"/>
                <w:szCs w:val="8"/>
                <w:color w:val="auto"/>
              </w:rPr>
            </w:pPr>
          </w:p>
        </w:tc>
        <w:tc>
          <w:tcPr>
            <w:tcW w:w="320" w:type="dxa"/>
            <w:vAlign w:val="bottom"/>
            <w:shd w:val="clear" w:color="auto" w:fill="F7F1EC"/>
          </w:tcPr>
          <w:p>
            <w:pPr>
              <w:spacing w:after="0"/>
              <w:rPr>
                <w:sz w:val="8"/>
                <w:szCs w:val="8"/>
                <w:color w:val="auto"/>
              </w:rPr>
            </w:pPr>
          </w:p>
        </w:tc>
        <w:tc>
          <w:tcPr>
            <w:tcW w:w="660" w:type="dxa"/>
            <w:vAlign w:val="bottom"/>
          </w:tcPr>
          <w:p>
            <w:pPr>
              <w:spacing w:after="0"/>
              <w:rPr>
                <w:sz w:val="8"/>
                <w:szCs w:val="8"/>
                <w:color w:val="auto"/>
              </w:rPr>
            </w:pPr>
          </w:p>
        </w:tc>
        <w:tc>
          <w:tcPr>
            <w:tcW w:w="1280" w:type="dxa"/>
            <w:vAlign w:val="bottom"/>
            <w:vMerge w:val="continue"/>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7"/>
        </w:trPr>
        <w:tc>
          <w:tcPr>
            <w:tcW w:w="3440" w:type="dxa"/>
            <w:vAlign w:val="bottom"/>
            <w:vMerge w:val="continue"/>
            <w:shd w:val="clear" w:color="auto" w:fill="F7F1EC"/>
          </w:tcPr>
          <w:p>
            <w:pPr>
              <w:spacing w:after="0"/>
              <w:rPr>
                <w:sz w:val="6"/>
                <w:szCs w:val="6"/>
                <w:color w:val="auto"/>
              </w:rPr>
            </w:pPr>
          </w:p>
        </w:tc>
        <w:tc>
          <w:tcPr>
            <w:tcW w:w="380" w:type="dxa"/>
            <w:vAlign w:val="bottom"/>
            <w:shd w:val="clear" w:color="auto" w:fill="F7F1EC"/>
          </w:tcPr>
          <w:p>
            <w:pPr>
              <w:spacing w:after="0"/>
              <w:rPr>
                <w:sz w:val="6"/>
                <w:szCs w:val="6"/>
                <w:color w:val="auto"/>
              </w:rPr>
            </w:pPr>
          </w:p>
        </w:tc>
        <w:tc>
          <w:tcPr>
            <w:tcW w:w="140" w:type="dxa"/>
            <w:vAlign w:val="bottom"/>
          </w:tcPr>
          <w:p>
            <w:pPr>
              <w:spacing w:after="0"/>
              <w:rPr>
                <w:sz w:val="6"/>
                <w:szCs w:val="6"/>
                <w:color w:val="auto"/>
              </w:rPr>
            </w:pPr>
          </w:p>
        </w:tc>
        <w:tc>
          <w:tcPr>
            <w:tcW w:w="3600" w:type="dxa"/>
            <w:vAlign w:val="bottom"/>
            <w:vMerge w:val="restart"/>
            <w:shd w:val="clear" w:color="auto" w:fill="F7F1EC"/>
          </w:tcPr>
          <w:p>
            <w:pPr>
              <w:ind w:left="400"/>
              <w:spacing w:after="0"/>
              <w:rPr>
                <w:sz w:val="20"/>
                <w:szCs w:val="20"/>
                <w:color w:val="auto"/>
              </w:rPr>
            </w:pPr>
            <w:r>
              <w:rPr>
                <w:rFonts w:ascii="Arial" w:cs="Arial" w:eastAsia="Arial" w:hAnsi="Arial"/>
                <w:sz w:val="15"/>
                <w:szCs w:val="15"/>
                <w:color w:val="auto"/>
              </w:rPr>
              <w:t>time up until 11:59 p.m., Eastern Time, on</w:t>
            </w:r>
          </w:p>
        </w:tc>
        <w:tc>
          <w:tcPr>
            <w:tcW w:w="320" w:type="dxa"/>
            <w:vAlign w:val="bottom"/>
            <w:shd w:val="clear" w:color="auto" w:fill="F7F1EC"/>
          </w:tcPr>
          <w:p>
            <w:pPr>
              <w:spacing w:after="0"/>
              <w:rPr>
                <w:sz w:val="6"/>
                <w:szCs w:val="6"/>
                <w:color w:val="auto"/>
              </w:rPr>
            </w:pPr>
          </w:p>
        </w:tc>
        <w:tc>
          <w:tcPr>
            <w:tcW w:w="660" w:type="dxa"/>
            <w:vAlign w:val="bottom"/>
          </w:tcPr>
          <w:p>
            <w:pPr>
              <w:spacing w:after="0"/>
              <w:rPr>
                <w:sz w:val="6"/>
                <w:szCs w:val="6"/>
                <w:color w:val="auto"/>
              </w:rPr>
            </w:pPr>
          </w:p>
        </w:tc>
        <w:tc>
          <w:tcPr>
            <w:tcW w:w="1280" w:type="dxa"/>
            <w:vAlign w:val="bottom"/>
          </w:tcPr>
          <w:p>
            <w:pPr>
              <w:spacing w:after="0"/>
              <w:rPr>
                <w:sz w:val="6"/>
                <w:szCs w:val="6"/>
                <w:color w:val="auto"/>
              </w:rPr>
            </w:pPr>
          </w:p>
        </w:tc>
        <w:tc>
          <w:tcPr>
            <w:tcW w:w="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3440" w:type="dxa"/>
            <w:vAlign w:val="bottom"/>
            <w:vMerge w:val="restart"/>
            <w:shd w:val="clear" w:color="auto" w:fill="F7F1EC"/>
          </w:tcPr>
          <w:p>
            <w:pPr>
              <w:ind w:left="380"/>
              <w:spacing w:after="0" w:line="153" w:lineRule="exact"/>
              <w:rPr>
                <w:sz w:val="20"/>
                <w:szCs w:val="20"/>
                <w:color w:val="auto"/>
              </w:rPr>
            </w:pPr>
            <w:r>
              <w:rPr>
                <w:rFonts w:ascii="Arial" w:cs="Arial" w:eastAsia="Arial" w:hAnsi="Arial"/>
                <w:sz w:val="15"/>
                <w:szCs w:val="15"/>
                <w:color w:val="auto"/>
              </w:rPr>
              <w:t>time up until 11:59 p.m., Eastern Time, on</w:t>
            </w:r>
          </w:p>
        </w:tc>
        <w:tc>
          <w:tcPr>
            <w:tcW w:w="380" w:type="dxa"/>
            <w:vAlign w:val="bottom"/>
            <w:shd w:val="clear" w:color="auto" w:fill="F7F1EC"/>
          </w:tcPr>
          <w:p>
            <w:pPr>
              <w:spacing w:after="0"/>
              <w:rPr>
                <w:sz w:val="8"/>
                <w:szCs w:val="8"/>
                <w:color w:val="auto"/>
              </w:rPr>
            </w:pPr>
          </w:p>
        </w:tc>
        <w:tc>
          <w:tcPr>
            <w:tcW w:w="140" w:type="dxa"/>
            <w:vAlign w:val="bottom"/>
          </w:tcPr>
          <w:p>
            <w:pPr>
              <w:spacing w:after="0"/>
              <w:rPr>
                <w:sz w:val="8"/>
                <w:szCs w:val="8"/>
                <w:color w:val="auto"/>
              </w:rPr>
            </w:pPr>
          </w:p>
        </w:tc>
        <w:tc>
          <w:tcPr>
            <w:tcW w:w="3600" w:type="dxa"/>
            <w:vAlign w:val="bottom"/>
            <w:vMerge w:val="continue"/>
            <w:shd w:val="clear" w:color="auto" w:fill="F7F1EC"/>
          </w:tcPr>
          <w:p>
            <w:pPr>
              <w:spacing w:after="0"/>
              <w:rPr>
                <w:sz w:val="8"/>
                <w:szCs w:val="8"/>
                <w:color w:val="auto"/>
              </w:rPr>
            </w:pPr>
          </w:p>
        </w:tc>
        <w:tc>
          <w:tcPr>
            <w:tcW w:w="320" w:type="dxa"/>
            <w:vAlign w:val="bottom"/>
            <w:shd w:val="clear" w:color="auto" w:fill="F7F1EC"/>
          </w:tcPr>
          <w:p>
            <w:pPr>
              <w:spacing w:after="0"/>
              <w:rPr>
                <w:sz w:val="8"/>
                <w:szCs w:val="8"/>
                <w:color w:val="auto"/>
              </w:rPr>
            </w:pPr>
          </w:p>
        </w:tc>
        <w:tc>
          <w:tcPr>
            <w:tcW w:w="660" w:type="dxa"/>
            <w:vAlign w:val="bottom"/>
          </w:tcPr>
          <w:p>
            <w:pPr>
              <w:spacing w:after="0"/>
              <w:rPr>
                <w:sz w:val="8"/>
                <w:szCs w:val="8"/>
                <w:color w:val="auto"/>
              </w:rPr>
            </w:pPr>
          </w:p>
        </w:tc>
        <w:tc>
          <w:tcPr>
            <w:tcW w:w="1280" w:type="dxa"/>
            <w:vAlign w:val="bottom"/>
            <w:vMerge w:val="restart"/>
          </w:tcPr>
          <w:p>
            <w:pPr>
              <w:ind w:left="140"/>
              <w:spacing w:after="0"/>
              <w:rPr>
                <w:sz w:val="20"/>
                <w:szCs w:val="20"/>
                <w:color w:val="auto"/>
              </w:rPr>
            </w:pPr>
            <w:r>
              <w:rPr>
                <w:rFonts w:ascii="Arial" w:cs="Arial" w:eastAsia="Arial" w:hAnsi="Arial"/>
                <w:sz w:val="12"/>
                <w:szCs w:val="12"/>
                <w:color w:val="FFFFFF"/>
              </w:rPr>
              <w:t>Board of Directors</w:t>
            </w: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3440" w:type="dxa"/>
            <w:vAlign w:val="bottom"/>
            <w:vMerge w:val="continue"/>
            <w:shd w:val="clear" w:color="auto" w:fill="F7F1EC"/>
          </w:tcPr>
          <w:p>
            <w:pPr>
              <w:spacing w:after="0"/>
              <w:rPr>
                <w:sz w:val="4"/>
                <w:szCs w:val="4"/>
                <w:color w:val="auto"/>
              </w:rPr>
            </w:pPr>
          </w:p>
        </w:tc>
        <w:tc>
          <w:tcPr>
            <w:tcW w:w="380" w:type="dxa"/>
            <w:vAlign w:val="bottom"/>
            <w:shd w:val="clear" w:color="auto" w:fill="F7F1EC"/>
          </w:tcPr>
          <w:p>
            <w:pPr>
              <w:spacing w:after="0"/>
              <w:rPr>
                <w:sz w:val="4"/>
                <w:szCs w:val="4"/>
                <w:color w:val="auto"/>
              </w:rPr>
            </w:pPr>
          </w:p>
        </w:tc>
        <w:tc>
          <w:tcPr>
            <w:tcW w:w="140" w:type="dxa"/>
            <w:vAlign w:val="bottom"/>
          </w:tcPr>
          <w:p>
            <w:pPr>
              <w:spacing w:after="0"/>
              <w:rPr>
                <w:sz w:val="4"/>
                <w:szCs w:val="4"/>
                <w:color w:val="auto"/>
              </w:rPr>
            </w:pPr>
          </w:p>
        </w:tc>
        <w:tc>
          <w:tcPr>
            <w:tcW w:w="3600" w:type="dxa"/>
            <w:vAlign w:val="bottom"/>
            <w:vMerge w:val="restart"/>
            <w:shd w:val="clear" w:color="auto" w:fill="F7F1EC"/>
          </w:tcPr>
          <w:p>
            <w:pPr>
              <w:ind w:left="400"/>
              <w:spacing w:after="0"/>
              <w:rPr>
                <w:sz w:val="20"/>
                <w:szCs w:val="20"/>
                <w:color w:val="auto"/>
              </w:rPr>
            </w:pPr>
            <w:r>
              <w:rPr>
                <w:rFonts w:ascii="Arial" w:cs="Arial" w:eastAsia="Arial" w:hAnsi="Arial"/>
                <w:sz w:val="15"/>
                <w:szCs w:val="15"/>
                <w:color w:val="auto"/>
              </w:rPr>
              <w:t>May 13, 2026.</w:t>
            </w:r>
          </w:p>
        </w:tc>
        <w:tc>
          <w:tcPr>
            <w:tcW w:w="320" w:type="dxa"/>
            <w:vAlign w:val="bottom"/>
            <w:shd w:val="clear" w:color="auto" w:fill="F7F1EC"/>
          </w:tcPr>
          <w:p>
            <w:pPr>
              <w:spacing w:after="0"/>
              <w:rPr>
                <w:sz w:val="4"/>
                <w:szCs w:val="4"/>
                <w:color w:val="auto"/>
              </w:rPr>
            </w:pPr>
          </w:p>
        </w:tc>
        <w:tc>
          <w:tcPr>
            <w:tcW w:w="660" w:type="dxa"/>
            <w:vAlign w:val="bottom"/>
          </w:tcPr>
          <w:p>
            <w:pPr>
              <w:spacing w:after="0"/>
              <w:rPr>
                <w:sz w:val="4"/>
                <w:szCs w:val="4"/>
                <w:color w:val="auto"/>
              </w:rPr>
            </w:pPr>
          </w:p>
        </w:tc>
        <w:tc>
          <w:tcPr>
            <w:tcW w:w="1280" w:type="dxa"/>
            <w:vAlign w:val="bottom"/>
            <w:vMerge w:val="continue"/>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8"/>
        </w:trPr>
        <w:tc>
          <w:tcPr>
            <w:tcW w:w="3440" w:type="dxa"/>
            <w:vAlign w:val="bottom"/>
            <w:vMerge w:val="restart"/>
            <w:shd w:val="clear" w:color="auto" w:fill="F7F1EC"/>
          </w:tcPr>
          <w:p>
            <w:pPr>
              <w:ind w:left="380"/>
              <w:spacing w:after="0"/>
              <w:rPr>
                <w:sz w:val="20"/>
                <w:szCs w:val="20"/>
                <w:color w:val="auto"/>
              </w:rPr>
            </w:pPr>
            <w:r>
              <w:rPr>
                <w:rFonts w:ascii="Arial" w:cs="Arial" w:eastAsia="Arial" w:hAnsi="Arial"/>
                <w:sz w:val="15"/>
                <w:szCs w:val="15"/>
                <w:color w:val="auto"/>
              </w:rPr>
              <w:t>May 13, 2026.</w:t>
            </w:r>
          </w:p>
        </w:tc>
        <w:tc>
          <w:tcPr>
            <w:tcW w:w="380" w:type="dxa"/>
            <w:vAlign w:val="bottom"/>
            <w:shd w:val="clear" w:color="auto" w:fill="F7F1EC"/>
          </w:tcPr>
          <w:p>
            <w:pPr>
              <w:spacing w:after="0"/>
              <w:rPr>
                <w:sz w:val="13"/>
                <w:szCs w:val="13"/>
                <w:color w:val="auto"/>
              </w:rPr>
            </w:pPr>
          </w:p>
        </w:tc>
        <w:tc>
          <w:tcPr>
            <w:tcW w:w="140" w:type="dxa"/>
            <w:vAlign w:val="bottom"/>
          </w:tcPr>
          <w:p>
            <w:pPr>
              <w:spacing w:after="0"/>
              <w:rPr>
                <w:sz w:val="13"/>
                <w:szCs w:val="13"/>
                <w:color w:val="auto"/>
              </w:rPr>
            </w:pPr>
          </w:p>
        </w:tc>
        <w:tc>
          <w:tcPr>
            <w:tcW w:w="3600" w:type="dxa"/>
            <w:vAlign w:val="bottom"/>
            <w:vMerge w:val="continue"/>
            <w:shd w:val="clear" w:color="auto" w:fill="F7F1EC"/>
          </w:tcPr>
          <w:p>
            <w:pPr>
              <w:spacing w:after="0"/>
              <w:rPr>
                <w:sz w:val="13"/>
                <w:szCs w:val="13"/>
                <w:color w:val="auto"/>
              </w:rPr>
            </w:pPr>
          </w:p>
        </w:tc>
        <w:tc>
          <w:tcPr>
            <w:tcW w:w="320" w:type="dxa"/>
            <w:vAlign w:val="bottom"/>
            <w:shd w:val="clear" w:color="auto" w:fill="F7F1EC"/>
          </w:tcPr>
          <w:p>
            <w:pPr>
              <w:spacing w:after="0"/>
              <w:rPr>
                <w:sz w:val="13"/>
                <w:szCs w:val="13"/>
                <w:color w:val="auto"/>
              </w:rPr>
            </w:pPr>
          </w:p>
        </w:tc>
        <w:tc>
          <w:tcPr>
            <w:tcW w:w="660" w:type="dxa"/>
            <w:vAlign w:val="bottom"/>
          </w:tcPr>
          <w:p>
            <w:pPr>
              <w:spacing w:after="0"/>
              <w:rPr>
                <w:sz w:val="13"/>
                <w:szCs w:val="13"/>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Compensation</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9"/>
        </w:trPr>
        <w:tc>
          <w:tcPr>
            <w:tcW w:w="3440" w:type="dxa"/>
            <w:vAlign w:val="bottom"/>
            <w:vMerge w:val="continue"/>
            <w:shd w:val="clear" w:color="auto" w:fill="F7F1EC"/>
          </w:tcPr>
          <w:p>
            <w:pPr>
              <w:spacing w:after="0"/>
              <w:rPr>
                <w:sz w:val="5"/>
                <w:szCs w:val="5"/>
                <w:color w:val="auto"/>
              </w:rPr>
            </w:pPr>
          </w:p>
        </w:tc>
        <w:tc>
          <w:tcPr>
            <w:tcW w:w="380" w:type="dxa"/>
            <w:vAlign w:val="bottom"/>
            <w:shd w:val="clear" w:color="auto" w:fill="F7F1EC"/>
          </w:tcPr>
          <w:p>
            <w:pPr>
              <w:spacing w:after="0"/>
              <w:rPr>
                <w:sz w:val="5"/>
                <w:szCs w:val="5"/>
                <w:color w:val="auto"/>
              </w:rPr>
            </w:pPr>
          </w:p>
        </w:tc>
        <w:tc>
          <w:tcPr>
            <w:tcW w:w="140" w:type="dxa"/>
            <w:vAlign w:val="bottom"/>
          </w:tcPr>
          <w:p>
            <w:pPr>
              <w:spacing w:after="0"/>
              <w:rPr>
                <w:sz w:val="5"/>
                <w:szCs w:val="5"/>
                <w:color w:val="auto"/>
              </w:rPr>
            </w:pPr>
          </w:p>
        </w:tc>
        <w:tc>
          <w:tcPr>
            <w:tcW w:w="3600" w:type="dxa"/>
            <w:vAlign w:val="bottom"/>
            <w:shd w:val="clear" w:color="auto" w:fill="F7F1EC"/>
          </w:tcPr>
          <w:p>
            <w:pPr>
              <w:spacing w:after="0"/>
              <w:rPr>
                <w:sz w:val="5"/>
                <w:szCs w:val="5"/>
                <w:color w:val="auto"/>
              </w:rPr>
            </w:pPr>
          </w:p>
        </w:tc>
        <w:tc>
          <w:tcPr>
            <w:tcW w:w="320" w:type="dxa"/>
            <w:vAlign w:val="bottom"/>
            <w:shd w:val="clear" w:color="auto" w:fill="F7F1EC"/>
          </w:tcPr>
          <w:p>
            <w:pPr>
              <w:spacing w:after="0"/>
              <w:rPr>
                <w:sz w:val="5"/>
                <w:szCs w:val="5"/>
                <w:color w:val="auto"/>
              </w:rPr>
            </w:pPr>
          </w:p>
        </w:tc>
        <w:tc>
          <w:tcPr>
            <w:tcW w:w="660" w:type="dxa"/>
            <w:vAlign w:val="bottom"/>
          </w:tcPr>
          <w:p>
            <w:pPr>
              <w:spacing w:after="0"/>
              <w:rPr>
                <w:sz w:val="5"/>
                <w:szCs w:val="5"/>
                <w:color w:val="auto"/>
              </w:rPr>
            </w:pPr>
          </w:p>
        </w:tc>
        <w:tc>
          <w:tcPr>
            <w:tcW w:w="1280" w:type="dxa"/>
            <w:vAlign w:val="bottom"/>
          </w:tcPr>
          <w:p>
            <w:pPr>
              <w:spacing w:after="0"/>
              <w:rPr>
                <w:sz w:val="5"/>
                <w:szCs w:val="5"/>
                <w:color w:val="auto"/>
              </w:rPr>
            </w:pPr>
          </w:p>
        </w:tc>
        <w:tc>
          <w:tcPr>
            <w:tcW w:w="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7"/>
        </w:trPr>
        <w:tc>
          <w:tcPr>
            <w:tcW w:w="3440" w:type="dxa"/>
            <w:vAlign w:val="bottom"/>
            <w:shd w:val="clear" w:color="auto" w:fill="F7F1EC"/>
          </w:tcPr>
          <w:p>
            <w:pPr>
              <w:spacing w:after="0"/>
              <w:rPr>
                <w:sz w:val="15"/>
                <w:szCs w:val="15"/>
                <w:color w:val="auto"/>
              </w:rPr>
            </w:pPr>
          </w:p>
        </w:tc>
        <w:tc>
          <w:tcPr>
            <w:tcW w:w="380" w:type="dxa"/>
            <w:vAlign w:val="bottom"/>
            <w:shd w:val="clear" w:color="auto" w:fill="F7F1EC"/>
          </w:tcPr>
          <w:p>
            <w:pPr>
              <w:spacing w:after="0"/>
              <w:rPr>
                <w:sz w:val="15"/>
                <w:szCs w:val="15"/>
                <w:color w:val="auto"/>
              </w:rPr>
            </w:pPr>
          </w:p>
        </w:tc>
        <w:tc>
          <w:tcPr>
            <w:tcW w:w="140" w:type="dxa"/>
            <w:vAlign w:val="bottom"/>
          </w:tcPr>
          <w:p>
            <w:pPr>
              <w:spacing w:after="0"/>
              <w:rPr>
                <w:sz w:val="15"/>
                <w:szCs w:val="15"/>
                <w:color w:val="auto"/>
              </w:rPr>
            </w:pPr>
          </w:p>
        </w:tc>
        <w:tc>
          <w:tcPr>
            <w:tcW w:w="3600" w:type="dxa"/>
            <w:vAlign w:val="bottom"/>
            <w:shd w:val="clear" w:color="auto" w:fill="F7F1EC"/>
          </w:tcPr>
          <w:p>
            <w:pPr>
              <w:spacing w:after="0"/>
              <w:rPr>
                <w:sz w:val="15"/>
                <w:szCs w:val="15"/>
                <w:color w:val="auto"/>
              </w:rPr>
            </w:pPr>
          </w:p>
        </w:tc>
        <w:tc>
          <w:tcPr>
            <w:tcW w:w="320" w:type="dxa"/>
            <w:vAlign w:val="bottom"/>
            <w:shd w:val="clear" w:color="auto" w:fill="F7F1EC"/>
          </w:tcPr>
          <w:p>
            <w:pPr>
              <w:spacing w:after="0"/>
              <w:rPr>
                <w:sz w:val="15"/>
                <w:szCs w:val="15"/>
                <w:color w:val="auto"/>
              </w:rPr>
            </w:pPr>
          </w:p>
        </w:tc>
        <w:tc>
          <w:tcPr>
            <w:tcW w:w="660" w:type="dxa"/>
            <w:vAlign w:val="bottom"/>
          </w:tcPr>
          <w:p>
            <w:pPr>
              <w:spacing w:after="0"/>
              <w:rPr>
                <w:sz w:val="15"/>
                <w:szCs w:val="15"/>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Compensation</w:t>
            </w: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3440" w:type="dxa"/>
            <w:vAlign w:val="bottom"/>
            <w:tcBorders>
              <w:bottom w:val="single" w:sz="8" w:color="F7F1EC"/>
            </w:tcBorders>
            <w:shd w:val="clear" w:color="auto" w:fill="F7F1EC"/>
          </w:tcPr>
          <w:p>
            <w:pPr>
              <w:spacing w:after="0"/>
              <w:rPr>
                <w:sz w:val="14"/>
                <w:szCs w:val="14"/>
                <w:color w:val="auto"/>
              </w:rPr>
            </w:pPr>
          </w:p>
        </w:tc>
        <w:tc>
          <w:tcPr>
            <w:tcW w:w="380" w:type="dxa"/>
            <w:vAlign w:val="bottom"/>
            <w:tcBorders>
              <w:bottom w:val="single" w:sz="8" w:color="F7F1EC"/>
            </w:tcBorders>
            <w:shd w:val="clear" w:color="auto" w:fill="F7F1EC"/>
          </w:tcPr>
          <w:p>
            <w:pPr>
              <w:spacing w:after="0"/>
              <w:rPr>
                <w:sz w:val="14"/>
                <w:szCs w:val="14"/>
                <w:color w:val="auto"/>
              </w:rPr>
            </w:pPr>
          </w:p>
        </w:tc>
        <w:tc>
          <w:tcPr>
            <w:tcW w:w="140" w:type="dxa"/>
            <w:vAlign w:val="bottom"/>
          </w:tcPr>
          <w:p>
            <w:pPr>
              <w:spacing w:after="0"/>
              <w:rPr>
                <w:sz w:val="14"/>
                <w:szCs w:val="14"/>
                <w:color w:val="auto"/>
              </w:rPr>
            </w:pPr>
          </w:p>
        </w:tc>
        <w:tc>
          <w:tcPr>
            <w:tcW w:w="3600" w:type="dxa"/>
            <w:vAlign w:val="bottom"/>
            <w:tcBorders>
              <w:bottom w:val="single" w:sz="8" w:color="F7F1EC"/>
            </w:tcBorders>
            <w:shd w:val="clear" w:color="auto" w:fill="F7F1EC"/>
          </w:tcPr>
          <w:p>
            <w:pPr>
              <w:spacing w:after="0"/>
              <w:rPr>
                <w:sz w:val="14"/>
                <w:szCs w:val="14"/>
                <w:color w:val="auto"/>
              </w:rPr>
            </w:pPr>
          </w:p>
        </w:tc>
        <w:tc>
          <w:tcPr>
            <w:tcW w:w="320" w:type="dxa"/>
            <w:vAlign w:val="bottom"/>
            <w:tcBorders>
              <w:bottom w:val="single" w:sz="8" w:color="F7F1EC"/>
            </w:tcBorders>
            <w:shd w:val="clear" w:color="auto" w:fill="F7F1EC"/>
          </w:tcPr>
          <w:p>
            <w:pPr>
              <w:spacing w:after="0"/>
              <w:rPr>
                <w:sz w:val="14"/>
                <w:szCs w:val="14"/>
                <w:color w:val="auto"/>
              </w:rPr>
            </w:pPr>
          </w:p>
        </w:tc>
        <w:tc>
          <w:tcPr>
            <w:tcW w:w="660" w:type="dxa"/>
            <w:vAlign w:val="bottom"/>
          </w:tcPr>
          <w:p>
            <w:pPr>
              <w:spacing w:after="0"/>
              <w:rPr>
                <w:sz w:val="14"/>
                <w:szCs w:val="14"/>
                <w:color w:val="auto"/>
              </w:rPr>
            </w:pPr>
          </w:p>
        </w:tc>
        <w:tc>
          <w:tcPr>
            <w:tcW w:w="1280" w:type="dxa"/>
            <w:vAlign w:val="bottom"/>
          </w:tcPr>
          <w:p>
            <w:pPr>
              <w:ind w:left="140"/>
              <w:spacing w:after="0" w:line="128" w:lineRule="exact"/>
              <w:rPr>
                <w:sz w:val="20"/>
                <w:szCs w:val="20"/>
                <w:color w:val="auto"/>
              </w:rPr>
            </w:pPr>
            <w:r>
              <w:rPr>
                <w:rFonts w:ascii="Arial" w:cs="Arial" w:eastAsia="Arial" w:hAnsi="Arial"/>
                <w:sz w:val="12"/>
                <w:szCs w:val="12"/>
                <w:color w:val="FFFFFF"/>
              </w:rPr>
              <w:t>Discussion and</w:t>
            </w: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9"/>
        </w:trPr>
        <w:tc>
          <w:tcPr>
            <w:tcW w:w="3440" w:type="dxa"/>
            <w:vAlign w:val="bottom"/>
          </w:tcPr>
          <w:p>
            <w:pPr>
              <w:spacing w:after="0" w:line="90" w:lineRule="exact"/>
              <w:rPr>
                <w:sz w:val="20"/>
                <w:szCs w:val="20"/>
                <w:color w:val="auto"/>
              </w:rPr>
            </w:pPr>
            <w:r>
              <w:rPr>
                <w:rFonts w:ascii="Arial" w:cs="Arial" w:eastAsia="Arial" w:hAnsi="Arial"/>
                <w:sz w:val="8"/>
                <w:szCs w:val="8"/>
                <w:color w:val="auto"/>
              </w:rPr>
              <w:t> </w:t>
            </w:r>
          </w:p>
        </w:tc>
        <w:tc>
          <w:tcPr>
            <w:tcW w:w="380" w:type="dxa"/>
            <w:vAlign w:val="bottom"/>
          </w:tcPr>
          <w:p>
            <w:pPr>
              <w:spacing w:after="0"/>
              <w:rPr>
                <w:sz w:val="7"/>
                <w:szCs w:val="7"/>
                <w:color w:val="auto"/>
              </w:rPr>
            </w:pPr>
          </w:p>
        </w:tc>
        <w:tc>
          <w:tcPr>
            <w:tcW w:w="140" w:type="dxa"/>
            <w:vAlign w:val="bottom"/>
          </w:tcPr>
          <w:p>
            <w:pPr>
              <w:spacing w:after="0"/>
              <w:rPr>
                <w:sz w:val="7"/>
                <w:szCs w:val="7"/>
                <w:color w:val="auto"/>
              </w:rPr>
            </w:pPr>
          </w:p>
        </w:tc>
        <w:tc>
          <w:tcPr>
            <w:tcW w:w="3600" w:type="dxa"/>
            <w:vAlign w:val="bottom"/>
          </w:tcPr>
          <w:p>
            <w:pPr>
              <w:spacing w:after="0"/>
              <w:rPr>
                <w:sz w:val="7"/>
                <w:szCs w:val="7"/>
                <w:color w:val="auto"/>
              </w:rPr>
            </w:pPr>
          </w:p>
        </w:tc>
        <w:tc>
          <w:tcPr>
            <w:tcW w:w="3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280" w:type="dxa"/>
            <w:vAlign w:val="bottom"/>
          </w:tcPr>
          <w:p>
            <w:pPr>
              <w:ind w:left="140"/>
              <w:spacing w:after="0" w:line="90" w:lineRule="exact"/>
              <w:rPr>
                <w:sz w:val="20"/>
                <w:szCs w:val="20"/>
                <w:color w:val="auto"/>
              </w:rPr>
            </w:pPr>
            <w:r>
              <w:rPr>
                <w:rFonts w:ascii="Arial" w:cs="Arial" w:eastAsia="Arial" w:hAnsi="Arial"/>
                <w:sz w:val="10"/>
                <w:szCs w:val="10"/>
                <w:color w:val="FFFFFF"/>
              </w:rPr>
              <w:t>Analysis</w:t>
            </w:r>
          </w:p>
        </w:tc>
        <w:tc>
          <w:tcPr>
            <w:tcW w:w="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6"/>
        </w:trPr>
        <w:tc>
          <w:tcPr>
            <w:tcW w:w="3440" w:type="dxa"/>
            <w:vAlign w:val="bottom"/>
            <w:shd w:val="clear" w:color="auto" w:fill="F7F1EC"/>
          </w:tcPr>
          <w:p>
            <w:pPr>
              <w:spacing w:after="0"/>
              <w:rPr>
                <w:sz w:val="23"/>
                <w:szCs w:val="23"/>
                <w:color w:val="auto"/>
              </w:rPr>
            </w:pPr>
          </w:p>
        </w:tc>
        <w:tc>
          <w:tcPr>
            <w:tcW w:w="380" w:type="dxa"/>
            <w:vAlign w:val="bottom"/>
            <w:shd w:val="clear" w:color="auto" w:fill="F7F1EC"/>
          </w:tcPr>
          <w:p>
            <w:pPr>
              <w:spacing w:after="0"/>
              <w:rPr>
                <w:sz w:val="23"/>
                <w:szCs w:val="23"/>
                <w:color w:val="auto"/>
              </w:rPr>
            </w:pPr>
          </w:p>
        </w:tc>
        <w:tc>
          <w:tcPr>
            <w:tcW w:w="140" w:type="dxa"/>
            <w:vAlign w:val="bottom"/>
          </w:tcPr>
          <w:p>
            <w:pPr>
              <w:spacing w:after="0"/>
              <w:rPr>
                <w:sz w:val="23"/>
                <w:szCs w:val="23"/>
                <w:color w:val="auto"/>
              </w:rPr>
            </w:pPr>
          </w:p>
        </w:tc>
        <w:tc>
          <w:tcPr>
            <w:tcW w:w="3600" w:type="dxa"/>
            <w:vAlign w:val="bottom"/>
            <w:shd w:val="clear" w:color="auto" w:fill="F7F1EC"/>
          </w:tcPr>
          <w:p>
            <w:pPr>
              <w:spacing w:after="0"/>
              <w:rPr>
                <w:sz w:val="23"/>
                <w:szCs w:val="23"/>
                <w:color w:val="auto"/>
              </w:rPr>
            </w:pPr>
          </w:p>
        </w:tc>
        <w:tc>
          <w:tcPr>
            <w:tcW w:w="320" w:type="dxa"/>
            <w:vAlign w:val="bottom"/>
            <w:shd w:val="clear" w:color="auto" w:fill="F7F1EC"/>
          </w:tcPr>
          <w:p>
            <w:pPr>
              <w:spacing w:after="0"/>
              <w:rPr>
                <w:sz w:val="23"/>
                <w:szCs w:val="23"/>
                <w:color w:val="auto"/>
              </w:rPr>
            </w:pPr>
          </w:p>
        </w:tc>
        <w:tc>
          <w:tcPr>
            <w:tcW w:w="660" w:type="dxa"/>
            <w:vAlign w:val="bottom"/>
          </w:tcPr>
          <w:p>
            <w:pPr>
              <w:spacing w:after="0"/>
              <w:rPr>
                <w:sz w:val="23"/>
                <w:szCs w:val="23"/>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Report of the</w:t>
            </w:r>
          </w:p>
        </w:tc>
        <w:tc>
          <w:tcPr>
            <w:tcW w:w="4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28"/>
        </w:trPr>
        <w:tc>
          <w:tcPr>
            <w:tcW w:w="3440" w:type="dxa"/>
            <w:vAlign w:val="bottom"/>
            <w:shd w:val="clear" w:color="auto" w:fill="F7F1EC"/>
          </w:tcPr>
          <w:p>
            <w:pPr>
              <w:spacing w:after="0"/>
              <w:rPr>
                <w:sz w:val="11"/>
                <w:szCs w:val="11"/>
                <w:color w:val="auto"/>
              </w:rPr>
            </w:pPr>
          </w:p>
        </w:tc>
        <w:tc>
          <w:tcPr>
            <w:tcW w:w="380" w:type="dxa"/>
            <w:vAlign w:val="bottom"/>
            <w:shd w:val="clear" w:color="auto" w:fill="F7F1EC"/>
          </w:tcPr>
          <w:p>
            <w:pPr>
              <w:spacing w:after="0"/>
              <w:rPr>
                <w:sz w:val="11"/>
                <w:szCs w:val="11"/>
                <w:color w:val="auto"/>
              </w:rPr>
            </w:pPr>
          </w:p>
        </w:tc>
        <w:tc>
          <w:tcPr>
            <w:tcW w:w="140" w:type="dxa"/>
            <w:vAlign w:val="bottom"/>
          </w:tcPr>
          <w:p>
            <w:pPr>
              <w:spacing w:after="0"/>
              <w:rPr>
                <w:sz w:val="11"/>
                <w:szCs w:val="11"/>
                <w:color w:val="auto"/>
              </w:rPr>
            </w:pPr>
          </w:p>
        </w:tc>
        <w:tc>
          <w:tcPr>
            <w:tcW w:w="3600" w:type="dxa"/>
            <w:vAlign w:val="bottom"/>
            <w:shd w:val="clear" w:color="auto" w:fill="F7F1EC"/>
          </w:tcPr>
          <w:p>
            <w:pPr>
              <w:spacing w:after="0"/>
              <w:rPr>
                <w:sz w:val="11"/>
                <w:szCs w:val="11"/>
                <w:color w:val="auto"/>
              </w:rPr>
            </w:pPr>
          </w:p>
        </w:tc>
        <w:tc>
          <w:tcPr>
            <w:tcW w:w="320" w:type="dxa"/>
            <w:vAlign w:val="bottom"/>
            <w:shd w:val="clear" w:color="auto" w:fill="F7F1EC"/>
          </w:tcPr>
          <w:p>
            <w:pPr>
              <w:spacing w:after="0"/>
              <w:rPr>
                <w:sz w:val="11"/>
                <w:szCs w:val="11"/>
                <w:color w:val="auto"/>
              </w:rPr>
            </w:pPr>
          </w:p>
        </w:tc>
        <w:tc>
          <w:tcPr>
            <w:tcW w:w="660" w:type="dxa"/>
            <w:vAlign w:val="bottom"/>
          </w:tcPr>
          <w:p>
            <w:pPr>
              <w:spacing w:after="0"/>
              <w:rPr>
                <w:sz w:val="11"/>
                <w:szCs w:val="11"/>
                <w:color w:val="auto"/>
              </w:rPr>
            </w:pPr>
          </w:p>
        </w:tc>
        <w:tc>
          <w:tcPr>
            <w:tcW w:w="1280" w:type="dxa"/>
            <w:vAlign w:val="bottom"/>
          </w:tcPr>
          <w:p>
            <w:pPr>
              <w:ind w:left="140"/>
              <w:spacing w:after="0" w:line="128" w:lineRule="exact"/>
              <w:rPr>
                <w:sz w:val="20"/>
                <w:szCs w:val="20"/>
                <w:color w:val="auto"/>
              </w:rPr>
            </w:pPr>
            <w:r>
              <w:rPr>
                <w:rFonts w:ascii="Arial" w:cs="Arial" w:eastAsia="Arial" w:hAnsi="Arial"/>
                <w:sz w:val="12"/>
                <w:szCs w:val="12"/>
                <w:color w:val="FFFFFF"/>
              </w:rPr>
              <w:t>Compensation</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440" w:type="dxa"/>
            <w:vAlign w:val="bottom"/>
            <w:shd w:val="clear" w:color="auto" w:fill="F7F1EC"/>
          </w:tcPr>
          <w:p>
            <w:pPr>
              <w:spacing w:after="0"/>
              <w:rPr>
                <w:sz w:val="11"/>
                <w:szCs w:val="11"/>
                <w:color w:val="auto"/>
              </w:rPr>
            </w:pPr>
          </w:p>
        </w:tc>
        <w:tc>
          <w:tcPr>
            <w:tcW w:w="380" w:type="dxa"/>
            <w:vAlign w:val="bottom"/>
            <w:shd w:val="clear" w:color="auto" w:fill="F7F1EC"/>
          </w:tcPr>
          <w:p>
            <w:pPr>
              <w:spacing w:after="0"/>
              <w:rPr>
                <w:sz w:val="11"/>
                <w:szCs w:val="11"/>
                <w:color w:val="auto"/>
              </w:rPr>
            </w:pPr>
          </w:p>
        </w:tc>
        <w:tc>
          <w:tcPr>
            <w:tcW w:w="140" w:type="dxa"/>
            <w:vAlign w:val="bottom"/>
          </w:tcPr>
          <w:p>
            <w:pPr>
              <w:spacing w:after="0"/>
              <w:rPr>
                <w:sz w:val="11"/>
                <w:szCs w:val="11"/>
                <w:color w:val="auto"/>
              </w:rPr>
            </w:pPr>
          </w:p>
        </w:tc>
        <w:tc>
          <w:tcPr>
            <w:tcW w:w="3600" w:type="dxa"/>
            <w:vAlign w:val="bottom"/>
            <w:shd w:val="clear" w:color="auto" w:fill="F7F1EC"/>
          </w:tcPr>
          <w:p>
            <w:pPr>
              <w:spacing w:after="0"/>
              <w:rPr>
                <w:sz w:val="11"/>
                <w:szCs w:val="11"/>
                <w:color w:val="auto"/>
              </w:rPr>
            </w:pPr>
          </w:p>
        </w:tc>
        <w:tc>
          <w:tcPr>
            <w:tcW w:w="320" w:type="dxa"/>
            <w:vAlign w:val="bottom"/>
            <w:shd w:val="clear" w:color="auto" w:fill="F7F1EC"/>
          </w:tcPr>
          <w:p>
            <w:pPr>
              <w:spacing w:after="0"/>
              <w:rPr>
                <w:sz w:val="11"/>
                <w:szCs w:val="11"/>
                <w:color w:val="auto"/>
              </w:rPr>
            </w:pPr>
          </w:p>
        </w:tc>
        <w:tc>
          <w:tcPr>
            <w:tcW w:w="660" w:type="dxa"/>
            <w:vAlign w:val="bottom"/>
          </w:tcPr>
          <w:p>
            <w:pPr>
              <w:spacing w:after="0"/>
              <w:rPr>
                <w:sz w:val="11"/>
                <w:szCs w:val="11"/>
                <w:color w:val="auto"/>
              </w:rPr>
            </w:pPr>
          </w:p>
        </w:tc>
        <w:tc>
          <w:tcPr>
            <w:tcW w:w="1280" w:type="dxa"/>
            <w:vAlign w:val="bottom"/>
          </w:tcPr>
          <w:p>
            <w:pPr>
              <w:ind w:left="140"/>
              <w:spacing w:after="0" w:line="128" w:lineRule="exact"/>
              <w:rPr>
                <w:sz w:val="20"/>
                <w:szCs w:val="20"/>
                <w:color w:val="auto"/>
              </w:rPr>
            </w:pPr>
            <w:r>
              <w:rPr>
                <w:rFonts w:ascii="Arial" w:cs="Arial" w:eastAsia="Arial" w:hAnsi="Arial"/>
                <w:sz w:val="12"/>
                <w:szCs w:val="12"/>
                <w:color w:val="FFFFFF"/>
              </w:rPr>
              <w:t>and Human</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440" w:type="dxa"/>
            <w:vAlign w:val="bottom"/>
            <w:shd w:val="clear" w:color="auto" w:fill="F7F1EC"/>
          </w:tcPr>
          <w:p>
            <w:pPr>
              <w:spacing w:after="0"/>
              <w:rPr>
                <w:sz w:val="11"/>
                <w:szCs w:val="11"/>
                <w:color w:val="auto"/>
              </w:rPr>
            </w:pPr>
          </w:p>
        </w:tc>
        <w:tc>
          <w:tcPr>
            <w:tcW w:w="380" w:type="dxa"/>
            <w:vAlign w:val="bottom"/>
            <w:shd w:val="clear" w:color="auto" w:fill="F7F1EC"/>
          </w:tcPr>
          <w:p>
            <w:pPr>
              <w:spacing w:after="0"/>
              <w:rPr>
                <w:sz w:val="11"/>
                <w:szCs w:val="11"/>
                <w:color w:val="auto"/>
              </w:rPr>
            </w:pPr>
          </w:p>
        </w:tc>
        <w:tc>
          <w:tcPr>
            <w:tcW w:w="140" w:type="dxa"/>
            <w:vAlign w:val="bottom"/>
          </w:tcPr>
          <w:p>
            <w:pPr>
              <w:spacing w:after="0"/>
              <w:rPr>
                <w:sz w:val="11"/>
                <w:szCs w:val="11"/>
                <w:color w:val="auto"/>
              </w:rPr>
            </w:pPr>
          </w:p>
        </w:tc>
        <w:tc>
          <w:tcPr>
            <w:tcW w:w="3600" w:type="dxa"/>
            <w:vAlign w:val="bottom"/>
            <w:shd w:val="clear" w:color="auto" w:fill="F7F1EC"/>
          </w:tcPr>
          <w:p>
            <w:pPr>
              <w:spacing w:after="0"/>
              <w:rPr>
                <w:sz w:val="11"/>
                <w:szCs w:val="11"/>
                <w:color w:val="auto"/>
              </w:rPr>
            </w:pPr>
          </w:p>
        </w:tc>
        <w:tc>
          <w:tcPr>
            <w:tcW w:w="320" w:type="dxa"/>
            <w:vAlign w:val="bottom"/>
            <w:shd w:val="clear" w:color="auto" w:fill="F7F1EC"/>
          </w:tcPr>
          <w:p>
            <w:pPr>
              <w:spacing w:after="0"/>
              <w:rPr>
                <w:sz w:val="11"/>
                <w:szCs w:val="11"/>
                <w:color w:val="auto"/>
              </w:rPr>
            </w:pPr>
          </w:p>
        </w:tc>
        <w:tc>
          <w:tcPr>
            <w:tcW w:w="660" w:type="dxa"/>
            <w:vAlign w:val="bottom"/>
          </w:tcPr>
          <w:p>
            <w:pPr>
              <w:spacing w:after="0"/>
              <w:rPr>
                <w:sz w:val="11"/>
                <w:szCs w:val="11"/>
                <w:color w:val="auto"/>
              </w:rPr>
            </w:pPr>
          </w:p>
        </w:tc>
        <w:tc>
          <w:tcPr>
            <w:tcW w:w="1280" w:type="dxa"/>
            <w:vAlign w:val="bottom"/>
          </w:tcPr>
          <w:p>
            <w:pPr>
              <w:ind w:left="140"/>
              <w:spacing w:after="0" w:line="128" w:lineRule="exact"/>
              <w:rPr>
                <w:sz w:val="20"/>
                <w:szCs w:val="20"/>
                <w:color w:val="auto"/>
              </w:rPr>
            </w:pPr>
            <w:r>
              <w:rPr>
                <w:rFonts w:ascii="Arial" w:cs="Arial" w:eastAsia="Arial" w:hAnsi="Arial"/>
                <w:sz w:val="12"/>
                <w:szCs w:val="12"/>
                <w:color w:val="FFFFFF"/>
              </w:rPr>
              <w:t>Resources</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440" w:type="dxa"/>
            <w:vAlign w:val="bottom"/>
            <w:shd w:val="clear" w:color="auto" w:fill="F7F1EC"/>
          </w:tcPr>
          <w:p>
            <w:pPr>
              <w:spacing w:after="0"/>
              <w:rPr>
                <w:sz w:val="11"/>
                <w:szCs w:val="11"/>
                <w:color w:val="auto"/>
              </w:rPr>
            </w:pPr>
          </w:p>
        </w:tc>
        <w:tc>
          <w:tcPr>
            <w:tcW w:w="380" w:type="dxa"/>
            <w:vAlign w:val="bottom"/>
            <w:shd w:val="clear" w:color="auto" w:fill="F7F1EC"/>
          </w:tcPr>
          <w:p>
            <w:pPr>
              <w:spacing w:after="0"/>
              <w:rPr>
                <w:sz w:val="11"/>
                <w:szCs w:val="11"/>
                <w:color w:val="auto"/>
              </w:rPr>
            </w:pPr>
          </w:p>
        </w:tc>
        <w:tc>
          <w:tcPr>
            <w:tcW w:w="140" w:type="dxa"/>
            <w:vAlign w:val="bottom"/>
          </w:tcPr>
          <w:p>
            <w:pPr>
              <w:spacing w:after="0"/>
              <w:rPr>
                <w:sz w:val="11"/>
                <w:szCs w:val="11"/>
                <w:color w:val="auto"/>
              </w:rPr>
            </w:pPr>
          </w:p>
        </w:tc>
        <w:tc>
          <w:tcPr>
            <w:tcW w:w="3600" w:type="dxa"/>
            <w:vAlign w:val="bottom"/>
            <w:shd w:val="clear" w:color="auto" w:fill="F7F1EC"/>
          </w:tcPr>
          <w:p>
            <w:pPr>
              <w:spacing w:after="0"/>
              <w:rPr>
                <w:sz w:val="11"/>
                <w:szCs w:val="11"/>
                <w:color w:val="auto"/>
              </w:rPr>
            </w:pPr>
          </w:p>
        </w:tc>
        <w:tc>
          <w:tcPr>
            <w:tcW w:w="320" w:type="dxa"/>
            <w:vAlign w:val="bottom"/>
            <w:shd w:val="clear" w:color="auto" w:fill="F7F1EC"/>
          </w:tcPr>
          <w:p>
            <w:pPr>
              <w:spacing w:after="0"/>
              <w:rPr>
                <w:sz w:val="11"/>
                <w:szCs w:val="11"/>
                <w:color w:val="auto"/>
              </w:rPr>
            </w:pPr>
          </w:p>
        </w:tc>
        <w:tc>
          <w:tcPr>
            <w:tcW w:w="660" w:type="dxa"/>
            <w:vAlign w:val="bottom"/>
          </w:tcPr>
          <w:p>
            <w:pPr>
              <w:spacing w:after="0"/>
              <w:rPr>
                <w:sz w:val="11"/>
                <w:szCs w:val="11"/>
                <w:color w:val="auto"/>
              </w:rPr>
            </w:pPr>
          </w:p>
        </w:tc>
        <w:tc>
          <w:tcPr>
            <w:tcW w:w="1280" w:type="dxa"/>
            <w:vAlign w:val="bottom"/>
          </w:tcPr>
          <w:p>
            <w:pPr>
              <w:ind w:left="140"/>
              <w:spacing w:after="0" w:line="128" w:lineRule="exact"/>
              <w:rPr>
                <w:sz w:val="20"/>
                <w:szCs w:val="20"/>
                <w:color w:val="auto"/>
              </w:rPr>
            </w:pPr>
            <w:r>
              <w:rPr>
                <w:rFonts w:ascii="Arial" w:cs="Arial" w:eastAsia="Arial" w:hAnsi="Arial"/>
                <w:sz w:val="12"/>
                <w:szCs w:val="12"/>
                <w:color w:val="FFFFFF"/>
              </w:rPr>
              <w:t>Committee of the</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3440" w:type="dxa"/>
            <w:vAlign w:val="bottom"/>
            <w:vMerge w:val="restart"/>
            <w:shd w:val="clear" w:color="auto" w:fill="F7F1EC"/>
          </w:tcPr>
          <w:p>
            <w:pPr>
              <w:ind w:left="380"/>
              <w:spacing w:after="0"/>
              <w:rPr>
                <w:sz w:val="20"/>
                <w:szCs w:val="20"/>
                <w:color w:val="auto"/>
              </w:rPr>
            </w:pPr>
            <w:r>
              <w:rPr>
                <w:rFonts w:ascii="Arial" w:cs="Arial" w:eastAsia="Arial" w:hAnsi="Arial"/>
                <w:sz w:val="17"/>
                <w:szCs w:val="17"/>
                <w:b w:val="1"/>
                <w:bCs w:val="1"/>
                <w:color w:val="B95827"/>
              </w:rPr>
              <w:t>BY MAIL:</w:t>
            </w:r>
          </w:p>
        </w:tc>
        <w:tc>
          <w:tcPr>
            <w:tcW w:w="380" w:type="dxa"/>
            <w:vAlign w:val="bottom"/>
            <w:shd w:val="clear" w:color="auto" w:fill="F7F1EC"/>
          </w:tcPr>
          <w:p>
            <w:pPr>
              <w:spacing w:after="0"/>
              <w:rPr>
                <w:sz w:val="13"/>
                <w:szCs w:val="13"/>
                <w:color w:val="auto"/>
              </w:rPr>
            </w:pPr>
          </w:p>
        </w:tc>
        <w:tc>
          <w:tcPr>
            <w:tcW w:w="140" w:type="dxa"/>
            <w:vAlign w:val="bottom"/>
          </w:tcPr>
          <w:p>
            <w:pPr>
              <w:spacing w:after="0"/>
              <w:rPr>
                <w:sz w:val="13"/>
                <w:szCs w:val="13"/>
                <w:color w:val="auto"/>
              </w:rPr>
            </w:pPr>
          </w:p>
        </w:tc>
        <w:tc>
          <w:tcPr>
            <w:tcW w:w="3600" w:type="dxa"/>
            <w:vAlign w:val="bottom"/>
            <w:vMerge w:val="restart"/>
            <w:shd w:val="clear" w:color="auto" w:fill="F7F1EC"/>
          </w:tcPr>
          <w:p>
            <w:pPr>
              <w:ind w:left="400"/>
              <w:spacing w:after="0"/>
              <w:rPr>
                <w:sz w:val="20"/>
                <w:szCs w:val="20"/>
                <w:color w:val="auto"/>
              </w:rPr>
            </w:pPr>
            <w:r>
              <w:rPr>
                <w:rFonts w:ascii="Arial" w:cs="Arial" w:eastAsia="Arial" w:hAnsi="Arial"/>
                <w:sz w:val="17"/>
                <w:szCs w:val="17"/>
                <w:b w:val="1"/>
                <w:bCs w:val="1"/>
                <w:color w:val="B95827"/>
              </w:rPr>
              <w:t>IN PERSON:</w:t>
            </w:r>
          </w:p>
        </w:tc>
        <w:tc>
          <w:tcPr>
            <w:tcW w:w="320" w:type="dxa"/>
            <w:vAlign w:val="bottom"/>
            <w:shd w:val="clear" w:color="auto" w:fill="F7F1EC"/>
          </w:tcPr>
          <w:p>
            <w:pPr>
              <w:spacing w:after="0"/>
              <w:rPr>
                <w:sz w:val="13"/>
                <w:szCs w:val="13"/>
                <w:color w:val="auto"/>
              </w:rPr>
            </w:pPr>
          </w:p>
        </w:tc>
        <w:tc>
          <w:tcPr>
            <w:tcW w:w="660" w:type="dxa"/>
            <w:vAlign w:val="bottom"/>
          </w:tcPr>
          <w:p>
            <w:pPr>
              <w:spacing w:after="0"/>
              <w:rPr>
                <w:sz w:val="13"/>
                <w:szCs w:val="13"/>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Board of Directors</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3440" w:type="dxa"/>
            <w:vAlign w:val="bottom"/>
            <w:vMerge w:val="continue"/>
            <w:shd w:val="clear" w:color="auto" w:fill="F7F1EC"/>
          </w:tcPr>
          <w:p>
            <w:pPr>
              <w:spacing w:after="0"/>
              <w:rPr>
                <w:sz w:val="13"/>
                <w:szCs w:val="13"/>
                <w:color w:val="auto"/>
              </w:rPr>
            </w:pPr>
          </w:p>
        </w:tc>
        <w:tc>
          <w:tcPr>
            <w:tcW w:w="380" w:type="dxa"/>
            <w:vAlign w:val="bottom"/>
            <w:shd w:val="clear" w:color="auto" w:fill="F7F1EC"/>
          </w:tcPr>
          <w:p>
            <w:pPr>
              <w:spacing w:after="0"/>
              <w:rPr>
                <w:sz w:val="13"/>
                <w:szCs w:val="13"/>
                <w:color w:val="auto"/>
              </w:rPr>
            </w:pPr>
          </w:p>
        </w:tc>
        <w:tc>
          <w:tcPr>
            <w:tcW w:w="140" w:type="dxa"/>
            <w:vAlign w:val="bottom"/>
          </w:tcPr>
          <w:p>
            <w:pPr>
              <w:spacing w:after="0"/>
              <w:rPr>
                <w:sz w:val="13"/>
                <w:szCs w:val="13"/>
                <w:color w:val="auto"/>
              </w:rPr>
            </w:pPr>
          </w:p>
        </w:tc>
        <w:tc>
          <w:tcPr>
            <w:tcW w:w="3600" w:type="dxa"/>
            <w:vAlign w:val="bottom"/>
            <w:vMerge w:val="continue"/>
            <w:shd w:val="clear" w:color="auto" w:fill="F7F1EC"/>
          </w:tcPr>
          <w:p>
            <w:pPr>
              <w:spacing w:after="0"/>
              <w:rPr>
                <w:sz w:val="13"/>
                <w:szCs w:val="13"/>
                <w:color w:val="auto"/>
              </w:rPr>
            </w:pPr>
          </w:p>
        </w:tc>
        <w:tc>
          <w:tcPr>
            <w:tcW w:w="320" w:type="dxa"/>
            <w:vAlign w:val="bottom"/>
            <w:shd w:val="clear" w:color="auto" w:fill="F7F1EC"/>
          </w:tcPr>
          <w:p>
            <w:pPr>
              <w:spacing w:after="0"/>
              <w:rPr>
                <w:sz w:val="13"/>
                <w:szCs w:val="13"/>
                <w:color w:val="auto"/>
              </w:rPr>
            </w:pPr>
          </w:p>
        </w:tc>
        <w:tc>
          <w:tcPr>
            <w:tcW w:w="660" w:type="dxa"/>
            <w:vAlign w:val="bottom"/>
          </w:tcPr>
          <w:p>
            <w:pPr>
              <w:spacing w:after="0"/>
              <w:rPr>
                <w:sz w:val="13"/>
                <w:szCs w:val="13"/>
                <w:color w:val="auto"/>
              </w:rPr>
            </w:pPr>
          </w:p>
        </w:tc>
        <w:tc>
          <w:tcPr>
            <w:tcW w:w="1280" w:type="dxa"/>
            <w:vAlign w:val="bottom"/>
            <w:vMerge w:val="restart"/>
          </w:tcPr>
          <w:p>
            <w:pPr>
              <w:ind w:left="140"/>
              <w:spacing w:after="0"/>
              <w:rPr>
                <w:sz w:val="20"/>
                <w:szCs w:val="20"/>
                <w:color w:val="auto"/>
              </w:rPr>
            </w:pPr>
            <w:r>
              <w:rPr>
                <w:rFonts w:ascii="Arial" w:cs="Arial" w:eastAsia="Arial" w:hAnsi="Arial"/>
                <w:sz w:val="12"/>
                <w:szCs w:val="12"/>
                <w:color w:val="FFFFFF"/>
              </w:rPr>
              <w:t>Compensation of</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7"/>
        </w:trPr>
        <w:tc>
          <w:tcPr>
            <w:tcW w:w="3440" w:type="dxa"/>
            <w:vAlign w:val="bottom"/>
            <w:vMerge w:val="restart"/>
            <w:shd w:val="clear" w:color="auto" w:fill="F7F1EC"/>
          </w:tcPr>
          <w:p>
            <w:pPr>
              <w:ind w:left="380"/>
              <w:spacing w:after="0"/>
              <w:rPr>
                <w:sz w:val="20"/>
                <w:szCs w:val="20"/>
                <w:color w:val="auto"/>
              </w:rPr>
            </w:pPr>
            <w:r>
              <w:rPr>
                <w:rFonts w:ascii="Arial" w:cs="Arial" w:eastAsia="Arial" w:hAnsi="Arial"/>
                <w:sz w:val="15"/>
                <w:szCs w:val="15"/>
                <w:color w:val="auto"/>
              </w:rPr>
              <w:t>by marking, dating and signing your printed</w:t>
            </w:r>
          </w:p>
        </w:tc>
        <w:tc>
          <w:tcPr>
            <w:tcW w:w="380" w:type="dxa"/>
            <w:vAlign w:val="bottom"/>
            <w:shd w:val="clear" w:color="auto" w:fill="F7F1EC"/>
          </w:tcPr>
          <w:p>
            <w:pPr>
              <w:spacing w:after="0"/>
              <w:rPr>
                <w:sz w:val="6"/>
                <w:szCs w:val="6"/>
                <w:color w:val="auto"/>
              </w:rPr>
            </w:pPr>
          </w:p>
        </w:tc>
        <w:tc>
          <w:tcPr>
            <w:tcW w:w="140" w:type="dxa"/>
            <w:vAlign w:val="bottom"/>
          </w:tcPr>
          <w:p>
            <w:pPr>
              <w:spacing w:after="0"/>
              <w:rPr>
                <w:sz w:val="6"/>
                <w:szCs w:val="6"/>
                <w:color w:val="auto"/>
              </w:rPr>
            </w:pPr>
          </w:p>
        </w:tc>
        <w:tc>
          <w:tcPr>
            <w:tcW w:w="3600" w:type="dxa"/>
            <w:vAlign w:val="bottom"/>
            <w:vMerge w:val="continue"/>
            <w:shd w:val="clear" w:color="auto" w:fill="F7F1EC"/>
          </w:tcPr>
          <w:p>
            <w:pPr>
              <w:spacing w:after="0"/>
              <w:rPr>
                <w:sz w:val="6"/>
                <w:szCs w:val="6"/>
                <w:color w:val="auto"/>
              </w:rPr>
            </w:pPr>
          </w:p>
        </w:tc>
        <w:tc>
          <w:tcPr>
            <w:tcW w:w="320" w:type="dxa"/>
            <w:vAlign w:val="bottom"/>
            <w:shd w:val="clear" w:color="auto" w:fill="F7F1EC"/>
          </w:tcPr>
          <w:p>
            <w:pPr>
              <w:spacing w:after="0"/>
              <w:rPr>
                <w:sz w:val="6"/>
                <w:szCs w:val="6"/>
                <w:color w:val="auto"/>
              </w:rPr>
            </w:pPr>
          </w:p>
        </w:tc>
        <w:tc>
          <w:tcPr>
            <w:tcW w:w="66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3440" w:type="dxa"/>
            <w:vAlign w:val="bottom"/>
            <w:vMerge w:val="continue"/>
            <w:shd w:val="clear" w:color="auto" w:fill="F7F1EC"/>
          </w:tcPr>
          <w:p>
            <w:pPr>
              <w:spacing w:after="0"/>
              <w:rPr>
                <w:sz w:val="3"/>
                <w:szCs w:val="3"/>
                <w:color w:val="auto"/>
              </w:rPr>
            </w:pPr>
          </w:p>
        </w:tc>
        <w:tc>
          <w:tcPr>
            <w:tcW w:w="380" w:type="dxa"/>
            <w:vAlign w:val="bottom"/>
            <w:shd w:val="clear" w:color="auto" w:fill="F7F1EC"/>
          </w:tcPr>
          <w:p>
            <w:pPr>
              <w:spacing w:after="0"/>
              <w:rPr>
                <w:sz w:val="3"/>
                <w:szCs w:val="3"/>
                <w:color w:val="auto"/>
              </w:rPr>
            </w:pPr>
          </w:p>
        </w:tc>
        <w:tc>
          <w:tcPr>
            <w:tcW w:w="140" w:type="dxa"/>
            <w:vAlign w:val="bottom"/>
          </w:tcPr>
          <w:p>
            <w:pPr>
              <w:spacing w:after="0"/>
              <w:rPr>
                <w:sz w:val="3"/>
                <w:szCs w:val="3"/>
                <w:color w:val="auto"/>
              </w:rPr>
            </w:pPr>
          </w:p>
        </w:tc>
        <w:tc>
          <w:tcPr>
            <w:tcW w:w="3600" w:type="dxa"/>
            <w:vAlign w:val="bottom"/>
            <w:vMerge w:val="restart"/>
            <w:shd w:val="clear" w:color="auto" w:fill="F7F1EC"/>
          </w:tcPr>
          <w:p>
            <w:pPr>
              <w:ind w:left="400"/>
              <w:spacing w:after="0"/>
              <w:rPr>
                <w:sz w:val="20"/>
                <w:szCs w:val="20"/>
                <w:color w:val="auto"/>
              </w:rPr>
            </w:pPr>
            <w:r>
              <w:rPr>
                <w:rFonts w:ascii="Arial" w:cs="Arial" w:eastAsia="Arial" w:hAnsi="Arial"/>
                <w:sz w:val="15"/>
                <w:szCs w:val="15"/>
                <w:color w:val="auto"/>
              </w:rPr>
              <w:t>by voting your shares in person at the Annual</w:t>
            </w:r>
          </w:p>
        </w:tc>
        <w:tc>
          <w:tcPr>
            <w:tcW w:w="320" w:type="dxa"/>
            <w:vAlign w:val="bottom"/>
            <w:shd w:val="clear" w:color="auto" w:fill="F7F1EC"/>
          </w:tcPr>
          <w:p>
            <w:pPr>
              <w:spacing w:after="0"/>
              <w:rPr>
                <w:sz w:val="3"/>
                <w:szCs w:val="3"/>
                <w:color w:val="auto"/>
              </w:rPr>
            </w:pPr>
          </w:p>
        </w:tc>
        <w:tc>
          <w:tcPr>
            <w:tcW w:w="66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95"/>
        </w:trPr>
        <w:tc>
          <w:tcPr>
            <w:tcW w:w="3440" w:type="dxa"/>
            <w:vAlign w:val="bottom"/>
            <w:vMerge w:val="continue"/>
            <w:shd w:val="clear" w:color="auto" w:fill="F7F1EC"/>
          </w:tcPr>
          <w:p>
            <w:pPr>
              <w:spacing w:after="0"/>
              <w:rPr>
                <w:sz w:val="8"/>
                <w:szCs w:val="8"/>
                <w:color w:val="auto"/>
              </w:rPr>
            </w:pPr>
          </w:p>
        </w:tc>
        <w:tc>
          <w:tcPr>
            <w:tcW w:w="380" w:type="dxa"/>
            <w:vAlign w:val="bottom"/>
            <w:shd w:val="clear" w:color="auto" w:fill="F7F1EC"/>
          </w:tcPr>
          <w:p>
            <w:pPr>
              <w:spacing w:after="0"/>
              <w:rPr>
                <w:sz w:val="8"/>
                <w:szCs w:val="8"/>
                <w:color w:val="auto"/>
              </w:rPr>
            </w:pPr>
          </w:p>
        </w:tc>
        <w:tc>
          <w:tcPr>
            <w:tcW w:w="140" w:type="dxa"/>
            <w:vAlign w:val="bottom"/>
          </w:tcPr>
          <w:p>
            <w:pPr>
              <w:spacing w:after="0"/>
              <w:rPr>
                <w:sz w:val="8"/>
                <w:szCs w:val="8"/>
                <w:color w:val="auto"/>
              </w:rPr>
            </w:pPr>
          </w:p>
        </w:tc>
        <w:tc>
          <w:tcPr>
            <w:tcW w:w="3600" w:type="dxa"/>
            <w:vAlign w:val="bottom"/>
            <w:vMerge w:val="continue"/>
            <w:shd w:val="clear" w:color="auto" w:fill="F7F1EC"/>
          </w:tcPr>
          <w:p>
            <w:pPr>
              <w:spacing w:after="0"/>
              <w:rPr>
                <w:sz w:val="8"/>
                <w:szCs w:val="8"/>
                <w:color w:val="auto"/>
              </w:rPr>
            </w:pPr>
          </w:p>
        </w:tc>
        <w:tc>
          <w:tcPr>
            <w:tcW w:w="320" w:type="dxa"/>
            <w:vAlign w:val="bottom"/>
            <w:shd w:val="clear" w:color="auto" w:fill="F7F1EC"/>
          </w:tcPr>
          <w:p>
            <w:pPr>
              <w:spacing w:after="0"/>
              <w:rPr>
                <w:sz w:val="8"/>
                <w:szCs w:val="8"/>
                <w:color w:val="auto"/>
              </w:rPr>
            </w:pPr>
          </w:p>
        </w:tc>
        <w:tc>
          <w:tcPr>
            <w:tcW w:w="660" w:type="dxa"/>
            <w:vAlign w:val="bottom"/>
          </w:tcPr>
          <w:p>
            <w:pPr>
              <w:spacing w:after="0"/>
              <w:rPr>
                <w:sz w:val="8"/>
                <w:szCs w:val="8"/>
                <w:color w:val="auto"/>
              </w:rPr>
            </w:pPr>
          </w:p>
        </w:tc>
        <w:tc>
          <w:tcPr>
            <w:tcW w:w="1280" w:type="dxa"/>
            <w:vAlign w:val="bottom"/>
            <w:vMerge w:val="restart"/>
          </w:tcPr>
          <w:p>
            <w:pPr>
              <w:ind w:left="140"/>
              <w:spacing w:after="0"/>
              <w:rPr>
                <w:sz w:val="20"/>
                <w:szCs w:val="20"/>
                <w:color w:val="auto"/>
              </w:rPr>
            </w:pPr>
            <w:r>
              <w:rPr>
                <w:rFonts w:ascii="Arial" w:cs="Arial" w:eastAsia="Arial" w:hAnsi="Arial"/>
                <w:sz w:val="12"/>
                <w:szCs w:val="12"/>
                <w:color w:val="FFFFFF"/>
              </w:rPr>
              <w:t>Named Executive</w:t>
            </w: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3440" w:type="dxa"/>
            <w:vAlign w:val="bottom"/>
            <w:vMerge w:val="restart"/>
            <w:shd w:val="clear" w:color="auto" w:fill="F7F1EC"/>
          </w:tcPr>
          <w:p>
            <w:pPr>
              <w:ind w:left="380"/>
              <w:spacing w:after="0"/>
              <w:rPr>
                <w:sz w:val="20"/>
                <w:szCs w:val="20"/>
                <w:color w:val="auto"/>
              </w:rPr>
            </w:pPr>
            <w:r>
              <w:rPr>
                <w:rFonts w:ascii="Arial" w:cs="Arial" w:eastAsia="Arial" w:hAnsi="Arial"/>
                <w:sz w:val="15"/>
                <w:szCs w:val="15"/>
                <w:color w:val="auto"/>
              </w:rPr>
              <w:t>proxy card (if received by mail) in</w:t>
            </w:r>
          </w:p>
        </w:tc>
        <w:tc>
          <w:tcPr>
            <w:tcW w:w="380" w:type="dxa"/>
            <w:vAlign w:val="bottom"/>
            <w:shd w:val="clear" w:color="auto" w:fill="F7F1EC"/>
          </w:tcPr>
          <w:p>
            <w:pPr>
              <w:spacing w:after="0"/>
              <w:rPr>
                <w:sz w:val="4"/>
                <w:szCs w:val="4"/>
                <w:color w:val="auto"/>
              </w:rPr>
            </w:pPr>
          </w:p>
        </w:tc>
        <w:tc>
          <w:tcPr>
            <w:tcW w:w="140" w:type="dxa"/>
            <w:vAlign w:val="bottom"/>
          </w:tcPr>
          <w:p>
            <w:pPr>
              <w:spacing w:after="0"/>
              <w:rPr>
                <w:sz w:val="4"/>
                <w:szCs w:val="4"/>
                <w:color w:val="auto"/>
              </w:rPr>
            </w:pPr>
          </w:p>
        </w:tc>
        <w:tc>
          <w:tcPr>
            <w:tcW w:w="3600" w:type="dxa"/>
            <w:vAlign w:val="bottom"/>
            <w:vMerge w:val="continue"/>
            <w:shd w:val="clear" w:color="auto" w:fill="F7F1EC"/>
          </w:tcPr>
          <w:p>
            <w:pPr>
              <w:spacing w:after="0"/>
              <w:rPr>
                <w:sz w:val="4"/>
                <w:szCs w:val="4"/>
                <w:color w:val="auto"/>
              </w:rPr>
            </w:pPr>
          </w:p>
        </w:tc>
        <w:tc>
          <w:tcPr>
            <w:tcW w:w="320" w:type="dxa"/>
            <w:vAlign w:val="bottom"/>
            <w:shd w:val="clear" w:color="auto" w:fill="F7F1EC"/>
          </w:tcPr>
          <w:p>
            <w:pPr>
              <w:spacing w:after="0"/>
              <w:rPr>
                <w:sz w:val="4"/>
                <w:szCs w:val="4"/>
                <w:color w:val="auto"/>
              </w:rPr>
            </w:pPr>
          </w:p>
        </w:tc>
        <w:tc>
          <w:tcPr>
            <w:tcW w:w="660" w:type="dxa"/>
            <w:vAlign w:val="bottom"/>
          </w:tcPr>
          <w:p>
            <w:pPr>
              <w:spacing w:after="0"/>
              <w:rPr>
                <w:sz w:val="4"/>
                <w:szCs w:val="4"/>
                <w:color w:val="auto"/>
              </w:rPr>
            </w:pPr>
          </w:p>
        </w:tc>
        <w:tc>
          <w:tcPr>
            <w:tcW w:w="1280" w:type="dxa"/>
            <w:vAlign w:val="bottom"/>
            <w:vMerge w:val="continue"/>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8"/>
        </w:trPr>
        <w:tc>
          <w:tcPr>
            <w:tcW w:w="3440" w:type="dxa"/>
            <w:vAlign w:val="bottom"/>
            <w:vMerge w:val="continue"/>
            <w:shd w:val="clear" w:color="auto" w:fill="F7F1EC"/>
          </w:tcPr>
          <w:p>
            <w:pPr>
              <w:spacing w:after="0"/>
              <w:rPr>
                <w:sz w:val="11"/>
                <w:szCs w:val="11"/>
                <w:color w:val="auto"/>
              </w:rPr>
            </w:pPr>
          </w:p>
        </w:tc>
        <w:tc>
          <w:tcPr>
            <w:tcW w:w="380" w:type="dxa"/>
            <w:vAlign w:val="bottom"/>
            <w:shd w:val="clear" w:color="auto" w:fill="F7F1EC"/>
          </w:tcPr>
          <w:p>
            <w:pPr>
              <w:spacing w:after="0"/>
              <w:rPr>
                <w:sz w:val="11"/>
                <w:szCs w:val="11"/>
                <w:color w:val="auto"/>
              </w:rPr>
            </w:pPr>
          </w:p>
        </w:tc>
        <w:tc>
          <w:tcPr>
            <w:tcW w:w="140" w:type="dxa"/>
            <w:vAlign w:val="bottom"/>
          </w:tcPr>
          <w:p>
            <w:pPr>
              <w:spacing w:after="0"/>
              <w:rPr>
                <w:sz w:val="11"/>
                <w:szCs w:val="11"/>
                <w:color w:val="auto"/>
              </w:rPr>
            </w:pPr>
          </w:p>
        </w:tc>
        <w:tc>
          <w:tcPr>
            <w:tcW w:w="3600" w:type="dxa"/>
            <w:vAlign w:val="bottom"/>
            <w:vMerge w:val="restart"/>
            <w:shd w:val="clear" w:color="auto" w:fill="F7F1EC"/>
          </w:tcPr>
          <w:p>
            <w:pPr>
              <w:ind w:left="400"/>
              <w:spacing w:after="0"/>
              <w:rPr>
                <w:sz w:val="20"/>
                <w:szCs w:val="20"/>
                <w:color w:val="auto"/>
              </w:rPr>
            </w:pPr>
            <w:r>
              <w:rPr>
                <w:rFonts w:ascii="Arial" w:cs="Arial" w:eastAsia="Arial" w:hAnsi="Arial"/>
                <w:sz w:val="15"/>
                <w:szCs w:val="15"/>
                <w:color w:val="auto"/>
              </w:rPr>
              <w:t>Meeting (if you satisfy the admission</w:t>
            </w:r>
          </w:p>
        </w:tc>
        <w:tc>
          <w:tcPr>
            <w:tcW w:w="320" w:type="dxa"/>
            <w:vAlign w:val="bottom"/>
            <w:shd w:val="clear" w:color="auto" w:fill="F7F1EC"/>
          </w:tcPr>
          <w:p>
            <w:pPr>
              <w:spacing w:after="0"/>
              <w:rPr>
                <w:sz w:val="11"/>
                <w:szCs w:val="11"/>
                <w:color w:val="auto"/>
              </w:rPr>
            </w:pPr>
          </w:p>
        </w:tc>
        <w:tc>
          <w:tcPr>
            <w:tcW w:w="660" w:type="dxa"/>
            <w:vAlign w:val="bottom"/>
          </w:tcPr>
          <w:p>
            <w:pPr>
              <w:spacing w:after="0"/>
              <w:rPr>
                <w:sz w:val="11"/>
                <w:szCs w:val="11"/>
                <w:color w:val="auto"/>
              </w:rPr>
            </w:pPr>
          </w:p>
        </w:tc>
        <w:tc>
          <w:tcPr>
            <w:tcW w:w="1280" w:type="dxa"/>
            <w:vAlign w:val="bottom"/>
          </w:tcPr>
          <w:p>
            <w:pPr>
              <w:ind w:left="140"/>
              <w:spacing w:after="0" w:line="128" w:lineRule="exact"/>
              <w:rPr>
                <w:sz w:val="20"/>
                <w:szCs w:val="20"/>
                <w:color w:val="auto"/>
              </w:rPr>
            </w:pPr>
            <w:r>
              <w:rPr>
                <w:rFonts w:ascii="Arial" w:cs="Arial" w:eastAsia="Arial" w:hAnsi="Arial"/>
                <w:sz w:val="12"/>
                <w:szCs w:val="12"/>
                <w:color w:val="FFFFFF"/>
              </w:rPr>
              <w:t>Officers</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3440" w:type="dxa"/>
            <w:vAlign w:val="bottom"/>
            <w:vMerge w:val="restart"/>
            <w:shd w:val="clear" w:color="auto" w:fill="F7F1EC"/>
          </w:tcPr>
          <w:p>
            <w:pPr>
              <w:ind w:left="380"/>
              <w:spacing w:after="0"/>
              <w:rPr>
                <w:sz w:val="20"/>
                <w:szCs w:val="20"/>
                <w:color w:val="auto"/>
              </w:rPr>
            </w:pPr>
            <w:r>
              <w:rPr>
                <w:rFonts w:ascii="Arial" w:cs="Arial" w:eastAsia="Arial" w:hAnsi="Arial"/>
                <w:sz w:val="15"/>
                <w:szCs w:val="15"/>
                <w:color w:val="auto"/>
              </w:rPr>
              <w:t>accordance with the instructions on it and</w:t>
            </w:r>
          </w:p>
        </w:tc>
        <w:tc>
          <w:tcPr>
            <w:tcW w:w="380" w:type="dxa"/>
            <w:vAlign w:val="bottom"/>
            <w:shd w:val="clear" w:color="auto" w:fill="F7F1EC"/>
          </w:tcPr>
          <w:p>
            <w:pPr>
              <w:spacing w:after="0"/>
              <w:rPr>
                <w:sz w:val="6"/>
                <w:szCs w:val="6"/>
                <w:color w:val="auto"/>
              </w:rPr>
            </w:pPr>
          </w:p>
        </w:tc>
        <w:tc>
          <w:tcPr>
            <w:tcW w:w="140" w:type="dxa"/>
            <w:vAlign w:val="bottom"/>
          </w:tcPr>
          <w:p>
            <w:pPr>
              <w:spacing w:after="0"/>
              <w:rPr>
                <w:sz w:val="6"/>
                <w:szCs w:val="6"/>
                <w:color w:val="auto"/>
              </w:rPr>
            </w:pPr>
          </w:p>
        </w:tc>
        <w:tc>
          <w:tcPr>
            <w:tcW w:w="3600" w:type="dxa"/>
            <w:vAlign w:val="bottom"/>
            <w:vMerge w:val="continue"/>
            <w:shd w:val="clear" w:color="auto" w:fill="F7F1EC"/>
          </w:tcPr>
          <w:p>
            <w:pPr>
              <w:spacing w:after="0"/>
              <w:rPr>
                <w:sz w:val="6"/>
                <w:szCs w:val="6"/>
                <w:color w:val="auto"/>
              </w:rPr>
            </w:pPr>
          </w:p>
        </w:tc>
        <w:tc>
          <w:tcPr>
            <w:tcW w:w="320" w:type="dxa"/>
            <w:vAlign w:val="bottom"/>
            <w:shd w:val="clear" w:color="auto" w:fill="F7F1EC"/>
          </w:tcPr>
          <w:p>
            <w:pPr>
              <w:spacing w:after="0"/>
              <w:rPr>
                <w:sz w:val="6"/>
                <w:szCs w:val="6"/>
                <w:color w:val="auto"/>
              </w:rPr>
            </w:pPr>
          </w:p>
        </w:tc>
        <w:tc>
          <w:tcPr>
            <w:tcW w:w="660" w:type="dxa"/>
            <w:vAlign w:val="bottom"/>
          </w:tcPr>
          <w:p>
            <w:pPr>
              <w:spacing w:after="0"/>
              <w:rPr>
                <w:sz w:val="6"/>
                <w:szCs w:val="6"/>
                <w:color w:val="auto"/>
              </w:rPr>
            </w:pPr>
          </w:p>
        </w:tc>
        <w:tc>
          <w:tcPr>
            <w:tcW w:w="1280" w:type="dxa"/>
            <w:vAlign w:val="bottom"/>
          </w:tcPr>
          <w:p>
            <w:pPr>
              <w:spacing w:after="0"/>
              <w:rPr>
                <w:sz w:val="6"/>
                <w:szCs w:val="6"/>
                <w:color w:val="auto"/>
              </w:rPr>
            </w:pPr>
          </w:p>
        </w:tc>
        <w:tc>
          <w:tcPr>
            <w:tcW w:w="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3440" w:type="dxa"/>
            <w:vAlign w:val="bottom"/>
            <w:vMerge w:val="continue"/>
            <w:shd w:val="clear" w:color="auto" w:fill="F7F1EC"/>
          </w:tcPr>
          <w:p>
            <w:pPr>
              <w:spacing w:after="0"/>
              <w:rPr>
                <w:sz w:val="8"/>
                <w:szCs w:val="8"/>
                <w:color w:val="auto"/>
              </w:rPr>
            </w:pPr>
          </w:p>
        </w:tc>
        <w:tc>
          <w:tcPr>
            <w:tcW w:w="380" w:type="dxa"/>
            <w:vAlign w:val="bottom"/>
            <w:shd w:val="clear" w:color="auto" w:fill="F7F1EC"/>
          </w:tcPr>
          <w:p>
            <w:pPr>
              <w:spacing w:after="0"/>
              <w:rPr>
                <w:sz w:val="8"/>
                <w:szCs w:val="8"/>
                <w:color w:val="auto"/>
              </w:rPr>
            </w:pPr>
          </w:p>
        </w:tc>
        <w:tc>
          <w:tcPr>
            <w:tcW w:w="140" w:type="dxa"/>
            <w:vAlign w:val="bottom"/>
          </w:tcPr>
          <w:p>
            <w:pPr>
              <w:spacing w:after="0"/>
              <w:rPr>
                <w:sz w:val="8"/>
                <w:szCs w:val="8"/>
                <w:color w:val="auto"/>
              </w:rPr>
            </w:pPr>
          </w:p>
        </w:tc>
        <w:tc>
          <w:tcPr>
            <w:tcW w:w="3600" w:type="dxa"/>
            <w:vAlign w:val="bottom"/>
            <w:vMerge w:val="restart"/>
            <w:shd w:val="clear" w:color="auto" w:fill="F7F1EC"/>
          </w:tcPr>
          <w:p>
            <w:pPr>
              <w:ind w:left="400"/>
              <w:spacing w:after="0"/>
              <w:rPr>
                <w:sz w:val="20"/>
                <w:szCs w:val="20"/>
                <w:color w:val="auto"/>
              </w:rPr>
            </w:pPr>
            <w:r>
              <w:rPr>
                <w:rFonts w:ascii="Arial" w:cs="Arial" w:eastAsia="Arial" w:hAnsi="Arial"/>
                <w:sz w:val="15"/>
                <w:szCs w:val="15"/>
                <w:color w:val="auto"/>
              </w:rPr>
              <w:t>requirements, as described above). Even if</w:t>
            </w:r>
          </w:p>
        </w:tc>
        <w:tc>
          <w:tcPr>
            <w:tcW w:w="320" w:type="dxa"/>
            <w:vAlign w:val="bottom"/>
            <w:shd w:val="clear" w:color="auto" w:fill="F7F1EC"/>
          </w:tcPr>
          <w:p>
            <w:pPr>
              <w:spacing w:after="0"/>
              <w:rPr>
                <w:sz w:val="8"/>
                <w:szCs w:val="8"/>
                <w:color w:val="auto"/>
              </w:rPr>
            </w:pPr>
          </w:p>
        </w:tc>
        <w:tc>
          <w:tcPr>
            <w:tcW w:w="660" w:type="dxa"/>
            <w:vAlign w:val="bottom"/>
          </w:tcPr>
          <w:p>
            <w:pPr>
              <w:spacing w:after="0"/>
              <w:rPr>
                <w:sz w:val="8"/>
                <w:szCs w:val="8"/>
                <w:color w:val="auto"/>
              </w:rPr>
            </w:pPr>
          </w:p>
        </w:tc>
        <w:tc>
          <w:tcPr>
            <w:tcW w:w="1280" w:type="dxa"/>
            <w:vAlign w:val="bottom"/>
            <w:vMerge w:val="restart"/>
          </w:tcPr>
          <w:p>
            <w:pPr>
              <w:ind w:left="140"/>
              <w:spacing w:after="0"/>
              <w:rPr>
                <w:sz w:val="20"/>
                <w:szCs w:val="20"/>
                <w:color w:val="auto"/>
              </w:rPr>
            </w:pPr>
            <w:r>
              <w:rPr>
                <w:rFonts w:ascii="Arial" w:cs="Arial" w:eastAsia="Arial" w:hAnsi="Arial"/>
                <w:sz w:val="12"/>
                <w:szCs w:val="12"/>
                <w:color w:val="FFFFFF"/>
              </w:rPr>
              <w:t>Pay Versus</w:t>
            </w: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7"/>
        </w:trPr>
        <w:tc>
          <w:tcPr>
            <w:tcW w:w="3440" w:type="dxa"/>
            <w:vAlign w:val="bottom"/>
            <w:vMerge w:val="restart"/>
            <w:shd w:val="clear" w:color="auto" w:fill="F7F1EC"/>
          </w:tcPr>
          <w:p>
            <w:pPr>
              <w:ind w:left="380"/>
              <w:spacing w:after="0" w:line="153" w:lineRule="exact"/>
              <w:rPr>
                <w:sz w:val="20"/>
                <w:szCs w:val="20"/>
                <w:color w:val="auto"/>
              </w:rPr>
            </w:pPr>
            <w:r>
              <w:rPr>
                <w:rFonts w:ascii="Arial" w:cs="Arial" w:eastAsia="Arial" w:hAnsi="Arial"/>
                <w:sz w:val="15"/>
                <w:szCs w:val="15"/>
                <w:color w:val="auto"/>
              </w:rPr>
              <w:t>returning it by mail in the pre-addressed</w:t>
            </w:r>
          </w:p>
        </w:tc>
        <w:tc>
          <w:tcPr>
            <w:tcW w:w="380" w:type="dxa"/>
            <w:vAlign w:val="bottom"/>
            <w:shd w:val="clear" w:color="auto" w:fill="F7F1EC"/>
          </w:tcPr>
          <w:p>
            <w:pPr>
              <w:spacing w:after="0"/>
              <w:rPr>
                <w:sz w:val="6"/>
                <w:szCs w:val="6"/>
                <w:color w:val="auto"/>
              </w:rPr>
            </w:pPr>
          </w:p>
        </w:tc>
        <w:tc>
          <w:tcPr>
            <w:tcW w:w="140" w:type="dxa"/>
            <w:vAlign w:val="bottom"/>
          </w:tcPr>
          <w:p>
            <w:pPr>
              <w:spacing w:after="0"/>
              <w:rPr>
                <w:sz w:val="6"/>
                <w:szCs w:val="6"/>
                <w:color w:val="auto"/>
              </w:rPr>
            </w:pPr>
          </w:p>
        </w:tc>
        <w:tc>
          <w:tcPr>
            <w:tcW w:w="3600" w:type="dxa"/>
            <w:vAlign w:val="bottom"/>
            <w:vMerge w:val="continue"/>
            <w:shd w:val="clear" w:color="auto" w:fill="F7F1EC"/>
          </w:tcPr>
          <w:p>
            <w:pPr>
              <w:spacing w:after="0"/>
              <w:rPr>
                <w:sz w:val="6"/>
                <w:szCs w:val="6"/>
                <w:color w:val="auto"/>
              </w:rPr>
            </w:pPr>
          </w:p>
        </w:tc>
        <w:tc>
          <w:tcPr>
            <w:tcW w:w="320" w:type="dxa"/>
            <w:vAlign w:val="bottom"/>
            <w:shd w:val="clear" w:color="auto" w:fill="F7F1EC"/>
          </w:tcPr>
          <w:p>
            <w:pPr>
              <w:spacing w:after="0"/>
              <w:rPr>
                <w:sz w:val="6"/>
                <w:szCs w:val="6"/>
                <w:color w:val="auto"/>
              </w:rPr>
            </w:pPr>
          </w:p>
        </w:tc>
        <w:tc>
          <w:tcPr>
            <w:tcW w:w="66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6"/>
        </w:trPr>
        <w:tc>
          <w:tcPr>
            <w:tcW w:w="3440" w:type="dxa"/>
            <w:vAlign w:val="bottom"/>
            <w:vMerge w:val="continue"/>
            <w:shd w:val="clear" w:color="auto" w:fill="F7F1EC"/>
          </w:tcPr>
          <w:p>
            <w:pPr>
              <w:spacing w:after="0"/>
              <w:rPr>
                <w:sz w:val="6"/>
                <w:szCs w:val="6"/>
                <w:color w:val="auto"/>
              </w:rPr>
            </w:pPr>
          </w:p>
        </w:tc>
        <w:tc>
          <w:tcPr>
            <w:tcW w:w="380" w:type="dxa"/>
            <w:vAlign w:val="bottom"/>
            <w:shd w:val="clear" w:color="auto" w:fill="F7F1EC"/>
          </w:tcPr>
          <w:p>
            <w:pPr>
              <w:spacing w:after="0"/>
              <w:rPr>
                <w:sz w:val="6"/>
                <w:szCs w:val="6"/>
                <w:color w:val="auto"/>
              </w:rPr>
            </w:pPr>
          </w:p>
        </w:tc>
        <w:tc>
          <w:tcPr>
            <w:tcW w:w="140" w:type="dxa"/>
            <w:vAlign w:val="bottom"/>
          </w:tcPr>
          <w:p>
            <w:pPr>
              <w:spacing w:after="0"/>
              <w:rPr>
                <w:sz w:val="6"/>
                <w:szCs w:val="6"/>
                <w:color w:val="auto"/>
              </w:rPr>
            </w:pPr>
          </w:p>
        </w:tc>
        <w:tc>
          <w:tcPr>
            <w:tcW w:w="3600" w:type="dxa"/>
            <w:vAlign w:val="bottom"/>
            <w:vMerge w:val="restart"/>
            <w:shd w:val="clear" w:color="auto" w:fill="F7F1EC"/>
          </w:tcPr>
          <w:p>
            <w:pPr>
              <w:ind w:left="400"/>
              <w:spacing w:after="0" w:line="153" w:lineRule="exact"/>
              <w:rPr>
                <w:sz w:val="20"/>
                <w:szCs w:val="20"/>
                <w:color w:val="auto"/>
              </w:rPr>
            </w:pPr>
            <w:r>
              <w:rPr>
                <w:rFonts w:ascii="Arial" w:cs="Arial" w:eastAsia="Arial" w:hAnsi="Arial"/>
                <w:sz w:val="15"/>
                <w:szCs w:val="15"/>
                <w:color w:val="auto"/>
              </w:rPr>
              <w:t>you plan to attend the Annual Meeting, we</w:t>
            </w:r>
          </w:p>
        </w:tc>
        <w:tc>
          <w:tcPr>
            <w:tcW w:w="320" w:type="dxa"/>
            <w:vAlign w:val="bottom"/>
            <w:shd w:val="clear" w:color="auto" w:fill="F7F1EC"/>
          </w:tcPr>
          <w:p>
            <w:pPr>
              <w:spacing w:after="0"/>
              <w:rPr>
                <w:sz w:val="6"/>
                <w:szCs w:val="6"/>
                <w:color w:val="auto"/>
              </w:rPr>
            </w:pPr>
          </w:p>
        </w:tc>
        <w:tc>
          <w:tcPr>
            <w:tcW w:w="66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7"/>
        </w:trPr>
        <w:tc>
          <w:tcPr>
            <w:tcW w:w="3440" w:type="dxa"/>
            <w:vAlign w:val="bottom"/>
            <w:vMerge w:val="restart"/>
            <w:shd w:val="clear" w:color="auto" w:fill="F7F1EC"/>
          </w:tcPr>
          <w:p>
            <w:pPr>
              <w:ind w:left="380"/>
              <w:spacing w:after="0"/>
              <w:rPr>
                <w:sz w:val="20"/>
                <w:szCs w:val="20"/>
                <w:color w:val="auto"/>
              </w:rPr>
            </w:pPr>
            <w:r>
              <w:rPr>
                <w:rFonts w:ascii="Arial" w:cs="Arial" w:eastAsia="Arial" w:hAnsi="Arial"/>
                <w:sz w:val="15"/>
                <w:szCs w:val="15"/>
                <w:color w:val="auto"/>
              </w:rPr>
              <w:t>reply envelope provided with the proxy</w:t>
            </w:r>
          </w:p>
        </w:tc>
        <w:tc>
          <w:tcPr>
            <w:tcW w:w="380" w:type="dxa"/>
            <w:vAlign w:val="bottom"/>
            <w:shd w:val="clear" w:color="auto" w:fill="F7F1EC"/>
          </w:tcPr>
          <w:p>
            <w:pPr>
              <w:spacing w:after="0"/>
              <w:rPr>
                <w:sz w:val="6"/>
                <w:szCs w:val="6"/>
                <w:color w:val="auto"/>
              </w:rPr>
            </w:pPr>
          </w:p>
        </w:tc>
        <w:tc>
          <w:tcPr>
            <w:tcW w:w="140" w:type="dxa"/>
            <w:vAlign w:val="bottom"/>
          </w:tcPr>
          <w:p>
            <w:pPr>
              <w:spacing w:after="0"/>
              <w:rPr>
                <w:sz w:val="6"/>
                <w:szCs w:val="6"/>
                <w:color w:val="auto"/>
              </w:rPr>
            </w:pPr>
          </w:p>
        </w:tc>
        <w:tc>
          <w:tcPr>
            <w:tcW w:w="3600" w:type="dxa"/>
            <w:vAlign w:val="bottom"/>
            <w:vMerge w:val="continue"/>
            <w:shd w:val="clear" w:color="auto" w:fill="F7F1EC"/>
          </w:tcPr>
          <w:p>
            <w:pPr>
              <w:spacing w:after="0"/>
              <w:rPr>
                <w:sz w:val="6"/>
                <w:szCs w:val="6"/>
                <w:color w:val="auto"/>
              </w:rPr>
            </w:pPr>
          </w:p>
        </w:tc>
        <w:tc>
          <w:tcPr>
            <w:tcW w:w="320" w:type="dxa"/>
            <w:vAlign w:val="bottom"/>
            <w:shd w:val="clear" w:color="auto" w:fill="F7F1EC"/>
          </w:tcPr>
          <w:p>
            <w:pPr>
              <w:spacing w:after="0"/>
              <w:rPr>
                <w:sz w:val="6"/>
                <w:szCs w:val="6"/>
                <w:color w:val="auto"/>
              </w:rPr>
            </w:pPr>
          </w:p>
        </w:tc>
        <w:tc>
          <w:tcPr>
            <w:tcW w:w="660" w:type="dxa"/>
            <w:vAlign w:val="bottom"/>
          </w:tcPr>
          <w:p>
            <w:pPr>
              <w:spacing w:after="0"/>
              <w:rPr>
                <w:sz w:val="6"/>
                <w:szCs w:val="6"/>
                <w:color w:val="auto"/>
              </w:rPr>
            </w:pPr>
          </w:p>
        </w:tc>
        <w:tc>
          <w:tcPr>
            <w:tcW w:w="1280" w:type="dxa"/>
            <w:vAlign w:val="bottom"/>
          </w:tcPr>
          <w:p>
            <w:pPr>
              <w:ind w:left="140"/>
              <w:spacing w:after="0" w:line="77" w:lineRule="exact"/>
              <w:rPr>
                <w:sz w:val="20"/>
                <w:szCs w:val="20"/>
                <w:color w:val="auto"/>
              </w:rPr>
            </w:pPr>
            <w:r>
              <w:rPr>
                <w:rFonts w:ascii="Arial" w:cs="Arial" w:eastAsia="Arial" w:hAnsi="Arial"/>
                <w:sz w:val="8"/>
                <w:szCs w:val="8"/>
                <w:color w:val="FFFFFF"/>
              </w:rPr>
              <w:t>Performance</w:t>
            </w:r>
          </w:p>
        </w:tc>
        <w:tc>
          <w:tcPr>
            <w:tcW w:w="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8"/>
        </w:trPr>
        <w:tc>
          <w:tcPr>
            <w:tcW w:w="3440" w:type="dxa"/>
            <w:vAlign w:val="bottom"/>
            <w:vMerge w:val="continue"/>
            <w:shd w:val="clear" w:color="auto" w:fill="F7F1EC"/>
          </w:tcPr>
          <w:p>
            <w:pPr>
              <w:spacing w:after="0"/>
              <w:rPr>
                <w:sz w:val="11"/>
                <w:szCs w:val="11"/>
                <w:color w:val="auto"/>
              </w:rPr>
            </w:pPr>
          </w:p>
        </w:tc>
        <w:tc>
          <w:tcPr>
            <w:tcW w:w="380" w:type="dxa"/>
            <w:vAlign w:val="bottom"/>
            <w:shd w:val="clear" w:color="auto" w:fill="F7F1EC"/>
          </w:tcPr>
          <w:p>
            <w:pPr>
              <w:spacing w:after="0"/>
              <w:rPr>
                <w:sz w:val="11"/>
                <w:szCs w:val="11"/>
                <w:color w:val="auto"/>
              </w:rPr>
            </w:pPr>
          </w:p>
        </w:tc>
        <w:tc>
          <w:tcPr>
            <w:tcW w:w="140" w:type="dxa"/>
            <w:vAlign w:val="bottom"/>
          </w:tcPr>
          <w:p>
            <w:pPr>
              <w:spacing w:after="0"/>
              <w:rPr>
                <w:sz w:val="11"/>
                <w:szCs w:val="11"/>
                <w:color w:val="auto"/>
              </w:rPr>
            </w:pPr>
          </w:p>
        </w:tc>
        <w:tc>
          <w:tcPr>
            <w:tcW w:w="3600" w:type="dxa"/>
            <w:vAlign w:val="bottom"/>
            <w:vMerge w:val="restart"/>
            <w:shd w:val="clear" w:color="auto" w:fill="F7F1EC"/>
          </w:tcPr>
          <w:p>
            <w:pPr>
              <w:ind w:left="400"/>
              <w:spacing w:after="0"/>
              <w:rPr>
                <w:sz w:val="20"/>
                <w:szCs w:val="20"/>
                <w:color w:val="auto"/>
              </w:rPr>
            </w:pPr>
            <w:r>
              <w:rPr>
                <w:rFonts w:ascii="Arial" w:cs="Arial" w:eastAsia="Arial" w:hAnsi="Arial"/>
                <w:sz w:val="15"/>
                <w:szCs w:val="15"/>
                <w:color w:val="auto"/>
              </w:rPr>
              <w:t>encourage you to vote in advance by internet,</w:t>
            </w:r>
          </w:p>
        </w:tc>
        <w:tc>
          <w:tcPr>
            <w:tcW w:w="320" w:type="dxa"/>
            <w:vAlign w:val="bottom"/>
            <w:shd w:val="clear" w:color="auto" w:fill="F7F1EC"/>
          </w:tcPr>
          <w:p>
            <w:pPr>
              <w:spacing w:after="0"/>
              <w:rPr>
                <w:sz w:val="11"/>
                <w:szCs w:val="11"/>
                <w:color w:val="auto"/>
              </w:rPr>
            </w:pPr>
          </w:p>
        </w:tc>
        <w:tc>
          <w:tcPr>
            <w:tcW w:w="660" w:type="dxa"/>
            <w:vAlign w:val="bottom"/>
          </w:tcPr>
          <w:p>
            <w:pPr>
              <w:spacing w:after="0"/>
              <w:rPr>
                <w:sz w:val="11"/>
                <w:szCs w:val="11"/>
                <w:color w:val="auto"/>
              </w:rPr>
            </w:pPr>
          </w:p>
        </w:tc>
        <w:tc>
          <w:tcPr>
            <w:tcW w:w="1280" w:type="dxa"/>
            <w:vAlign w:val="bottom"/>
          </w:tcPr>
          <w:p>
            <w:pPr>
              <w:ind w:left="140"/>
              <w:spacing w:after="0" w:line="128" w:lineRule="exact"/>
              <w:rPr>
                <w:sz w:val="20"/>
                <w:szCs w:val="20"/>
                <w:color w:val="auto"/>
              </w:rPr>
            </w:pPr>
            <w:r>
              <w:rPr>
                <w:rFonts w:ascii="Arial" w:cs="Arial" w:eastAsia="Arial" w:hAnsi="Arial"/>
                <w:sz w:val="12"/>
                <w:szCs w:val="12"/>
                <w:color w:val="FFFFFF"/>
              </w:rPr>
              <w:t>Disclosure</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3440" w:type="dxa"/>
            <w:vAlign w:val="bottom"/>
            <w:vMerge w:val="restart"/>
            <w:shd w:val="clear" w:color="auto" w:fill="F7F1EC"/>
          </w:tcPr>
          <w:p>
            <w:pPr>
              <w:ind w:left="380"/>
              <w:spacing w:after="0"/>
              <w:rPr>
                <w:sz w:val="20"/>
                <w:szCs w:val="20"/>
                <w:color w:val="auto"/>
              </w:rPr>
            </w:pPr>
            <w:r>
              <w:rPr>
                <w:rFonts w:ascii="Arial" w:cs="Arial" w:eastAsia="Arial" w:hAnsi="Arial"/>
                <w:sz w:val="15"/>
                <w:szCs w:val="15"/>
                <w:color w:val="auto"/>
              </w:rPr>
              <w:t>materials for receipt prior to the Annual</w:t>
            </w:r>
          </w:p>
        </w:tc>
        <w:tc>
          <w:tcPr>
            <w:tcW w:w="380" w:type="dxa"/>
            <w:vAlign w:val="bottom"/>
            <w:shd w:val="clear" w:color="auto" w:fill="F7F1EC"/>
          </w:tcPr>
          <w:p>
            <w:pPr>
              <w:spacing w:after="0"/>
              <w:rPr>
                <w:sz w:val="6"/>
                <w:szCs w:val="6"/>
                <w:color w:val="auto"/>
              </w:rPr>
            </w:pPr>
          </w:p>
        </w:tc>
        <w:tc>
          <w:tcPr>
            <w:tcW w:w="140" w:type="dxa"/>
            <w:vAlign w:val="bottom"/>
          </w:tcPr>
          <w:p>
            <w:pPr>
              <w:spacing w:after="0"/>
              <w:rPr>
                <w:sz w:val="6"/>
                <w:szCs w:val="6"/>
                <w:color w:val="auto"/>
              </w:rPr>
            </w:pPr>
          </w:p>
        </w:tc>
        <w:tc>
          <w:tcPr>
            <w:tcW w:w="3600" w:type="dxa"/>
            <w:vAlign w:val="bottom"/>
            <w:vMerge w:val="continue"/>
            <w:shd w:val="clear" w:color="auto" w:fill="F7F1EC"/>
          </w:tcPr>
          <w:p>
            <w:pPr>
              <w:spacing w:after="0"/>
              <w:rPr>
                <w:sz w:val="6"/>
                <w:szCs w:val="6"/>
                <w:color w:val="auto"/>
              </w:rPr>
            </w:pPr>
          </w:p>
        </w:tc>
        <w:tc>
          <w:tcPr>
            <w:tcW w:w="320" w:type="dxa"/>
            <w:vAlign w:val="bottom"/>
            <w:shd w:val="clear" w:color="auto" w:fill="F7F1EC"/>
          </w:tcPr>
          <w:p>
            <w:pPr>
              <w:spacing w:after="0"/>
              <w:rPr>
                <w:sz w:val="6"/>
                <w:szCs w:val="6"/>
                <w:color w:val="auto"/>
              </w:rPr>
            </w:pPr>
          </w:p>
        </w:tc>
        <w:tc>
          <w:tcPr>
            <w:tcW w:w="660" w:type="dxa"/>
            <w:vAlign w:val="bottom"/>
          </w:tcPr>
          <w:p>
            <w:pPr>
              <w:spacing w:after="0"/>
              <w:rPr>
                <w:sz w:val="6"/>
                <w:szCs w:val="6"/>
                <w:color w:val="auto"/>
              </w:rPr>
            </w:pPr>
          </w:p>
        </w:tc>
        <w:tc>
          <w:tcPr>
            <w:tcW w:w="1280" w:type="dxa"/>
            <w:vAlign w:val="bottom"/>
          </w:tcPr>
          <w:p>
            <w:pPr>
              <w:spacing w:after="0"/>
              <w:rPr>
                <w:sz w:val="6"/>
                <w:szCs w:val="6"/>
                <w:color w:val="auto"/>
              </w:rPr>
            </w:pPr>
          </w:p>
        </w:tc>
        <w:tc>
          <w:tcPr>
            <w:tcW w:w="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3440" w:type="dxa"/>
            <w:vAlign w:val="bottom"/>
            <w:vMerge w:val="continue"/>
            <w:shd w:val="clear" w:color="auto" w:fill="F7F1EC"/>
          </w:tcPr>
          <w:p>
            <w:pPr>
              <w:spacing w:after="0"/>
              <w:rPr>
                <w:sz w:val="8"/>
                <w:szCs w:val="8"/>
                <w:color w:val="auto"/>
              </w:rPr>
            </w:pPr>
          </w:p>
        </w:tc>
        <w:tc>
          <w:tcPr>
            <w:tcW w:w="380" w:type="dxa"/>
            <w:vAlign w:val="bottom"/>
            <w:shd w:val="clear" w:color="auto" w:fill="F7F1EC"/>
          </w:tcPr>
          <w:p>
            <w:pPr>
              <w:spacing w:after="0"/>
              <w:rPr>
                <w:sz w:val="8"/>
                <w:szCs w:val="8"/>
                <w:color w:val="auto"/>
              </w:rPr>
            </w:pPr>
          </w:p>
        </w:tc>
        <w:tc>
          <w:tcPr>
            <w:tcW w:w="140" w:type="dxa"/>
            <w:vAlign w:val="bottom"/>
          </w:tcPr>
          <w:p>
            <w:pPr>
              <w:spacing w:after="0"/>
              <w:rPr>
                <w:sz w:val="8"/>
                <w:szCs w:val="8"/>
                <w:color w:val="auto"/>
              </w:rPr>
            </w:pPr>
          </w:p>
        </w:tc>
        <w:tc>
          <w:tcPr>
            <w:tcW w:w="3600" w:type="dxa"/>
            <w:vAlign w:val="bottom"/>
            <w:vMerge w:val="restart"/>
            <w:shd w:val="clear" w:color="auto" w:fill="F7F1EC"/>
          </w:tcPr>
          <w:p>
            <w:pPr>
              <w:ind w:left="400"/>
              <w:spacing w:after="0"/>
              <w:rPr>
                <w:sz w:val="20"/>
                <w:szCs w:val="20"/>
                <w:color w:val="auto"/>
              </w:rPr>
            </w:pPr>
            <w:r>
              <w:rPr>
                <w:rFonts w:ascii="Arial" w:cs="Arial" w:eastAsia="Arial" w:hAnsi="Arial"/>
                <w:sz w:val="15"/>
                <w:szCs w:val="15"/>
                <w:color w:val="auto"/>
              </w:rPr>
              <w:t>telephone or mail so that your vote will be</w:t>
            </w:r>
          </w:p>
        </w:tc>
        <w:tc>
          <w:tcPr>
            <w:tcW w:w="320" w:type="dxa"/>
            <w:vAlign w:val="bottom"/>
            <w:shd w:val="clear" w:color="auto" w:fill="F7F1EC"/>
          </w:tcPr>
          <w:p>
            <w:pPr>
              <w:spacing w:after="0"/>
              <w:rPr>
                <w:sz w:val="8"/>
                <w:szCs w:val="8"/>
                <w:color w:val="auto"/>
              </w:rPr>
            </w:pPr>
          </w:p>
        </w:tc>
        <w:tc>
          <w:tcPr>
            <w:tcW w:w="660" w:type="dxa"/>
            <w:vAlign w:val="bottom"/>
          </w:tcPr>
          <w:p>
            <w:pPr>
              <w:spacing w:after="0"/>
              <w:rPr>
                <w:sz w:val="8"/>
                <w:szCs w:val="8"/>
                <w:color w:val="auto"/>
              </w:rPr>
            </w:pPr>
          </w:p>
        </w:tc>
        <w:tc>
          <w:tcPr>
            <w:tcW w:w="1280" w:type="dxa"/>
            <w:vAlign w:val="bottom"/>
            <w:vMerge w:val="restart"/>
          </w:tcPr>
          <w:p>
            <w:pPr>
              <w:ind w:left="140"/>
              <w:spacing w:after="0"/>
              <w:rPr>
                <w:sz w:val="20"/>
                <w:szCs w:val="20"/>
                <w:color w:val="auto"/>
              </w:rPr>
            </w:pPr>
            <w:r>
              <w:rPr>
                <w:rFonts w:ascii="Arial" w:cs="Arial" w:eastAsia="Arial" w:hAnsi="Arial"/>
                <w:sz w:val="12"/>
                <w:szCs w:val="12"/>
                <w:color w:val="FFFFFF"/>
              </w:rPr>
              <w:t>Security</w:t>
            </w: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7"/>
        </w:trPr>
        <w:tc>
          <w:tcPr>
            <w:tcW w:w="3440" w:type="dxa"/>
            <w:vAlign w:val="bottom"/>
            <w:vMerge w:val="restart"/>
            <w:shd w:val="clear" w:color="auto" w:fill="F7F1EC"/>
          </w:tcPr>
          <w:p>
            <w:pPr>
              <w:ind w:left="380"/>
              <w:spacing w:after="0" w:line="153" w:lineRule="exact"/>
              <w:rPr>
                <w:sz w:val="20"/>
                <w:szCs w:val="20"/>
                <w:color w:val="auto"/>
              </w:rPr>
            </w:pPr>
            <w:r>
              <w:rPr>
                <w:rFonts w:ascii="Arial" w:cs="Arial" w:eastAsia="Arial" w:hAnsi="Arial"/>
                <w:sz w:val="15"/>
                <w:szCs w:val="15"/>
                <w:color w:val="auto"/>
              </w:rPr>
              <w:t>Meeting.</w:t>
            </w:r>
          </w:p>
        </w:tc>
        <w:tc>
          <w:tcPr>
            <w:tcW w:w="380" w:type="dxa"/>
            <w:vAlign w:val="bottom"/>
            <w:shd w:val="clear" w:color="auto" w:fill="F7F1EC"/>
          </w:tcPr>
          <w:p>
            <w:pPr>
              <w:spacing w:after="0"/>
              <w:rPr>
                <w:sz w:val="6"/>
                <w:szCs w:val="6"/>
                <w:color w:val="auto"/>
              </w:rPr>
            </w:pPr>
          </w:p>
        </w:tc>
        <w:tc>
          <w:tcPr>
            <w:tcW w:w="140" w:type="dxa"/>
            <w:vAlign w:val="bottom"/>
          </w:tcPr>
          <w:p>
            <w:pPr>
              <w:spacing w:after="0"/>
              <w:rPr>
                <w:sz w:val="6"/>
                <w:szCs w:val="6"/>
                <w:color w:val="auto"/>
              </w:rPr>
            </w:pPr>
          </w:p>
        </w:tc>
        <w:tc>
          <w:tcPr>
            <w:tcW w:w="3600" w:type="dxa"/>
            <w:vAlign w:val="bottom"/>
            <w:vMerge w:val="continue"/>
            <w:shd w:val="clear" w:color="auto" w:fill="F7F1EC"/>
          </w:tcPr>
          <w:p>
            <w:pPr>
              <w:spacing w:after="0"/>
              <w:rPr>
                <w:sz w:val="6"/>
                <w:szCs w:val="6"/>
                <w:color w:val="auto"/>
              </w:rPr>
            </w:pPr>
          </w:p>
        </w:tc>
        <w:tc>
          <w:tcPr>
            <w:tcW w:w="320" w:type="dxa"/>
            <w:vAlign w:val="bottom"/>
            <w:shd w:val="clear" w:color="auto" w:fill="F7F1EC"/>
          </w:tcPr>
          <w:p>
            <w:pPr>
              <w:spacing w:after="0"/>
              <w:rPr>
                <w:sz w:val="6"/>
                <w:szCs w:val="6"/>
                <w:color w:val="auto"/>
              </w:rPr>
            </w:pPr>
          </w:p>
        </w:tc>
        <w:tc>
          <w:tcPr>
            <w:tcW w:w="66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6"/>
        </w:trPr>
        <w:tc>
          <w:tcPr>
            <w:tcW w:w="3440" w:type="dxa"/>
            <w:vAlign w:val="bottom"/>
            <w:vMerge w:val="continue"/>
            <w:shd w:val="clear" w:color="auto" w:fill="F7F1EC"/>
          </w:tcPr>
          <w:p>
            <w:pPr>
              <w:spacing w:after="0"/>
              <w:rPr>
                <w:sz w:val="6"/>
                <w:szCs w:val="6"/>
                <w:color w:val="auto"/>
              </w:rPr>
            </w:pPr>
          </w:p>
        </w:tc>
        <w:tc>
          <w:tcPr>
            <w:tcW w:w="380" w:type="dxa"/>
            <w:vAlign w:val="bottom"/>
            <w:shd w:val="clear" w:color="auto" w:fill="F7F1EC"/>
          </w:tcPr>
          <w:p>
            <w:pPr>
              <w:spacing w:after="0"/>
              <w:rPr>
                <w:sz w:val="6"/>
                <w:szCs w:val="6"/>
                <w:color w:val="auto"/>
              </w:rPr>
            </w:pPr>
          </w:p>
        </w:tc>
        <w:tc>
          <w:tcPr>
            <w:tcW w:w="140" w:type="dxa"/>
            <w:vAlign w:val="bottom"/>
          </w:tcPr>
          <w:p>
            <w:pPr>
              <w:spacing w:after="0"/>
              <w:rPr>
                <w:sz w:val="6"/>
                <w:szCs w:val="6"/>
                <w:color w:val="auto"/>
              </w:rPr>
            </w:pPr>
          </w:p>
        </w:tc>
        <w:tc>
          <w:tcPr>
            <w:tcW w:w="3600" w:type="dxa"/>
            <w:vAlign w:val="bottom"/>
            <w:vMerge w:val="restart"/>
            <w:shd w:val="clear" w:color="auto" w:fill="F7F1EC"/>
          </w:tcPr>
          <w:p>
            <w:pPr>
              <w:ind w:left="400"/>
              <w:spacing w:after="0" w:line="161" w:lineRule="exact"/>
              <w:rPr>
                <w:sz w:val="20"/>
                <w:szCs w:val="20"/>
                <w:color w:val="auto"/>
              </w:rPr>
            </w:pPr>
            <w:r>
              <w:rPr>
                <w:rFonts w:ascii="Arial" w:cs="Arial" w:eastAsia="Arial" w:hAnsi="Arial"/>
                <w:sz w:val="15"/>
                <w:szCs w:val="15"/>
                <w:color w:val="auto"/>
              </w:rPr>
              <w:t>counted in the event you later decide not to</w:t>
            </w:r>
          </w:p>
        </w:tc>
        <w:tc>
          <w:tcPr>
            <w:tcW w:w="320" w:type="dxa"/>
            <w:vAlign w:val="bottom"/>
            <w:shd w:val="clear" w:color="auto" w:fill="F7F1EC"/>
          </w:tcPr>
          <w:p>
            <w:pPr>
              <w:spacing w:after="0"/>
              <w:rPr>
                <w:sz w:val="6"/>
                <w:szCs w:val="6"/>
                <w:color w:val="auto"/>
              </w:rPr>
            </w:pPr>
          </w:p>
        </w:tc>
        <w:tc>
          <w:tcPr>
            <w:tcW w:w="66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4"/>
        </w:trPr>
        <w:tc>
          <w:tcPr>
            <w:tcW w:w="3440" w:type="dxa"/>
            <w:vAlign w:val="bottom"/>
            <w:shd w:val="clear" w:color="auto" w:fill="F7F1EC"/>
          </w:tcPr>
          <w:p>
            <w:pPr>
              <w:spacing w:after="0"/>
              <w:rPr>
                <w:sz w:val="7"/>
                <w:szCs w:val="7"/>
                <w:color w:val="auto"/>
              </w:rPr>
            </w:pPr>
          </w:p>
        </w:tc>
        <w:tc>
          <w:tcPr>
            <w:tcW w:w="380" w:type="dxa"/>
            <w:vAlign w:val="bottom"/>
            <w:shd w:val="clear" w:color="auto" w:fill="F7F1EC"/>
          </w:tcPr>
          <w:p>
            <w:pPr>
              <w:spacing w:after="0"/>
              <w:rPr>
                <w:sz w:val="7"/>
                <w:szCs w:val="7"/>
                <w:color w:val="auto"/>
              </w:rPr>
            </w:pPr>
          </w:p>
        </w:tc>
        <w:tc>
          <w:tcPr>
            <w:tcW w:w="140" w:type="dxa"/>
            <w:vAlign w:val="bottom"/>
          </w:tcPr>
          <w:p>
            <w:pPr>
              <w:spacing w:after="0"/>
              <w:rPr>
                <w:sz w:val="7"/>
                <w:szCs w:val="7"/>
                <w:color w:val="auto"/>
              </w:rPr>
            </w:pPr>
          </w:p>
        </w:tc>
        <w:tc>
          <w:tcPr>
            <w:tcW w:w="3600" w:type="dxa"/>
            <w:vAlign w:val="bottom"/>
            <w:vMerge w:val="continue"/>
            <w:shd w:val="clear" w:color="auto" w:fill="F7F1EC"/>
          </w:tcPr>
          <w:p>
            <w:pPr>
              <w:spacing w:after="0"/>
              <w:rPr>
                <w:sz w:val="7"/>
                <w:szCs w:val="7"/>
                <w:color w:val="auto"/>
              </w:rPr>
            </w:pPr>
          </w:p>
        </w:tc>
        <w:tc>
          <w:tcPr>
            <w:tcW w:w="320" w:type="dxa"/>
            <w:vAlign w:val="bottom"/>
            <w:shd w:val="clear" w:color="auto" w:fill="F7F1EC"/>
          </w:tcPr>
          <w:p>
            <w:pPr>
              <w:spacing w:after="0"/>
              <w:rPr>
                <w:sz w:val="7"/>
                <w:szCs w:val="7"/>
                <w:color w:val="auto"/>
              </w:rPr>
            </w:pPr>
          </w:p>
        </w:tc>
        <w:tc>
          <w:tcPr>
            <w:tcW w:w="660" w:type="dxa"/>
            <w:vAlign w:val="bottom"/>
          </w:tcPr>
          <w:p>
            <w:pPr>
              <w:spacing w:after="0"/>
              <w:rPr>
                <w:sz w:val="7"/>
                <w:szCs w:val="7"/>
                <w:color w:val="auto"/>
              </w:rPr>
            </w:pPr>
          </w:p>
        </w:tc>
        <w:tc>
          <w:tcPr>
            <w:tcW w:w="1280" w:type="dxa"/>
            <w:vAlign w:val="bottom"/>
          </w:tcPr>
          <w:p>
            <w:pPr>
              <w:ind w:left="140"/>
              <w:spacing w:after="0" w:line="85" w:lineRule="exact"/>
              <w:rPr>
                <w:sz w:val="20"/>
                <w:szCs w:val="20"/>
                <w:color w:val="auto"/>
              </w:rPr>
            </w:pPr>
            <w:r>
              <w:rPr>
                <w:rFonts w:ascii="Arial" w:cs="Arial" w:eastAsia="Arial" w:hAnsi="Arial"/>
                <w:sz w:val="8"/>
                <w:szCs w:val="8"/>
                <w:color w:val="FFFFFF"/>
              </w:rPr>
              <w:t>Ownership of</w:t>
            </w:r>
          </w:p>
        </w:tc>
        <w:tc>
          <w:tcPr>
            <w:tcW w:w="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1"/>
        </w:trPr>
        <w:tc>
          <w:tcPr>
            <w:tcW w:w="3440" w:type="dxa"/>
            <w:vAlign w:val="bottom"/>
            <w:shd w:val="clear" w:color="auto" w:fill="F7F1EC"/>
          </w:tcPr>
          <w:p>
            <w:pPr>
              <w:spacing w:after="0"/>
              <w:rPr>
                <w:sz w:val="14"/>
                <w:szCs w:val="14"/>
                <w:color w:val="auto"/>
              </w:rPr>
            </w:pPr>
          </w:p>
        </w:tc>
        <w:tc>
          <w:tcPr>
            <w:tcW w:w="380" w:type="dxa"/>
            <w:vAlign w:val="bottom"/>
            <w:shd w:val="clear" w:color="auto" w:fill="F7F1EC"/>
          </w:tcPr>
          <w:p>
            <w:pPr>
              <w:spacing w:after="0"/>
              <w:rPr>
                <w:sz w:val="14"/>
                <w:szCs w:val="14"/>
                <w:color w:val="auto"/>
              </w:rPr>
            </w:pPr>
          </w:p>
        </w:tc>
        <w:tc>
          <w:tcPr>
            <w:tcW w:w="140" w:type="dxa"/>
            <w:vAlign w:val="bottom"/>
          </w:tcPr>
          <w:p>
            <w:pPr>
              <w:spacing w:after="0"/>
              <w:rPr>
                <w:sz w:val="14"/>
                <w:szCs w:val="14"/>
                <w:color w:val="auto"/>
              </w:rPr>
            </w:pPr>
          </w:p>
        </w:tc>
        <w:tc>
          <w:tcPr>
            <w:tcW w:w="3600" w:type="dxa"/>
            <w:vAlign w:val="bottom"/>
            <w:shd w:val="clear" w:color="auto" w:fill="F7F1EC"/>
          </w:tcPr>
          <w:p>
            <w:pPr>
              <w:ind w:left="400"/>
              <w:spacing w:after="0" w:line="171" w:lineRule="exact"/>
              <w:rPr>
                <w:sz w:val="20"/>
                <w:szCs w:val="20"/>
                <w:color w:val="auto"/>
              </w:rPr>
            </w:pPr>
            <w:r>
              <w:rPr>
                <w:rFonts w:ascii="Arial" w:cs="Arial" w:eastAsia="Arial" w:hAnsi="Arial"/>
                <w:sz w:val="15"/>
                <w:szCs w:val="15"/>
                <w:color w:val="auto"/>
              </w:rPr>
              <w:t>attend the Annual Meeting.</w:t>
            </w:r>
          </w:p>
        </w:tc>
        <w:tc>
          <w:tcPr>
            <w:tcW w:w="320" w:type="dxa"/>
            <w:vAlign w:val="bottom"/>
            <w:shd w:val="clear" w:color="auto" w:fill="F7F1EC"/>
          </w:tcPr>
          <w:p>
            <w:pPr>
              <w:spacing w:after="0"/>
              <w:rPr>
                <w:sz w:val="14"/>
                <w:szCs w:val="14"/>
                <w:color w:val="auto"/>
              </w:rPr>
            </w:pPr>
          </w:p>
        </w:tc>
        <w:tc>
          <w:tcPr>
            <w:tcW w:w="660" w:type="dxa"/>
            <w:vAlign w:val="bottom"/>
          </w:tcPr>
          <w:p>
            <w:pPr>
              <w:spacing w:after="0"/>
              <w:rPr>
                <w:sz w:val="14"/>
                <w:szCs w:val="14"/>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Certain Beneficial</w:t>
            </w: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3440" w:type="dxa"/>
            <w:vAlign w:val="bottom"/>
            <w:shd w:val="clear" w:color="auto" w:fill="F7F1EC"/>
          </w:tcPr>
          <w:p>
            <w:pPr>
              <w:spacing w:after="0"/>
              <w:rPr>
                <w:sz w:val="7"/>
                <w:szCs w:val="7"/>
                <w:color w:val="auto"/>
              </w:rPr>
            </w:pPr>
          </w:p>
        </w:tc>
        <w:tc>
          <w:tcPr>
            <w:tcW w:w="380" w:type="dxa"/>
            <w:vAlign w:val="bottom"/>
            <w:shd w:val="clear" w:color="auto" w:fill="F7F1EC"/>
          </w:tcPr>
          <w:p>
            <w:pPr>
              <w:spacing w:after="0"/>
              <w:rPr>
                <w:sz w:val="7"/>
                <w:szCs w:val="7"/>
                <w:color w:val="auto"/>
              </w:rPr>
            </w:pPr>
          </w:p>
        </w:tc>
        <w:tc>
          <w:tcPr>
            <w:tcW w:w="140" w:type="dxa"/>
            <w:vAlign w:val="bottom"/>
          </w:tcPr>
          <w:p>
            <w:pPr>
              <w:spacing w:after="0"/>
              <w:rPr>
                <w:sz w:val="7"/>
                <w:szCs w:val="7"/>
                <w:color w:val="auto"/>
              </w:rPr>
            </w:pPr>
          </w:p>
        </w:tc>
        <w:tc>
          <w:tcPr>
            <w:tcW w:w="3600" w:type="dxa"/>
            <w:vAlign w:val="bottom"/>
            <w:shd w:val="clear" w:color="auto" w:fill="F7F1EC"/>
          </w:tcPr>
          <w:p>
            <w:pPr>
              <w:spacing w:after="0"/>
              <w:rPr>
                <w:sz w:val="7"/>
                <w:szCs w:val="7"/>
                <w:color w:val="auto"/>
              </w:rPr>
            </w:pPr>
          </w:p>
        </w:tc>
        <w:tc>
          <w:tcPr>
            <w:tcW w:w="320" w:type="dxa"/>
            <w:vAlign w:val="bottom"/>
            <w:shd w:val="clear" w:color="auto" w:fill="F7F1EC"/>
          </w:tcPr>
          <w:p>
            <w:pPr>
              <w:spacing w:after="0"/>
              <w:rPr>
                <w:sz w:val="7"/>
                <w:szCs w:val="7"/>
                <w:color w:val="auto"/>
              </w:rPr>
            </w:pPr>
          </w:p>
        </w:tc>
        <w:tc>
          <w:tcPr>
            <w:tcW w:w="660" w:type="dxa"/>
            <w:vAlign w:val="bottom"/>
          </w:tcPr>
          <w:p>
            <w:pPr>
              <w:spacing w:after="0"/>
              <w:rPr>
                <w:sz w:val="7"/>
                <w:szCs w:val="7"/>
                <w:color w:val="auto"/>
              </w:rPr>
            </w:pPr>
          </w:p>
        </w:tc>
        <w:tc>
          <w:tcPr>
            <w:tcW w:w="1280" w:type="dxa"/>
            <w:vAlign w:val="bottom"/>
          </w:tcPr>
          <w:p>
            <w:pPr>
              <w:ind w:left="140"/>
              <w:spacing w:after="0" w:line="85" w:lineRule="exact"/>
              <w:rPr>
                <w:sz w:val="20"/>
                <w:szCs w:val="20"/>
                <w:color w:val="auto"/>
              </w:rPr>
            </w:pPr>
            <w:r>
              <w:rPr>
                <w:rFonts w:ascii="Arial" w:cs="Arial" w:eastAsia="Arial" w:hAnsi="Arial"/>
                <w:sz w:val="8"/>
                <w:szCs w:val="8"/>
                <w:color w:val="FFFFFF"/>
              </w:rPr>
              <w:t>Owners and</w:t>
            </w:r>
          </w:p>
        </w:tc>
        <w:tc>
          <w:tcPr>
            <w:tcW w:w="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6"/>
        </w:trPr>
        <w:tc>
          <w:tcPr>
            <w:tcW w:w="3440" w:type="dxa"/>
            <w:vAlign w:val="bottom"/>
            <w:tcBorders>
              <w:bottom w:val="single" w:sz="8" w:color="F7F1EC"/>
            </w:tcBorders>
            <w:shd w:val="clear" w:color="auto" w:fill="F7F1EC"/>
          </w:tcPr>
          <w:p>
            <w:pPr>
              <w:spacing w:after="0"/>
              <w:rPr>
                <w:sz w:val="15"/>
                <w:szCs w:val="15"/>
                <w:color w:val="auto"/>
              </w:rPr>
            </w:pPr>
          </w:p>
        </w:tc>
        <w:tc>
          <w:tcPr>
            <w:tcW w:w="380" w:type="dxa"/>
            <w:vAlign w:val="bottom"/>
            <w:tcBorders>
              <w:bottom w:val="single" w:sz="8" w:color="F7F1EC"/>
            </w:tcBorders>
            <w:shd w:val="clear" w:color="auto" w:fill="F7F1EC"/>
          </w:tcPr>
          <w:p>
            <w:pPr>
              <w:spacing w:after="0"/>
              <w:rPr>
                <w:sz w:val="15"/>
                <w:szCs w:val="15"/>
                <w:color w:val="auto"/>
              </w:rPr>
            </w:pPr>
          </w:p>
        </w:tc>
        <w:tc>
          <w:tcPr>
            <w:tcW w:w="140" w:type="dxa"/>
            <w:vAlign w:val="bottom"/>
          </w:tcPr>
          <w:p>
            <w:pPr>
              <w:spacing w:after="0"/>
              <w:rPr>
                <w:sz w:val="15"/>
                <w:szCs w:val="15"/>
                <w:color w:val="auto"/>
              </w:rPr>
            </w:pPr>
          </w:p>
        </w:tc>
        <w:tc>
          <w:tcPr>
            <w:tcW w:w="3600" w:type="dxa"/>
            <w:vAlign w:val="bottom"/>
            <w:tcBorders>
              <w:bottom w:val="single" w:sz="8" w:color="F7F1EC"/>
            </w:tcBorders>
            <w:shd w:val="clear" w:color="auto" w:fill="F7F1EC"/>
          </w:tcPr>
          <w:p>
            <w:pPr>
              <w:spacing w:after="0"/>
              <w:rPr>
                <w:sz w:val="15"/>
                <w:szCs w:val="15"/>
                <w:color w:val="auto"/>
              </w:rPr>
            </w:pPr>
          </w:p>
        </w:tc>
        <w:tc>
          <w:tcPr>
            <w:tcW w:w="320" w:type="dxa"/>
            <w:vAlign w:val="bottom"/>
            <w:tcBorders>
              <w:bottom w:val="single" w:sz="8" w:color="F7F1EC"/>
            </w:tcBorders>
            <w:shd w:val="clear" w:color="auto" w:fill="F7F1EC"/>
          </w:tcPr>
          <w:p>
            <w:pPr>
              <w:spacing w:after="0"/>
              <w:rPr>
                <w:sz w:val="15"/>
                <w:szCs w:val="15"/>
                <w:color w:val="auto"/>
              </w:rPr>
            </w:pPr>
          </w:p>
        </w:tc>
        <w:tc>
          <w:tcPr>
            <w:tcW w:w="660" w:type="dxa"/>
            <w:vAlign w:val="bottom"/>
          </w:tcPr>
          <w:p>
            <w:pPr>
              <w:spacing w:after="0"/>
              <w:rPr>
                <w:sz w:val="15"/>
                <w:szCs w:val="15"/>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Management</w:t>
            </w: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5"/>
        </w:trPr>
        <w:tc>
          <w:tcPr>
            <w:tcW w:w="3440" w:type="dxa"/>
            <w:vAlign w:val="bottom"/>
            <w:tcBorders>
              <w:bottom w:val="single" w:sz="8" w:color="002B5F"/>
            </w:tcBorders>
          </w:tcPr>
          <w:p>
            <w:pPr>
              <w:spacing w:after="0"/>
              <w:rPr>
                <w:sz w:val="20"/>
                <w:szCs w:val="20"/>
                <w:color w:val="auto"/>
              </w:rPr>
            </w:pPr>
          </w:p>
        </w:tc>
        <w:tc>
          <w:tcPr>
            <w:tcW w:w="380" w:type="dxa"/>
            <w:vAlign w:val="bottom"/>
            <w:tcBorders>
              <w:bottom w:val="single" w:sz="8" w:color="002B5F"/>
            </w:tcBorders>
          </w:tcPr>
          <w:p>
            <w:pPr>
              <w:spacing w:after="0"/>
              <w:rPr>
                <w:sz w:val="20"/>
                <w:szCs w:val="20"/>
                <w:color w:val="auto"/>
              </w:rPr>
            </w:pPr>
          </w:p>
        </w:tc>
        <w:tc>
          <w:tcPr>
            <w:tcW w:w="140" w:type="dxa"/>
            <w:vAlign w:val="bottom"/>
            <w:tcBorders>
              <w:bottom w:val="single" w:sz="8" w:color="002B5F"/>
            </w:tcBorders>
          </w:tcPr>
          <w:p>
            <w:pPr>
              <w:spacing w:after="0"/>
              <w:rPr>
                <w:sz w:val="20"/>
                <w:szCs w:val="20"/>
                <w:color w:val="auto"/>
              </w:rPr>
            </w:pPr>
          </w:p>
        </w:tc>
        <w:tc>
          <w:tcPr>
            <w:tcW w:w="3600" w:type="dxa"/>
            <w:vAlign w:val="bottom"/>
            <w:tcBorders>
              <w:bottom w:val="single" w:sz="8" w:color="002B5F"/>
            </w:tcBorders>
          </w:tcPr>
          <w:p>
            <w:pPr>
              <w:spacing w:after="0"/>
              <w:rPr>
                <w:sz w:val="20"/>
                <w:szCs w:val="20"/>
                <w:color w:val="auto"/>
              </w:rPr>
            </w:pPr>
          </w:p>
        </w:tc>
        <w:tc>
          <w:tcPr>
            <w:tcW w:w="320" w:type="dxa"/>
            <w:vAlign w:val="bottom"/>
            <w:tcBorders>
              <w:bottom w:val="single" w:sz="8" w:color="002B5F"/>
            </w:tcBorders>
          </w:tcPr>
          <w:p>
            <w:pPr>
              <w:spacing w:after="0"/>
              <w:rPr>
                <w:sz w:val="20"/>
                <w:szCs w:val="20"/>
                <w:color w:val="auto"/>
              </w:rPr>
            </w:pPr>
          </w:p>
        </w:tc>
        <w:tc>
          <w:tcPr>
            <w:tcW w:w="660" w:type="dxa"/>
            <w:vAlign w:val="bottom"/>
          </w:tcPr>
          <w:p>
            <w:pPr>
              <w:spacing w:after="0"/>
              <w:rPr>
                <w:sz w:val="20"/>
                <w:szCs w:val="20"/>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Certain</w:t>
            </w: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7"/>
        </w:trPr>
        <w:tc>
          <w:tcPr>
            <w:tcW w:w="3440" w:type="dxa"/>
            <w:vAlign w:val="bottom"/>
            <w:shd w:val="clear" w:color="auto" w:fill="F7F1EC"/>
          </w:tcPr>
          <w:p>
            <w:pPr>
              <w:spacing w:after="0"/>
              <w:rPr>
                <w:sz w:val="8"/>
                <w:szCs w:val="8"/>
                <w:color w:val="auto"/>
              </w:rPr>
            </w:pPr>
          </w:p>
        </w:tc>
        <w:tc>
          <w:tcPr>
            <w:tcW w:w="380" w:type="dxa"/>
            <w:vAlign w:val="bottom"/>
            <w:shd w:val="clear" w:color="auto" w:fill="F7F1EC"/>
          </w:tcPr>
          <w:p>
            <w:pPr>
              <w:spacing w:after="0"/>
              <w:rPr>
                <w:sz w:val="8"/>
                <w:szCs w:val="8"/>
                <w:color w:val="auto"/>
              </w:rPr>
            </w:pPr>
          </w:p>
        </w:tc>
        <w:tc>
          <w:tcPr>
            <w:tcW w:w="140" w:type="dxa"/>
            <w:vAlign w:val="bottom"/>
            <w:shd w:val="clear" w:color="auto" w:fill="F7F1EC"/>
          </w:tcPr>
          <w:p>
            <w:pPr>
              <w:spacing w:after="0"/>
              <w:rPr>
                <w:sz w:val="8"/>
                <w:szCs w:val="8"/>
                <w:color w:val="auto"/>
              </w:rPr>
            </w:pPr>
          </w:p>
        </w:tc>
        <w:tc>
          <w:tcPr>
            <w:tcW w:w="3600" w:type="dxa"/>
            <w:vAlign w:val="bottom"/>
            <w:shd w:val="clear" w:color="auto" w:fill="F7F1EC"/>
          </w:tcPr>
          <w:p>
            <w:pPr>
              <w:spacing w:after="0"/>
              <w:rPr>
                <w:sz w:val="8"/>
                <w:szCs w:val="8"/>
                <w:color w:val="auto"/>
              </w:rPr>
            </w:pPr>
          </w:p>
        </w:tc>
        <w:tc>
          <w:tcPr>
            <w:tcW w:w="320" w:type="dxa"/>
            <w:vAlign w:val="bottom"/>
            <w:shd w:val="clear" w:color="auto" w:fill="F7F1EC"/>
          </w:tcPr>
          <w:p>
            <w:pPr>
              <w:spacing w:after="0"/>
              <w:rPr>
                <w:sz w:val="8"/>
                <w:szCs w:val="8"/>
                <w:color w:val="auto"/>
              </w:rPr>
            </w:pPr>
          </w:p>
        </w:tc>
        <w:tc>
          <w:tcPr>
            <w:tcW w:w="660" w:type="dxa"/>
            <w:vAlign w:val="bottom"/>
          </w:tcPr>
          <w:p>
            <w:pPr>
              <w:spacing w:after="0"/>
              <w:rPr>
                <w:sz w:val="8"/>
                <w:szCs w:val="8"/>
                <w:color w:val="auto"/>
              </w:rPr>
            </w:pPr>
          </w:p>
        </w:tc>
        <w:tc>
          <w:tcPr>
            <w:tcW w:w="1280" w:type="dxa"/>
            <w:vAlign w:val="bottom"/>
          </w:tcPr>
          <w:p>
            <w:pPr>
              <w:ind w:left="140"/>
              <w:spacing w:after="0" w:line="97" w:lineRule="exact"/>
              <w:rPr>
                <w:sz w:val="20"/>
                <w:szCs w:val="20"/>
                <w:color w:val="auto"/>
              </w:rPr>
            </w:pPr>
            <w:r>
              <w:rPr>
                <w:rFonts w:ascii="Arial" w:cs="Arial" w:eastAsia="Arial" w:hAnsi="Arial"/>
                <w:sz w:val="11"/>
                <w:szCs w:val="11"/>
                <w:color w:val="FFFFFF"/>
              </w:rPr>
              <w:t>Relationships and</w:t>
            </w: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8"/>
        </w:trPr>
        <w:tc>
          <w:tcPr>
            <w:tcW w:w="7560" w:type="dxa"/>
            <w:vAlign w:val="bottom"/>
            <w:gridSpan w:val="4"/>
            <w:shd w:val="clear" w:color="auto" w:fill="F7F1EC"/>
          </w:tcPr>
          <w:p>
            <w:pPr>
              <w:ind w:left="160"/>
              <w:spacing w:after="0" w:line="158" w:lineRule="exact"/>
              <w:rPr>
                <w:sz w:val="20"/>
                <w:szCs w:val="20"/>
                <w:color w:val="auto"/>
              </w:rPr>
            </w:pPr>
            <w:r>
              <w:rPr>
                <w:rFonts w:ascii="Arial" w:cs="Arial" w:eastAsia="Arial" w:hAnsi="Arial"/>
                <w:sz w:val="15"/>
                <w:szCs w:val="15"/>
                <w:i w:val="1"/>
                <w:iCs w:val="1"/>
                <w:color w:val="auto"/>
              </w:rPr>
              <w:t>If your shares are held in street name through a broker, bank or other intermediary, your broker, bank or other</w:t>
            </w:r>
          </w:p>
        </w:tc>
        <w:tc>
          <w:tcPr>
            <w:tcW w:w="320" w:type="dxa"/>
            <w:vAlign w:val="bottom"/>
            <w:shd w:val="clear" w:color="auto" w:fill="F7F1EC"/>
          </w:tcPr>
          <w:p>
            <w:pPr>
              <w:spacing w:after="0"/>
              <w:rPr>
                <w:sz w:val="13"/>
                <w:szCs w:val="13"/>
                <w:color w:val="auto"/>
              </w:rPr>
            </w:pPr>
          </w:p>
        </w:tc>
        <w:tc>
          <w:tcPr>
            <w:tcW w:w="660" w:type="dxa"/>
            <w:vAlign w:val="bottom"/>
          </w:tcPr>
          <w:p>
            <w:pPr>
              <w:spacing w:after="0"/>
              <w:rPr>
                <w:sz w:val="13"/>
                <w:szCs w:val="13"/>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Related Party</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7560" w:type="dxa"/>
            <w:vAlign w:val="bottom"/>
            <w:gridSpan w:val="4"/>
            <w:vMerge w:val="restart"/>
            <w:shd w:val="clear" w:color="auto" w:fill="F7F1EC"/>
          </w:tcPr>
          <w:p>
            <w:pPr>
              <w:ind w:left="160"/>
              <w:spacing w:after="0"/>
              <w:rPr>
                <w:sz w:val="20"/>
                <w:szCs w:val="20"/>
                <w:color w:val="auto"/>
              </w:rPr>
            </w:pPr>
            <w:r>
              <w:rPr>
                <w:rFonts w:ascii="Arial" w:cs="Arial" w:eastAsia="Arial" w:hAnsi="Arial"/>
                <w:sz w:val="15"/>
                <w:szCs w:val="15"/>
                <w:i w:val="1"/>
                <w:iCs w:val="1"/>
                <w:color w:val="auto"/>
              </w:rPr>
              <w:t>intermediary should give you instructions for voting your shares. In these cases, you may vote by internet,</w:t>
            </w:r>
          </w:p>
        </w:tc>
        <w:tc>
          <w:tcPr>
            <w:tcW w:w="320" w:type="dxa"/>
            <w:vAlign w:val="bottom"/>
            <w:shd w:val="clear" w:color="auto" w:fill="F7F1EC"/>
          </w:tcPr>
          <w:p>
            <w:pPr>
              <w:spacing w:after="0"/>
              <w:rPr>
                <w:sz w:val="13"/>
                <w:szCs w:val="13"/>
                <w:color w:val="auto"/>
              </w:rPr>
            </w:pPr>
          </w:p>
        </w:tc>
        <w:tc>
          <w:tcPr>
            <w:tcW w:w="660" w:type="dxa"/>
            <w:vAlign w:val="bottom"/>
          </w:tcPr>
          <w:p>
            <w:pPr>
              <w:spacing w:after="0"/>
              <w:rPr>
                <w:sz w:val="13"/>
                <w:szCs w:val="13"/>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Transactions</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7"/>
        </w:trPr>
        <w:tc>
          <w:tcPr>
            <w:tcW w:w="7560" w:type="dxa"/>
            <w:vAlign w:val="bottom"/>
            <w:gridSpan w:val="4"/>
            <w:vMerge w:val="continue"/>
            <w:shd w:val="clear" w:color="auto" w:fill="F7F1EC"/>
          </w:tcPr>
          <w:p>
            <w:pPr>
              <w:spacing w:after="0"/>
              <w:rPr>
                <w:sz w:val="4"/>
                <w:szCs w:val="4"/>
                <w:color w:val="auto"/>
              </w:rPr>
            </w:pPr>
          </w:p>
        </w:tc>
        <w:tc>
          <w:tcPr>
            <w:tcW w:w="320" w:type="dxa"/>
            <w:vAlign w:val="bottom"/>
            <w:shd w:val="clear" w:color="auto" w:fill="F7F1EC"/>
          </w:tcPr>
          <w:p>
            <w:pPr>
              <w:spacing w:after="0"/>
              <w:rPr>
                <w:sz w:val="4"/>
                <w:szCs w:val="4"/>
                <w:color w:val="auto"/>
              </w:rPr>
            </w:pPr>
          </w:p>
        </w:tc>
        <w:tc>
          <w:tcPr>
            <w:tcW w:w="660" w:type="dxa"/>
            <w:vAlign w:val="bottom"/>
          </w:tcPr>
          <w:p>
            <w:pPr>
              <w:spacing w:after="0"/>
              <w:rPr>
                <w:sz w:val="4"/>
                <w:szCs w:val="4"/>
                <w:color w:val="auto"/>
              </w:rPr>
            </w:pPr>
          </w:p>
        </w:tc>
        <w:tc>
          <w:tcPr>
            <w:tcW w:w="128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7560" w:type="dxa"/>
            <w:vAlign w:val="bottom"/>
            <w:gridSpan w:val="4"/>
            <w:shd w:val="clear" w:color="auto" w:fill="F7F1EC"/>
          </w:tcPr>
          <w:p>
            <w:pPr>
              <w:ind w:left="160"/>
              <w:spacing w:after="0"/>
              <w:rPr>
                <w:sz w:val="20"/>
                <w:szCs w:val="20"/>
                <w:color w:val="auto"/>
              </w:rPr>
            </w:pPr>
            <w:r>
              <w:rPr>
                <w:rFonts w:ascii="Arial" w:cs="Arial" w:eastAsia="Arial" w:hAnsi="Arial"/>
                <w:sz w:val="15"/>
                <w:szCs w:val="15"/>
                <w:i w:val="1"/>
                <w:iCs w:val="1"/>
                <w:color w:val="auto"/>
              </w:rPr>
              <w:t>telephone or mail as instructed by your broker, bank or other intermediary.</w:t>
            </w:r>
          </w:p>
        </w:tc>
        <w:tc>
          <w:tcPr>
            <w:tcW w:w="320" w:type="dxa"/>
            <w:vAlign w:val="bottom"/>
            <w:shd w:val="clear" w:color="auto" w:fill="F7F1EC"/>
          </w:tcPr>
          <w:p>
            <w:pPr>
              <w:spacing w:after="0"/>
              <w:rPr>
                <w:sz w:val="18"/>
                <w:szCs w:val="18"/>
                <w:color w:val="auto"/>
              </w:rPr>
            </w:pPr>
          </w:p>
        </w:tc>
        <w:tc>
          <w:tcPr>
            <w:tcW w:w="660" w:type="dxa"/>
            <w:vAlign w:val="bottom"/>
          </w:tcPr>
          <w:p>
            <w:pPr>
              <w:spacing w:after="0"/>
              <w:rPr>
                <w:sz w:val="18"/>
                <w:szCs w:val="18"/>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Proposal 2</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1"/>
        </w:trPr>
        <w:tc>
          <w:tcPr>
            <w:tcW w:w="3440" w:type="dxa"/>
            <w:vAlign w:val="bottom"/>
            <w:shd w:val="clear" w:color="auto" w:fill="F7F1EC"/>
          </w:tcPr>
          <w:p>
            <w:pPr>
              <w:spacing w:after="0"/>
              <w:rPr>
                <w:sz w:val="12"/>
                <w:szCs w:val="12"/>
                <w:color w:val="auto"/>
              </w:rPr>
            </w:pPr>
          </w:p>
        </w:tc>
        <w:tc>
          <w:tcPr>
            <w:tcW w:w="380" w:type="dxa"/>
            <w:vAlign w:val="bottom"/>
            <w:shd w:val="clear" w:color="auto" w:fill="F7F1EC"/>
          </w:tcPr>
          <w:p>
            <w:pPr>
              <w:spacing w:after="0"/>
              <w:rPr>
                <w:sz w:val="12"/>
                <w:szCs w:val="12"/>
                <w:color w:val="auto"/>
              </w:rPr>
            </w:pPr>
          </w:p>
        </w:tc>
        <w:tc>
          <w:tcPr>
            <w:tcW w:w="140" w:type="dxa"/>
            <w:vAlign w:val="bottom"/>
            <w:shd w:val="clear" w:color="auto" w:fill="F7F1EC"/>
          </w:tcPr>
          <w:p>
            <w:pPr>
              <w:spacing w:after="0"/>
              <w:rPr>
                <w:sz w:val="12"/>
                <w:szCs w:val="12"/>
                <w:color w:val="auto"/>
              </w:rPr>
            </w:pPr>
          </w:p>
        </w:tc>
        <w:tc>
          <w:tcPr>
            <w:tcW w:w="3600" w:type="dxa"/>
            <w:vAlign w:val="bottom"/>
            <w:shd w:val="clear" w:color="auto" w:fill="F7F1EC"/>
          </w:tcPr>
          <w:p>
            <w:pPr>
              <w:spacing w:after="0"/>
              <w:rPr>
                <w:sz w:val="12"/>
                <w:szCs w:val="12"/>
                <w:color w:val="auto"/>
              </w:rPr>
            </w:pPr>
          </w:p>
        </w:tc>
        <w:tc>
          <w:tcPr>
            <w:tcW w:w="320" w:type="dxa"/>
            <w:vAlign w:val="bottom"/>
            <w:shd w:val="clear" w:color="auto" w:fill="F7F1EC"/>
          </w:tcPr>
          <w:p>
            <w:pPr>
              <w:spacing w:after="0"/>
              <w:rPr>
                <w:sz w:val="12"/>
                <w:szCs w:val="12"/>
                <w:color w:val="auto"/>
              </w:rPr>
            </w:pPr>
          </w:p>
        </w:tc>
        <w:tc>
          <w:tcPr>
            <w:tcW w:w="660" w:type="dxa"/>
            <w:vAlign w:val="bottom"/>
          </w:tcPr>
          <w:p>
            <w:pPr>
              <w:spacing w:after="0"/>
              <w:rPr>
                <w:sz w:val="12"/>
                <w:szCs w:val="12"/>
                <w:color w:val="auto"/>
              </w:rPr>
            </w:pPr>
          </w:p>
        </w:tc>
        <w:tc>
          <w:tcPr>
            <w:tcW w:w="1280" w:type="dxa"/>
            <w:vAlign w:val="bottom"/>
            <w:vMerge w:val="restart"/>
          </w:tcPr>
          <w:p>
            <w:pPr>
              <w:ind w:left="140"/>
              <w:spacing w:after="0"/>
              <w:rPr>
                <w:sz w:val="20"/>
                <w:szCs w:val="20"/>
                <w:color w:val="auto"/>
              </w:rPr>
            </w:pPr>
            <w:r>
              <w:rPr>
                <w:rFonts w:ascii="Arial" w:cs="Arial" w:eastAsia="Arial" w:hAnsi="Arial"/>
                <w:sz w:val="12"/>
                <w:szCs w:val="12"/>
                <w:color w:val="FFFFFF"/>
              </w:rPr>
              <w:t>Report of the</w:t>
            </w: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34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6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8540" w:type="dxa"/>
            <w:vAlign w:val="bottom"/>
            <w:gridSpan w:val="6"/>
            <w:vMerge w:val="restart"/>
          </w:tcPr>
          <w:p>
            <w:pPr>
              <w:spacing w:after="0"/>
              <w:rPr>
                <w:sz w:val="20"/>
                <w:szCs w:val="20"/>
                <w:color w:val="auto"/>
              </w:rPr>
            </w:pPr>
            <w:r>
              <w:rPr>
                <w:rFonts w:ascii="Arial" w:cs="Arial" w:eastAsia="Arial" w:hAnsi="Arial"/>
                <w:sz w:val="15"/>
                <w:szCs w:val="15"/>
                <w:color w:val="auto"/>
              </w:rPr>
              <w:t>Shares of Common Stock represented by properly executed proxy cards received by the Company in time for the</w:t>
            </w:r>
          </w:p>
        </w:tc>
        <w:tc>
          <w:tcPr>
            <w:tcW w:w="1280" w:type="dxa"/>
            <w:vAlign w:val="bottom"/>
          </w:tcPr>
          <w:p>
            <w:pPr>
              <w:ind w:left="140"/>
              <w:spacing w:after="0" w:line="128" w:lineRule="exact"/>
              <w:rPr>
                <w:sz w:val="20"/>
                <w:szCs w:val="20"/>
                <w:color w:val="auto"/>
              </w:rPr>
            </w:pPr>
            <w:r>
              <w:rPr>
                <w:rFonts w:ascii="Arial" w:cs="Arial" w:eastAsia="Arial" w:hAnsi="Arial"/>
                <w:sz w:val="12"/>
                <w:szCs w:val="12"/>
                <w:color w:val="FFFFFF"/>
              </w:rPr>
              <w:t>Audit and Risk</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8540" w:type="dxa"/>
            <w:vAlign w:val="bottom"/>
            <w:gridSpan w:val="6"/>
            <w:vMerge w:val="continue"/>
          </w:tcPr>
          <w:p>
            <w:pPr>
              <w:spacing w:after="0"/>
              <w:rPr>
                <w:sz w:val="10"/>
                <w:szCs w:val="10"/>
                <w:color w:val="auto"/>
              </w:rPr>
            </w:pPr>
          </w:p>
        </w:tc>
        <w:tc>
          <w:tcPr>
            <w:tcW w:w="1280" w:type="dxa"/>
            <w:vAlign w:val="bottom"/>
          </w:tcPr>
          <w:p>
            <w:pPr>
              <w:ind w:left="140"/>
              <w:spacing w:after="0" w:line="121" w:lineRule="exact"/>
              <w:rPr>
                <w:sz w:val="20"/>
                <w:szCs w:val="20"/>
                <w:color w:val="auto"/>
              </w:rPr>
            </w:pPr>
            <w:r>
              <w:rPr>
                <w:rFonts w:ascii="Arial" w:cs="Arial" w:eastAsia="Arial" w:hAnsi="Arial"/>
                <w:sz w:val="12"/>
                <w:szCs w:val="12"/>
                <w:color w:val="FFFFFF"/>
              </w:rPr>
              <w:t>Committee of the</w:t>
            </w: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7"/>
        </w:trPr>
        <w:tc>
          <w:tcPr>
            <w:tcW w:w="8540" w:type="dxa"/>
            <w:vAlign w:val="bottom"/>
            <w:gridSpan w:val="6"/>
          </w:tcPr>
          <w:p>
            <w:pPr>
              <w:spacing w:after="0"/>
              <w:rPr>
                <w:sz w:val="20"/>
                <w:szCs w:val="20"/>
                <w:color w:val="auto"/>
              </w:rPr>
            </w:pPr>
            <w:r>
              <w:rPr>
                <w:rFonts w:ascii="Arial" w:cs="Arial" w:eastAsia="Arial" w:hAnsi="Arial"/>
                <w:sz w:val="15"/>
                <w:szCs w:val="15"/>
                <w:color w:val="auto"/>
              </w:rPr>
              <w:t>meeting will be voted in accordance with the instructions specified in the proxies. If you submit a proxy but do not</w:t>
            </w:r>
          </w:p>
        </w:tc>
        <w:tc>
          <w:tcPr>
            <w:tcW w:w="1280" w:type="dxa"/>
            <w:vAlign w:val="bottom"/>
          </w:tcPr>
          <w:p>
            <w:pPr>
              <w:ind w:left="140"/>
              <w:spacing w:after="0"/>
              <w:rPr>
                <w:sz w:val="20"/>
                <w:szCs w:val="20"/>
                <w:color w:val="auto"/>
              </w:rPr>
            </w:pPr>
            <w:r>
              <w:rPr>
                <w:rFonts w:ascii="Arial" w:cs="Arial" w:eastAsia="Arial" w:hAnsi="Arial"/>
                <w:sz w:val="12"/>
                <w:szCs w:val="12"/>
                <w:color w:val="FFFFFF"/>
              </w:rPr>
              <w:t>Board of Directors</w:t>
            </w: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8540" w:type="dxa"/>
            <w:vAlign w:val="bottom"/>
            <w:gridSpan w:val="6"/>
          </w:tcPr>
          <w:p>
            <w:pPr>
              <w:spacing w:after="0"/>
              <w:rPr>
                <w:sz w:val="20"/>
                <w:szCs w:val="20"/>
                <w:color w:val="auto"/>
              </w:rPr>
            </w:pPr>
            <w:r>
              <w:rPr>
                <w:rFonts w:ascii="Arial" w:cs="Arial" w:eastAsia="Arial" w:hAnsi="Arial"/>
                <w:sz w:val="15"/>
                <w:szCs w:val="15"/>
                <w:color w:val="auto"/>
              </w:rPr>
              <w:t xml:space="preserve">indicate any voting instructions, your shares will be voted </w:t>
            </w:r>
            <w:r>
              <w:rPr>
                <w:rFonts w:ascii="Arial" w:cs="Arial" w:eastAsia="Arial" w:hAnsi="Arial"/>
                <w:sz w:val="15"/>
                <w:szCs w:val="15"/>
                <w:b w:val="1"/>
                <w:bCs w:val="1"/>
                <w:color w:val="B95827"/>
              </w:rPr>
              <w:t>“FOR”</w:t>
            </w:r>
            <w:r>
              <w:rPr>
                <w:rFonts w:ascii="Arial" w:cs="Arial" w:eastAsia="Arial" w:hAnsi="Arial"/>
                <w:sz w:val="15"/>
                <w:szCs w:val="15"/>
                <w:color w:val="auto"/>
              </w:rPr>
              <w:t xml:space="preserve"> the election of each director nominee named in</w:t>
            </w:r>
          </w:p>
        </w:tc>
        <w:tc>
          <w:tcPr>
            <w:tcW w:w="1280" w:type="dxa"/>
            <w:vAlign w:val="bottom"/>
            <w:vMerge w:val="restart"/>
          </w:tcPr>
          <w:p>
            <w:pPr>
              <w:ind w:left="140"/>
              <w:spacing w:after="0"/>
              <w:rPr>
                <w:sz w:val="20"/>
                <w:szCs w:val="20"/>
                <w:color w:val="auto"/>
              </w:rPr>
            </w:pPr>
            <w:r>
              <w:rPr>
                <w:rFonts w:ascii="Arial" w:cs="Arial" w:eastAsia="Arial" w:hAnsi="Arial"/>
                <w:sz w:val="12"/>
                <w:szCs w:val="12"/>
                <w:color w:val="FFFFFF"/>
              </w:rPr>
              <w:t>Proposal 3</w:t>
            </w: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3"/>
        </w:trPr>
        <w:tc>
          <w:tcPr>
            <w:tcW w:w="7560" w:type="dxa"/>
            <w:vAlign w:val="bottom"/>
            <w:gridSpan w:val="4"/>
            <w:vMerge w:val="restart"/>
          </w:tcPr>
          <w:p>
            <w:pPr>
              <w:spacing w:after="0"/>
              <w:rPr>
                <w:sz w:val="20"/>
                <w:szCs w:val="20"/>
                <w:color w:val="auto"/>
              </w:rPr>
            </w:pPr>
            <w:r>
              <w:rPr>
                <w:rFonts w:ascii="Arial" w:cs="Arial" w:eastAsia="Arial" w:hAnsi="Arial"/>
                <w:sz w:val="15"/>
                <w:szCs w:val="15"/>
                <w:color w:val="auto"/>
              </w:rPr>
              <w:t xml:space="preserve">this proxy statement; </w:t>
            </w:r>
            <w:r>
              <w:rPr>
                <w:rFonts w:ascii="Arial" w:cs="Arial" w:eastAsia="Arial" w:hAnsi="Arial"/>
                <w:sz w:val="15"/>
                <w:szCs w:val="15"/>
                <w:b w:val="1"/>
                <w:bCs w:val="1"/>
                <w:color w:val="B95827"/>
              </w:rPr>
              <w:t>“FOR”</w:t>
            </w:r>
            <w:r>
              <w:rPr>
                <w:rFonts w:ascii="Arial" w:cs="Arial" w:eastAsia="Arial" w:hAnsi="Arial"/>
                <w:sz w:val="15"/>
                <w:szCs w:val="15"/>
                <w:color w:val="auto"/>
              </w:rPr>
              <w:t xml:space="preserve"> the ratification of the appointment of Deloitte &amp; Touche LLP as our independent</w:t>
            </w:r>
          </w:p>
        </w:tc>
        <w:tc>
          <w:tcPr>
            <w:tcW w:w="3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80" w:type="dxa"/>
            <w:vAlign w:val="bottom"/>
            <w:vMerge w:val="continue"/>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7560" w:type="dxa"/>
            <w:vAlign w:val="bottom"/>
            <w:gridSpan w:val="4"/>
            <w:vMerge w:val="continue"/>
          </w:tcPr>
          <w:p>
            <w:pPr>
              <w:spacing w:after="0"/>
              <w:rPr>
                <w:sz w:val="6"/>
                <w:szCs w:val="6"/>
                <w:color w:val="auto"/>
              </w:rPr>
            </w:pPr>
          </w:p>
        </w:tc>
        <w:tc>
          <w:tcPr>
            <w:tcW w:w="3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80" w:type="dxa"/>
            <w:vAlign w:val="bottom"/>
          </w:tcPr>
          <w:p>
            <w:pPr>
              <w:spacing w:after="0"/>
              <w:rPr>
                <w:sz w:val="6"/>
                <w:szCs w:val="6"/>
                <w:color w:val="auto"/>
              </w:rPr>
            </w:pPr>
          </w:p>
        </w:tc>
        <w:tc>
          <w:tcPr>
            <w:tcW w:w="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0"/>
        </w:trPr>
        <w:tc>
          <w:tcPr>
            <w:tcW w:w="7560" w:type="dxa"/>
            <w:vAlign w:val="bottom"/>
            <w:gridSpan w:val="4"/>
          </w:tcPr>
          <w:p>
            <w:pPr>
              <w:spacing w:after="0"/>
              <w:rPr>
                <w:sz w:val="20"/>
                <w:szCs w:val="20"/>
                <w:color w:val="auto"/>
              </w:rPr>
            </w:pPr>
            <w:r>
              <w:rPr>
                <w:rFonts w:ascii="Arial" w:cs="Arial" w:eastAsia="Arial" w:hAnsi="Arial"/>
                <w:sz w:val="15"/>
                <w:szCs w:val="15"/>
                <w:color w:val="auto"/>
              </w:rPr>
              <w:t xml:space="preserve">registered public accounting firm; </w:t>
            </w:r>
            <w:r>
              <w:rPr>
                <w:rFonts w:ascii="Arial" w:cs="Arial" w:eastAsia="Arial" w:hAnsi="Arial"/>
                <w:sz w:val="15"/>
                <w:szCs w:val="15"/>
                <w:b w:val="1"/>
                <w:bCs w:val="1"/>
                <w:color w:val="B95827"/>
              </w:rPr>
              <w:t>“FOR”</w:t>
            </w:r>
            <w:r>
              <w:rPr>
                <w:rFonts w:ascii="Arial" w:cs="Arial" w:eastAsia="Arial" w:hAnsi="Arial"/>
                <w:sz w:val="15"/>
                <w:szCs w:val="15"/>
                <w:color w:val="auto"/>
              </w:rPr>
              <w:t xml:space="preserve"> the approval, in an advisory vote, of the compensation paid to the</w:t>
            </w: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Proposal 4</w:t>
            </w: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7560" w:type="dxa"/>
            <w:vAlign w:val="bottom"/>
            <w:gridSpan w:val="4"/>
          </w:tcPr>
          <w:p>
            <w:pPr>
              <w:spacing w:after="0"/>
              <w:rPr>
                <w:sz w:val="20"/>
                <w:szCs w:val="20"/>
                <w:color w:val="auto"/>
              </w:rPr>
            </w:pPr>
            <w:r>
              <w:rPr>
                <w:rFonts w:ascii="Arial" w:cs="Arial" w:eastAsia="Arial" w:hAnsi="Arial"/>
                <w:sz w:val="15"/>
                <w:szCs w:val="15"/>
                <w:color w:val="auto"/>
              </w:rPr>
              <w:t xml:space="preserve">Company’s named executive officers; </w:t>
            </w:r>
            <w:r>
              <w:rPr>
                <w:rFonts w:ascii="Arial" w:cs="Arial" w:eastAsia="Arial" w:hAnsi="Arial"/>
                <w:sz w:val="15"/>
                <w:szCs w:val="15"/>
                <w:b w:val="1"/>
                <w:bCs w:val="1"/>
                <w:color w:val="B95827"/>
              </w:rPr>
              <w:t>“FOR”</w:t>
            </w:r>
            <w:r>
              <w:rPr>
                <w:rFonts w:ascii="Arial" w:cs="Arial" w:eastAsia="Arial" w:hAnsi="Arial"/>
                <w:sz w:val="15"/>
                <w:szCs w:val="15"/>
                <w:color w:val="auto"/>
              </w:rPr>
              <w:t xml:space="preserve"> the amendment and restatement of our Charter to eliminate</w:t>
            </w: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80" w:type="dxa"/>
            <w:vAlign w:val="bottom"/>
            <w:vMerge w:val="restart"/>
          </w:tcPr>
          <w:p>
            <w:pPr>
              <w:ind w:left="140"/>
              <w:spacing w:after="0"/>
              <w:rPr>
                <w:sz w:val="20"/>
                <w:szCs w:val="20"/>
                <w:color w:val="auto"/>
              </w:rPr>
            </w:pPr>
            <w:r>
              <w:rPr>
                <w:rFonts w:ascii="Arial" w:cs="Arial" w:eastAsia="Arial" w:hAnsi="Arial"/>
                <w:sz w:val="12"/>
                <w:szCs w:val="12"/>
                <w:color w:val="FFFFFF"/>
              </w:rPr>
              <w:t>Proposal 5</w:t>
            </w: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7560" w:type="dxa"/>
            <w:vAlign w:val="bottom"/>
            <w:gridSpan w:val="4"/>
          </w:tcPr>
          <w:p>
            <w:pPr>
              <w:spacing w:after="0"/>
              <w:rPr>
                <w:sz w:val="20"/>
                <w:szCs w:val="20"/>
                <w:color w:val="auto"/>
              </w:rPr>
            </w:pPr>
            <w:r>
              <w:rPr>
                <w:rFonts w:ascii="Arial" w:cs="Arial" w:eastAsia="Arial" w:hAnsi="Arial"/>
                <w:sz w:val="15"/>
                <w:szCs w:val="15"/>
                <w:color w:val="auto"/>
              </w:rPr>
              <w:t>supermajority voting requirements, eliminate obsolete provisions and make certain non-substantive changes;</w:t>
            </w: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80" w:type="dxa"/>
            <w:vAlign w:val="bottom"/>
            <w:vMerge w:val="continue"/>
          </w:tcPr>
          <w:p>
            <w:pPr>
              <w:spacing w:after="0"/>
              <w:rPr>
                <w:sz w:val="15"/>
                <w:szCs w:val="15"/>
                <w:color w:val="auto"/>
              </w:rPr>
            </w:pP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3"/>
        </w:trPr>
        <w:tc>
          <w:tcPr>
            <w:tcW w:w="7560" w:type="dxa"/>
            <w:vAlign w:val="bottom"/>
            <w:gridSpan w:val="4"/>
          </w:tcPr>
          <w:p>
            <w:pPr>
              <w:spacing w:after="0" w:line="123" w:lineRule="exact"/>
              <w:rPr>
                <w:sz w:val="20"/>
                <w:szCs w:val="20"/>
                <w:color w:val="auto"/>
              </w:rPr>
            </w:pPr>
            <w:r>
              <w:rPr>
                <w:rFonts w:ascii="Arial" w:cs="Arial" w:eastAsia="Arial" w:hAnsi="Arial"/>
                <w:sz w:val="14"/>
                <w:szCs w:val="14"/>
                <w:b w:val="1"/>
                <w:bCs w:val="1"/>
                <w:color w:val="B95827"/>
              </w:rPr>
              <w:t xml:space="preserve">“FOR” </w:t>
            </w:r>
            <w:r>
              <w:rPr>
                <w:rFonts w:ascii="Arial" w:cs="Arial" w:eastAsia="Arial" w:hAnsi="Arial"/>
                <w:sz w:val="14"/>
                <w:szCs w:val="14"/>
                <w:color w:val="000000"/>
              </w:rPr>
              <w:t>amendments to our Charter to provide for officer exculpation; and</w:t>
            </w:r>
            <w:r>
              <w:rPr>
                <w:rFonts w:ascii="Arial" w:cs="Arial" w:eastAsia="Arial" w:hAnsi="Arial"/>
                <w:sz w:val="14"/>
                <w:szCs w:val="14"/>
                <w:b w:val="1"/>
                <w:bCs w:val="1"/>
                <w:color w:val="B95827"/>
              </w:rPr>
              <w:t xml:space="preserve"> “FOR” </w:t>
            </w:r>
            <w:r>
              <w:rPr>
                <w:rFonts w:ascii="Arial" w:cs="Arial" w:eastAsia="Arial" w:hAnsi="Arial"/>
                <w:sz w:val="14"/>
                <w:szCs w:val="14"/>
                <w:color w:val="000000"/>
              </w:rPr>
              <w:t>amendments to our Charter to</w:t>
            </w:r>
          </w:p>
        </w:tc>
        <w:tc>
          <w:tcPr>
            <w:tcW w:w="3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584835</wp:posOffset>
            </wp:positionH>
            <wp:positionV relativeFrom="paragraph">
              <wp:posOffset>-4882515</wp:posOffset>
            </wp:positionV>
            <wp:extent cx="445770" cy="39687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445770" cy="396875"/>
                    </a:xfrm>
                    <a:prstGeom prst="rect">
                      <a:avLst/>
                    </a:prstGeom>
                    <a:noFill/>
                  </pic:spPr>
                </pic:pic>
              </a:graphicData>
            </a:graphic>
          </wp:anchor>
        </w:drawing>
        <w:drawing>
          <wp:anchor simplePos="0" relativeHeight="251657728" behindDoc="1" locked="0" layoutInCell="0" allowOverlap="1">
            <wp:simplePos x="0" y="0"/>
            <wp:positionH relativeFrom="column">
              <wp:posOffset>3105150</wp:posOffset>
            </wp:positionH>
            <wp:positionV relativeFrom="paragraph">
              <wp:posOffset>-4882515</wp:posOffset>
            </wp:positionV>
            <wp:extent cx="348615" cy="3486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48615" cy="348615"/>
                    </a:xfrm>
                    <a:prstGeom prst="rect">
                      <a:avLst/>
                    </a:prstGeom>
                    <a:noFill/>
                  </pic:spPr>
                </pic:pic>
              </a:graphicData>
            </a:graphic>
          </wp:anchor>
        </w:drawing>
        <w:drawing>
          <wp:anchor simplePos="0" relativeHeight="251657728" behindDoc="1" locked="0" layoutInCell="0" allowOverlap="1">
            <wp:simplePos x="0" y="0"/>
            <wp:positionH relativeFrom="column">
              <wp:posOffset>584835</wp:posOffset>
            </wp:positionH>
            <wp:positionV relativeFrom="paragraph">
              <wp:posOffset>-3359150</wp:posOffset>
            </wp:positionV>
            <wp:extent cx="445770" cy="3403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445770" cy="340360"/>
                    </a:xfrm>
                    <a:prstGeom prst="rect">
                      <a:avLst/>
                    </a:prstGeom>
                    <a:noFill/>
                  </pic:spPr>
                </pic:pic>
              </a:graphicData>
            </a:graphic>
          </wp:anchor>
        </w:drawing>
        <w:drawing>
          <wp:anchor simplePos="0" relativeHeight="251657728" behindDoc="1" locked="0" layoutInCell="0" allowOverlap="1">
            <wp:simplePos x="0" y="0"/>
            <wp:positionH relativeFrom="column">
              <wp:posOffset>3105150</wp:posOffset>
            </wp:positionH>
            <wp:positionV relativeFrom="paragraph">
              <wp:posOffset>-3359150</wp:posOffset>
            </wp:positionV>
            <wp:extent cx="445770" cy="389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445770" cy="389255"/>
                    </a:xfrm>
                    <a:prstGeom prst="rect">
                      <a:avLst/>
                    </a:prstGeom>
                    <a:noFill/>
                  </pic:spPr>
                </pic:pic>
              </a:graphicData>
            </a:graphic>
          </wp:anchor>
        </w:drawing>
      </w:r>
    </w:p>
    <w:tbl>
      <w:tblPr>
        <w:tblLayout w:type="fixed"/>
        <w:tblInd w:w="540" w:type="dxa"/>
        <w:tblCellMar>
          <w:top w:w="0" w:type="dxa"/>
          <w:left w:w="0" w:type="dxa"/>
          <w:bottom w:w="0" w:type="dxa"/>
          <w:right w:w="0" w:type="dxa"/>
        </w:tblCellMar>
      </w:tblPr>
      <w:tr>
        <w:trPr>
          <w:trHeight w:val="158"/>
        </w:trPr>
        <w:tc>
          <w:tcPr>
            <w:tcW w:w="5880" w:type="dxa"/>
            <w:vAlign w:val="bottom"/>
            <w:vMerge w:val="restart"/>
          </w:tcPr>
          <w:p>
            <w:pPr>
              <w:spacing w:after="0"/>
              <w:rPr>
                <w:sz w:val="20"/>
                <w:szCs w:val="20"/>
                <w:color w:val="auto"/>
              </w:rPr>
            </w:pPr>
            <w:r>
              <w:rPr>
                <w:rFonts w:ascii="Arial" w:cs="Arial" w:eastAsia="Arial" w:hAnsi="Arial"/>
                <w:sz w:val="15"/>
                <w:szCs w:val="15"/>
                <w:color w:val="auto"/>
              </w:rPr>
              <w:t>remove the corporate opportunities provision.</w:t>
            </w:r>
          </w:p>
        </w:tc>
        <w:tc>
          <w:tcPr>
            <w:tcW w:w="3380" w:type="dxa"/>
            <w:vAlign w:val="bottom"/>
          </w:tcPr>
          <w:p>
            <w:pPr>
              <w:ind w:left="2800"/>
              <w:spacing w:after="0"/>
              <w:rPr>
                <w:sz w:val="20"/>
                <w:szCs w:val="20"/>
                <w:color w:val="auto"/>
              </w:rPr>
            </w:pPr>
            <w:r>
              <w:rPr>
                <w:rFonts w:ascii="Arial" w:cs="Arial" w:eastAsia="Arial" w:hAnsi="Arial"/>
                <w:sz w:val="12"/>
                <w:szCs w:val="12"/>
                <w:color w:val="FFFFFF"/>
                <w:w w:val="97"/>
              </w:rPr>
              <w:t>Proposal 6</w:t>
            </w:r>
          </w:p>
        </w:tc>
        <w:tc>
          <w:tcPr>
            <w:tcW w:w="0" w:type="dxa"/>
            <w:vAlign w:val="bottom"/>
          </w:tcPr>
          <w:p>
            <w:pPr>
              <w:spacing w:after="0"/>
              <w:rPr>
                <w:sz w:val="1"/>
                <w:szCs w:val="1"/>
                <w:color w:val="auto"/>
              </w:rPr>
            </w:pPr>
          </w:p>
        </w:tc>
      </w:tr>
      <w:tr>
        <w:trPr>
          <w:trHeight w:val="100"/>
        </w:trPr>
        <w:tc>
          <w:tcPr>
            <w:tcW w:w="5880" w:type="dxa"/>
            <w:vAlign w:val="bottom"/>
            <w:vMerge w:val="continue"/>
          </w:tcPr>
          <w:p>
            <w:pPr>
              <w:spacing w:after="0"/>
              <w:rPr>
                <w:sz w:val="8"/>
                <w:szCs w:val="8"/>
                <w:color w:val="auto"/>
              </w:rPr>
            </w:pPr>
          </w:p>
        </w:tc>
        <w:tc>
          <w:tcPr>
            <w:tcW w:w="33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4" w:lineRule="exact"/>
        <w:rPr>
          <w:sz w:val="20"/>
          <w:szCs w:val="20"/>
          <w:color w:val="auto"/>
        </w:rPr>
      </w:pPr>
    </w:p>
    <w:p>
      <w:pPr>
        <w:sectPr>
          <w:pgSz w:w="11900" w:h="16838" w:orient="portrait"/>
          <w:cols w:equalWidth="0" w:num="1">
            <w:col w:w="10800"/>
          </w:cols>
          <w:pgMar w:left="320" w:top="464" w:right="779" w:bottom="1440" w:gutter="0" w:footer="0" w:header="0"/>
        </w:sectPr>
      </w:pPr>
    </w:p>
    <w:p>
      <w:pPr>
        <w:spacing w:after="0" w:line="158" w:lineRule="exact"/>
        <w:rPr>
          <w:sz w:val="20"/>
          <w:szCs w:val="20"/>
          <w:color w:val="auto"/>
        </w:rPr>
      </w:pPr>
    </w:p>
    <w:p>
      <w:pPr>
        <w:ind w:left="540" w:right="120"/>
        <w:spacing w:after="0" w:line="261" w:lineRule="auto"/>
        <w:rPr>
          <w:sz w:val="20"/>
          <w:szCs w:val="20"/>
          <w:color w:val="auto"/>
        </w:rPr>
      </w:pPr>
      <w:r>
        <w:rPr>
          <w:rFonts w:ascii="Arial" w:cs="Arial" w:eastAsia="Arial" w:hAnsi="Arial"/>
          <w:sz w:val="15"/>
          <w:szCs w:val="15"/>
          <w:color w:val="auto"/>
        </w:rPr>
        <w:t>Our management and Board of Directors know of no other matters to be brought before the Annual Meeting. If other matters are properly presented to the stockholders for action at the Annual Meeting or any adjournments or postponements thereof, it is the intention of the proxy holders named in the proxy card to vote in their discretion on all matters on which the shares of Common Stock represented by such proxy are entitled to vote.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FFFFFF"/>
        </w:rPr>
        <w:t>Stockholder</w:t>
      </w:r>
    </w:p>
    <w:p>
      <w:pPr>
        <w:spacing w:after="0" w:line="2" w:lineRule="exact"/>
        <w:rPr>
          <w:sz w:val="20"/>
          <w:szCs w:val="20"/>
          <w:color w:val="auto"/>
        </w:rPr>
      </w:pPr>
    </w:p>
    <w:p>
      <w:pPr>
        <w:spacing w:after="0"/>
        <w:rPr>
          <w:sz w:val="20"/>
          <w:szCs w:val="20"/>
          <w:color w:val="auto"/>
        </w:rPr>
      </w:pPr>
      <w:r>
        <w:rPr>
          <w:rFonts w:ascii="Arial" w:cs="Arial" w:eastAsia="Arial" w:hAnsi="Arial"/>
          <w:sz w:val="11"/>
          <w:szCs w:val="11"/>
          <w:color w:val="FFFFFF"/>
        </w:rPr>
        <w:t>Proposals and</w:t>
      </w:r>
    </w:p>
    <w:p>
      <w:pPr>
        <w:spacing w:after="0" w:line="1" w:lineRule="exact"/>
        <w:rPr>
          <w:sz w:val="20"/>
          <w:szCs w:val="20"/>
          <w:color w:val="auto"/>
        </w:rPr>
      </w:pPr>
    </w:p>
    <w:p>
      <w:pPr>
        <w:spacing w:after="0"/>
        <w:rPr>
          <w:sz w:val="20"/>
          <w:szCs w:val="20"/>
          <w:color w:val="auto"/>
        </w:rPr>
      </w:pPr>
      <w:r>
        <w:rPr>
          <w:rFonts w:ascii="Arial" w:cs="Arial" w:eastAsia="Arial" w:hAnsi="Arial"/>
          <w:sz w:val="12"/>
          <w:szCs w:val="12"/>
          <w:color w:val="FFFFFF"/>
        </w:rPr>
        <w:t>Other Matters</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Delinquent</w:t>
      </w:r>
    </w:p>
    <w:p>
      <w:pPr>
        <w:spacing w:after="0" w:line="224" w:lineRule="auto"/>
        <w:rPr>
          <w:sz w:val="20"/>
          <w:szCs w:val="20"/>
          <w:color w:val="auto"/>
        </w:rPr>
      </w:pPr>
      <w:r>
        <w:rPr>
          <w:rFonts w:ascii="Arial" w:cs="Arial" w:eastAsia="Arial" w:hAnsi="Arial"/>
          <w:sz w:val="12"/>
          <w:szCs w:val="12"/>
          <w:color w:val="FFFFFF"/>
        </w:rPr>
        <w:t>Section 16(a)</w:t>
      </w:r>
    </w:p>
    <w:p>
      <w:pPr>
        <w:spacing w:after="0"/>
        <w:rPr>
          <w:sz w:val="20"/>
          <w:szCs w:val="20"/>
          <w:color w:val="auto"/>
        </w:rPr>
      </w:pPr>
      <w:r>
        <w:rPr>
          <w:rFonts w:ascii="Arial" w:cs="Arial" w:eastAsia="Arial" w:hAnsi="Arial"/>
          <w:sz w:val="12"/>
          <w:szCs w:val="12"/>
          <w:color w:val="FFFFFF"/>
        </w:rPr>
        <w:t>Reports</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Other</w:t>
      </w:r>
    </w:p>
    <w:p>
      <w:pPr>
        <w:spacing w:after="0" w:line="2" w:lineRule="exact"/>
        <w:rPr>
          <w:sz w:val="20"/>
          <w:szCs w:val="20"/>
          <w:color w:val="auto"/>
        </w:rPr>
      </w:pPr>
    </w:p>
    <w:p>
      <w:pPr>
        <w:spacing w:after="0"/>
        <w:rPr>
          <w:sz w:val="20"/>
          <w:szCs w:val="20"/>
          <w:color w:val="auto"/>
        </w:rPr>
      </w:pPr>
      <w:r>
        <w:rPr>
          <w:rFonts w:ascii="Arial" w:cs="Arial" w:eastAsia="Arial" w:hAnsi="Arial"/>
          <w:sz w:val="12"/>
          <w:szCs w:val="12"/>
          <w:color w:val="FFFFFF"/>
        </w:rPr>
        <w:t>Information</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Appendix A</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FFFFFF"/>
        </w:rPr>
        <w:t>Appendix B</w:t>
      </w:r>
    </w:p>
    <w:p>
      <w:pPr>
        <w:spacing w:after="0" w:line="200" w:lineRule="exact"/>
        <w:rPr>
          <w:sz w:val="20"/>
          <w:szCs w:val="20"/>
          <w:color w:val="auto"/>
        </w:rPr>
      </w:pPr>
    </w:p>
    <w:p>
      <w:pPr>
        <w:sectPr>
          <w:pgSz w:w="11900" w:h="16838" w:orient="portrait"/>
          <w:cols w:equalWidth="0" w:num="2">
            <w:col w:w="8500" w:space="720"/>
            <w:col w:w="1580"/>
          </w:cols>
          <w:pgMar w:left="320" w:top="464" w:right="7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6480"/>
        <w:spacing w:after="0"/>
        <w:tabs>
          <w:tab w:leader="none" w:pos="8500" w:val="left"/>
          <w:tab w:leader="none" w:pos="9960" w:val="left"/>
        </w:tabs>
        <w:rPr>
          <w:sz w:val="20"/>
          <w:szCs w:val="20"/>
          <w:color w:val="auto"/>
        </w:rPr>
      </w:pPr>
      <w:r>
        <w:rPr>
          <w:rFonts w:ascii="Arial" w:cs="Arial" w:eastAsia="Arial" w:hAnsi="Arial"/>
          <w:sz w:val="15"/>
          <w:szCs w:val="15"/>
          <w:b w:val="1"/>
          <w:bCs w:val="1"/>
          <w:color w:val="002B5F"/>
        </w:rPr>
        <w:t xml:space="preserve">2026 Proxy Statement  </w:t>
      </w:r>
      <w:r>
        <w:rPr>
          <w:rFonts w:ascii="Arial" w:cs="Arial" w:eastAsia="Arial" w:hAnsi="Arial"/>
          <w:sz w:val="20"/>
          <w:szCs w:val="20"/>
          <w:color w:val="002B5F"/>
        </w:rPr>
        <w:t>|</w:t>
      </w:r>
      <w:r>
        <w:rPr>
          <w:rFonts w:ascii="Arial" w:cs="Arial" w:eastAsia="Arial" w:hAnsi="Arial"/>
          <w:sz w:val="15"/>
          <w:szCs w:val="15"/>
          <w:b w:val="1"/>
          <w:bCs w:val="1"/>
          <w:color w:val="002B5F"/>
        </w:rPr>
        <w:t xml:space="preserve">  3</w:t>
      </w:r>
      <w:r>
        <w:rPr>
          <w:sz w:val="20"/>
          <w:szCs w:val="20"/>
          <w:color w:val="auto"/>
        </w:rPr>
        <w:tab/>
      </w:r>
      <w:r>
        <w:rPr>
          <w:rFonts w:ascii="Arial" w:cs="Arial" w:eastAsia="Arial" w:hAnsi="Arial"/>
          <w:sz w:val="17"/>
          <w:szCs w:val="17"/>
          <w:color w:val="auto"/>
        </w:rPr>
        <w:t xml:space="preserve">    </w:t>
      </w:r>
      <w:r>
        <w:rPr>
          <w:sz w:val="20"/>
          <w:szCs w:val="20"/>
          <w:color w:val="auto"/>
        </w:rPr>
        <w:tab/>
      </w:r>
      <w:r>
        <w:rPr>
          <w:rFonts w:ascii="Arial" w:cs="Arial" w:eastAsia="Arial" w:hAnsi="Arial"/>
          <w:sz w:val="17"/>
          <w:szCs w:val="17"/>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268605</wp:posOffset>
            </wp:positionH>
            <wp:positionV relativeFrom="paragraph">
              <wp:posOffset>-128905</wp:posOffset>
            </wp:positionV>
            <wp:extent cx="762000" cy="971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62000" cy="97155"/>
                    </a:xfrm>
                    <a:prstGeom prst="rect">
                      <a:avLst/>
                    </a:prstGeom>
                    <a:noFill/>
                  </pic:spPr>
                </pic:pic>
              </a:graphicData>
            </a:graphic>
          </wp:anchor>
        </w:drawing>
      </w:r>
    </w:p>
    <w:p>
      <w:pPr>
        <w:sectPr>
          <w:pgSz w:w="11900" w:h="16838" w:orient="portrait"/>
          <w:cols w:equalWidth="0" w:num="1">
            <w:col w:w="10800"/>
          </w:cols>
          <w:pgMar w:left="320" w:top="464" w:right="77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7"/>
          <w:szCs w:val="17"/>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268605</wp:posOffset>
            </wp:positionH>
            <wp:positionV relativeFrom="paragraph">
              <wp:posOffset>253365</wp:posOffset>
            </wp:positionV>
            <wp:extent cx="1183005" cy="745617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183005" cy="7456170"/>
                    </a:xfrm>
                    <a:prstGeom prst="rect">
                      <a:avLst/>
                    </a:prstGeom>
                    <a:noFill/>
                  </pic:spPr>
                </pic:pic>
              </a:graphicData>
            </a:graphic>
          </wp:anchor>
        </w:drawing>
      </w:r>
    </w:p>
    <w:p>
      <w:pPr>
        <w:spacing w:after="0" w:line="200" w:lineRule="exact"/>
        <w:rPr>
          <w:sz w:val="20"/>
          <w:szCs w:val="20"/>
          <w:color w:val="auto"/>
        </w:rPr>
      </w:pPr>
    </w:p>
    <w:p>
      <w:pPr>
        <w:spacing w:after="0" w:line="304" w:lineRule="exact"/>
        <w:rPr>
          <w:sz w:val="20"/>
          <w:szCs w:val="20"/>
          <w:color w:val="auto"/>
        </w:rPr>
      </w:pPr>
    </w:p>
    <w:p>
      <w:pPr>
        <w:ind w:left="600" w:hanging="152"/>
        <w:spacing w:after="0"/>
        <w:tabs>
          <w:tab w:leader="none" w:pos="600" w:val="left"/>
        </w:tabs>
        <w:numPr>
          <w:ilvl w:val="0"/>
          <w:numId w:val="16"/>
        </w:numPr>
        <w:rPr>
          <w:rFonts w:ascii="Arial" w:cs="Arial" w:eastAsia="Arial" w:hAnsi="Arial"/>
          <w:sz w:val="22"/>
          <w:szCs w:val="22"/>
          <w:color w:val="auto"/>
          <w:vertAlign w:val="subscript"/>
        </w:rPr>
      </w:pPr>
      <w:r>
        <w:rPr>
          <w:rFonts w:ascii="Arial" w:cs="Arial" w:eastAsia="Arial" w:hAnsi="Arial"/>
          <w:sz w:val="22"/>
          <w:szCs w:val="22"/>
          <w:color w:val="000000"/>
          <w:vertAlign w:val="subscript"/>
        </w:rPr>
        <w:t xml:space="preserve">       </w:t>
      </w:r>
      <w:r>
        <w:rPr>
          <w:rFonts w:ascii="Arial" w:cs="Arial" w:eastAsia="Arial" w:hAnsi="Arial"/>
          <w:sz w:val="10"/>
          <w:szCs w:val="10"/>
          <w:b w:val="1"/>
          <w:bCs w:val="1"/>
          <w:color w:val="FFFFFF"/>
        </w:rPr>
        <w:t xml:space="preserve">  General</w:t>
      </w:r>
    </w:p>
    <w:p>
      <w:pPr>
        <w:spacing w:after="0" w:line="89" w:lineRule="exact"/>
        <w:rPr>
          <w:rFonts w:ascii="Arial" w:cs="Arial" w:eastAsia="Arial" w:hAnsi="Arial"/>
          <w:sz w:val="22"/>
          <w:szCs w:val="22"/>
          <w:color w:val="auto"/>
          <w:vertAlign w:val="subscript"/>
        </w:rPr>
      </w:pPr>
    </w:p>
    <w:p>
      <w:pPr>
        <w:ind w:left="1120"/>
        <w:spacing w:after="0"/>
        <w:rPr>
          <w:rFonts w:ascii="Arial" w:cs="Arial" w:eastAsia="Arial" w:hAnsi="Arial"/>
          <w:sz w:val="22"/>
          <w:szCs w:val="22"/>
          <w:color w:val="auto"/>
          <w:vertAlign w:val="subscript"/>
        </w:rPr>
      </w:pPr>
      <w:r>
        <w:rPr>
          <w:rFonts w:ascii="Arial" w:cs="Arial" w:eastAsia="Arial" w:hAnsi="Arial"/>
          <w:sz w:val="12"/>
          <w:szCs w:val="12"/>
          <w:b w:val="1"/>
          <w:bCs w:val="1"/>
          <w:color w:val="FFFFFF"/>
        </w:rPr>
        <w:t>Information</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1"/>
          <w:szCs w:val="11"/>
          <w:color w:val="FFFFFF"/>
        </w:rPr>
        <w:t>General Information</w:t>
      </w:r>
    </w:p>
    <w:p>
      <w:pPr>
        <w:spacing w:after="0" w:line="3"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About Corporate</w:t>
      </w:r>
    </w:p>
    <w:p>
      <w:pPr>
        <w:ind w:left="1120"/>
        <w:spacing w:after="0" w:line="221" w:lineRule="auto"/>
        <w:rPr>
          <w:sz w:val="20"/>
          <w:szCs w:val="20"/>
          <w:color w:val="auto"/>
        </w:rPr>
      </w:pPr>
      <w:r>
        <w:rPr>
          <w:rFonts w:ascii="Arial" w:cs="Arial" w:eastAsia="Arial" w:hAnsi="Arial"/>
          <w:sz w:val="12"/>
          <w:szCs w:val="12"/>
          <w:color w:val="FFFFFF"/>
        </w:rPr>
        <w:t>Governance</w:t>
      </w:r>
    </w:p>
    <w:p>
      <w:pPr>
        <w:ind w:left="1120"/>
        <w:spacing w:after="0" w:line="222" w:lineRule="auto"/>
        <w:rPr>
          <w:sz w:val="20"/>
          <w:szCs w:val="20"/>
          <w:color w:val="auto"/>
        </w:rPr>
      </w:pPr>
      <w:r>
        <w:rPr>
          <w:rFonts w:ascii="Arial" w:cs="Arial" w:eastAsia="Arial" w:hAnsi="Arial"/>
          <w:sz w:val="12"/>
          <w:szCs w:val="12"/>
          <w:color w:val="FFFFFF"/>
        </w:rPr>
        <w:t>and the Board of</w:t>
      </w:r>
    </w:p>
    <w:p>
      <w:pPr>
        <w:spacing w:after="0" w:line="1"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Directors</w:t>
      </w:r>
    </w:p>
    <w:p>
      <w:pPr>
        <w:spacing w:after="0" w:line="144" w:lineRule="exact"/>
        <w:rPr>
          <w:sz w:val="20"/>
          <w:szCs w:val="20"/>
          <w:color w:val="auto"/>
        </w:rPr>
      </w:pPr>
    </w:p>
    <w:p>
      <w:pPr>
        <w:jc w:val="center"/>
        <w:ind w:left="620"/>
        <w:spacing w:after="0"/>
        <w:rPr>
          <w:sz w:val="20"/>
          <w:szCs w:val="20"/>
          <w:color w:val="auto"/>
        </w:rPr>
      </w:pPr>
      <w:r>
        <w:rPr>
          <w:rFonts w:ascii="Arial" w:cs="Arial" w:eastAsia="Arial" w:hAnsi="Arial"/>
          <w:sz w:val="12"/>
          <w:szCs w:val="12"/>
          <w:color w:val="FFFFFF"/>
        </w:rPr>
        <w:t>Proposal 1</w:t>
      </w:r>
    </w:p>
    <w:p>
      <w:pPr>
        <w:spacing w:after="0" w:line="156"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Information</w:t>
      </w:r>
    </w:p>
    <w:p>
      <w:pPr>
        <w:ind w:left="1120"/>
        <w:spacing w:after="0" w:line="224" w:lineRule="auto"/>
        <w:rPr>
          <w:sz w:val="20"/>
          <w:szCs w:val="20"/>
          <w:color w:val="auto"/>
        </w:rPr>
      </w:pPr>
      <w:r>
        <w:rPr>
          <w:rFonts w:ascii="Arial" w:cs="Arial" w:eastAsia="Arial" w:hAnsi="Arial"/>
          <w:sz w:val="12"/>
          <w:szCs w:val="12"/>
          <w:color w:val="FFFFFF"/>
        </w:rPr>
        <w:t>Regarding Board</w:t>
      </w:r>
    </w:p>
    <w:p>
      <w:pPr>
        <w:ind w:left="1120"/>
        <w:spacing w:after="0" w:line="222" w:lineRule="auto"/>
        <w:rPr>
          <w:sz w:val="20"/>
          <w:szCs w:val="20"/>
          <w:color w:val="auto"/>
        </w:rPr>
      </w:pPr>
      <w:r>
        <w:rPr>
          <w:rFonts w:ascii="Arial" w:cs="Arial" w:eastAsia="Arial" w:hAnsi="Arial"/>
          <w:sz w:val="12"/>
          <w:szCs w:val="12"/>
          <w:color w:val="FFFFFF"/>
        </w:rPr>
        <w:t>and Committee</w:t>
      </w:r>
    </w:p>
    <w:p>
      <w:pPr>
        <w:ind w:left="1120"/>
        <w:spacing w:after="0"/>
        <w:rPr>
          <w:sz w:val="20"/>
          <w:szCs w:val="20"/>
          <w:color w:val="auto"/>
        </w:rPr>
      </w:pPr>
      <w:r>
        <w:rPr>
          <w:rFonts w:ascii="Arial" w:cs="Arial" w:eastAsia="Arial" w:hAnsi="Arial"/>
          <w:sz w:val="12"/>
          <w:szCs w:val="12"/>
          <w:color w:val="FFFFFF"/>
        </w:rPr>
        <w:t>Structure</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Board of Directors</w:t>
      </w:r>
    </w:p>
    <w:p>
      <w:pPr>
        <w:spacing w:after="0" w:line="2"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Compensation</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Compensation</w:t>
      </w:r>
    </w:p>
    <w:p>
      <w:pPr>
        <w:ind w:left="1120"/>
        <w:spacing w:after="0" w:line="224" w:lineRule="auto"/>
        <w:rPr>
          <w:sz w:val="20"/>
          <w:szCs w:val="20"/>
          <w:color w:val="auto"/>
        </w:rPr>
      </w:pPr>
      <w:r>
        <w:rPr>
          <w:rFonts w:ascii="Arial" w:cs="Arial" w:eastAsia="Arial" w:hAnsi="Arial"/>
          <w:sz w:val="12"/>
          <w:szCs w:val="12"/>
          <w:color w:val="FFFFFF"/>
        </w:rPr>
        <w:t>Discussion and</w:t>
      </w:r>
    </w:p>
    <w:p>
      <w:pPr>
        <w:ind w:left="1120"/>
        <w:spacing w:after="0"/>
        <w:rPr>
          <w:sz w:val="20"/>
          <w:szCs w:val="20"/>
          <w:color w:val="auto"/>
        </w:rPr>
      </w:pPr>
      <w:r>
        <w:rPr>
          <w:rFonts w:ascii="Arial" w:cs="Arial" w:eastAsia="Arial" w:hAnsi="Arial"/>
          <w:sz w:val="12"/>
          <w:szCs w:val="12"/>
          <w:color w:val="FFFFFF"/>
        </w:rPr>
        <w:t>Analysis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Report of the</w:t>
      </w:r>
    </w:p>
    <w:p>
      <w:pPr>
        <w:ind w:left="1120"/>
        <w:spacing w:after="0" w:line="224" w:lineRule="auto"/>
        <w:rPr>
          <w:sz w:val="20"/>
          <w:szCs w:val="20"/>
          <w:color w:val="auto"/>
        </w:rPr>
      </w:pPr>
      <w:r>
        <w:rPr>
          <w:rFonts w:ascii="Arial" w:cs="Arial" w:eastAsia="Arial" w:hAnsi="Arial"/>
          <w:sz w:val="12"/>
          <w:szCs w:val="12"/>
          <w:color w:val="FFFFFF"/>
        </w:rPr>
        <w:t>Compensation</w:t>
      </w:r>
    </w:p>
    <w:p>
      <w:pPr>
        <w:ind w:left="1120"/>
        <w:spacing w:after="0" w:line="222" w:lineRule="auto"/>
        <w:rPr>
          <w:sz w:val="20"/>
          <w:szCs w:val="20"/>
          <w:color w:val="auto"/>
        </w:rPr>
      </w:pPr>
      <w:r>
        <w:rPr>
          <w:rFonts w:ascii="Arial" w:cs="Arial" w:eastAsia="Arial" w:hAnsi="Arial"/>
          <w:sz w:val="12"/>
          <w:szCs w:val="12"/>
          <w:color w:val="FFFFFF"/>
        </w:rPr>
        <w:t>and Human</w:t>
      </w:r>
    </w:p>
    <w:p>
      <w:pPr>
        <w:ind w:left="1120"/>
        <w:spacing w:after="0" w:line="222" w:lineRule="auto"/>
        <w:rPr>
          <w:sz w:val="20"/>
          <w:szCs w:val="20"/>
          <w:color w:val="auto"/>
        </w:rPr>
      </w:pPr>
      <w:r>
        <w:rPr>
          <w:rFonts w:ascii="Arial" w:cs="Arial" w:eastAsia="Arial" w:hAnsi="Arial"/>
          <w:sz w:val="12"/>
          <w:szCs w:val="12"/>
          <w:color w:val="FFFFFF"/>
        </w:rPr>
        <w:t>Resources</w:t>
      </w:r>
    </w:p>
    <w:p>
      <w:pPr>
        <w:ind w:left="1120"/>
        <w:spacing w:after="0" w:line="222" w:lineRule="auto"/>
        <w:rPr>
          <w:sz w:val="20"/>
          <w:szCs w:val="20"/>
          <w:color w:val="auto"/>
        </w:rPr>
      </w:pPr>
      <w:r>
        <w:rPr>
          <w:rFonts w:ascii="Arial" w:cs="Arial" w:eastAsia="Arial" w:hAnsi="Arial"/>
          <w:sz w:val="12"/>
          <w:szCs w:val="12"/>
          <w:color w:val="FFFFFF"/>
        </w:rPr>
        <w:t>Committee of the</w:t>
      </w:r>
    </w:p>
    <w:p>
      <w:pPr>
        <w:ind w:left="1120"/>
        <w:spacing w:after="0"/>
        <w:rPr>
          <w:sz w:val="20"/>
          <w:szCs w:val="20"/>
          <w:color w:val="auto"/>
        </w:rPr>
      </w:pPr>
      <w:r>
        <w:rPr>
          <w:rFonts w:ascii="Arial" w:cs="Arial" w:eastAsia="Arial" w:hAnsi="Arial"/>
          <w:sz w:val="12"/>
          <w:szCs w:val="12"/>
          <w:color w:val="FFFFFF"/>
        </w:rPr>
        <w:t>Board of Directors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Compensation of</w:t>
      </w:r>
    </w:p>
    <w:p>
      <w:pPr>
        <w:ind w:left="1120"/>
        <w:spacing w:after="0" w:line="224" w:lineRule="auto"/>
        <w:rPr>
          <w:sz w:val="20"/>
          <w:szCs w:val="20"/>
          <w:color w:val="auto"/>
        </w:rPr>
      </w:pPr>
      <w:r>
        <w:rPr>
          <w:rFonts w:ascii="Arial" w:cs="Arial" w:eastAsia="Arial" w:hAnsi="Arial"/>
          <w:sz w:val="12"/>
          <w:szCs w:val="12"/>
          <w:color w:val="FFFFFF"/>
        </w:rPr>
        <w:t>Named Executive</w:t>
      </w:r>
    </w:p>
    <w:p>
      <w:pPr>
        <w:ind w:left="1120"/>
        <w:spacing w:after="0"/>
        <w:rPr>
          <w:sz w:val="20"/>
          <w:szCs w:val="20"/>
          <w:color w:val="auto"/>
        </w:rPr>
      </w:pPr>
      <w:r>
        <w:rPr>
          <w:rFonts w:ascii="Arial" w:cs="Arial" w:eastAsia="Arial" w:hAnsi="Arial"/>
          <w:sz w:val="12"/>
          <w:szCs w:val="12"/>
          <w:color w:val="FFFFFF"/>
        </w:rPr>
        <w:t>Officers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Pay Versus</w:t>
      </w:r>
    </w:p>
    <w:p>
      <w:pPr>
        <w:ind w:left="1120"/>
        <w:spacing w:after="0" w:line="224" w:lineRule="auto"/>
        <w:rPr>
          <w:sz w:val="20"/>
          <w:szCs w:val="20"/>
          <w:color w:val="auto"/>
        </w:rPr>
      </w:pPr>
      <w:r>
        <w:rPr>
          <w:rFonts w:ascii="Arial" w:cs="Arial" w:eastAsia="Arial" w:hAnsi="Arial"/>
          <w:sz w:val="12"/>
          <w:szCs w:val="12"/>
          <w:color w:val="FFFFFF"/>
        </w:rPr>
        <w:t>Performance</w:t>
      </w:r>
    </w:p>
    <w:p>
      <w:pPr>
        <w:ind w:left="1120"/>
        <w:spacing w:after="0"/>
        <w:rPr>
          <w:sz w:val="20"/>
          <w:szCs w:val="20"/>
          <w:color w:val="auto"/>
        </w:rPr>
      </w:pPr>
      <w:r>
        <w:rPr>
          <w:rFonts w:ascii="Arial" w:cs="Arial" w:eastAsia="Arial" w:hAnsi="Arial"/>
          <w:sz w:val="12"/>
          <w:szCs w:val="12"/>
          <w:color w:val="FFFFFF"/>
        </w:rPr>
        <w:t>Disclosure</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Security</w:t>
      </w:r>
    </w:p>
    <w:p>
      <w:pPr>
        <w:ind w:left="1120"/>
        <w:spacing w:after="0" w:line="224" w:lineRule="auto"/>
        <w:rPr>
          <w:sz w:val="20"/>
          <w:szCs w:val="20"/>
          <w:color w:val="auto"/>
        </w:rPr>
      </w:pPr>
      <w:r>
        <w:rPr>
          <w:rFonts w:ascii="Arial" w:cs="Arial" w:eastAsia="Arial" w:hAnsi="Arial"/>
          <w:sz w:val="12"/>
          <w:szCs w:val="12"/>
          <w:color w:val="FFFFFF"/>
        </w:rPr>
        <w:t>Ownership of</w:t>
      </w:r>
    </w:p>
    <w:p>
      <w:pPr>
        <w:ind w:left="1120"/>
        <w:spacing w:after="0" w:line="222" w:lineRule="auto"/>
        <w:rPr>
          <w:sz w:val="20"/>
          <w:szCs w:val="20"/>
          <w:color w:val="auto"/>
        </w:rPr>
      </w:pPr>
      <w:r>
        <w:rPr>
          <w:rFonts w:ascii="Arial" w:cs="Arial" w:eastAsia="Arial" w:hAnsi="Arial"/>
          <w:sz w:val="12"/>
          <w:szCs w:val="12"/>
          <w:color w:val="FFFFFF"/>
        </w:rPr>
        <w:t>Certain Beneficial</w:t>
      </w:r>
    </w:p>
    <w:p>
      <w:pPr>
        <w:ind w:left="1120"/>
        <w:spacing w:after="0" w:line="222" w:lineRule="auto"/>
        <w:rPr>
          <w:sz w:val="20"/>
          <w:szCs w:val="20"/>
          <w:color w:val="auto"/>
        </w:rPr>
      </w:pPr>
      <w:r>
        <w:rPr>
          <w:rFonts w:ascii="Arial" w:cs="Arial" w:eastAsia="Arial" w:hAnsi="Arial"/>
          <w:sz w:val="12"/>
          <w:szCs w:val="12"/>
          <w:color w:val="FFFFFF"/>
        </w:rPr>
        <w:t>Owners and</w:t>
      </w:r>
    </w:p>
    <w:p>
      <w:pPr>
        <w:ind w:left="1120"/>
        <w:spacing w:after="0"/>
        <w:rPr>
          <w:sz w:val="20"/>
          <w:szCs w:val="20"/>
          <w:color w:val="auto"/>
        </w:rPr>
      </w:pPr>
      <w:r>
        <w:rPr>
          <w:rFonts w:ascii="Arial" w:cs="Arial" w:eastAsia="Arial" w:hAnsi="Arial"/>
          <w:sz w:val="12"/>
          <w:szCs w:val="12"/>
          <w:color w:val="FFFFFF"/>
        </w:rPr>
        <w:t>Management</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Certain</w:t>
      </w:r>
    </w:p>
    <w:p>
      <w:pPr>
        <w:ind w:left="1120"/>
        <w:spacing w:after="0" w:line="224" w:lineRule="auto"/>
        <w:rPr>
          <w:sz w:val="20"/>
          <w:szCs w:val="20"/>
          <w:color w:val="auto"/>
        </w:rPr>
      </w:pPr>
      <w:r>
        <w:rPr>
          <w:rFonts w:ascii="Arial" w:cs="Arial" w:eastAsia="Arial" w:hAnsi="Arial"/>
          <w:sz w:val="12"/>
          <w:szCs w:val="12"/>
          <w:color w:val="FFFFFF"/>
        </w:rPr>
        <w:t>Relationships and</w:t>
      </w:r>
    </w:p>
    <w:p>
      <w:pPr>
        <w:ind w:left="1120"/>
        <w:spacing w:after="0" w:line="222" w:lineRule="auto"/>
        <w:rPr>
          <w:sz w:val="20"/>
          <w:szCs w:val="20"/>
          <w:color w:val="auto"/>
        </w:rPr>
      </w:pPr>
      <w:r>
        <w:rPr>
          <w:rFonts w:ascii="Arial" w:cs="Arial" w:eastAsia="Arial" w:hAnsi="Arial"/>
          <w:sz w:val="12"/>
          <w:szCs w:val="12"/>
          <w:color w:val="FFFFFF"/>
        </w:rPr>
        <w:t>Related Party</w:t>
      </w:r>
    </w:p>
    <w:p>
      <w:pPr>
        <w:ind w:left="1120"/>
        <w:spacing w:after="0"/>
        <w:rPr>
          <w:sz w:val="20"/>
          <w:szCs w:val="20"/>
          <w:color w:val="auto"/>
        </w:rPr>
      </w:pPr>
      <w:r>
        <w:rPr>
          <w:rFonts w:ascii="Arial" w:cs="Arial" w:eastAsia="Arial" w:hAnsi="Arial"/>
          <w:sz w:val="12"/>
          <w:szCs w:val="12"/>
          <w:color w:val="FFFFFF"/>
        </w:rPr>
        <w:t>Transactions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Proposal 2</w:t>
      </w:r>
    </w:p>
    <w:p>
      <w:pPr>
        <w:spacing w:after="0" w:line="156"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Report of the</w:t>
      </w:r>
    </w:p>
    <w:p>
      <w:pPr>
        <w:ind w:left="1120"/>
        <w:spacing w:after="0" w:line="224" w:lineRule="auto"/>
        <w:rPr>
          <w:sz w:val="20"/>
          <w:szCs w:val="20"/>
          <w:color w:val="auto"/>
        </w:rPr>
      </w:pPr>
      <w:r>
        <w:rPr>
          <w:rFonts w:ascii="Arial" w:cs="Arial" w:eastAsia="Arial" w:hAnsi="Arial"/>
          <w:sz w:val="12"/>
          <w:szCs w:val="12"/>
          <w:color w:val="FFFFFF"/>
        </w:rPr>
        <w:t>Audit and Risk</w:t>
      </w:r>
    </w:p>
    <w:p>
      <w:pPr>
        <w:ind w:left="1120"/>
        <w:spacing w:after="0" w:line="222" w:lineRule="auto"/>
        <w:rPr>
          <w:sz w:val="20"/>
          <w:szCs w:val="20"/>
          <w:color w:val="auto"/>
        </w:rPr>
      </w:pPr>
      <w:r>
        <w:rPr>
          <w:rFonts w:ascii="Arial" w:cs="Arial" w:eastAsia="Arial" w:hAnsi="Arial"/>
          <w:sz w:val="12"/>
          <w:szCs w:val="12"/>
          <w:color w:val="FFFFFF"/>
        </w:rPr>
        <w:t>Committee of the</w:t>
      </w:r>
    </w:p>
    <w:p>
      <w:pPr>
        <w:ind w:left="1120"/>
        <w:spacing w:after="0"/>
        <w:rPr>
          <w:sz w:val="20"/>
          <w:szCs w:val="20"/>
          <w:color w:val="auto"/>
        </w:rPr>
      </w:pPr>
      <w:r>
        <w:rPr>
          <w:rFonts w:ascii="Arial" w:cs="Arial" w:eastAsia="Arial" w:hAnsi="Arial"/>
          <w:sz w:val="12"/>
          <w:szCs w:val="12"/>
          <w:color w:val="FFFFFF"/>
        </w:rPr>
        <w:t>Board of Directors</w:t>
      </w:r>
    </w:p>
    <w:p>
      <w:pPr>
        <w:spacing w:after="0" w:line="144" w:lineRule="exact"/>
        <w:rPr>
          <w:sz w:val="20"/>
          <w:szCs w:val="20"/>
          <w:color w:val="auto"/>
        </w:rPr>
      </w:pPr>
    </w:p>
    <w:p>
      <w:pPr>
        <w:jc w:val="center"/>
        <w:ind w:left="620"/>
        <w:spacing w:after="0"/>
        <w:rPr>
          <w:sz w:val="20"/>
          <w:szCs w:val="20"/>
          <w:color w:val="auto"/>
        </w:rPr>
      </w:pPr>
      <w:r>
        <w:rPr>
          <w:rFonts w:ascii="Arial" w:cs="Arial" w:eastAsia="Arial" w:hAnsi="Arial"/>
          <w:sz w:val="12"/>
          <w:szCs w:val="12"/>
          <w:color w:val="FFFFFF"/>
        </w:rPr>
        <w:t>Proposal 3</w:t>
      </w:r>
    </w:p>
    <w:p>
      <w:pPr>
        <w:spacing w:after="0" w:line="156" w:lineRule="exact"/>
        <w:rPr>
          <w:sz w:val="20"/>
          <w:szCs w:val="20"/>
          <w:color w:val="auto"/>
        </w:rPr>
      </w:pPr>
    </w:p>
    <w:p>
      <w:pPr>
        <w:jc w:val="center"/>
        <w:ind w:left="620"/>
        <w:spacing w:after="0"/>
        <w:rPr>
          <w:sz w:val="20"/>
          <w:szCs w:val="20"/>
          <w:color w:val="auto"/>
        </w:rPr>
      </w:pPr>
      <w:r>
        <w:rPr>
          <w:rFonts w:ascii="Arial" w:cs="Arial" w:eastAsia="Arial" w:hAnsi="Arial"/>
          <w:sz w:val="12"/>
          <w:szCs w:val="12"/>
          <w:color w:val="FFFFFF"/>
        </w:rPr>
        <w:t>Proposal 4</w:t>
      </w:r>
    </w:p>
    <w:p>
      <w:pPr>
        <w:spacing w:after="0" w:line="156" w:lineRule="exact"/>
        <w:rPr>
          <w:sz w:val="20"/>
          <w:szCs w:val="20"/>
          <w:color w:val="auto"/>
        </w:rPr>
      </w:pPr>
    </w:p>
    <w:p>
      <w:pPr>
        <w:jc w:val="center"/>
        <w:ind w:left="620"/>
        <w:spacing w:after="0"/>
        <w:rPr>
          <w:sz w:val="20"/>
          <w:szCs w:val="20"/>
          <w:color w:val="auto"/>
        </w:rPr>
      </w:pPr>
      <w:r>
        <w:rPr>
          <w:rFonts w:ascii="Arial" w:cs="Arial" w:eastAsia="Arial" w:hAnsi="Arial"/>
          <w:sz w:val="12"/>
          <w:szCs w:val="12"/>
          <w:color w:val="FFFFFF"/>
        </w:rPr>
        <w:t>Proposal 5</w:t>
      </w:r>
    </w:p>
    <w:p>
      <w:pPr>
        <w:spacing w:after="0" w:line="156"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Proposal 6</w:t>
      </w:r>
    </w:p>
    <w:p>
      <w:pPr>
        <w:spacing w:after="0" w:line="156"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Stockholder</w:t>
      </w:r>
    </w:p>
    <w:p>
      <w:pPr>
        <w:ind w:left="1120"/>
        <w:spacing w:after="0" w:line="224" w:lineRule="auto"/>
        <w:rPr>
          <w:sz w:val="20"/>
          <w:szCs w:val="20"/>
          <w:color w:val="auto"/>
        </w:rPr>
      </w:pPr>
      <w:r>
        <w:rPr>
          <w:rFonts w:ascii="Arial" w:cs="Arial" w:eastAsia="Arial" w:hAnsi="Arial"/>
          <w:sz w:val="12"/>
          <w:szCs w:val="12"/>
          <w:color w:val="FFFFFF"/>
        </w:rPr>
        <w:t>Proposals and</w:t>
      </w:r>
    </w:p>
    <w:p>
      <w:pPr>
        <w:ind w:left="1120"/>
        <w:spacing w:after="0"/>
        <w:rPr>
          <w:sz w:val="20"/>
          <w:szCs w:val="20"/>
          <w:color w:val="auto"/>
        </w:rPr>
      </w:pPr>
      <w:r>
        <w:rPr>
          <w:rFonts w:ascii="Arial" w:cs="Arial" w:eastAsia="Arial" w:hAnsi="Arial"/>
          <w:sz w:val="12"/>
          <w:szCs w:val="12"/>
          <w:color w:val="FFFFFF"/>
        </w:rPr>
        <w:t>Other Matters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Delinquent</w:t>
      </w:r>
    </w:p>
    <w:p>
      <w:pPr>
        <w:ind w:left="1120"/>
        <w:spacing w:after="0" w:line="224" w:lineRule="auto"/>
        <w:rPr>
          <w:sz w:val="20"/>
          <w:szCs w:val="20"/>
          <w:color w:val="auto"/>
        </w:rPr>
      </w:pPr>
      <w:r>
        <w:rPr>
          <w:rFonts w:ascii="Arial" w:cs="Arial" w:eastAsia="Arial" w:hAnsi="Arial"/>
          <w:sz w:val="12"/>
          <w:szCs w:val="12"/>
          <w:color w:val="FFFFFF"/>
        </w:rPr>
        <w:t>Section 16(a)</w:t>
      </w:r>
    </w:p>
    <w:p>
      <w:pPr>
        <w:ind w:left="1120"/>
        <w:spacing w:after="0"/>
        <w:rPr>
          <w:sz w:val="20"/>
          <w:szCs w:val="20"/>
          <w:color w:val="auto"/>
        </w:rPr>
      </w:pPr>
      <w:r>
        <w:rPr>
          <w:rFonts w:ascii="Arial" w:cs="Arial" w:eastAsia="Arial" w:hAnsi="Arial"/>
          <w:sz w:val="12"/>
          <w:szCs w:val="12"/>
          <w:color w:val="FFFFFF"/>
        </w:rPr>
        <w:t>Reports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Other</w:t>
      </w:r>
    </w:p>
    <w:p>
      <w:pPr>
        <w:spacing w:after="0" w:line="2"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Information</w:t>
      </w:r>
    </w:p>
    <w:p>
      <w:pPr>
        <w:spacing w:after="0" w:line="144" w:lineRule="exact"/>
        <w:rPr>
          <w:sz w:val="20"/>
          <w:szCs w:val="20"/>
          <w:color w:val="auto"/>
        </w:rPr>
      </w:pPr>
    </w:p>
    <w:p>
      <w:pPr>
        <w:jc w:val="center"/>
        <w:ind w:left="660"/>
        <w:spacing w:after="0"/>
        <w:rPr>
          <w:sz w:val="20"/>
          <w:szCs w:val="20"/>
          <w:color w:val="auto"/>
        </w:rPr>
      </w:pPr>
      <w:r>
        <w:rPr>
          <w:rFonts w:ascii="Arial" w:cs="Arial" w:eastAsia="Arial" w:hAnsi="Arial"/>
          <w:sz w:val="12"/>
          <w:szCs w:val="12"/>
          <w:color w:val="FFFFFF"/>
        </w:rPr>
        <w:t>Appendix A</w:t>
      </w:r>
    </w:p>
    <w:p>
      <w:pPr>
        <w:spacing w:after="0" w:line="156" w:lineRule="exact"/>
        <w:rPr>
          <w:sz w:val="20"/>
          <w:szCs w:val="20"/>
          <w:color w:val="auto"/>
        </w:rPr>
      </w:pPr>
    </w:p>
    <w:p>
      <w:pPr>
        <w:jc w:val="center"/>
        <w:ind w:left="660"/>
        <w:spacing w:after="0"/>
        <w:rPr>
          <w:sz w:val="20"/>
          <w:szCs w:val="20"/>
          <w:color w:val="auto"/>
        </w:rPr>
      </w:pPr>
      <w:r>
        <w:rPr>
          <w:rFonts w:ascii="Arial" w:cs="Arial" w:eastAsia="Arial" w:hAnsi="Arial"/>
          <w:sz w:val="12"/>
          <w:szCs w:val="12"/>
          <w:color w:val="FFFFFF"/>
        </w:rPr>
        <w:t>Appendix 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24"/>
          <w:szCs w:val="24"/>
          <w:color w:val="B95827"/>
        </w:rPr>
        <w:t>Voting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-1737995</wp:posOffset>
            </wp:positionH>
            <wp:positionV relativeFrom="paragraph">
              <wp:posOffset>-800735</wp:posOffset>
            </wp:positionV>
            <wp:extent cx="7181215" cy="533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81215" cy="5334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90170</wp:posOffset>
            </wp:positionV>
            <wp:extent cx="5065395" cy="8915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065395" cy="891540"/>
                    </a:xfrm>
                    <a:prstGeom prst="rect">
                      <a:avLst/>
                    </a:prstGeom>
                    <a:noFill/>
                  </pic:spPr>
                </pic:pic>
              </a:graphicData>
            </a:graphic>
          </wp:anchor>
        </w:drawing>
      </w:r>
    </w:p>
    <w:p>
      <w:pPr>
        <w:spacing w:after="0" w:line="182" w:lineRule="exact"/>
        <w:rPr>
          <w:sz w:val="20"/>
          <w:szCs w:val="20"/>
          <w:color w:val="auto"/>
        </w:rPr>
      </w:pPr>
    </w:p>
    <w:p>
      <w:pPr>
        <w:ind w:left="160"/>
        <w:spacing w:after="0"/>
        <w:rPr>
          <w:sz w:val="20"/>
          <w:szCs w:val="20"/>
          <w:color w:val="auto"/>
        </w:rPr>
      </w:pPr>
      <w:r>
        <w:rPr>
          <w:rFonts w:ascii="Arial" w:cs="Arial" w:eastAsia="Arial" w:hAnsi="Arial"/>
          <w:sz w:val="17"/>
          <w:szCs w:val="17"/>
          <w:b w:val="1"/>
          <w:bCs w:val="1"/>
          <w:color w:val="B95827"/>
        </w:rPr>
        <w:t xml:space="preserve">PROPOSAL ONE </w:t>
      </w:r>
      <w:r>
        <w:rPr>
          <w:rFonts w:ascii="Arial" w:cs="Arial" w:eastAsia="Arial" w:hAnsi="Arial"/>
          <w:sz w:val="17"/>
          <w:szCs w:val="17"/>
          <w:b w:val="1"/>
          <w:bCs w:val="1"/>
          <w:color w:val="000000"/>
        </w:rPr>
        <w:t>— Election of Directors</w:t>
      </w:r>
    </w:p>
    <w:p>
      <w:pPr>
        <w:spacing w:after="0" w:line="115" w:lineRule="exact"/>
        <w:rPr>
          <w:sz w:val="20"/>
          <w:szCs w:val="20"/>
          <w:color w:val="auto"/>
        </w:rPr>
      </w:pPr>
    </w:p>
    <w:p>
      <w:pPr>
        <w:ind w:left="160" w:right="80"/>
        <w:spacing w:after="0" w:line="258" w:lineRule="auto"/>
        <w:rPr>
          <w:sz w:val="20"/>
          <w:szCs w:val="20"/>
          <w:color w:val="auto"/>
        </w:rPr>
      </w:pPr>
      <w:r>
        <w:rPr>
          <w:rFonts w:ascii="Arial" w:cs="Arial" w:eastAsia="Arial" w:hAnsi="Arial"/>
          <w:sz w:val="15"/>
          <w:szCs w:val="15"/>
          <w:color w:val="auto"/>
        </w:rPr>
        <w:t>Our bylaws provide that a nominee for director will be elected if the number of votes properly cast “for” such nominee’s election exceeds the number of votes properly cast “against” such nominee’s election; however, if the number of persons properly nominated for election to the Board of Directors exceeds the number of directors to be elected, the directors will be elected by the plurality of the votes properly cast. A vote to abstain or a broker non-vote will have no direct effect on the outcome of the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213360</wp:posOffset>
            </wp:positionV>
            <wp:extent cx="5065395" cy="664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065395" cy="664845"/>
                    </a:xfrm>
                    <a:prstGeom prst="rect">
                      <a:avLst/>
                    </a:prstGeom>
                    <a:noFill/>
                  </pic:spPr>
                </pic:pic>
              </a:graphicData>
            </a:graphic>
          </wp:anchor>
        </w:drawing>
      </w:r>
    </w:p>
    <w:p>
      <w:pPr>
        <w:spacing w:after="0" w:line="376" w:lineRule="exact"/>
        <w:rPr>
          <w:sz w:val="20"/>
          <w:szCs w:val="20"/>
          <w:color w:val="auto"/>
        </w:rPr>
      </w:pPr>
    </w:p>
    <w:p>
      <w:pPr>
        <w:ind w:left="160"/>
        <w:spacing w:after="0"/>
        <w:rPr>
          <w:sz w:val="20"/>
          <w:szCs w:val="20"/>
          <w:color w:val="auto"/>
        </w:rPr>
      </w:pPr>
      <w:r>
        <w:rPr>
          <w:rFonts w:ascii="Arial" w:cs="Arial" w:eastAsia="Arial" w:hAnsi="Arial"/>
          <w:sz w:val="17"/>
          <w:szCs w:val="17"/>
          <w:color w:val="B95827"/>
        </w:rPr>
        <w:t xml:space="preserve">PROPOSAL TWO </w:t>
      </w:r>
      <w:r>
        <w:rPr>
          <w:rFonts w:ascii="Arial" w:cs="Arial" w:eastAsia="Arial" w:hAnsi="Arial"/>
          <w:sz w:val="17"/>
          <w:szCs w:val="17"/>
          <w:b w:val="1"/>
          <w:bCs w:val="1"/>
          <w:color w:val="000000"/>
        </w:rPr>
        <w:t>— Ratification of Appointment of Deloitte &amp; Touche LLP</w:t>
      </w:r>
    </w:p>
    <w:p>
      <w:pPr>
        <w:spacing w:after="0" w:line="115" w:lineRule="exact"/>
        <w:rPr>
          <w:sz w:val="20"/>
          <w:szCs w:val="20"/>
          <w:color w:val="auto"/>
        </w:rPr>
      </w:pPr>
    </w:p>
    <w:p>
      <w:pPr>
        <w:ind w:left="160"/>
        <w:spacing w:after="0" w:line="268" w:lineRule="auto"/>
        <w:rPr>
          <w:sz w:val="20"/>
          <w:szCs w:val="20"/>
          <w:color w:val="auto"/>
        </w:rPr>
      </w:pPr>
      <w:r>
        <w:rPr>
          <w:rFonts w:ascii="Arial" w:cs="Arial" w:eastAsia="Arial" w:hAnsi="Arial"/>
          <w:sz w:val="15"/>
          <w:szCs w:val="15"/>
          <w:color w:val="auto"/>
        </w:rPr>
        <w:t>The proposal to ratify the appointment of Deloitte &amp; Touche LLP will be determined by a majority of the votes cast on the matter affirmatively or negatively in person or by proxy at the Annual Meeting. A vote to abstain or a broker non-vote will have no direct effect on the outcome of the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208280</wp:posOffset>
            </wp:positionV>
            <wp:extent cx="5065395" cy="11264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065395" cy="1126490"/>
                    </a:xfrm>
                    <a:prstGeom prst="rect">
                      <a:avLst/>
                    </a:prstGeom>
                    <a:noFill/>
                  </pic:spPr>
                </pic:pic>
              </a:graphicData>
            </a:graphic>
          </wp:anchor>
        </w:drawing>
      </w:r>
    </w:p>
    <w:p>
      <w:pPr>
        <w:spacing w:after="0" w:line="368" w:lineRule="exact"/>
        <w:rPr>
          <w:sz w:val="20"/>
          <w:szCs w:val="20"/>
          <w:color w:val="auto"/>
        </w:rPr>
      </w:pPr>
    </w:p>
    <w:p>
      <w:pPr>
        <w:ind w:left="160" w:right="720"/>
        <w:spacing w:after="0" w:line="279" w:lineRule="auto"/>
        <w:rPr>
          <w:sz w:val="20"/>
          <w:szCs w:val="20"/>
          <w:color w:val="auto"/>
        </w:rPr>
      </w:pPr>
      <w:r>
        <w:rPr>
          <w:rFonts w:ascii="Arial" w:cs="Arial" w:eastAsia="Arial" w:hAnsi="Arial"/>
          <w:sz w:val="17"/>
          <w:szCs w:val="17"/>
          <w:color w:val="B95827"/>
        </w:rPr>
        <w:t xml:space="preserve">PROPOSAL THREE </w:t>
      </w:r>
      <w:r>
        <w:rPr>
          <w:rFonts w:ascii="Arial" w:cs="Arial" w:eastAsia="Arial" w:hAnsi="Arial"/>
          <w:sz w:val="17"/>
          <w:szCs w:val="17"/>
          <w:b w:val="1"/>
          <w:bCs w:val="1"/>
          <w:color w:val="000000"/>
        </w:rPr>
        <w:t>— Approval, in an Advisory Vote, of the Compensation Paid to the</w:t>
      </w:r>
      <w:r>
        <w:rPr>
          <w:rFonts w:ascii="Arial" w:cs="Arial" w:eastAsia="Arial" w:hAnsi="Arial"/>
          <w:sz w:val="17"/>
          <w:szCs w:val="17"/>
          <w:color w:val="B95827"/>
        </w:rPr>
        <w:t xml:space="preserve"> </w:t>
      </w:r>
      <w:r>
        <w:rPr>
          <w:rFonts w:ascii="Arial" w:cs="Arial" w:eastAsia="Arial" w:hAnsi="Arial"/>
          <w:sz w:val="17"/>
          <w:szCs w:val="17"/>
          <w:b w:val="1"/>
          <w:bCs w:val="1"/>
          <w:color w:val="000000"/>
        </w:rPr>
        <w:t>Company’s Named Executive Officers</w:t>
      </w:r>
    </w:p>
    <w:p>
      <w:pPr>
        <w:spacing w:after="0" w:line="48" w:lineRule="exact"/>
        <w:rPr>
          <w:sz w:val="20"/>
          <w:szCs w:val="20"/>
          <w:color w:val="auto"/>
        </w:rPr>
      </w:pPr>
    </w:p>
    <w:p>
      <w:pPr>
        <w:ind w:left="160" w:right="40"/>
        <w:spacing w:after="0" w:line="256" w:lineRule="auto"/>
        <w:rPr>
          <w:sz w:val="20"/>
          <w:szCs w:val="20"/>
          <w:color w:val="auto"/>
        </w:rPr>
      </w:pPr>
      <w:r>
        <w:rPr>
          <w:rFonts w:ascii="Arial" w:cs="Arial" w:eastAsia="Arial" w:hAnsi="Arial"/>
          <w:sz w:val="15"/>
          <w:szCs w:val="15"/>
          <w:color w:val="auto"/>
        </w:rPr>
        <w:t>Because the proposal to approve, on an advisory basis, the compensation awarded to named executive officers for the fiscal year ended December 31, 2025 is a non-binding, advisory vote, there is no required vote that would constitute approval. Although the vote is advisory and non-binding in nature, the compensation and human resources committee (the “Compensation Committee”) will consider the outcome of the vote when considering future named executive officer compensation arrangements. A vote to abstain or a broker non-vote will have no direct effect on the outcome of the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214630</wp:posOffset>
            </wp:positionV>
            <wp:extent cx="5065395" cy="11347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065395" cy="1134745"/>
                    </a:xfrm>
                    <a:prstGeom prst="rect">
                      <a:avLst/>
                    </a:prstGeom>
                    <a:noFill/>
                  </pic:spPr>
                </pic:pic>
              </a:graphicData>
            </a:graphic>
          </wp:anchor>
        </w:drawing>
      </w:r>
    </w:p>
    <w:p>
      <w:pPr>
        <w:spacing w:after="0" w:line="377" w:lineRule="exact"/>
        <w:rPr>
          <w:sz w:val="20"/>
          <w:szCs w:val="20"/>
          <w:color w:val="auto"/>
        </w:rPr>
      </w:pPr>
    </w:p>
    <w:p>
      <w:pPr>
        <w:ind w:left="160"/>
        <w:spacing w:after="0"/>
        <w:rPr>
          <w:sz w:val="20"/>
          <w:szCs w:val="20"/>
          <w:color w:val="auto"/>
        </w:rPr>
      </w:pPr>
      <w:r>
        <w:rPr>
          <w:rFonts w:ascii="Arial" w:cs="Arial" w:eastAsia="Arial" w:hAnsi="Arial"/>
          <w:sz w:val="17"/>
          <w:szCs w:val="17"/>
          <w:color w:val="B95827"/>
        </w:rPr>
        <w:t xml:space="preserve">PROPOSAL FOUR </w:t>
      </w:r>
      <w:r>
        <w:rPr>
          <w:rFonts w:ascii="Arial" w:cs="Arial" w:eastAsia="Arial" w:hAnsi="Arial"/>
          <w:sz w:val="17"/>
          <w:szCs w:val="17"/>
          <w:b w:val="1"/>
          <w:bCs w:val="1"/>
          <w:color w:val="000000"/>
        </w:rPr>
        <w:t>— Adoption of an Amendment and Restatement of Our Charter to Eliminate</w:t>
      </w:r>
    </w:p>
    <w:p>
      <w:pPr>
        <w:spacing w:after="0" w:line="12" w:lineRule="exact"/>
        <w:rPr>
          <w:sz w:val="20"/>
          <w:szCs w:val="20"/>
          <w:color w:val="auto"/>
        </w:rPr>
      </w:pPr>
    </w:p>
    <w:p>
      <w:pPr>
        <w:ind w:left="160" w:right="780"/>
        <w:spacing w:after="0" w:line="260" w:lineRule="auto"/>
        <w:rPr>
          <w:sz w:val="20"/>
          <w:szCs w:val="20"/>
          <w:color w:val="auto"/>
        </w:rPr>
      </w:pPr>
      <w:r>
        <w:rPr>
          <w:rFonts w:ascii="Arial" w:cs="Arial" w:eastAsia="Arial" w:hAnsi="Arial"/>
          <w:sz w:val="17"/>
          <w:szCs w:val="17"/>
          <w:b w:val="1"/>
          <w:bCs w:val="1"/>
          <w:color w:val="auto"/>
        </w:rPr>
        <w:t>Supermajority Voting Requirements, Eliminate Obsolete Provisions and Make Certain Non-Substantive Changes</w:t>
      </w:r>
    </w:p>
    <w:p>
      <w:pPr>
        <w:spacing w:after="0" w:line="63" w:lineRule="exact"/>
        <w:rPr>
          <w:sz w:val="20"/>
          <w:szCs w:val="20"/>
          <w:color w:val="auto"/>
        </w:rPr>
      </w:pPr>
    </w:p>
    <w:p>
      <w:pPr>
        <w:ind w:left="160" w:right="160"/>
        <w:spacing w:after="0" w:line="224" w:lineRule="auto"/>
        <w:rPr>
          <w:sz w:val="20"/>
          <w:szCs w:val="20"/>
          <w:color w:val="auto"/>
        </w:rPr>
      </w:pPr>
      <w:r>
        <w:rPr>
          <w:rFonts w:ascii="Arial" w:cs="Arial" w:eastAsia="Arial" w:hAnsi="Arial"/>
          <w:sz w:val="15"/>
          <w:szCs w:val="15"/>
          <w:color w:val="auto"/>
        </w:rPr>
        <w:t xml:space="preserve">The proposal to adopt an amendment and restatement of our Charter to eliminate supermajority voting requirements, eliminate obsolete provisions and make certain non-substantive changes requires the affirmative vote of the holders of at least sixty-six and two-thirds percent (66 </w:t>
      </w:r>
      <w:r>
        <w:rPr>
          <w:rFonts w:ascii="Arial" w:cs="Arial" w:eastAsia="Arial" w:hAnsi="Arial"/>
          <w:sz w:val="25"/>
          <w:szCs w:val="25"/>
          <w:color w:val="auto"/>
          <w:vertAlign w:val="superscript"/>
        </w:rPr>
        <w:t>2</w:t>
      </w:r>
      <w:r>
        <w:rPr>
          <w:rFonts w:ascii="Arial" w:cs="Arial" w:eastAsia="Arial" w:hAnsi="Arial"/>
          <w:sz w:val="15"/>
          <w:szCs w:val="15"/>
          <w:color w:val="auto"/>
        </w:rPr>
        <w:t>⁄</w:t>
      </w:r>
      <w:r>
        <w:rPr>
          <w:rFonts w:ascii="Arial" w:cs="Arial" w:eastAsia="Arial" w:hAnsi="Arial"/>
          <w:sz w:val="12"/>
          <w:szCs w:val="12"/>
          <w:color w:val="auto"/>
        </w:rPr>
        <w:t>3</w:t>
      </w:r>
      <w:r>
        <w:rPr>
          <w:rFonts w:ascii="Arial" w:cs="Arial" w:eastAsia="Arial" w:hAnsi="Arial"/>
          <w:sz w:val="15"/>
          <w:szCs w:val="15"/>
          <w:color w:val="auto"/>
        </w:rPr>
        <w:t>%) of the voting power of the outstanding shares of Common Stock. A vote to abstain or a broker non-vote will have the effect of a vote against the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222885</wp:posOffset>
            </wp:positionV>
            <wp:extent cx="5065395" cy="664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065395" cy="664845"/>
                    </a:xfrm>
                    <a:prstGeom prst="rect">
                      <a:avLst/>
                    </a:prstGeom>
                    <a:noFill/>
                  </pic:spPr>
                </pic:pic>
              </a:graphicData>
            </a:graphic>
          </wp:anchor>
        </w:drawing>
      </w:r>
    </w:p>
    <w:p>
      <w:pPr>
        <w:spacing w:after="0" w:line="390" w:lineRule="exact"/>
        <w:rPr>
          <w:sz w:val="20"/>
          <w:szCs w:val="20"/>
          <w:color w:val="auto"/>
        </w:rPr>
      </w:pPr>
    </w:p>
    <w:p>
      <w:pPr>
        <w:ind w:left="160"/>
        <w:spacing w:after="0"/>
        <w:rPr>
          <w:sz w:val="20"/>
          <w:szCs w:val="20"/>
          <w:color w:val="auto"/>
        </w:rPr>
      </w:pPr>
      <w:r>
        <w:rPr>
          <w:rFonts w:ascii="Arial" w:cs="Arial" w:eastAsia="Arial" w:hAnsi="Arial"/>
          <w:sz w:val="17"/>
          <w:szCs w:val="17"/>
          <w:color w:val="B95827"/>
        </w:rPr>
        <w:t xml:space="preserve">PROPOSAL FIVE </w:t>
      </w:r>
      <w:r>
        <w:rPr>
          <w:rFonts w:ascii="Arial" w:cs="Arial" w:eastAsia="Arial" w:hAnsi="Arial"/>
          <w:sz w:val="17"/>
          <w:szCs w:val="17"/>
          <w:b w:val="1"/>
          <w:bCs w:val="1"/>
          <w:color w:val="000000"/>
        </w:rPr>
        <w:t>— Adoption of the Exculpatory Amendments to Our Charter</w:t>
      </w:r>
    </w:p>
    <w:p>
      <w:pPr>
        <w:spacing w:after="0" w:line="115" w:lineRule="exact"/>
        <w:rPr>
          <w:sz w:val="20"/>
          <w:szCs w:val="20"/>
          <w:color w:val="auto"/>
        </w:rPr>
      </w:pPr>
    </w:p>
    <w:p>
      <w:pPr>
        <w:ind w:left="160" w:right="120"/>
        <w:spacing w:after="0" w:line="268" w:lineRule="auto"/>
        <w:rPr>
          <w:sz w:val="20"/>
          <w:szCs w:val="20"/>
          <w:color w:val="auto"/>
        </w:rPr>
      </w:pPr>
      <w:r>
        <w:rPr>
          <w:rFonts w:ascii="Arial" w:cs="Arial" w:eastAsia="Arial" w:hAnsi="Arial"/>
          <w:sz w:val="15"/>
          <w:szCs w:val="15"/>
          <w:color w:val="auto"/>
        </w:rPr>
        <w:t>The proposal to adopt amendments to our Charter to provide for officer exculpation requires the affirmative vote of the holders of at least a majority of the outstanding shares of Common Stock. A vote to abstain or a broker non-vote will have the effect of a vote against the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208280</wp:posOffset>
            </wp:positionV>
            <wp:extent cx="5065395" cy="664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065395" cy="664845"/>
                    </a:xfrm>
                    <a:prstGeom prst="rect">
                      <a:avLst/>
                    </a:prstGeom>
                    <a:noFill/>
                  </pic:spPr>
                </pic:pic>
              </a:graphicData>
            </a:graphic>
          </wp:anchor>
        </w:drawing>
      </w:r>
    </w:p>
    <w:p>
      <w:pPr>
        <w:spacing w:after="0" w:line="368" w:lineRule="exact"/>
        <w:rPr>
          <w:sz w:val="20"/>
          <w:szCs w:val="20"/>
          <w:color w:val="auto"/>
        </w:rPr>
      </w:pPr>
    </w:p>
    <w:p>
      <w:pPr>
        <w:ind w:left="160"/>
        <w:spacing w:after="0"/>
        <w:rPr>
          <w:sz w:val="20"/>
          <w:szCs w:val="20"/>
          <w:color w:val="auto"/>
        </w:rPr>
      </w:pPr>
      <w:r>
        <w:rPr>
          <w:rFonts w:ascii="Arial" w:cs="Arial" w:eastAsia="Arial" w:hAnsi="Arial"/>
          <w:sz w:val="17"/>
          <w:szCs w:val="17"/>
          <w:color w:val="B95827"/>
        </w:rPr>
        <w:t xml:space="preserve">PROPOSAL SIX </w:t>
      </w:r>
      <w:r>
        <w:rPr>
          <w:rFonts w:ascii="Arial" w:cs="Arial" w:eastAsia="Arial" w:hAnsi="Arial"/>
          <w:sz w:val="17"/>
          <w:szCs w:val="17"/>
          <w:b w:val="1"/>
          <w:bCs w:val="1"/>
          <w:color w:val="000000"/>
        </w:rPr>
        <w:t>— Adoption of the Corporate Opportunities Amendments to Our Charter</w:t>
      </w:r>
    </w:p>
    <w:p>
      <w:pPr>
        <w:spacing w:after="0" w:line="115" w:lineRule="exact"/>
        <w:rPr>
          <w:sz w:val="20"/>
          <w:szCs w:val="20"/>
          <w:color w:val="auto"/>
        </w:rPr>
      </w:pPr>
    </w:p>
    <w:p>
      <w:pPr>
        <w:jc w:val="both"/>
        <w:ind w:left="160" w:right="120"/>
        <w:spacing w:after="0" w:line="268" w:lineRule="auto"/>
        <w:rPr>
          <w:sz w:val="20"/>
          <w:szCs w:val="20"/>
          <w:color w:val="auto"/>
        </w:rPr>
      </w:pPr>
      <w:r>
        <w:rPr>
          <w:rFonts w:ascii="Arial" w:cs="Arial" w:eastAsia="Arial" w:hAnsi="Arial"/>
          <w:sz w:val="15"/>
          <w:szCs w:val="15"/>
          <w:color w:val="auto"/>
        </w:rPr>
        <w:t>The proposal to adopt amendments to our Charter to remove the corporate opportunities provision requires the affirmative vote of eighty percent (80%) of the voting power of the outstanding shares of Common Stock. A vote to abstain or a broker non-vote will have the effect of a vote against the proposal.</w:t>
      </w:r>
    </w:p>
    <w:p>
      <w:pPr>
        <w:spacing w:after="0" w:line="1656" w:lineRule="exact"/>
        <w:rPr>
          <w:sz w:val="20"/>
          <w:szCs w:val="20"/>
          <w:color w:val="auto"/>
        </w:rPr>
      </w:pPr>
    </w:p>
    <w:p>
      <w:pPr>
        <w:sectPr>
          <w:pgSz w:w="11900" w:h="16838" w:orient="portrait"/>
          <w:cols w:equalWidth="0" w:num="2">
            <w:col w:w="2160" w:space="560"/>
            <w:col w:w="7820"/>
          </w:cols>
          <w:pgMar w:left="320" w:top="464" w:right="1039" w:bottom="1440" w:gutter="0" w:footer="0" w:header="0"/>
        </w:sectPr>
      </w:pPr>
    </w:p>
    <w:p>
      <w:pPr>
        <w:spacing w:after="0" w:line="200" w:lineRule="exact"/>
        <w:rPr>
          <w:sz w:val="20"/>
          <w:szCs w:val="20"/>
          <w:color w:val="auto"/>
        </w:rPr>
      </w:pPr>
    </w:p>
    <w:p>
      <w:pPr>
        <w:spacing w:after="0" w:line="385" w:lineRule="exact"/>
        <w:rPr>
          <w:sz w:val="20"/>
          <w:szCs w:val="20"/>
          <w:color w:val="auto"/>
        </w:rPr>
      </w:pPr>
    </w:p>
    <w:p>
      <w:pPr>
        <w:ind w:left="420"/>
        <w:spacing w:after="0"/>
        <w:tabs>
          <w:tab w:leader="none" w:pos="2380" w:val="left"/>
          <w:tab w:leader="none" w:pos="2800" w:val="left"/>
        </w:tabs>
        <w:rPr>
          <w:sz w:val="20"/>
          <w:szCs w:val="20"/>
          <w:color w:val="auto"/>
        </w:rPr>
      </w:pPr>
      <w:r>
        <w:rPr>
          <w:rFonts w:ascii="Arial" w:cs="Arial" w:eastAsia="Arial" w:hAnsi="Arial"/>
          <w:sz w:val="30"/>
          <w:szCs w:val="30"/>
          <w:color w:val="000000"/>
          <w:vertAlign w:val="superscript"/>
        </w:rPr>
        <w:t xml:space="preserve">             </w:t>
      </w:r>
      <w:r>
        <w:rPr>
          <w:sz w:val="20"/>
          <w:szCs w:val="20"/>
          <w:color w:val="auto"/>
        </w:rPr>
        <w:tab/>
      </w:r>
      <w:r>
        <w:rPr>
          <w:rFonts w:ascii="Arial" w:cs="Arial" w:eastAsia="Arial" w:hAnsi="Arial"/>
          <w:sz w:val="31"/>
          <w:szCs w:val="31"/>
          <w:color w:val="auto"/>
          <w:vertAlign w:val="superscript"/>
        </w:rPr>
        <w:t xml:space="preserve">    </w:t>
      </w:r>
      <w:r>
        <w:rPr>
          <w:sz w:val="20"/>
          <w:szCs w:val="20"/>
          <w:color w:val="auto"/>
        </w:rPr>
        <w:tab/>
      </w:r>
      <w:r>
        <w:rPr>
          <w:rFonts w:ascii="Arial" w:cs="Arial" w:eastAsia="Arial" w:hAnsi="Arial"/>
          <w:sz w:val="15"/>
          <w:szCs w:val="15"/>
          <w:b w:val="1"/>
          <w:bCs w:val="1"/>
          <w:color w:val="002B5F"/>
        </w:rPr>
        <w:t xml:space="preserve">4  </w:t>
      </w:r>
      <w:r>
        <w:rPr>
          <w:rFonts w:ascii="Arial" w:cs="Arial" w:eastAsia="Arial" w:hAnsi="Arial"/>
          <w:sz w:val="20"/>
          <w:szCs w:val="20"/>
          <w:color w:val="002B5F"/>
        </w:rPr>
        <w:t>|</w:t>
      </w:r>
      <w:r>
        <w:rPr>
          <w:rFonts w:ascii="Arial" w:cs="Arial" w:eastAsia="Arial" w:hAnsi="Arial"/>
          <w:sz w:val="15"/>
          <w:szCs w:val="15"/>
          <w:b w:val="1"/>
          <w:bCs w:val="1"/>
          <w:color w:val="002B5F"/>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6111875</wp:posOffset>
            </wp:positionH>
            <wp:positionV relativeFrom="paragraph">
              <wp:posOffset>-208915</wp:posOffset>
            </wp:positionV>
            <wp:extent cx="769620" cy="971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69620" cy="97155"/>
                    </a:xfrm>
                    <a:prstGeom prst="rect">
                      <a:avLst/>
                    </a:prstGeom>
                    <a:noFill/>
                  </pic:spPr>
                </pic:pic>
              </a:graphicData>
            </a:graphic>
          </wp:anchor>
        </w:drawing>
      </w:r>
    </w:p>
    <w:p>
      <w:pPr>
        <w:sectPr>
          <w:pgSz w:w="11900" w:h="16838" w:orient="portrait"/>
          <w:cols w:equalWidth="0" w:num="1">
            <w:col w:w="10540"/>
          </w:cols>
          <w:pgMar w:left="320" w:top="464" w:right="103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533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81215" cy="5334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5617845</wp:posOffset>
            </wp:positionH>
            <wp:positionV relativeFrom="paragraph">
              <wp:posOffset>253365</wp:posOffset>
            </wp:positionV>
            <wp:extent cx="1256030" cy="74720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56030" cy="7472045"/>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ind w:left="540"/>
        <w:spacing w:after="0"/>
        <w:rPr>
          <w:sz w:val="20"/>
          <w:szCs w:val="20"/>
          <w:color w:val="auto"/>
        </w:rPr>
      </w:pPr>
      <w:r>
        <w:rPr>
          <w:rFonts w:ascii="Arial" w:cs="Arial" w:eastAsia="Arial" w:hAnsi="Arial"/>
          <w:sz w:val="24"/>
          <w:szCs w:val="24"/>
          <w:color w:val="B95827"/>
        </w:rPr>
        <w:t>Revocation of Proxies</w:t>
      </w:r>
    </w:p>
    <w:tbl>
      <w:tblPr>
        <w:tblLayout w:type="fixed"/>
        <w:tblInd w:w="540" w:type="dxa"/>
        <w:tblCellMar>
          <w:top w:w="0" w:type="dxa"/>
          <w:left w:w="0" w:type="dxa"/>
          <w:bottom w:w="0" w:type="dxa"/>
          <w:right w:w="0" w:type="dxa"/>
        </w:tblCellMar>
      </w:tblPr>
      <w:tr>
        <w:trPr>
          <w:trHeight w:val="146"/>
        </w:trPr>
        <w:tc>
          <w:tcPr>
            <w:tcW w:w="8540" w:type="dxa"/>
            <w:vAlign w:val="bottom"/>
          </w:tcPr>
          <w:p>
            <w:pPr>
              <w:ind w:left="8340"/>
              <w:spacing w:after="0" w:line="146" w:lineRule="exact"/>
              <w:rPr>
                <w:sz w:val="20"/>
                <w:szCs w:val="20"/>
                <w:color w:val="auto"/>
              </w:rPr>
            </w:pPr>
            <w:r>
              <w:rPr>
                <w:rFonts w:ascii="Arial" w:cs="Arial" w:eastAsia="Arial" w:hAnsi="Arial"/>
                <w:sz w:val="15"/>
                <w:szCs w:val="15"/>
                <w:color w:val="auto"/>
              </w:rPr>
              <w:t> </w:t>
            </w:r>
          </w:p>
        </w:tc>
        <w:tc>
          <w:tcPr>
            <w:tcW w:w="1280" w:type="dxa"/>
            <w:vAlign w:val="bottom"/>
          </w:tcPr>
          <w:p>
            <w:pPr>
              <w:ind w:left="140"/>
              <w:spacing w:after="0"/>
              <w:rPr>
                <w:sz w:val="20"/>
                <w:szCs w:val="20"/>
                <w:color w:val="auto"/>
              </w:rPr>
            </w:pPr>
            <w:r>
              <w:rPr>
                <w:rFonts w:ascii="Arial" w:cs="Arial" w:eastAsia="Arial" w:hAnsi="Arial"/>
                <w:sz w:val="12"/>
                <w:szCs w:val="12"/>
                <w:b w:val="1"/>
                <w:bCs w:val="1"/>
                <w:color w:val="FFFFFF"/>
              </w:rPr>
              <w:t>General</w:t>
            </w:r>
          </w:p>
        </w:tc>
        <w:tc>
          <w:tcPr>
            <w:tcW w:w="440" w:type="dxa"/>
            <w:vAlign w:val="bottom"/>
          </w:tcPr>
          <w:p>
            <w:pPr>
              <w:ind w:left="80"/>
              <w:spacing w:after="0" w:line="146" w:lineRule="exact"/>
              <w:rPr>
                <w:sz w:val="20"/>
                <w:szCs w:val="20"/>
                <w:color w:val="auto"/>
              </w:rPr>
            </w:pPr>
            <w:r>
              <w:rPr>
                <w:rFonts w:ascii="Arial" w:cs="Arial" w:eastAsia="Arial" w:hAnsi="Arial"/>
                <w:sz w:val="15"/>
                <w:szCs w:val="15"/>
                <w:color w:val="auto"/>
              </w:rPr>
              <w:t xml:space="preserve">       </w:t>
            </w:r>
          </w:p>
        </w:tc>
        <w:tc>
          <w:tcPr>
            <w:tcW w:w="0" w:type="dxa"/>
            <w:vAlign w:val="bottom"/>
          </w:tcPr>
          <w:p>
            <w:pPr>
              <w:spacing w:after="0"/>
              <w:rPr>
                <w:sz w:val="1"/>
                <w:szCs w:val="1"/>
                <w:color w:val="auto"/>
              </w:rPr>
            </w:pPr>
          </w:p>
        </w:tc>
      </w:tr>
      <w:tr>
        <w:trPr>
          <w:trHeight w:val="154"/>
        </w:trPr>
        <w:tc>
          <w:tcPr>
            <w:tcW w:w="8540" w:type="dxa"/>
            <w:vAlign w:val="bottom"/>
          </w:tcPr>
          <w:p>
            <w:pPr>
              <w:spacing w:after="0" w:line="154" w:lineRule="exact"/>
              <w:rPr>
                <w:sz w:val="20"/>
                <w:szCs w:val="20"/>
                <w:color w:val="auto"/>
              </w:rPr>
            </w:pPr>
            <w:r>
              <w:rPr>
                <w:rFonts w:ascii="Arial" w:cs="Arial" w:eastAsia="Arial" w:hAnsi="Arial"/>
                <w:sz w:val="15"/>
                <w:szCs w:val="15"/>
                <w:color w:val="auto"/>
              </w:rPr>
              <w:t>If you submit a proxy, you are entitled to revoke your proxy at any time before it is exercised in one of the following</w:t>
            </w:r>
          </w:p>
        </w:tc>
        <w:tc>
          <w:tcPr>
            <w:tcW w:w="1280" w:type="dxa"/>
            <w:vAlign w:val="bottom"/>
          </w:tcPr>
          <w:p>
            <w:pPr>
              <w:ind w:left="140"/>
              <w:spacing w:after="0"/>
              <w:rPr>
                <w:sz w:val="20"/>
                <w:szCs w:val="20"/>
                <w:color w:val="auto"/>
              </w:rPr>
            </w:pPr>
            <w:r>
              <w:rPr>
                <w:rFonts w:ascii="Arial" w:cs="Arial" w:eastAsia="Arial" w:hAnsi="Arial"/>
                <w:sz w:val="12"/>
                <w:szCs w:val="12"/>
                <w:b w:val="1"/>
                <w:bCs w:val="1"/>
                <w:color w:val="FFFFFF"/>
              </w:rPr>
              <w:t>Information</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1"/>
        </w:trPr>
        <w:tc>
          <w:tcPr>
            <w:tcW w:w="8540" w:type="dxa"/>
            <w:vAlign w:val="bottom"/>
          </w:tcPr>
          <w:p>
            <w:pPr>
              <w:spacing w:after="0"/>
              <w:rPr>
                <w:sz w:val="20"/>
                <w:szCs w:val="20"/>
                <w:color w:val="auto"/>
              </w:rPr>
            </w:pPr>
            <w:r>
              <w:rPr>
                <w:rFonts w:ascii="Arial" w:cs="Arial" w:eastAsia="Arial" w:hAnsi="Arial"/>
                <w:sz w:val="15"/>
                <w:szCs w:val="15"/>
                <w:color w:val="auto"/>
              </w:rPr>
              <w:t>ways:</w:t>
            </w:r>
          </w:p>
        </w:tc>
        <w:tc>
          <w:tcPr>
            <w:tcW w:w="1280" w:type="dxa"/>
            <w:vAlign w:val="bottom"/>
            <w:vMerge w:val="restart"/>
          </w:tcPr>
          <w:p>
            <w:pPr>
              <w:ind w:left="140"/>
              <w:spacing w:after="0"/>
              <w:rPr>
                <w:sz w:val="20"/>
                <w:szCs w:val="20"/>
                <w:color w:val="auto"/>
              </w:rPr>
            </w:pPr>
            <w:r>
              <w:rPr>
                <w:rFonts w:ascii="Arial" w:cs="Arial" w:eastAsia="Arial" w:hAnsi="Arial"/>
                <w:sz w:val="12"/>
                <w:szCs w:val="12"/>
                <w:color w:val="FFFFFF"/>
              </w:rPr>
              <w:t>General Information</w:t>
            </w: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6"/>
        </w:trPr>
        <w:tc>
          <w:tcPr>
            <w:tcW w:w="85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8540" w:type="dxa"/>
            <w:vAlign w:val="bottom"/>
            <w:vMerge w:val="restart"/>
          </w:tcPr>
          <w:p>
            <w:pPr>
              <w:spacing w:after="0"/>
              <w:rPr>
                <w:sz w:val="20"/>
                <w:szCs w:val="20"/>
                <w:color w:val="auto"/>
              </w:rPr>
            </w:pPr>
            <w:r>
              <w:rPr>
                <w:rFonts w:ascii="Arial" w:cs="Arial" w:eastAsia="Arial" w:hAnsi="Arial"/>
                <w:sz w:val="15"/>
                <w:szCs w:val="15"/>
                <w:color w:val="auto"/>
              </w:rPr>
              <w:t>•   by attending and voting during the Annual Meeting;</w:t>
            </w:r>
          </w:p>
        </w:tc>
        <w:tc>
          <w:tcPr>
            <w:tcW w:w="1280" w:type="dxa"/>
            <w:vAlign w:val="bottom"/>
          </w:tcPr>
          <w:p>
            <w:pPr>
              <w:ind w:left="140"/>
              <w:spacing w:after="0" w:line="128" w:lineRule="exact"/>
              <w:rPr>
                <w:sz w:val="20"/>
                <w:szCs w:val="20"/>
                <w:color w:val="auto"/>
              </w:rPr>
            </w:pPr>
            <w:r>
              <w:rPr>
                <w:rFonts w:ascii="Arial" w:cs="Arial" w:eastAsia="Arial" w:hAnsi="Arial"/>
                <w:sz w:val="12"/>
                <w:szCs w:val="12"/>
                <w:color w:val="FFFFFF"/>
              </w:rPr>
              <w:t>About Corporate</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540" w:type="dxa"/>
            <w:vAlign w:val="bottom"/>
            <w:vMerge w:val="continue"/>
          </w:tcPr>
          <w:p>
            <w:pPr>
              <w:spacing w:after="0"/>
              <w:rPr>
                <w:sz w:val="11"/>
                <w:szCs w:val="11"/>
                <w:color w:val="auto"/>
              </w:rPr>
            </w:pPr>
          </w:p>
        </w:tc>
        <w:tc>
          <w:tcPr>
            <w:tcW w:w="1280" w:type="dxa"/>
            <w:vAlign w:val="bottom"/>
          </w:tcPr>
          <w:p>
            <w:pPr>
              <w:ind w:left="140"/>
              <w:spacing w:after="0" w:line="128" w:lineRule="exact"/>
              <w:rPr>
                <w:sz w:val="20"/>
                <w:szCs w:val="20"/>
                <w:color w:val="auto"/>
              </w:rPr>
            </w:pPr>
            <w:r>
              <w:rPr>
                <w:rFonts w:ascii="Arial" w:cs="Arial" w:eastAsia="Arial" w:hAnsi="Arial"/>
                <w:sz w:val="12"/>
                <w:szCs w:val="12"/>
                <w:color w:val="FFFFFF"/>
              </w:rPr>
              <w:t>Governance</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540" w:type="dxa"/>
            <w:vAlign w:val="bottom"/>
            <w:vMerge w:val="restart"/>
          </w:tcPr>
          <w:p>
            <w:pPr>
              <w:spacing w:after="0"/>
              <w:rPr>
                <w:sz w:val="20"/>
                <w:szCs w:val="20"/>
                <w:color w:val="auto"/>
              </w:rPr>
            </w:pPr>
            <w:r>
              <w:rPr>
                <w:rFonts w:ascii="Arial" w:cs="Arial" w:eastAsia="Arial" w:hAnsi="Arial"/>
                <w:sz w:val="15"/>
                <w:szCs w:val="15"/>
                <w:color w:val="auto"/>
              </w:rPr>
              <w:t>•   by submitting a duly executed proxy bearing a later date; or</w:t>
            </w:r>
          </w:p>
        </w:tc>
        <w:tc>
          <w:tcPr>
            <w:tcW w:w="1280" w:type="dxa"/>
            <w:vAlign w:val="bottom"/>
          </w:tcPr>
          <w:p>
            <w:pPr>
              <w:ind w:left="140"/>
              <w:spacing w:after="0" w:line="128" w:lineRule="exact"/>
              <w:rPr>
                <w:sz w:val="20"/>
                <w:szCs w:val="20"/>
                <w:color w:val="auto"/>
              </w:rPr>
            </w:pPr>
            <w:r>
              <w:rPr>
                <w:rFonts w:ascii="Arial" w:cs="Arial" w:eastAsia="Arial" w:hAnsi="Arial"/>
                <w:sz w:val="12"/>
                <w:szCs w:val="12"/>
                <w:color w:val="FFFFFF"/>
              </w:rPr>
              <w:t>and the Board of</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8540" w:type="dxa"/>
            <w:vAlign w:val="bottom"/>
            <w:vMerge w:val="continue"/>
          </w:tcPr>
          <w:p>
            <w:pPr>
              <w:spacing w:after="0"/>
              <w:rPr>
                <w:sz w:val="14"/>
                <w:szCs w:val="14"/>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Directors</w:t>
            </w: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2"/>
        </w:trPr>
        <w:tc>
          <w:tcPr>
            <w:tcW w:w="8540" w:type="dxa"/>
            <w:vAlign w:val="bottom"/>
          </w:tcPr>
          <w:p>
            <w:pPr>
              <w:spacing w:after="0"/>
              <w:rPr>
                <w:sz w:val="20"/>
                <w:szCs w:val="20"/>
                <w:color w:val="auto"/>
              </w:rPr>
            </w:pPr>
            <w:r>
              <w:rPr>
                <w:rFonts w:ascii="Arial" w:cs="Arial" w:eastAsia="Arial" w:hAnsi="Arial"/>
                <w:sz w:val="15"/>
                <w:szCs w:val="15"/>
                <w:color w:val="auto"/>
              </w:rPr>
              <w:t>•   by sending written notice of revocation to our corporate secretary at LPL Financial Holdings Inc., 1055 LPL Way,</w:t>
            </w:r>
          </w:p>
        </w:tc>
        <w:tc>
          <w:tcPr>
            <w:tcW w:w="1280" w:type="dxa"/>
            <w:vAlign w:val="bottom"/>
          </w:tcPr>
          <w:p>
            <w:pPr>
              <w:ind w:left="140"/>
              <w:spacing w:after="0"/>
              <w:rPr>
                <w:sz w:val="20"/>
                <w:szCs w:val="20"/>
                <w:color w:val="auto"/>
              </w:rPr>
            </w:pPr>
            <w:r>
              <w:rPr>
                <w:rFonts w:ascii="Arial" w:cs="Arial" w:eastAsia="Arial" w:hAnsi="Arial"/>
                <w:sz w:val="12"/>
                <w:szCs w:val="12"/>
                <w:color w:val="FFFFFF"/>
              </w:rPr>
              <w:t>Proposal 1</w:t>
            </w:r>
          </w:p>
        </w:tc>
        <w:tc>
          <w:tcPr>
            <w:tcW w:w="4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1"/>
        </w:trPr>
        <w:tc>
          <w:tcPr>
            <w:tcW w:w="8540" w:type="dxa"/>
            <w:vAlign w:val="bottom"/>
          </w:tcPr>
          <w:p>
            <w:pPr>
              <w:ind w:left="260"/>
              <w:spacing w:after="0"/>
              <w:rPr>
                <w:sz w:val="20"/>
                <w:szCs w:val="20"/>
                <w:color w:val="auto"/>
              </w:rPr>
            </w:pPr>
            <w:r>
              <w:rPr>
                <w:rFonts w:ascii="Arial" w:cs="Arial" w:eastAsia="Arial" w:hAnsi="Arial"/>
                <w:sz w:val="15"/>
                <w:szCs w:val="15"/>
                <w:color w:val="auto"/>
              </w:rPr>
              <w:t>Fort Mill, South Carolina 29715.</w:t>
            </w:r>
          </w:p>
        </w:tc>
        <w:tc>
          <w:tcPr>
            <w:tcW w:w="1280" w:type="dxa"/>
            <w:vAlign w:val="bottom"/>
            <w:vMerge w:val="restart"/>
          </w:tcPr>
          <w:p>
            <w:pPr>
              <w:ind w:left="140"/>
              <w:spacing w:after="0"/>
              <w:rPr>
                <w:sz w:val="20"/>
                <w:szCs w:val="20"/>
                <w:color w:val="auto"/>
              </w:rPr>
            </w:pPr>
            <w:r>
              <w:rPr>
                <w:rFonts w:ascii="Arial" w:cs="Arial" w:eastAsia="Arial" w:hAnsi="Arial"/>
                <w:sz w:val="12"/>
                <w:szCs w:val="12"/>
                <w:color w:val="FFFFFF"/>
              </w:rPr>
              <w:t>Information</w:t>
            </w: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5"/>
        </w:trPr>
        <w:tc>
          <w:tcPr>
            <w:tcW w:w="854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8"/>
        </w:trPr>
        <w:tc>
          <w:tcPr>
            <w:tcW w:w="8540" w:type="dxa"/>
            <w:vAlign w:val="bottom"/>
          </w:tcPr>
          <w:p>
            <w:pPr>
              <w:spacing w:after="0" w:line="158" w:lineRule="exact"/>
              <w:rPr>
                <w:sz w:val="20"/>
                <w:szCs w:val="20"/>
                <w:color w:val="auto"/>
              </w:rPr>
            </w:pPr>
            <w:r>
              <w:rPr>
                <w:rFonts w:ascii="Arial" w:cs="Arial" w:eastAsia="Arial" w:hAnsi="Arial"/>
                <w:sz w:val="15"/>
                <w:szCs w:val="15"/>
                <w:color w:val="auto"/>
              </w:rPr>
              <w:t>A stockholder of record as of the Record Date who voted through the internet or by telephone may also change his</w:t>
            </w:r>
          </w:p>
        </w:tc>
        <w:tc>
          <w:tcPr>
            <w:tcW w:w="1280" w:type="dxa"/>
            <w:vAlign w:val="bottom"/>
          </w:tcPr>
          <w:p>
            <w:pPr>
              <w:ind w:left="140"/>
              <w:spacing w:after="0"/>
              <w:rPr>
                <w:sz w:val="20"/>
                <w:szCs w:val="20"/>
                <w:color w:val="auto"/>
              </w:rPr>
            </w:pPr>
            <w:r>
              <w:rPr>
                <w:rFonts w:ascii="Arial" w:cs="Arial" w:eastAsia="Arial" w:hAnsi="Arial"/>
                <w:sz w:val="12"/>
                <w:szCs w:val="12"/>
                <w:color w:val="FFFFFF"/>
              </w:rPr>
              <w:t>Regarding Board</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7"/>
        </w:trPr>
        <w:tc>
          <w:tcPr>
            <w:tcW w:w="8540" w:type="dxa"/>
            <w:vAlign w:val="bottom"/>
            <w:vMerge w:val="restart"/>
          </w:tcPr>
          <w:p>
            <w:pPr>
              <w:spacing w:after="0"/>
              <w:rPr>
                <w:sz w:val="20"/>
                <w:szCs w:val="20"/>
                <w:color w:val="auto"/>
              </w:rPr>
            </w:pPr>
            <w:r>
              <w:rPr>
                <w:rFonts w:ascii="Arial" w:cs="Arial" w:eastAsia="Arial" w:hAnsi="Arial"/>
                <w:sz w:val="15"/>
                <w:szCs w:val="15"/>
                <w:color w:val="auto"/>
              </w:rPr>
              <w:t>or her vote with a timely and valid later internet or telephone vote, as the case may be. Any stockholder of record as</w:t>
            </w:r>
          </w:p>
        </w:tc>
        <w:tc>
          <w:tcPr>
            <w:tcW w:w="1280" w:type="dxa"/>
            <w:vAlign w:val="bottom"/>
          </w:tcPr>
          <w:p>
            <w:pPr>
              <w:ind w:left="140"/>
              <w:spacing w:after="0" w:line="97" w:lineRule="exact"/>
              <w:rPr>
                <w:sz w:val="20"/>
                <w:szCs w:val="20"/>
                <w:color w:val="auto"/>
              </w:rPr>
            </w:pPr>
            <w:r>
              <w:rPr>
                <w:rFonts w:ascii="Arial" w:cs="Arial" w:eastAsia="Arial" w:hAnsi="Arial"/>
                <w:sz w:val="11"/>
                <w:szCs w:val="11"/>
                <w:color w:val="FFFFFF"/>
              </w:rPr>
              <w:t>and Committee</w:t>
            </w: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8540" w:type="dxa"/>
            <w:vAlign w:val="bottom"/>
            <w:vMerge w:val="continue"/>
          </w:tcPr>
          <w:p>
            <w:pPr>
              <w:spacing w:after="0"/>
              <w:rPr>
                <w:sz w:val="10"/>
                <w:szCs w:val="10"/>
                <w:color w:val="auto"/>
              </w:rPr>
            </w:pPr>
          </w:p>
        </w:tc>
        <w:tc>
          <w:tcPr>
            <w:tcW w:w="1280" w:type="dxa"/>
            <w:vAlign w:val="bottom"/>
          </w:tcPr>
          <w:p>
            <w:pPr>
              <w:ind w:left="140"/>
              <w:spacing w:after="0" w:line="120" w:lineRule="exact"/>
              <w:rPr>
                <w:sz w:val="20"/>
                <w:szCs w:val="20"/>
                <w:color w:val="auto"/>
              </w:rPr>
            </w:pPr>
            <w:r>
              <w:rPr>
                <w:rFonts w:ascii="Arial" w:cs="Arial" w:eastAsia="Arial" w:hAnsi="Arial"/>
                <w:sz w:val="12"/>
                <w:szCs w:val="12"/>
                <w:color w:val="FFFFFF"/>
              </w:rPr>
              <w:t>Structure</w:t>
            </w: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6"/>
        </w:trPr>
        <w:tc>
          <w:tcPr>
            <w:tcW w:w="8540" w:type="dxa"/>
            <w:vAlign w:val="bottom"/>
          </w:tcPr>
          <w:p>
            <w:pPr>
              <w:spacing w:after="0" w:line="167" w:lineRule="exact"/>
              <w:rPr>
                <w:sz w:val="20"/>
                <w:szCs w:val="20"/>
                <w:color w:val="auto"/>
              </w:rPr>
            </w:pPr>
            <w:r>
              <w:rPr>
                <w:rFonts w:ascii="Arial" w:cs="Arial" w:eastAsia="Arial" w:hAnsi="Arial"/>
                <w:sz w:val="15"/>
                <w:szCs w:val="15"/>
                <w:color w:val="auto"/>
              </w:rPr>
              <w:t>of the Record Date attending the Annual Meeting may vote during the meeting whether or not a proxy has</w:t>
            </w:r>
          </w:p>
        </w:tc>
        <w:tc>
          <w:tcPr>
            <w:tcW w:w="1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8540" w:type="dxa"/>
            <w:vAlign w:val="bottom"/>
          </w:tcPr>
          <w:p>
            <w:pPr>
              <w:spacing w:after="0" w:line="153" w:lineRule="exact"/>
              <w:rPr>
                <w:sz w:val="20"/>
                <w:szCs w:val="20"/>
                <w:color w:val="auto"/>
              </w:rPr>
            </w:pPr>
            <w:r>
              <w:rPr>
                <w:rFonts w:ascii="Arial" w:cs="Arial" w:eastAsia="Arial" w:hAnsi="Arial"/>
                <w:sz w:val="15"/>
                <w:szCs w:val="15"/>
                <w:color w:val="auto"/>
              </w:rPr>
              <w:t>previously been given, but a stockholder’s attendance at the Annual Meeting (without further action) will not</w:t>
            </w:r>
          </w:p>
        </w:tc>
        <w:tc>
          <w:tcPr>
            <w:tcW w:w="1280" w:type="dxa"/>
            <w:vAlign w:val="bottom"/>
          </w:tcPr>
          <w:p>
            <w:pPr>
              <w:ind w:left="140"/>
              <w:spacing w:after="0"/>
              <w:rPr>
                <w:sz w:val="20"/>
                <w:szCs w:val="20"/>
                <w:color w:val="auto"/>
              </w:rPr>
            </w:pPr>
            <w:r>
              <w:rPr>
                <w:rFonts w:ascii="Arial" w:cs="Arial" w:eastAsia="Arial" w:hAnsi="Arial"/>
                <w:sz w:val="12"/>
                <w:szCs w:val="12"/>
                <w:color w:val="FFFFFF"/>
              </w:rPr>
              <w:t>Board of Directors</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8540" w:type="dxa"/>
            <w:vAlign w:val="bottom"/>
            <w:vMerge w:val="restart"/>
          </w:tcPr>
          <w:p>
            <w:pPr>
              <w:spacing w:after="0"/>
              <w:rPr>
                <w:sz w:val="20"/>
                <w:szCs w:val="20"/>
                <w:color w:val="auto"/>
              </w:rPr>
            </w:pPr>
            <w:r>
              <w:rPr>
                <w:rFonts w:ascii="Arial" w:cs="Arial" w:eastAsia="Arial" w:hAnsi="Arial"/>
                <w:sz w:val="15"/>
                <w:szCs w:val="15"/>
                <w:color w:val="auto"/>
              </w:rPr>
              <w:t>constitute revocation of a previously given proxy. If you hold your shares in street name and would like to change</w:t>
            </w:r>
          </w:p>
        </w:tc>
        <w:tc>
          <w:tcPr>
            <w:tcW w:w="1280" w:type="dxa"/>
            <w:vAlign w:val="bottom"/>
          </w:tcPr>
          <w:p>
            <w:pPr>
              <w:ind w:left="140"/>
              <w:spacing w:after="0"/>
              <w:rPr>
                <w:sz w:val="20"/>
                <w:szCs w:val="20"/>
                <w:color w:val="auto"/>
              </w:rPr>
            </w:pPr>
            <w:r>
              <w:rPr>
                <w:rFonts w:ascii="Arial" w:cs="Arial" w:eastAsia="Arial" w:hAnsi="Arial"/>
                <w:sz w:val="12"/>
                <w:szCs w:val="12"/>
                <w:color w:val="FFFFFF"/>
              </w:rPr>
              <w:t>Compensation</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7"/>
        </w:trPr>
        <w:tc>
          <w:tcPr>
            <w:tcW w:w="8540" w:type="dxa"/>
            <w:vAlign w:val="bottom"/>
            <w:vMerge w:val="continue"/>
          </w:tcPr>
          <w:p>
            <w:pPr>
              <w:spacing w:after="0"/>
              <w:rPr>
                <w:sz w:val="4"/>
                <w:szCs w:val="4"/>
                <w:color w:val="auto"/>
              </w:rPr>
            </w:pPr>
          </w:p>
        </w:tc>
        <w:tc>
          <w:tcPr>
            <w:tcW w:w="128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9"/>
        </w:trPr>
        <w:tc>
          <w:tcPr>
            <w:tcW w:w="8540" w:type="dxa"/>
            <w:vAlign w:val="bottom"/>
          </w:tcPr>
          <w:p>
            <w:pPr>
              <w:spacing w:after="0"/>
              <w:rPr>
                <w:sz w:val="20"/>
                <w:szCs w:val="20"/>
                <w:color w:val="auto"/>
              </w:rPr>
            </w:pPr>
            <w:r>
              <w:rPr>
                <w:rFonts w:ascii="Arial" w:cs="Arial" w:eastAsia="Arial" w:hAnsi="Arial"/>
                <w:sz w:val="15"/>
                <w:szCs w:val="15"/>
                <w:color w:val="auto"/>
              </w:rPr>
              <w:t>your voting instructions, please follow the instructions provided to you by your broker, bank or other intermediary.</w:t>
            </w:r>
          </w:p>
        </w:tc>
        <w:tc>
          <w:tcPr>
            <w:tcW w:w="1280" w:type="dxa"/>
            <w:vAlign w:val="bottom"/>
          </w:tcPr>
          <w:p>
            <w:pPr>
              <w:ind w:left="140"/>
              <w:spacing w:after="0"/>
              <w:rPr>
                <w:sz w:val="20"/>
                <w:szCs w:val="20"/>
                <w:color w:val="auto"/>
              </w:rPr>
            </w:pPr>
            <w:r>
              <w:rPr>
                <w:rFonts w:ascii="Arial" w:cs="Arial" w:eastAsia="Arial" w:hAnsi="Arial"/>
                <w:sz w:val="12"/>
                <w:szCs w:val="12"/>
                <w:color w:val="FFFFFF"/>
              </w:rPr>
              <w:t>Compensation</w:t>
            </w: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8"/>
        </w:trPr>
        <w:tc>
          <w:tcPr>
            <w:tcW w:w="8540" w:type="dxa"/>
            <w:vAlign w:val="bottom"/>
          </w:tcPr>
          <w:p>
            <w:pPr>
              <w:spacing w:after="0"/>
              <w:rPr>
                <w:sz w:val="11"/>
                <w:szCs w:val="11"/>
                <w:color w:val="auto"/>
              </w:rPr>
            </w:pPr>
          </w:p>
        </w:tc>
        <w:tc>
          <w:tcPr>
            <w:tcW w:w="1280" w:type="dxa"/>
            <w:vAlign w:val="bottom"/>
          </w:tcPr>
          <w:p>
            <w:pPr>
              <w:ind w:left="140"/>
              <w:spacing w:after="0" w:line="128" w:lineRule="exact"/>
              <w:rPr>
                <w:sz w:val="20"/>
                <w:szCs w:val="20"/>
                <w:color w:val="auto"/>
              </w:rPr>
            </w:pPr>
            <w:r>
              <w:rPr>
                <w:rFonts w:ascii="Arial" w:cs="Arial" w:eastAsia="Arial" w:hAnsi="Arial"/>
                <w:sz w:val="12"/>
                <w:szCs w:val="12"/>
                <w:color w:val="FFFFFF"/>
              </w:rPr>
              <w:t>Discussion and</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8540" w:type="dxa"/>
            <w:vAlign w:val="bottom"/>
            <w:vMerge w:val="restart"/>
          </w:tcPr>
          <w:p>
            <w:pPr>
              <w:spacing w:after="0"/>
              <w:rPr>
                <w:sz w:val="20"/>
                <w:szCs w:val="20"/>
                <w:color w:val="auto"/>
              </w:rPr>
            </w:pPr>
            <w:r>
              <w:rPr>
                <w:rFonts w:ascii="Arial" w:cs="Arial" w:eastAsia="Arial" w:hAnsi="Arial"/>
                <w:sz w:val="24"/>
                <w:szCs w:val="24"/>
                <w:color w:val="B95827"/>
              </w:rPr>
              <w:t>Solicitation of Proxies</w:t>
            </w:r>
          </w:p>
        </w:tc>
        <w:tc>
          <w:tcPr>
            <w:tcW w:w="1280" w:type="dxa"/>
            <w:vAlign w:val="bottom"/>
          </w:tcPr>
          <w:p>
            <w:pPr>
              <w:ind w:left="140"/>
              <w:spacing w:after="0"/>
              <w:rPr>
                <w:sz w:val="20"/>
                <w:szCs w:val="20"/>
                <w:color w:val="auto"/>
              </w:rPr>
            </w:pPr>
            <w:r>
              <w:rPr>
                <w:rFonts w:ascii="Arial" w:cs="Arial" w:eastAsia="Arial" w:hAnsi="Arial"/>
                <w:sz w:val="12"/>
                <w:szCs w:val="12"/>
                <w:color w:val="FFFFFF"/>
              </w:rPr>
              <w:t>Analysis</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8540" w:type="dxa"/>
            <w:vAlign w:val="bottom"/>
            <w:vMerge w:val="continue"/>
          </w:tcPr>
          <w:p>
            <w:pPr>
              <w:spacing w:after="0"/>
              <w:rPr>
                <w:sz w:val="17"/>
                <w:szCs w:val="17"/>
                <w:color w:val="auto"/>
              </w:rPr>
            </w:pPr>
          </w:p>
        </w:tc>
        <w:tc>
          <w:tcPr>
            <w:tcW w:w="1280" w:type="dxa"/>
            <w:vAlign w:val="bottom"/>
            <w:vMerge w:val="restart"/>
          </w:tcPr>
          <w:p>
            <w:pPr>
              <w:ind w:left="140"/>
              <w:spacing w:after="0"/>
              <w:rPr>
                <w:sz w:val="20"/>
                <w:szCs w:val="20"/>
                <w:color w:val="auto"/>
              </w:rPr>
            </w:pPr>
            <w:r>
              <w:rPr>
                <w:rFonts w:ascii="Arial" w:cs="Arial" w:eastAsia="Arial" w:hAnsi="Arial"/>
                <w:sz w:val="12"/>
                <w:szCs w:val="12"/>
                <w:color w:val="FFFFFF"/>
              </w:rPr>
              <w:t>Report of the</w:t>
            </w: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9"/>
        </w:trPr>
        <w:tc>
          <w:tcPr>
            <w:tcW w:w="8540" w:type="dxa"/>
            <w:vAlign w:val="bottom"/>
          </w:tcPr>
          <w:p>
            <w:pPr>
              <w:spacing w:after="0"/>
              <w:rPr>
                <w:sz w:val="5"/>
                <w:szCs w:val="5"/>
                <w:color w:val="auto"/>
              </w:rPr>
            </w:pPr>
          </w:p>
        </w:tc>
        <w:tc>
          <w:tcPr>
            <w:tcW w:w="128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1"/>
        </w:trPr>
        <w:tc>
          <w:tcPr>
            <w:tcW w:w="8540" w:type="dxa"/>
            <w:vAlign w:val="bottom"/>
          </w:tcPr>
          <w:p>
            <w:pPr>
              <w:spacing w:after="0" w:line="171" w:lineRule="exact"/>
              <w:rPr>
                <w:sz w:val="20"/>
                <w:szCs w:val="20"/>
                <w:color w:val="auto"/>
              </w:rPr>
            </w:pPr>
            <w:r>
              <w:rPr>
                <w:rFonts w:ascii="Arial" w:cs="Arial" w:eastAsia="Arial" w:hAnsi="Arial"/>
                <w:sz w:val="15"/>
                <w:szCs w:val="15"/>
                <w:color w:val="auto"/>
              </w:rPr>
              <w:t>The Board of Directors of LPL Financial Holdings Inc. is soliciting proxies. Copies of proxy materials and the Annual</w:t>
            </w:r>
          </w:p>
        </w:tc>
        <w:tc>
          <w:tcPr>
            <w:tcW w:w="1280" w:type="dxa"/>
            <w:vAlign w:val="bottom"/>
          </w:tcPr>
          <w:p>
            <w:pPr>
              <w:ind w:left="140"/>
              <w:spacing w:after="0"/>
              <w:rPr>
                <w:sz w:val="20"/>
                <w:szCs w:val="20"/>
                <w:color w:val="auto"/>
              </w:rPr>
            </w:pPr>
            <w:r>
              <w:rPr>
                <w:rFonts w:ascii="Arial" w:cs="Arial" w:eastAsia="Arial" w:hAnsi="Arial"/>
                <w:sz w:val="12"/>
                <w:szCs w:val="12"/>
                <w:color w:val="FFFFFF"/>
              </w:rPr>
              <w:t>Compensation</w:t>
            </w: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8540" w:type="dxa"/>
            <w:vAlign w:val="bottom"/>
            <w:vMerge w:val="restart"/>
          </w:tcPr>
          <w:p>
            <w:pPr>
              <w:spacing w:after="0"/>
              <w:rPr>
                <w:sz w:val="20"/>
                <w:szCs w:val="20"/>
                <w:color w:val="auto"/>
              </w:rPr>
            </w:pPr>
            <w:r>
              <w:rPr>
                <w:rFonts w:ascii="Arial" w:cs="Arial" w:eastAsia="Arial" w:hAnsi="Arial"/>
                <w:sz w:val="15"/>
                <w:szCs w:val="15"/>
                <w:color w:val="auto"/>
              </w:rPr>
              <w:t>Report will be supplied to brokers, dealers, banks and voting trustees, or their nominees, for the purpose of soliciting</w:t>
            </w:r>
          </w:p>
        </w:tc>
        <w:tc>
          <w:tcPr>
            <w:tcW w:w="1280" w:type="dxa"/>
            <w:vAlign w:val="bottom"/>
          </w:tcPr>
          <w:p>
            <w:pPr>
              <w:ind w:left="140"/>
              <w:spacing w:after="0" w:line="85" w:lineRule="exact"/>
              <w:rPr>
                <w:sz w:val="20"/>
                <w:szCs w:val="20"/>
                <w:color w:val="auto"/>
              </w:rPr>
            </w:pPr>
            <w:r>
              <w:rPr>
                <w:rFonts w:ascii="Arial" w:cs="Arial" w:eastAsia="Arial" w:hAnsi="Arial"/>
                <w:sz w:val="8"/>
                <w:szCs w:val="8"/>
                <w:color w:val="FFFFFF"/>
              </w:rPr>
              <w:t>and Human</w:t>
            </w:r>
          </w:p>
        </w:tc>
        <w:tc>
          <w:tcPr>
            <w:tcW w:w="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0"/>
        </w:trPr>
        <w:tc>
          <w:tcPr>
            <w:tcW w:w="8540" w:type="dxa"/>
            <w:vAlign w:val="bottom"/>
            <w:vMerge w:val="continue"/>
          </w:tcPr>
          <w:p>
            <w:pPr>
              <w:spacing w:after="0"/>
              <w:rPr>
                <w:sz w:val="10"/>
                <w:szCs w:val="10"/>
                <w:color w:val="auto"/>
              </w:rPr>
            </w:pPr>
          </w:p>
        </w:tc>
        <w:tc>
          <w:tcPr>
            <w:tcW w:w="1280" w:type="dxa"/>
            <w:vAlign w:val="bottom"/>
          </w:tcPr>
          <w:p>
            <w:pPr>
              <w:ind w:left="140"/>
              <w:spacing w:after="0" w:line="121" w:lineRule="exact"/>
              <w:rPr>
                <w:sz w:val="20"/>
                <w:szCs w:val="20"/>
                <w:color w:val="auto"/>
              </w:rPr>
            </w:pPr>
            <w:r>
              <w:rPr>
                <w:rFonts w:ascii="Arial" w:cs="Arial" w:eastAsia="Arial" w:hAnsi="Arial"/>
                <w:sz w:val="12"/>
                <w:szCs w:val="12"/>
                <w:color w:val="FFFFFF"/>
              </w:rPr>
              <w:t>Resources</w:t>
            </w: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8540" w:type="dxa"/>
            <w:vAlign w:val="bottom"/>
          </w:tcPr>
          <w:p>
            <w:pPr>
              <w:spacing w:after="0" w:line="153" w:lineRule="exact"/>
              <w:rPr>
                <w:sz w:val="20"/>
                <w:szCs w:val="20"/>
                <w:color w:val="auto"/>
              </w:rPr>
            </w:pPr>
            <w:r>
              <w:rPr>
                <w:rFonts w:ascii="Arial" w:cs="Arial" w:eastAsia="Arial" w:hAnsi="Arial"/>
                <w:sz w:val="15"/>
                <w:szCs w:val="15"/>
                <w:color w:val="auto"/>
              </w:rPr>
              <w:t>proxies from beneficial owners, and we will reimburse such record holders for their reasonable expenses.</w:t>
            </w:r>
          </w:p>
        </w:tc>
        <w:tc>
          <w:tcPr>
            <w:tcW w:w="1280" w:type="dxa"/>
            <w:vAlign w:val="bottom"/>
          </w:tcPr>
          <w:p>
            <w:pPr>
              <w:ind w:left="140"/>
              <w:spacing w:after="0"/>
              <w:rPr>
                <w:sz w:val="20"/>
                <w:szCs w:val="20"/>
                <w:color w:val="auto"/>
              </w:rPr>
            </w:pPr>
            <w:r>
              <w:rPr>
                <w:rFonts w:ascii="Arial" w:cs="Arial" w:eastAsia="Arial" w:hAnsi="Arial"/>
                <w:sz w:val="12"/>
                <w:szCs w:val="12"/>
                <w:color w:val="FFFFFF"/>
              </w:rPr>
              <w:t>Committee of the</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8540" w:type="dxa"/>
            <w:vAlign w:val="bottom"/>
            <w:vMerge w:val="restart"/>
          </w:tcPr>
          <w:p>
            <w:pPr>
              <w:spacing w:after="0"/>
              <w:rPr>
                <w:sz w:val="20"/>
                <w:szCs w:val="20"/>
                <w:color w:val="auto"/>
              </w:rPr>
            </w:pPr>
            <w:r>
              <w:rPr>
                <w:rFonts w:ascii="Arial" w:cs="Arial" w:eastAsia="Arial" w:hAnsi="Arial"/>
                <w:sz w:val="15"/>
                <w:szCs w:val="15"/>
                <w:color w:val="auto"/>
              </w:rPr>
              <w:t>Stockholders who elect to vote through the internet or by telephone may incur costs such as telecommunication and</w:t>
            </w:r>
          </w:p>
        </w:tc>
        <w:tc>
          <w:tcPr>
            <w:tcW w:w="1280" w:type="dxa"/>
            <w:vAlign w:val="bottom"/>
          </w:tcPr>
          <w:p>
            <w:pPr>
              <w:ind w:left="140"/>
              <w:spacing w:after="0"/>
              <w:rPr>
                <w:sz w:val="20"/>
                <w:szCs w:val="20"/>
                <w:color w:val="auto"/>
              </w:rPr>
            </w:pPr>
            <w:r>
              <w:rPr>
                <w:rFonts w:ascii="Arial" w:cs="Arial" w:eastAsia="Arial" w:hAnsi="Arial"/>
                <w:sz w:val="12"/>
                <w:szCs w:val="12"/>
                <w:color w:val="FFFFFF"/>
              </w:rPr>
              <w:t>Board of Directors</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7"/>
        </w:trPr>
        <w:tc>
          <w:tcPr>
            <w:tcW w:w="8540" w:type="dxa"/>
            <w:vAlign w:val="bottom"/>
            <w:vMerge w:val="continue"/>
          </w:tcPr>
          <w:p>
            <w:pPr>
              <w:spacing w:after="0"/>
              <w:rPr>
                <w:sz w:val="4"/>
                <w:szCs w:val="4"/>
                <w:color w:val="auto"/>
              </w:rPr>
            </w:pPr>
          </w:p>
        </w:tc>
        <w:tc>
          <w:tcPr>
            <w:tcW w:w="128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8540" w:type="dxa"/>
            <w:vAlign w:val="bottom"/>
          </w:tcPr>
          <w:p>
            <w:pPr>
              <w:spacing w:after="0"/>
              <w:rPr>
                <w:sz w:val="20"/>
                <w:szCs w:val="20"/>
                <w:color w:val="auto"/>
              </w:rPr>
            </w:pPr>
            <w:r>
              <w:rPr>
                <w:rFonts w:ascii="Arial" w:cs="Arial" w:eastAsia="Arial" w:hAnsi="Arial"/>
                <w:sz w:val="15"/>
                <w:szCs w:val="15"/>
                <w:color w:val="auto"/>
              </w:rPr>
              <w:t>internet access charges for which the stockholder is solely responsible. The Company will otherwise pay the</w:t>
            </w:r>
          </w:p>
        </w:tc>
        <w:tc>
          <w:tcPr>
            <w:tcW w:w="1280" w:type="dxa"/>
            <w:vAlign w:val="bottom"/>
          </w:tcPr>
          <w:p>
            <w:pPr>
              <w:ind w:left="140"/>
              <w:spacing w:after="0"/>
              <w:rPr>
                <w:sz w:val="20"/>
                <w:szCs w:val="20"/>
                <w:color w:val="auto"/>
              </w:rPr>
            </w:pPr>
            <w:r>
              <w:rPr>
                <w:rFonts w:ascii="Arial" w:cs="Arial" w:eastAsia="Arial" w:hAnsi="Arial"/>
                <w:sz w:val="12"/>
                <w:szCs w:val="12"/>
                <w:color w:val="FFFFFF"/>
              </w:rPr>
              <w:t>Compensation of</w:t>
            </w: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0"/>
        </w:trPr>
        <w:tc>
          <w:tcPr>
            <w:tcW w:w="8540" w:type="dxa"/>
            <w:vAlign w:val="bottom"/>
          </w:tcPr>
          <w:p>
            <w:pPr>
              <w:spacing w:after="0" w:line="141" w:lineRule="exact"/>
              <w:rPr>
                <w:sz w:val="20"/>
                <w:szCs w:val="20"/>
                <w:color w:val="auto"/>
              </w:rPr>
            </w:pPr>
            <w:r>
              <w:rPr>
                <w:rFonts w:ascii="Arial" w:cs="Arial" w:eastAsia="Arial" w:hAnsi="Arial"/>
                <w:sz w:val="15"/>
                <w:szCs w:val="15"/>
                <w:color w:val="auto"/>
              </w:rPr>
              <w:t>expenses of solicitation of proxies. The telephone and internet voting facilities for stockholders of record will close at</w:t>
            </w:r>
          </w:p>
        </w:tc>
        <w:tc>
          <w:tcPr>
            <w:tcW w:w="1280" w:type="dxa"/>
            <w:vAlign w:val="bottom"/>
          </w:tcPr>
          <w:p>
            <w:pPr>
              <w:ind w:left="140"/>
              <w:spacing w:after="0"/>
              <w:rPr>
                <w:sz w:val="20"/>
                <w:szCs w:val="20"/>
                <w:color w:val="auto"/>
              </w:rPr>
            </w:pPr>
            <w:r>
              <w:rPr>
                <w:rFonts w:ascii="Arial" w:cs="Arial" w:eastAsia="Arial" w:hAnsi="Arial"/>
                <w:sz w:val="12"/>
                <w:szCs w:val="12"/>
                <w:color w:val="FFFFFF"/>
              </w:rPr>
              <w:t>Named Executive</w:t>
            </w: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7"/>
        </w:trPr>
        <w:tc>
          <w:tcPr>
            <w:tcW w:w="8540" w:type="dxa"/>
            <w:vAlign w:val="bottom"/>
          </w:tcPr>
          <w:p>
            <w:pPr>
              <w:spacing w:after="0"/>
              <w:rPr>
                <w:sz w:val="20"/>
                <w:szCs w:val="20"/>
                <w:color w:val="auto"/>
              </w:rPr>
            </w:pPr>
            <w:r>
              <w:rPr>
                <w:rFonts w:ascii="Arial" w:cs="Arial" w:eastAsia="Arial" w:hAnsi="Arial"/>
                <w:sz w:val="15"/>
                <w:szCs w:val="15"/>
                <w:color w:val="auto"/>
              </w:rPr>
              <w:t>11:59 p.m., Eastern Time, on May 13, 2026.</w:t>
            </w:r>
          </w:p>
        </w:tc>
        <w:tc>
          <w:tcPr>
            <w:tcW w:w="1280" w:type="dxa"/>
            <w:vAlign w:val="bottom"/>
          </w:tcPr>
          <w:p>
            <w:pPr>
              <w:ind w:left="140"/>
              <w:spacing w:after="0"/>
              <w:rPr>
                <w:sz w:val="20"/>
                <w:szCs w:val="20"/>
                <w:color w:val="auto"/>
              </w:rPr>
            </w:pPr>
            <w:r>
              <w:rPr>
                <w:rFonts w:ascii="Arial" w:cs="Arial" w:eastAsia="Arial" w:hAnsi="Arial"/>
                <w:sz w:val="12"/>
                <w:szCs w:val="12"/>
                <w:color w:val="FFFFFF"/>
              </w:rPr>
              <w:t>Officers</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8540" w:type="dxa"/>
            <w:vAlign w:val="bottom"/>
            <w:vMerge w:val="restart"/>
          </w:tcPr>
          <w:p>
            <w:pPr>
              <w:spacing w:after="0" w:line="201" w:lineRule="exact"/>
              <w:rPr>
                <w:sz w:val="20"/>
                <w:szCs w:val="20"/>
                <w:color w:val="auto"/>
              </w:rPr>
            </w:pPr>
            <w:r>
              <w:rPr>
                <w:rFonts w:ascii="Arial" w:cs="Arial" w:eastAsia="Arial" w:hAnsi="Arial"/>
                <w:sz w:val="23"/>
                <w:szCs w:val="23"/>
                <w:color w:val="B95827"/>
              </w:rPr>
              <w:t>Householding</w:t>
            </w:r>
          </w:p>
        </w:tc>
        <w:tc>
          <w:tcPr>
            <w:tcW w:w="1280" w:type="dxa"/>
            <w:vAlign w:val="bottom"/>
          </w:tcPr>
          <w:p>
            <w:pPr>
              <w:ind w:left="140"/>
              <w:spacing w:after="0"/>
              <w:rPr>
                <w:sz w:val="20"/>
                <w:szCs w:val="20"/>
                <w:color w:val="auto"/>
              </w:rPr>
            </w:pPr>
            <w:r>
              <w:rPr>
                <w:rFonts w:ascii="Arial" w:cs="Arial" w:eastAsia="Arial" w:hAnsi="Arial"/>
                <w:sz w:val="12"/>
                <w:szCs w:val="12"/>
                <w:color w:val="FFFFFF"/>
              </w:rPr>
              <w:t>Pay Versus</w:t>
            </w: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0"/>
        </w:trPr>
        <w:tc>
          <w:tcPr>
            <w:tcW w:w="8540" w:type="dxa"/>
            <w:vAlign w:val="bottom"/>
            <w:vMerge w:val="continue"/>
          </w:tcPr>
          <w:p>
            <w:pPr>
              <w:spacing w:after="0" w:line="20" w:lineRule="exact"/>
              <w:rPr>
                <w:sz w:val="1"/>
                <w:szCs w:val="1"/>
                <w:color w:val="auto"/>
              </w:rPr>
            </w:pPr>
          </w:p>
        </w:tc>
        <w:tc>
          <w:tcPr>
            <w:tcW w:w="1280" w:type="dxa"/>
            <w:vAlign w:val="bottom"/>
          </w:tcPr>
          <w:p>
            <w:pPr>
              <w:ind w:left="140"/>
              <w:spacing w:after="0" w:line="1" w:lineRule="exact"/>
              <w:rPr>
                <w:sz w:val="20"/>
                <w:szCs w:val="20"/>
                <w:color w:val="auto"/>
              </w:rPr>
            </w:pPr>
            <w:r>
              <w:rPr>
                <w:rFonts w:ascii="Arial" w:cs="Arial" w:eastAsia="Arial" w:hAnsi="Arial"/>
                <w:sz w:val="1"/>
                <w:szCs w:val="1"/>
                <w:color w:val="FFFFFF"/>
              </w:rPr>
              <w:t>Disclosure</w:t>
            </w: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8540" w:type="dxa"/>
            <w:vAlign w:val="bottom"/>
          </w:tcPr>
          <w:p>
            <w:pPr>
              <w:spacing w:after="0"/>
              <w:rPr>
                <w:sz w:val="13"/>
                <w:szCs w:val="13"/>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Performance</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79"/>
        </w:trPr>
        <w:tc>
          <w:tcPr>
            <w:tcW w:w="8540" w:type="dxa"/>
            <w:vAlign w:val="bottom"/>
          </w:tcPr>
          <w:p>
            <w:pPr>
              <w:spacing w:after="0"/>
              <w:rPr>
                <w:sz w:val="20"/>
                <w:szCs w:val="20"/>
                <w:color w:val="auto"/>
              </w:rPr>
            </w:pPr>
            <w:r>
              <w:rPr>
                <w:rFonts w:ascii="Arial" w:cs="Arial" w:eastAsia="Arial" w:hAnsi="Arial"/>
                <w:sz w:val="15"/>
                <w:szCs w:val="15"/>
                <w:color w:val="auto"/>
              </w:rPr>
              <w:t>Only one copy of the Notice is being delivered to multiple stockholders sharing an address, unless we have received</w:t>
            </w:r>
          </w:p>
        </w:tc>
        <w:tc>
          <w:tcPr>
            <w:tcW w:w="1280" w:type="dxa"/>
            <w:vAlign w:val="bottom"/>
          </w:tcPr>
          <w:p>
            <w:pPr>
              <w:ind w:left="140"/>
              <w:spacing w:after="0"/>
              <w:rPr>
                <w:sz w:val="20"/>
                <w:szCs w:val="20"/>
                <w:color w:val="auto"/>
              </w:rPr>
            </w:pPr>
            <w:r>
              <w:rPr>
                <w:rFonts w:ascii="Arial" w:cs="Arial" w:eastAsia="Arial" w:hAnsi="Arial"/>
                <w:sz w:val="12"/>
                <w:szCs w:val="12"/>
                <w:color w:val="FFFFFF"/>
              </w:rPr>
              <w:t>Security</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8540" w:type="dxa"/>
            <w:vAlign w:val="bottom"/>
          </w:tcPr>
          <w:p>
            <w:pPr>
              <w:spacing w:after="0" w:line="158" w:lineRule="exact"/>
              <w:rPr>
                <w:sz w:val="20"/>
                <w:szCs w:val="20"/>
                <w:color w:val="auto"/>
              </w:rPr>
            </w:pPr>
            <w:r>
              <w:rPr>
                <w:rFonts w:ascii="Arial" w:cs="Arial" w:eastAsia="Arial" w:hAnsi="Arial"/>
                <w:sz w:val="15"/>
                <w:szCs w:val="15"/>
                <w:color w:val="auto"/>
              </w:rPr>
              <w:t>contrary instructions from one or more of the stockholders. We will undertake to deliver promptly, upon written or</w:t>
            </w:r>
          </w:p>
        </w:tc>
        <w:tc>
          <w:tcPr>
            <w:tcW w:w="1280" w:type="dxa"/>
            <w:vAlign w:val="bottom"/>
          </w:tcPr>
          <w:p>
            <w:pPr>
              <w:ind w:left="140"/>
              <w:spacing w:after="0"/>
              <w:rPr>
                <w:sz w:val="20"/>
                <w:szCs w:val="20"/>
                <w:color w:val="auto"/>
              </w:rPr>
            </w:pPr>
            <w:r>
              <w:rPr>
                <w:rFonts w:ascii="Arial" w:cs="Arial" w:eastAsia="Arial" w:hAnsi="Arial"/>
                <w:sz w:val="12"/>
                <w:szCs w:val="12"/>
                <w:color w:val="FFFFFF"/>
              </w:rPr>
              <w:t>Ownership of</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7"/>
        </w:trPr>
        <w:tc>
          <w:tcPr>
            <w:tcW w:w="8540" w:type="dxa"/>
            <w:vAlign w:val="bottom"/>
            <w:vMerge w:val="restart"/>
          </w:tcPr>
          <w:p>
            <w:pPr>
              <w:spacing w:after="0"/>
              <w:rPr>
                <w:sz w:val="20"/>
                <w:szCs w:val="20"/>
                <w:color w:val="auto"/>
              </w:rPr>
            </w:pPr>
            <w:r>
              <w:rPr>
                <w:rFonts w:ascii="Arial" w:cs="Arial" w:eastAsia="Arial" w:hAnsi="Arial"/>
                <w:sz w:val="15"/>
                <w:szCs w:val="15"/>
                <w:color w:val="auto"/>
              </w:rPr>
              <w:t>oral request, a separate copy of the Notice, or copies of the proxy statement and/or Annual Report, to a stockholder</w:t>
            </w:r>
          </w:p>
        </w:tc>
        <w:tc>
          <w:tcPr>
            <w:tcW w:w="1280" w:type="dxa"/>
            <w:vAlign w:val="bottom"/>
          </w:tcPr>
          <w:p>
            <w:pPr>
              <w:ind w:left="140"/>
              <w:spacing w:after="0" w:line="97" w:lineRule="exact"/>
              <w:rPr>
                <w:sz w:val="20"/>
                <w:szCs w:val="20"/>
                <w:color w:val="auto"/>
              </w:rPr>
            </w:pPr>
            <w:r>
              <w:rPr>
                <w:rFonts w:ascii="Arial" w:cs="Arial" w:eastAsia="Arial" w:hAnsi="Arial"/>
                <w:sz w:val="11"/>
                <w:szCs w:val="11"/>
                <w:color w:val="FFFFFF"/>
              </w:rPr>
              <w:t>Certain Beneficial</w:t>
            </w: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8540" w:type="dxa"/>
            <w:vAlign w:val="bottom"/>
            <w:vMerge w:val="continue"/>
          </w:tcPr>
          <w:p>
            <w:pPr>
              <w:spacing w:after="0"/>
              <w:rPr>
                <w:sz w:val="10"/>
                <w:szCs w:val="10"/>
                <w:color w:val="auto"/>
              </w:rPr>
            </w:pPr>
          </w:p>
        </w:tc>
        <w:tc>
          <w:tcPr>
            <w:tcW w:w="1280" w:type="dxa"/>
            <w:vAlign w:val="bottom"/>
          </w:tcPr>
          <w:p>
            <w:pPr>
              <w:ind w:left="140"/>
              <w:spacing w:after="0" w:line="120" w:lineRule="exact"/>
              <w:rPr>
                <w:sz w:val="20"/>
                <w:szCs w:val="20"/>
                <w:color w:val="auto"/>
              </w:rPr>
            </w:pPr>
            <w:r>
              <w:rPr>
                <w:rFonts w:ascii="Arial" w:cs="Arial" w:eastAsia="Arial" w:hAnsi="Arial"/>
                <w:sz w:val="12"/>
                <w:szCs w:val="12"/>
                <w:color w:val="FFFFFF"/>
              </w:rPr>
              <w:t>Owners and</w:t>
            </w: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6"/>
        </w:trPr>
        <w:tc>
          <w:tcPr>
            <w:tcW w:w="8540" w:type="dxa"/>
            <w:vAlign w:val="bottom"/>
          </w:tcPr>
          <w:p>
            <w:pPr>
              <w:spacing w:after="0" w:line="167" w:lineRule="exact"/>
              <w:rPr>
                <w:sz w:val="20"/>
                <w:szCs w:val="20"/>
                <w:color w:val="auto"/>
              </w:rPr>
            </w:pPr>
            <w:r>
              <w:rPr>
                <w:rFonts w:ascii="Arial" w:cs="Arial" w:eastAsia="Arial" w:hAnsi="Arial"/>
                <w:sz w:val="15"/>
                <w:szCs w:val="15"/>
                <w:color w:val="auto"/>
              </w:rPr>
              <w:t>at a shared address to which a single copy of the Notice was delivered. You may make a written or oral request by</w:t>
            </w:r>
          </w:p>
        </w:tc>
        <w:tc>
          <w:tcPr>
            <w:tcW w:w="1280" w:type="dxa"/>
            <w:vAlign w:val="bottom"/>
          </w:tcPr>
          <w:p>
            <w:pPr>
              <w:ind w:left="140"/>
              <w:spacing w:after="0"/>
              <w:rPr>
                <w:sz w:val="20"/>
                <w:szCs w:val="20"/>
                <w:color w:val="auto"/>
              </w:rPr>
            </w:pPr>
            <w:r>
              <w:rPr>
                <w:rFonts w:ascii="Arial" w:cs="Arial" w:eastAsia="Arial" w:hAnsi="Arial"/>
                <w:sz w:val="12"/>
                <w:szCs w:val="12"/>
                <w:color w:val="FFFFFF"/>
              </w:rPr>
              <w:t>Management</w:t>
            </w: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8540" w:type="dxa"/>
            <w:vAlign w:val="bottom"/>
          </w:tcPr>
          <w:p>
            <w:pPr>
              <w:spacing w:after="0"/>
              <w:rPr>
                <w:sz w:val="20"/>
                <w:szCs w:val="20"/>
                <w:color w:val="auto"/>
              </w:rPr>
            </w:pPr>
            <w:r>
              <w:rPr>
                <w:rFonts w:ascii="Arial" w:cs="Arial" w:eastAsia="Arial" w:hAnsi="Arial"/>
                <w:sz w:val="15"/>
                <w:szCs w:val="15"/>
                <w:color w:val="auto"/>
              </w:rPr>
              <w:t>sending a written notification to our corporate secretary at LPL Financial Holdings Inc., 1055 LPL Way, Fort Mill,</w:t>
            </w:r>
          </w:p>
        </w:tc>
        <w:tc>
          <w:tcPr>
            <w:tcW w:w="1280" w:type="dxa"/>
            <w:vAlign w:val="bottom"/>
            <w:vMerge w:val="restart"/>
          </w:tcPr>
          <w:p>
            <w:pPr>
              <w:ind w:left="140"/>
              <w:spacing w:after="0"/>
              <w:rPr>
                <w:sz w:val="20"/>
                <w:szCs w:val="20"/>
                <w:color w:val="auto"/>
              </w:rPr>
            </w:pPr>
            <w:r>
              <w:rPr>
                <w:rFonts w:ascii="Arial" w:cs="Arial" w:eastAsia="Arial" w:hAnsi="Arial"/>
                <w:sz w:val="12"/>
                <w:szCs w:val="12"/>
                <w:color w:val="FFFFFF"/>
              </w:rPr>
              <w:t>Certain</w:t>
            </w: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4"/>
        </w:trPr>
        <w:tc>
          <w:tcPr>
            <w:tcW w:w="8540" w:type="dxa"/>
            <w:vAlign w:val="bottom"/>
            <w:vMerge w:val="restart"/>
          </w:tcPr>
          <w:p>
            <w:pPr>
              <w:spacing w:after="0"/>
              <w:rPr>
                <w:sz w:val="20"/>
                <w:szCs w:val="20"/>
                <w:color w:val="auto"/>
              </w:rPr>
            </w:pPr>
            <w:r>
              <w:rPr>
                <w:rFonts w:ascii="Arial" w:cs="Arial" w:eastAsia="Arial" w:hAnsi="Arial"/>
                <w:sz w:val="15"/>
                <w:szCs w:val="15"/>
                <w:color w:val="auto"/>
              </w:rPr>
              <w:t>South Carolina 29715, or by calling our offices at (704) 733-3300, and providing your name, your shared address</w:t>
            </w:r>
          </w:p>
        </w:tc>
        <w:tc>
          <w:tcPr>
            <w:tcW w:w="1280" w:type="dxa"/>
            <w:vAlign w:val="bottom"/>
            <w:vMerge w:val="continue"/>
          </w:tcPr>
          <w:p>
            <w:pPr>
              <w:spacing w:after="0"/>
              <w:rPr>
                <w:sz w:val="7"/>
                <w:szCs w:val="7"/>
                <w:color w:val="auto"/>
              </w:rPr>
            </w:pPr>
          </w:p>
        </w:tc>
        <w:tc>
          <w:tcPr>
            <w:tcW w:w="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0"/>
        </w:trPr>
        <w:tc>
          <w:tcPr>
            <w:tcW w:w="8540" w:type="dxa"/>
            <w:vAlign w:val="bottom"/>
            <w:vMerge w:val="continue"/>
          </w:tcPr>
          <w:p>
            <w:pPr>
              <w:spacing w:after="0"/>
              <w:rPr>
                <w:sz w:val="10"/>
                <w:szCs w:val="10"/>
                <w:color w:val="auto"/>
              </w:rPr>
            </w:pPr>
          </w:p>
        </w:tc>
        <w:tc>
          <w:tcPr>
            <w:tcW w:w="1280" w:type="dxa"/>
            <w:vAlign w:val="bottom"/>
          </w:tcPr>
          <w:p>
            <w:pPr>
              <w:ind w:left="140"/>
              <w:spacing w:after="0" w:line="120" w:lineRule="exact"/>
              <w:rPr>
                <w:sz w:val="20"/>
                <w:szCs w:val="20"/>
                <w:color w:val="auto"/>
              </w:rPr>
            </w:pPr>
            <w:r>
              <w:rPr>
                <w:rFonts w:ascii="Arial" w:cs="Arial" w:eastAsia="Arial" w:hAnsi="Arial"/>
                <w:sz w:val="12"/>
                <w:szCs w:val="12"/>
                <w:color w:val="FFFFFF"/>
              </w:rPr>
              <w:t>Relationships and</w:t>
            </w: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8540" w:type="dxa"/>
            <w:vAlign w:val="bottom"/>
          </w:tcPr>
          <w:p>
            <w:pPr>
              <w:spacing w:after="0" w:line="136" w:lineRule="exact"/>
              <w:rPr>
                <w:sz w:val="20"/>
                <w:szCs w:val="20"/>
                <w:color w:val="auto"/>
              </w:rPr>
            </w:pPr>
            <w:r>
              <w:rPr>
                <w:rFonts w:ascii="Arial" w:cs="Arial" w:eastAsia="Arial" w:hAnsi="Arial"/>
                <w:sz w:val="15"/>
                <w:szCs w:val="15"/>
                <w:color w:val="auto"/>
              </w:rPr>
              <w:t>and the address to which we should direct the copies of the proxy statement and Annual Report. Multiple</w:t>
            </w:r>
          </w:p>
        </w:tc>
        <w:tc>
          <w:tcPr>
            <w:tcW w:w="1280" w:type="dxa"/>
            <w:vAlign w:val="bottom"/>
          </w:tcPr>
          <w:p>
            <w:pPr>
              <w:ind w:left="140"/>
              <w:spacing w:after="0" w:line="136" w:lineRule="exact"/>
              <w:rPr>
                <w:sz w:val="20"/>
                <w:szCs w:val="20"/>
                <w:color w:val="auto"/>
              </w:rPr>
            </w:pPr>
            <w:r>
              <w:rPr>
                <w:rFonts w:ascii="Arial" w:cs="Arial" w:eastAsia="Arial" w:hAnsi="Arial"/>
                <w:sz w:val="12"/>
                <w:szCs w:val="12"/>
                <w:color w:val="FFFFFF"/>
              </w:rPr>
              <w:t>Related Party</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7"/>
        </w:trPr>
        <w:tc>
          <w:tcPr>
            <w:tcW w:w="8540" w:type="dxa"/>
            <w:vAlign w:val="bottom"/>
          </w:tcPr>
          <w:p>
            <w:pPr>
              <w:spacing w:after="0"/>
              <w:rPr>
                <w:sz w:val="20"/>
                <w:szCs w:val="20"/>
                <w:color w:val="auto"/>
              </w:rPr>
            </w:pPr>
            <w:r>
              <w:rPr>
                <w:rFonts w:ascii="Arial" w:cs="Arial" w:eastAsia="Arial" w:hAnsi="Arial"/>
                <w:sz w:val="15"/>
                <w:szCs w:val="15"/>
                <w:color w:val="auto"/>
              </w:rPr>
              <w:t>stockholders sharing an address who have received one copy of the Notice and would prefer us to mail each</w:t>
            </w:r>
          </w:p>
        </w:tc>
        <w:tc>
          <w:tcPr>
            <w:tcW w:w="1280" w:type="dxa"/>
            <w:vAlign w:val="bottom"/>
          </w:tcPr>
          <w:p>
            <w:pPr>
              <w:ind w:left="140"/>
              <w:spacing w:after="0"/>
              <w:rPr>
                <w:sz w:val="20"/>
                <w:szCs w:val="20"/>
                <w:color w:val="auto"/>
              </w:rPr>
            </w:pPr>
            <w:r>
              <w:rPr>
                <w:rFonts w:ascii="Arial" w:cs="Arial" w:eastAsia="Arial" w:hAnsi="Arial"/>
                <w:sz w:val="12"/>
                <w:szCs w:val="12"/>
                <w:color w:val="FFFFFF"/>
              </w:rPr>
              <w:t>Transactions</w:t>
            </w: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9"/>
        </w:trPr>
        <w:tc>
          <w:tcPr>
            <w:tcW w:w="8540" w:type="dxa"/>
            <w:vAlign w:val="bottom"/>
          </w:tcPr>
          <w:p>
            <w:pPr>
              <w:spacing w:after="0"/>
              <w:rPr>
                <w:sz w:val="20"/>
                <w:szCs w:val="20"/>
                <w:color w:val="auto"/>
              </w:rPr>
            </w:pPr>
            <w:r>
              <w:rPr>
                <w:rFonts w:ascii="Arial" w:cs="Arial" w:eastAsia="Arial" w:hAnsi="Arial"/>
                <w:sz w:val="15"/>
                <w:szCs w:val="15"/>
                <w:color w:val="auto"/>
              </w:rPr>
              <w:t>stockholder a separate copy of future mailings should contact us at the address or telephone number above.</w:t>
            </w:r>
          </w:p>
        </w:tc>
        <w:tc>
          <w:tcPr>
            <w:tcW w:w="1280" w:type="dxa"/>
            <w:vAlign w:val="bottom"/>
            <w:vMerge w:val="restart"/>
          </w:tcPr>
          <w:p>
            <w:pPr>
              <w:ind w:left="140"/>
              <w:spacing w:after="0"/>
              <w:rPr>
                <w:sz w:val="20"/>
                <w:szCs w:val="20"/>
                <w:color w:val="auto"/>
              </w:rPr>
            </w:pPr>
            <w:r>
              <w:rPr>
                <w:rFonts w:ascii="Arial" w:cs="Arial" w:eastAsia="Arial" w:hAnsi="Arial"/>
                <w:sz w:val="12"/>
                <w:szCs w:val="12"/>
                <w:color w:val="FFFFFF"/>
              </w:rPr>
              <w:t>Proposal 2</w:t>
            </w: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6"/>
        </w:trPr>
        <w:tc>
          <w:tcPr>
            <w:tcW w:w="8540" w:type="dxa"/>
            <w:vAlign w:val="bottom"/>
            <w:vMerge w:val="restart"/>
          </w:tcPr>
          <w:p>
            <w:pPr>
              <w:spacing w:after="0"/>
              <w:rPr>
                <w:sz w:val="20"/>
                <w:szCs w:val="20"/>
                <w:color w:val="auto"/>
              </w:rPr>
            </w:pPr>
            <w:r>
              <w:rPr>
                <w:rFonts w:ascii="Arial" w:cs="Arial" w:eastAsia="Arial" w:hAnsi="Arial"/>
                <w:sz w:val="15"/>
                <w:szCs w:val="15"/>
                <w:color w:val="auto"/>
              </w:rPr>
              <w:t>Additionally, if current stockholders with a shared address received multiple copies of the Notice and would prefer us</w:t>
            </w:r>
          </w:p>
        </w:tc>
        <w:tc>
          <w:tcPr>
            <w:tcW w:w="1280" w:type="dxa"/>
            <w:vAlign w:val="bottom"/>
            <w:vMerge w:val="continue"/>
          </w:tcPr>
          <w:p>
            <w:pPr>
              <w:spacing w:after="0"/>
              <w:rPr>
                <w:sz w:val="6"/>
                <w:szCs w:val="6"/>
                <w:color w:val="auto"/>
              </w:rPr>
            </w:pPr>
          </w:p>
        </w:tc>
        <w:tc>
          <w:tcPr>
            <w:tcW w:w="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3"/>
        </w:trPr>
        <w:tc>
          <w:tcPr>
            <w:tcW w:w="8540" w:type="dxa"/>
            <w:vAlign w:val="bottom"/>
            <w:vMerge w:val="continue"/>
          </w:tcPr>
          <w:p>
            <w:pPr>
              <w:spacing w:after="0"/>
              <w:rPr>
                <w:sz w:val="8"/>
                <w:szCs w:val="8"/>
                <w:color w:val="auto"/>
              </w:rPr>
            </w:pPr>
          </w:p>
        </w:tc>
        <w:tc>
          <w:tcPr>
            <w:tcW w:w="1280" w:type="dxa"/>
            <w:vAlign w:val="bottom"/>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0"/>
        </w:trPr>
        <w:tc>
          <w:tcPr>
            <w:tcW w:w="8540" w:type="dxa"/>
            <w:vAlign w:val="bottom"/>
          </w:tcPr>
          <w:p>
            <w:pPr>
              <w:spacing w:after="0" w:line="161" w:lineRule="exact"/>
              <w:rPr>
                <w:sz w:val="20"/>
                <w:szCs w:val="20"/>
                <w:color w:val="auto"/>
              </w:rPr>
            </w:pPr>
            <w:r>
              <w:rPr>
                <w:rFonts w:ascii="Arial" w:cs="Arial" w:eastAsia="Arial" w:hAnsi="Arial"/>
                <w:sz w:val="15"/>
                <w:szCs w:val="15"/>
                <w:color w:val="auto"/>
              </w:rPr>
              <w:t>to mail one copy of future mailings to stockholders at the shared address, please notify us at the address or</w:t>
            </w:r>
          </w:p>
        </w:tc>
        <w:tc>
          <w:tcPr>
            <w:tcW w:w="1280" w:type="dxa"/>
            <w:vAlign w:val="bottom"/>
          </w:tcPr>
          <w:p>
            <w:pPr>
              <w:ind w:left="140"/>
              <w:spacing w:after="0"/>
              <w:rPr>
                <w:sz w:val="20"/>
                <w:szCs w:val="20"/>
                <w:color w:val="auto"/>
              </w:rPr>
            </w:pPr>
            <w:r>
              <w:rPr>
                <w:rFonts w:ascii="Arial" w:cs="Arial" w:eastAsia="Arial" w:hAnsi="Arial"/>
                <w:sz w:val="12"/>
                <w:szCs w:val="12"/>
                <w:color w:val="FFFFFF"/>
              </w:rPr>
              <w:t>Report of the</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8540" w:type="dxa"/>
            <w:vAlign w:val="bottom"/>
          </w:tcPr>
          <w:p>
            <w:pPr>
              <w:spacing w:after="0" w:line="171" w:lineRule="exact"/>
              <w:rPr>
                <w:sz w:val="20"/>
                <w:szCs w:val="20"/>
                <w:color w:val="auto"/>
              </w:rPr>
            </w:pPr>
            <w:r>
              <w:rPr>
                <w:rFonts w:ascii="Arial" w:cs="Arial" w:eastAsia="Arial" w:hAnsi="Arial"/>
                <w:sz w:val="15"/>
                <w:szCs w:val="15"/>
                <w:color w:val="auto"/>
              </w:rPr>
              <w:t>telephone number above.</w:t>
            </w:r>
          </w:p>
        </w:tc>
        <w:tc>
          <w:tcPr>
            <w:tcW w:w="1280" w:type="dxa"/>
            <w:vAlign w:val="bottom"/>
          </w:tcPr>
          <w:p>
            <w:pPr>
              <w:ind w:left="140"/>
              <w:spacing w:after="0"/>
              <w:rPr>
                <w:sz w:val="20"/>
                <w:szCs w:val="20"/>
                <w:color w:val="auto"/>
              </w:rPr>
            </w:pPr>
            <w:r>
              <w:rPr>
                <w:rFonts w:ascii="Arial" w:cs="Arial" w:eastAsia="Arial" w:hAnsi="Arial"/>
                <w:sz w:val="12"/>
                <w:szCs w:val="12"/>
                <w:color w:val="FFFFFF"/>
              </w:rPr>
              <w:t>Audit and Risk</w:t>
            </w: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8540" w:type="dxa"/>
            <w:vAlign w:val="bottom"/>
          </w:tcPr>
          <w:p>
            <w:pPr>
              <w:spacing w:after="0"/>
              <w:rPr>
                <w:sz w:val="7"/>
                <w:szCs w:val="7"/>
                <w:color w:val="auto"/>
              </w:rPr>
            </w:pPr>
          </w:p>
        </w:tc>
        <w:tc>
          <w:tcPr>
            <w:tcW w:w="1280" w:type="dxa"/>
            <w:vAlign w:val="bottom"/>
          </w:tcPr>
          <w:p>
            <w:pPr>
              <w:ind w:left="140"/>
              <w:spacing w:after="0" w:line="85" w:lineRule="exact"/>
              <w:rPr>
                <w:sz w:val="20"/>
                <w:szCs w:val="20"/>
                <w:color w:val="auto"/>
              </w:rPr>
            </w:pPr>
            <w:r>
              <w:rPr>
                <w:rFonts w:ascii="Arial" w:cs="Arial" w:eastAsia="Arial" w:hAnsi="Arial"/>
                <w:sz w:val="8"/>
                <w:szCs w:val="8"/>
                <w:color w:val="FFFFFF"/>
              </w:rPr>
              <w:t>Committee of the</w:t>
            </w:r>
          </w:p>
        </w:tc>
        <w:tc>
          <w:tcPr>
            <w:tcW w:w="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8"/>
        </w:trPr>
        <w:tc>
          <w:tcPr>
            <w:tcW w:w="8540" w:type="dxa"/>
            <w:vAlign w:val="bottom"/>
          </w:tcPr>
          <w:p>
            <w:pPr>
              <w:spacing w:after="0"/>
              <w:rPr>
                <w:sz w:val="13"/>
                <w:szCs w:val="13"/>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Board of Directors</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4"/>
        </w:trPr>
        <w:tc>
          <w:tcPr>
            <w:tcW w:w="8540" w:type="dxa"/>
            <w:vAlign w:val="bottom"/>
          </w:tcPr>
          <w:p>
            <w:pPr>
              <w:spacing w:after="0"/>
              <w:rPr>
                <w:sz w:val="24"/>
                <w:szCs w:val="24"/>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Proposal 3</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8540" w:type="dxa"/>
            <w:vAlign w:val="bottom"/>
          </w:tcPr>
          <w:p>
            <w:pPr>
              <w:spacing w:after="0"/>
              <w:rPr>
                <w:sz w:val="24"/>
                <w:szCs w:val="24"/>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Proposal 4</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8540" w:type="dxa"/>
            <w:vAlign w:val="bottom"/>
          </w:tcPr>
          <w:p>
            <w:pPr>
              <w:spacing w:after="0"/>
              <w:rPr>
                <w:sz w:val="24"/>
                <w:szCs w:val="24"/>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Proposal 5</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8540" w:type="dxa"/>
            <w:vAlign w:val="bottom"/>
          </w:tcPr>
          <w:p>
            <w:pPr>
              <w:spacing w:after="0"/>
              <w:rPr>
                <w:sz w:val="24"/>
                <w:szCs w:val="24"/>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Proposal 6</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8540" w:type="dxa"/>
            <w:vAlign w:val="bottom"/>
          </w:tcPr>
          <w:p>
            <w:pPr>
              <w:spacing w:after="0"/>
              <w:rPr>
                <w:sz w:val="22"/>
                <w:szCs w:val="22"/>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Stockholder</w:t>
            </w:r>
          </w:p>
        </w:tc>
        <w:tc>
          <w:tcPr>
            <w:tcW w:w="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8"/>
        </w:trPr>
        <w:tc>
          <w:tcPr>
            <w:tcW w:w="8540" w:type="dxa"/>
            <w:vAlign w:val="bottom"/>
          </w:tcPr>
          <w:p>
            <w:pPr>
              <w:spacing w:after="0"/>
              <w:rPr>
                <w:sz w:val="11"/>
                <w:szCs w:val="11"/>
                <w:color w:val="auto"/>
              </w:rPr>
            </w:pPr>
          </w:p>
        </w:tc>
        <w:tc>
          <w:tcPr>
            <w:tcW w:w="1280" w:type="dxa"/>
            <w:vAlign w:val="bottom"/>
          </w:tcPr>
          <w:p>
            <w:pPr>
              <w:ind w:left="140"/>
              <w:spacing w:after="0" w:line="128" w:lineRule="exact"/>
              <w:rPr>
                <w:sz w:val="20"/>
                <w:szCs w:val="20"/>
                <w:color w:val="auto"/>
              </w:rPr>
            </w:pPr>
            <w:r>
              <w:rPr>
                <w:rFonts w:ascii="Arial" w:cs="Arial" w:eastAsia="Arial" w:hAnsi="Arial"/>
                <w:sz w:val="12"/>
                <w:szCs w:val="12"/>
                <w:color w:val="FFFFFF"/>
              </w:rPr>
              <w:t>Proposals and</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8540" w:type="dxa"/>
            <w:vAlign w:val="bottom"/>
          </w:tcPr>
          <w:p>
            <w:pPr>
              <w:spacing w:after="0"/>
              <w:rPr>
                <w:sz w:val="13"/>
                <w:szCs w:val="13"/>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Other Matters</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8540" w:type="dxa"/>
            <w:vAlign w:val="bottom"/>
          </w:tcPr>
          <w:p>
            <w:pPr>
              <w:spacing w:after="0"/>
              <w:rPr>
                <w:sz w:val="22"/>
                <w:szCs w:val="22"/>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Delinquent</w:t>
            </w:r>
          </w:p>
        </w:tc>
        <w:tc>
          <w:tcPr>
            <w:tcW w:w="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8"/>
        </w:trPr>
        <w:tc>
          <w:tcPr>
            <w:tcW w:w="8540" w:type="dxa"/>
            <w:vAlign w:val="bottom"/>
          </w:tcPr>
          <w:p>
            <w:pPr>
              <w:spacing w:after="0"/>
              <w:rPr>
                <w:sz w:val="11"/>
                <w:szCs w:val="11"/>
                <w:color w:val="auto"/>
              </w:rPr>
            </w:pPr>
          </w:p>
        </w:tc>
        <w:tc>
          <w:tcPr>
            <w:tcW w:w="1280" w:type="dxa"/>
            <w:vAlign w:val="bottom"/>
          </w:tcPr>
          <w:p>
            <w:pPr>
              <w:ind w:left="140"/>
              <w:spacing w:after="0" w:line="128" w:lineRule="exact"/>
              <w:rPr>
                <w:sz w:val="20"/>
                <w:szCs w:val="20"/>
                <w:color w:val="auto"/>
              </w:rPr>
            </w:pPr>
            <w:r>
              <w:rPr>
                <w:rFonts w:ascii="Arial" w:cs="Arial" w:eastAsia="Arial" w:hAnsi="Arial"/>
                <w:sz w:val="12"/>
                <w:szCs w:val="12"/>
                <w:color w:val="FFFFFF"/>
              </w:rPr>
              <w:t>Section 16(a)</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8540" w:type="dxa"/>
            <w:vAlign w:val="bottom"/>
          </w:tcPr>
          <w:p>
            <w:pPr>
              <w:spacing w:after="0"/>
              <w:rPr>
                <w:sz w:val="13"/>
                <w:szCs w:val="13"/>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Reports</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8540" w:type="dxa"/>
            <w:vAlign w:val="bottom"/>
          </w:tcPr>
          <w:p>
            <w:pPr>
              <w:spacing w:after="0"/>
              <w:rPr>
                <w:sz w:val="22"/>
                <w:szCs w:val="22"/>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Other</w:t>
            </w:r>
          </w:p>
        </w:tc>
        <w:tc>
          <w:tcPr>
            <w:tcW w:w="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8"/>
        </w:trPr>
        <w:tc>
          <w:tcPr>
            <w:tcW w:w="8540" w:type="dxa"/>
            <w:vAlign w:val="bottom"/>
          </w:tcPr>
          <w:p>
            <w:pPr>
              <w:spacing w:after="0"/>
              <w:rPr>
                <w:sz w:val="13"/>
                <w:szCs w:val="13"/>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Information</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4"/>
        </w:trPr>
        <w:tc>
          <w:tcPr>
            <w:tcW w:w="8540" w:type="dxa"/>
            <w:vAlign w:val="bottom"/>
          </w:tcPr>
          <w:p>
            <w:pPr>
              <w:spacing w:after="0"/>
              <w:rPr>
                <w:sz w:val="24"/>
                <w:szCs w:val="24"/>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Appendix A</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8540" w:type="dxa"/>
            <w:vAlign w:val="bottom"/>
          </w:tcPr>
          <w:p>
            <w:pPr>
              <w:spacing w:after="0"/>
              <w:rPr>
                <w:sz w:val="24"/>
                <w:szCs w:val="24"/>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Appendix B</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6480"/>
        <w:spacing w:after="0"/>
        <w:tabs>
          <w:tab w:leader="none" w:pos="8500" w:val="left"/>
          <w:tab w:leader="none" w:pos="9960" w:val="left"/>
        </w:tabs>
        <w:rPr>
          <w:sz w:val="20"/>
          <w:szCs w:val="20"/>
          <w:color w:val="auto"/>
        </w:rPr>
      </w:pPr>
      <w:r>
        <w:rPr>
          <w:rFonts w:ascii="Arial" w:cs="Arial" w:eastAsia="Arial" w:hAnsi="Arial"/>
          <w:sz w:val="15"/>
          <w:szCs w:val="15"/>
          <w:b w:val="1"/>
          <w:bCs w:val="1"/>
          <w:color w:val="002B5F"/>
        </w:rPr>
        <w:t xml:space="preserve">2026 Proxy Statement  </w:t>
      </w:r>
      <w:r>
        <w:rPr>
          <w:rFonts w:ascii="Arial" w:cs="Arial" w:eastAsia="Arial" w:hAnsi="Arial"/>
          <w:sz w:val="20"/>
          <w:szCs w:val="20"/>
          <w:color w:val="002B5F"/>
        </w:rPr>
        <w:t>|</w:t>
      </w:r>
      <w:r>
        <w:rPr>
          <w:rFonts w:ascii="Arial" w:cs="Arial" w:eastAsia="Arial" w:hAnsi="Arial"/>
          <w:sz w:val="15"/>
          <w:szCs w:val="15"/>
          <w:b w:val="1"/>
          <w:bCs w:val="1"/>
          <w:color w:val="002B5F"/>
        </w:rPr>
        <w:t xml:space="preserve">  5</w:t>
      </w:r>
      <w:r>
        <w:rPr>
          <w:sz w:val="20"/>
          <w:szCs w:val="20"/>
          <w:color w:val="auto"/>
        </w:rPr>
        <w:tab/>
      </w:r>
      <w:r>
        <w:rPr>
          <w:rFonts w:ascii="Arial" w:cs="Arial" w:eastAsia="Arial" w:hAnsi="Arial"/>
          <w:sz w:val="17"/>
          <w:szCs w:val="17"/>
          <w:color w:val="auto"/>
        </w:rPr>
        <w:t xml:space="preserve">    </w:t>
      </w:r>
      <w:r>
        <w:rPr>
          <w:sz w:val="20"/>
          <w:szCs w:val="20"/>
          <w:color w:val="auto"/>
        </w:rPr>
        <w:tab/>
      </w:r>
      <w:r>
        <w:rPr>
          <w:rFonts w:ascii="Arial" w:cs="Arial" w:eastAsia="Arial" w:hAnsi="Arial"/>
          <w:sz w:val="17"/>
          <w:szCs w:val="17"/>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268605</wp:posOffset>
            </wp:positionH>
            <wp:positionV relativeFrom="paragraph">
              <wp:posOffset>-128905</wp:posOffset>
            </wp:positionV>
            <wp:extent cx="762000" cy="971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62000" cy="97155"/>
                    </a:xfrm>
                    <a:prstGeom prst="rect">
                      <a:avLst/>
                    </a:prstGeom>
                    <a:noFill/>
                  </pic:spPr>
                </pic:pic>
              </a:graphicData>
            </a:graphic>
          </wp:anchor>
        </w:drawing>
      </w:r>
    </w:p>
    <w:p>
      <w:pPr>
        <w:sectPr>
          <w:pgSz w:w="11900" w:h="16838" w:orient="portrait"/>
          <w:cols w:equalWidth="0" w:num="1">
            <w:col w:w="10800"/>
          </w:cols>
          <w:pgMar w:left="320" w:top="464" w:right="77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7"/>
          <w:szCs w:val="17"/>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268605</wp:posOffset>
            </wp:positionH>
            <wp:positionV relativeFrom="paragraph">
              <wp:posOffset>253365</wp:posOffset>
            </wp:positionV>
            <wp:extent cx="1183005" cy="745617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183005" cy="7456170"/>
                    </a:xfrm>
                    <a:prstGeom prst="rect">
                      <a:avLst/>
                    </a:prstGeom>
                    <a:noFill/>
                  </pic:spPr>
                </pic:pic>
              </a:graphicData>
            </a:graphic>
          </wp:anchor>
        </w:drawing>
      </w:r>
    </w:p>
    <w:p>
      <w:pPr>
        <w:spacing w:after="0" w:line="200" w:lineRule="exact"/>
        <w:rPr>
          <w:sz w:val="20"/>
          <w:szCs w:val="20"/>
          <w:color w:val="auto"/>
        </w:rPr>
      </w:pPr>
    </w:p>
    <w:p>
      <w:pPr>
        <w:spacing w:after="0" w:line="304" w:lineRule="exact"/>
        <w:rPr>
          <w:sz w:val="20"/>
          <w:szCs w:val="20"/>
          <w:color w:val="auto"/>
        </w:rPr>
      </w:pPr>
    </w:p>
    <w:p>
      <w:pPr>
        <w:ind w:left="1120" w:right="540" w:hanging="672"/>
        <w:spacing w:after="0" w:line="382" w:lineRule="auto"/>
        <w:tabs>
          <w:tab w:leader="none" w:pos="610" w:val="left"/>
        </w:tabs>
        <w:numPr>
          <w:ilvl w:val="0"/>
          <w:numId w:val="17"/>
        </w:numPr>
        <w:rPr>
          <w:rFonts w:ascii="Arial" w:cs="Arial" w:eastAsia="Arial" w:hAnsi="Arial"/>
          <w:sz w:val="24"/>
          <w:szCs w:val="24"/>
          <w:color w:val="auto"/>
          <w:vertAlign w:val="subscript"/>
        </w:rPr>
      </w:pPr>
      <w:r>
        <w:rPr>
          <w:rFonts w:ascii="Arial" w:cs="Arial" w:eastAsia="Arial" w:hAnsi="Arial"/>
          <w:sz w:val="24"/>
          <w:szCs w:val="24"/>
          <w:color w:val="000000"/>
          <w:vertAlign w:val="subscript"/>
        </w:rPr>
        <w:t xml:space="preserve">     </w:t>
      </w:r>
      <w:r>
        <w:rPr>
          <w:rFonts w:ascii="Arial" w:cs="Arial" w:eastAsia="Arial" w:hAnsi="Arial"/>
          <w:sz w:val="10"/>
          <w:szCs w:val="10"/>
          <w:color w:val="FFFFFF"/>
        </w:rPr>
        <w:t xml:space="preserve"> General Information</w:t>
      </w:r>
    </w:p>
    <w:p>
      <w:pPr>
        <w:spacing w:after="0" w:line="1" w:lineRule="exact"/>
        <w:rPr>
          <w:sz w:val="20"/>
          <w:szCs w:val="20"/>
          <w:color w:val="auto"/>
        </w:rPr>
      </w:pPr>
    </w:p>
    <w:p>
      <w:pPr>
        <w:ind w:left="1120"/>
        <w:spacing w:after="0" w:line="261" w:lineRule="auto"/>
        <w:rPr>
          <w:sz w:val="20"/>
          <w:szCs w:val="20"/>
          <w:color w:val="auto"/>
        </w:rPr>
      </w:pPr>
      <w:r>
        <w:rPr>
          <w:rFonts w:ascii="Arial" w:cs="Arial" w:eastAsia="Arial" w:hAnsi="Arial"/>
          <w:sz w:val="11"/>
          <w:szCs w:val="11"/>
          <w:b w:val="1"/>
          <w:bCs w:val="1"/>
          <w:color w:val="FFFFFF"/>
        </w:rPr>
        <w:t>General Information About Corporate Governance and the Board of Directors</w:t>
      </w:r>
    </w:p>
    <w:p>
      <w:pPr>
        <w:spacing w:after="0" w:line="254" w:lineRule="exact"/>
        <w:rPr>
          <w:sz w:val="20"/>
          <w:szCs w:val="20"/>
          <w:color w:val="auto"/>
        </w:rPr>
      </w:pPr>
    </w:p>
    <w:p>
      <w:pPr>
        <w:jc w:val="center"/>
        <w:ind w:left="540"/>
        <w:spacing w:after="0"/>
        <w:rPr>
          <w:sz w:val="20"/>
          <w:szCs w:val="20"/>
          <w:color w:val="auto"/>
        </w:rPr>
      </w:pPr>
      <w:r>
        <w:rPr>
          <w:rFonts w:ascii="Arial" w:cs="Arial" w:eastAsia="Arial" w:hAnsi="Arial"/>
          <w:sz w:val="12"/>
          <w:szCs w:val="12"/>
          <w:color w:val="FFFFFF"/>
        </w:rPr>
        <w:t>Proposal 1</w:t>
      </w:r>
    </w:p>
    <w:p>
      <w:pPr>
        <w:spacing w:after="0" w:line="156"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Information</w:t>
      </w:r>
    </w:p>
    <w:p>
      <w:pPr>
        <w:ind w:left="1120"/>
        <w:spacing w:after="0" w:line="224" w:lineRule="auto"/>
        <w:rPr>
          <w:sz w:val="20"/>
          <w:szCs w:val="20"/>
          <w:color w:val="auto"/>
        </w:rPr>
      </w:pPr>
      <w:r>
        <w:rPr>
          <w:rFonts w:ascii="Arial" w:cs="Arial" w:eastAsia="Arial" w:hAnsi="Arial"/>
          <w:sz w:val="12"/>
          <w:szCs w:val="12"/>
          <w:color w:val="FFFFFF"/>
        </w:rPr>
        <w:t>Regarding Board</w:t>
      </w:r>
    </w:p>
    <w:p>
      <w:pPr>
        <w:ind w:left="1120"/>
        <w:spacing w:after="0" w:line="222" w:lineRule="auto"/>
        <w:rPr>
          <w:sz w:val="20"/>
          <w:szCs w:val="20"/>
          <w:color w:val="auto"/>
        </w:rPr>
      </w:pPr>
      <w:r>
        <w:rPr>
          <w:rFonts w:ascii="Arial" w:cs="Arial" w:eastAsia="Arial" w:hAnsi="Arial"/>
          <w:sz w:val="12"/>
          <w:szCs w:val="12"/>
          <w:color w:val="FFFFFF"/>
        </w:rPr>
        <w:t>and Committee</w:t>
      </w:r>
    </w:p>
    <w:p>
      <w:pPr>
        <w:ind w:left="1120"/>
        <w:spacing w:after="0"/>
        <w:rPr>
          <w:sz w:val="20"/>
          <w:szCs w:val="20"/>
          <w:color w:val="auto"/>
        </w:rPr>
      </w:pPr>
      <w:r>
        <w:rPr>
          <w:rFonts w:ascii="Arial" w:cs="Arial" w:eastAsia="Arial" w:hAnsi="Arial"/>
          <w:sz w:val="12"/>
          <w:szCs w:val="12"/>
          <w:color w:val="FFFFFF"/>
        </w:rPr>
        <w:t>Structure</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Board of Directors</w:t>
      </w:r>
    </w:p>
    <w:p>
      <w:pPr>
        <w:spacing w:after="0" w:line="2"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Compensation</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Compensation</w:t>
      </w:r>
    </w:p>
    <w:p>
      <w:pPr>
        <w:ind w:left="1120"/>
        <w:spacing w:after="0" w:line="224" w:lineRule="auto"/>
        <w:rPr>
          <w:sz w:val="20"/>
          <w:szCs w:val="20"/>
          <w:color w:val="auto"/>
        </w:rPr>
      </w:pPr>
      <w:r>
        <w:rPr>
          <w:rFonts w:ascii="Arial" w:cs="Arial" w:eastAsia="Arial" w:hAnsi="Arial"/>
          <w:sz w:val="12"/>
          <w:szCs w:val="12"/>
          <w:color w:val="FFFFFF"/>
        </w:rPr>
        <w:t>Discussion and</w:t>
      </w:r>
    </w:p>
    <w:p>
      <w:pPr>
        <w:ind w:left="1120"/>
        <w:spacing w:after="0"/>
        <w:rPr>
          <w:sz w:val="20"/>
          <w:szCs w:val="20"/>
          <w:color w:val="auto"/>
        </w:rPr>
      </w:pPr>
      <w:r>
        <w:rPr>
          <w:rFonts w:ascii="Arial" w:cs="Arial" w:eastAsia="Arial" w:hAnsi="Arial"/>
          <w:sz w:val="12"/>
          <w:szCs w:val="12"/>
          <w:color w:val="FFFFFF"/>
        </w:rPr>
        <w:t>Analysis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Report of the</w:t>
      </w:r>
    </w:p>
    <w:p>
      <w:pPr>
        <w:ind w:left="1120"/>
        <w:spacing w:after="0" w:line="224" w:lineRule="auto"/>
        <w:rPr>
          <w:sz w:val="20"/>
          <w:szCs w:val="20"/>
          <w:color w:val="auto"/>
        </w:rPr>
      </w:pPr>
      <w:r>
        <w:rPr>
          <w:rFonts w:ascii="Arial" w:cs="Arial" w:eastAsia="Arial" w:hAnsi="Arial"/>
          <w:sz w:val="12"/>
          <w:szCs w:val="12"/>
          <w:color w:val="FFFFFF"/>
        </w:rPr>
        <w:t>Compensation</w:t>
      </w:r>
    </w:p>
    <w:p>
      <w:pPr>
        <w:ind w:left="1120"/>
        <w:spacing w:after="0" w:line="222" w:lineRule="auto"/>
        <w:rPr>
          <w:sz w:val="20"/>
          <w:szCs w:val="20"/>
          <w:color w:val="auto"/>
        </w:rPr>
      </w:pPr>
      <w:r>
        <w:rPr>
          <w:rFonts w:ascii="Arial" w:cs="Arial" w:eastAsia="Arial" w:hAnsi="Arial"/>
          <w:sz w:val="12"/>
          <w:szCs w:val="12"/>
          <w:color w:val="FFFFFF"/>
        </w:rPr>
        <w:t>and Human</w:t>
      </w:r>
    </w:p>
    <w:p>
      <w:pPr>
        <w:ind w:left="1120"/>
        <w:spacing w:after="0" w:line="222" w:lineRule="auto"/>
        <w:rPr>
          <w:sz w:val="20"/>
          <w:szCs w:val="20"/>
          <w:color w:val="auto"/>
        </w:rPr>
      </w:pPr>
      <w:r>
        <w:rPr>
          <w:rFonts w:ascii="Arial" w:cs="Arial" w:eastAsia="Arial" w:hAnsi="Arial"/>
          <w:sz w:val="12"/>
          <w:szCs w:val="12"/>
          <w:color w:val="FFFFFF"/>
        </w:rPr>
        <w:t>Resources</w:t>
      </w:r>
    </w:p>
    <w:p>
      <w:pPr>
        <w:ind w:left="1120"/>
        <w:spacing w:after="0" w:line="222" w:lineRule="auto"/>
        <w:rPr>
          <w:sz w:val="20"/>
          <w:szCs w:val="20"/>
          <w:color w:val="auto"/>
        </w:rPr>
      </w:pPr>
      <w:r>
        <w:rPr>
          <w:rFonts w:ascii="Arial" w:cs="Arial" w:eastAsia="Arial" w:hAnsi="Arial"/>
          <w:sz w:val="12"/>
          <w:szCs w:val="12"/>
          <w:color w:val="FFFFFF"/>
        </w:rPr>
        <w:t>Committee of the</w:t>
      </w:r>
    </w:p>
    <w:p>
      <w:pPr>
        <w:ind w:left="1120"/>
        <w:spacing w:after="0"/>
        <w:rPr>
          <w:sz w:val="20"/>
          <w:szCs w:val="20"/>
          <w:color w:val="auto"/>
        </w:rPr>
      </w:pPr>
      <w:r>
        <w:rPr>
          <w:rFonts w:ascii="Arial" w:cs="Arial" w:eastAsia="Arial" w:hAnsi="Arial"/>
          <w:sz w:val="12"/>
          <w:szCs w:val="12"/>
          <w:color w:val="FFFFFF"/>
        </w:rPr>
        <w:t>Board of Directors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Compensation of</w:t>
      </w:r>
    </w:p>
    <w:p>
      <w:pPr>
        <w:ind w:left="1120"/>
        <w:spacing w:after="0" w:line="224" w:lineRule="auto"/>
        <w:rPr>
          <w:sz w:val="20"/>
          <w:szCs w:val="20"/>
          <w:color w:val="auto"/>
        </w:rPr>
      </w:pPr>
      <w:r>
        <w:rPr>
          <w:rFonts w:ascii="Arial" w:cs="Arial" w:eastAsia="Arial" w:hAnsi="Arial"/>
          <w:sz w:val="12"/>
          <w:szCs w:val="12"/>
          <w:color w:val="FFFFFF"/>
        </w:rPr>
        <w:t>Named Executive</w:t>
      </w:r>
    </w:p>
    <w:p>
      <w:pPr>
        <w:ind w:left="1120"/>
        <w:spacing w:after="0"/>
        <w:rPr>
          <w:sz w:val="20"/>
          <w:szCs w:val="20"/>
          <w:color w:val="auto"/>
        </w:rPr>
      </w:pPr>
      <w:r>
        <w:rPr>
          <w:rFonts w:ascii="Arial" w:cs="Arial" w:eastAsia="Arial" w:hAnsi="Arial"/>
          <w:sz w:val="12"/>
          <w:szCs w:val="12"/>
          <w:color w:val="FFFFFF"/>
        </w:rPr>
        <w:t>Officers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Pay Versus</w:t>
      </w:r>
    </w:p>
    <w:p>
      <w:pPr>
        <w:ind w:left="1120"/>
        <w:spacing w:after="0" w:line="224" w:lineRule="auto"/>
        <w:rPr>
          <w:sz w:val="20"/>
          <w:szCs w:val="20"/>
          <w:color w:val="auto"/>
        </w:rPr>
      </w:pPr>
      <w:r>
        <w:rPr>
          <w:rFonts w:ascii="Arial" w:cs="Arial" w:eastAsia="Arial" w:hAnsi="Arial"/>
          <w:sz w:val="12"/>
          <w:szCs w:val="12"/>
          <w:color w:val="FFFFFF"/>
        </w:rPr>
        <w:t>Performance</w:t>
      </w:r>
    </w:p>
    <w:p>
      <w:pPr>
        <w:ind w:left="1120"/>
        <w:spacing w:after="0"/>
        <w:rPr>
          <w:sz w:val="20"/>
          <w:szCs w:val="20"/>
          <w:color w:val="auto"/>
        </w:rPr>
      </w:pPr>
      <w:r>
        <w:rPr>
          <w:rFonts w:ascii="Arial" w:cs="Arial" w:eastAsia="Arial" w:hAnsi="Arial"/>
          <w:sz w:val="12"/>
          <w:szCs w:val="12"/>
          <w:color w:val="FFFFFF"/>
        </w:rPr>
        <w:t>Disclosure</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Security</w:t>
      </w:r>
    </w:p>
    <w:p>
      <w:pPr>
        <w:ind w:left="1120"/>
        <w:spacing w:after="0" w:line="224" w:lineRule="auto"/>
        <w:rPr>
          <w:sz w:val="20"/>
          <w:szCs w:val="20"/>
          <w:color w:val="auto"/>
        </w:rPr>
      </w:pPr>
      <w:r>
        <w:rPr>
          <w:rFonts w:ascii="Arial" w:cs="Arial" w:eastAsia="Arial" w:hAnsi="Arial"/>
          <w:sz w:val="12"/>
          <w:szCs w:val="12"/>
          <w:color w:val="FFFFFF"/>
        </w:rPr>
        <w:t>Ownership of</w:t>
      </w:r>
    </w:p>
    <w:p>
      <w:pPr>
        <w:ind w:left="1120"/>
        <w:spacing w:after="0" w:line="222" w:lineRule="auto"/>
        <w:rPr>
          <w:sz w:val="20"/>
          <w:szCs w:val="20"/>
          <w:color w:val="auto"/>
        </w:rPr>
      </w:pPr>
      <w:r>
        <w:rPr>
          <w:rFonts w:ascii="Arial" w:cs="Arial" w:eastAsia="Arial" w:hAnsi="Arial"/>
          <w:sz w:val="12"/>
          <w:szCs w:val="12"/>
          <w:color w:val="FFFFFF"/>
        </w:rPr>
        <w:t>Certain Beneficial</w:t>
      </w:r>
    </w:p>
    <w:p>
      <w:pPr>
        <w:ind w:left="1120"/>
        <w:spacing w:after="0" w:line="222" w:lineRule="auto"/>
        <w:rPr>
          <w:sz w:val="20"/>
          <w:szCs w:val="20"/>
          <w:color w:val="auto"/>
        </w:rPr>
      </w:pPr>
      <w:r>
        <w:rPr>
          <w:rFonts w:ascii="Arial" w:cs="Arial" w:eastAsia="Arial" w:hAnsi="Arial"/>
          <w:sz w:val="12"/>
          <w:szCs w:val="12"/>
          <w:color w:val="FFFFFF"/>
        </w:rPr>
        <w:t>Owners and</w:t>
      </w:r>
    </w:p>
    <w:p>
      <w:pPr>
        <w:ind w:left="1120"/>
        <w:spacing w:after="0"/>
        <w:rPr>
          <w:sz w:val="20"/>
          <w:szCs w:val="20"/>
          <w:color w:val="auto"/>
        </w:rPr>
      </w:pPr>
      <w:r>
        <w:rPr>
          <w:rFonts w:ascii="Arial" w:cs="Arial" w:eastAsia="Arial" w:hAnsi="Arial"/>
          <w:sz w:val="12"/>
          <w:szCs w:val="12"/>
          <w:color w:val="FFFFFF"/>
        </w:rPr>
        <w:t>Management</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Certain</w:t>
      </w:r>
    </w:p>
    <w:p>
      <w:pPr>
        <w:ind w:left="1120"/>
        <w:spacing w:after="0" w:line="224" w:lineRule="auto"/>
        <w:rPr>
          <w:sz w:val="20"/>
          <w:szCs w:val="20"/>
          <w:color w:val="auto"/>
        </w:rPr>
      </w:pPr>
      <w:r>
        <w:rPr>
          <w:rFonts w:ascii="Arial" w:cs="Arial" w:eastAsia="Arial" w:hAnsi="Arial"/>
          <w:sz w:val="12"/>
          <w:szCs w:val="12"/>
          <w:color w:val="FFFFFF"/>
        </w:rPr>
        <w:t>Relationships and</w:t>
      </w:r>
    </w:p>
    <w:p>
      <w:pPr>
        <w:ind w:left="1120"/>
        <w:spacing w:after="0" w:line="222" w:lineRule="auto"/>
        <w:rPr>
          <w:sz w:val="20"/>
          <w:szCs w:val="20"/>
          <w:color w:val="auto"/>
        </w:rPr>
      </w:pPr>
      <w:r>
        <w:rPr>
          <w:rFonts w:ascii="Arial" w:cs="Arial" w:eastAsia="Arial" w:hAnsi="Arial"/>
          <w:sz w:val="12"/>
          <w:szCs w:val="12"/>
          <w:color w:val="FFFFFF"/>
        </w:rPr>
        <w:t>Related Party</w:t>
      </w:r>
    </w:p>
    <w:p>
      <w:pPr>
        <w:ind w:left="1120"/>
        <w:spacing w:after="0"/>
        <w:rPr>
          <w:sz w:val="20"/>
          <w:szCs w:val="20"/>
          <w:color w:val="auto"/>
        </w:rPr>
      </w:pPr>
      <w:r>
        <w:rPr>
          <w:rFonts w:ascii="Arial" w:cs="Arial" w:eastAsia="Arial" w:hAnsi="Arial"/>
          <w:sz w:val="12"/>
          <w:szCs w:val="12"/>
          <w:color w:val="FFFFFF"/>
        </w:rPr>
        <w:t>Transactions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Proposal 2</w:t>
      </w:r>
    </w:p>
    <w:p>
      <w:pPr>
        <w:spacing w:after="0" w:line="156"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Report of the</w:t>
      </w:r>
    </w:p>
    <w:p>
      <w:pPr>
        <w:ind w:left="1120"/>
        <w:spacing w:after="0" w:line="224" w:lineRule="auto"/>
        <w:rPr>
          <w:sz w:val="20"/>
          <w:szCs w:val="20"/>
          <w:color w:val="auto"/>
        </w:rPr>
      </w:pPr>
      <w:r>
        <w:rPr>
          <w:rFonts w:ascii="Arial" w:cs="Arial" w:eastAsia="Arial" w:hAnsi="Arial"/>
          <w:sz w:val="12"/>
          <w:szCs w:val="12"/>
          <w:color w:val="FFFFFF"/>
        </w:rPr>
        <w:t>Audit and Risk</w:t>
      </w:r>
    </w:p>
    <w:p>
      <w:pPr>
        <w:ind w:left="1120"/>
        <w:spacing w:after="0" w:line="222" w:lineRule="auto"/>
        <w:rPr>
          <w:sz w:val="20"/>
          <w:szCs w:val="20"/>
          <w:color w:val="auto"/>
        </w:rPr>
      </w:pPr>
      <w:r>
        <w:rPr>
          <w:rFonts w:ascii="Arial" w:cs="Arial" w:eastAsia="Arial" w:hAnsi="Arial"/>
          <w:sz w:val="12"/>
          <w:szCs w:val="12"/>
          <w:color w:val="FFFFFF"/>
        </w:rPr>
        <w:t>Committee of the</w:t>
      </w:r>
    </w:p>
    <w:p>
      <w:pPr>
        <w:ind w:left="1120"/>
        <w:spacing w:after="0"/>
        <w:rPr>
          <w:sz w:val="20"/>
          <w:szCs w:val="20"/>
          <w:color w:val="auto"/>
        </w:rPr>
      </w:pPr>
      <w:r>
        <w:rPr>
          <w:rFonts w:ascii="Arial" w:cs="Arial" w:eastAsia="Arial" w:hAnsi="Arial"/>
          <w:sz w:val="12"/>
          <w:szCs w:val="12"/>
          <w:color w:val="FFFFFF"/>
        </w:rPr>
        <w:t>Board of Directors</w:t>
      </w:r>
    </w:p>
    <w:p>
      <w:pPr>
        <w:spacing w:after="0" w:line="144" w:lineRule="exact"/>
        <w:rPr>
          <w:sz w:val="20"/>
          <w:szCs w:val="20"/>
          <w:color w:val="auto"/>
        </w:rPr>
      </w:pPr>
    </w:p>
    <w:p>
      <w:pPr>
        <w:jc w:val="center"/>
        <w:ind w:left="540"/>
        <w:spacing w:after="0"/>
        <w:rPr>
          <w:sz w:val="20"/>
          <w:szCs w:val="20"/>
          <w:color w:val="auto"/>
        </w:rPr>
      </w:pPr>
      <w:r>
        <w:rPr>
          <w:rFonts w:ascii="Arial" w:cs="Arial" w:eastAsia="Arial" w:hAnsi="Arial"/>
          <w:sz w:val="12"/>
          <w:szCs w:val="12"/>
          <w:color w:val="FFFFFF"/>
        </w:rPr>
        <w:t>Proposal 3</w:t>
      </w:r>
    </w:p>
    <w:p>
      <w:pPr>
        <w:spacing w:after="0" w:line="156" w:lineRule="exact"/>
        <w:rPr>
          <w:sz w:val="20"/>
          <w:szCs w:val="20"/>
          <w:color w:val="auto"/>
        </w:rPr>
      </w:pPr>
    </w:p>
    <w:p>
      <w:pPr>
        <w:jc w:val="center"/>
        <w:ind w:left="540"/>
        <w:spacing w:after="0"/>
        <w:rPr>
          <w:sz w:val="20"/>
          <w:szCs w:val="20"/>
          <w:color w:val="auto"/>
        </w:rPr>
      </w:pPr>
      <w:r>
        <w:rPr>
          <w:rFonts w:ascii="Arial" w:cs="Arial" w:eastAsia="Arial" w:hAnsi="Arial"/>
          <w:sz w:val="12"/>
          <w:szCs w:val="12"/>
          <w:color w:val="FFFFFF"/>
        </w:rPr>
        <w:t>Proposal 4</w:t>
      </w:r>
    </w:p>
    <w:p>
      <w:pPr>
        <w:spacing w:after="0" w:line="156" w:lineRule="exact"/>
        <w:rPr>
          <w:sz w:val="20"/>
          <w:szCs w:val="20"/>
          <w:color w:val="auto"/>
        </w:rPr>
      </w:pPr>
    </w:p>
    <w:p>
      <w:pPr>
        <w:jc w:val="center"/>
        <w:ind w:left="540"/>
        <w:spacing w:after="0"/>
        <w:rPr>
          <w:sz w:val="20"/>
          <w:szCs w:val="20"/>
          <w:color w:val="auto"/>
        </w:rPr>
      </w:pPr>
      <w:r>
        <w:rPr>
          <w:rFonts w:ascii="Arial" w:cs="Arial" w:eastAsia="Arial" w:hAnsi="Arial"/>
          <w:sz w:val="12"/>
          <w:szCs w:val="12"/>
          <w:color w:val="FFFFFF"/>
        </w:rPr>
        <w:t>Proposal 5</w:t>
      </w:r>
    </w:p>
    <w:p>
      <w:pPr>
        <w:spacing w:after="0" w:line="156"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Proposal 6</w:t>
      </w:r>
    </w:p>
    <w:p>
      <w:pPr>
        <w:spacing w:after="0" w:line="156"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Stockholder</w:t>
      </w:r>
    </w:p>
    <w:p>
      <w:pPr>
        <w:ind w:left="1120"/>
        <w:spacing w:after="0" w:line="224" w:lineRule="auto"/>
        <w:rPr>
          <w:sz w:val="20"/>
          <w:szCs w:val="20"/>
          <w:color w:val="auto"/>
        </w:rPr>
      </w:pPr>
      <w:r>
        <w:rPr>
          <w:rFonts w:ascii="Arial" w:cs="Arial" w:eastAsia="Arial" w:hAnsi="Arial"/>
          <w:sz w:val="12"/>
          <w:szCs w:val="12"/>
          <w:color w:val="FFFFFF"/>
        </w:rPr>
        <w:t>Proposals and</w:t>
      </w:r>
    </w:p>
    <w:p>
      <w:pPr>
        <w:ind w:left="1120"/>
        <w:spacing w:after="0"/>
        <w:rPr>
          <w:sz w:val="20"/>
          <w:szCs w:val="20"/>
          <w:color w:val="auto"/>
        </w:rPr>
      </w:pPr>
      <w:r>
        <w:rPr>
          <w:rFonts w:ascii="Arial" w:cs="Arial" w:eastAsia="Arial" w:hAnsi="Arial"/>
          <w:sz w:val="12"/>
          <w:szCs w:val="12"/>
          <w:color w:val="FFFFFF"/>
        </w:rPr>
        <w:t>Other Matters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Delinquent</w:t>
      </w:r>
    </w:p>
    <w:p>
      <w:pPr>
        <w:ind w:left="1120"/>
        <w:spacing w:after="0" w:line="224" w:lineRule="auto"/>
        <w:rPr>
          <w:sz w:val="20"/>
          <w:szCs w:val="20"/>
          <w:color w:val="auto"/>
        </w:rPr>
      </w:pPr>
      <w:r>
        <w:rPr>
          <w:rFonts w:ascii="Arial" w:cs="Arial" w:eastAsia="Arial" w:hAnsi="Arial"/>
          <w:sz w:val="12"/>
          <w:szCs w:val="12"/>
          <w:color w:val="FFFFFF"/>
        </w:rPr>
        <w:t>Section 16(a)</w:t>
      </w:r>
    </w:p>
    <w:p>
      <w:pPr>
        <w:ind w:left="1120"/>
        <w:spacing w:after="0"/>
        <w:rPr>
          <w:sz w:val="20"/>
          <w:szCs w:val="20"/>
          <w:color w:val="auto"/>
        </w:rPr>
      </w:pPr>
      <w:r>
        <w:rPr>
          <w:rFonts w:ascii="Arial" w:cs="Arial" w:eastAsia="Arial" w:hAnsi="Arial"/>
          <w:sz w:val="12"/>
          <w:szCs w:val="12"/>
          <w:color w:val="FFFFFF"/>
        </w:rPr>
        <w:t>Reports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Other</w:t>
      </w:r>
    </w:p>
    <w:p>
      <w:pPr>
        <w:spacing w:after="0" w:line="2"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Information</w:t>
      </w:r>
    </w:p>
    <w:p>
      <w:pPr>
        <w:spacing w:after="0" w:line="144" w:lineRule="exact"/>
        <w:rPr>
          <w:sz w:val="20"/>
          <w:szCs w:val="20"/>
          <w:color w:val="auto"/>
        </w:rPr>
      </w:pPr>
    </w:p>
    <w:p>
      <w:pPr>
        <w:jc w:val="center"/>
        <w:ind w:left="580"/>
        <w:spacing w:after="0"/>
        <w:rPr>
          <w:sz w:val="20"/>
          <w:szCs w:val="20"/>
          <w:color w:val="auto"/>
        </w:rPr>
      </w:pPr>
      <w:r>
        <w:rPr>
          <w:rFonts w:ascii="Arial" w:cs="Arial" w:eastAsia="Arial" w:hAnsi="Arial"/>
          <w:sz w:val="12"/>
          <w:szCs w:val="12"/>
          <w:color w:val="FFFFFF"/>
        </w:rPr>
        <w:t>Appendix A</w:t>
      </w:r>
    </w:p>
    <w:p>
      <w:pPr>
        <w:spacing w:after="0" w:line="156" w:lineRule="exact"/>
        <w:rPr>
          <w:sz w:val="20"/>
          <w:szCs w:val="20"/>
          <w:color w:val="auto"/>
        </w:rPr>
      </w:pPr>
    </w:p>
    <w:p>
      <w:pPr>
        <w:jc w:val="center"/>
        <w:ind w:left="580"/>
        <w:spacing w:after="0"/>
        <w:rPr>
          <w:sz w:val="20"/>
          <w:szCs w:val="20"/>
          <w:color w:val="auto"/>
        </w:rPr>
      </w:pPr>
      <w:r>
        <w:rPr>
          <w:rFonts w:ascii="Arial" w:cs="Arial" w:eastAsia="Arial" w:hAnsi="Arial"/>
          <w:sz w:val="12"/>
          <w:szCs w:val="12"/>
          <w:color w:val="FFFFFF"/>
        </w:rPr>
        <w:t>Appendix 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48"/>
          <w:szCs w:val="48"/>
          <w:b w:val="1"/>
          <w:bCs w:val="1"/>
          <w:color w:val="002B5F"/>
        </w:rPr>
        <w:t>General Information About Corporate Governance and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-1737995</wp:posOffset>
            </wp:positionH>
            <wp:positionV relativeFrom="paragraph">
              <wp:posOffset>-1726565</wp:posOffset>
            </wp:positionV>
            <wp:extent cx="7181215" cy="533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81215" cy="5334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-8255</wp:posOffset>
            </wp:positionV>
            <wp:extent cx="506539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065395" cy="8255"/>
                    </a:xfrm>
                    <a:prstGeom prst="rect">
                      <a:avLst/>
                    </a:prstGeom>
                    <a:noFill/>
                  </pic:spPr>
                </pic:pic>
              </a:graphicData>
            </a:graphic>
          </wp:anchor>
        </w:drawing>
      </w:r>
    </w:p>
    <w:p>
      <w:pPr>
        <w:spacing w:after="0" w:line="170" w:lineRule="exact"/>
        <w:rPr>
          <w:sz w:val="20"/>
          <w:szCs w:val="20"/>
          <w:color w:val="auto"/>
        </w:rPr>
      </w:pPr>
    </w:p>
    <w:p>
      <w:pPr>
        <w:ind w:right="160"/>
        <w:spacing w:after="0" w:line="268" w:lineRule="auto"/>
        <w:rPr>
          <w:sz w:val="20"/>
          <w:szCs w:val="20"/>
          <w:color w:val="auto"/>
        </w:rPr>
      </w:pPr>
      <w:r>
        <w:rPr>
          <w:rFonts w:ascii="Arial" w:cs="Arial" w:eastAsia="Arial" w:hAnsi="Arial"/>
          <w:sz w:val="15"/>
          <w:szCs w:val="15"/>
          <w:color w:val="auto"/>
        </w:rPr>
        <w:t>We believe that good corporate governance is important to ensure that we are managed for the long-term benefit of our stakeholders. In support of that philosophy, we have adopted many leading corporate governance practices, including those summarized below and elsewhere in this proxy statement.</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5780" w:type="dxa"/>
            <w:vAlign w:val="bottom"/>
          </w:tcPr>
          <w:p>
            <w:pPr>
              <w:ind w:left="1060"/>
              <w:spacing w:after="0"/>
              <w:rPr>
                <w:sz w:val="20"/>
                <w:szCs w:val="20"/>
                <w:color w:val="auto"/>
              </w:rPr>
            </w:pPr>
            <w:r>
              <w:rPr>
                <w:rFonts w:ascii="Arial" w:cs="Arial" w:eastAsia="Arial" w:hAnsi="Arial"/>
                <w:sz w:val="15"/>
                <w:szCs w:val="15"/>
                <w:b w:val="1"/>
                <w:bCs w:val="1"/>
                <w:color w:val="002B5F"/>
              </w:rPr>
              <w:t>BOARD PRACTICES</w:t>
            </w:r>
          </w:p>
        </w:tc>
      </w:tr>
      <w:tr>
        <w:trPr>
          <w:trHeight w:val="39"/>
        </w:trPr>
        <w:tc>
          <w:tcPr>
            <w:tcW w:w="2200" w:type="dxa"/>
            <w:vAlign w:val="bottom"/>
            <w:gridSpan w:val="2"/>
          </w:tcPr>
          <w:p>
            <w:pPr>
              <w:spacing w:after="0"/>
              <w:rPr>
                <w:sz w:val="3"/>
                <w:szCs w:val="3"/>
                <w:color w:val="auto"/>
              </w:rPr>
            </w:pPr>
          </w:p>
        </w:tc>
        <w:tc>
          <w:tcPr>
            <w:tcW w:w="5780" w:type="dxa"/>
            <w:vAlign w:val="bottom"/>
          </w:tcPr>
          <w:p>
            <w:pPr>
              <w:spacing w:after="0"/>
              <w:rPr>
                <w:sz w:val="3"/>
                <w:szCs w:val="3"/>
                <w:color w:val="auto"/>
              </w:rPr>
            </w:pPr>
          </w:p>
        </w:tc>
      </w:tr>
      <w:tr>
        <w:trPr>
          <w:trHeight w:val="166"/>
        </w:trPr>
        <w:tc>
          <w:tcPr>
            <w:tcW w:w="20" w:type="dxa"/>
            <w:vAlign w:val="bottom"/>
          </w:tcPr>
          <w:p>
            <w:pPr>
              <w:spacing w:after="0"/>
              <w:rPr>
                <w:sz w:val="14"/>
                <w:szCs w:val="14"/>
                <w:color w:val="auto"/>
              </w:rPr>
            </w:pPr>
          </w:p>
        </w:tc>
        <w:tc>
          <w:tcPr>
            <w:tcW w:w="2180" w:type="dxa"/>
            <w:vAlign w:val="bottom"/>
            <w:tcBorders>
              <w:top w:val="single" w:sz="8" w:color="002B5F"/>
            </w:tcBorders>
            <w:shd w:val="clear" w:color="auto" w:fill="F7F1EC"/>
          </w:tcPr>
          <w:p>
            <w:pPr>
              <w:spacing w:after="0" w:line="167" w:lineRule="exact"/>
              <w:rPr>
                <w:sz w:val="20"/>
                <w:szCs w:val="20"/>
                <w:color w:val="auto"/>
              </w:rPr>
            </w:pPr>
            <w:r>
              <w:rPr>
                <w:rFonts w:ascii="Arial" w:cs="Arial" w:eastAsia="Arial" w:hAnsi="Arial"/>
                <w:sz w:val="15"/>
                <w:szCs w:val="15"/>
                <w:color w:val="auto"/>
              </w:rPr>
              <w:t>  Independence</w:t>
            </w:r>
          </w:p>
        </w:tc>
        <w:tc>
          <w:tcPr>
            <w:tcW w:w="5780" w:type="dxa"/>
            <w:vAlign w:val="bottom"/>
            <w:tcBorders>
              <w:top w:val="single" w:sz="8" w:color="002B5F"/>
            </w:tcBorders>
            <w:shd w:val="clear" w:color="auto" w:fill="F7F1EC"/>
          </w:tcPr>
          <w:p>
            <w:pPr>
              <w:ind w:left="80"/>
              <w:spacing w:after="0" w:line="167" w:lineRule="exact"/>
              <w:rPr>
                <w:sz w:val="20"/>
                <w:szCs w:val="20"/>
                <w:color w:val="auto"/>
              </w:rPr>
            </w:pPr>
            <w:r>
              <w:rPr>
                <w:rFonts w:ascii="Arial" w:cs="Arial" w:eastAsia="Arial" w:hAnsi="Arial"/>
                <w:sz w:val="15"/>
                <w:szCs w:val="15"/>
                <w:color w:val="auto"/>
              </w:rPr>
              <w:t>A majority of our directors must be independent. All of our director nominees other</w:t>
            </w:r>
          </w:p>
        </w:tc>
      </w:tr>
      <w:tr>
        <w:trPr>
          <w:trHeight w:val="179"/>
        </w:trPr>
        <w:tc>
          <w:tcPr>
            <w:tcW w:w="20" w:type="dxa"/>
            <w:vAlign w:val="bottom"/>
          </w:tcPr>
          <w:p>
            <w:pPr>
              <w:spacing w:after="0"/>
              <w:rPr>
                <w:sz w:val="15"/>
                <w:szCs w:val="15"/>
                <w:color w:val="auto"/>
              </w:rPr>
            </w:pPr>
          </w:p>
        </w:tc>
        <w:tc>
          <w:tcPr>
            <w:tcW w:w="2180" w:type="dxa"/>
            <w:vAlign w:val="bottom"/>
            <w:shd w:val="clear" w:color="auto" w:fill="F7F1EC"/>
          </w:tcPr>
          <w:p>
            <w:pPr>
              <w:spacing w:after="0"/>
              <w:rPr>
                <w:sz w:val="15"/>
                <w:szCs w:val="15"/>
                <w:color w:val="auto"/>
              </w:rPr>
            </w:pPr>
          </w:p>
        </w:tc>
        <w:tc>
          <w:tcPr>
            <w:tcW w:w="5780" w:type="dxa"/>
            <w:vAlign w:val="bottom"/>
            <w:shd w:val="clear" w:color="auto" w:fill="F7F1EC"/>
          </w:tcPr>
          <w:p>
            <w:pPr>
              <w:ind w:left="80"/>
              <w:spacing w:after="0"/>
              <w:rPr>
                <w:sz w:val="20"/>
                <w:szCs w:val="20"/>
                <w:color w:val="auto"/>
              </w:rPr>
            </w:pPr>
            <w:r>
              <w:rPr>
                <w:rFonts w:ascii="Arial" w:cs="Arial" w:eastAsia="Arial" w:hAnsi="Arial"/>
                <w:sz w:val="15"/>
                <w:szCs w:val="15"/>
                <w:color w:val="auto"/>
              </w:rPr>
              <w:t>than our chief executive officer are independent, and all of the Board committees</w:t>
            </w:r>
          </w:p>
        </w:tc>
      </w:tr>
      <w:tr>
        <w:trPr>
          <w:trHeight w:val="222"/>
        </w:trPr>
        <w:tc>
          <w:tcPr>
            <w:tcW w:w="20" w:type="dxa"/>
            <w:vAlign w:val="bottom"/>
          </w:tcPr>
          <w:p>
            <w:pPr>
              <w:spacing w:after="0"/>
              <w:rPr>
                <w:sz w:val="19"/>
                <w:szCs w:val="19"/>
                <w:color w:val="auto"/>
              </w:rPr>
            </w:pPr>
          </w:p>
        </w:tc>
        <w:tc>
          <w:tcPr>
            <w:tcW w:w="2180" w:type="dxa"/>
            <w:vAlign w:val="bottom"/>
            <w:tcBorders>
              <w:bottom w:val="single" w:sz="8" w:color="F7F1EC"/>
            </w:tcBorders>
            <w:shd w:val="clear" w:color="auto" w:fill="F7F1EC"/>
          </w:tcPr>
          <w:p>
            <w:pPr>
              <w:spacing w:after="0"/>
              <w:rPr>
                <w:sz w:val="19"/>
                <w:szCs w:val="19"/>
                <w:color w:val="auto"/>
              </w:rPr>
            </w:pPr>
          </w:p>
        </w:tc>
        <w:tc>
          <w:tcPr>
            <w:tcW w:w="5780" w:type="dxa"/>
            <w:vAlign w:val="bottom"/>
            <w:tcBorders>
              <w:bottom w:val="single" w:sz="8" w:color="F7F1EC"/>
            </w:tcBorders>
            <w:shd w:val="clear" w:color="auto" w:fill="F7F1EC"/>
          </w:tcPr>
          <w:p>
            <w:pPr>
              <w:ind w:left="80"/>
              <w:spacing w:after="0"/>
              <w:rPr>
                <w:sz w:val="20"/>
                <w:szCs w:val="20"/>
                <w:color w:val="auto"/>
              </w:rPr>
            </w:pPr>
            <w:r>
              <w:rPr>
                <w:rFonts w:ascii="Arial" w:cs="Arial" w:eastAsia="Arial" w:hAnsi="Arial"/>
                <w:sz w:val="15"/>
                <w:szCs w:val="15"/>
                <w:color w:val="auto"/>
              </w:rPr>
              <w:t>are composed exclusively of independent directors.</w:t>
            </w:r>
          </w:p>
        </w:tc>
      </w:tr>
      <w:tr>
        <w:trPr>
          <w:trHeight w:val="192"/>
        </w:trPr>
        <w:tc>
          <w:tcPr>
            <w:tcW w:w="2200" w:type="dxa"/>
            <w:vAlign w:val="bottom"/>
            <w:gridSpan w:val="2"/>
          </w:tcPr>
          <w:p>
            <w:pPr>
              <w:spacing w:after="0"/>
              <w:rPr>
                <w:sz w:val="20"/>
                <w:szCs w:val="20"/>
                <w:color w:val="auto"/>
              </w:rPr>
            </w:pPr>
            <w:r>
              <w:rPr>
                <w:rFonts w:ascii="Arial" w:cs="Arial" w:eastAsia="Arial" w:hAnsi="Arial"/>
                <w:sz w:val="15"/>
                <w:szCs w:val="15"/>
                <w:color w:val="auto"/>
              </w:rPr>
              <w:t>  Non-executive Chair</w:t>
            </w:r>
          </w:p>
        </w:tc>
        <w:tc>
          <w:tcPr>
            <w:tcW w:w="5780" w:type="dxa"/>
            <w:vAlign w:val="bottom"/>
          </w:tcPr>
          <w:p>
            <w:pPr>
              <w:ind w:left="80"/>
              <w:spacing w:after="0"/>
              <w:rPr>
                <w:sz w:val="20"/>
                <w:szCs w:val="20"/>
                <w:color w:val="auto"/>
              </w:rPr>
            </w:pPr>
            <w:r>
              <w:rPr>
                <w:rFonts w:ascii="Arial" w:cs="Arial" w:eastAsia="Arial" w:hAnsi="Arial"/>
                <w:sz w:val="15"/>
                <w:szCs w:val="15"/>
                <w:color w:val="auto"/>
              </w:rPr>
              <w:t>We currently separate the offices of chair of the Board and chief executive officer of</w:t>
            </w:r>
          </w:p>
        </w:tc>
      </w:tr>
      <w:tr>
        <w:trPr>
          <w:trHeight w:val="179"/>
        </w:trPr>
        <w:tc>
          <w:tcPr>
            <w:tcW w:w="2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5780" w:type="dxa"/>
            <w:vAlign w:val="bottom"/>
          </w:tcPr>
          <w:p>
            <w:pPr>
              <w:ind w:left="80"/>
              <w:spacing w:after="0"/>
              <w:rPr>
                <w:sz w:val="20"/>
                <w:szCs w:val="20"/>
                <w:color w:val="auto"/>
              </w:rPr>
            </w:pPr>
            <w:r>
              <w:rPr>
                <w:rFonts w:ascii="Arial" w:cs="Arial" w:eastAsia="Arial" w:hAnsi="Arial"/>
                <w:sz w:val="15"/>
                <w:szCs w:val="15"/>
                <w:color w:val="auto"/>
              </w:rPr>
              <w:t>the Company. The current chair of our Board, James S. Putnam, is an independent</w:t>
            </w:r>
          </w:p>
        </w:tc>
      </w:tr>
      <w:tr>
        <w:trPr>
          <w:trHeight w:val="201"/>
        </w:trPr>
        <w:tc>
          <w:tcPr>
            <w:tcW w:w="2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5780" w:type="dxa"/>
            <w:vAlign w:val="bottom"/>
          </w:tcPr>
          <w:p>
            <w:pPr>
              <w:ind w:left="80"/>
              <w:spacing w:after="0"/>
              <w:rPr>
                <w:sz w:val="20"/>
                <w:szCs w:val="20"/>
                <w:color w:val="auto"/>
              </w:rPr>
            </w:pPr>
            <w:r>
              <w:rPr>
                <w:rFonts w:ascii="Arial" w:cs="Arial" w:eastAsia="Arial" w:hAnsi="Arial"/>
                <w:sz w:val="15"/>
                <w:szCs w:val="15"/>
                <w:color w:val="auto"/>
              </w:rPr>
              <w:t>director.</w:t>
            </w:r>
          </w:p>
        </w:tc>
      </w:tr>
      <w:tr>
        <w:trPr>
          <w:trHeight w:val="41"/>
        </w:trPr>
        <w:tc>
          <w:tcPr>
            <w:tcW w:w="2200" w:type="dxa"/>
            <w:vAlign w:val="bottom"/>
            <w:gridSpan w:val="2"/>
          </w:tcPr>
          <w:p>
            <w:pPr>
              <w:spacing w:after="0"/>
              <w:rPr>
                <w:sz w:val="3"/>
                <w:szCs w:val="3"/>
                <w:color w:val="auto"/>
              </w:rPr>
            </w:pPr>
          </w:p>
        </w:tc>
        <w:tc>
          <w:tcPr>
            <w:tcW w:w="5780" w:type="dxa"/>
            <w:vAlign w:val="bottom"/>
          </w:tcPr>
          <w:p>
            <w:pPr>
              <w:spacing w:after="0"/>
              <w:rPr>
                <w:sz w:val="3"/>
                <w:szCs w:val="3"/>
                <w:color w:val="auto"/>
              </w:rPr>
            </w:pPr>
          </w:p>
        </w:tc>
      </w:tr>
      <w:tr>
        <w:trPr>
          <w:trHeight w:val="192"/>
        </w:trPr>
        <w:tc>
          <w:tcPr>
            <w:tcW w:w="20" w:type="dxa"/>
            <w:vAlign w:val="bottom"/>
          </w:tcPr>
          <w:p>
            <w:pPr>
              <w:spacing w:after="0"/>
              <w:rPr>
                <w:sz w:val="16"/>
                <w:szCs w:val="16"/>
                <w:color w:val="auto"/>
              </w:rPr>
            </w:pPr>
          </w:p>
        </w:tc>
        <w:tc>
          <w:tcPr>
            <w:tcW w:w="2180" w:type="dxa"/>
            <w:vAlign w:val="bottom"/>
            <w:shd w:val="clear" w:color="auto" w:fill="F7F1EC"/>
          </w:tcPr>
          <w:p>
            <w:pPr>
              <w:spacing w:after="0"/>
              <w:rPr>
                <w:sz w:val="20"/>
                <w:szCs w:val="20"/>
                <w:color w:val="auto"/>
              </w:rPr>
            </w:pPr>
            <w:r>
              <w:rPr>
                <w:rFonts w:ascii="Arial" w:cs="Arial" w:eastAsia="Arial" w:hAnsi="Arial"/>
                <w:sz w:val="15"/>
                <w:szCs w:val="15"/>
                <w:color w:val="auto"/>
              </w:rPr>
              <w:t>  Board Composition</w:t>
            </w:r>
          </w:p>
        </w:tc>
        <w:tc>
          <w:tcPr>
            <w:tcW w:w="5780" w:type="dxa"/>
            <w:vAlign w:val="bottom"/>
            <w:shd w:val="clear" w:color="auto" w:fill="F7F1EC"/>
          </w:tcPr>
          <w:p>
            <w:pPr>
              <w:ind w:left="80"/>
              <w:spacing w:after="0"/>
              <w:rPr>
                <w:sz w:val="20"/>
                <w:szCs w:val="20"/>
                <w:color w:val="auto"/>
              </w:rPr>
            </w:pPr>
            <w:r>
              <w:rPr>
                <w:rFonts w:ascii="Arial" w:cs="Arial" w:eastAsia="Arial" w:hAnsi="Arial"/>
                <w:sz w:val="15"/>
                <w:szCs w:val="15"/>
                <w:color w:val="auto"/>
              </w:rPr>
              <w:t>Our goal is a balanced Board, with members who possess a range of skills,</w:t>
            </w:r>
          </w:p>
        </w:tc>
      </w:tr>
      <w:tr>
        <w:trPr>
          <w:trHeight w:val="222"/>
        </w:trPr>
        <w:tc>
          <w:tcPr>
            <w:tcW w:w="20" w:type="dxa"/>
            <w:vAlign w:val="bottom"/>
          </w:tcPr>
          <w:p>
            <w:pPr>
              <w:spacing w:after="0"/>
              <w:rPr>
                <w:sz w:val="19"/>
                <w:szCs w:val="19"/>
                <w:color w:val="auto"/>
              </w:rPr>
            </w:pPr>
          </w:p>
        </w:tc>
        <w:tc>
          <w:tcPr>
            <w:tcW w:w="2180" w:type="dxa"/>
            <w:vAlign w:val="bottom"/>
            <w:tcBorders>
              <w:bottom w:val="single" w:sz="8" w:color="F7F1EC"/>
            </w:tcBorders>
            <w:shd w:val="clear" w:color="auto" w:fill="F7F1EC"/>
          </w:tcPr>
          <w:p>
            <w:pPr>
              <w:spacing w:after="0"/>
              <w:rPr>
                <w:sz w:val="19"/>
                <w:szCs w:val="19"/>
                <w:color w:val="auto"/>
              </w:rPr>
            </w:pPr>
          </w:p>
        </w:tc>
        <w:tc>
          <w:tcPr>
            <w:tcW w:w="5780" w:type="dxa"/>
            <w:vAlign w:val="bottom"/>
            <w:tcBorders>
              <w:bottom w:val="single" w:sz="8" w:color="F7F1EC"/>
            </w:tcBorders>
            <w:shd w:val="clear" w:color="auto" w:fill="F7F1EC"/>
          </w:tcPr>
          <w:p>
            <w:pPr>
              <w:ind w:left="80"/>
              <w:spacing w:after="0"/>
              <w:rPr>
                <w:sz w:val="20"/>
                <w:szCs w:val="20"/>
                <w:color w:val="auto"/>
              </w:rPr>
            </w:pPr>
            <w:r>
              <w:rPr>
                <w:rFonts w:ascii="Arial" w:cs="Arial" w:eastAsia="Arial" w:hAnsi="Arial"/>
                <w:sz w:val="15"/>
                <w:szCs w:val="15"/>
                <w:color w:val="auto"/>
              </w:rPr>
              <w:t>expertise, experiences, perspectives, tenures and personal characteristics.</w:t>
            </w:r>
          </w:p>
        </w:tc>
      </w:tr>
      <w:tr>
        <w:trPr>
          <w:trHeight w:val="192"/>
        </w:trPr>
        <w:tc>
          <w:tcPr>
            <w:tcW w:w="2200" w:type="dxa"/>
            <w:vAlign w:val="bottom"/>
            <w:gridSpan w:val="2"/>
          </w:tcPr>
          <w:p>
            <w:pPr>
              <w:spacing w:after="0"/>
              <w:rPr>
                <w:sz w:val="20"/>
                <w:szCs w:val="20"/>
                <w:color w:val="auto"/>
              </w:rPr>
            </w:pPr>
            <w:r>
              <w:rPr>
                <w:rFonts w:ascii="Arial" w:cs="Arial" w:eastAsia="Arial" w:hAnsi="Arial"/>
                <w:sz w:val="15"/>
                <w:szCs w:val="15"/>
                <w:color w:val="auto"/>
              </w:rPr>
              <w:t>  Board Refreshment</w:t>
            </w:r>
          </w:p>
        </w:tc>
        <w:tc>
          <w:tcPr>
            <w:tcW w:w="5780" w:type="dxa"/>
            <w:vAlign w:val="bottom"/>
          </w:tcPr>
          <w:p>
            <w:pPr>
              <w:ind w:left="80"/>
              <w:spacing w:after="0"/>
              <w:rPr>
                <w:sz w:val="20"/>
                <w:szCs w:val="20"/>
                <w:color w:val="auto"/>
              </w:rPr>
            </w:pPr>
            <w:r>
              <w:rPr>
                <w:rFonts w:ascii="Arial" w:cs="Arial" w:eastAsia="Arial" w:hAnsi="Arial"/>
                <w:sz w:val="15"/>
                <w:szCs w:val="15"/>
                <w:color w:val="auto"/>
              </w:rPr>
              <w:t>Our Board’s composition represents a balanced approach to director tenure,</w:t>
            </w:r>
          </w:p>
        </w:tc>
      </w:tr>
      <w:tr>
        <w:trPr>
          <w:trHeight w:val="179"/>
        </w:trPr>
        <w:tc>
          <w:tcPr>
            <w:tcW w:w="2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5780" w:type="dxa"/>
            <w:vAlign w:val="bottom"/>
          </w:tcPr>
          <w:p>
            <w:pPr>
              <w:ind w:left="80"/>
              <w:spacing w:after="0"/>
              <w:rPr>
                <w:sz w:val="20"/>
                <w:szCs w:val="20"/>
                <w:color w:val="auto"/>
              </w:rPr>
            </w:pPr>
            <w:r>
              <w:rPr>
                <w:rFonts w:ascii="Arial" w:cs="Arial" w:eastAsia="Arial" w:hAnsi="Arial"/>
                <w:sz w:val="15"/>
                <w:szCs w:val="15"/>
                <w:color w:val="auto"/>
              </w:rPr>
              <w:t>allowing the Board to benefit from the experience of longer-serving directors as well</w:t>
            </w:r>
          </w:p>
        </w:tc>
      </w:tr>
      <w:tr>
        <w:trPr>
          <w:trHeight w:val="179"/>
        </w:trPr>
        <w:tc>
          <w:tcPr>
            <w:tcW w:w="2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5780" w:type="dxa"/>
            <w:vAlign w:val="bottom"/>
          </w:tcPr>
          <w:p>
            <w:pPr>
              <w:ind w:left="80"/>
              <w:spacing w:after="0"/>
              <w:rPr>
                <w:sz w:val="20"/>
                <w:szCs w:val="20"/>
                <w:color w:val="auto"/>
              </w:rPr>
            </w:pPr>
            <w:r>
              <w:rPr>
                <w:rFonts w:ascii="Arial" w:cs="Arial" w:eastAsia="Arial" w:hAnsi="Arial"/>
                <w:sz w:val="15"/>
                <w:szCs w:val="15"/>
                <w:color w:val="auto"/>
              </w:rPr>
              <w:t>as fresh perspectives from newer directors. The nominating and governance</w:t>
            </w:r>
          </w:p>
        </w:tc>
      </w:tr>
      <w:tr>
        <w:trPr>
          <w:trHeight w:val="179"/>
        </w:trPr>
        <w:tc>
          <w:tcPr>
            <w:tcW w:w="2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5780" w:type="dxa"/>
            <w:vAlign w:val="bottom"/>
          </w:tcPr>
          <w:p>
            <w:pPr>
              <w:ind w:left="80"/>
              <w:spacing w:after="0"/>
              <w:rPr>
                <w:sz w:val="20"/>
                <w:szCs w:val="20"/>
                <w:color w:val="auto"/>
              </w:rPr>
            </w:pPr>
            <w:r>
              <w:rPr>
                <w:rFonts w:ascii="Arial" w:cs="Arial" w:eastAsia="Arial" w:hAnsi="Arial"/>
                <w:sz w:val="15"/>
                <w:szCs w:val="15"/>
                <w:color w:val="auto"/>
              </w:rPr>
              <w:t>committee of the Board (the “Nominating and Governance Committee”) has</w:t>
            </w:r>
          </w:p>
        </w:tc>
      </w:tr>
      <w:tr>
        <w:trPr>
          <w:trHeight w:val="201"/>
        </w:trPr>
        <w:tc>
          <w:tcPr>
            <w:tcW w:w="2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5780" w:type="dxa"/>
            <w:vAlign w:val="bottom"/>
          </w:tcPr>
          <w:p>
            <w:pPr>
              <w:ind w:left="80"/>
              <w:spacing w:after="0"/>
              <w:rPr>
                <w:sz w:val="20"/>
                <w:szCs w:val="20"/>
                <w:color w:val="auto"/>
              </w:rPr>
            </w:pPr>
            <w:r>
              <w:rPr>
                <w:rFonts w:ascii="Arial" w:cs="Arial" w:eastAsia="Arial" w:hAnsi="Arial"/>
                <w:sz w:val="15"/>
                <w:szCs w:val="15"/>
                <w:color w:val="auto"/>
              </w:rPr>
              <w:t>developed a skills matrix to inform director searches and succession planning.</w:t>
            </w:r>
          </w:p>
        </w:tc>
      </w:tr>
      <w:tr>
        <w:trPr>
          <w:trHeight w:val="41"/>
        </w:trPr>
        <w:tc>
          <w:tcPr>
            <w:tcW w:w="2200" w:type="dxa"/>
            <w:vAlign w:val="bottom"/>
            <w:gridSpan w:val="2"/>
          </w:tcPr>
          <w:p>
            <w:pPr>
              <w:spacing w:after="0"/>
              <w:rPr>
                <w:sz w:val="3"/>
                <w:szCs w:val="3"/>
                <w:color w:val="auto"/>
              </w:rPr>
            </w:pPr>
          </w:p>
        </w:tc>
        <w:tc>
          <w:tcPr>
            <w:tcW w:w="5780" w:type="dxa"/>
            <w:vAlign w:val="bottom"/>
          </w:tcPr>
          <w:p>
            <w:pPr>
              <w:spacing w:after="0"/>
              <w:rPr>
                <w:sz w:val="3"/>
                <w:szCs w:val="3"/>
                <w:color w:val="auto"/>
              </w:rPr>
            </w:pPr>
          </w:p>
        </w:tc>
      </w:tr>
      <w:tr>
        <w:trPr>
          <w:trHeight w:val="192"/>
        </w:trPr>
        <w:tc>
          <w:tcPr>
            <w:tcW w:w="20" w:type="dxa"/>
            <w:vAlign w:val="bottom"/>
          </w:tcPr>
          <w:p>
            <w:pPr>
              <w:spacing w:after="0"/>
              <w:rPr>
                <w:sz w:val="16"/>
                <w:szCs w:val="16"/>
                <w:color w:val="auto"/>
              </w:rPr>
            </w:pPr>
          </w:p>
        </w:tc>
        <w:tc>
          <w:tcPr>
            <w:tcW w:w="2180" w:type="dxa"/>
            <w:vAlign w:val="bottom"/>
            <w:shd w:val="clear" w:color="auto" w:fill="F7F1EC"/>
          </w:tcPr>
          <w:p>
            <w:pPr>
              <w:spacing w:after="0"/>
              <w:rPr>
                <w:sz w:val="20"/>
                <w:szCs w:val="20"/>
                <w:color w:val="auto"/>
              </w:rPr>
            </w:pPr>
            <w:r>
              <w:rPr>
                <w:rFonts w:ascii="Arial" w:cs="Arial" w:eastAsia="Arial" w:hAnsi="Arial"/>
                <w:sz w:val="15"/>
                <w:szCs w:val="15"/>
                <w:color w:val="auto"/>
              </w:rPr>
              <w:t>  Director Overboarding</w:t>
            </w:r>
          </w:p>
        </w:tc>
        <w:tc>
          <w:tcPr>
            <w:tcW w:w="5780" w:type="dxa"/>
            <w:vAlign w:val="bottom"/>
            <w:shd w:val="clear" w:color="auto" w:fill="F7F1EC"/>
          </w:tcPr>
          <w:p>
            <w:pPr>
              <w:ind w:left="80"/>
              <w:spacing w:after="0"/>
              <w:rPr>
                <w:sz w:val="20"/>
                <w:szCs w:val="20"/>
                <w:color w:val="auto"/>
              </w:rPr>
            </w:pPr>
            <w:r>
              <w:rPr>
                <w:rFonts w:ascii="Arial" w:cs="Arial" w:eastAsia="Arial" w:hAnsi="Arial"/>
                <w:sz w:val="15"/>
                <w:szCs w:val="15"/>
                <w:color w:val="auto"/>
              </w:rPr>
              <w:t>Any director who is not serving as chief executive officer of a public company is</w:t>
            </w:r>
          </w:p>
        </w:tc>
      </w:tr>
      <w:tr>
        <w:trPr>
          <w:trHeight w:val="179"/>
        </w:trPr>
        <w:tc>
          <w:tcPr>
            <w:tcW w:w="20" w:type="dxa"/>
            <w:vAlign w:val="bottom"/>
          </w:tcPr>
          <w:p>
            <w:pPr>
              <w:spacing w:after="0"/>
              <w:rPr>
                <w:sz w:val="15"/>
                <w:szCs w:val="15"/>
                <w:color w:val="auto"/>
              </w:rPr>
            </w:pPr>
          </w:p>
        </w:tc>
        <w:tc>
          <w:tcPr>
            <w:tcW w:w="2180" w:type="dxa"/>
            <w:vAlign w:val="bottom"/>
            <w:shd w:val="clear" w:color="auto" w:fill="F7F1EC"/>
          </w:tcPr>
          <w:p>
            <w:pPr>
              <w:spacing w:after="0"/>
              <w:rPr>
                <w:sz w:val="15"/>
                <w:szCs w:val="15"/>
                <w:color w:val="auto"/>
              </w:rPr>
            </w:pPr>
          </w:p>
        </w:tc>
        <w:tc>
          <w:tcPr>
            <w:tcW w:w="5780" w:type="dxa"/>
            <w:vAlign w:val="bottom"/>
            <w:shd w:val="clear" w:color="auto" w:fill="F7F1EC"/>
          </w:tcPr>
          <w:p>
            <w:pPr>
              <w:ind w:left="80"/>
              <w:spacing w:after="0"/>
              <w:rPr>
                <w:sz w:val="20"/>
                <w:szCs w:val="20"/>
                <w:color w:val="auto"/>
              </w:rPr>
            </w:pPr>
            <w:r>
              <w:rPr>
                <w:rFonts w:ascii="Arial" w:cs="Arial" w:eastAsia="Arial" w:hAnsi="Arial"/>
                <w:sz w:val="15"/>
                <w:szCs w:val="15"/>
                <w:color w:val="auto"/>
              </w:rPr>
              <w:t>expected to serve on no more than four public company boards (including our</w:t>
            </w:r>
          </w:p>
        </w:tc>
      </w:tr>
      <w:tr>
        <w:trPr>
          <w:trHeight w:val="179"/>
        </w:trPr>
        <w:tc>
          <w:tcPr>
            <w:tcW w:w="20" w:type="dxa"/>
            <w:vAlign w:val="bottom"/>
          </w:tcPr>
          <w:p>
            <w:pPr>
              <w:spacing w:after="0"/>
              <w:rPr>
                <w:sz w:val="15"/>
                <w:szCs w:val="15"/>
                <w:color w:val="auto"/>
              </w:rPr>
            </w:pPr>
          </w:p>
        </w:tc>
        <w:tc>
          <w:tcPr>
            <w:tcW w:w="2180" w:type="dxa"/>
            <w:vAlign w:val="bottom"/>
            <w:shd w:val="clear" w:color="auto" w:fill="F7F1EC"/>
          </w:tcPr>
          <w:p>
            <w:pPr>
              <w:spacing w:after="0"/>
              <w:rPr>
                <w:sz w:val="15"/>
                <w:szCs w:val="15"/>
                <w:color w:val="auto"/>
              </w:rPr>
            </w:pPr>
          </w:p>
        </w:tc>
        <w:tc>
          <w:tcPr>
            <w:tcW w:w="5780" w:type="dxa"/>
            <w:vAlign w:val="bottom"/>
            <w:shd w:val="clear" w:color="auto" w:fill="F7F1EC"/>
          </w:tcPr>
          <w:p>
            <w:pPr>
              <w:ind w:left="80"/>
              <w:spacing w:after="0"/>
              <w:rPr>
                <w:sz w:val="20"/>
                <w:szCs w:val="20"/>
                <w:color w:val="auto"/>
              </w:rPr>
            </w:pPr>
            <w:r>
              <w:rPr>
                <w:rFonts w:ascii="Arial" w:cs="Arial" w:eastAsia="Arial" w:hAnsi="Arial"/>
                <w:sz w:val="15"/>
                <w:szCs w:val="15"/>
                <w:color w:val="auto"/>
              </w:rPr>
              <w:t>Board), and any director serving as chief executive officer of a public company is</w:t>
            </w:r>
          </w:p>
        </w:tc>
      </w:tr>
      <w:tr>
        <w:trPr>
          <w:trHeight w:val="179"/>
        </w:trPr>
        <w:tc>
          <w:tcPr>
            <w:tcW w:w="20" w:type="dxa"/>
            <w:vAlign w:val="bottom"/>
          </w:tcPr>
          <w:p>
            <w:pPr>
              <w:spacing w:after="0"/>
              <w:rPr>
                <w:sz w:val="15"/>
                <w:szCs w:val="15"/>
                <w:color w:val="auto"/>
              </w:rPr>
            </w:pPr>
          </w:p>
        </w:tc>
        <w:tc>
          <w:tcPr>
            <w:tcW w:w="2180" w:type="dxa"/>
            <w:vAlign w:val="bottom"/>
            <w:shd w:val="clear" w:color="auto" w:fill="F7F1EC"/>
          </w:tcPr>
          <w:p>
            <w:pPr>
              <w:spacing w:after="0"/>
              <w:rPr>
                <w:sz w:val="15"/>
                <w:szCs w:val="15"/>
                <w:color w:val="auto"/>
              </w:rPr>
            </w:pPr>
          </w:p>
        </w:tc>
        <w:tc>
          <w:tcPr>
            <w:tcW w:w="5780" w:type="dxa"/>
            <w:vAlign w:val="bottom"/>
            <w:shd w:val="clear" w:color="auto" w:fill="F7F1EC"/>
          </w:tcPr>
          <w:p>
            <w:pPr>
              <w:ind w:left="80"/>
              <w:spacing w:after="0"/>
              <w:rPr>
                <w:sz w:val="20"/>
                <w:szCs w:val="20"/>
                <w:color w:val="auto"/>
              </w:rPr>
            </w:pPr>
            <w:r>
              <w:rPr>
                <w:rFonts w:ascii="Arial" w:cs="Arial" w:eastAsia="Arial" w:hAnsi="Arial"/>
                <w:sz w:val="15"/>
                <w:szCs w:val="15"/>
                <w:color w:val="auto"/>
              </w:rPr>
              <w:t>expected to serve on no more than two public company boards (including our Board</w:t>
            </w:r>
          </w:p>
        </w:tc>
      </w:tr>
      <w:tr>
        <w:trPr>
          <w:trHeight w:val="222"/>
        </w:trPr>
        <w:tc>
          <w:tcPr>
            <w:tcW w:w="20" w:type="dxa"/>
            <w:vAlign w:val="bottom"/>
          </w:tcPr>
          <w:p>
            <w:pPr>
              <w:spacing w:after="0"/>
              <w:rPr>
                <w:sz w:val="19"/>
                <w:szCs w:val="19"/>
                <w:color w:val="auto"/>
              </w:rPr>
            </w:pPr>
          </w:p>
        </w:tc>
        <w:tc>
          <w:tcPr>
            <w:tcW w:w="2180" w:type="dxa"/>
            <w:vAlign w:val="bottom"/>
            <w:tcBorders>
              <w:bottom w:val="single" w:sz="8" w:color="F7F1EC"/>
            </w:tcBorders>
            <w:shd w:val="clear" w:color="auto" w:fill="F7F1EC"/>
          </w:tcPr>
          <w:p>
            <w:pPr>
              <w:spacing w:after="0"/>
              <w:rPr>
                <w:sz w:val="19"/>
                <w:szCs w:val="19"/>
                <w:color w:val="auto"/>
              </w:rPr>
            </w:pPr>
          </w:p>
        </w:tc>
        <w:tc>
          <w:tcPr>
            <w:tcW w:w="5780" w:type="dxa"/>
            <w:vAlign w:val="bottom"/>
            <w:tcBorders>
              <w:bottom w:val="single" w:sz="8" w:color="F7F1EC"/>
            </w:tcBorders>
            <w:shd w:val="clear" w:color="auto" w:fill="F7F1EC"/>
          </w:tcPr>
          <w:p>
            <w:pPr>
              <w:ind w:left="80"/>
              <w:spacing w:after="0"/>
              <w:rPr>
                <w:sz w:val="20"/>
                <w:szCs w:val="20"/>
                <w:color w:val="auto"/>
              </w:rPr>
            </w:pPr>
            <w:r>
              <w:rPr>
                <w:rFonts w:ascii="Arial" w:cs="Arial" w:eastAsia="Arial" w:hAnsi="Arial"/>
                <w:sz w:val="15"/>
                <w:szCs w:val="15"/>
                <w:color w:val="auto"/>
              </w:rPr>
              <w:t>and, as applicable, the board of his or her own company).</w:t>
            </w:r>
          </w:p>
        </w:tc>
      </w:tr>
      <w:tr>
        <w:trPr>
          <w:trHeight w:val="192"/>
        </w:trPr>
        <w:tc>
          <w:tcPr>
            <w:tcW w:w="2200" w:type="dxa"/>
            <w:vAlign w:val="bottom"/>
            <w:gridSpan w:val="2"/>
          </w:tcPr>
          <w:p>
            <w:pPr>
              <w:spacing w:after="0"/>
              <w:rPr>
                <w:sz w:val="20"/>
                <w:szCs w:val="20"/>
                <w:color w:val="auto"/>
              </w:rPr>
            </w:pPr>
            <w:r>
              <w:rPr>
                <w:rFonts w:ascii="Arial" w:cs="Arial" w:eastAsia="Arial" w:hAnsi="Arial"/>
                <w:sz w:val="15"/>
                <w:szCs w:val="15"/>
                <w:color w:val="auto"/>
              </w:rPr>
              <w:t>  Committee Membership</w:t>
            </w:r>
          </w:p>
        </w:tc>
        <w:tc>
          <w:tcPr>
            <w:tcW w:w="5780" w:type="dxa"/>
            <w:vAlign w:val="bottom"/>
          </w:tcPr>
          <w:p>
            <w:pPr>
              <w:ind w:left="80"/>
              <w:spacing w:after="0"/>
              <w:rPr>
                <w:sz w:val="20"/>
                <w:szCs w:val="20"/>
                <w:color w:val="auto"/>
              </w:rPr>
            </w:pPr>
            <w:r>
              <w:rPr>
                <w:rFonts w:ascii="Arial" w:cs="Arial" w:eastAsia="Arial" w:hAnsi="Arial"/>
                <w:sz w:val="15"/>
                <w:szCs w:val="15"/>
                <w:color w:val="auto"/>
              </w:rPr>
              <w:t>The Board appoints members of its committees on an annual basis, with the</w:t>
            </w:r>
          </w:p>
        </w:tc>
      </w:tr>
      <w:tr>
        <w:trPr>
          <w:trHeight w:val="179"/>
        </w:trPr>
        <w:tc>
          <w:tcPr>
            <w:tcW w:w="2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5780" w:type="dxa"/>
            <w:vAlign w:val="bottom"/>
          </w:tcPr>
          <w:p>
            <w:pPr>
              <w:ind w:left="80"/>
              <w:spacing w:after="0"/>
              <w:rPr>
                <w:sz w:val="20"/>
                <w:szCs w:val="20"/>
                <w:color w:val="auto"/>
              </w:rPr>
            </w:pPr>
            <w:r>
              <w:rPr>
                <w:rFonts w:ascii="Arial" w:cs="Arial" w:eastAsia="Arial" w:hAnsi="Arial"/>
                <w:sz w:val="15"/>
                <w:szCs w:val="15"/>
                <w:color w:val="auto"/>
              </w:rPr>
              <w:t>Nominating and Governance Committee reviewing and recommending committee</w:t>
            </w:r>
          </w:p>
        </w:tc>
      </w:tr>
      <w:tr>
        <w:trPr>
          <w:trHeight w:val="179"/>
        </w:trPr>
        <w:tc>
          <w:tcPr>
            <w:tcW w:w="2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5780" w:type="dxa"/>
            <w:vAlign w:val="bottom"/>
          </w:tcPr>
          <w:p>
            <w:pPr>
              <w:ind w:left="80"/>
              <w:spacing w:after="0"/>
              <w:rPr>
                <w:sz w:val="20"/>
                <w:szCs w:val="20"/>
                <w:color w:val="auto"/>
              </w:rPr>
            </w:pPr>
            <w:r>
              <w:rPr>
                <w:rFonts w:ascii="Arial" w:cs="Arial" w:eastAsia="Arial" w:hAnsi="Arial"/>
                <w:sz w:val="15"/>
                <w:szCs w:val="15"/>
                <w:color w:val="auto"/>
              </w:rPr>
              <w:t>membership based, in part, on plans to ensure appropriate succession for each</w:t>
            </w:r>
          </w:p>
        </w:tc>
      </w:tr>
      <w:tr>
        <w:trPr>
          <w:trHeight w:val="201"/>
        </w:trPr>
        <w:tc>
          <w:tcPr>
            <w:tcW w:w="2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5780" w:type="dxa"/>
            <w:vAlign w:val="bottom"/>
          </w:tcPr>
          <w:p>
            <w:pPr>
              <w:ind w:left="80"/>
              <w:spacing w:after="0"/>
              <w:rPr>
                <w:sz w:val="20"/>
                <w:szCs w:val="20"/>
                <w:color w:val="auto"/>
              </w:rPr>
            </w:pPr>
            <w:r>
              <w:rPr>
                <w:rFonts w:ascii="Arial" w:cs="Arial" w:eastAsia="Arial" w:hAnsi="Arial"/>
                <w:sz w:val="15"/>
                <w:szCs w:val="15"/>
                <w:color w:val="auto"/>
              </w:rPr>
              <w:t>committee chair.</w:t>
            </w:r>
          </w:p>
        </w:tc>
      </w:tr>
      <w:tr>
        <w:trPr>
          <w:trHeight w:val="41"/>
        </w:trPr>
        <w:tc>
          <w:tcPr>
            <w:tcW w:w="2200" w:type="dxa"/>
            <w:vAlign w:val="bottom"/>
            <w:gridSpan w:val="2"/>
          </w:tcPr>
          <w:p>
            <w:pPr>
              <w:spacing w:after="0"/>
              <w:rPr>
                <w:sz w:val="3"/>
                <w:szCs w:val="3"/>
                <w:color w:val="auto"/>
              </w:rPr>
            </w:pPr>
          </w:p>
        </w:tc>
        <w:tc>
          <w:tcPr>
            <w:tcW w:w="5780" w:type="dxa"/>
            <w:vAlign w:val="bottom"/>
          </w:tcPr>
          <w:p>
            <w:pPr>
              <w:spacing w:after="0"/>
              <w:rPr>
                <w:sz w:val="3"/>
                <w:szCs w:val="3"/>
                <w:color w:val="auto"/>
              </w:rPr>
            </w:pPr>
          </w:p>
        </w:tc>
      </w:tr>
      <w:tr>
        <w:trPr>
          <w:trHeight w:val="192"/>
        </w:trPr>
        <w:tc>
          <w:tcPr>
            <w:tcW w:w="20" w:type="dxa"/>
            <w:vAlign w:val="bottom"/>
          </w:tcPr>
          <w:p>
            <w:pPr>
              <w:spacing w:after="0"/>
              <w:rPr>
                <w:sz w:val="16"/>
                <w:szCs w:val="16"/>
                <w:color w:val="auto"/>
              </w:rPr>
            </w:pPr>
          </w:p>
        </w:tc>
        <w:tc>
          <w:tcPr>
            <w:tcW w:w="2180" w:type="dxa"/>
            <w:vAlign w:val="bottom"/>
            <w:shd w:val="clear" w:color="auto" w:fill="F7F1EC"/>
          </w:tcPr>
          <w:p>
            <w:pPr>
              <w:spacing w:after="0"/>
              <w:rPr>
                <w:sz w:val="20"/>
                <w:szCs w:val="20"/>
                <w:color w:val="auto"/>
              </w:rPr>
            </w:pPr>
            <w:r>
              <w:rPr>
                <w:rFonts w:ascii="Arial" w:cs="Arial" w:eastAsia="Arial" w:hAnsi="Arial"/>
                <w:sz w:val="15"/>
                <w:szCs w:val="15"/>
                <w:color w:val="auto"/>
              </w:rPr>
              <w:t>  Board Self-evaluations</w:t>
            </w:r>
          </w:p>
        </w:tc>
        <w:tc>
          <w:tcPr>
            <w:tcW w:w="5780" w:type="dxa"/>
            <w:vAlign w:val="bottom"/>
            <w:shd w:val="clear" w:color="auto" w:fill="F7F1EC"/>
          </w:tcPr>
          <w:p>
            <w:pPr>
              <w:ind w:left="80"/>
              <w:spacing w:after="0"/>
              <w:rPr>
                <w:sz w:val="20"/>
                <w:szCs w:val="20"/>
                <w:color w:val="auto"/>
              </w:rPr>
            </w:pPr>
            <w:r>
              <w:rPr>
                <w:rFonts w:ascii="Arial" w:cs="Arial" w:eastAsia="Arial" w:hAnsi="Arial"/>
                <w:sz w:val="15"/>
                <w:szCs w:val="15"/>
                <w:color w:val="auto"/>
              </w:rPr>
              <w:t>The Board conducts an annual evaluation of its and its committees’ performance,</w:t>
            </w:r>
          </w:p>
        </w:tc>
      </w:tr>
      <w:tr>
        <w:trPr>
          <w:trHeight w:val="179"/>
        </w:trPr>
        <w:tc>
          <w:tcPr>
            <w:tcW w:w="20" w:type="dxa"/>
            <w:vAlign w:val="bottom"/>
          </w:tcPr>
          <w:p>
            <w:pPr>
              <w:spacing w:after="0"/>
              <w:rPr>
                <w:sz w:val="15"/>
                <w:szCs w:val="15"/>
                <w:color w:val="auto"/>
              </w:rPr>
            </w:pPr>
          </w:p>
        </w:tc>
        <w:tc>
          <w:tcPr>
            <w:tcW w:w="2180" w:type="dxa"/>
            <w:vAlign w:val="bottom"/>
            <w:shd w:val="clear" w:color="auto" w:fill="F7F1EC"/>
          </w:tcPr>
          <w:p>
            <w:pPr>
              <w:spacing w:after="0"/>
              <w:rPr>
                <w:sz w:val="15"/>
                <w:szCs w:val="15"/>
                <w:color w:val="auto"/>
              </w:rPr>
            </w:pPr>
          </w:p>
        </w:tc>
        <w:tc>
          <w:tcPr>
            <w:tcW w:w="5780" w:type="dxa"/>
            <w:vAlign w:val="bottom"/>
            <w:shd w:val="clear" w:color="auto" w:fill="F7F1EC"/>
          </w:tcPr>
          <w:p>
            <w:pPr>
              <w:ind w:left="80"/>
              <w:spacing w:after="0"/>
              <w:rPr>
                <w:sz w:val="20"/>
                <w:szCs w:val="20"/>
                <w:color w:val="auto"/>
              </w:rPr>
            </w:pPr>
            <w:r>
              <w:rPr>
                <w:rFonts w:ascii="Arial" w:cs="Arial" w:eastAsia="Arial" w:hAnsi="Arial"/>
                <w:sz w:val="15"/>
                <w:szCs w:val="15"/>
                <w:color w:val="auto"/>
              </w:rPr>
              <w:t>operations, size and composition, with the Nominating and Governance Committee</w:t>
            </w:r>
          </w:p>
        </w:tc>
      </w:tr>
      <w:tr>
        <w:trPr>
          <w:trHeight w:val="222"/>
        </w:trPr>
        <w:tc>
          <w:tcPr>
            <w:tcW w:w="20" w:type="dxa"/>
            <w:vAlign w:val="bottom"/>
          </w:tcPr>
          <w:p>
            <w:pPr>
              <w:spacing w:after="0"/>
              <w:rPr>
                <w:sz w:val="19"/>
                <w:szCs w:val="19"/>
                <w:color w:val="auto"/>
              </w:rPr>
            </w:pPr>
          </w:p>
        </w:tc>
        <w:tc>
          <w:tcPr>
            <w:tcW w:w="2180" w:type="dxa"/>
            <w:vAlign w:val="bottom"/>
            <w:tcBorders>
              <w:bottom w:val="single" w:sz="8" w:color="F7F1EC"/>
            </w:tcBorders>
            <w:shd w:val="clear" w:color="auto" w:fill="F7F1EC"/>
          </w:tcPr>
          <w:p>
            <w:pPr>
              <w:spacing w:after="0"/>
              <w:rPr>
                <w:sz w:val="19"/>
                <w:szCs w:val="19"/>
                <w:color w:val="auto"/>
              </w:rPr>
            </w:pPr>
          </w:p>
        </w:tc>
        <w:tc>
          <w:tcPr>
            <w:tcW w:w="5780" w:type="dxa"/>
            <w:vAlign w:val="bottom"/>
            <w:tcBorders>
              <w:bottom w:val="single" w:sz="8" w:color="F7F1EC"/>
            </w:tcBorders>
            <w:shd w:val="clear" w:color="auto" w:fill="F7F1EC"/>
          </w:tcPr>
          <w:p>
            <w:pPr>
              <w:ind w:left="80"/>
              <w:spacing w:after="0"/>
              <w:rPr>
                <w:sz w:val="20"/>
                <w:szCs w:val="20"/>
                <w:color w:val="auto"/>
              </w:rPr>
            </w:pPr>
            <w:r>
              <w:rPr>
                <w:rFonts w:ascii="Arial" w:cs="Arial" w:eastAsia="Arial" w:hAnsi="Arial"/>
                <w:sz w:val="15"/>
                <w:szCs w:val="15"/>
                <w:color w:val="auto"/>
              </w:rPr>
              <w:t>overseeing the evaluation process.</w:t>
            </w:r>
          </w:p>
        </w:tc>
      </w:tr>
      <w:tr>
        <w:trPr>
          <w:trHeight w:val="192"/>
        </w:trPr>
        <w:tc>
          <w:tcPr>
            <w:tcW w:w="2200" w:type="dxa"/>
            <w:vAlign w:val="bottom"/>
            <w:gridSpan w:val="2"/>
          </w:tcPr>
          <w:p>
            <w:pPr>
              <w:spacing w:after="0"/>
              <w:rPr>
                <w:sz w:val="20"/>
                <w:szCs w:val="20"/>
                <w:color w:val="auto"/>
              </w:rPr>
            </w:pPr>
            <w:r>
              <w:rPr>
                <w:rFonts w:ascii="Arial" w:cs="Arial" w:eastAsia="Arial" w:hAnsi="Arial"/>
                <w:sz w:val="15"/>
                <w:szCs w:val="15"/>
                <w:color w:val="auto"/>
              </w:rPr>
              <w:t>  Strategy Oversight</w:t>
            </w:r>
          </w:p>
        </w:tc>
        <w:tc>
          <w:tcPr>
            <w:tcW w:w="5780" w:type="dxa"/>
            <w:vAlign w:val="bottom"/>
          </w:tcPr>
          <w:p>
            <w:pPr>
              <w:ind w:left="80"/>
              <w:spacing w:after="0"/>
              <w:rPr>
                <w:sz w:val="20"/>
                <w:szCs w:val="20"/>
                <w:color w:val="auto"/>
              </w:rPr>
            </w:pPr>
            <w:r>
              <w:rPr>
                <w:rFonts w:ascii="Arial" w:cs="Arial" w:eastAsia="Arial" w:hAnsi="Arial"/>
                <w:sz w:val="15"/>
                <w:szCs w:val="15"/>
                <w:color w:val="auto"/>
              </w:rPr>
              <w:t>In addition to discussing at least one strategic topic in each quarterly meeting, the</w:t>
            </w:r>
          </w:p>
        </w:tc>
      </w:tr>
      <w:tr>
        <w:trPr>
          <w:trHeight w:val="179"/>
        </w:trPr>
        <w:tc>
          <w:tcPr>
            <w:tcW w:w="2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5780" w:type="dxa"/>
            <w:vAlign w:val="bottom"/>
          </w:tcPr>
          <w:p>
            <w:pPr>
              <w:ind w:left="80"/>
              <w:spacing w:after="0"/>
              <w:rPr>
                <w:sz w:val="20"/>
                <w:szCs w:val="20"/>
                <w:color w:val="auto"/>
              </w:rPr>
            </w:pPr>
            <w:r>
              <w:rPr>
                <w:rFonts w:ascii="Arial" w:cs="Arial" w:eastAsia="Arial" w:hAnsi="Arial"/>
                <w:sz w:val="15"/>
                <w:szCs w:val="15"/>
                <w:color w:val="auto"/>
              </w:rPr>
              <w:t>Board holds an annual two-day session focused on the Company’s long-term</w:t>
            </w:r>
          </w:p>
        </w:tc>
      </w:tr>
      <w:tr>
        <w:trPr>
          <w:trHeight w:val="201"/>
        </w:trPr>
        <w:tc>
          <w:tcPr>
            <w:tcW w:w="2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5780" w:type="dxa"/>
            <w:vAlign w:val="bottom"/>
          </w:tcPr>
          <w:p>
            <w:pPr>
              <w:ind w:left="80"/>
              <w:spacing w:after="0"/>
              <w:rPr>
                <w:sz w:val="20"/>
                <w:szCs w:val="20"/>
                <w:color w:val="auto"/>
              </w:rPr>
            </w:pPr>
            <w:r>
              <w:rPr>
                <w:rFonts w:ascii="Arial" w:cs="Arial" w:eastAsia="Arial" w:hAnsi="Arial"/>
                <w:sz w:val="15"/>
                <w:szCs w:val="15"/>
                <w:color w:val="auto"/>
              </w:rPr>
              <w:t>strategy, which informs the Board’s oversight and work plan for the following year.</w:t>
            </w:r>
          </w:p>
        </w:tc>
      </w:tr>
      <w:tr>
        <w:trPr>
          <w:trHeight w:val="41"/>
        </w:trPr>
        <w:tc>
          <w:tcPr>
            <w:tcW w:w="2200" w:type="dxa"/>
            <w:vAlign w:val="bottom"/>
            <w:gridSpan w:val="2"/>
          </w:tcPr>
          <w:p>
            <w:pPr>
              <w:spacing w:after="0"/>
              <w:rPr>
                <w:sz w:val="3"/>
                <w:szCs w:val="3"/>
                <w:color w:val="auto"/>
              </w:rPr>
            </w:pPr>
          </w:p>
        </w:tc>
        <w:tc>
          <w:tcPr>
            <w:tcW w:w="5780" w:type="dxa"/>
            <w:vAlign w:val="bottom"/>
          </w:tcPr>
          <w:p>
            <w:pPr>
              <w:spacing w:after="0"/>
              <w:rPr>
                <w:sz w:val="3"/>
                <w:szCs w:val="3"/>
                <w:color w:val="auto"/>
              </w:rPr>
            </w:pPr>
          </w:p>
        </w:tc>
      </w:tr>
      <w:tr>
        <w:trPr>
          <w:trHeight w:val="192"/>
        </w:trPr>
        <w:tc>
          <w:tcPr>
            <w:tcW w:w="20" w:type="dxa"/>
            <w:vAlign w:val="bottom"/>
          </w:tcPr>
          <w:p>
            <w:pPr>
              <w:spacing w:after="0"/>
              <w:rPr>
                <w:sz w:val="16"/>
                <w:szCs w:val="16"/>
                <w:color w:val="auto"/>
              </w:rPr>
            </w:pPr>
          </w:p>
        </w:tc>
        <w:tc>
          <w:tcPr>
            <w:tcW w:w="2180" w:type="dxa"/>
            <w:vAlign w:val="bottom"/>
            <w:shd w:val="clear" w:color="auto" w:fill="F7F1EC"/>
          </w:tcPr>
          <w:p>
            <w:pPr>
              <w:spacing w:after="0"/>
              <w:rPr>
                <w:sz w:val="20"/>
                <w:szCs w:val="20"/>
                <w:color w:val="auto"/>
              </w:rPr>
            </w:pPr>
            <w:r>
              <w:rPr>
                <w:rFonts w:ascii="Arial" w:cs="Arial" w:eastAsia="Arial" w:hAnsi="Arial"/>
                <w:sz w:val="15"/>
                <w:szCs w:val="15"/>
                <w:color w:val="auto"/>
              </w:rPr>
              <w:t>  Executive Succession</w:t>
            </w:r>
          </w:p>
        </w:tc>
        <w:tc>
          <w:tcPr>
            <w:tcW w:w="5780" w:type="dxa"/>
            <w:vAlign w:val="bottom"/>
            <w:shd w:val="clear" w:color="auto" w:fill="F7F1EC"/>
          </w:tcPr>
          <w:p>
            <w:pPr>
              <w:ind w:left="80"/>
              <w:spacing w:after="0"/>
              <w:rPr>
                <w:sz w:val="20"/>
                <w:szCs w:val="20"/>
                <w:color w:val="auto"/>
              </w:rPr>
            </w:pPr>
            <w:r>
              <w:rPr>
                <w:rFonts w:ascii="Arial" w:cs="Arial" w:eastAsia="Arial" w:hAnsi="Arial"/>
                <w:sz w:val="15"/>
                <w:szCs w:val="15"/>
                <w:color w:val="auto"/>
              </w:rPr>
              <w:t>The Compensation Committee conducts regular reviews of executive talent,</w:t>
            </w:r>
          </w:p>
        </w:tc>
      </w:tr>
      <w:tr>
        <w:trPr>
          <w:trHeight w:val="179"/>
        </w:trPr>
        <w:tc>
          <w:tcPr>
            <w:tcW w:w="20" w:type="dxa"/>
            <w:vAlign w:val="bottom"/>
          </w:tcPr>
          <w:p>
            <w:pPr>
              <w:spacing w:after="0"/>
              <w:rPr>
                <w:sz w:val="15"/>
                <w:szCs w:val="15"/>
                <w:color w:val="auto"/>
              </w:rPr>
            </w:pPr>
          </w:p>
        </w:tc>
        <w:tc>
          <w:tcPr>
            <w:tcW w:w="2180" w:type="dxa"/>
            <w:vAlign w:val="bottom"/>
            <w:shd w:val="clear" w:color="auto" w:fill="F7F1EC"/>
          </w:tcPr>
          <w:p>
            <w:pPr>
              <w:spacing w:after="0"/>
              <w:rPr>
                <w:sz w:val="20"/>
                <w:szCs w:val="20"/>
                <w:color w:val="auto"/>
              </w:rPr>
            </w:pPr>
            <w:r>
              <w:rPr>
                <w:rFonts w:ascii="Arial" w:cs="Arial" w:eastAsia="Arial" w:hAnsi="Arial"/>
                <w:sz w:val="15"/>
                <w:szCs w:val="15"/>
                <w:color w:val="auto"/>
              </w:rPr>
              <w:t>  Planning</w:t>
            </w:r>
          </w:p>
        </w:tc>
        <w:tc>
          <w:tcPr>
            <w:tcW w:w="5780" w:type="dxa"/>
            <w:vAlign w:val="bottom"/>
            <w:shd w:val="clear" w:color="auto" w:fill="F7F1EC"/>
          </w:tcPr>
          <w:p>
            <w:pPr>
              <w:ind w:left="80"/>
              <w:spacing w:after="0"/>
              <w:rPr>
                <w:sz w:val="20"/>
                <w:szCs w:val="20"/>
                <w:color w:val="auto"/>
              </w:rPr>
            </w:pPr>
            <w:r>
              <w:rPr>
                <w:rFonts w:ascii="Arial" w:cs="Arial" w:eastAsia="Arial" w:hAnsi="Arial"/>
                <w:sz w:val="15"/>
                <w:szCs w:val="15"/>
                <w:color w:val="auto"/>
              </w:rPr>
              <w:t>development and succession planning, and our Board reviews the succession plans</w:t>
            </w:r>
          </w:p>
        </w:tc>
      </w:tr>
      <w:tr>
        <w:trPr>
          <w:trHeight w:val="201"/>
        </w:trPr>
        <w:tc>
          <w:tcPr>
            <w:tcW w:w="20" w:type="dxa"/>
            <w:vAlign w:val="bottom"/>
          </w:tcPr>
          <w:p>
            <w:pPr>
              <w:spacing w:after="0"/>
              <w:rPr>
                <w:sz w:val="17"/>
                <w:szCs w:val="17"/>
                <w:color w:val="auto"/>
              </w:rPr>
            </w:pPr>
          </w:p>
        </w:tc>
        <w:tc>
          <w:tcPr>
            <w:tcW w:w="2180" w:type="dxa"/>
            <w:vAlign w:val="bottom"/>
            <w:shd w:val="clear" w:color="auto" w:fill="F7F1EC"/>
          </w:tcPr>
          <w:p>
            <w:pPr>
              <w:spacing w:after="0"/>
              <w:rPr>
                <w:sz w:val="17"/>
                <w:szCs w:val="17"/>
                <w:color w:val="auto"/>
              </w:rPr>
            </w:pPr>
          </w:p>
        </w:tc>
        <w:tc>
          <w:tcPr>
            <w:tcW w:w="5780" w:type="dxa"/>
            <w:vAlign w:val="bottom"/>
            <w:shd w:val="clear" w:color="auto" w:fill="F7F1EC"/>
          </w:tcPr>
          <w:p>
            <w:pPr>
              <w:ind w:left="80"/>
              <w:spacing w:after="0"/>
              <w:rPr>
                <w:sz w:val="20"/>
                <w:szCs w:val="20"/>
                <w:color w:val="auto"/>
              </w:rPr>
            </w:pPr>
            <w:r>
              <w:rPr>
                <w:rFonts w:ascii="Arial" w:cs="Arial" w:eastAsia="Arial" w:hAnsi="Arial"/>
                <w:sz w:val="15"/>
                <w:szCs w:val="15"/>
                <w:color w:val="auto"/>
              </w:rPr>
              <w:t>for the chief executive officer position annually.</w:t>
            </w:r>
          </w:p>
        </w:tc>
      </w:tr>
      <w:tr>
        <w:trPr>
          <w:trHeight w:val="41"/>
        </w:trPr>
        <w:tc>
          <w:tcPr>
            <w:tcW w:w="20" w:type="dxa"/>
            <w:vAlign w:val="bottom"/>
          </w:tcPr>
          <w:p>
            <w:pPr>
              <w:spacing w:after="0"/>
              <w:rPr>
                <w:sz w:val="3"/>
                <w:szCs w:val="3"/>
                <w:color w:val="auto"/>
              </w:rPr>
            </w:pPr>
          </w:p>
        </w:tc>
        <w:tc>
          <w:tcPr>
            <w:tcW w:w="2180" w:type="dxa"/>
            <w:vAlign w:val="bottom"/>
            <w:shd w:val="clear" w:color="auto" w:fill="F7F1EC"/>
          </w:tcPr>
          <w:p>
            <w:pPr>
              <w:spacing w:after="0"/>
              <w:rPr>
                <w:sz w:val="3"/>
                <w:szCs w:val="3"/>
                <w:color w:val="auto"/>
              </w:rPr>
            </w:pPr>
          </w:p>
        </w:tc>
        <w:tc>
          <w:tcPr>
            <w:tcW w:w="5780" w:type="dxa"/>
            <w:vAlign w:val="bottom"/>
            <w:shd w:val="clear" w:color="auto" w:fill="F7F1EC"/>
          </w:tcPr>
          <w:p>
            <w:pPr>
              <w:spacing w:after="0"/>
              <w:rPr>
                <w:sz w:val="3"/>
                <w:szCs w:val="3"/>
                <w:color w:val="auto"/>
              </w:rPr>
            </w:pPr>
          </w:p>
        </w:tc>
      </w:tr>
    </w:tbl>
    <w:p>
      <w:pPr>
        <w:spacing w:after="0" w:line="2068" w:lineRule="exact"/>
        <w:rPr>
          <w:sz w:val="20"/>
          <w:szCs w:val="20"/>
          <w:color w:val="auto"/>
        </w:rPr>
      </w:pPr>
    </w:p>
    <w:p>
      <w:pPr>
        <w:sectPr>
          <w:pgSz w:w="11900" w:h="16838" w:orient="portrait"/>
          <w:cols w:equalWidth="0" w:num="2">
            <w:col w:w="2240" w:space="480"/>
            <w:col w:w="7980"/>
          </w:cols>
          <w:pgMar w:left="320" w:top="464" w:right="879" w:bottom="1440" w:gutter="0" w:footer="0" w:header="0"/>
        </w:sectPr>
      </w:pPr>
    </w:p>
    <w:p>
      <w:pPr>
        <w:spacing w:after="0" w:line="200" w:lineRule="exact"/>
        <w:rPr>
          <w:sz w:val="20"/>
          <w:szCs w:val="20"/>
          <w:color w:val="auto"/>
        </w:rPr>
      </w:pPr>
    </w:p>
    <w:p>
      <w:pPr>
        <w:spacing w:after="0" w:line="385" w:lineRule="exact"/>
        <w:rPr>
          <w:sz w:val="20"/>
          <w:szCs w:val="20"/>
          <w:color w:val="auto"/>
        </w:rPr>
      </w:pPr>
    </w:p>
    <w:p>
      <w:pPr>
        <w:ind w:left="420"/>
        <w:spacing w:after="0"/>
        <w:tabs>
          <w:tab w:leader="none" w:pos="2380" w:val="left"/>
          <w:tab w:leader="none" w:pos="2800" w:val="left"/>
        </w:tabs>
        <w:rPr>
          <w:sz w:val="20"/>
          <w:szCs w:val="20"/>
          <w:color w:val="auto"/>
        </w:rPr>
      </w:pPr>
      <w:r>
        <w:rPr>
          <w:rFonts w:ascii="Arial" w:cs="Arial" w:eastAsia="Arial" w:hAnsi="Arial"/>
          <w:sz w:val="30"/>
          <w:szCs w:val="30"/>
          <w:color w:val="000000"/>
          <w:vertAlign w:val="superscript"/>
        </w:rPr>
        <w:t xml:space="preserve">             </w:t>
      </w:r>
      <w:r>
        <w:rPr>
          <w:sz w:val="20"/>
          <w:szCs w:val="20"/>
          <w:color w:val="auto"/>
        </w:rPr>
        <w:tab/>
      </w:r>
      <w:r>
        <w:rPr>
          <w:rFonts w:ascii="Arial" w:cs="Arial" w:eastAsia="Arial" w:hAnsi="Arial"/>
          <w:sz w:val="31"/>
          <w:szCs w:val="31"/>
          <w:color w:val="auto"/>
          <w:vertAlign w:val="superscript"/>
        </w:rPr>
        <w:t xml:space="preserve">    </w:t>
      </w:r>
      <w:r>
        <w:rPr>
          <w:sz w:val="20"/>
          <w:szCs w:val="20"/>
          <w:color w:val="auto"/>
        </w:rPr>
        <w:tab/>
      </w:r>
      <w:r>
        <w:rPr>
          <w:rFonts w:ascii="Arial" w:cs="Arial" w:eastAsia="Arial" w:hAnsi="Arial"/>
          <w:sz w:val="15"/>
          <w:szCs w:val="15"/>
          <w:b w:val="1"/>
          <w:bCs w:val="1"/>
          <w:color w:val="002B5F"/>
        </w:rPr>
        <w:t xml:space="preserve">6  </w:t>
      </w:r>
      <w:r>
        <w:rPr>
          <w:rFonts w:ascii="Arial" w:cs="Arial" w:eastAsia="Arial" w:hAnsi="Arial"/>
          <w:sz w:val="20"/>
          <w:szCs w:val="20"/>
          <w:color w:val="002B5F"/>
        </w:rPr>
        <w:t>|</w:t>
      </w:r>
      <w:r>
        <w:rPr>
          <w:rFonts w:ascii="Arial" w:cs="Arial" w:eastAsia="Arial" w:hAnsi="Arial"/>
          <w:sz w:val="15"/>
          <w:szCs w:val="15"/>
          <w:b w:val="1"/>
          <w:bCs w:val="1"/>
          <w:color w:val="002B5F"/>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6111875</wp:posOffset>
            </wp:positionH>
            <wp:positionV relativeFrom="paragraph">
              <wp:posOffset>-208915</wp:posOffset>
            </wp:positionV>
            <wp:extent cx="769620" cy="971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69620" cy="97155"/>
                    </a:xfrm>
                    <a:prstGeom prst="rect">
                      <a:avLst/>
                    </a:prstGeom>
                    <a:noFill/>
                  </pic:spPr>
                </pic:pic>
              </a:graphicData>
            </a:graphic>
          </wp:anchor>
        </w:drawing>
      </w:r>
    </w:p>
    <w:p>
      <w:pPr>
        <w:sectPr>
          <w:pgSz w:w="11900" w:h="16838" w:orient="portrait"/>
          <w:cols w:equalWidth="0" w:num="1">
            <w:col w:w="10700"/>
          </w:cols>
          <w:pgMar w:left="320" w:top="464" w:right="87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533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81215" cy="53340"/>
                    </a:xfrm>
                    <a:prstGeom prst="rect">
                      <a:avLst/>
                    </a:prstGeom>
                    <a:noFill/>
                  </pic:spPr>
                </pic:pic>
              </a:graphicData>
            </a:graphic>
          </wp:anchor>
        </w:drawing>
        <w:t>Table of Contents</w:t>
      </w:r>
    </w:p>
    <w:p>
      <w:pPr>
        <w:spacing w:after="0" w:line="399" w:lineRule="exact"/>
        <w:rPr>
          <w:sz w:val="20"/>
          <w:szCs w:val="20"/>
          <w:color w:val="auto"/>
        </w:rPr>
      </w:pPr>
    </w:p>
    <w:tbl>
      <w:tblPr>
        <w:tblLayout w:type="fixed"/>
        <w:tblInd w:w="540" w:type="dxa"/>
        <w:tblCellMar>
          <w:top w:w="0" w:type="dxa"/>
          <w:left w:w="0" w:type="dxa"/>
          <w:bottom w:w="0" w:type="dxa"/>
          <w:right w:w="0" w:type="dxa"/>
        </w:tblCellMar>
      </w:tblPr>
      <w:tr>
        <w:trPr>
          <w:trHeight w:val="401"/>
        </w:trPr>
        <w:tc>
          <w:tcPr>
            <w:tcW w:w="2160" w:type="dxa"/>
            <w:vAlign w:val="bottom"/>
          </w:tcPr>
          <w:p>
            <w:pPr>
              <w:spacing w:after="0"/>
              <w:rPr>
                <w:sz w:val="24"/>
                <w:szCs w:val="24"/>
                <w:color w:val="auto"/>
              </w:rPr>
            </w:pPr>
          </w:p>
        </w:tc>
        <w:tc>
          <w:tcPr>
            <w:tcW w:w="6140" w:type="dxa"/>
            <w:vAlign w:val="bottom"/>
            <w:gridSpan w:val="2"/>
          </w:tcPr>
          <w:p>
            <w:pPr>
              <w:ind w:left="880"/>
              <w:spacing w:after="0"/>
              <w:rPr>
                <w:sz w:val="20"/>
                <w:szCs w:val="20"/>
                <w:color w:val="auto"/>
              </w:rPr>
            </w:pPr>
            <w:r>
              <w:rPr>
                <w:rFonts w:ascii="Arial" w:cs="Arial" w:eastAsia="Arial" w:hAnsi="Arial"/>
                <w:sz w:val="15"/>
                <w:szCs w:val="15"/>
                <w:b w:val="1"/>
                <w:bCs w:val="1"/>
                <w:color w:val="002B5F"/>
              </w:rPr>
              <w:t>STOCKHOLDER RIGHTS</w:t>
            </w:r>
          </w:p>
        </w:tc>
        <w:tc>
          <w:tcPr>
            <w:tcW w:w="240" w:type="dxa"/>
            <w:vAlign w:val="bottom"/>
            <w:vMerge w:val="restart"/>
            <w:shd w:val="clear" w:color="auto" w:fill="002B5F"/>
          </w:tcPr>
          <w:p>
            <w:pPr>
              <w:ind w:left="40"/>
              <w:spacing w:after="0"/>
              <w:rPr>
                <w:sz w:val="20"/>
                <w:szCs w:val="20"/>
                <w:color w:val="auto"/>
              </w:rPr>
            </w:pPr>
            <w:r>
              <w:rPr>
                <w:rFonts w:ascii="Arial" w:cs="Arial" w:eastAsia="Arial" w:hAnsi="Arial"/>
                <w:sz w:val="15"/>
                <w:szCs w:val="15"/>
                <w:color w:val="auto"/>
              </w:rPr>
              <w:t> </w:t>
            </w:r>
          </w:p>
        </w:tc>
        <w:tc>
          <w:tcPr>
            <w:tcW w:w="1320" w:type="dxa"/>
            <w:vAlign w:val="bottom"/>
            <w:vMerge w:val="restart"/>
            <w:shd w:val="clear" w:color="auto" w:fill="002B5F"/>
          </w:tcPr>
          <w:p>
            <w:pPr>
              <w:ind w:left="140"/>
              <w:spacing w:after="0"/>
              <w:rPr>
                <w:sz w:val="20"/>
                <w:szCs w:val="20"/>
                <w:color w:val="auto"/>
              </w:rPr>
            </w:pPr>
            <w:r>
              <w:rPr>
                <w:rFonts w:ascii="Arial" w:cs="Arial" w:eastAsia="Arial" w:hAnsi="Arial"/>
                <w:sz w:val="12"/>
                <w:szCs w:val="12"/>
                <w:color w:val="FFFFFF"/>
              </w:rPr>
              <w:t>General</w:t>
            </w:r>
          </w:p>
        </w:tc>
        <w:tc>
          <w:tcPr>
            <w:tcW w:w="420" w:type="dxa"/>
            <w:vAlign w:val="bottom"/>
            <w:vMerge w:val="restart"/>
            <w:shd w:val="clear" w:color="auto" w:fill="002B5F"/>
          </w:tcPr>
          <w:p>
            <w:pPr>
              <w:ind w:left="40"/>
              <w:spacing w:after="0"/>
              <w:rPr>
                <w:sz w:val="20"/>
                <w:szCs w:val="20"/>
                <w:color w:val="auto"/>
              </w:rPr>
            </w:pPr>
            <w:r>
              <w:rPr>
                <w:rFonts w:ascii="Arial" w:cs="Arial" w:eastAsia="Arial" w:hAnsi="Arial"/>
                <w:sz w:val="15"/>
                <w:szCs w:val="15"/>
                <w:color w:val="auto"/>
              </w:rPr>
              <w:t xml:space="preserve">       </w:t>
            </w:r>
          </w:p>
        </w:tc>
        <w:tc>
          <w:tcPr>
            <w:tcW w:w="0" w:type="dxa"/>
            <w:vAlign w:val="bottom"/>
          </w:tcPr>
          <w:p>
            <w:pPr>
              <w:spacing w:after="0"/>
              <w:rPr>
                <w:sz w:val="1"/>
                <w:szCs w:val="1"/>
                <w:color w:val="auto"/>
              </w:rPr>
            </w:pPr>
          </w:p>
        </w:tc>
      </w:tr>
      <w:tr>
        <w:trPr>
          <w:trHeight w:val="52"/>
        </w:trPr>
        <w:tc>
          <w:tcPr>
            <w:tcW w:w="2160" w:type="dxa"/>
            <w:vAlign w:val="bottom"/>
            <w:tcBorders>
              <w:bottom w:val="single" w:sz="8" w:color="002B5F"/>
            </w:tcBorders>
          </w:tcPr>
          <w:p>
            <w:pPr>
              <w:spacing w:after="0"/>
              <w:rPr>
                <w:sz w:val="4"/>
                <w:szCs w:val="4"/>
                <w:color w:val="auto"/>
              </w:rPr>
            </w:pPr>
          </w:p>
        </w:tc>
        <w:tc>
          <w:tcPr>
            <w:tcW w:w="5720" w:type="dxa"/>
            <w:vAlign w:val="bottom"/>
            <w:tcBorders>
              <w:bottom w:val="single" w:sz="8" w:color="002B5F"/>
            </w:tcBorders>
          </w:tcPr>
          <w:p>
            <w:pPr>
              <w:spacing w:after="0"/>
              <w:rPr>
                <w:sz w:val="4"/>
                <w:szCs w:val="4"/>
                <w:color w:val="auto"/>
              </w:rPr>
            </w:pPr>
          </w:p>
        </w:tc>
        <w:tc>
          <w:tcPr>
            <w:tcW w:w="420" w:type="dxa"/>
            <w:vAlign w:val="bottom"/>
          </w:tcPr>
          <w:p>
            <w:pPr>
              <w:spacing w:after="0"/>
              <w:rPr>
                <w:sz w:val="4"/>
                <w:szCs w:val="4"/>
                <w:color w:val="auto"/>
              </w:rPr>
            </w:pPr>
          </w:p>
        </w:tc>
        <w:tc>
          <w:tcPr>
            <w:tcW w:w="240" w:type="dxa"/>
            <w:vAlign w:val="bottom"/>
            <w:tcBorders>
              <w:bottom w:val="single" w:sz="8" w:color="002B5F"/>
            </w:tcBorders>
            <w:vMerge w:val="continue"/>
            <w:shd w:val="clear" w:color="auto" w:fill="002B5F"/>
          </w:tcPr>
          <w:p>
            <w:pPr>
              <w:spacing w:after="0"/>
              <w:rPr>
                <w:sz w:val="4"/>
                <w:szCs w:val="4"/>
                <w:color w:val="auto"/>
              </w:rPr>
            </w:pPr>
          </w:p>
        </w:tc>
        <w:tc>
          <w:tcPr>
            <w:tcW w:w="1320" w:type="dxa"/>
            <w:vAlign w:val="bottom"/>
            <w:tcBorders>
              <w:bottom w:val="single" w:sz="8" w:color="002B5F"/>
            </w:tcBorders>
            <w:vMerge w:val="continue"/>
            <w:shd w:val="clear" w:color="auto" w:fill="002B5F"/>
          </w:tcPr>
          <w:p>
            <w:pPr>
              <w:spacing w:after="0"/>
              <w:rPr>
                <w:sz w:val="4"/>
                <w:szCs w:val="4"/>
                <w:color w:val="auto"/>
              </w:rPr>
            </w:pPr>
          </w:p>
        </w:tc>
        <w:tc>
          <w:tcPr>
            <w:tcW w:w="420" w:type="dxa"/>
            <w:vAlign w:val="bottom"/>
            <w:tcBorders>
              <w:bottom w:val="single" w:sz="8" w:color="002B5F"/>
            </w:tcBorders>
            <w:vMerge w:val="continue"/>
            <w:shd w:val="clear" w:color="auto" w:fill="002B5F"/>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160" w:type="dxa"/>
            <w:vAlign w:val="bottom"/>
            <w:shd w:val="clear" w:color="auto" w:fill="F7F1EC"/>
          </w:tcPr>
          <w:p>
            <w:pPr>
              <w:spacing w:after="0" w:line="167" w:lineRule="exact"/>
              <w:rPr>
                <w:sz w:val="20"/>
                <w:szCs w:val="20"/>
                <w:color w:val="auto"/>
              </w:rPr>
            </w:pPr>
            <w:r>
              <w:rPr>
                <w:rFonts w:ascii="Arial" w:cs="Arial" w:eastAsia="Arial" w:hAnsi="Arial"/>
                <w:sz w:val="15"/>
                <w:szCs w:val="15"/>
                <w:color w:val="auto"/>
              </w:rPr>
              <w:t>  Annual Election of   Directors</w:t>
            </w:r>
          </w:p>
        </w:tc>
        <w:tc>
          <w:tcPr>
            <w:tcW w:w="5720" w:type="dxa"/>
            <w:vAlign w:val="bottom"/>
            <w:shd w:val="clear" w:color="auto" w:fill="F7F1EC"/>
          </w:tcPr>
          <w:p>
            <w:pPr>
              <w:ind w:left="80"/>
              <w:spacing w:after="0" w:line="167" w:lineRule="exact"/>
              <w:rPr>
                <w:sz w:val="20"/>
                <w:szCs w:val="20"/>
                <w:color w:val="auto"/>
              </w:rPr>
            </w:pPr>
            <w:r>
              <w:rPr>
                <w:rFonts w:ascii="Arial" w:cs="Arial" w:eastAsia="Arial" w:hAnsi="Arial"/>
                <w:sz w:val="15"/>
                <w:szCs w:val="15"/>
                <w:color w:val="auto"/>
              </w:rPr>
              <w:t>All directors are elected annually, which reinforces our Board’s accountability to our</w:t>
            </w:r>
          </w:p>
        </w:tc>
        <w:tc>
          <w:tcPr>
            <w:tcW w:w="420" w:type="dxa"/>
            <w:vAlign w:val="bottom"/>
          </w:tcPr>
          <w:p>
            <w:pPr>
              <w:spacing w:after="0"/>
              <w:rPr>
                <w:sz w:val="14"/>
                <w:szCs w:val="14"/>
                <w:color w:val="auto"/>
              </w:rPr>
            </w:pPr>
          </w:p>
        </w:tc>
        <w:tc>
          <w:tcPr>
            <w:tcW w:w="240" w:type="dxa"/>
            <w:vAlign w:val="bottom"/>
            <w:shd w:val="clear" w:color="auto" w:fill="002B5F"/>
          </w:tcPr>
          <w:p>
            <w:pPr>
              <w:spacing w:after="0"/>
              <w:rPr>
                <w:sz w:val="14"/>
                <w:szCs w:val="14"/>
                <w:color w:val="auto"/>
              </w:rPr>
            </w:pPr>
          </w:p>
        </w:tc>
        <w:tc>
          <w:tcPr>
            <w:tcW w:w="1320" w:type="dxa"/>
            <w:vAlign w:val="bottom"/>
            <w:shd w:val="clear" w:color="auto" w:fill="002B5F"/>
          </w:tcPr>
          <w:p>
            <w:pPr>
              <w:ind w:left="140"/>
              <w:spacing w:after="0"/>
              <w:rPr>
                <w:sz w:val="20"/>
                <w:szCs w:val="20"/>
                <w:color w:val="auto"/>
              </w:rPr>
            </w:pPr>
            <w:r>
              <w:rPr>
                <w:rFonts w:ascii="Arial" w:cs="Arial" w:eastAsia="Arial" w:hAnsi="Arial"/>
                <w:sz w:val="12"/>
                <w:szCs w:val="12"/>
                <w:color w:val="FFFFFF"/>
              </w:rPr>
              <w:t>Information</w:t>
            </w:r>
          </w:p>
        </w:tc>
        <w:tc>
          <w:tcPr>
            <w:tcW w:w="420" w:type="dxa"/>
            <w:vAlign w:val="bottom"/>
            <w:shd w:val="clear" w:color="auto" w:fill="002B5F"/>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160" w:type="dxa"/>
            <w:vAlign w:val="bottom"/>
            <w:tcBorders>
              <w:bottom w:val="single" w:sz="8" w:color="F7F1EC"/>
            </w:tcBorders>
            <w:shd w:val="clear" w:color="auto" w:fill="F7F1EC"/>
          </w:tcPr>
          <w:p>
            <w:pPr>
              <w:spacing w:after="0"/>
              <w:rPr>
                <w:sz w:val="19"/>
                <w:szCs w:val="19"/>
                <w:color w:val="auto"/>
              </w:rPr>
            </w:pPr>
          </w:p>
        </w:tc>
        <w:tc>
          <w:tcPr>
            <w:tcW w:w="5720" w:type="dxa"/>
            <w:vAlign w:val="bottom"/>
            <w:tcBorders>
              <w:bottom w:val="single" w:sz="8" w:color="F7F1EC"/>
            </w:tcBorders>
            <w:shd w:val="clear" w:color="auto" w:fill="F7F1EC"/>
          </w:tcPr>
          <w:p>
            <w:pPr>
              <w:ind w:left="80"/>
              <w:spacing w:after="0"/>
              <w:rPr>
                <w:sz w:val="20"/>
                <w:szCs w:val="20"/>
                <w:color w:val="auto"/>
              </w:rPr>
            </w:pPr>
            <w:r>
              <w:rPr>
                <w:rFonts w:ascii="Arial" w:cs="Arial" w:eastAsia="Arial" w:hAnsi="Arial"/>
                <w:sz w:val="15"/>
                <w:szCs w:val="15"/>
                <w:color w:val="auto"/>
              </w:rPr>
              <w:t>stockholders.</w:t>
            </w:r>
          </w:p>
        </w:tc>
        <w:tc>
          <w:tcPr>
            <w:tcW w:w="420" w:type="dxa"/>
            <w:vAlign w:val="bottom"/>
          </w:tcPr>
          <w:p>
            <w:pPr>
              <w:spacing w:after="0"/>
              <w:rPr>
                <w:sz w:val="19"/>
                <w:szCs w:val="19"/>
                <w:color w:val="auto"/>
              </w:rPr>
            </w:pPr>
          </w:p>
        </w:tc>
        <w:tc>
          <w:tcPr>
            <w:tcW w:w="240" w:type="dxa"/>
            <w:vAlign w:val="bottom"/>
            <w:tcBorders>
              <w:bottom w:val="single" w:sz="8" w:color="002B5F"/>
            </w:tcBorders>
            <w:shd w:val="clear" w:color="auto" w:fill="002B5F"/>
          </w:tcPr>
          <w:p>
            <w:pPr>
              <w:spacing w:after="0"/>
              <w:rPr>
                <w:sz w:val="19"/>
                <w:szCs w:val="19"/>
                <w:color w:val="auto"/>
              </w:rPr>
            </w:pPr>
          </w:p>
        </w:tc>
        <w:tc>
          <w:tcPr>
            <w:tcW w:w="1320" w:type="dxa"/>
            <w:vAlign w:val="bottom"/>
            <w:tcBorders>
              <w:bottom w:val="single" w:sz="8" w:color="002B5F"/>
            </w:tcBorders>
            <w:shd w:val="clear" w:color="auto" w:fill="002B5F"/>
          </w:tcPr>
          <w:p>
            <w:pPr>
              <w:ind w:left="140"/>
              <w:spacing w:after="0"/>
              <w:rPr>
                <w:sz w:val="20"/>
                <w:szCs w:val="20"/>
                <w:color w:val="auto"/>
              </w:rPr>
            </w:pPr>
            <w:r>
              <w:rPr>
                <w:rFonts w:ascii="Arial" w:cs="Arial" w:eastAsia="Arial" w:hAnsi="Arial"/>
                <w:sz w:val="12"/>
                <w:szCs w:val="12"/>
                <w:b w:val="1"/>
                <w:bCs w:val="1"/>
                <w:color w:val="FFFFFF"/>
              </w:rPr>
              <w:t>General Information</w:t>
            </w:r>
          </w:p>
        </w:tc>
        <w:tc>
          <w:tcPr>
            <w:tcW w:w="420" w:type="dxa"/>
            <w:vAlign w:val="bottom"/>
            <w:tcBorders>
              <w:bottom w:val="single" w:sz="8" w:color="002B5F"/>
            </w:tcBorders>
            <w:shd w:val="clear" w:color="auto" w:fill="002B5F"/>
          </w:tcPr>
          <w:p>
            <w:pPr>
              <w:spacing w:after="0"/>
              <w:rPr>
                <w:sz w:val="19"/>
                <w:szCs w:val="19"/>
                <w:color w:val="auto"/>
              </w:rPr>
            </w:pPr>
          </w:p>
        </w:tc>
        <w:tc>
          <w:tcPr>
            <w:tcW w:w="0" w:type="dxa"/>
            <w:vAlign w:val="bottom"/>
          </w:tcPr>
          <w:p>
            <w:pPr>
              <w:spacing w:after="0"/>
              <w:rPr>
                <w:sz w:val="1"/>
                <w:szCs w:val="1"/>
                <w:color w:val="auto"/>
              </w:rPr>
            </w:pPr>
          </w:p>
        </w:tc>
      </w:tr>
      <w:tr>
        <w:trPr>
          <w:trHeight w:val="166"/>
        </w:trPr>
        <w:tc>
          <w:tcPr>
            <w:tcW w:w="2160" w:type="dxa"/>
            <w:vAlign w:val="bottom"/>
          </w:tcPr>
          <w:p>
            <w:pPr>
              <w:spacing w:after="0" w:line="166" w:lineRule="exact"/>
              <w:rPr>
                <w:sz w:val="20"/>
                <w:szCs w:val="20"/>
                <w:color w:val="auto"/>
              </w:rPr>
            </w:pPr>
            <w:r>
              <w:rPr>
                <w:rFonts w:ascii="Arial" w:cs="Arial" w:eastAsia="Arial" w:hAnsi="Arial"/>
                <w:sz w:val="15"/>
                <w:szCs w:val="15"/>
                <w:color w:val="auto"/>
              </w:rPr>
              <w:t>  Majority Voting</w:t>
            </w:r>
          </w:p>
        </w:tc>
        <w:tc>
          <w:tcPr>
            <w:tcW w:w="6140" w:type="dxa"/>
            <w:vAlign w:val="bottom"/>
            <w:gridSpan w:val="2"/>
          </w:tcPr>
          <w:p>
            <w:pPr>
              <w:ind w:left="80"/>
              <w:spacing w:after="0" w:line="166" w:lineRule="exact"/>
              <w:rPr>
                <w:sz w:val="20"/>
                <w:szCs w:val="20"/>
                <w:color w:val="auto"/>
              </w:rPr>
            </w:pPr>
            <w:r>
              <w:rPr>
                <w:rFonts w:ascii="Arial" w:cs="Arial" w:eastAsia="Arial" w:hAnsi="Arial"/>
                <w:sz w:val="15"/>
                <w:szCs w:val="15"/>
                <w:color w:val="auto"/>
              </w:rPr>
              <w:t>Our bylaws require that directors be elected under a “majority voting” standard in</w:t>
            </w:r>
          </w:p>
        </w:tc>
        <w:tc>
          <w:tcPr>
            <w:tcW w:w="240" w:type="dxa"/>
            <w:vAlign w:val="bottom"/>
            <w:shd w:val="clear" w:color="auto" w:fill="002B5F"/>
          </w:tcPr>
          <w:p>
            <w:pPr>
              <w:spacing w:after="0"/>
              <w:rPr>
                <w:sz w:val="14"/>
                <w:szCs w:val="14"/>
                <w:color w:val="auto"/>
              </w:rPr>
            </w:pPr>
          </w:p>
        </w:tc>
        <w:tc>
          <w:tcPr>
            <w:tcW w:w="1320" w:type="dxa"/>
            <w:vAlign w:val="bottom"/>
            <w:shd w:val="clear" w:color="auto" w:fill="002B5F"/>
          </w:tcPr>
          <w:p>
            <w:pPr>
              <w:ind w:left="140"/>
              <w:spacing w:after="0"/>
              <w:rPr>
                <w:sz w:val="20"/>
                <w:szCs w:val="20"/>
                <w:color w:val="auto"/>
              </w:rPr>
            </w:pPr>
            <w:r>
              <w:rPr>
                <w:rFonts w:ascii="Arial" w:cs="Arial" w:eastAsia="Arial" w:hAnsi="Arial"/>
                <w:sz w:val="12"/>
                <w:szCs w:val="12"/>
                <w:b w:val="1"/>
                <w:bCs w:val="1"/>
                <w:color w:val="FFFFFF"/>
              </w:rPr>
              <w:t>About Corporate</w:t>
            </w:r>
          </w:p>
        </w:tc>
        <w:tc>
          <w:tcPr>
            <w:tcW w:w="420" w:type="dxa"/>
            <w:vAlign w:val="bottom"/>
            <w:shd w:val="clear" w:color="auto" w:fill="002B5F"/>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160" w:type="dxa"/>
            <w:vAlign w:val="bottom"/>
            <w:vMerge w:val="restart"/>
          </w:tcPr>
          <w:p>
            <w:pPr>
              <w:spacing w:after="0"/>
              <w:rPr>
                <w:sz w:val="20"/>
                <w:szCs w:val="20"/>
                <w:color w:val="auto"/>
              </w:rPr>
            </w:pPr>
            <w:r>
              <w:rPr>
                <w:rFonts w:ascii="Arial" w:cs="Arial" w:eastAsia="Arial" w:hAnsi="Arial"/>
                <w:sz w:val="15"/>
                <w:szCs w:val="15"/>
                <w:color w:val="auto"/>
              </w:rPr>
              <w:t>  Standard for Director</w:t>
            </w:r>
          </w:p>
        </w:tc>
        <w:tc>
          <w:tcPr>
            <w:tcW w:w="6140" w:type="dxa"/>
            <w:vAlign w:val="bottom"/>
            <w:gridSpan w:val="2"/>
            <w:vMerge w:val="restart"/>
          </w:tcPr>
          <w:p>
            <w:pPr>
              <w:ind w:left="80"/>
              <w:spacing w:after="0"/>
              <w:rPr>
                <w:sz w:val="20"/>
                <w:szCs w:val="20"/>
                <w:color w:val="auto"/>
              </w:rPr>
            </w:pPr>
            <w:r>
              <w:rPr>
                <w:rFonts w:ascii="Arial" w:cs="Arial" w:eastAsia="Arial" w:hAnsi="Arial"/>
                <w:sz w:val="15"/>
                <w:szCs w:val="15"/>
                <w:color w:val="auto"/>
              </w:rPr>
              <w:t>uncontested elections. Any director who does not receive more votes “for” his or</w:t>
            </w:r>
          </w:p>
        </w:tc>
        <w:tc>
          <w:tcPr>
            <w:tcW w:w="240" w:type="dxa"/>
            <w:vAlign w:val="bottom"/>
            <w:shd w:val="clear" w:color="auto" w:fill="002B5F"/>
          </w:tcPr>
          <w:p>
            <w:pPr>
              <w:spacing w:after="0"/>
              <w:rPr>
                <w:sz w:val="7"/>
                <w:szCs w:val="7"/>
                <w:color w:val="auto"/>
              </w:rPr>
            </w:pPr>
          </w:p>
        </w:tc>
        <w:tc>
          <w:tcPr>
            <w:tcW w:w="1320" w:type="dxa"/>
            <w:vAlign w:val="bottom"/>
            <w:shd w:val="clear" w:color="auto" w:fill="002B5F"/>
          </w:tcPr>
          <w:p>
            <w:pPr>
              <w:ind w:left="140"/>
              <w:spacing w:after="0" w:line="85" w:lineRule="exact"/>
              <w:rPr>
                <w:sz w:val="20"/>
                <w:szCs w:val="20"/>
                <w:color w:val="auto"/>
              </w:rPr>
            </w:pPr>
            <w:r>
              <w:rPr>
                <w:rFonts w:ascii="Arial" w:cs="Arial" w:eastAsia="Arial" w:hAnsi="Arial"/>
                <w:sz w:val="8"/>
                <w:szCs w:val="8"/>
                <w:b w:val="1"/>
                <w:bCs w:val="1"/>
                <w:color w:val="FFFFFF"/>
              </w:rPr>
              <w:t>Governance</w:t>
            </w:r>
          </w:p>
        </w:tc>
        <w:tc>
          <w:tcPr>
            <w:tcW w:w="420" w:type="dxa"/>
            <w:vAlign w:val="bottom"/>
            <w:shd w:val="clear" w:color="auto" w:fill="002B5F"/>
          </w:tcPr>
          <w:p>
            <w:pPr>
              <w:spacing w:after="0"/>
              <w:rPr>
                <w:sz w:val="7"/>
                <w:szCs w:val="7"/>
                <w:color w:val="auto"/>
              </w:rPr>
            </w:pPr>
          </w:p>
        </w:tc>
        <w:tc>
          <w:tcPr>
            <w:tcW w:w="0" w:type="dxa"/>
            <w:vAlign w:val="bottom"/>
          </w:tcPr>
          <w:p>
            <w:pPr>
              <w:spacing w:after="0"/>
              <w:rPr>
                <w:sz w:val="1"/>
                <w:szCs w:val="1"/>
                <w:color w:val="auto"/>
              </w:rPr>
            </w:pPr>
          </w:p>
        </w:tc>
      </w:tr>
      <w:tr>
        <w:trPr>
          <w:trHeight w:val="120"/>
        </w:trPr>
        <w:tc>
          <w:tcPr>
            <w:tcW w:w="2160" w:type="dxa"/>
            <w:vAlign w:val="bottom"/>
            <w:vMerge w:val="continue"/>
          </w:tcPr>
          <w:p>
            <w:pPr>
              <w:spacing w:after="0"/>
              <w:rPr>
                <w:sz w:val="10"/>
                <w:szCs w:val="10"/>
                <w:color w:val="auto"/>
              </w:rPr>
            </w:pPr>
          </w:p>
        </w:tc>
        <w:tc>
          <w:tcPr>
            <w:tcW w:w="6140" w:type="dxa"/>
            <w:vAlign w:val="bottom"/>
            <w:gridSpan w:val="2"/>
            <w:vMerge w:val="continue"/>
          </w:tcPr>
          <w:p>
            <w:pPr>
              <w:spacing w:after="0"/>
              <w:rPr>
                <w:sz w:val="10"/>
                <w:szCs w:val="10"/>
                <w:color w:val="auto"/>
              </w:rPr>
            </w:pPr>
          </w:p>
        </w:tc>
        <w:tc>
          <w:tcPr>
            <w:tcW w:w="240" w:type="dxa"/>
            <w:vAlign w:val="bottom"/>
            <w:shd w:val="clear" w:color="auto" w:fill="002B5F"/>
          </w:tcPr>
          <w:p>
            <w:pPr>
              <w:spacing w:after="0"/>
              <w:rPr>
                <w:sz w:val="10"/>
                <w:szCs w:val="10"/>
                <w:color w:val="auto"/>
              </w:rPr>
            </w:pPr>
          </w:p>
        </w:tc>
        <w:tc>
          <w:tcPr>
            <w:tcW w:w="1320" w:type="dxa"/>
            <w:vAlign w:val="bottom"/>
            <w:shd w:val="clear" w:color="auto" w:fill="002B5F"/>
          </w:tcPr>
          <w:p>
            <w:pPr>
              <w:ind w:left="140"/>
              <w:spacing w:after="0" w:line="121" w:lineRule="exact"/>
              <w:rPr>
                <w:sz w:val="20"/>
                <w:szCs w:val="20"/>
                <w:color w:val="auto"/>
              </w:rPr>
            </w:pPr>
            <w:r>
              <w:rPr>
                <w:rFonts w:ascii="Arial" w:cs="Arial" w:eastAsia="Arial" w:hAnsi="Arial"/>
                <w:sz w:val="12"/>
                <w:szCs w:val="12"/>
                <w:b w:val="1"/>
                <w:bCs w:val="1"/>
                <w:color w:val="FFFFFF"/>
              </w:rPr>
              <w:t>and the Board of</w:t>
            </w:r>
          </w:p>
        </w:tc>
        <w:tc>
          <w:tcPr>
            <w:tcW w:w="420" w:type="dxa"/>
            <w:vAlign w:val="bottom"/>
            <w:shd w:val="clear" w:color="auto" w:fill="002B5F"/>
          </w:tcPr>
          <w:p>
            <w:pPr>
              <w:spacing w:after="0"/>
              <w:rPr>
                <w:sz w:val="10"/>
                <w:szCs w:val="10"/>
                <w:color w:val="auto"/>
              </w:rPr>
            </w:pPr>
          </w:p>
        </w:tc>
        <w:tc>
          <w:tcPr>
            <w:tcW w:w="0" w:type="dxa"/>
            <w:vAlign w:val="bottom"/>
          </w:tcPr>
          <w:p>
            <w:pPr>
              <w:spacing w:after="0"/>
              <w:rPr>
                <w:sz w:val="1"/>
                <w:szCs w:val="1"/>
                <w:color w:val="auto"/>
              </w:rPr>
            </w:pPr>
          </w:p>
        </w:tc>
      </w:tr>
      <w:tr>
        <w:trPr>
          <w:trHeight w:val="179"/>
        </w:trPr>
        <w:tc>
          <w:tcPr>
            <w:tcW w:w="2160" w:type="dxa"/>
            <w:vAlign w:val="bottom"/>
          </w:tcPr>
          <w:p>
            <w:pPr>
              <w:spacing w:after="0"/>
              <w:rPr>
                <w:sz w:val="20"/>
                <w:szCs w:val="20"/>
                <w:color w:val="auto"/>
              </w:rPr>
            </w:pPr>
            <w:r>
              <w:rPr>
                <w:rFonts w:ascii="Arial" w:cs="Arial" w:eastAsia="Arial" w:hAnsi="Arial"/>
                <w:sz w:val="15"/>
                <w:szCs w:val="15"/>
                <w:color w:val="auto"/>
              </w:rPr>
              <w:t>  Elections</w:t>
            </w:r>
          </w:p>
        </w:tc>
        <w:tc>
          <w:tcPr>
            <w:tcW w:w="6140" w:type="dxa"/>
            <w:vAlign w:val="bottom"/>
            <w:gridSpan w:val="2"/>
          </w:tcPr>
          <w:p>
            <w:pPr>
              <w:ind w:left="80"/>
              <w:spacing w:after="0"/>
              <w:rPr>
                <w:sz w:val="20"/>
                <w:szCs w:val="20"/>
                <w:color w:val="auto"/>
              </w:rPr>
            </w:pPr>
            <w:r>
              <w:rPr>
                <w:rFonts w:ascii="Arial" w:cs="Arial" w:eastAsia="Arial" w:hAnsi="Arial"/>
                <w:sz w:val="15"/>
                <w:szCs w:val="15"/>
                <w:color w:val="auto"/>
              </w:rPr>
              <w:t>her election than votes “against” must tender his or her resignation and, if our</w:t>
            </w:r>
          </w:p>
        </w:tc>
        <w:tc>
          <w:tcPr>
            <w:tcW w:w="240" w:type="dxa"/>
            <w:vAlign w:val="bottom"/>
            <w:shd w:val="clear" w:color="auto" w:fill="002B5F"/>
          </w:tcPr>
          <w:p>
            <w:pPr>
              <w:spacing w:after="0"/>
              <w:rPr>
                <w:sz w:val="15"/>
                <w:szCs w:val="15"/>
                <w:color w:val="auto"/>
              </w:rPr>
            </w:pPr>
          </w:p>
        </w:tc>
        <w:tc>
          <w:tcPr>
            <w:tcW w:w="1320" w:type="dxa"/>
            <w:vAlign w:val="bottom"/>
            <w:shd w:val="clear" w:color="auto" w:fill="002B5F"/>
          </w:tcPr>
          <w:p>
            <w:pPr>
              <w:ind w:left="140"/>
              <w:spacing w:after="0"/>
              <w:rPr>
                <w:sz w:val="20"/>
                <w:szCs w:val="20"/>
                <w:color w:val="auto"/>
              </w:rPr>
            </w:pPr>
            <w:r>
              <w:rPr>
                <w:rFonts w:ascii="Arial" w:cs="Arial" w:eastAsia="Arial" w:hAnsi="Arial"/>
                <w:sz w:val="12"/>
                <w:szCs w:val="12"/>
                <w:b w:val="1"/>
                <w:bCs w:val="1"/>
                <w:color w:val="FFFFFF"/>
              </w:rPr>
              <w:t>Directors</w:t>
            </w:r>
          </w:p>
        </w:tc>
        <w:tc>
          <w:tcPr>
            <w:tcW w:w="420" w:type="dxa"/>
            <w:vAlign w:val="bottom"/>
            <w:shd w:val="clear" w:color="auto" w:fill="002B5F"/>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2160" w:type="dxa"/>
            <w:vAlign w:val="bottom"/>
          </w:tcPr>
          <w:p>
            <w:pPr>
              <w:spacing w:after="0"/>
              <w:rPr>
                <w:sz w:val="17"/>
                <w:szCs w:val="17"/>
                <w:color w:val="auto"/>
              </w:rPr>
            </w:pPr>
          </w:p>
        </w:tc>
        <w:tc>
          <w:tcPr>
            <w:tcW w:w="6140" w:type="dxa"/>
            <w:vAlign w:val="bottom"/>
            <w:gridSpan w:val="2"/>
          </w:tcPr>
          <w:p>
            <w:pPr>
              <w:ind w:left="80"/>
              <w:spacing w:after="0"/>
              <w:rPr>
                <w:sz w:val="20"/>
                <w:szCs w:val="20"/>
                <w:color w:val="auto"/>
              </w:rPr>
            </w:pPr>
            <w:r>
              <w:rPr>
                <w:rFonts w:ascii="Arial" w:cs="Arial" w:eastAsia="Arial" w:hAnsi="Arial"/>
                <w:sz w:val="15"/>
                <w:szCs w:val="15"/>
                <w:color w:val="auto"/>
              </w:rPr>
              <w:t>Board accepts the resignation, step down from our Board.</w:t>
            </w:r>
          </w:p>
        </w:tc>
        <w:tc>
          <w:tcPr>
            <w:tcW w:w="240" w:type="dxa"/>
            <w:vAlign w:val="bottom"/>
            <w:shd w:val="clear" w:color="auto" w:fill="002B5F"/>
          </w:tcPr>
          <w:p>
            <w:pPr>
              <w:spacing w:after="0"/>
              <w:rPr>
                <w:sz w:val="17"/>
                <w:szCs w:val="17"/>
                <w:color w:val="auto"/>
              </w:rPr>
            </w:pPr>
          </w:p>
        </w:tc>
        <w:tc>
          <w:tcPr>
            <w:tcW w:w="1320" w:type="dxa"/>
            <w:vAlign w:val="bottom"/>
            <w:vMerge w:val="restart"/>
            <w:shd w:val="clear" w:color="auto" w:fill="002B5F"/>
          </w:tcPr>
          <w:p>
            <w:pPr>
              <w:ind w:left="140"/>
              <w:spacing w:after="0"/>
              <w:rPr>
                <w:sz w:val="20"/>
                <w:szCs w:val="20"/>
                <w:color w:val="auto"/>
              </w:rPr>
            </w:pPr>
            <w:r>
              <w:rPr>
                <w:rFonts w:ascii="Arial" w:cs="Arial" w:eastAsia="Arial" w:hAnsi="Arial"/>
                <w:sz w:val="12"/>
                <w:szCs w:val="12"/>
                <w:color w:val="FFFFFF"/>
              </w:rPr>
              <w:t>Proposal 1</w:t>
            </w:r>
          </w:p>
        </w:tc>
        <w:tc>
          <w:tcPr>
            <w:tcW w:w="420" w:type="dxa"/>
            <w:vAlign w:val="bottom"/>
            <w:shd w:val="clear" w:color="auto" w:fill="002B5F"/>
          </w:tcPr>
          <w:p>
            <w:pPr>
              <w:spacing w:after="0"/>
              <w:rPr>
                <w:sz w:val="17"/>
                <w:szCs w:val="17"/>
                <w:color w:val="auto"/>
              </w:rPr>
            </w:pPr>
          </w:p>
        </w:tc>
        <w:tc>
          <w:tcPr>
            <w:tcW w:w="0" w:type="dxa"/>
            <w:vAlign w:val="bottom"/>
          </w:tcPr>
          <w:p>
            <w:pPr>
              <w:spacing w:after="0"/>
              <w:rPr>
                <w:sz w:val="1"/>
                <w:szCs w:val="1"/>
                <w:color w:val="auto"/>
              </w:rPr>
            </w:pPr>
          </w:p>
        </w:tc>
      </w:tr>
      <w:tr>
        <w:trPr>
          <w:trHeight w:val="41"/>
        </w:trPr>
        <w:tc>
          <w:tcPr>
            <w:tcW w:w="2160" w:type="dxa"/>
            <w:vAlign w:val="bottom"/>
          </w:tcPr>
          <w:p>
            <w:pPr>
              <w:spacing w:after="0"/>
              <w:rPr>
                <w:sz w:val="3"/>
                <w:szCs w:val="3"/>
                <w:color w:val="auto"/>
              </w:rPr>
            </w:pPr>
          </w:p>
        </w:tc>
        <w:tc>
          <w:tcPr>
            <w:tcW w:w="57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shd w:val="clear" w:color="auto" w:fill="002B5F"/>
          </w:tcPr>
          <w:p>
            <w:pPr>
              <w:spacing w:after="0"/>
              <w:rPr>
                <w:sz w:val="3"/>
                <w:szCs w:val="3"/>
                <w:color w:val="auto"/>
              </w:rPr>
            </w:pPr>
          </w:p>
        </w:tc>
        <w:tc>
          <w:tcPr>
            <w:tcW w:w="1320" w:type="dxa"/>
            <w:vAlign w:val="bottom"/>
            <w:vMerge w:val="continue"/>
            <w:shd w:val="clear" w:color="auto" w:fill="002B5F"/>
          </w:tcPr>
          <w:p>
            <w:pPr>
              <w:spacing w:after="0"/>
              <w:rPr>
                <w:sz w:val="3"/>
                <w:szCs w:val="3"/>
                <w:color w:val="auto"/>
              </w:rPr>
            </w:pPr>
          </w:p>
        </w:tc>
        <w:tc>
          <w:tcPr>
            <w:tcW w:w="420" w:type="dxa"/>
            <w:vAlign w:val="bottom"/>
            <w:shd w:val="clear" w:color="auto" w:fill="002B5F"/>
          </w:tcPr>
          <w:p>
            <w:pPr>
              <w:spacing w:after="0"/>
              <w:rPr>
                <w:sz w:val="3"/>
                <w:szCs w:val="3"/>
                <w:color w:val="auto"/>
              </w:rPr>
            </w:pPr>
          </w:p>
        </w:tc>
        <w:tc>
          <w:tcPr>
            <w:tcW w:w="0" w:type="dxa"/>
            <w:vAlign w:val="bottom"/>
          </w:tcPr>
          <w:p>
            <w:pPr>
              <w:spacing w:after="0"/>
              <w:rPr>
                <w:sz w:val="1"/>
                <w:szCs w:val="1"/>
                <w:color w:val="auto"/>
              </w:rPr>
            </w:pPr>
          </w:p>
        </w:tc>
      </w:tr>
      <w:tr>
        <w:trPr>
          <w:trHeight w:val="235"/>
        </w:trPr>
        <w:tc>
          <w:tcPr>
            <w:tcW w:w="2160" w:type="dxa"/>
            <w:vAlign w:val="bottom"/>
            <w:tcBorders>
              <w:bottom w:val="single" w:sz="8" w:color="F7F1EC"/>
            </w:tcBorders>
            <w:shd w:val="clear" w:color="auto" w:fill="F7F1EC"/>
          </w:tcPr>
          <w:p>
            <w:pPr>
              <w:spacing w:after="0"/>
              <w:rPr>
                <w:sz w:val="20"/>
                <w:szCs w:val="20"/>
                <w:color w:val="auto"/>
              </w:rPr>
            </w:pPr>
            <w:r>
              <w:rPr>
                <w:rFonts w:ascii="Arial" w:cs="Arial" w:eastAsia="Arial" w:hAnsi="Arial"/>
                <w:sz w:val="15"/>
                <w:szCs w:val="15"/>
                <w:color w:val="auto"/>
              </w:rPr>
              <w:t>  Single Voting Class</w:t>
            </w:r>
          </w:p>
        </w:tc>
        <w:tc>
          <w:tcPr>
            <w:tcW w:w="5720" w:type="dxa"/>
            <w:vAlign w:val="bottom"/>
            <w:tcBorders>
              <w:bottom w:val="single" w:sz="8" w:color="F7F1EC"/>
            </w:tcBorders>
            <w:shd w:val="clear" w:color="auto" w:fill="F7F1EC"/>
          </w:tcPr>
          <w:p>
            <w:pPr>
              <w:ind w:left="80"/>
              <w:spacing w:after="0"/>
              <w:rPr>
                <w:sz w:val="20"/>
                <w:szCs w:val="20"/>
                <w:color w:val="auto"/>
              </w:rPr>
            </w:pPr>
            <w:r>
              <w:rPr>
                <w:rFonts w:ascii="Arial" w:cs="Arial" w:eastAsia="Arial" w:hAnsi="Arial"/>
                <w:sz w:val="15"/>
                <w:szCs w:val="15"/>
                <w:color w:val="auto"/>
              </w:rPr>
              <w:t>Our Common Stock is the only class of voting shares outstanding.</w:t>
            </w:r>
          </w:p>
        </w:tc>
        <w:tc>
          <w:tcPr>
            <w:tcW w:w="420" w:type="dxa"/>
            <w:vAlign w:val="bottom"/>
          </w:tcPr>
          <w:p>
            <w:pPr>
              <w:spacing w:after="0"/>
              <w:rPr>
                <w:sz w:val="20"/>
                <w:szCs w:val="20"/>
                <w:color w:val="auto"/>
              </w:rPr>
            </w:pPr>
          </w:p>
        </w:tc>
        <w:tc>
          <w:tcPr>
            <w:tcW w:w="240" w:type="dxa"/>
            <w:vAlign w:val="bottom"/>
            <w:tcBorders>
              <w:bottom w:val="single" w:sz="8" w:color="002B5F"/>
            </w:tcBorders>
            <w:shd w:val="clear" w:color="auto" w:fill="002B5F"/>
          </w:tcPr>
          <w:p>
            <w:pPr>
              <w:spacing w:after="0"/>
              <w:rPr>
                <w:sz w:val="20"/>
                <w:szCs w:val="20"/>
                <w:color w:val="auto"/>
              </w:rPr>
            </w:pPr>
          </w:p>
        </w:tc>
        <w:tc>
          <w:tcPr>
            <w:tcW w:w="1320" w:type="dxa"/>
            <w:vAlign w:val="bottom"/>
            <w:tcBorders>
              <w:bottom w:val="single" w:sz="8" w:color="002B5F"/>
            </w:tcBorders>
            <w:vMerge w:val="restart"/>
            <w:shd w:val="clear" w:color="auto" w:fill="002B5F"/>
          </w:tcPr>
          <w:p>
            <w:pPr>
              <w:ind w:left="140"/>
              <w:spacing w:after="0"/>
              <w:rPr>
                <w:sz w:val="20"/>
                <w:szCs w:val="20"/>
                <w:color w:val="auto"/>
              </w:rPr>
            </w:pPr>
            <w:r>
              <w:rPr>
                <w:rFonts w:ascii="Arial" w:cs="Arial" w:eastAsia="Arial" w:hAnsi="Arial"/>
                <w:sz w:val="12"/>
                <w:szCs w:val="12"/>
                <w:color w:val="FFFFFF"/>
              </w:rPr>
              <w:t>Information</w:t>
            </w:r>
          </w:p>
        </w:tc>
        <w:tc>
          <w:tcPr>
            <w:tcW w:w="420" w:type="dxa"/>
            <w:vAlign w:val="bottom"/>
            <w:tcBorders>
              <w:bottom w:val="single" w:sz="8" w:color="002B5F"/>
            </w:tcBorders>
            <w:shd w:val="clear" w:color="auto" w:fill="002B5F"/>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2160" w:type="dxa"/>
            <w:vAlign w:val="bottom"/>
            <w:vMerge w:val="restart"/>
          </w:tcPr>
          <w:p>
            <w:pPr>
              <w:spacing w:after="0"/>
              <w:rPr>
                <w:sz w:val="20"/>
                <w:szCs w:val="20"/>
                <w:color w:val="auto"/>
              </w:rPr>
            </w:pPr>
            <w:r>
              <w:rPr>
                <w:rFonts w:ascii="Arial" w:cs="Arial" w:eastAsia="Arial" w:hAnsi="Arial"/>
                <w:sz w:val="15"/>
                <w:szCs w:val="15"/>
                <w:color w:val="auto"/>
              </w:rPr>
              <w:t>  Proxy Access</w:t>
            </w:r>
          </w:p>
        </w:tc>
        <w:tc>
          <w:tcPr>
            <w:tcW w:w="6140" w:type="dxa"/>
            <w:vAlign w:val="bottom"/>
            <w:gridSpan w:val="2"/>
            <w:vMerge w:val="restart"/>
          </w:tcPr>
          <w:p>
            <w:pPr>
              <w:ind w:left="80"/>
              <w:spacing w:after="0"/>
              <w:rPr>
                <w:sz w:val="20"/>
                <w:szCs w:val="20"/>
                <w:color w:val="auto"/>
              </w:rPr>
            </w:pPr>
            <w:r>
              <w:rPr>
                <w:rFonts w:ascii="Arial" w:cs="Arial" w:eastAsia="Arial" w:hAnsi="Arial"/>
                <w:sz w:val="15"/>
                <w:szCs w:val="15"/>
                <w:color w:val="auto"/>
              </w:rPr>
              <w:t>Our bylaws permit a stockholder, or a group of up to 20 stockholders, that has</w:t>
            </w:r>
          </w:p>
        </w:tc>
        <w:tc>
          <w:tcPr>
            <w:tcW w:w="240" w:type="dxa"/>
            <w:vAlign w:val="bottom"/>
            <w:shd w:val="clear" w:color="auto" w:fill="002B5F"/>
          </w:tcPr>
          <w:p>
            <w:pPr>
              <w:spacing w:after="0"/>
              <w:rPr>
                <w:sz w:val="4"/>
                <w:szCs w:val="4"/>
                <w:color w:val="auto"/>
              </w:rPr>
            </w:pPr>
          </w:p>
        </w:tc>
        <w:tc>
          <w:tcPr>
            <w:tcW w:w="1320" w:type="dxa"/>
            <w:vAlign w:val="bottom"/>
            <w:vMerge w:val="continue"/>
            <w:shd w:val="clear" w:color="auto" w:fill="002B5F"/>
          </w:tcPr>
          <w:p>
            <w:pPr>
              <w:spacing w:after="0"/>
              <w:rPr>
                <w:sz w:val="4"/>
                <w:szCs w:val="4"/>
                <w:color w:val="auto"/>
              </w:rPr>
            </w:pPr>
          </w:p>
        </w:tc>
        <w:tc>
          <w:tcPr>
            <w:tcW w:w="420" w:type="dxa"/>
            <w:vAlign w:val="bottom"/>
            <w:shd w:val="clear" w:color="auto" w:fill="002B5F"/>
          </w:tcPr>
          <w:p>
            <w:pPr>
              <w:spacing w:after="0"/>
              <w:rPr>
                <w:sz w:val="4"/>
                <w:szCs w:val="4"/>
                <w:color w:val="auto"/>
              </w:rPr>
            </w:pPr>
          </w:p>
        </w:tc>
        <w:tc>
          <w:tcPr>
            <w:tcW w:w="0" w:type="dxa"/>
            <w:vAlign w:val="bottom"/>
          </w:tcPr>
          <w:p>
            <w:pPr>
              <w:spacing w:after="0"/>
              <w:rPr>
                <w:sz w:val="1"/>
                <w:szCs w:val="1"/>
                <w:color w:val="auto"/>
              </w:rPr>
            </w:pPr>
          </w:p>
        </w:tc>
      </w:tr>
      <w:tr>
        <w:trPr>
          <w:trHeight w:val="128"/>
        </w:trPr>
        <w:tc>
          <w:tcPr>
            <w:tcW w:w="2160" w:type="dxa"/>
            <w:vAlign w:val="bottom"/>
            <w:vMerge w:val="continue"/>
          </w:tcPr>
          <w:p>
            <w:pPr>
              <w:spacing w:after="0"/>
              <w:rPr>
                <w:sz w:val="11"/>
                <w:szCs w:val="11"/>
                <w:color w:val="auto"/>
              </w:rPr>
            </w:pPr>
          </w:p>
        </w:tc>
        <w:tc>
          <w:tcPr>
            <w:tcW w:w="6140" w:type="dxa"/>
            <w:vAlign w:val="bottom"/>
            <w:gridSpan w:val="2"/>
            <w:vMerge w:val="continue"/>
          </w:tcPr>
          <w:p>
            <w:pPr>
              <w:spacing w:after="0"/>
              <w:rPr>
                <w:sz w:val="11"/>
                <w:szCs w:val="11"/>
                <w:color w:val="auto"/>
              </w:rPr>
            </w:pPr>
          </w:p>
        </w:tc>
        <w:tc>
          <w:tcPr>
            <w:tcW w:w="240" w:type="dxa"/>
            <w:vAlign w:val="bottom"/>
            <w:shd w:val="clear" w:color="auto" w:fill="002B5F"/>
          </w:tcPr>
          <w:p>
            <w:pPr>
              <w:spacing w:after="0"/>
              <w:rPr>
                <w:sz w:val="11"/>
                <w:szCs w:val="11"/>
                <w:color w:val="auto"/>
              </w:rPr>
            </w:pPr>
          </w:p>
        </w:tc>
        <w:tc>
          <w:tcPr>
            <w:tcW w:w="1320" w:type="dxa"/>
            <w:vAlign w:val="bottom"/>
            <w:shd w:val="clear" w:color="auto" w:fill="002B5F"/>
          </w:tcPr>
          <w:p>
            <w:pPr>
              <w:ind w:left="140"/>
              <w:spacing w:after="0" w:line="128" w:lineRule="exact"/>
              <w:rPr>
                <w:sz w:val="20"/>
                <w:szCs w:val="20"/>
                <w:color w:val="auto"/>
              </w:rPr>
            </w:pPr>
            <w:r>
              <w:rPr>
                <w:rFonts w:ascii="Arial" w:cs="Arial" w:eastAsia="Arial" w:hAnsi="Arial"/>
                <w:sz w:val="12"/>
                <w:szCs w:val="12"/>
                <w:color w:val="FFFFFF"/>
              </w:rPr>
              <w:t>Regarding Board</w:t>
            </w:r>
          </w:p>
        </w:tc>
        <w:tc>
          <w:tcPr>
            <w:tcW w:w="420" w:type="dxa"/>
            <w:vAlign w:val="bottom"/>
            <w:shd w:val="clear" w:color="auto" w:fill="002B5F"/>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2160" w:type="dxa"/>
            <w:vAlign w:val="bottom"/>
          </w:tcPr>
          <w:p>
            <w:pPr>
              <w:spacing w:after="0"/>
              <w:rPr>
                <w:sz w:val="14"/>
                <w:szCs w:val="14"/>
                <w:color w:val="auto"/>
              </w:rPr>
            </w:pPr>
          </w:p>
        </w:tc>
        <w:tc>
          <w:tcPr>
            <w:tcW w:w="6140" w:type="dxa"/>
            <w:vAlign w:val="bottom"/>
            <w:gridSpan w:val="2"/>
          </w:tcPr>
          <w:p>
            <w:pPr>
              <w:ind w:left="80"/>
              <w:spacing w:after="0" w:line="171" w:lineRule="exact"/>
              <w:rPr>
                <w:sz w:val="20"/>
                <w:szCs w:val="20"/>
                <w:color w:val="auto"/>
              </w:rPr>
            </w:pPr>
            <w:r>
              <w:rPr>
                <w:rFonts w:ascii="Arial" w:cs="Arial" w:eastAsia="Arial" w:hAnsi="Arial"/>
                <w:sz w:val="15"/>
                <w:szCs w:val="15"/>
                <w:color w:val="auto"/>
              </w:rPr>
              <w:t>owned at least three percent of our Common Stock continuously for three years to</w:t>
            </w:r>
          </w:p>
        </w:tc>
        <w:tc>
          <w:tcPr>
            <w:tcW w:w="240" w:type="dxa"/>
            <w:vAlign w:val="bottom"/>
            <w:shd w:val="clear" w:color="auto" w:fill="002B5F"/>
          </w:tcPr>
          <w:p>
            <w:pPr>
              <w:spacing w:after="0"/>
              <w:rPr>
                <w:sz w:val="14"/>
                <w:szCs w:val="14"/>
                <w:color w:val="auto"/>
              </w:rPr>
            </w:pPr>
          </w:p>
        </w:tc>
        <w:tc>
          <w:tcPr>
            <w:tcW w:w="1320" w:type="dxa"/>
            <w:vAlign w:val="bottom"/>
            <w:shd w:val="clear" w:color="auto" w:fill="002B5F"/>
          </w:tcPr>
          <w:p>
            <w:pPr>
              <w:ind w:left="140"/>
              <w:spacing w:after="0"/>
              <w:rPr>
                <w:sz w:val="20"/>
                <w:szCs w:val="20"/>
                <w:color w:val="auto"/>
              </w:rPr>
            </w:pPr>
            <w:r>
              <w:rPr>
                <w:rFonts w:ascii="Arial" w:cs="Arial" w:eastAsia="Arial" w:hAnsi="Arial"/>
                <w:sz w:val="12"/>
                <w:szCs w:val="12"/>
                <w:color w:val="FFFFFF"/>
              </w:rPr>
              <w:t>and Committee</w:t>
            </w:r>
          </w:p>
        </w:tc>
        <w:tc>
          <w:tcPr>
            <w:tcW w:w="420" w:type="dxa"/>
            <w:vAlign w:val="bottom"/>
            <w:shd w:val="clear" w:color="auto" w:fill="002B5F"/>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2160" w:type="dxa"/>
            <w:vAlign w:val="bottom"/>
          </w:tcPr>
          <w:p>
            <w:pPr>
              <w:spacing w:after="0"/>
              <w:rPr>
                <w:sz w:val="13"/>
                <w:szCs w:val="13"/>
                <w:color w:val="auto"/>
              </w:rPr>
            </w:pPr>
          </w:p>
        </w:tc>
        <w:tc>
          <w:tcPr>
            <w:tcW w:w="6140" w:type="dxa"/>
            <w:vAlign w:val="bottom"/>
            <w:gridSpan w:val="2"/>
            <w:vMerge w:val="restart"/>
          </w:tcPr>
          <w:p>
            <w:pPr>
              <w:ind w:left="80"/>
              <w:spacing w:after="0"/>
              <w:rPr>
                <w:sz w:val="20"/>
                <w:szCs w:val="20"/>
                <w:color w:val="auto"/>
              </w:rPr>
            </w:pPr>
            <w:r>
              <w:rPr>
                <w:rFonts w:ascii="Arial" w:cs="Arial" w:eastAsia="Arial" w:hAnsi="Arial"/>
                <w:sz w:val="15"/>
                <w:szCs w:val="15"/>
                <w:color w:val="auto"/>
              </w:rPr>
              <w:t>nominate and include in the Company’s annual meeting proxy materials the</w:t>
            </w:r>
          </w:p>
        </w:tc>
        <w:tc>
          <w:tcPr>
            <w:tcW w:w="240" w:type="dxa"/>
            <w:vAlign w:val="bottom"/>
            <w:shd w:val="clear" w:color="auto" w:fill="002B5F"/>
          </w:tcPr>
          <w:p>
            <w:pPr>
              <w:spacing w:after="0"/>
              <w:rPr>
                <w:sz w:val="13"/>
                <w:szCs w:val="13"/>
                <w:color w:val="auto"/>
              </w:rPr>
            </w:pPr>
          </w:p>
        </w:tc>
        <w:tc>
          <w:tcPr>
            <w:tcW w:w="1320" w:type="dxa"/>
            <w:vAlign w:val="bottom"/>
            <w:shd w:val="clear" w:color="auto" w:fill="002B5F"/>
          </w:tcPr>
          <w:p>
            <w:pPr>
              <w:ind w:left="140"/>
              <w:spacing w:after="0"/>
              <w:rPr>
                <w:sz w:val="20"/>
                <w:szCs w:val="20"/>
                <w:color w:val="auto"/>
              </w:rPr>
            </w:pPr>
            <w:r>
              <w:rPr>
                <w:rFonts w:ascii="Arial" w:cs="Arial" w:eastAsia="Arial" w:hAnsi="Arial"/>
                <w:sz w:val="12"/>
                <w:szCs w:val="12"/>
                <w:color w:val="FFFFFF"/>
              </w:rPr>
              <w:t>Structure</w:t>
            </w:r>
          </w:p>
        </w:tc>
        <w:tc>
          <w:tcPr>
            <w:tcW w:w="420" w:type="dxa"/>
            <w:vAlign w:val="bottom"/>
            <w:shd w:val="clear" w:color="auto" w:fill="002B5F"/>
          </w:tcPr>
          <w:p>
            <w:pPr>
              <w:spacing w:after="0"/>
              <w:rPr>
                <w:sz w:val="13"/>
                <w:szCs w:val="13"/>
                <w:color w:val="auto"/>
              </w:rPr>
            </w:pPr>
          </w:p>
        </w:tc>
        <w:tc>
          <w:tcPr>
            <w:tcW w:w="0" w:type="dxa"/>
            <w:vAlign w:val="bottom"/>
          </w:tcPr>
          <w:p>
            <w:pPr>
              <w:spacing w:after="0"/>
              <w:rPr>
                <w:sz w:val="1"/>
                <w:szCs w:val="1"/>
                <w:color w:val="auto"/>
              </w:rPr>
            </w:pPr>
          </w:p>
        </w:tc>
      </w:tr>
      <w:tr>
        <w:trPr>
          <w:trHeight w:val="47"/>
        </w:trPr>
        <w:tc>
          <w:tcPr>
            <w:tcW w:w="2160" w:type="dxa"/>
            <w:vAlign w:val="bottom"/>
          </w:tcPr>
          <w:p>
            <w:pPr>
              <w:spacing w:after="0"/>
              <w:rPr>
                <w:sz w:val="4"/>
                <w:szCs w:val="4"/>
                <w:color w:val="auto"/>
              </w:rPr>
            </w:pPr>
          </w:p>
        </w:tc>
        <w:tc>
          <w:tcPr>
            <w:tcW w:w="6140" w:type="dxa"/>
            <w:vAlign w:val="bottom"/>
            <w:gridSpan w:val="2"/>
            <w:vMerge w:val="continue"/>
          </w:tcPr>
          <w:p>
            <w:pPr>
              <w:spacing w:after="0"/>
              <w:rPr>
                <w:sz w:val="4"/>
                <w:szCs w:val="4"/>
                <w:color w:val="auto"/>
              </w:rPr>
            </w:pPr>
          </w:p>
        </w:tc>
        <w:tc>
          <w:tcPr>
            <w:tcW w:w="240" w:type="dxa"/>
            <w:vAlign w:val="bottom"/>
            <w:shd w:val="clear" w:color="auto" w:fill="002B5F"/>
          </w:tcPr>
          <w:p>
            <w:pPr>
              <w:spacing w:after="0"/>
              <w:rPr>
                <w:sz w:val="4"/>
                <w:szCs w:val="4"/>
                <w:color w:val="auto"/>
              </w:rPr>
            </w:pPr>
          </w:p>
        </w:tc>
        <w:tc>
          <w:tcPr>
            <w:tcW w:w="1320" w:type="dxa"/>
            <w:vAlign w:val="bottom"/>
            <w:shd w:val="clear" w:color="auto" w:fill="002B5F"/>
          </w:tcPr>
          <w:p>
            <w:pPr>
              <w:spacing w:after="0"/>
              <w:rPr>
                <w:sz w:val="4"/>
                <w:szCs w:val="4"/>
                <w:color w:val="auto"/>
              </w:rPr>
            </w:pPr>
          </w:p>
        </w:tc>
        <w:tc>
          <w:tcPr>
            <w:tcW w:w="420" w:type="dxa"/>
            <w:vAlign w:val="bottom"/>
            <w:shd w:val="clear" w:color="auto" w:fill="002B5F"/>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160" w:type="dxa"/>
            <w:vAlign w:val="bottom"/>
          </w:tcPr>
          <w:p>
            <w:pPr>
              <w:spacing w:after="0"/>
              <w:rPr>
                <w:sz w:val="15"/>
                <w:szCs w:val="15"/>
                <w:color w:val="auto"/>
              </w:rPr>
            </w:pPr>
          </w:p>
        </w:tc>
        <w:tc>
          <w:tcPr>
            <w:tcW w:w="6140" w:type="dxa"/>
            <w:vAlign w:val="bottom"/>
            <w:gridSpan w:val="2"/>
          </w:tcPr>
          <w:p>
            <w:pPr>
              <w:ind w:left="80"/>
              <w:spacing w:after="0"/>
              <w:rPr>
                <w:sz w:val="20"/>
                <w:szCs w:val="20"/>
                <w:color w:val="auto"/>
              </w:rPr>
            </w:pPr>
            <w:r>
              <w:rPr>
                <w:rFonts w:ascii="Arial" w:cs="Arial" w:eastAsia="Arial" w:hAnsi="Arial"/>
                <w:sz w:val="15"/>
                <w:szCs w:val="15"/>
                <w:color w:val="auto"/>
              </w:rPr>
              <w:t>greater of two directors or 20 percent of the Board, provided that the stockholders</w:t>
            </w:r>
          </w:p>
        </w:tc>
        <w:tc>
          <w:tcPr>
            <w:tcW w:w="240" w:type="dxa"/>
            <w:vAlign w:val="bottom"/>
            <w:shd w:val="clear" w:color="auto" w:fill="002B5F"/>
          </w:tcPr>
          <w:p>
            <w:pPr>
              <w:spacing w:after="0"/>
              <w:rPr>
                <w:sz w:val="15"/>
                <w:szCs w:val="15"/>
                <w:color w:val="auto"/>
              </w:rPr>
            </w:pPr>
          </w:p>
        </w:tc>
        <w:tc>
          <w:tcPr>
            <w:tcW w:w="1320" w:type="dxa"/>
            <w:vAlign w:val="bottom"/>
            <w:shd w:val="clear" w:color="auto" w:fill="002B5F"/>
          </w:tcPr>
          <w:p>
            <w:pPr>
              <w:ind w:left="140"/>
              <w:spacing w:after="0"/>
              <w:rPr>
                <w:sz w:val="20"/>
                <w:szCs w:val="20"/>
                <w:color w:val="auto"/>
              </w:rPr>
            </w:pPr>
            <w:r>
              <w:rPr>
                <w:rFonts w:ascii="Arial" w:cs="Arial" w:eastAsia="Arial" w:hAnsi="Arial"/>
                <w:sz w:val="12"/>
                <w:szCs w:val="12"/>
                <w:color w:val="FFFFFF"/>
              </w:rPr>
              <w:t>Board of Directors</w:t>
            </w:r>
          </w:p>
        </w:tc>
        <w:tc>
          <w:tcPr>
            <w:tcW w:w="420" w:type="dxa"/>
            <w:vAlign w:val="bottom"/>
            <w:shd w:val="clear" w:color="auto" w:fill="002B5F"/>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2160" w:type="dxa"/>
            <w:vAlign w:val="bottom"/>
          </w:tcPr>
          <w:p>
            <w:pPr>
              <w:spacing w:after="0"/>
              <w:rPr>
                <w:sz w:val="17"/>
                <w:szCs w:val="17"/>
                <w:color w:val="auto"/>
              </w:rPr>
            </w:pPr>
          </w:p>
        </w:tc>
        <w:tc>
          <w:tcPr>
            <w:tcW w:w="6140" w:type="dxa"/>
            <w:vAlign w:val="bottom"/>
            <w:gridSpan w:val="2"/>
          </w:tcPr>
          <w:p>
            <w:pPr>
              <w:ind w:left="80"/>
              <w:spacing w:after="0"/>
              <w:rPr>
                <w:sz w:val="20"/>
                <w:szCs w:val="20"/>
                <w:color w:val="auto"/>
              </w:rPr>
            </w:pPr>
            <w:r>
              <w:rPr>
                <w:rFonts w:ascii="Arial" w:cs="Arial" w:eastAsia="Arial" w:hAnsi="Arial"/>
                <w:sz w:val="15"/>
                <w:szCs w:val="15"/>
                <w:color w:val="auto"/>
              </w:rPr>
              <w:t>and nominees satisfy the requirements specified in the bylaws.</w:t>
            </w:r>
          </w:p>
        </w:tc>
        <w:tc>
          <w:tcPr>
            <w:tcW w:w="240" w:type="dxa"/>
            <w:vAlign w:val="bottom"/>
            <w:shd w:val="clear" w:color="auto" w:fill="002B5F"/>
          </w:tcPr>
          <w:p>
            <w:pPr>
              <w:spacing w:after="0"/>
              <w:rPr>
                <w:sz w:val="17"/>
                <w:szCs w:val="17"/>
                <w:color w:val="auto"/>
              </w:rPr>
            </w:pPr>
          </w:p>
        </w:tc>
        <w:tc>
          <w:tcPr>
            <w:tcW w:w="1320" w:type="dxa"/>
            <w:vAlign w:val="bottom"/>
            <w:shd w:val="clear" w:color="auto" w:fill="002B5F"/>
          </w:tcPr>
          <w:p>
            <w:pPr>
              <w:ind w:left="140"/>
              <w:spacing w:after="0"/>
              <w:rPr>
                <w:sz w:val="20"/>
                <w:szCs w:val="20"/>
                <w:color w:val="auto"/>
              </w:rPr>
            </w:pPr>
            <w:r>
              <w:rPr>
                <w:rFonts w:ascii="Arial" w:cs="Arial" w:eastAsia="Arial" w:hAnsi="Arial"/>
                <w:sz w:val="12"/>
                <w:szCs w:val="12"/>
                <w:color w:val="FFFFFF"/>
              </w:rPr>
              <w:t>Compensation</w:t>
            </w:r>
          </w:p>
        </w:tc>
        <w:tc>
          <w:tcPr>
            <w:tcW w:w="420" w:type="dxa"/>
            <w:vAlign w:val="bottom"/>
            <w:shd w:val="clear" w:color="auto" w:fill="002B5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160" w:type="dxa"/>
            <w:vAlign w:val="bottom"/>
          </w:tcPr>
          <w:p>
            <w:pPr>
              <w:spacing w:after="0"/>
              <w:rPr>
                <w:sz w:val="18"/>
                <w:szCs w:val="18"/>
                <w:color w:val="auto"/>
              </w:rPr>
            </w:pPr>
          </w:p>
        </w:tc>
        <w:tc>
          <w:tcPr>
            <w:tcW w:w="6140" w:type="dxa"/>
            <w:vAlign w:val="bottom"/>
            <w:gridSpan w:val="2"/>
            <w:vMerge w:val="restart"/>
          </w:tcPr>
          <w:p>
            <w:pPr>
              <w:ind w:left="700"/>
              <w:spacing w:after="0"/>
              <w:rPr>
                <w:sz w:val="20"/>
                <w:szCs w:val="20"/>
                <w:color w:val="auto"/>
              </w:rPr>
            </w:pPr>
            <w:r>
              <w:rPr>
                <w:rFonts w:ascii="Arial" w:cs="Arial" w:eastAsia="Arial" w:hAnsi="Arial"/>
                <w:sz w:val="15"/>
                <w:szCs w:val="15"/>
                <w:b w:val="1"/>
                <w:bCs w:val="1"/>
                <w:color w:val="002B5F"/>
              </w:rPr>
              <w:t>COMPENSATION PRACTICES</w:t>
            </w:r>
          </w:p>
        </w:tc>
        <w:tc>
          <w:tcPr>
            <w:tcW w:w="240" w:type="dxa"/>
            <w:vAlign w:val="bottom"/>
            <w:shd w:val="clear" w:color="auto" w:fill="002B5F"/>
          </w:tcPr>
          <w:p>
            <w:pPr>
              <w:spacing w:after="0"/>
              <w:rPr>
                <w:sz w:val="18"/>
                <w:szCs w:val="18"/>
                <w:color w:val="auto"/>
              </w:rPr>
            </w:pPr>
          </w:p>
        </w:tc>
        <w:tc>
          <w:tcPr>
            <w:tcW w:w="1320" w:type="dxa"/>
            <w:vAlign w:val="bottom"/>
            <w:shd w:val="clear" w:color="auto" w:fill="002B5F"/>
          </w:tcPr>
          <w:p>
            <w:pPr>
              <w:ind w:left="140"/>
              <w:spacing w:after="0"/>
              <w:rPr>
                <w:sz w:val="20"/>
                <w:szCs w:val="20"/>
                <w:color w:val="auto"/>
              </w:rPr>
            </w:pPr>
            <w:r>
              <w:rPr>
                <w:rFonts w:ascii="Arial" w:cs="Arial" w:eastAsia="Arial" w:hAnsi="Arial"/>
                <w:sz w:val="12"/>
                <w:szCs w:val="12"/>
                <w:color w:val="FFFFFF"/>
              </w:rPr>
              <w:t>Compensation</w:t>
            </w:r>
          </w:p>
        </w:tc>
        <w:tc>
          <w:tcPr>
            <w:tcW w:w="420" w:type="dxa"/>
            <w:vAlign w:val="bottom"/>
            <w:shd w:val="clear" w:color="auto" w:fill="002B5F"/>
          </w:tcPr>
          <w:p>
            <w:pPr>
              <w:spacing w:after="0"/>
              <w:rPr>
                <w:sz w:val="18"/>
                <w:szCs w:val="18"/>
                <w:color w:val="auto"/>
              </w:rPr>
            </w:pPr>
          </w:p>
        </w:tc>
        <w:tc>
          <w:tcPr>
            <w:tcW w:w="0" w:type="dxa"/>
            <w:vAlign w:val="bottom"/>
          </w:tcPr>
          <w:p>
            <w:pPr>
              <w:spacing w:after="0"/>
              <w:rPr>
                <w:sz w:val="1"/>
                <w:szCs w:val="1"/>
                <w:color w:val="auto"/>
              </w:rPr>
            </w:pPr>
          </w:p>
        </w:tc>
      </w:tr>
      <w:tr>
        <w:trPr>
          <w:trHeight w:val="128"/>
        </w:trPr>
        <w:tc>
          <w:tcPr>
            <w:tcW w:w="2160" w:type="dxa"/>
            <w:vAlign w:val="bottom"/>
          </w:tcPr>
          <w:p>
            <w:pPr>
              <w:spacing w:after="0"/>
              <w:rPr>
                <w:sz w:val="11"/>
                <w:szCs w:val="11"/>
                <w:color w:val="auto"/>
              </w:rPr>
            </w:pPr>
          </w:p>
        </w:tc>
        <w:tc>
          <w:tcPr>
            <w:tcW w:w="6140" w:type="dxa"/>
            <w:vAlign w:val="bottom"/>
            <w:gridSpan w:val="2"/>
            <w:vMerge w:val="continue"/>
          </w:tcPr>
          <w:p>
            <w:pPr>
              <w:spacing w:after="0"/>
              <w:rPr>
                <w:sz w:val="11"/>
                <w:szCs w:val="11"/>
                <w:color w:val="auto"/>
              </w:rPr>
            </w:pPr>
          </w:p>
        </w:tc>
        <w:tc>
          <w:tcPr>
            <w:tcW w:w="240" w:type="dxa"/>
            <w:vAlign w:val="bottom"/>
            <w:shd w:val="clear" w:color="auto" w:fill="002B5F"/>
          </w:tcPr>
          <w:p>
            <w:pPr>
              <w:spacing w:after="0"/>
              <w:rPr>
                <w:sz w:val="11"/>
                <w:szCs w:val="11"/>
                <w:color w:val="auto"/>
              </w:rPr>
            </w:pPr>
          </w:p>
        </w:tc>
        <w:tc>
          <w:tcPr>
            <w:tcW w:w="1320" w:type="dxa"/>
            <w:vAlign w:val="bottom"/>
            <w:shd w:val="clear" w:color="auto" w:fill="002B5F"/>
          </w:tcPr>
          <w:p>
            <w:pPr>
              <w:ind w:left="140"/>
              <w:spacing w:after="0" w:line="128" w:lineRule="exact"/>
              <w:rPr>
                <w:sz w:val="20"/>
                <w:szCs w:val="20"/>
                <w:color w:val="auto"/>
              </w:rPr>
            </w:pPr>
            <w:r>
              <w:rPr>
                <w:rFonts w:ascii="Arial" w:cs="Arial" w:eastAsia="Arial" w:hAnsi="Arial"/>
                <w:sz w:val="12"/>
                <w:szCs w:val="12"/>
                <w:color w:val="FFFFFF"/>
              </w:rPr>
              <w:t>Discussion and</w:t>
            </w:r>
          </w:p>
        </w:tc>
        <w:tc>
          <w:tcPr>
            <w:tcW w:w="420" w:type="dxa"/>
            <w:vAlign w:val="bottom"/>
            <w:shd w:val="clear" w:color="auto" w:fill="002B5F"/>
          </w:tcPr>
          <w:p>
            <w:pPr>
              <w:spacing w:after="0"/>
              <w:rPr>
                <w:sz w:val="11"/>
                <w:szCs w:val="11"/>
                <w:color w:val="auto"/>
              </w:rPr>
            </w:pPr>
          </w:p>
        </w:tc>
        <w:tc>
          <w:tcPr>
            <w:tcW w:w="0" w:type="dxa"/>
            <w:vAlign w:val="bottom"/>
          </w:tcPr>
          <w:p>
            <w:pPr>
              <w:spacing w:after="0"/>
              <w:rPr>
                <w:sz w:val="1"/>
                <w:szCs w:val="1"/>
                <w:color w:val="auto"/>
              </w:rPr>
            </w:pPr>
          </w:p>
        </w:tc>
      </w:tr>
      <w:tr>
        <w:trPr>
          <w:trHeight w:val="61"/>
        </w:trPr>
        <w:tc>
          <w:tcPr>
            <w:tcW w:w="2160" w:type="dxa"/>
            <w:vAlign w:val="bottom"/>
            <w:tcBorders>
              <w:bottom w:val="single" w:sz="8" w:color="002B5F"/>
            </w:tcBorders>
          </w:tcPr>
          <w:p>
            <w:pPr>
              <w:spacing w:after="0"/>
              <w:rPr>
                <w:sz w:val="5"/>
                <w:szCs w:val="5"/>
                <w:color w:val="auto"/>
              </w:rPr>
            </w:pPr>
          </w:p>
        </w:tc>
        <w:tc>
          <w:tcPr>
            <w:tcW w:w="5720" w:type="dxa"/>
            <w:vAlign w:val="bottom"/>
            <w:tcBorders>
              <w:bottom w:val="single" w:sz="8" w:color="002B5F"/>
            </w:tcBorders>
          </w:tcPr>
          <w:p>
            <w:pPr>
              <w:spacing w:after="0"/>
              <w:rPr>
                <w:sz w:val="5"/>
                <w:szCs w:val="5"/>
                <w:color w:val="auto"/>
              </w:rPr>
            </w:pPr>
          </w:p>
        </w:tc>
        <w:tc>
          <w:tcPr>
            <w:tcW w:w="420" w:type="dxa"/>
            <w:vAlign w:val="bottom"/>
          </w:tcPr>
          <w:p>
            <w:pPr>
              <w:spacing w:after="0"/>
              <w:rPr>
                <w:sz w:val="5"/>
                <w:szCs w:val="5"/>
                <w:color w:val="auto"/>
              </w:rPr>
            </w:pPr>
          </w:p>
        </w:tc>
        <w:tc>
          <w:tcPr>
            <w:tcW w:w="240" w:type="dxa"/>
            <w:vAlign w:val="bottom"/>
            <w:tcBorders>
              <w:bottom w:val="single" w:sz="8" w:color="002B5F"/>
            </w:tcBorders>
            <w:shd w:val="clear" w:color="auto" w:fill="002B5F"/>
          </w:tcPr>
          <w:p>
            <w:pPr>
              <w:spacing w:after="0"/>
              <w:rPr>
                <w:sz w:val="5"/>
                <w:szCs w:val="5"/>
                <w:color w:val="auto"/>
              </w:rPr>
            </w:pPr>
          </w:p>
        </w:tc>
        <w:tc>
          <w:tcPr>
            <w:tcW w:w="1320" w:type="dxa"/>
            <w:vAlign w:val="bottom"/>
            <w:tcBorders>
              <w:bottom w:val="single" w:sz="8" w:color="002B5F"/>
            </w:tcBorders>
            <w:vMerge w:val="restart"/>
            <w:shd w:val="clear" w:color="auto" w:fill="002B5F"/>
          </w:tcPr>
          <w:p>
            <w:pPr>
              <w:ind w:left="140"/>
              <w:spacing w:after="0"/>
              <w:rPr>
                <w:sz w:val="20"/>
                <w:szCs w:val="20"/>
                <w:color w:val="auto"/>
              </w:rPr>
            </w:pPr>
            <w:r>
              <w:rPr>
                <w:rFonts w:ascii="Arial" w:cs="Arial" w:eastAsia="Arial" w:hAnsi="Arial"/>
                <w:sz w:val="12"/>
                <w:szCs w:val="12"/>
                <w:color w:val="FFFFFF"/>
              </w:rPr>
              <w:t>Analysis</w:t>
            </w:r>
          </w:p>
        </w:tc>
        <w:tc>
          <w:tcPr>
            <w:tcW w:w="420" w:type="dxa"/>
            <w:vAlign w:val="bottom"/>
            <w:tcBorders>
              <w:bottom w:val="single" w:sz="8" w:color="002B5F"/>
            </w:tcBorders>
            <w:shd w:val="clear" w:color="auto" w:fill="002B5F"/>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160" w:type="dxa"/>
            <w:vAlign w:val="bottom"/>
            <w:vMerge w:val="restart"/>
            <w:shd w:val="clear" w:color="auto" w:fill="F7F1EC"/>
          </w:tcPr>
          <w:p>
            <w:pPr>
              <w:spacing w:after="0"/>
              <w:rPr>
                <w:sz w:val="20"/>
                <w:szCs w:val="20"/>
                <w:color w:val="auto"/>
              </w:rPr>
            </w:pPr>
            <w:r>
              <w:rPr>
                <w:rFonts w:ascii="Arial" w:cs="Arial" w:eastAsia="Arial" w:hAnsi="Arial"/>
                <w:sz w:val="15"/>
                <w:szCs w:val="15"/>
                <w:color w:val="auto"/>
              </w:rPr>
              <w:t>  Follow Leading   Practices</w:t>
            </w:r>
          </w:p>
        </w:tc>
        <w:tc>
          <w:tcPr>
            <w:tcW w:w="5720" w:type="dxa"/>
            <w:vAlign w:val="bottom"/>
            <w:vMerge w:val="restart"/>
            <w:shd w:val="clear" w:color="auto" w:fill="F7F1EC"/>
          </w:tcPr>
          <w:p>
            <w:pPr>
              <w:ind w:left="80"/>
              <w:spacing w:after="0"/>
              <w:rPr>
                <w:sz w:val="20"/>
                <w:szCs w:val="20"/>
                <w:color w:val="auto"/>
              </w:rPr>
            </w:pPr>
            <w:r>
              <w:rPr>
                <w:rFonts w:ascii="Arial" w:cs="Arial" w:eastAsia="Arial" w:hAnsi="Arial"/>
                <w:sz w:val="15"/>
                <w:szCs w:val="15"/>
                <w:color w:val="auto"/>
              </w:rPr>
              <w:t>See “</w:t>
            </w:r>
            <w:r>
              <w:rPr>
                <w:rFonts w:ascii="Arial" w:cs="Arial" w:eastAsia="Arial" w:hAnsi="Arial"/>
                <w:sz w:val="15"/>
                <w:szCs w:val="15"/>
                <w:i w:val="1"/>
                <w:iCs w:val="1"/>
                <w:color w:val="auto"/>
              </w:rPr>
              <w:t>Compensation Discussion and Analysis—Compensation Governance.</w:t>
            </w:r>
            <w:r>
              <w:rPr>
                <w:rFonts w:ascii="Arial" w:cs="Arial" w:eastAsia="Arial" w:hAnsi="Arial"/>
                <w:sz w:val="15"/>
                <w:szCs w:val="15"/>
                <w:color w:val="auto"/>
              </w:rPr>
              <w:t>”</w:t>
            </w:r>
          </w:p>
        </w:tc>
        <w:tc>
          <w:tcPr>
            <w:tcW w:w="420" w:type="dxa"/>
            <w:vAlign w:val="bottom"/>
          </w:tcPr>
          <w:p>
            <w:pPr>
              <w:spacing w:after="0"/>
              <w:rPr>
                <w:sz w:val="6"/>
                <w:szCs w:val="6"/>
                <w:color w:val="auto"/>
              </w:rPr>
            </w:pPr>
          </w:p>
        </w:tc>
        <w:tc>
          <w:tcPr>
            <w:tcW w:w="240" w:type="dxa"/>
            <w:vAlign w:val="bottom"/>
            <w:shd w:val="clear" w:color="auto" w:fill="002B5F"/>
          </w:tcPr>
          <w:p>
            <w:pPr>
              <w:spacing w:after="0"/>
              <w:rPr>
                <w:sz w:val="6"/>
                <w:szCs w:val="6"/>
                <w:color w:val="auto"/>
              </w:rPr>
            </w:pPr>
          </w:p>
        </w:tc>
        <w:tc>
          <w:tcPr>
            <w:tcW w:w="1320" w:type="dxa"/>
            <w:vAlign w:val="bottom"/>
            <w:vMerge w:val="continue"/>
            <w:shd w:val="clear" w:color="auto" w:fill="002B5F"/>
          </w:tcPr>
          <w:p>
            <w:pPr>
              <w:spacing w:after="0"/>
              <w:rPr>
                <w:sz w:val="6"/>
                <w:szCs w:val="6"/>
                <w:color w:val="auto"/>
              </w:rPr>
            </w:pPr>
          </w:p>
        </w:tc>
        <w:tc>
          <w:tcPr>
            <w:tcW w:w="420" w:type="dxa"/>
            <w:vAlign w:val="bottom"/>
            <w:shd w:val="clear" w:color="auto" w:fill="002B5F"/>
          </w:tcPr>
          <w:p>
            <w:pPr>
              <w:spacing w:after="0"/>
              <w:rPr>
                <w:sz w:val="6"/>
                <w:szCs w:val="6"/>
                <w:color w:val="auto"/>
              </w:rPr>
            </w:pPr>
          </w:p>
        </w:tc>
        <w:tc>
          <w:tcPr>
            <w:tcW w:w="0" w:type="dxa"/>
            <w:vAlign w:val="bottom"/>
          </w:tcPr>
          <w:p>
            <w:pPr>
              <w:spacing w:after="0"/>
              <w:rPr>
                <w:sz w:val="1"/>
                <w:szCs w:val="1"/>
                <w:color w:val="auto"/>
              </w:rPr>
            </w:pPr>
          </w:p>
        </w:tc>
      </w:tr>
      <w:tr>
        <w:trPr>
          <w:trHeight w:val="133"/>
        </w:trPr>
        <w:tc>
          <w:tcPr>
            <w:tcW w:w="2160" w:type="dxa"/>
            <w:vAlign w:val="bottom"/>
            <w:tcBorders>
              <w:bottom w:val="single" w:sz="8" w:color="F7F1EC"/>
            </w:tcBorders>
            <w:vMerge w:val="continue"/>
            <w:shd w:val="clear" w:color="auto" w:fill="F7F1EC"/>
          </w:tcPr>
          <w:p>
            <w:pPr>
              <w:spacing w:after="0"/>
              <w:rPr>
                <w:sz w:val="11"/>
                <w:szCs w:val="11"/>
                <w:color w:val="auto"/>
              </w:rPr>
            </w:pPr>
          </w:p>
        </w:tc>
        <w:tc>
          <w:tcPr>
            <w:tcW w:w="5720" w:type="dxa"/>
            <w:vAlign w:val="bottom"/>
            <w:tcBorders>
              <w:bottom w:val="single" w:sz="8" w:color="F7F1EC"/>
            </w:tcBorders>
            <w:vMerge w:val="continue"/>
            <w:shd w:val="clear" w:color="auto" w:fill="F7F1EC"/>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Borders>
              <w:bottom w:val="single" w:sz="8" w:color="002B5F"/>
            </w:tcBorders>
            <w:shd w:val="clear" w:color="auto" w:fill="002B5F"/>
          </w:tcPr>
          <w:p>
            <w:pPr>
              <w:spacing w:after="0"/>
              <w:rPr>
                <w:sz w:val="11"/>
                <w:szCs w:val="11"/>
                <w:color w:val="auto"/>
              </w:rPr>
            </w:pPr>
          </w:p>
        </w:tc>
        <w:tc>
          <w:tcPr>
            <w:tcW w:w="1320" w:type="dxa"/>
            <w:vAlign w:val="bottom"/>
            <w:tcBorders>
              <w:bottom w:val="single" w:sz="8" w:color="002B5F"/>
            </w:tcBorders>
            <w:shd w:val="clear" w:color="auto" w:fill="002B5F"/>
          </w:tcPr>
          <w:p>
            <w:pPr>
              <w:spacing w:after="0"/>
              <w:rPr>
                <w:sz w:val="11"/>
                <w:szCs w:val="11"/>
                <w:color w:val="auto"/>
              </w:rPr>
            </w:pPr>
          </w:p>
        </w:tc>
        <w:tc>
          <w:tcPr>
            <w:tcW w:w="420" w:type="dxa"/>
            <w:vAlign w:val="bottom"/>
            <w:tcBorders>
              <w:bottom w:val="single" w:sz="8" w:color="002B5F"/>
            </w:tcBorders>
            <w:shd w:val="clear" w:color="auto" w:fill="002B5F"/>
          </w:tcPr>
          <w:p>
            <w:pPr>
              <w:spacing w:after="0"/>
              <w:rPr>
                <w:sz w:val="11"/>
                <w:szCs w:val="11"/>
                <w:color w:val="auto"/>
              </w:rPr>
            </w:pPr>
          </w:p>
        </w:tc>
        <w:tc>
          <w:tcPr>
            <w:tcW w:w="0" w:type="dxa"/>
            <w:vAlign w:val="bottom"/>
          </w:tcPr>
          <w:p>
            <w:pPr>
              <w:spacing w:after="0"/>
              <w:rPr>
                <w:sz w:val="1"/>
                <w:szCs w:val="1"/>
                <w:color w:val="auto"/>
              </w:rPr>
            </w:pPr>
          </w:p>
        </w:tc>
      </w:tr>
      <w:tr>
        <w:trPr>
          <w:trHeight w:val="110"/>
        </w:trPr>
        <w:tc>
          <w:tcPr>
            <w:tcW w:w="2160" w:type="dxa"/>
            <w:vAlign w:val="bottom"/>
          </w:tcPr>
          <w:p>
            <w:pPr>
              <w:spacing w:after="0"/>
              <w:rPr>
                <w:sz w:val="9"/>
                <w:szCs w:val="9"/>
                <w:color w:val="auto"/>
              </w:rPr>
            </w:pPr>
          </w:p>
        </w:tc>
        <w:tc>
          <w:tcPr>
            <w:tcW w:w="57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shd w:val="clear" w:color="auto" w:fill="002B5F"/>
          </w:tcPr>
          <w:p>
            <w:pPr>
              <w:spacing w:after="0"/>
              <w:rPr>
                <w:sz w:val="9"/>
                <w:szCs w:val="9"/>
                <w:color w:val="auto"/>
              </w:rPr>
            </w:pPr>
          </w:p>
        </w:tc>
        <w:tc>
          <w:tcPr>
            <w:tcW w:w="1320" w:type="dxa"/>
            <w:vAlign w:val="bottom"/>
            <w:shd w:val="clear" w:color="auto" w:fill="002B5F"/>
          </w:tcPr>
          <w:p>
            <w:pPr>
              <w:ind w:left="140"/>
              <w:spacing w:after="0" w:line="110" w:lineRule="exact"/>
              <w:rPr>
                <w:sz w:val="20"/>
                <w:szCs w:val="20"/>
                <w:color w:val="auto"/>
              </w:rPr>
            </w:pPr>
            <w:r>
              <w:rPr>
                <w:rFonts w:ascii="Arial" w:cs="Arial" w:eastAsia="Arial" w:hAnsi="Arial"/>
                <w:sz w:val="12"/>
                <w:szCs w:val="12"/>
                <w:color w:val="FFFFFF"/>
              </w:rPr>
              <w:t>Report of the</w:t>
            </w:r>
          </w:p>
        </w:tc>
        <w:tc>
          <w:tcPr>
            <w:tcW w:w="420" w:type="dxa"/>
            <w:vAlign w:val="bottom"/>
            <w:shd w:val="clear" w:color="auto" w:fill="002B5F"/>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2160" w:type="dxa"/>
            <w:vAlign w:val="bottom"/>
          </w:tcPr>
          <w:p>
            <w:pPr>
              <w:spacing w:after="0"/>
              <w:rPr>
                <w:sz w:val="11"/>
                <w:szCs w:val="11"/>
                <w:color w:val="auto"/>
              </w:rPr>
            </w:pPr>
          </w:p>
        </w:tc>
        <w:tc>
          <w:tcPr>
            <w:tcW w:w="5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shd w:val="clear" w:color="auto" w:fill="002B5F"/>
          </w:tcPr>
          <w:p>
            <w:pPr>
              <w:spacing w:after="0"/>
              <w:rPr>
                <w:sz w:val="11"/>
                <w:szCs w:val="11"/>
                <w:color w:val="auto"/>
              </w:rPr>
            </w:pPr>
          </w:p>
        </w:tc>
        <w:tc>
          <w:tcPr>
            <w:tcW w:w="1320" w:type="dxa"/>
            <w:vAlign w:val="bottom"/>
            <w:shd w:val="clear" w:color="auto" w:fill="002B5F"/>
          </w:tcPr>
          <w:p>
            <w:pPr>
              <w:ind w:left="140"/>
              <w:spacing w:after="0" w:line="128" w:lineRule="exact"/>
              <w:rPr>
                <w:sz w:val="20"/>
                <w:szCs w:val="20"/>
                <w:color w:val="auto"/>
              </w:rPr>
            </w:pPr>
            <w:r>
              <w:rPr>
                <w:rFonts w:ascii="Arial" w:cs="Arial" w:eastAsia="Arial" w:hAnsi="Arial"/>
                <w:sz w:val="12"/>
                <w:szCs w:val="12"/>
                <w:color w:val="FFFFFF"/>
              </w:rPr>
              <w:t>Compensation</w:t>
            </w:r>
          </w:p>
        </w:tc>
        <w:tc>
          <w:tcPr>
            <w:tcW w:w="420" w:type="dxa"/>
            <w:vAlign w:val="bottom"/>
            <w:shd w:val="clear" w:color="auto" w:fill="002B5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160" w:type="dxa"/>
            <w:vAlign w:val="bottom"/>
          </w:tcPr>
          <w:p>
            <w:pPr>
              <w:spacing w:after="0"/>
              <w:rPr>
                <w:sz w:val="11"/>
                <w:szCs w:val="11"/>
                <w:color w:val="auto"/>
              </w:rPr>
            </w:pPr>
          </w:p>
        </w:tc>
        <w:tc>
          <w:tcPr>
            <w:tcW w:w="5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shd w:val="clear" w:color="auto" w:fill="002B5F"/>
          </w:tcPr>
          <w:p>
            <w:pPr>
              <w:spacing w:after="0"/>
              <w:rPr>
                <w:sz w:val="11"/>
                <w:szCs w:val="11"/>
                <w:color w:val="auto"/>
              </w:rPr>
            </w:pPr>
          </w:p>
        </w:tc>
        <w:tc>
          <w:tcPr>
            <w:tcW w:w="1320" w:type="dxa"/>
            <w:vAlign w:val="bottom"/>
            <w:shd w:val="clear" w:color="auto" w:fill="002B5F"/>
          </w:tcPr>
          <w:p>
            <w:pPr>
              <w:ind w:left="140"/>
              <w:spacing w:after="0" w:line="128" w:lineRule="exact"/>
              <w:rPr>
                <w:sz w:val="20"/>
                <w:szCs w:val="20"/>
                <w:color w:val="auto"/>
              </w:rPr>
            </w:pPr>
            <w:r>
              <w:rPr>
                <w:rFonts w:ascii="Arial" w:cs="Arial" w:eastAsia="Arial" w:hAnsi="Arial"/>
                <w:sz w:val="12"/>
                <w:szCs w:val="12"/>
                <w:color w:val="FFFFFF"/>
              </w:rPr>
              <w:t>and Human</w:t>
            </w:r>
          </w:p>
        </w:tc>
        <w:tc>
          <w:tcPr>
            <w:tcW w:w="420" w:type="dxa"/>
            <w:vAlign w:val="bottom"/>
            <w:shd w:val="clear" w:color="auto" w:fill="002B5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160" w:type="dxa"/>
            <w:vAlign w:val="bottom"/>
          </w:tcPr>
          <w:p>
            <w:pPr>
              <w:spacing w:after="0"/>
              <w:rPr>
                <w:sz w:val="11"/>
                <w:szCs w:val="11"/>
                <w:color w:val="auto"/>
              </w:rPr>
            </w:pPr>
          </w:p>
        </w:tc>
        <w:tc>
          <w:tcPr>
            <w:tcW w:w="5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shd w:val="clear" w:color="auto" w:fill="002B5F"/>
          </w:tcPr>
          <w:p>
            <w:pPr>
              <w:spacing w:after="0"/>
              <w:rPr>
                <w:sz w:val="11"/>
                <w:szCs w:val="11"/>
                <w:color w:val="auto"/>
              </w:rPr>
            </w:pPr>
          </w:p>
        </w:tc>
        <w:tc>
          <w:tcPr>
            <w:tcW w:w="1320" w:type="dxa"/>
            <w:vAlign w:val="bottom"/>
            <w:shd w:val="clear" w:color="auto" w:fill="002B5F"/>
          </w:tcPr>
          <w:p>
            <w:pPr>
              <w:ind w:left="140"/>
              <w:spacing w:after="0" w:line="128" w:lineRule="exact"/>
              <w:rPr>
                <w:sz w:val="20"/>
                <w:szCs w:val="20"/>
                <w:color w:val="auto"/>
              </w:rPr>
            </w:pPr>
            <w:r>
              <w:rPr>
                <w:rFonts w:ascii="Arial" w:cs="Arial" w:eastAsia="Arial" w:hAnsi="Arial"/>
                <w:sz w:val="12"/>
                <w:szCs w:val="12"/>
                <w:color w:val="FFFFFF"/>
              </w:rPr>
              <w:t>Resources</w:t>
            </w:r>
          </w:p>
        </w:tc>
        <w:tc>
          <w:tcPr>
            <w:tcW w:w="420" w:type="dxa"/>
            <w:vAlign w:val="bottom"/>
            <w:shd w:val="clear" w:color="auto" w:fill="002B5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160" w:type="dxa"/>
            <w:vAlign w:val="bottom"/>
          </w:tcPr>
          <w:p>
            <w:pPr>
              <w:spacing w:after="0"/>
              <w:rPr>
                <w:sz w:val="11"/>
                <w:szCs w:val="11"/>
                <w:color w:val="auto"/>
              </w:rPr>
            </w:pPr>
          </w:p>
        </w:tc>
        <w:tc>
          <w:tcPr>
            <w:tcW w:w="5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shd w:val="clear" w:color="auto" w:fill="002B5F"/>
          </w:tcPr>
          <w:p>
            <w:pPr>
              <w:spacing w:after="0"/>
              <w:rPr>
                <w:sz w:val="11"/>
                <w:szCs w:val="11"/>
                <w:color w:val="auto"/>
              </w:rPr>
            </w:pPr>
          </w:p>
        </w:tc>
        <w:tc>
          <w:tcPr>
            <w:tcW w:w="1320" w:type="dxa"/>
            <w:vAlign w:val="bottom"/>
            <w:shd w:val="clear" w:color="auto" w:fill="002B5F"/>
          </w:tcPr>
          <w:p>
            <w:pPr>
              <w:ind w:left="140"/>
              <w:spacing w:after="0" w:line="128" w:lineRule="exact"/>
              <w:rPr>
                <w:sz w:val="20"/>
                <w:szCs w:val="20"/>
                <w:color w:val="auto"/>
              </w:rPr>
            </w:pPr>
            <w:r>
              <w:rPr>
                <w:rFonts w:ascii="Arial" w:cs="Arial" w:eastAsia="Arial" w:hAnsi="Arial"/>
                <w:sz w:val="12"/>
                <w:szCs w:val="12"/>
                <w:color w:val="FFFFFF"/>
              </w:rPr>
              <w:t>Committee of the</w:t>
            </w:r>
          </w:p>
        </w:tc>
        <w:tc>
          <w:tcPr>
            <w:tcW w:w="420" w:type="dxa"/>
            <w:vAlign w:val="bottom"/>
            <w:shd w:val="clear" w:color="auto" w:fill="002B5F"/>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160" w:type="dxa"/>
            <w:vAlign w:val="bottom"/>
          </w:tcPr>
          <w:p>
            <w:pPr>
              <w:spacing w:after="0"/>
              <w:rPr>
                <w:sz w:val="13"/>
                <w:szCs w:val="13"/>
                <w:color w:val="auto"/>
              </w:rPr>
            </w:pPr>
          </w:p>
        </w:tc>
        <w:tc>
          <w:tcPr>
            <w:tcW w:w="57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shd w:val="clear" w:color="auto" w:fill="002B5F"/>
          </w:tcPr>
          <w:p>
            <w:pPr>
              <w:spacing w:after="0"/>
              <w:rPr>
                <w:sz w:val="13"/>
                <w:szCs w:val="13"/>
                <w:color w:val="auto"/>
              </w:rPr>
            </w:pPr>
          </w:p>
        </w:tc>
        <w:tc>
          <w:tcPr>
            <w:tcW w:w="1320" w:type="dxa"/>
            <w:vAlign w:val="bottom"/>
            <w:shd w:val="clear" w:color="auto" w:fill="002B5F"/>
          </w:tcPr>
          <w:p>
            <w:pPr>
              <w:ind w:left="140"/>
              <w:spacing w:after="0"/>
              <w:rPr>
                <w:sz w:val="20"/>
                <w:szCs w:val="20"/>
                <w:color w:val="auto"/>
              </w:rPr>
            </w:pPr>
            <w:r>
              <w:rPr>
                <w:rFonts w:ascii="Arial" w:cs="Arial" w:eastAsia="Arial" w:hAnsi="Arial"/>
                <w:sz w:val="12"/>
                <w:szCs w:val="12"/>
                <w:color w:val="FFFFFF"/>
              </w:rPr>
              <w:t>Board of Directors</w:t>
            </w:r>
          </w:p>
        </w:tc>
        <w:tc>
          <w:tcPr>
            <w:tcW w:w="420" w:type="dxa"/>
            <w:vAlign w:val="bottom"/>
            <w:shd w:val="clear" w:color="auto" w:fill="002B5F"/>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2160" w:type="dxa"/>
            <w:vAlign w:val="bottom"/>
          </w:tcPr>
          <w:p>
            <w:pPr>
              <w:spacing w:after="0"/>
              <w:rPr>
                <w:sz w:val="22"/>
                <w:szCs w:val="22"/>
                <w:color w:val="auto"/>
              </w:rPr>
            </w:pPr>
          </w:p>
        </w:tc>
        <w:tc>
          <w:tcPr>
            <w:tcW w:w="57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40" w:type="dxa"/>
            <w:vAlign w:val="bottom"/>
            <w:shd w:val="clear" w:color="auto" w:fill="002B5F"/>
          </w:tcPr>
          <w:p>
            <w:pPr>
              <w:spacing w:after="0"/>
              <w:rPr>
                <w:sz w:val="22"/>
                <w:szCs w:val="22"/>
                <w:color w:val="auto"/>
              </w:rPr>
            </w:pPr>
          </w:p>
        </w:tc>
        <w:tc>
          <w:tcPr>
            <w:tcW w:w="1320" w:type="dxa"/>
            <w:vAlign w:val="bottom"/>
            <w:shd w:val="clear" w:color="auto" w:fill="002B5F"/>
          </w:tcPr>
          <w:p>
            <w:pPr>
              <w:ind w:left="140"/>
              <w:spacing w:after="0"/>
              <w:rPr>
                <w:sz w:val="20"/>
                <w:szCs w:val="20"/>
                <w:color w:val="auto"/>
              </w:rPr>
            </w:pPr>
            <w:r>
              <w:rPr>
                <w:rFonts w:ascii="Arial" w:cs="Arial" w:eastAsia="Arial" w:hAnsi="Arial"/>
                <w:sz w:val="12"/>
                <w:szCs w:val="12"/>
                <w:color w:val="FFFFFF"/>
              </w:rPr>
              <w:t>Compensation of</w:t>
            </w:r>
          </w:p>
        </w:tc>
        <w:tc>
          <w:tcPr>
            <w:tcW w:w="420" w:type="dxa"/>
            <w:vAlign w:val="bottom"/>
            <w:shd w:val="clear" w:color="auto" w:fill="002B5F"/>
          </w:tcPr>
          <w:p>
            <w:pPr>
              <w:spacing w:after="0"/>
              <w:rPr>
                <w:sz w:val="22"/>
                <w:szCs w:val="22"/>
                <w:color w:val="auto"/>
              </w:rPr>
            </w:pPr>
          </w:p>
        </w:tc>
        <w:tc>
          <w:tcPr>
            <w:tcW w:w="0" w:type="dxa"/>
            <w:vAlign w:val="bottom"/>
          </w:tcPr>
          <w:p>
            <w:pPr>
              <w:spacing w:after="0"/>
              <w:rPr>
                <w:sz w:val="1"/>
                <w:szCs w:val="1"/>
                <w:color w:val="auto"/>
              </w:rPr>
            </w:pPr>
          </w:p>
        </w:tc>
      </w:tr>
      <w:tr>
        <w:trPr>
          <w:trHeight w:val="128"/>
        </w:trPr>
        <w:tc>
          <w:tcPr>
            <w:tcW w:w="2160" w:type="dxa"/>
            <w:vAlign w:val="bottom"/>
          </w:tcPr>
          <w:p>
            <w:pPr>
              <w:spacing w:after="0"/>
              <w:rPr>
                <w:sz w:val="11"/>
                <w:szCs w:val="11"/>
                <w:color w:val="auto"/>
              </w:rPr>
            </w:pPr>
          </w:p>
        </w:tc>
        <w:tc>
          <w:tcPr>
            <w:tcW w:w="5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shd w:val="clear" w:color="auto" w:fill="002B5F"/>
          </w:tcPr>
          <w:p>
            <w:pPr>
              <w:spacing w:after="0"/>
              <w:rPr>
                <w:sz w:val="11"/>
                <w:szCs w:val="11"/>
                <w:color w:val="auto"/>
              </w:rPr>
            </w:pPr>
          </w:p>
        </w:tc>
        <w:tc>
          <w:tcPr>
            <w:tcW w:w="1320" w:type="dxa"/>
            <w:vAlign w:val="bottom"/>
            <w:shd w:val="clear" w:color="auto" w:fill="002B5F"/>
          </w:tcPr>
          <w:p>
            <w:pPr>
              <w:ind w:left="140"/>
              <w:spacing w:after="0" w:line="128" w:lineRule="exact"/>
              <w:rPr>
                <w:sz w:val="20"/>
                <w:szCs w:val="20"/>
                <w:color w:val="auto"/>
              </w:rPr>
            </w:pPr>
            <w:r>
              <w:rPr>
                <w:rFonts w:ascii="Arial" w:cs="Arial" w:eastAsia="Arial" w:hAnsi="Arial"/>
                <w:sz w:val="12"/>
                <w:szCs w:val="12"/>
                <w:color w:val="FFFFFF"/>
              </w:rPr>
              <w:t>Named Executive</w:t>
            </w:r>
          </w:p>
        </w:tc>
        <w:tc>
          <w:tcPr>
            <w:tcW w:w="420" w:type="dxa"/>
            <w:vAlign w:val="bottom"/>
            <w:shd w:val="clear" w:color="auto" w:fill="002B5F"/>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160" w:type="dxa"/>
            <w:vAlign w:val="bottom"/>
          </w:tcPr>
          <w:p>
            <w:pPr>
              <w:spacing w:after="0"/>
              <w:rPr>
                <w:sz w:val="13"/>
                <w:szCs w:val="13"/>
                <w:color w:val="auto"/>
              </w:rPr>
            </w:pPr>
          </w:p>
        </w:tc>
        <w:tc>
          <w:tcPr>
            <w:tcW w:w="57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shd w:val="clear" w:color="auto" w:fill="002B5F"/>
          </w:tcPr>
          <w:p>
            <w:pPr>
              <w:spacing w:after="0"/>
              <w:rPr>
                <w:sz w:val="13"/>
                <w:szCs w:val="13"/>
                <w:color w:val="auto"/>
              </w:rPr>
            </w:pPr>
          </w:p>
        </w:tc>
        <w:tc>
          <w:tcPr>
            <w:tcW w:w="1320" w:type="dxa"/>
            <w:vAlign w:val="bottom"/>
            <w:shd w:val="clear" w:color="auto" w:fill="002B5F"/>
          </w:tcPr>
          <w:p>
            <w:pPr>
              <w:ind w:left="140"/>
              <w:spacing w:after="0"/>
              <w:rPr>
                <w:sz w:val="20"/>
                <w:szCs w:val="20"/>
                <w:color w:val="auto"/>
              </w:rPr>
            </w:pPr>
            <w:r>
              <w:rPr>
                <w:rFonts w:ascii="Arial" w:cs="Arial" w:eastAsia="Arial" w:hAnsi="Arial"/>
                <w:sz w:val="12"/>
                <w:szCs w:val="12"/>
                <w:color w:val="FFFFFF"/>
              </w:rPr>
              <w:t>Officers</w:t>
            </w:r>
          </w:p>
        </w:tc>
        <w:tc>
          <w:tcPr>
            <w:tcW w:w="420" w:type="dxa"/>
            <w:vAlign w:val="bottom"/>
            <w:shd w:val="clear" w:color="auto" w:fill="002B5F"/>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2160" w:type="dxa"/>
            <w:vAlign w:val="bottom"/>
          </w:tcPr>
          <w:p>
            <w:pPr>
              <w:spacing w:after="0"/>
              <w:rPr>
                <w:sz w:val="22"/>
                <w:szCs w:val="22"/>
                <w:color w:val="auto"/>
              </w:rPr>
            </w:pPr>
          </w:p>
        </w:tc>
        <w:tc>
          <w:tcPr>
            <w:tcW w:w="57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40" w:type="dxa"/>
            <w:vAlign w:val="bottom"/>
            <w:shd w:val="clear" w:color="auto" w:fill="002B5F"/>
          </w:tcPr>
          <w:p>
            <w:pPr>
              <w:spacing w:after="0"/>
              <w:rPr>
                <w:sz w:val="22"/>
                <w:szCs w:val="22"/>
                <w:color w:val="auto"/>
              </w:rPr>
            </w:pPr>
          </w:p>
        </w:tc>
        <w:tc>
          <w:tcPr>
            <w:tcW w:w="1320" w:type="dxa"/>
            <w:vAlign w:val="bottom"/>
            <w:shd w:val="clear" w:color="auto" w:fill="002B5F"/>
          </w:tcPr>
          <w:p>
            <w:pPr>
              <w:ind w:left="140"/>
              <w:spacing w:after="0"/>
              <w:rPr>
                <w:sz w:val="20"/>
                <w:szCs w:val="20"/>
                <w:color w:val="auto"/>
              </w:rPr>
            </w:pPr>
            <w:r>
              <w:rPr>
                <w:rFonts w:ascii="Arial" w:cs="Arial" w:eastAsia="Arial" w:hAnsi="Arial"/>
                <w:sz w:val="12"/>
                <w:szCs w:val="12"/>
                <w:color w:val="FFFFFF"/>
              </w:rPr>
              <w:t>Pay Versus</w:t>
            </w:r>
          </w:p>
        </w:tc>
        <w:tc>
          <w:tcPr>
            <w:tcW w:w="420" w:type="dxa"/>
            <w:vAlign w:val="bottom"/>
            <w:shd w:val="clear" w:color="auto" w:fill="002B5F"/>
          </w:tcPr>
          <w:p>
            <w:pPr>
              <w:spacing w:after="0"/>
              <w:rPr>
                <w:sz w:val="22"/>
                <w:szCs w:val="22"/>
                <w:color w:val="auto"/>
              </w:rPr>
            </w:pPr>
          </w:p>
        </w:tc>
        <w:tc>
          <w:tcPr>
            <w:tcW w:w="0" w:type="dxa"/>
            <w:vAlign w:val="bottom"/>
          </w:tcPr>
          <w:p>
            <w:pPr>
              <w:spacing w:after="0"/>
              <w:rPr>
                <w:sz w:val="1"/>
                <w:szCs w:val="1"/>
                <w:color w:val="auto"/>
              </w:rPr>
            </w:pPr>
          </w:p>
        </w:tc>
      </w:tr>
      <w:tr>
        <w:trPr>
          <w:trHeight w:val="128"/>
        </w:trPr>
        <w:tc>
          <w:tcPr>
            <w:tcW w:w="2160" w:type="dxa"/>
            <w:vAlign w:val="bottom"/>
          </w:tcPr>
          <w:p>
            <w:pPr>
              <w:spacing w:after="0"/>
              <w:rPr>
                <w:sz w:val="11"/>
                <w:szCs w:val="11"/>
                <w:color w:val="auto"/>
              </w:rPr>
            </w:pPr>
          </w:p>
        </w:tc>
        <w:tc>
          <w:tcPr>
            <w:tcW w:w="5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shd w:val="clear" w:color="auto" w:fill="002B5F"/>
          </w:tcPr>
          <w:p>
            <w:pPr>
              <w:spacing w:after="0"/>
              <w:rPr>
                <w:sz w:val="11"/>
                <w:szCs w:val="11"/>
                <w:color w:val="auto"/>
              </w:rPr>
            </w:pPr>
          </w:p>
        </w:tc>
        <w:tc>
          <w:tcPr>
            <w:tcW w:w="1320" w:type="dxa"/>
            <w:vAlign w:val="bottom"/>
            <w:shd w:val="clear" w:color="auto" w:fill="002B5F"/>
          </w:tcPr>
          <w:p>
            <w:pPr>
              <w:ind w:left="140"/>
              <w:spacing w:after="0" w:line="128" w:lineRule="exact"/>
              <w:rPr>
                <w:sz w:val="20"/>
                <w:szCs w:val="20"/>
                <w:color w:val="auto"/>
              </w:rPr>
            </w:pPr>
            <w:r>
              <w:rPr>
                <w:rFonts w:ascii="Arial" w:cs="Arial" w:eastAsia="Arial" w:hAnsi="Arial"/>
                <w:sz w:val="12"/>
                <w:szCs w:val="12"/>
                <w:color w:val="FFFFFF"/>
              </w:rPr>
              <w:t>Performance</w:t>
            </w:r>
          </w:p>
        </w:tc>
        <w:tc>
          <w:tcPr>
            <w:tcW w:w="420" w:type="dxa"/>
            <w:vAlign w:val="bottom"/>
            <w:shd w:val="clear" w:color="auto" w:fill="002B5F"/>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160" w:type="dxa"/>
            <w:vAlign w:val="bottom"/>
          </w:tcPr>
          <w:p>
            <w:pPr>
              <w:spacing w:after="0"/>
              <w:rPr>
                <w:sz w:val="13"/>
                <w:szCs w:val="13"/>
                <w:color w:val="auto"/>
              </w:rPr>
            </w:pPr>
          </w:p>
        </w:tc>
        <w:tc>
          <w:tcPr>
            <w:tcW w:w="57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shd w:val="clear" w:color="auto" w:fill="002B5F"/>
          </w:tcPr>
          <w:p>
            <w:pPr>
              <w:spacing w:after="0"/>
              <w:rPr>
                <w:sz w:val="13"/>
                <w:szCs w:val="13"/>
                <w:color w:val="auto"/>
              </w:rPr>
            </w:pPr>
          </w:p>
        </w:tc>
        <w:tc>
          <w:tcPr>
            <w:tcW w:w="1320" w:type="dxa"/>
            <w:vAlign w:val="bottom"/>
            <w:shd w:val="clear" w:color="auto" w:fill="002B5F"/>
          </w:tcPr>
          <w:p>
            <w:pPr>
              <w:ind w:left="140"/>
              <w:spacing w:after="0"/>
              <w:rPr>
                <w:sz w:val="20"/>
                <w:szCs w:val="20"/>
                <w:color w:val="auto"/>
              </w:rPr>
            </w:pPr>
            <w:r>
              <w:rPr>
                <w:rFonts w:ascii="Arial" w:cs="Arial" w:eastAsia="Arial" w:hAnsi="Arial"/>
                <w:sz w:val="12"/>
                <w:szCs w:val="12"/>
                <w:color w:val="FFFFFF"/>
              </w:rPr>
              <w:t>Disclosure</w:t>
            </w:r>
          </w:p>
        </w:tc>
        <w:tc>
          <w:tcPr>
            <w:tcW w:w="420" w:type="dxa"/>
            <w:vAlign w:val="bottom"/>
            <w:shd w:val="clear" w:color="auto" w:fill="002B5F"/>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2160" w:type="dxa"/>
            <w:vAlign w:val="bottom"/>
          </w:tcPr>
          <w:p>
            <w:pPr>
              <w:spacing w:after="0"/>
              <w:rPr>
                <w:sz w:val="22"/>
                <w:szCs w:val="22"/>
                <w:color w:val="auto"/>
              </w:rPr>
            </w:pPr>
          </w:p>
        </w:tc>
        <w:tc>
          <w:tcPr>
            <w:tcW w:w="57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40" w:type="dxa"/>
            <w:vAlign w:val="bottom"/>
            <w:shd w:val="clear" w:color="auto" w:fill="002B5F"/>
          </w:tcPr>
          <w:p>
            <w:pPr>
              <w:spacing w:after="0"/>
              <w:rPr>
                <w:sz w:val="22"/>
                <w:szCs w:val="22"/>
                <w:color w:val="auto"/>
              </w:rPr>
            </w:pPr>
          </w:p>
        </w:tc>
        <w:tc>
          <w:tcPr>
            <w:tcW w:w="1320" w:type="dxa"/>
            <w:vAlign w:val="bottom"/>
            <w:shd w:val="clear" w:color="auto" w:fill="002B5F"/>
          </w:tcPr>
          <w:p>
            <w:pPr>
              <w:ind w:left="140"/>
              <w:spacing w:after="0"/>
              <w:rPr>
                <w:sz w:val="20"/>
                <w:szCs w:val="20"/>
                <w:color w:val="auto"/>
              </w:rPr>
            </w:pPr>
            <w:r>
              <w:rPr>
                <w:rFonts w:ascii="Arial" w:cs="Arial" w:eastAsia="Arial" w:hAnsi="Arial"/>
                <w:sz w:val="12"/>
                <w:szCs w:val="12"/>
                <w:color w:val="FFFFFF"/>
              </w:rPr>
              <w:t>Security</w:t>
            </w:r>
          </w:p>
        </w:tc>
        <w:tc>
          <w:tcPr>
            <w:tcW w:w="420" w:type="dxa"/>
            <w:vAlign w:val="bottom"/>
            <w:shd w:val="clear" w:color="auto" w:fill="002B5F"/>
          </w:tcPr>
          <w:p>
            <w:pPr>
              <w:spacing w:after="0"/>
              <w:rPr>
                <w:sz w:val="22"/>
                <w:szCs w:val="22"/>
                <w:color w:val="auto"/>
              </w:rPr>
            </w:pPr>
          </w:p>
        </w:tc>
        <w:tc>
          <w:tcPr>
            <w:tcW w:w="0" w:type="dxa"/>
            <w:vAlign w:val="bottom"/>
          </w:tcPr>
          <w:p>
            <w:pPr>
              <w:spacing w:after="0"/>
              <w:rPr>
                <w:sz w:val="1"/>
                <w:szCs w:val="1"/>
                <w:color w:val="auto"/>
              </w:rPr>
            </w:pPr>
          </w:p>
        </w:tc>
      </w:tr>
      <w:tr>
        <w:trPr>
          <w:trHeight w:val="128"/>
        </w:trPr>
        <w:tc>
          <w:tcPr>
            <w:tcW w:w="2160" w:type="dxa"/>
            <w:vAlign w:val="bottom"/>
          </w:tcPr>
          <w:p>
            <w:pPr>
              <w:spacing w:after="0"/>
              <w:rPr>
                <w:sz w:val="11"/>
                <w:szCs w:val="11"/>
                <w:color w:val="auto"/>
              </w:rPr>
            </w:pPr>
          </w:p>
        </w:tc>
        <w:tc>
          <w:tcPr>
            <w:tcW w:w="5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shd w:val="clear" w:color="auto" w:fill="002B5F"/>
          </w:tcPr>
          <w:p>
            <w:pPr>
              <w:spacing w:after="0"/>
              <w:rPr>
                <w:sz w:val="11"/>
                <w:szCs w:val="11"/>
                <w:color w:val="auto"/>
              </w:rPr>
            </w:pPr>
          </w:p>
        </w:tc>
        <w:tc>
          <w:tcPr>
            <w:tcW w:w="1320" w:type="dxa"/>
            <w:vAlign w:val="bottom"/>
            <w:shd w:val="clear" w:color="auto" w:fill="002B5F"/>
          </w:tcPr>
          <w:p>
            <w:pPr>
              <w:ind w:left="140"/>
              <w:spacing w:after="0" w:line="128" w:lineRule="exact"/>
              <w:rPr>
                <w:sz w:val="20"/>
                <w:szCs w:val="20"/>
                <w:color w:val="auto"/>
              </w:rPr>
            </w:pPr>
            <w:r>
              <w:rPr>
                <w:rFonts w:ascii="Arial" w:cs="Arial" w:eastAsia="Arial" w:hAnsi="Arial"/>
                <w:sz w:val="12"/>
                <w:szCs w:val="12"/>
                <w:color w:val="FFFFFF"/>
              </w:rPr>
              <w:t>Ownership of</w:t>
            </w:r>
          </w:p>
        </w:tc>
        <w:tc>
          <w:tcPr>
            <w:tcW w:w="420" w:type="dxa"/>
            <w:vAlign w:val="bottom"/>
            <w:shd w:val="clear" w:color="auto" w:fill="002B5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160" w:type="dxa"/>
            <w:vAlign w:val="bottom"/>
          </w:tcPr>
          <w:p>
            <w:pPr>
              <w:spacing w:after="0"/>
              <w:rPr>
                <w:sz w:val="11"/>
                <w:szCs w:val="11"/>
                <w:color w:val="auto"/>
              </w:rPr>
            </w:pPr>
          </w:p>
        </w:tc>
        <w:tc>
          <w:tcPr>
            <w:tcW w:w="5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shd w:val="clear" w:color="auto" w:fill="002B5F"/>
          </w:tcPr>
          <w:p>
            <w:pPr>
              <w:spacing w:after="0"/>
              <w:rPr>
                <w:sz w:val="11"/>
                <w:szCs w:val="11"/>
                <w:color w:val="auto"/>
              </w:rPr>
            </w:pPr>
          </w:p>
        </w:tc>
        <w:tc>
          <w:tcPr>
            <w:tcW w:w="1320" w:type="dxa"/>
            <w:vAlign w:val="bottom"/>
            <w:shd w:val="clear" w:color="auto" w:fill="002B5F"/>
          </w:tcPr>
          <w:p>
            <w:pPr>
              <w:ind w:left="140"/>
              <w:spacing w:after="0" w:line="128" w:lineRule="exact"/>
              <w:rPr>
                <w:sz w:val="20"/>
                <w:szCs w:val="20"/>
                <w:color w:val="auto"/>
              </w:rPr>
            </w:pPr>
            <w:r>
              <w:rPr>
                <w:rFonts w:ascii="Arial" w:cs="Arial" w:eastAsia="Arial" w:hAnsi="Arial"/>
                <w:sz w:val="12"/>
                <w:szCs w:val="12"/>
                <w:color w:val="FFFFFF"/>
              </w:rPr>
              <w:t>Certain Beneficial</w:t>
            </w:r>
          </w:p>
        </w:tc>
        <w:tc>
          <w:tcPr>
            <w:tcW w:w="420" w:type="dxa"/>
            <w:vAlign w:val="bottom"/>
            <w:shd w:val="clear" w:color="auto" w:fill="002B5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160" w:type="dxa"/>
            <w:vAlign w:val="bottom"/>
          </w:tcPr>
          <w:p>
            <w:pPr>
              <w:spacing w:after="0"/>
              <w:rPr>
                <w:sz w:val="11"/>
                <w:szCs w:val="11"/>
                <w:color w:val="auto"/>
              </w:rPr>
            </w:pPr>
          </w:p>
        </w:tc>
        <w:tc>
          <w:tcPr>
            <w:tcW w:w="5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shd w:val="clear" w:color="auto" w:fill="002B5F"/>
          </w:tcPr>
          <w:p>
            <w:pPr>
              <w:spacing w:after="0"/>
              <w:rPr>
                <w:sz w:val="11"/>
                <w:szCs w:val="11"/>
                <w:color w:val="auto"/>
              </w:rPr>
            </w:pPr>
          </w:p>
        </w:tc>
        <w:tc>
          <w:tcPr>
            <w:tcW w:w="1320" w:type="dxa"/>
            <w:vAlign w:val="bottom"/>
            <w:shd w:val="clear" w:color="auto" w:fill="002B5F"/>
          </w:tcPr>
          <w:p>
            <w:pPr>
              <w:ind w:left="140"/>
              <w:spacing w:after="0" w:line="128" w:lineRule="exact"/>
              <w:rPr>
                <w:sz w:val="20"/>
                <w:szCs w:val="20"/>
                <w:color w:val="auto"/>
              </w:rPr>
            </w:pPr>
            <w:r>
              <w:rPr>
                <w:rFonts w:ascii="Arial" w:cs="Arial" w:eastAsia="Arial" w:hAnsi="Arial"/>
                <w:sz w:val="12"/>
                <w:szCs w:val="12"/>
                <w:color w:val="FFFFFF"/>
              </w:rPr>
              <w:t>Owners and</w:t>
            </w:r>
          </w:p>
        </w:tc>
        <w:tc>
          <w:tcPr>
            <w:tcW w:w="420" w:type="dxa"/>
            <w:vAlign w:val="bottom"/>
            <w:shd w:val="clear" w:color="auto" w:fill="002B5F"/>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160" w:type="dxa"/>
            <w:vAlign w:val="bottom"/>
          </w:tcPr>
          <w:p>
            <w:pPr>
              <w:spacing w:after="0"/>
              <w:rPr>
                <w:sz w:val="13"/>
                <w:szCs w:val="13"/>
                <w:color w:val="auto"/>
              </w:rPr>
            </w:pPr>
          </w:p>
        </w:tc>
        <w:tc>
          <w:tcPr>
            <w:tcW w:w="57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shd w:val="clear" w:color="auto" w:fill="002B5F"/>
          </w:tcPr>
          <w:p>
            <w:pPr>
              <w:spacing w:after="0"/>
              <w:rPr>
                <w:sz w:val="13"/>
                <w:szCs w:val="13"/>
                <w:color w:val="auto"/>
              </w:rPr>
            </w:pPr>
          </w:p>
        </w:tc>
        <w:tc>
          <w:tcPr>
            <w:tcW w:w="1320" w:type="dxa"/>
            <w:vAlign w:val="bottom"/>
            <w:shd w:val="clear" w:color="auto" w:fill="002B5F"/>
          </w:tcPr>
          <w:p>
            <w:pPr>
              <w:ind w:left="140"/>
              <w:spacing w:after="0"/>
              <w:rPr>
                <w:sz w:val="20"/>
                <w:szCs w:val="20"/>
                <w:color w:val="auto"/>
              </w:rPr>
            </w:pPr>
            <w:r>
              <w:rPr>
                <w:rFonts w:ascii="Arial" w:cs="Arial" w:eastAsia="Arial" w:hAnsi="Arial"/>
                <w:sz w:val="12"/>
                <w:szCs w:val="12"/>
                <w:color w:val="FFFFFF"/>
              </w:rPr>
              <w:t>Management</w:t>
            </w:r>
          </w:p>
        </w:tc>
        <w:tc>
          <w:tcPr>
            <w:tcW w:w="420" w:type="dxa"/>
            <w:vAlign w:val="bottom"/>
            <w:shd w:val="clear" w:color="auto" w:fill="002B5F"/>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2160" w:type="dxa"/>
            <w:vAlign w:val="bottom"/>
          </w:tcPr>
          <w:p>
            <w:pPr>
              <w:spacing w:after="0"/>
              <w:rPr>
                <w:sz w:val="22"/>
                <w:szCs w:val="22"/>
                <w:color w:val="auto"/>
              </w:rPr>
            </w:pPr>
          </w:p>
        </w:tc>
        <w:tc>
          <w:tcPr>
            <w:tcW w:w="57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40" w:type="dxa"/>
            <w:vAlign w:val="bottom"/>
            <w:shd w:val="clear" w:color="auto" w:fill="002B5F"/>
          </w:tcPr>
          <w:p>
            <w:pPr>
              <w:spacing w:after="0"/>
              <w:rPr>
                <w:sz w:val="22"/>
                <w:szCs w:val="22"/>
                <w:color w:val="auto"/>
              </w:rPr>
            </w:pPr>
          </w:p>
        </w:tc>
        <w:tc>
          <w:tcPr>
            <w:tcW w:w="1320" w:type="dxa"/>
            <w:vAlign w:val="bottom"/>
            <w:shd w:val="clear" w:color="auto" w:fill="002B5F"/>
          </w:tcPr>
          <w:p>
            <w:pPr>
              <w:ind w:left="140"/>
              <w:spacing w:after="0"/>
              <w:rPr>
                <w:sz w:val="20"/>
                <w:szCs w:val="20"/>
                <w:color w:val="auto"/>
              </w:rPr>
            </w:pPr>
            <w:r>
              <w:rPr>
                <w:rFonts w:ascii="Arial" w:cs="Arial" w:eastAsia="Arial" w:hAnsi="Arial"/>
                <w:sz w:val="12"/>
                <w:szCs w:val="12"/>
                <w:color w:val="FFFFFF"/>
              </w:rPr>
              <w:t>Certain</w:t>
            </w:r>
          </w:p>
        </w:tc>
        <w:tc>
          <w:tcPr>
            <w:tcW w:w="420" w:type="dxa"/>
            <w:vAlign w:val="bottom"/>
            <w:shd w:val="clear" w:color="auto" w:fill="002B5F"/>
          </w:tcPr>
          <w:p>
            <w:pPr>
              <w:spacing w:after="0"/>
              <w:rPr>
                <w:sz w:val="22"/>
                <w:szCs w:val="22"/>
                <w:color w:val="auto"/>
              </w:rPr>
            </w:pPr>
          </w:p>
        </w:tc>
        <w:tc>
          <w:tcPr>
            <w:tcW w:w="0" w:type="dxa"/>
            <w:vAlign w:val="bottom"/>
          </w:tcPr>
          <w:p>
            <w:pPr>
              <w:spacing w:after="0"/>
              <w:rPr>
                <w:sz w:val="1"/>
                <w:szCs w:val="1"/>
                <w:color w:val="auto"/>
              </w:rPr>
            </w:pPr>
          </w:p>
        </w:tc>
      </w:tr>
      <w:tr>
        <w:trPr>
          <w:trHeight w:val="128"/>
        </w:trPr>
        <w:tc>
          <w:tcPr>
            <w:tcW w:w="2160" w:type="dxa"/>
            <w:vAlign w:val="bottom"/>
          </w:tcPr>
          <w:p>
            <w:pPr>
              <w:spacing w:after="0"/>
              <w:rPr>
                <w:sz w:val="11"/>
                <w:szCs w:val="11"/>
                <w:color w:val="auto"/>
              </w:rPr>
            </w:pPr>
          </w:p>
        </w:tc>
        <w:tc>
          <w:tcPr>
            <w:tcW w:w="5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shd w:val="clear" w:color="auto" w:fill="002B5F"/>
          </w:tcPr>
          <w:p>
            <w:pPr>
              <w:spacing w:after="0"/>
              <w:rPr>
                <w:sz w:val="11"/>
                <w:szCs w:val="11"/>
                <w:color w:val="auto"/>
              </w:rPr>
            </w:pPr>
          </w:p>
        </w:tc>
        <w:tc>
          <w:tcPr>
            <w:tcW w:w="1320" w:type="dxa"/>
            <w:vAlign w:val="bottom"/>
            <w:shd w:val="clear" w:color="auto" w:fill="002B5F"/>
          </w:tcPr>
          <w:p>
            <w:pPr>
              <w:ind w:left="140"/>
              <w:spacing w:after="0" w:line="128" w:lineRule="exact"/>
              <w:rPr>
                <w:sz w:val="20"/>
                <w:szCs w:val="20"/>
                <w:color w:val="auto"/>
              </w:rPr>
            </w:pPr>
            <w:r>
              <w:rPr>
                <w:rFonts w:ascii="Arial" w:cs="Arial" w:eastAsia="Arial" w:hAnsi="Arial"/>
                <w:sz w:val="12"/>
                <w:szCs w:val="12"/>
                <w:color w:val="FFFFFF"/>
              </w:rPr>
              <w:t>Relationships and</w:t>
            </w:r>
          </w:p>
        </w:tc>
        <w:tc>
          <w:tcPr>
            <w:tcW w:w="420" w:type="dxa"/>
            <w:vAlign w:val="bottom"/>
            <w:shd w:val="clear" w:color="auto" w:fill="002B5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160" w:type="dxa"/>
            <w:vAlign w:val="bottom"/>
          </w:tcPr>
          <w:p>
            <w:pPr>
              <w:spacing w:after="0"/>
              <w:rPr>
                <w:sz w:val="11"/>
                <w:szCs w:val="11"/>
                <w:color w:val="auto"/>
              </w:rPr>
            </w:pPr>
          </w:p>
        </w:tc>
        <w:tc>
          <w:tcPr>
            <w:tcW w:w="5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shd w:val="clear" w:color="auto" w:fill="002B5F"/>
          </w:tcPr>
          <w:p>
            <w:pPr>
              <w:spacing w:after="0"/>
              <w:rPr>
                <w:sz w:val="11"/>
                <w:szCs w:val="11"/>
                <w:color w:val="auto"/>
              </w:rPr>
            </w:pPr>
          </w:p>
        </w:tc>
        <w:tc>
          <w:tcPr>
            <w:tcW w:w="1320" w:type="dxa"/>
            <w:vAlign w:val="bottom"/>
            <w:shd w:val="clear" w:color="auto" w:fill="002B5F"/>
          </w:tcPr>
          <w:p>
            <w:pPr>
              <w:ind w:left="140"/>
              <w:spacing w:after="0" w:line="128" w:lineRule="exact"/>
              <w:rPr>
                <w:sz w:val="20"/>
                <w:szCs w:val="20"/>
                <w:color w:val="auto"/>
              </w:rPr>
            </w:pPr>
            <w:r>
              <w:rPr>
                <w:rFonts w:ascii="Arial" w:cs="Arial" w:eastAsia="Arial" w:hAnsi="Arial"/>
                <w:sz w:val="12"/>
                <w:szCs w:val="12"/>
                <w:color w:val="FFFFFF"/>
              </w:rPr>
              <w:t>Related Party</w:t>
            </w:r>
          </w:p>
        </w:tc>
        <w:tc>
          <w:tcPr>
            <w:tcW w:w="420" w:type="dxa"/>
            <w:vAlign w:val="bottom"/>
            <w:shd w:val="clear" w:color="auto" w:fill="002B5F"/>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160" w:type="dxa"/>
            <w:vAlign w:val="bottom"/>
          </w:tcPr>
          <w:p>
            <w:pPr>
              <w:spacing w:after="0"/>
              <w:rPr>
                <w:sz w:val="13"/>
                <w:szCs w:val="13"/>
                <w:color w:val="auto"/>
              </w:rPr>
            </w:pPr>
          </w:p>
        </w:tc>
        <w:tc>
          <w:tcPr>
            <w:tcW w:w="57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shd w:val="clear" w:color="auto" w:fill="002B5F"/>
          </w:tcPr>
          <w:p>
            <w:pPr>
              <w:spacing w:after="0"/>
              <w:rPr>
                <w:sz w:val="13"/>
                <w:szCs w:val="13"/>
                <w:color w:val="auto"/>
              </w:rPr>
            </w:pPr>
          </w:p>
        </w:tc>
        <w:tc>
          <w:tcPr>
            <w:tcW w:w="1320" w:type="dxa"/>
            <w:vAlign w:val="bottom"/>
            <w:shd w:val="clear" w:color="auto" w:fill="002B5F"/>
          </w:tcPr>
          <w:p>
            <w:pPr>
              <w:ind w:left="140"/>
              <w:spacing w:after="0"/>
              <w:rPr>
                <w:sz w:val="20"/>
                <w:szCs w:val="20"/>
                <w:color w:val="auto"/>
              </w:rPr>
            </w:pPr>
            <w:r>
              <w:rPr>
                <w:rFonts w:ascii="Arial" w:cs="Arial" w:eastAsia="Arial" w:hAnsi="Arial"/>
                <w:sz w:val="12"/>
                <w:szCs w:val="12"/>
                <w:color w:val="FFFFFF"/>
              </w:rPr>
              <w:t>Transactions</w:t>
            </w:r>
          </w:p>
        </w:tc>
        <w:tc>
          <w:tcPr>
            <w:tcW w:w="420" w:type="dxa"/>
            <w:vAlign w:val="bottom"/>
            <w:shd w:val="clear" w:color="auto" w:fill="002B5F"/>
          </w:tcPr>
          <w:p>
            <w:pPr>
              <w:spacing w:after="0"/>
              <w:rPr>
                <w:sz w:val="13"/>
                <w:szCs w:val="13"/>
                <w:color w:val="auto"/>
              </w:rPr>
            </w:pPr>
          </w:p>
        </w:tc>
        <w:tc>
          <w:tcPr>
            <w:tcW w:w="0" w:type="dxa"/>
            <w:vAlign w:val="bottom"/>
          </w:tcPr>
          <w:p>
            <w:pPr>
              <w:spacing w:after="0"/>
              <w:rPr>
                <w:sz w:val="1"/>
                <w:szCs w:val="1"/>
                <w:color w:val="auto"/>
              </w:rPr>
            </w:pPr>
          </w:p>
        </w:tc>
      </w:tr>
      <w:tr>
        <w:trPr>
          <w:trHeight w:val="294"/>
        </w:trPr>
        <w:tc>
          <w:tcPr>
            <w:tcW w:w="2160" w:type="dxa"/>
            <w:vAlign w:val="bottom"/>
          </w:tcPr>
          <w:p>
            <w:pPr>
              <w:spacing w:after="0"/>
              <w:rPr>
                <w:sz w:val="24"/>
                <w:szCs w:val="24"/>
                <w:color w:val="auto"/>
              </w:rPr>
            </w:pPr>
          </w:p>
        </w:tc>
        <w:tc>
          <w:tcPr>
            <w:tcW w:w="5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shd w:val="clear" w:color="auto" w:fill="002B5F"/>
          </w:tcPr>
          <w:p>
            <w:pPr>
              <w:spacing w:after="0"/>
              <w:rPr>
                <w:sz w:val="24"/>
                <w:szCs w:val="24"/>
                <w:color w:val="auto"/>
              </w:rPr>
            </w:pPr>
          </w:p>
        </w:tc>
        <w:tc>
          <w:tcPr>
            <w:tcW w:w="1320" w:type="dxa"/>
            <w:vAlign w:val="bottom"/>
            <w:shd w:val="clear" w:color="auto" w:fill="002B5F"/>
          </w:tcPr>
          <w:p>
            <w:pPr>
              <w:ind w:left="140"/>
              <w:spacing w:after="0"/>
              <w:rPr>
                <w:sz w:val="20"/>
                <w:szCs w:val="20"/>
                <w:color w:val="auto"/>
              </w:rPr>
            </w:pPr>
            <w:r>
              <w:rPr>
                <w:rFonts w:ascii="Arial" w:cs="Arial" w:eastAsia="Arial" w:hAnsi="Arial"/>
                <w:sz w:val="12"/>
                <w:szCs w:val="12"/>
                <w:color w:val="FFFFFF"/>
              </w:rPr>
              <w:t>Proposal 2</w:t>
            </w:r>
          </w:p>
        </w:tc>
        <w:tc>
          <w:tcPr>
            <w:tcW w:w="420" w:type="dxa"/>
            <w:vAlign w:val="bottom"/>
            <w:shd w:val="clear" w:color="auto" w:fill="002B5F"/>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2160" w:type="dxa"/>
            <w:vAlign w:val="bottom"/>
          </w:tcPr>
          <w:p>
            <w:pPr>
              <w:spacing w:after="0"/>
              <w:rPr>
                <w:sz w:val="22"/>
                <w:szCs w:val="22"/>
                <w:color w:val="auto"/>
              </w:rPr>
            </w:pPr>
          </w:p>
        </w:tc>
        <w:tc>
          <w:tcPr>
            <w:tcW w:w="57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40" w:type="dxa"/>
            <w:vAlign w:val="bottom"/>
            <w:shd w:val="clear" w:color="auto" w:fill="002B5F"/>
          </w:tcPr>
          <w:p>
            <w:pPr>
              <w:spacing w:after="0"/>
              <w:rPr>
                <w:sz w:val="22"/>
                <w:szCs w:val="22"/>
                <w:color w:val="auto"/>
              </w:rPr>
            </w:pPr>
          </w:p>
        </w:tc>
        <w:tc>
          <w:tcPr>
            <w:tcW w:w="1320" w:type="dxa"/>
            <w:vAlign w:val="bottom"/>
            <w:shd w:val="clear" w:color="auto" w:fill="002B5F"/>
          </w:tcPr>
          <w:p>
            <w:pPr>
              <w:ind w:left="140"/>
              <w:spacing w:after="0"/>
              <w:rPr>
                <w:sz w:val="20"/>
                <w:szCs w:val="20"/>
                <w:color w:val="auto"/>
              </w:rPr>
            </w:pPr>
            <w:r>
              <w:rPr>
                <w:rFonts w:ascii="Arial" w:cs="Arial" w:eastAsia="Arial" w:hAnsi="Arial"/>
                <w:sz w:val="12"/>
                <w:szCs w:val="12"/>
                <w:color w:val="FFFFFF"/>
              </w:rPr>
              <w:t>Report of the</w:t>
            </w:r>
          </w:p>
        </w:tc>
        <w:tc>
          <w:tcPr>
            <w:tcW w:w="420" w:type="dxa"/>
            <w:vAlign w:val="bottom"/>
            <w:shd w:val="clear" w:color="auto" w:fill="002B5F"/>
          </w:tcPr>
          <w:p>
            <w:pPr>
              <w:spacing w:after="0"/>
              <w:rPr>
                <w:sz w:val="22"/>
                <w:szCs w:val="22"/>
                <w:color w:val="auto"/>
              </w:rPr>
            </w:pPr>
          </w:p>
        </w:tc>
        <w:tc>
          <w:tcPr>
            <w:tcW w:w="0" w:type="dxa"/>
            <w:vAlign w:val="bottom"/>
          </w:tcPr>
          <w:p>
            <w:pPr>
              <w:spacing w:after="0"/>
              <w:rPr>
                <w:sz w:val="1"/>
                <w:szCs w:val="1"/>
                <w:color w:val="auto"/>
              </w:rPr>
            </w:pPr>
          </w:p>
        </w:tc>
      </w:tr>
      <w:tr>
        <w:trPr>
          <w:trHeight w:val="128"/>
        </w:trPr>
        <w:tc>
          <w:tcPr>
            <w:tcW w:w="2160" w:type="dxa"/>
            <w:vAlign w:val="bottom"/>
          </w:tcPr>
          <w:p>
            <w:pPr>
              <w:spacing w:after="0"/>
              <w:rPr>
                <w:sz w:val="11"/>
                <w:szCs w:val="11"/>
                <w:color w:val="auto"/>
              </w:rPr>
            </w:pPr>
          </w:p>
        </w:tc>
        <w:tc>
          <w:tcPr>
            <w:tcW w:w="5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shd w:val="clear" w:color="auto" w:fill="002B5F"/>
          </w:tcPr>
          <w:p>
            <w:pPr>
              <w:spacing w:after="0"/>
              <w:rPr>
                <w:sz w:val="11"/>
                <w:szCs w:val="11"/>
                <w:color w:val="auto"/>
              </w:rPr>
            </w:pPr>
          </w:p>
        </w:tc>
        <w:tc>
          <w:tcPr>
            <w:tcW w:w="1320" w:type="dxa"/>
            <w:vAlign w:val="bottom"/>
            <w:shd w:val="clear" w:color="auto" w:fill="002B5F"/>
          </w:tcPr>
          <w:p>
            <w:pPr>
              <w:ind w:left="140"/>
              <w:spacing w:after="0" w:line="128" w:lineRule="exact"/>
              <w:rPr>
                <w:sz w:val="20"/>
                <w:szCs w:val="20"/>
                <w:color w:val="auto"/>
              </w:rPr>
            </w:pPr>
            <w:r>
              <w:rPr>
                <w:rFonts w:ascii="Arial" w:cs="Arial" w:eastAsia="Arial" w:hAnsi="Arial"/>
                <w:sz w:val="12"/>
                <w:szCs w:val="12"/>
                <w:color w:val="FFFFFF"/>
              </w:rPr>
              <w:t>Audit and Risk</w:t>
            </w:r>
          </w:p>
        </w:tc>
        <w:tc>
          <w:tcPr>
            <w:tcW w:w="420" w:type="dxa"/>
            <w:vAlign w:val="bottom"/>
            <w:shd w:val="clear" w:color="auto" w:fill="002B5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160" w:type="dxa"/>
            <w:vAlign w:val="bottom"/>
          </w:tcPr>
          <w:p>
            <w:pPr>
              <w:spacing w:after="0"/>
              <w:rPr>
                <w:sz w:val="11"/>
                <w:szCs w:val="11"/>
                <w:color w:val="auto"/>
              </w:rPr>
            </w:pPr>
          </w:p>
        </w:tc>
        <w:tc>
          <w:tcPr>
            <w:tcW w:w="5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shd w:val="clear" w:color="auto" w:fill="002B5F"/>
          </w:tcPr>
          <w:p>
            <w:pPr>
              <w:spacing w:after="0"/>
              <w:rPr>
                <w:sz w:val="11"/>
                <w:szCs w:val="11"/>
                <w:color w:val="auto"/>
              </w:rPr>
            </w:pPr>
          </w:p>
        </w:tc>
        <w:tc>
          <w:tcPr>
            <w:tcW w:w="1320" w:type="dxa"/>
            <w:vAlign w:val="bottom"/>
            <w:shd w:val="clear" w:color="auto" w:fill="002B5F"/>
          </w:tcPr>
          <w:p>
            <w:pPr>
              <w:ind w:left="140"/>
              <w:spacing w:after="0" w:line="128" w:lineRule="exact"/>
              <w:rPr>
                <w:sz w:val="20"/>
                <w:szCs w:val="20"/>
                <w:color w:val="auto"/>
              </w:rPr>
            </w:pPr>
            <w:r>
              <w:rPr>
                <w:rFonts w:ascii="Arial" w:cs="Arial" w:eastAsia="Arial" w:hAnsi="Arial"/>
                <w:sz w:val="12"/>
                <w:szCs w:val="12"/>
                <w:color w:val="FFFFFF"/>
              </w:rPr>
              <w:t>Committee of the</w:t>
            </w:r>
          </w:p>
        </w:tc>
        <w:tc>
          <w:tcPr>
            <w:tcW w:w="420" w:type="dxa"/>
            <w:vAlign w:val="bottom"/>
            <w:shd w:val="clear" w:color="auto" w:fill="002B5F"/>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160" w:type="dxa"/>
            <w:vAlign w:val="bottom"/>
          </w:tcPr>
          <w:p>
            <w:pPr>
              <w:spacing w:after="0"/>
              <w:rPr>
                <w:sz w:val="13"/>
                <w:szCs w:val="13"/>
                <w:color w:val="auto"/>
              </w:rPr>
            </w:pPr>
          </w:p>
        </w:tc>
        <w:tc>
          <w:tcPr>
            <w:tcW w:w="57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shd w:val="clear" w:color="auto" w:fill="002B5F"/>
          </w:tcPr>
          <w:p>
            <w:pPr>
              <w:spacing w:after="0"/>
              <w:rPr>
                <w:sz w:val="13"/>
                <w:szCs w:val="13"/>
                <w:color w:val="auto"/>
              </w:rPr>
            </w:pPr>
          </w:p>
        </w:tc>
        <w:tc>
          <w:tcPr>
            <w:tcW w:w="1320" w:type="dxa"/>
            <w:vAlign w:val="bottom"/>
            <w:shd w:val="clear" w:color="auto" w:fill="002B5F"/>
          </w:tcPr>
          <w:p>
            <w:pPr>
              <w:ind w:left="140"/>
              <w:spacing w:after="0"/>
              <w:rPr>
                <w:sz w:val="20"/>
                <w:szCs w:val="20"/>
                <w:color w:val="auto"/>
              </w:rPr>
            </w:pPr>
            <w:r>
              <w:rPr>
                <w:rFonts w:ascii="Arial" w:cs="Arial" w:eastAsia="Arial" w:hAnsi="Arial"/>
                <w:sz w:val="12"/>
                <w:szCs w:val="12"/>
                <w:color w:val="FFFFFF"/>
              </w:rPr>
              <w:t>Board of Directors</w:t>
            </w:r>
          </w:p>
        </w:tc>
        <w:tc>
          <w:tcPr>
            <w:tcW w:w="420" w:type="dxa"/>
            <w:vAlign w:val="bottom"/>
            <w:shd w:val="clear" w:color="auto" w:fill="002B5F"/>
          </w:tcPr>
          <w:p>
            <w:pPr>
              <w:spacing w:after="0"/>
              <w:rPr>
                <w:sz w:val="13"/>
                <w:szCs w:val="13"/>
                <w:color w:val="auto"/>
              </w:rPr>
            </w:pPr>
          </w:p>
        </w:tc>
        <w:tc>
          <w:tcPr>
            <w:tcW w:w="0" w:type="dxa"/>
            <w:vAlign w:val="bottom"/>
          </w:tcPr>
          <w:p>
            <w:pPr>
              <w:spacing w:after="0"/>
              <w:rPr>
                <w:sz w:val="1"/>
                <w:szCs w:val="1"/>
                <w:color w:val="auto"/>
              </w:rPr>
            </w:pPr>
          </w:p>
        </w:tc>
      </w:tr>
      <w:tr>
        <w:trPr>
          <w:trHeight w:val="294"/>
        </w:trPr>
        <w:tc>
          <w:tcPr>
            <w:tcW w:w="2160" w:type="dxa"/>
            <w:vAlign w:val="bottom"/>
          </w:tcPr>
          <w:p>
            <w:pPr>
              <w:spacing w:after="0"/>
              <w:rPr>
                <w:sz w:val="24"/>
                <w:szCs w:val="24"/>
                <w:color w:val="auto"/>
              </w:rPr>
            </w:pPr>
          </w:p>
        </w:tc>
        <w:tc>
          <w:tcPr>
            <w:tcW w:w="5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shd w:val="clear" w:color="auto" w:fill="002B5F"/>
          </w:tcPr>
          <w:p>
            <w:pPr>
              <w:spacing w:after="0"/>
              <w:rPr>
                <w:sz w:val="24"/>
                <w:szCs w:val="24"/>
                <w:color w:val="auto"/>
              </w:rPr>
            </w:pPr>
          </w:p>
        </w:tc>
        <w:tc>
          <w:tcPr>
            <w:tcW w:w="1320" w:type="dxa"/>
            <w:vAlign w:val="bottom"/>
            <w:shd w:val="clear" w:color="auto" w:fill="002B5F"/>
          </w:tcPr>
          <w:p>
            <w:pPr>
              <w:ind w:left="140"/>
              <w:spacing w:after="0"/>
              <w:rPr>
                <w:sz w:val="20"/>
                <w:szCs w:val="20"/>
                <w:color w:val="auto"/>
              </w:rPr>
            </w:pPr>
            <w:r>
              <w:rPr>
                <w:rFonts w:ascii="Arial" w:cs="Arial" w:eastAsia="Arial" w:hAnsi="Arial"/>
                <w:sz w:val="12"/>
                <w:szCs w:val="12"/>
                <w:color w:val="FFFFFF"/>
              </w:rPr>
              <w:t>Proposal 3</w:t>
            </w:r>
          </w:p>
        </w:tc>
        <w:tc>
          <w:tcPr>
            <w:tcW w:w="420" w:type="dxa"/>
            <w:vAlign w:val="bottom"/>
            <w:shd w:val="clear" w:color="auto" w:fill="002B5F"/>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2160" w:type="dxa"/>
            <w:vAlign w:val="bottom"/>
          </w:tcPr>
          <w:p>
            <w:pPr>
              <w:spacing w:after="0"/>
              <w:rPr>
                <w:sz w:val="24"/>
                <w:szCs w:val="24"/>
                <w:color w:val="auto"/>
              </w:rPr>
            </w:pPr>
          </w:p>
        </w:tc>
        <w:tc>
          <w:tcPr>
            <w:tcW w:w="5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shd w:val="clear" w:color="auto" w:fill="002B5F"/>
          </w:tcPr>
          <w:p>
            <w:pPr>
              <w:spacing w:after="0"/>
              <w:rPr>
                <w:sz w:val="24"/>
                <w:szCs w:val="24"/>
                <w:color w:val="auto"/>
              </w:rPr>
            </w:pPr>
          </w:p>
        </w:tc>
        <w:tc>
          <w:tcPr>
            <w:tcW w:w="1320" w:type="dxa"/>
            <w:vAlign w:val="bottom"/>
            <w:shd w:val="clear" w:color="auto" w:fill="002B5F"/>
          </w:tcPr>
          <w:p>
            <w:pPr>
              <w:ind w:left="140"/>
              <w:spacing w:after="0"/>
              <w:rPr>
                <w:sz w:val="20"/>
                <w:szCs w:val="20"/>
                <w:color w:val="auto"/>
              </w:rPr>
            </w:pPr>
            <w:r>
              <w:rPr>
                <w:rFonts w:ascii="Arial" w:cs="Arial" w:eastAsia="Arial" w:hAnsi="Arial"/>
                <w:sz w:val="12"/>
                <w:szCs w:val="12"/>
                <w:color w:val="FFFFFF"/>
              </w:rPr>
              <w:t>Proposal 4</w:t>
            </w:r>
          </w:p>
        </w:tc>
        <w:tc>
          <w:tcPr>
            <w:tcW w:w="420" w:type="dxa"/>
            <w:vAlign w:val="bottom"/>
            <w:shd w:val="clear" w:color="auto" w:fill="002B5F"/>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2160" w:type="dxa"/>
            <w:vAlign w:val="bottom"/>
          </w:tcPr>
          <w:p>
            <w:pPr>
              <w:spacing w:after="0"/>
              <w:rPr>
                <w:sz w:val="24"/>
                <w:szCs w:val="24"/>
                <w:color w:val="auto"/>
              </w:rPr>
            </w:pPr>
          </w:p>
        </w:tc>
        <w:tc>
          <w:tcPr>
            <w:tcW w:w="5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shd w:val="clear" w:color="auto" w:fill="002B5F"/>
          </w:tcPr>
          <w:p>
            <w:pPr>
              <w:spacing w:after="0"/>
              <w:rPr>
                <w:sz w:val="24"/>
                <w:szCs w:val="24"/>
                <w:color w:val="auto"/>
              </w:rPr>
            </w:pPr>
          </w:p>
        </w:tc>
        <w:tc>
          <w:tcPr>
            <w:tcW w:w="1320" w:type="dxa"/>
            <w:vAlign w:val="bottom"/>
            <w:shd w:val="clear" w:color="auto" w:fill="002B5F"/>
          </w:tcPr>
          <w:p>
            <w:pPr>
              <w:ind w:left="140"/>
              <w:spacing w:after="0"/>
              <w:rPr>
                <w:sz w:val="20"/>
                <w:szCs w:val="20"/>
                <w:color w:val="auto"/>
              </w:rPr>
            </w:pPr>
            <w:r>
              <w:rPr>
                <w:rFonts w:ascii="Arial" w:cs="Arial" w:eastAsia="Arial" w:hAnsi="Arial"/>
                <w:sz w:val="12"/>
                <w:szCs w:val="12"/>
                <w:color w:val="FFFFFF"/>
              </w:rPr>
              <w:t>Proposal 5</w:t>
            </w:r>
          </w:p>
        </w:tc>
        <w:tc>
          <w:tcPr>
            <w:tcW w:w="420" w:type="dxa"/>
            <w:vAlign w:val="bottom"/>
            <w:shd w:val="clear" w:color="auto" w:fill="002B5F"/>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2160" w:type="dxa"/>
            <w:vAlign w:val="bottom"/>
          </w:tcPr>
          <w:p>
            <w:pPr>
              <w:spacing w:after="0"/>
              <w:rPr>
                <w:sz w:val="24"/>
                <w:szCs w:val="24"/>
                <w:color w:val="auto"/>
              </w:rPr>
            </w:pPr>
          </w:p>
        </w:tc>
        <w:tc>
          <w:tcPr>
            <w:tcW w:w="5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shd w:val="clear" w:color="auto" w:fill="002B5F"/>
          </w:tcPr>
          <w:p>
            <w:pPr>
              <w:spacing w:after="0"/>
              <w:rPr>
                <w:sz w:val="24"/>
                <w:szCs w:val="24"/>
                <w:color w:val="auto"/>
              </w:rPr>
            </w:pPr>
          </w:p>
        </w:tc>
        <w:tc>
          <w:tcPr>
            <w:tcW w:w="1320" w:type="dxa"/>
            <w:vAlign w:val="bottom"/>
            <w:shd w:val="clear" w:color="auto" w:fill="002B5F"/>
          </w:tcPr>
          <w:p>
            <w:pPr>
              <w:ind w:left="140"/>
              <w:spacing w:after="0"/>
              <w:rPr>
                <w:sz w:val="20"/>
                <w:szCs w:val="20"/>
                <w:color w:val="auto"/>
              </w:rPr>
            </w:pPr>
            <w:r>
              <w:rPr>
                <w:rFonts w:ascii="Arial" w:cs="Arial" w:eastAsia="Arial" w:hAnsi="Arial"/>
                <w:sz w:val="12"/>
                <w:szCs w:val="12"/>
                <w:color w:val="FFFFFF"/>
              </w:rPr>
              <w:t>Proposal 6</w:t>
            </w:r>
          </w:p>
        </w:tc>
        <w:tc>
          <w:tcPr>
            <w:tcW w:w="420" w:type="dxa"/>
            <w:vAlign w:val="bottom"/>
            <w:shd w:val="clear" w:color="auto" w:fill="002B5F"/>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2160" w:type="dxa"/>
            <w:vAlign w:val="bottom"/>
          </w:tcPr>
          <w:p>
            <w:pPr>
              <w:spacing w:after="0"/>
              <w:rPr>
                <w:sz w:val="22"/>
                <w:szCs w:val="22"/>
                <w:color w:val="auto"/>
              </w:rPr>
            </w:pPr>
          </w:p>
        </w:tc>
        <w:tc>
          <w:tcPr>
            <w:tcW w:w="57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40" w:type="dxa"/>
            <w:vAlign w:val="bottom"/>
            <w:shd w:val="clear" w:color="auto" w:fill="002B5F"/>
          </w:tcPr>
          <w:p>
            <w:pPr>
              <w:spacing w:after="0"/>
              <w:rPr>
                <w:sz w:val="22"/>
                <w:szCs w:val="22"/>
                <w:color w:val="auto"/>
              </w:rPr>
            </w:pPr>
          </w:p>
        </w:tc>
        <w:tc>
          <w:tcPr>
            <w:tcW w:w="1320" w:type="dxa"/>
            <w:vAlign w:val="bottom"/>
            <w:shd w:val="clear" w:color="auto" w:fill="002B5F"/>
          </w:tcPr>
          <w:p>
            <w:pPr>
              <w:ind w:left="140"/>
              <w:spacing w:after="0"/>
              <w:rPr>
                <w:sz w:val="20"/>
                <w:szCs w:val="20"/>
                <w:color w:val="auto"/>
              </w:rPr>
            </w:pPr>
            <w:r>
              <w:rPr>
                <w:rFonts w:ascii="Arial" w:cs="Arial" w:eastAsia="Arial" w:hAnsi="Arial"/>
                <w:sz w:val="12"/>
                <w:szCs w:val="12"/>
                <w:color w:val="FFFFFF"/>
              </w:rPr>
              <w:t>Stockholder</w:t>
            </w:r>
          </w:p>
        </w:tc>
        <w:tc>
          <w:tcPr>
            <w:tcW w:w="420" w:type="dxa"/>
            <w:vAlign w:val="bottom"/>
            <w:shd w:val="clear" w:color="auto" w:fill="002B5F"/>
          </w:tcPr>
          <w:p>
            <w:pPr>
              <w:spacing w:after="0"/>
              <w:rPr>
                <w:sz w:val="22"/>
                <w:szCs w:val="22"/>
                <w:color w:val="auto"/>
              </w:rPr>
            </w:pPr>
          </w:p>
        </w:tc>
        <w:tc>
          <w:tcPr>
            <w:tcW w:w="0" w:type="dxa"/>
            <w:vAlign w:val="bottom"/>
          </w:tcPr>
          <w:p>
            <w:pPr>
              <w:spacing w:after="0"/>
              <w:rPr>
                <w:sz w:val="1"/>
                <w:szCs w:val="1"/>
                <w:color w:val="auto"/>
              </w:rPr>
            </w:pPr>
          </w:p>
        </w:tc>
      </w:tr>
      <w:tr>
        <w:trPr>
          <w:trHeight w:val="128"/>
        </w:trPr>
        <w:tc>
          <w:tcPr>
            <w:tcW w:w="2160" w:type="dxa"/>
            <w:vAlign w:val="bottom"/>
          </w:tcPr>
          <w:p>
            <w:pPr>
              <w:spacing w:after="0"/>
              <w:rPr>
                <w:sz w:val="11"/>
                <w:szCs w:val="11"/>
                <w:color w:val="auto"/>
              </w:rPr>
            </w:pPr>
          </w:p>
        </w:tc>
        <w:tc>
          <w:tcPr>
            <w:tcW w:w="5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shd w:val="clear" w:color="auto" w:fill="002B5F"/>
          </w:tcPr>
          <w:p>
            <w:pPr>
              <w:spacing w:after="0"/>
              <w:rPr>
                <w:sz w:val="11"/>
                <w:szCs w:val="11"/>
                <w:color w:val="auto"/>
              </w:rPr>
            </w:pPr>
          </w:p>
        </w:tc>
        <w:tc>
          <w:tcPr>
            <w:tcW w:w="1320" w:type="dxa"/>
            <w:vAlign w:val="bottom"/>
            <w:shd w:val="clear" w:color="auto" w:fill="002B5F"/>
          </w:tcPr>
          <w:p>
            <w:pPr>
              <w:ind w:left="140"/>
              <w:spacing w:after="0" w:line="128" w:lineRule="exact"/>
              <w:rPr>
                <w:sz w:val="20"/>
                <w:szCs w:val="20"/>
                <w:color w:val="auto"/>
              </w:rPr>
            </w:pPr>
            <w:r>
              <w:rPr>
                <w:rFonts w:ascii="Arial" w:cs="Arial" w:eastAsia="Arial" w:hAnsi="Arial"/>
                <w:sz w:val="12"/>
                <w:szCs w:val="12"/>
                <w:color w:val="FFFFFF"/>
              </w:rPr>
              <w:t>Proposals and</w:t>
            </w:r>
          </w:p>
        </w:tc>
        <w:tc>
          <w:tcPr>
            <w:tcW w:w="420" w:type="dxa"/>
            <w:vAlign w:val="bottom"/>
            <w:shd w:val="clear" w:color="auto" w:fill="002B5F"/>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160" w:type="dxa"/>
            <w:vAlign w:val="bottom"/>
          </w:tcPr>
          <w:p>
            <w:pPr>
              <w:spacing w:after="0"/>
              <w:rPr>
                <w:sz w:val="13"/>
                <w:szCs w:val="13"/>
                <w:color w:val="auto"/>
              </w:rPr>
            </w:pPr>
          </w:p>
        </w:tc>
        <w:tc>
          <w:tcPr>
            <w:tcW w:w="57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shd w:val="clear" w:color="auto" w:fill="002B5F"/>
          </w:tcPr>
          <w:p>
            <w:pPr>
              <w:spacing w:after="0"/>
              <w:rPr>
                <w:sz w:val="13"/>
                <w:szCs w:val="13"/>
                <w:color w:val="auto"/>
              </w:rPr>
            </w:pPr>
          </w:p>
        </w:tc>
        <w:tc>
          <w:tcPr>
            <w:tcW w:w="1320" w:type="dxa"/>
            <w:vAlign w:val="bottom"/>
            <w:shd w:val="clear" w:color="auto" w:fill="002B5F"/>
          </w:tcPr>
          <w:p>
            <w:pPr>
              <w:ind w:left="140"/>
              <w:spacing w:after="0"/>
              <w:rPr>
                <w:sz w:val="20"/>
                <w:szCs w:val="20"/>
                <w:color w:val="auto"/>
              </w:rPr>
            </w:pPr>
            <w:r>
              <w:rPr>
                <w:rFonts w:ascii="Arial" w:cs="Arial" w:eastAsia="Arial" w:hAnsi="Arial"/>
                <w:sz w:val="12"/>
                <w:szCs w:val="12"/>
                <w:color w:val="FFFFFF"/>
              </w:rPr>
              <w:t>Other Matters</w:t>
            </w:r>
          </w:p>
        </w:tc>
        <w:tc>
          <w:tcPr>
            <w:tcW w:w="420" w:type="dxa"/>
            <w:vAlign w:val="bottom"/>
            <w:shd w:val="clear" w:color="auto" w:fill="002B5F"/>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2160" w:type="dxa"/>
            <w:vAlign w:val="bottom"/>
          </w:tcPr>
          <w:p>
            <w:pPr>
              <w:spacing w:after="0"/>
              <w:rPr>
                <w:sz w:val="22"/>
                <w:szCs w:val="22"/>
                <w:color w:val="auto"/>
              </w:rPr>
            </w:pPr>
          </w:p>
        </w:tc>
        <w:tc>
          <w:tcPr>
            <w:tcW w:w="57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40" w:type="dxa"/>
            <w:vAlign w:val="bottom"/>
            <w:shd w:val="clear" w:color="auto" w:fill="002B5F"/>
          </w:tcPr>
          <w:p>
            <w:pPr>
              <w:spacing w:after="0"/>
              <w:rPr>
                <w:sz w:val="22"/>
                <w:szCs w:val="22"/>
                <w:color w:val="auto"/>
              </w:rPr>
            </w:pPr>
          </w:p>
        </w:tc>
        <w:tc>
          <w:tcPr>
            <w:tcW w:w="1320" w:type="dxa"/>
            <w:vAlign w:val="bottom"/>
            <w:shd w:val="clear" w:color="auto" w:fill="002B5F"/>
          </w:tcPr>
          <w:p>
            <w:pPr>
              <w:ind w:left="140"/>
              <w:spacing w:after="0"/>
              <w:rPr>
                <w:sz w:val="20"/>
                <w:szCs w:val="20"/>
                <w:color w:val="auto"/>
              </w:rPr>
            </w:pPr>
            <w:r>
              <w:rPr>
                <w:rFonts w:ascii="Arial" w:cs="Arial" w:eastAsia="Arial" w:hAnsi="Arial"/>
                <w:sz w:val="12"/>
                <w:szCs w:val="12"/>
                <w:color w:val="FFFFFF"/>
              </w:rPr>
              <w:t>Delinquent</w:t>
            </w:r>
          </w:p>
        </w:tc>
        <w:tc>
          <w:tcPr>
            <w:tcW w:w="420" w:type="dxa"/>
            <w:vAlign w:val="bottom"/>
            <w:shd w:val="clear" w:color="auto" w:fill="002B5F"/>
          </w:tcPr>
          <w:p>
            <w:pPr>
              <w:spacing w:after="0"/>
              <w:rPr>
                <w:sz w:val="22"/>
                <w:szCs w:val="22"/>
                <w:color w:val="auto"/>
              </w:rPr>
            </w:pPr>
          </w:p>
        </w:tc>
        <w:tc>
          <w:tcPr>
            <w:tcW w:w="0" w:type="dxa"/>
            <w:vAlign w:val="bottom"/>
          </w:tcPr>
          <w:p>
            <w:pPr>
              <w:spacing w:after="0"/>
              <w:rPr>
                <w:sz w:val="1"/>
                <w:szCs w:val="1"/>
                <w:color w:val="auto"/>
              </w:rPr>
            </w:pPr>
          </w:p>
        </w:tc>
      </w:tr>
      <w:tr>
        <w:trPr>
          <w:trHeight w:val="128"/>
        </w:trPr>
        <w:tc>
          <w:tcPr>
            <w:tcW w:w="2160" w:type="dxa"/>
            <w:vAlign w:val="bottom"/>
          </w:tcPr>
          <w:p>
            <w:pPr>
              <w:spacing w:after="0"/>
              <w:rPr>
                <w:sz w:val="11"/>
                <w:szCs w:val="11"/>
                <w:color w:val="auto"/>
              </w:rPr>
            </w:pPr>
          </w:p>
        </w:tc>
        <w:tc>
          <w:tcPr>
            <w:tcW w:w="5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shd w:val="clear" w:color="auto" w:fill="002B5F"/>
          </w:tcPr>
          <w:p>
            <w:pPr>
              <w:spacing w:after="0"/>
              <w:rPr>
                <w:sz w:val="11"/>
                <w:szCs w:val="11"/>
                <w:color w:val="auto"/>
              </w:rPr>
            </w:pPr>
          </w:p>
        </w:tc>
        <w:tc>
          <w:tcPr>
            <w:tcW w:w="1320" w:type="dxa"/>
            <w:vAlign w:val="bottom"/>
            <w:shd w:val="clear" w:color="auto" w:fill="002B5F"/>
          </w:tcPr>
          <w:p>
            <w:pPr>
              <w:ind w:left="140"/>
              <w:spacing w:after="0" w:line="128" w:lineRule="exact"/>
              <w:rPr>
                <w:sz w:val="20"/>
                <w:szCs w:val="20"/>
                <w:color w:val="auto"/>
              </w:rPr>
            </w:pPr>
            <w:r>
              <w:rPr>
                <w:rFonts w:ascii="Arial" w:cs="Arial" w:eastAsia="Arial" w:hAnsi="Arial"/>
                <w:sz w:val="12"/>
                <w:szCs w:val="12"/>
                <w:color w:val="FFFFFF"/>
              </w:rPr>
              <w:t>Section 16(a)</w:t>
            </w:r>
          </w:p>
        </w:tc>
        <w:tc>
          <w:tcPr>
            <w:tcW w:w="420" w:type="dxa"/>
            <w:vAlign w:val="bottom"/>
            <w:shd w:val="clear" w:color="auto" w:fill="002B5F"/>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160" w:type="dxa"/>
            <w:vAlign w:val="bottom"/>
          </w:tcPr>
          <w:p>
            <w:pPr>
              <w:spacing w:after="0"/>
              <w:rPr>
                <w:sz w:val="13"/>
                <w:szCs w:val="13"/>
                <w:color w:val="auto"/>
              </w:rPr>
            </w:pPr>
          </w:p>
        </w:tc>
        <w:tc>
          <w:tcPr>
            <w:tcW w:w="57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shd w:val="clear" w:color="auto" w:fill="002B5F"/>
          </w:tcPr>
          <w:p>
            <w:pPr>
              <w:spacing w:after="0"/>
              <w:rPr>
                <w:sz w:val="13"/>
                <w:szCs w:val="13"/>
                <w:color w:val="auto"/>
              </w:rPr>
            </w:pPr>
          </w:p>
        </w:tc>
        <w:tc>
          <w:tcPr>
            <w:tcW w:w="1320" w:type="dxa"/>
            <w:vAlign w:val="bottom"/>
            <w:shd w:val="clear" w:color="auto" w:fill="002B5F"/>
          </w:tcPr>
          <w:p>
            <w:pPr>
              <w:ind w:left="140"/>
              <w:spacing w:after="0"/>
              <w:rPr>
                <w:sz w:val="20"/>
                <w:szCs w:val="20"/>
                <w:color w:val="auto"/>
              </w:rPr>
            </w:pPr>
            <w:r>
              <w:rPr>
                <w:rFonts w:ascii="Arial" w:cs="Arial" w:eastAsia="Arial" w:hAnsi="Arial"/>
                <w:sz w:val="12"/>
                <w:szCs w:val="12"/>
                <w:color w:val="FFFFFF"/>
              </w:rPr>
              <w:t>Reports</w:t>
            </w:r>
          </w:p>
        </w:tc>
        <w:tc>
          <w:tcPr>
            <w:tcW w:w="420" w:type="dxa"/>
            <w:vAlign w:val="bottom"/>
            <w:shd w:val="clear" w:color="auto" w:fill="002B5F"/>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2160" w:type="dxa"/>
            <w:vAlign w:val="bottom"/>
          </w:tcPr>
          <w:p>
            <w:pPr>
              <w:spacing w:after="0"/>
              <w:rPr>
                <w:sz w:val="22"/>
                <w:szCs w:val="22"/>
                <w:color w:val="auto"/>
              </w:rPr>
            </w:pPr>
          </w:p>
        </w:tc>
        <w:tc>
          <w:tcPr>
            <w:tcW w:w="57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40" w:type="dxa"/>
            <w:vAlign w:val="bottom"/>
            <w:shd w:val="clear" w:color="auto" w:fill="002B5F"/>
          </w:tcPr>
          <w:p>
            <w:pPr>
              <w:spacing w:after="0"/>
              <w:rPr>
                <w:sz w:val="22"/>
                <w:szCs w:val="22"/>
                <w:color w:val="auto"/>
              </w:rPr>
            </w:pPr>
          </w:p>
        </w:tc>
        <w:tc>
          <w:tcPr>
            <w:tcW w:w="1320" w:type="dxa"/>
            <w:vAlign w:val="bottom"/>
            <w:shd w:val="clear" w:color="auto" w:fill="002B5F"/>
          </w:tcPr>
          <w:p>
            <w:pPr>
              <w:ind w:left="140"/>
              <w:spacing w:after="0"/>
              <w:rPr>
                <w:sz w:val="20"/>
                <w:szCs w:val="20"/>
                <w:color w:val="auto"/>
              </w:rPr>
            </w:pPr>
            <w:r>
              <w:rPr>
                <w:rFonts w:ascii="Arial" w:cs="Arial" w:eastAsia="Arial" w:hAnsi="Arial"/>
                <w:sz w:val="12"/>
                <w:szCs w:val="12"/>
                <w:color w:val="FFFFFF"/>
              </w:rPr>
              <w:t>Other</w:t>
            </w:r>
          </w:p>
        </w:tc>
        <w:tc>
          <w:tcPr>
            <w:tcW w:w="420" w:type="dxa"/>
            <w:vAlign w:val="bottom"/>
            <w:shd w:val="clear" w:color="auto" w:fill="002B5F"/>
          </w:tcPr>
          <w:p>
            <w:pPr>
              <w:spacing w:after="0"/>
              <w:rPr>
                <w:sz w:val="22"/>
                <w:szCs w:val="22"/>
                <w:color w:val="auto"/>
              </w:rPr>
            </w:pPr>
          </w:p>
        </w:tc>
        <w:tc>
          <w:tcPr>
            <w:tcW w:w="0" w:type="dxa"/>
            <w:vAlign w:val="bottom"/>
          </w:tcPr>
          <w:p>
            <w:pPr>
              <w:spacing w:after="0"/>
              <w:rPr>
                <w:sz w:val="1"/>
                <w:szCs w:val="1"/>
                <w:color w:val="auto"/>
              </w:rPr>
            </w:pPr>
          </w:p>
        </w:tc>
      </w:tr>
      <w:tr>
        <w:trPr>
          <w:trHeight w:val="158"/>
        </w:trPr>
        <w:tc>
          <w:tcPr>
            <w:tcW w:w="2160" w:type="dxa"/>
            <w:vAlign w:val="bottom"/>
          </w:tcPr>
          <w:p>
            <w:pPr>
              <w:spacing w:after="0"/>
              <w:rPr>
                <w:sz w:val="13"/>
                <w:szCs w:val="13"/>
                <w:color w:val="auto"/>
              </w:rPr>
            </w:pPr>
          </w:p>
        </w:tc>
        <w:tc>
          <w:tcPr>
            <w:tcW w:w="57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shd w:val="clear" w:color="auto" w:fill="002B5F"/>
          </w:tcPr>
          <w:p>
            <w:pPr>
              <w:spacing w:after="0"/>
              <w:rPr>
                <w:sz w:val="13"/>
                <w:szCs w:val="13"/>
                <w:color w:val="auto"/>
              </w:rPr>
            </w:pPr>
          </w:p>
        </w:tc>
        <w:tc>
          <w:tcPr>
            <w:tcW w:w="1320" w:type="dxa"/>
            <w:vAlign w:val="bottom"/>
            <w:shd w:val="clear" w:color="auto" w:fill="002B5F"/>
          </w:tcPr>
          <w:p>
            <w:pPr>
              <w:ind w:left="140"/>
              <w:spacing w:after="0"/>
              <w:rPr>
                <w:sz w:val="20"/>
                <w:szCs w:val="20"/>
                <w:color w:val="auto"/>
              </w:rPr>
            </w:pPr>
            <w:r>
              <w:rPr>
                <w:rFonts w:ascii="Arial" w:cs="Arial" w:eastAsia="Arial" w:hAnsi="Arial"/>
                <w:sz w:val="12"/>
                <w:szCs w:val="12"/>
                <w:color w:val="FFFFFF"/>
              </w:rPr>
              <w:t>Information</w:t>
            </w:r>
          </w:p>
        </w:tc>
        <w:tc>
          <w:tcPr>
            <w:tcW w:w="420" w:type="dxa"/>
            <w:vAlign w:val="bottom"/>
            <w:shd w:val="clear" w:color="auto" w:fill="002B5F"/>
          </w:tcPr>
          <w:p>
            <w:pPr>
              <w:spacing w:after="0"/>
              <w:rPr>
                <w:sz w:val="13"/>
                <w:szCs w:val="13"/>
                <w:color w:val="auto"/>
              </w:rPr>
            </w:pPr>
          </w:p>
        </w:tc>
        <w:tc>
          <w:tcPr>
            <w:tcW w:w="0" w:type="dxa"/>
            <w:vAlign w:val="bottom"/>
          </w:tcPr>
          <w:p>
            <w:pPr>
              <w:spacing w:after="0"/>
              <w:rPr>
                <w:sz w:val="1"/>
                <w:szCs w:val="1"/>
                <w:color w:val="auto"/>
              </w:rPr>
            </w:pPr>
          </w:p>
        </w:tc>
      </w:tr>
      <w:tr>
        <w:trPr>
          <w:trHeight w:val="294"/>
        </w:trPr>
        <w:tc>
          <w:tcPr>
            <w:tcW w:w="2160" w:type="dxa"/>
            <w:vAlign w:val="bottom"/>
          </w:tcPr>
          <w:p>
            <w:pPr>
              <w:spacing w:after="0"/>
              <w:rPr>
                <w:sz w:val="24"/>
                <w:szCs w:val="24"/>
                <w:color w:val="auto"/>
              </w:rPr>
            </w:pPr>
          </w:p>
        </w:tc>
        <w:tc>
          <w:tcPr>
            <w:tcW w:w="5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shd w:val="clear" w:color="auto" w:fill="002B5F"/>
          </w:tcPr>
          <w:p>
            <w:pPr>
              <w:spacing w:after="0"/>
              <w:rPr>
                <w:sz w:val="24"/>
                <w:szCs w:val="24"/>
                <w:color w:val="auto"/>
              </w:rPr>
            </w:pPr>
          </w:p>
        </w:tc>
        <w:tc>
          <w:tcPr>
            <w:tcW w:w="1320" w:type="dxa"/>
            <w:vAlign w:val="bottom"/>
            <w:shd w:val="clear" w:color="auto" w:fill="002B5F"/>
          </w:tcPr>
          <w:p>
            <w:pPr>
              <w:ind w:left="140"/>
              <w:spacing w:after="0"/>
              <w:rPr>
                <w:sz w:val="20"/>
                <w:szCs w:val="20"/>
                <w:color w:val="auto"/>
              </w:rPr>
            </w:pPr>
            <w:r>
              <w:rPr>
                <w:rFonts w:ascii="Arial" w:cs="Arial" w:eastAsia="Arial" w:hAnsi="Arial"/>
                <w:sz w:val="12"/>
                <w:szCs w:val="12"/>
                <w:color w:val="FFFFFF"/>
              </w:rPr>
              <w:t>Appendix A</w:t>
            </w:r>
          </w:p>
        </w:tc>
        <w:tc>
          <w:tcPr>
            <w:tcW w:w="420" w:type="dxa"/>
            <w:vAlign w:val="bottom"/>
            <w:shd w:val="clear" w:color="auto" w:fill="002B5F"/>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2160" w:type="dxa"/>
            <w:vAlign w:val="bottom"/>
          </w:tcPr>
          <w:p>
            <w:pPr>
              <w:spacing w:after="0"/>
              <w:rPr>
                <w:sz w:val="24"/>
                <w:szCs w:val="24"/>
                <w:color w:val="auto"/>
              </w:rPr>
            </w:pPr>
          </w:p>
        </w:tc>
        <w:tc>
          <w:tcPr>
            <w:tcW w:w="5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shd w:val="clear" w:color="auto" w:fill="002B5F"/>
          </w:tcPr>
          <w:p>
            <w:pPr>
              <w:spacing w:after="0"/>
              <w:rPr>
                <w:sz w:val="24"/>
                <w:szCs w:val="24"/>
                <w:color w:val="auto"/>
              </w:rPr>
            </w:pPr>
          </w:p>
        </w:tc>
        <w:tc>
          <w:tcPr>
            <w:tcW w:w="1320" w:type="dxa"/>
            <w:vAlign w:val="bottom"/>
            <w:shd w:val="clear" w:color="auto" w:fill="002B5F"/>
          </w:tcPr>
          <w:p>
            <w:pPr>
              <w:ind w:left="140"/>
              <w:spacing w:after="0"/>
              <w:rPr>
                <w:sz w:val="20"/>
                <w:szCs w:val="20"/>
                <w:color w:val="auto"/>
              </w:rPr>
            </w:pPr>
            <w:r>
              <w:rPr>
                <w:rFonts w:ascii="Arial" w:cs="Arial" w:eastAsia="Arial" w:hAnsi="Arial"/>
                <w:sz w:val="12"/>
                <w:szCs w:val="12"/>
                <w:color w:val="FFFFFF"/>
              </w:rPr>
              <w:t>Appendix B</w:t>
            </w:r>
          </w:p>
        </w:tc>
        <w:tc>
          <w:tcPr>
            <w:tcW w:w="420" w:type="dxa"/>
            <w:vAlign w:val="bottom"/>
            <w:shd w:val="clear" w:color="auto" w:fill="002B5F"/>
          </w:tcPr>
          <w:p>
            <w:pPr>
              <w:spacing w:after="0"/>
              <w:rPr>
                <w:sz w:val="24"/>
                <w:szCs w:val="24"/>
                <w:color w:val="auto"/>
              </w:rPr>
            </w:pPr>
          </w:p>
        </w:tc>
        <w:tc>
          <w:tcPr>
            <w:tcW w:w="0" w:type="dxa"/>
            <w:vAlign w:val="bottom"/>
          </w:tcPr>
          <w:p>
            <w:pPr>
              <w:spacing w:after="0"/>
              <w:rPr>
                <w:sz w:val="1"/>
                <w:szCs w:val="1"/>
                <w:color w:val="auto"/>
              </w:rPr>
            </w:pPr>
          </w:p>
        </w:tc>
      </w:tr>
      <w:tr>
        <w:trPr>
          <w:trHeight w:val="651"/>
        </w:trPr>
        <w:tc>
          <w:tcPr>
            <w:tcW w:w="2160" w:type="dxa"/>
            <w:vAlign w:val="bottom"/>
          </w:tcPr>
          <w:p>
            <w:pPr>
              <w:spacing w:after="0"/>
              <w:rPr>
                <w:sz w:val="24"/>
                <w:szCs w:val="24"/>
                <w:color w:val="auto"/>
              </w:rPr>
            </w:pPr>
          </w:p>
        </w:tc>
        <w:tc>
          <w:tcPr>
            <w:tcW w:w="5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shd w:val="clear" w:color="auto" w:fill="002B5F"/>
          </w:tcPr>
          <w:p>
            <w:pPr>
              <w:spacing w:after="0"/>
              <w:rPr>
                <w:sz w:val="24"/>
                <w:szCs w:val="24"/>
                <w:color w:val="auto"/>
              </w:rPr>
            </w:pPr>
          </w:p>
        </w:tc>
        <w:tc>
          <w:tcPr>
            <w:tcW w:w="1320" w:type="dxa"/>
            <w:vAlign w:val="bottom"/>
            <w:shd w:val="clear" w:color="auto" w:fill="002B5F"/>
          </w:tcPr>
          <w:p>
            <w:pPr>
              <w:spacing w:after="0"/>
              <w:rPr>
                <w:sz w:val="24"/>
                <w:szCs w:val="24"/>
                <w:color w:val="auto"/>
              </w:rPr>
            </w:pPr>
          </w:p>
        </w:tc>
        <w:tc>
          <w:tcPr>
            <w:tcW w:w="420" w:type="dxa"/>
            <w:vAlign w:val="bottom"/>
            <w:shd w:val="clear" w:color="auto" w:fill="002B5F"/>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5771515</wp:posOffset>
            </wp:positionH>
            <wp:positionV relativeFrom="paragraph">
              <wp:posOffset>-6985000</wp:posOffset>
            </wp:positionV>
            <wp:extent cx="56515" cy="889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6515" cy="88900"/>
                    </a:xfrm>
                    <a:prstGeom prst="rect">
                      <a:avLst/>
                    </a:prstGeom>
                    <a:noFill/>
                  </pic:spPr>
                </pic:pic>
              </a:graphicData>
            </a:graphic>
          </wp:anchor>
        </w:drawing>
      </w:r>
    </w:p>
    <w:p>
      <w:pPr>
        <w:spacing w:after="0" w:line="235" w:lineRule="exact"/>
        <w:rPr>
          <w:sz w:val="20"/>
          <w:szCs w:val="20"/>
          <w:color w:val="auto"/>
        </w:rPr>
      </w:pPr>
    </w:p>
    <w:p>
      <w:pPr>
        <w:ind w:left="6480"/>
        <w:spacing w:after="0"/>
        <w:tabs>
          <w:tab w:leader="none" w:pos="8500" w:val="left"/>
          <w:tab w:leader="none" w:pos="9960" w:val="left"/>
        </w:tabs>
        <w:rPr>
          <w:sz w:val="20"/>
          <w:szCs w:val="20"/>
          <w:color w:val="auto"/>
        </w:rPr>
      </w:pPr>
      <w:r>
        <w:rPr>
          <w:rFonts w:ascii="Arial" w:cs="Arial" w:eastAsia="Arial" w:hAnsi="Arial"/>
          <w:sz w:val="15"/>
          <w:szCs w:val="15"/>
          <w:b w:val="1"/>
          <w:bCs w:val="1"/>
          <w:color w:val="002B5F"/>
        </w:rPr>
        <w:t xml:space="preserve">2026 Proxy Statement  </w:t>
      </w:r>
      <w:r>
        <w:rPr>
          <w:rFonts w:ascii="Arial" w:cs="Arial" w:eastAsia="Arial" w:hAnsi="Arial"/>
          <w:sz w:val="20"/>
          <w:szCs w:val="20"/>
          <w:color w:val="002B5F"/>
        </w:rPr>
        <w:t>|</w:t>
      </w:r>
      <w:r>
        <w:rPr>
          <w:rFonts w:ascii="Arial" w:cs="Arial" w:eastAsia="Arial" w:hAnsi="Arial"/>
          <w:sz w:val="15"/>
          <w:szCs w:val="15"/>
          <w:b w:val="1"/>
          <w:bCs w:val="1"/>
          <w:color w:val="002B5F"/>
        </w:rPr>
        <w:t xml:space="preserve">  7</w:t>
      </w:r>
      <w:r>
        <w:rPr>
          <w:sz w:val="20"/>
          <w:szCs w:val="20"/>
          <w:color w:val="auto"/>
        </w:rPr>
        <w:tab/>
      </w:r>
      <w:r>
        <w:rPr>
          <w:rFonts w:ascii="Arial" w:cs="Arial" w:eastAsia="Arial" w:hAnsi="Arial"/>
          <w:sz w:val="17"/>
          <w:szCs w:val="17"/>
          <w:color w:val="auto"/>
        </w:rPr>
        <w:t xml:space="preserve">    </w:t>
      </w:r>
      <w:r>
        <w:rPr>
          <w:sz w:val="20"/>
          <w:szCs w:val="20"/>
          <w:color w:val="auto"/>
        </w:rPr>
        <w:tab/>
      </w:r>
      <w:r>
        <w:rPr>
          <w:rFonts w:ascii="Arial" w:cs="Arial" w:eastAsia="Arial" w:hAnsi="Arial"/>
          <w:sz w:val="17"/>
          <w:szCs w:val="17"/>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268605</wp:posOffset>
            </wp:positionH>
            <wp:positionV relativeFrom="paragraph">
              <wp:posOffset>-128905</wp:posOffset>
            </wp:positionV>
            <wp:extent cx="762000" cy="971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62000" cy="97155"/>
                    </a:xfrm>
                    <a:prstGeom prst="rect">
                      <a:avLst/>
                    </a:prstGeom>
                    <a:noFill/>
                  </pic:spPr>
                </pic:pic>
              </a:graphicData>
            </a:graphic>
          </wp:anchor>
        </w:drawing>
      </w:r>
    </w:p>
    <w:p>
      <w:pPr>
        <w:sectPr>
          <w:pgSz w:w="11900" w:h="16838" w:orient="portrait"/>
          <w:cols w:equalWidth="0" w:num="1">
            <w:col w:w="10820"/>
          </w:cols>
          <w:pgMar w:left="320" w:top="464" w:right="7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7"/>
          <w:szCs w:val="17"/>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268605</wp:posOffset>
            </wp:positionH>
            <wp:positionV relativeFrom="paragraph">
              <wp:posOffset>253365</wp:posOffset>
            </wp:positionV>
            <wp:extent cx="1183005" cy="745617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183005" cy="7456170"/>
                    </a:xfrm>
                    <a:prstGeom prst="rect">
                      <a:avLst/>
                    </a:prstGeom>
                    <a:noFill/>
                  </pic:spPr>
                </pic:pic>
              </a:graphicData>
            </a:graphic>
          </wp:anchor>
        </w:drawing>
      </w:r>
    </w:p>
    <w:p>
      <w:pPr>
        <w:spacing w:after="0" w:line="200" w:lineRule="exact"/>
        <w:rPr>
          <w:sz w:val="20"/>
          <w:szCs w:val="20"/>
          <w:color w:val="auto"/>
        </w:rPr>
      </w:pPr>
    </w:p>
    <w:p>
      <w:pPr>
        <w:spacing w:after="0" w:line="304" w:lineRule="exact"/>
        <w:rPr>
          <w:sz w:val="20"/>
          <w:szCs w:val="20"/>
          <w:color w:val="auto"/>
        </w:rPr>
      </w:pPr>
    </w:p>
    <w:p>
      <w:pPr>
        <w:ind w:left="1120" w:right="460" w:hanging="672"/>
        <w:spacing w:after="0" w:line="382" w:lineRule="auto"/>
        <w:tabs>
          <w:tab w:leader="none" w:pos="610" w:val="left"/>
        </w:tabs>
        <w:numPr>
          <w:ilvl w:val="0"/>
          <w:numId w:val="18"/>
        </w:numPr>
        <w:rPr>
          <w:rFonts w:ascii="Arial" w:cs="Arial" w:eastAsia="Arial" w:hAnsi="Arial"/>
          <w:sz w:val="24"/>
          <w:szCs w:val="24"/>
          <w:color w:val="auto"/>
          <w:vertAlign w:val="subscript"/>
        </w:rPr>
      </w:pPr>
      <w:r>
        <w:rPr>
          <w:rFonts w:ascii="Arial" w:cs="Arial" w:eastAsia="Arial" w:hAnsi="Arial"/>
          <w:sz w:val="24"/>
          <w:szCs w:val="24"/>
          <w:color w:val="000000"/>
          <w:vertAlign w:val="subscript"/>
        </w:rPr>
        <w:t xml:space="preserve">     </w:t>
      </w:r>
      <w:r>
        <w:rPr>
          <w:rFonts w:ascii="Arial" w:cs="Arial" w:eastAsia="Arial" w:hAnsi="Arial"/>
          <w:sz w:val="10"/>
          <w:szCs w:val="10"/>
          <w:color w:val="FFFFFF"/>
        </w:rPr>
        <w:t xml:space="preserve"> General Information</w:t>
      </w:r>
    </w:p>
    <w:p>
      <w:pPr>
        <w:spacing w:after="0" w:line="1" w:lineRule="exact"/>
        <w:rPr>
          <w:sz w:val="20"/>
          <w:szCs w:val="20"/>
          <w:color w:val="auto"/>
        </w:rPr>
      </w:pPr>
    </w:p>
    <w:p>
      <w:pPr>
        <w:ind w:left="1120"/>
        <w:spacing w:after="0"/>
        <w:rPr>
          <w:sz w:val="20"/>
          <w:szCs w:val="20"/>
          <w:color w:val="auto"/>
        </w:rPr>
      </w:pPr>
      <w:r>
        <w:rPr>
          <w:rFonts w:ascii="Arial" w:cs="Arial" w:eastAsia="Arial" w:hAnsi="Arial"/>
          <w:sz w:val="11"/>
          <w:szCs w:val="11"/>
          <w:color w:val="FFFFFF"/>
        </w:rPr>
        <w:t>General Information</w:t>
      </w:r>
    </w:p>
    <w:p>
      <w:pPr>
        <w:spacing w:after="0" w:line="3"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About Corporate</w:t>
      </w:r>
    </w:p>
    <w:p>
      <w:pPr>
        <w:ind w:left="1120"/>
        <w:spacing w:after="0" w:line="221" w:lineRule="auto"/>
        <w:rPr>
          <w:sz w:val="20"/>
          <w:szCs w:val="20"/>
          <w:color w:val="auto"/>
        </w:rPr>
      </w:pPr>
      <w:r>
        <w:rPr>
          <w:rFonts w:ascii="Arial" w:cs="Arial" w:eastAsia="Arial" w:hAnsi="Arial"/>
          <w:sz w:val="12"/>
          <w:szCs w:val="12"/>
          <w:color w:val="FFFFFF"/>
        </w:rPr>
        <w:t>Governance</w:t>
      </w:r>
    </w:p>
    <w:p>
      <w:pPr>
        <w:ind w:left="1120"/>
        <w:spacing w:after="0" w:line="222" w:lineRule="auto"/>
        <w:rPr>
          <w:sz w:val="20"/>
          <w:szCs w:val="20"/>
          <w:color w:val="auto"/>
        </w:rPr>
      </w:pPr>
      <w:r>
        <w:rPr>
          <w:rFonts w:ascii="Arial" w:cs="Arial" w:eastAsia="Arial" w:hAnsi="Arial"/>
          <w:sz w:val="12"/>
          <w:szCs w:val="12"/>
          <w:color w:val="FFFFFF"/>
        </w:rPr>
        <w:t>and the Board of</w:t>
      </w:r>
    </w:p>
    <w:p>
      <w:pPr>
        <w:spacing w:after="0" w:line="1"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Directors</w:t>
      </w:r>
    </w:p>
    <w:p>
      <w:pPr>
        <w:spacing w:after="0" w:line="141" w:lineRule="exact"/>
        <w:rPr>
          <w:sz w:val="20"/>
          <w:szCs w:val="20"/>
          <w:color w:val="auto"/>
        </w:rPr>
      </w:pPr>
    </w:p>
    <w:p>
      <w:pPr>
        <w:ind w:left="980"/>
        <w:spacing w:after="0"/>
        <w:rPr>
          <w:sz w:val="20"/>
          <w:szCs w:val="20"/>
          <w:color w:val="auto"/>
        </w:rPr>
      </w:pPr>
      <w:r>
        <w:rPr>
          <w:sz w:val="1"/>
          <w:szCs w:val="1"/>
          <w:color w:val="auto"/>
        </w:rPr>
        <w:drawing>
          <wp:inline distT="0" distB="0" distL="0" distR="0">
            <wp:extent cx="56515" cy="88900"/>
            <wp:effectExtent l="0" t="0" r="0" b="0"/>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6515" cy="88900"/>
                    </a:xfrm>
                    <a:prstGeom prst="rect">
                      <a:avLst/>
                    </a:prstGeom>
                    <a:noFill/>
                    <a:ln>
                      <a:noFill/>
                    </a:ln>
                  </pic:spPr>
                </pic:pic>
              </a:graphicData>
            </a:graphic>
          </wp:inline>
        </w:drawing>
      </w:r>
      <w:r>
        <w:rPr>
          <w:rFonts w:ascii="Arial" w:cs="Arial" w:eastAsia="Arial" w:hAnsi="Arial"/>
          <w:sz w:val="12"/>
          <w:szCs w:val="12"/>
          <w:b w:val="1"/>
          <w:bCs w:val="1"/>
          <w:color w:val="FFFFFF"/>
        </w:rPr>
        <w:t xml:space="preserve"> Proposal 1</w:t>
      </w:r>
    </w:p>
    <w:p>
      <w:pPr>
        <w:spacing w:after="0" w:line="130"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Information</w:t>
      </w:r>
    </w:p>
    <w:p>
      <w:pPr>
        <w:ind w:left="1120"/>
        <w:spacing w:after="0" w:line="224" w:lineRule="auto"/>
        <w:rPr>
          <w:sz w:val="20"/>
          <w:szCs w:val="20"/>
          <w:color w:val="auto"/>
        </w:rPr>
      </w:pPr>
      <w:r>
        <w:rPr>
          <w:rFonts w:ascii="Arial" w:cs="Arial" w:eastAsia="Arial" w:hAnsi="Arial"/>
          <w:sz w:val="12"/>
          <w:szCs w:val="12"/>
          <w:color w:val="FFFFFF"/>
        </w:rPr>
        <w:t>Regarding Board</w:t>
      </w:r>
    </w:p>
    <w:p>
      <w:pPr>
        <w:ind w:left="1120"/>
        <w:spacing w:after="0" w:line="222" w:lineRule="auto"/>
        <w:rPr>
          <w:sz w:val="20"/>
          <w:szCs w:val="20"/>
          <w:color w:val="auto"/>
        </w:rPr>
      </w:pPr>
      <w:r>
        <w:rPr>
          <w:rFonts w:ascii="Arial" w:cs="Arial" w:eastAsia="Arial" w:hAnsi="Arial"/>
          <w:sz w:val="12"/>
          <w:szCs w:val="12"/>
          <w:color w:val="FFFFFF"/>
        </w:rPr>
        <w:t>and Committee</w:t>
      </w:r>
    </w:p>
    <w:p>
      <w:pPr>
        <w:ind w:left="1120"/>
        <w:spacing w:after="0"/>
        <w:rPr>
          <w:sz w:val="20"/>
          <w:szCs w:val="20"/>
          <w:color w:val="auto"/>
        </w:rPr>
      </w:pPr>
      <w:r>
        <w:rPr>
          <w:rFonts w:ascii="Arial" w:cs="Arial" w:eastAsia="Arial" w:hAnsi="Arial"/>
          <w:sz w:val="12"/>
          <w:szCs w:val="12"/>
          <w:color w:val="FFFFFF"/>
        </w:rPr>
        <w:t>Structure</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Board of Directors</w:t>
      </w:r>
    </w:p>
    <w:p>
      <w:pPr>
        <w:spacing w:after="0" w:line="2"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Compensation</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Compensation</w:t>
      </w:r>
    </w:p>
    <w:p>
      <w:pPr>
        <w:ind w:left="1120"/>
        <w:spacing w:after="0" w:line="224" w:lineRule="auto"/>
        <w:rPr>
          <w:sz w:val="20"/>
          <w:szCs w:val="20"/>
          <w:color w:val="auto"/>
        </w:rPr>
      </w:pPr>
      <w:r>
        <w:rPr>
          <w:rFonts w:ascii="Arial" w:cs="Arial" w:eastAsia="Arial" w:hAnsi="Arial"/>
          <w:sz w:val="12"/>
          <w:szCs w:val="12"/>
          <w:color w:val="FFFFFF"/>
        </w:rPr>
        <w:t>Discussion and</w:t>
      </w:r>
    </w:p>
    <w:p>
      <w:pPr>
        <w:ind w:left="1120"/>
        <w:spacing w:after="0"/>
        <w:rPr>
          <w:sz w:val="20"/>
          <w:szCs w:val="20"/>
          <w:color w:val="auto"/>
        </w:rPr>
      </w:pPr>
      <w:r>
        <w:rPr>
          <w:rFonts w:ascii="Arial" w:cs="Arial" w:eastAsia="Arial" w:hAnsi="Arial"/>
          <w:sz w:val="12"/>
          <w:szCs w:val="12"/>
          <w:color w:val="FFFFFF"/>
        </w:rPr>
        <w:t>Analysis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Report of the</w:t>
      </w:r>
    </w:p>
    <w:p>
      <w:pPr>
        <w:ind w:left="1120"/>
        <w:spacing w:after="0" w:line="224" w:lineRule="auto"/>
        <w:rPr>
          <w:sz w:val="20"/>
          <w:szCs w:val="20"/>
          <w:color w:val="auto"/>
        </w:rPr>
      </w:pPr>
      <w:r>
        <w:rPr>
          <w:rFonts w:ascii="Arial" w:cs="Arial" w:eastAsia="Arial" w:hAnsi="Arial"/>
          <w:sz w:val="12"/>
          <w:szCs w:val="12"/>
          <w:color w:val="FFFFFF"/>
        </w:rPr>
        <w:t>Compensation</w:t>
      </w:r>
    </w:p>
    <w:p>
      <w:pPr>
        <w:ind w:left="1120"/>
        <w:spacing w:after="0" w:line="222" w:lineRule="auto"/>
        <w:rPr>
          <w:sz w:val="20"/>
          <w:szCs w:val="20"/>
          <w:color w:val="auto"/>
        </w:rPr>
      </w:pPr>
      <w:r>
        <w:rPr>
          <w:rFonts w:ascii="Arial" w:cs="Arial" w:eastAsia="Arial" w:hAnsi="Arial"/>
          <w:sz w:val="12"/>
          <w:szCs w:val="12"/>
          <w:color w:val="FFFFFF"/>
        </w:rPr>
        <w:t>and Human</w:t>
      </w:r>
    </w:p>
    <w:p>
      <w:pPr>
        <w:ind w:left="1120"/>
        <w:spacing w:after="0" w:line="222" w:lineRule="auto"/>
        <w:rPr>
          <w:sz w:val="20"/>
          <w:szCs w:val="20"/>
          <w:color w:val="auto"/>
        </w:rPr>
      </w:pPr>
      <w:r>
        <w:rPr>
          <w:rFonts w:ascii="Arial" w:cs="Arial" w:eastAsia="Arial" w:hAnsi="Arial"/>
          <w:sz w:val="12"/>
          <w:szCs w:val="12"/>
          <w:color w:val="FFFFFF"/>
        </w:rPr>
        <w:t>Resources</w:t>
      </w:r>
    </w:p>
    <w:p>
      <w:pPr>
        <w:ind w:left="1120"/>
        <w:spacing w:after="0" w:line="222" w:lineRule="auto"/>
        <w:rPr>
          <w:sz w:val="20"/>
          <w:szCs w:val="20"/>
          <w:color w:val="auto"/>
        </w:rPr>
      </w:pPr>
      <w:r>
        <w:rPr>
          <w:rFonts w:ascii="Arial" w:cs="Arial" w:eastAsia="Arial" w:hAnsi="Arial"/>
          <w:sz w:val="12"/>
          <w:szCs w:val="12"/>
          <w:color w:val="FFFFFF"/>
        </w:rPr>
        <w:t>Committee of the</w:t>
      </w:r>
    </w:p>
    <w:p>
      <w:pPr>
        <w:ind w:left="1120"/>
        <w:spacing w:after="0"/>
        <w:rPr>
          <w:sz w:val="20"/>
          <w:szCs w:val="20"/>
          <w:color w:val="auto"/>
        </w:rPr>
      </w:pPr>
      <w:r>
        <w:rPr>
          <w:rFonts w:ascii="Arial" w:cs="Arial" w:eastAsia="Arial" w:hAnsi="Arial"/>
          <w:sz w:val="12"/>
          <w:szCs w:val="12"/>
          <w:color w:val="FFFFFF"/>
        </w:rPr>
        <w:t>Board of Directors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Compensation of</w:t>
      </w:r>
    </w:p>
    <w:p>
      <w:pPr>
        <w:ind w:left="1120"/>
        <w:spacing w:after="0" w:line="224" w:lineRule="auto"/>
        <w:rPr>
          <w:sz w:val="20"/>
          <w:szCs w:val="20"/>
          <w:color w:val="auto"/>
        </w:rPr>
      </w:pPr>
      <w:r>
        <w:rPr>
          <w:rFonts w:ascii="Arial" w:cs="Arial" w:eastAsia="Arial" w:hAnsi="Arial"/>
          <w:sz w:val="12"/>
          <w:szCs w:val="12"/>
          <w:color w:val="FFFFFF"/>
        </w:rPr>
        <w:t>Named Executive</w:t>
      </w:r>
    </w:p>
    <w:p>
      <w:pPr>
        <w:ind w:left="1120"/>
        <w:spacing w:after="0"/>
        <w:rPr>
          <w:sz w:val="20"/>
          <w:szCs w:val="20"/>
          <w:color w:val="auto"/>
        </w:rPr>
      </w:pPr>
      <w:r>
        <w:rPr>
          <w:rFonts w:ascii="Arial" w:cs="Arial" w:eastAsia="Arial" w:hAnsi="Arial"/>
          <w:sz w:val="12"/>
          <w:szCs w:val="12"/>
          <w:color w:val="FFFFFF"/>
        </w:rPr>
        <w:t>Officers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Pay Versus</w:t>
      </w:r>
    </w:p>
    <w:p>
      <w:pPr>
        <w:ind w:left="1120"/>
        <w:spacing w:after="0" w:line="224" w:lineRule="auto"/>
        <w:rPr>
          <w:sz w:val="20"/>
          <w:szCs w:val="20"/>
          <w:color w:val="auto"/>
        </w:rPr>
      </w:pPr>
      <w:r>
        <w:rPr>
          <w:rFonts w:ascii="Arial" w:cs="Arial" w:eastAsia="Arial" w:hAnsi="Arial"/>
          <w:sz w:val="12"/>
          <w:szCs w:val="12"/>
          <w:color w:val="FFFFFF"/>
        </w:rPr>
        <w:t>Performance</w:t>
      </w:r>
    </w:p>
    <w:p>
      <w:pPr>
        <w:ind w:left="1120"/>
        <w:spacing w:after="0"/>
        <w:rPr>
          <w:sz w:val="20"/>
          <w:szCs w:val="20"/>
          <w:color w:val="auto"/>
        </w:rPr>
      </w:pPr>
      <w:r>
        <w:rPr>
          <w:rFonts w:ascii="Arial" w:cs="Arial" w:eastAsia="Arial" w:hAnsi="Arial"/>
          <w:sz w:val="12"/>
          <w:szCs w:val="12"/>
          <w:color w:val="FFFFFF"/>
        </w:rPr>
        <w:t>Disclosure</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Security</w:t>
      </w:r>
    </w:p>
    <w:p>
      <w:pPr>
        <w:ind w:left="1120"/>
        <w:spacing w:after="0" w:line="224" w:lineRule="auto"/>
        <w:rPr>
          <w:sz w:val="20"/>
          <w:szCs w:val="20"/>
          <w:color w:val="auto"/>
        </w:rPr>
      </w:pPr>
      <w:r>
        <w:rPr>
          <w:rFonts w:ascii="Arial" w:cs="Arial" w:eastAsia="Arial" w:hAnsi="Arial"/>
          <w:sz w:val="12"/>
          <w:szCs w:val="12"/>
          <w:color w:val="FFFFFF"/>
        </w:rPr>
        <w:t>Ownership of</w:t>
      </w:r>
    </w:p>
    <w:p>
      <w:pPr>
        <w:ind w:left="1120"/>
        <w:spacing w:after="0" w:line="222" w:lineRule="auto"/>
        <w:rPr>
          <w:sz w:val="20"/>
          <w:szCs w:val="20"/>
          <w:color w:val="auto"/>
        </w:rPr>
      </w:pPr>
      <w:r>
        <w:rPr>
          <w:rFonts w:ascii="Arial" w:cs="Arial" w:eastAsia="Arial" w:hAnsi="Arial"/>
          <w:sz w:val="12"/>
          <w:szCs w:val="12"/>
          <w:color w:val="FFFFFF"/>
        </w:rPr>
        <w:t>Certain Beneficial</w:t>
      </w:r>
    </w:p>
    <w:p>
      <w:pPr>
        <w:ind w:left="1120"/>
        <w:spacing w:after="0" w:line="222" w:lineRule="auto"/>
        <w:rPr>
          <w:sz w:val="20"/>
          <w:szCs w:val="20"/>
          <w:color w:val="auto"/>
        </w:rPr>
      </w:pPr>
      <w:r>
        <w:rPr>
          <w:rFonts w:ascii="Arial" w:cs="Arial" w:eastAsia="Arial" w:hAnsi="Arial"/>
          <w:sz w:val="12"/>
          <w:szCs w:val="12"/>
          <w:color w:val="FFFFFF"/>
        </w:rPr>
        <w:t>Owners and</w:t>
      </w:r>
    </w:p>
    <w:p>
      <w:pPr>
        <w:ind w:left="1120"/>
        <w:spacing w:after="0"/>
        <w:rPr>
          <w:sz w:val="20"/>
          <w:szCs w:val="20"/>
          <w:color w:val="auto"/>
        </w:rPr>
      </w:pPr>
      <w:r>
        <w:rPr>
          <w:rFonts w:ascii="Arial" w:cs="Arial" w:eastAsia="Arial" w:hAnsi="Arial"/>
          <w:sz w:val="12"/>
          <w:szCs w:val="12"/>
          <w:color w:val="FFFFFF"/>
        </w:rPr>
        <w:t>Management</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Certain</w:t>
      </w:r>
    </w:p>
    <w:p>
      <w:pPr>
        <w:ind w:left="1120"/>
        <w:spacing w:after="0" w:line="224" w:lineRule="auto"/>
        <w:rPr>
          <w:sz w:val="20"/>
          <w:szCs w:val="20"/>
          <w:color w:val="auto"/>
        </w:rPr>
      </w:pPr>
      <w:r>
        <w:rPr>
          <w:rFonts w:ascii="Arial" w:cs="Arial" w:eastAsia="Arial" w:hAnsi="Arial"/>
          <w:sz w:val="12"/>
          <w:szCs w:val="12"/>
          <w:color w:val="FFFFFF"/>
        </w:rPr>
        <w:t>Relationships and</w:t>
      </w:r>
    </w:p>
    <w:p>
      <w:pPr>
        <w:ind w:left="1120"/>
        <w:spacing w:after="0" w:line="222" w:lineRule="auto"/>
        <w:rPr>
          <w:sz w:val="20"/>
          <w:szCs w:val="20"/>
          <w:color w:val="auto"/>
        </w:rPr>
      </w:pPr>
      <w:r>
        <w:rPr>
          <w:rFonts w:ascii="Arial" w:cs="Arial" w:eastAsia="Arial" w:hAnsi="Arial"/>
          <w:sz w:val="12"/>
          <w:szCs w:val="12"/>
          <w:color w:val="FFFFFF"/>
        </w:rPr>
        <w:t>Related Party</w:t>
      </w:r>
    </w:p>
    <w:p>
      <w:pPr>
        <w:ind w:left="1120"/>
        <w:spacing w:after="0"/>
        <w:rPr>
          <w:sz w:val="20"/>
          <w:szCs w:val="20"/>
          <w:color w:val="auto"/>
        </w:rPr>
      </w:pPr>
      <w:r>
        <w:rPr>
          <w:rFonts w:ascii="Arial" w:cs="Arial" w:eastAsia="Arial" w:hAnsi="Arial"/>
          <w:sz w:val="12"/>
          <w:szCs w:val="12"/>
          <w:color w:val="FFFFFF"/>
        </w:rPr>
        <w:t>Transactions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Proposal 2</w:t>
      </w:r>
    </w:p>
    <w:p>
      <w:pPr>
        <w:spacing w:after="0" w:line="156"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Report of the</w:t>
      </w:r>
    </w:p>
    <w:p>
      <w:pPr>
        <w:ind w:left="1120"/>
        <w:spacing w:after="0" w:line="224" w:lineRule="auto"/>
        <w:rPr>
          <w:sz w:val="20"/>
          <w:szCs w:val="20"/>
          <w:color w:val="auto"/>
        </w:rPr>
      </w:pPr>
      <w:r>
        <w:rPr>
          <w:rFonts w:ascii="Arial" w:cs="Arial" w:eastAsia="Arial" w:hAnsi="Arial"/>
          <w:sz w:val="12"/>
          <w:szCs w:val="12"/>
          <w:color w:val="FFFFFF"/>
        </w:rPr>
        <w:t>Audit and Risk</w:t>
      </w:r>
    </w:p>
    <w:p>
      <w:pPr>
        <w:ind w:left="1120"/>
        <w:spacing w:after="0" w:line="222" w:lineRule="auto"/>
        <w:rPr>
          <w:sz w:val="20"/>
          <w:szCs w:val="20"/>
          <w:color w:val="auto"/>
        </w:rPr>
      </w:pPr>
      <w:r>
        <w:rPr>
          <w:rFonts w:ascii="Arial" w:cs="Arial" w:eastAsia="Arial" w:hAnsi="Arial"/>
          <w:sz w:val="12"/>
          <w:szCs w:val="12"/>
          <w:color w:val="FFFFFF"/>
        </w:rPr>
        <w:t>Committee of the</w:t>
      </w:r>
    </w:p>
    <w:p>
      <w:pPr>
        <w:ind w:left="1120"/>
        <w:spacing w:after="0"/>
        <w:rPr>
          <w:sz w:val="20"/>
          <w:szCs w:val="20"/>
          <w:color w:val="auto"/>
        </w:rPr>
      </w:pPr>
      <w:r>
        <w:rPr>
          <w:rFonts w:ascii="Arial" w:cs="Arial" w:eastAsia="Arial" w:hAnsi="Arial"/>
          <w:sz w:val="12"/>
          <w:szCs w:val="12"/>
          <w:color w:val="FFFFFF"/>
        </w:rPr>
        <w:t>Board of Directors</w:t>
      </w:r>
    </w:p>
    <w:p>
      <w:pPr>
        <w:spacing w:after="0" w:line="144" w:lineRule="exact"/>
        <w:rPr>
          <w:sz w:val="20"/>
          <w:szCs w:val="20"/>
          <w:color w:val="auto"/>
        </w:rPr>
      </w:pPr>
    </w:p>
    <w:p>
      <w:pPr>
        <w:jc w:val="center"/>
        <w:ind w:left="620"/>
        <w:spacing w:after="0"/>
        <w:rPr>
          <w:sz w:val="20"/>
          <w:szCs w:val="20"/>
          <w:color w:val="auto"/>
        </w:rPr>
      </w:pPr>
      <w:r>
        <w:rPr>
          <w:rFonts w:ascii="Arial" w:cs="Arial" w:eastAsia="Arial" w:hAnsi="Arial"/>
          <w:sz w:val="12"/>
          <w:szCs w:val="12"/>
          <w:color w:val="FFFFFF"/>
        </w:rPr>
        <w:t>Proposal 3</w:t>
      </w:r>
    </w:p>
    <w:p>
      <w:pPr>
        <w:spacing w:after="0" w:line="156" w:lineRule="exact"/>
        <w:rPr>
          <w:sz w:val="20"/>
          <w:szCs w:val="20"/>
          <w:color w:val="auto"/>
        </w:rPr>
      </w:pPr>
    </w:p>
    <w:p>
      <w:pPr>
        <w:jc w:val="center"/>
        <w:ind w:left="620"/>
        <w:spacing w:after="0"/>
        <w:rPr>
          <w:sz w:val="20"/>
          <w:szCs w:val="20"/>
          <w:color w:val="auto"/>
        </w:rPr>
      </w:pPr>
      <w:r>
        <w:rPr>
          <w:rFonts w:ascii="Arial" w:cs="Arial" w:eastAsia="Arial" w:hAnsi="Arial"/>
          <w:sz w:val="12"/>
          <w:szCs w:val="12"/>
          <w:color w:val="FFFFFF"/>
        </w:rPr>
        <w:t>Proposal 4</w:t>
      </w:r>
    </w:p>
    <w:p>
      <w:pPr>
        <w:spacing w:after="0" w:line="156" w:lineRule="exact"/>
        <w:rPr>
          <w:sz w:val="20"/>
          <w:szCs w:val="20"/>
          <w:color w:val="auto"/>
        </w:rPr>
      </w:pPr>
    </w:p>
    <w:p>
      <w:pPr>
        <w:jc w:val="center"/>
        <w:ind w:left="620"/>
        <w:spacing w:after="0"/>
        <w:rPr>
          <w:sz w:val="20"/>
          <w:szCs w:val="20"/>
          <w:color w:val="auto"/>
        </w:rPr>
      </w:pPr>
      <w:r>
        <w:rPr>
          <w:rFonts w:ascii="Arial" w:cs="Arial" w:eastAsia="Arial" w:hAnsi="Arial"/>
          <w:sz w:val="12"/>
          <w:szCs w:val="12"/>
          <w:color w:val="FFFFFF"/>
        </w:rPr>
        <w:t>Proposal 5</w:t>
      </w:r>
    </w:p>
    <w:p>
      <w:pPr>
        <w:spacing w:after="0" w:line="156"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Proposal 6</w:t>
      </w:r>
    </w:p>
    <w:p>
      <w:pPr>
        <w:spacing w:after="0" w:line="156"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Stockholder</w:t>
      </w:r>
    </w:p>
    <w:p>
      <w:pPr>
        <w:ind w:left="1120"/>
        <w:spacing w:after="0" w:line="224" w:lineRule="auto"/>
        <w:rPr>
          <w:sz w:val="20"/>
          <w:szCs w:val="20"/>
          <w:color w:val="auto"/>
        </w:rPr>
      </w:pPr>
      <w:r>
        <w:rPr>
          <w:rFonts w:ascii="Arial" w:cs="Arial" w:eastAsia="Arial" w:hAnsi="Arial"/>
          <w:sz w:val="12"/>
          <w:szCs w:val="12"/>
          <w:color w:val="FFFFFF"/>
        </w:rPr>
        <w:t>Proposals and</w:t>
      </w:r>
    </w:p>
    <w:p>
      <w:pPr>
        <w:ind w:left="1120"/>
        <w:spacing w:after="0"/>
        <w:rPr>
          <w:sz w:val="20"/>
          <w:szCs w:val="20"/>
          <w:color w:val="auto"/>
        </w:rPr>
      </w:pPr>
      <w:r>
        <w:rPr>
          <w:rFonts w:ascii="Arial" w:cs="Arial" w:eastAsia="Arial" w:hAnsi="Arial"/>
          <w:sz w:val="12"/>
          <w:szCs w:val="12"/>
          <w:color w:val="FFFFFF"/>
        </w:rPr>
        <w:t>Other Matters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Delinquent</w:t>
      </w:r>
    </w:p>
    <w:p>
      <w:pPr>
        <w:ind w:left="1120"/>
        <w:spacing w:after="0" w:line="224" w:lineRule="auto"/>
        <w:rPr>
          <w:sz w:val="20"/>
          <w:szCs w:val="20"/>
          <w:color w:val="auto"/>
        </w:rPr>
      </w:pPr>
      <w:r>
        <w:rPr>
          <w:rFonts w:ascii="Arial" w:cs="Arial" w:eastAsia="Arial" w:hAnsi="Arial"/>
          <w:sz w:val="12"/>
          <w:szCs w:val="12"/>
          <w:color w:val="FFFFFF"/>
        </w:rPr>
        <w:t>Section 16(a)</w:t>
      </w:r>
    </w:p>
    <w:p>
      <w:pPr>
        <w:ind w:left="1120"/>
        <w:spacing w:after="0"/>
        <w:rPr>
          <w:sz w:val="20"/>
          <w:szCs w:val="20"/>
          <w:color w:val="auto"/>
        </w:rPr>
      </w:pPr>
      <w:r>
        <w:rPr>
          <w:rFonts w:ascii="Arial" w:cs="Arial" w:eastAsia="Arial" w:hAnsi="Arial"/>
          <w:sz w:val="12"/>
          <w:szCs w:val="12"/>
          <w:color w:val="FFFFFF"/>
        </w:rPr>
        <w:t>Reports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Other</w:t>
      </w:r>
    </w:p>
    <w:p>
      <w:pPr>
        <w:spacing w:after="0" w:line="2"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Information</w:t>
      </w:r>
    </w:p>
    <w:p>
      <w:pPr>
        <w:spacing w:after="0" w:line="144" w:lineRule="exact"/>
        <w:rPr>
          <w:sz w:val="20"/>
          <w:szCs w:val="20"/>
          <w:color w:val="auto"/>
        </w:rPr>
      </w:pPr>
    </w:p>
    <w:p>
      <w:pPr>
        <w:jc w:val="center"/>
        <w:ind w:left="660"/>
        <w:spacing w:after="0"/>
        <w:rPr>
          <w:sz w:val="20"/>
          <w:szCs w:val="20"/>
          <w:color w:val="auto"/>
        </w:rPr>
      </w:pPr>
      <w:r>
        <w:rPr>
          <w:rFonts w:ascii="Arial" w:cs="Arial" w:eastAsia="Arial" w:hAnsi="Arial"/>
          <w:sz w:val="12"/>
          <w:szCs w:val="12"/>
          <w:color w:val="FFFFFF"/>
        </w:rPr>
        <w:t>Appendix A</w:t>
      </w:r>
    </w:p>
    <w:p>
      <w:pPr>
        <w:spacing w:after="0" w:line="156" w:lineRule="exact"/>
        <w:rPr>
          <w:sz w:val="20"/>
          <w:szCs w:val="20"/>
          <w:color w:val="auto"/>
        </w:rPr>
      </w:pPr>
    </w:p>
    <w:p>
      <w:pPr>
        <w:jc w:val="center"/>
        <w:ind w:left="660"/>
        <w:spacing w:after="0"/>
        <w:rPr>
          <w:sz w:val="20"/>
          <w:szCs w:val="20"/>
          <w:color w:val="auto"/>
        </w:rPr>
      </w:pPr>
      <w:r>
        <w:rPr>
          <w:rFonts w:ascii="Arial" w:cs="Arial" w:eastAsia="Arial" w:hAnsi="Arial"/>
          <w:sz w:val="12"/>
          <w:szCs w:val="12"/>
          <w:color w:val="FFFFFF"/>
        </w:rPr>
        <w:t>Appendix 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26"/>
          <w:szCs w:val="26"/>
          <w:color w:val="B95827"/>
        </w:rPr>
        <w:t>PROPOSAL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-1737995</wp:posOffset>
            </wp:positionH>
            <wp:positionV relativeFrom="paragraph">
              <wp:posOffset>-813435</wp:posOffset>
            </wp:positionV>
            <wp:extent cx="7181215" cy="533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81215" cy="53340"/>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48"/>
          <w:szCs w:val="48"/>
          <w:b w:val="1"/>
          <w:bCs w:val="1"/>
          <w:color w:val="002B5F"/>
        </w:rPr>
        <w:t>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24130</wp:posOffset>
            </wp:positionV>
            <wp:extent cx="506539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065395" cy="8255"/>
                    </a:xfrm>
                    <a:prstGeom prst="rect">
                      <a:avLst/>
                    </a:prstGeom>
                    <a:noFill/>
                  </pic:spPr>
                </pic:pic>
              </a:graphicData>
            </a:graphic>
          </wp:anchor>
        </w:drawing>
      </w:r>
    </w:p>
    <w:p>
      <w:pPr>
        <w:spacing w:after="0" w:line="223" w:lineRule="exact"/>
        <w:rPr>
          <w:sz w:val="20"/>
          <w:szCs w:val="20"/>
          <w:color w:val="auto"/>
        </w:rPr>
      </w:pPr>
    </w:p>
    <w:p>
      <w:pPr>
        <w:jc w:val="both"/>
        <w:ind w:right="220"/>
        <w:spacing w:after="0" w:line="260" w:lineRule="auto"/>
        <w:rPr>
          <w:sz w:val="20"/>
          <w:szCs w:val="20"/>
          <w:color w:val="auto"/>
        </w:rPr>
      </w:pPr>
      <w:r>
        <w:rPr>
          <w:rFonts w:ascii="Arial" w:cs="Arial" w:eastAsia="Arial" w:hAnsi="Arial"/>
          <w:sz w:val="15"/>
          <w:szCs w:val="15"/>
          <w:color w:val="auto"/>
        </w:rPr>
        <w:t>As of [</w:t>
      </w:r>
      <w:r>
        <w:rPr>
          <w:rFonts w:ascii="Times New Roman" w:cs="Times New Roman" w:eastAsia="Times New Roman" w:hAnsi="Times New Roman"/>
          <w:sz w:val="15"/>
          <w:szCs w:val="15"/>
          <w:color w:val="auto"/>
        </w:rPr>
        <w:t>●</w:t>
      </w:r>
      <w:r>
        <w:rPr>
          <w:rFonts w:ascii="Arial" w:cs="Arial" w:eastAsia="Arial" w:hAnsi="Arial"/>
          <w:sz w:val="15"/>
          <w:szCs w:val="15"/>
          <w:color w:val="auto"/>
        </w:rPr>
        <w:t>], 2026, our Board of Directors consisted of 11 directors: ten independent directors and our chief executive officer, Richard Steinmeier. Each of our current directors is standing for reelection at the Annual Meeting, and each has been nominated by our Board based on the recommendation of the Nominating and Governance Committee.</w:t>
      </w:r>
    </w:p>
    <w:p>
      <w:pPr>
        <w:spacing w:after="0" w:line="1" w:lineRule="exact"/>
        <w:rPr>
          <w:sz w:val="20"/>
          <w:szCs w:val="20"/>
          <w:color w:val="auto"/>
        </w:rPr>
      </w:pPr>
    </w:p>
    <w:p>
      <w:pPr>
        <w:ind w:right="660"/>
        <w:spacing w:after="0" w:line="268" w:lineRule="auto"/>
        <w:rPr>
          <w:sz w:val="20"/>
          <w:szCs w:val="20"/>
          <w:color w:val="auto"/>
        </w:rPr>
      </w:pPr>
      <w:r>
        <w:rPr>
          <w:rFonts w:ascii="Arial" w:cs="Arial" w:eastAsia="Arial" w:hAnsi="Arial"/>
          <w:sz w:val="15"/>
          <w:szCs w:val="15"/>
          <w:color w:val="auto"/>
        </w:rPr>
        <w:t>Each director nominee would hold office until our annual meeting of stockholders in 2027 and until his or her respective successor has been elected.</w:t>
      </w:r>
    </w:p>
    <w:p>
      <w:pPr>
        <w:spacing w:after="0" w:line="60" w:lineRule="exact"/>
        <w:rPr>
          <w:sz w:val="20"/>
          <w:szCs w:val="20"/>
          <w:color w:val="auto"/>
        </w:rPr>
      </w:pPr>
    </w:p>
    <w:p>
      <w:pPr>
        <w:ind w:right="120"/>
        <w:spacing w:after="0" w:line="268" w:lineRule="auto"/>
        <w:rPr>
          <w:sz w:val="20"/>
          <w:szCs w:val="20"/>
          <w:color w:val="auto"/>
        </w:rPr>
      </w:pPr>
      <w:r>
        <w:rPr>
          <w:rFonts w:ascii="Arial" w:cs="Arial" w:eastAsia="Arial" w:hAnsi="Arial"/>
          <w:sz w:val="15"/>
          <w:szCs w:val="15"/>
          <w:color w:val="auto"/>
        </w:rPr>
        <w:t xml:space="preserve">As described below, each of our nominees has considerable professional and business expertise. Our Board of Directors recommends a vote </w:t>
      </w:r>
      <w:r>
        <w:rPr>
          <w:rFonts w:ascii="Arial" w:cs="Arial" w:eastAsia="Arial" w:hAnsi="Arial"/>
          <w:sz w:val="15"/>
          <w:szCs w:val="15"/>
          <w:b w:val="1"/>
          <w:bCs w:val="1"/>
          <w:color w:val="B95827"/>
        </w:rPr>
        <w:t>“FOR”</w:t>
      </w:r>
      <w:r>
        <w:rPr>
          <w:rFonts w:ascii="Arial" w:cs="Arial" w:eastAsia="Arial" w:hAnsi="Arial"/>
          <w:sz w:val="15"/>
          <w:szCs w:val="15"/>
          <w:color w:val="auto"/>
        </w:rPr>
        <w:t xml:space="preserve"> each nominee based on its carefully considered judgment that the experience, qualifications, attributes and skills of each nominee qualify him or her to serve on our Board of Directors.</w:t>
      </w:r>
    </w:p>
    <w:p>
      <w:pPr>
        <w:spacing w:after="0" w:line="152" w:lineRule="exact"/>
        <w:rPr>
          <w:sz w:val="20"/>
          <w:szCs w:val="20"/>
          <w:color w:val="auto"/>
        </w:rPr>
      </w:pPr>
    </w:p>
    <w:p>
      <w:pPr>
        <w:spacing w:after="0"/>
        <w:rPr>
          <w:sz w:val="20"/>
          <w:szCs w:val="20"/>
          <w:color w:val="auto"/>
        </w:rPr>
      </w:pPr>
      <w:r>
        <w:rPr>
          <w:rFonts w:ascii="Arial" w:cs="Arial" w:eastAsia="Arial" w:hAnsi="Arial"/>
          <w:sz w:val="24"/>
          <w:szCs w:val="24"/>
          <w:color w:val="B95827"/>
        </w:rPr>
        <w:t>Board Membership Criteria</w:t>
      </w:r>
    </w:p>
    <w:p>
      <w:pPr>
        <w:spacing w:after="0" w:line="117" w:lineRule="exact"/>
        <w:rPr>
          <w:sz w:val="20"/>
          <w:szCs w:val="20"/>
          <w:color w:val="auto"/>
        </w:rPr>
      </w:pPr>
    </w:p>
    <w:p>
      <w:pPr>
        <w:jc w:val="both"/>
        <w:ind w:right="140"/>
        <w:spacing w:after="0" w:line="268" w:lineRule="auto"/>
        <w:rPr>
          <w:sz w:val="20"/>
          <w:szCs w:val="20"/>
          <w:color w:val="auto"/>
        </w:rPr>
      </w:pPr>
      <w:r>
        <w:rPr>
          <w:rFonts w:ascii="Arial" w:cs="Arial" w:eastAsia="Arial" w:hAnsi="Arial"/>
          <w:sz w:val="15"/>
          <w:szCs w:val="15"/>
          <w:color w:val="auto"/>
        </w:rPr>
        <w:t>The Nominating and Governance Committee reviews annually the appropriate skills and characteristics required of directors in the context of the current composition of the Board. As reflected in the corporate governance guidelines adopted by the Board (the “Corporate Governance Guidelines”), it is the policy of the Board that all directors should:</w:t>
      </w:r>
    </w:p>
    <w:p>
      <w:pPr>
        <w:spacing w:after="0" w:line="73" w:lineRule="exact"/>
        <w:rPr>
          <w:sz w:val="20"/>
          <w:szCs w:val="20"/>
          <w:color w:val="auto"/>
        </w:rPr>
      </w:pPr>
    </w:p>
    <w:p>
      <w:pPr>
        <w:ind w:left="280" w:hanging="273"/>
        <w:spacing w:after="0"/>
        <w:tabs>
          <w:tab w:leader="none" w:pos="280" w:val="left"/>
        </w:tabs>
        <w:numPr>
          <w:ilvl w:val="0"/>
          <w:numId w:val="19"/>
        </w:numPr>
        <w:rPr>
          <w:rFonts w:ascii="Arial" w:cs="Arial" w:eastAsia="Arial" w:hAnsi="Arial"/>
          <w:sz w:val="15"/>
          <w:szCs w:val="15"/>
          <w:color w:val="B95827"/>
        </w:rPr>
      </w:pPr>
      <w:r>
        <w:rPr>
          <w:rFonts w:ascii="Arial" w:cs="Arial" w:eastAsia="Arial" w:hAnsi="Arial"/>
          <w:sz w:val="15"/>
          <w:szCs w:val="15"/>
          <w:color w:val="auto"/>
        </w:rPr>
        <w:t>possess unimpeachable integrity and a personal reputation for transparency, honesty and ethical behavior;</w:t>
      </w:r>
    </w:p>
    <w:p>
      <w:pPr>
        <w:spacing w:after="0" w:line="121" w:lineRule="exact"/>
        <w:rPr>
          <w:rFonts w:ascii="Arial" w:cs="Arial" w:eastAsia="Arial" w:hAnsi="Arial"/>
          <w:sz w:val="15"/>
          <w:szCs w:val="15"/>
          <w:color w:val="B95827"/>
        </w:rPr>
      </w:pPr>
    </w:p>
    <w:p>
      <w:pPr>
        <w:ind w:left="280" w:hanging="273"/>
        <w:spacing w:after="0"/>
        <w:tabs>
          <w:tab w:leader="none" w:pos="280" w:val="left"/>
        </w:tabs>
        <w:numPr>
          <w:ilvl w:val="0"/>
          <w:numId w:val="19"/>
        </w:numPr>
        <w:rPr>
          <w:rFonts w:ascii="Arial" w:cs="Arial" w:eastAsia="Arial" w:hAnsi="Arial"/>
          <w:sz w:val="15"/>
          <w:szCs w:val="15"/>
          <w:color w:val="B95827"/>
        </w:rPr>
      </w:pPr>
      <w:r>
        <w:rPr>
          <w:rFonts w:ascii="Arial" w:cs="Arial" w:eastAsia="Arial" w:hAnsi="Arial"/>
          <w:sz w:val="15"/>
          <w:szCs w:val="15"/>
          <w:color w:val="auto"/>
        </w:rPr>
        <w:t>have considerable personal accomplishment and professional expertise;</w:t>
      </w:r>
    </w:p>
    <w:p>
      <w:pPr>
        <w:spacing w:after="0" w:line="121" w:lineRule="exact"/>
        <w:rPr>
          <w:rFonts w:ascii="Arial" w:cs="Arial" w:eastAsia="Arial" w:hAnsi="Arial"/>
          <w:sz w:val="15"/>
          <w:szCs w:val="15"/>
          <w:color w:val="B95827"/>
        </w:rPr>
      </w:pPr>
    </w:p>
    <w:p>
      <w:pPr>
        <w:ind w:left="280" w:hanging="273"/>
        <w:spacing w:after="0"/>
        <w:tabs>
          <w:tab w:leader="none" w:pos="280" w:val="left"/>
        </w:tabs>
        <w:numPr>
          <w:ilvl w:val="0"/>
          <w:numId w:val="19"/>
        </w:numPr>
        <w:rPr>
          <w:rFonts w:ascii="Arial" w:cs="Arial" w:eastAsia="Arial" w:hAnsi="Arial"/>
          <w:sz w:val="15"/>
          <w:szCs w:val="15"/>
          <w:color w:val="B95827"/>
        </w:rPr>
      </w:pPr>
      <w:r>
        <w:rPr>
          <w:rFonts w:ascii="Arial" w:cs="Arial" w:eastAsia="Arial" w:hAnsi="Arial"/>
          <w:sz w:val="15"/>
          <w:szCs w:val="15"/>
          <w:color w:val="auto"/>
        </w:rPr>
        <w:t>demonstrate strong business acumen, financial literacy and strategic agility;</w:t>
      </w:r>
    </w:p>
    <w:p>
      <w:pPr>
        <w:spacing w:after="0" w:line="121" w:lineRule="exact"/>
        <w:rPr>
          <w:rFonts w:ascii="Arial" w:cs="Arial" w:eastAsia="Arial" w:hAnsi="Arial"/>
          <w:sz w:val="15"/>
          <w:szCs w:val="15"/>
          <w:color w:val="B95827"/>
        </w:rPr>
      </w:pPr>
    </w:p>
    <w:p>
      <w:pPr>
        <w:ind w:left="280" w:hanging="273"/>
        <w:spacing w:after="0" w:line="287" w:lineRule="auto"/>
        <w:tabs>
          <w:tab w:leader="none" w:pos="280" w:val="left"/>
        </w:tabs>
        <w:numPr>
          <w:ilvl w:val="0"/>
          <w:numId w:val="19"/>
        </w:numPr>
        <w:rPr>
          <w:rFonts w:ascii="Arial" w:cs="Arial" w:eastAsia="Arial" w:hAnsi="Arial"/>
          <w:sz w:val="15"/>
          <w:szCs w:val="15"/>
          <w:color w:val="B95827"/>
        </w:rPr>
      </w:pPr>
      <w:r>
        <w:rPr>
          <w:rFonts w:ascii="Arial" w:cs="Arial" w:eastAsia="Arial" w:hAnsi="Arial"/>
          <w:sz w:val="15"/>
          <w:szCs w:val="15"/>
          <w:color w:val="auto"/>
        </w:rPr>
        <w:t>contribute to boardroom dialogue through critical thinking and independent judgment, and candid and constructive communication;</w:t>
      </w:r>
    </w:p>
    <w:p>
      <w:pPr>
        <w:spacing w:after="0" w:line="59" w:lineRule="exact"/>
        <w:rPr>
          <w:rFonts w:ascii="Arial" w:cs="Arial" w:eastAsia="Arial" w:hAnsi="Arial"/>
          <w:sz w:val="15"/>
          <w:szCs w:val="15"/>
          <w:color w:val="B95827"/>
        </w:rPr>
      </w:pPr>
    </w:p>
    <w:p>
      <w:pPr>
        <w:ind w:left="280" w:right="120" w:hanging="273"/>
        <w:spacing w:after="0" w:line="287" w:lineRule="auto"/>
        <w:tabs>
          <w:tab w:leader="none" w:pos="280" w:val="left"/>
        </w:tabs>
        <w:numPr>
          <w:ilvl w:val="0"/>
          <w:numId w:val="19"/>
        </w:numPr>
        <w:rPr>
          <w:rFonts w:ascii="Arial" w:cs="Arial" w:eastAsia="Arial" w:hAnsi="Arial"/>
          <w:sz w:val="15"/>
          <w:szCs w:val="15"/>
          <w:color w:val="B95827"/>
        </w:rPr>
      </w:pPr>
      <w:r>
        <w:rPr>
          <w:rFonts w:ascii="Arial" w:cs="Arial" w:eastAsia="Arial" w:hAnsi="Arial"/>
          <w:sz w:val="15"/>
          <w:szCs w:val="15"/>
          <w:color w:val="auto"/>
        </w:rPr>
        <w:t>be passionate about the vision of the Company and enthusiastic about the commitments entailed in serving as a director; and</w:t>
      </w:r>
    </w:p>
    <w:p>
      <w:pPr>
        <w:spacing w:after="0" w:line="59" w:lineRule="exact"/>
        <w:rPr>
          <w:rFonts w:ascii="Arial" w:cs="Arial" w:eastAsia="Arial" w:hAnsi="Arial"/>
          <w:sz w:val="15"/>
          <w:szCs w:val="15"/>
          <w:color w:val="B95827"/>
        </w:rPr>
      </w:pPr>
    </w:p>
    <w:p>
      <w:pPr>
        <w:ind w:left="280" w:hanging="273"/>
        <w:spacing w:after="0"/>
        <w:tabs>
          <w:tab w:leader="none" w:pos="280" w:val="left"/>
        </w:tabs>
        <w:numPr>
          <w:ilvl w:val="0"/>
          <w:numId w:val="19"/>
        </w:numPr>
        <w:rPr>
          <w:rFonts w:ascii="Arial" w:cs="Arial" w:eastAsia="Arial" w:hAnsi="Arial"/>
          <w:sz w:val="15"/>
          <w:szCs w:val="15"/>
          <w:color w:val="B95827"/>
        </w:rPr>
      </w:pPr>
      <w:r>
        <w:rPr>
          <w:rFonts w:ascii="Arial" w:cs="Arial" w:eastAsia="Arial" w:hAnsi="Arial"/>
          <w:sz w:val="15"/>
          <w:szCs w:val="15"/>
          <w:color w:val="auto"/>
        </w:rPr>
        <w:t>understand their role as stewards in representing the long-term interests of our stakeholders.</w:t>
      </w:r>
    </w:p>
    <w:p>
      <w:pPr>
        <w:spacing w:after="0" w:line="200" w:lineRule="exact"/>
        <w:rPr>
          <w:sz w:val="20"/>
          <w:szCs w:val="20"/>
          <w:color w:val="auto"/>
        </w:rPr>
      </w:pPr>
    </w:p>
    <w:p>
      <w:pPr>
        <w:spacing w:after="0"/>
        <w:rPr>
          <w:sz w:val="20"/>
          <w:szCs w:val="20"/>
          <w:color w:val="auto"/>
        </w:rPr>
      </w:pPr>
      <w:r>
        <w:rPr>
          <w:rFonts w:ascii="Arial" w:cs="Arial" w:eastAsia="Arial" w:hAnsi="Arial"/>
          <w:sz w:val="24"/>
          <w:szCs w:val="24"/>
          <w:color w:val="B95827"/>
        </w:rPr>
        <w:t>Board Composition</w:t>
      </w:r>
    </w:p>
    <w:p>
      <w:pPr>
        <w:spacing w:after="0" w:line="117" w:lineRule="exact"/>
        <w:rPr>
          <w:sz w:val="20"/>
          <w:szCs w:val="20"/>
          <w:color w:val="auto"/>
        </w:rPr>
      </w:pPr>
    </w:p>
    <w:p>
      <w:pPr>
        <w:spacing w:after="0" w:line="253" w:lineRule="auto"/>
        <w:rPr>
          <w:sz w:val="20"/>
          <w:szCs w:val="20"/>
          <w:color w:val="auto"/>
        </w:rPr>
      </w:pPr>
      <w:r>
        <w:rPr>
          <w:rFonts w:ascii="Arial" w:cs="Arial" w:eastAsia="Arial" w:hAnsi="Arial"/>
          <w:sz w:val="15"/>
          <w:szCs w:val="15"/>
          <w:color w:val="auto"/>
        </w:rPr>
        <w:t>Our goal is a balanced Board, with members who possess a range of skills, expertise, experiences, perspectives, tenures and personal characteristics. In recent years, our Nominating and Governance Committee has focused on the refreshment of the Board. Since 2020, we have added three new independent directors: Edward C. Bernard, Somesh Khanna and Albert J. Ko. Through the addition of these directors, the Board of Directors has gained seasoned leaders, as well as particularly relevant experience related to the wealth management industry, consulting and financial services, strategic planning, oversight and execution, business innovation, technology and digital transformation, organizational transformation, consumer insights and institutional risk management. The addition of these directors also reflects our balanced approach to director tenure, allowing the Board to benefit from the experience of longer-serving directors as well as fresh perspectives from newer directors.</w:t>
      </w:r>
    </w:p>
    <w:p>
      <w:pPr>
        <w:spacing w:after="0" w:line="3099" w:lineRule="exact"/>
        <w:rPr>
          <w:sz w:val="20"/>
          <w:szCs w:val="20"/>
          <w:color w:val="auto"/>
        </w:rPr>
      </w:pPr>
    </w:p>
    <w:p>
      <w:pPr>
        <w:sectPr>
          <w:pgSz w:w="11900" w:h="16838" w:orient="portrait"/>
          <w:cols w:equalWidth="0" w:num="2">
            <w:col w:w="2160" w:space="560"/>
            <w:col w:w="7980"/>
          </w:cols>
          <w:pgMar w:left="320" w:top="464" w:right="879" w:bottom="1440" w:gutter="0" w:footer="0" w:header="0"/>
        </w:sectPr>
      </w:pPr>
    </w:p>
    <w:p>
      <w:pPr>
        <w:spacing w:after="0" w:line="200" w:lineRule="exact"/>
        <w:rPr>
          <w:sz w:val="20"/>
          <w:szCs w:val="20"/>
          <w:color w:val="auto"/>
        </w:rPr>
      </w:pPr>
    </w:p>
    <w:p>
      <w:pPr>
        <w:spacing w:after="0" w:line="385" w:lineRule="exact"/>
        <w:rPr>
          <w:sz w:val="20"/>
          <w:szCs w:val="20"/>
          <w:color w:val="auto"/>
        </w:rPr>
      </w:pPr>
    </w:p>
    <w:p>
      <w:pPr>
        <w:ind w:left="420"/>
        <w:spacing w:after="0"/>
        <w:tabs>
          <w:tab w:leader="none" w:pos="2380" w:val="left"/>
          <w:tab w:leader="none" w:pos="2800" w:val="left"/>
        </w:tabs>
        <w:rPr>
          <w:sz w:val="20"/>
          <w:szCs w:val="20"/>
          <w:color w:val="auto"/>
        </w:rPr>
      </w:pPr>
      <w:r>
        <w:rPr>
          <w:rFonts w:ascii="Arial" w:cs="Arial" w:eastAsia="Arial" w:hAnsi="Arial"/>
          <w:sz w:val="30"/>
          <w:szCs w:val="30"/>
          <w:color w:val="000000"/>
          <w:vertAlign w:val="superscript"/>
        </w:rPr>
        <w:t xml:space="preserve">             </w:t>
      </w:r>
      <w:r>
        <w:rPr>
          <w:sz w:val="20"/>
          <w:szCs w:val="20"/>
          <w:color w:val="auto"/>
        </w:rPr>
        <w:tab/>
      </w:r>
      <w:r>
        <w:rPr>
          <w:rFonts w:ascii="Arial" w:cs="Arial" w:eastAsia="Arial" w:hAnsi="Arial"/>
          <w:sz w:val="31"/>
          <w:szCs w:val="31"/>
          <w:color w:val="auto"/>
          <w:vertAlign w:val="superscript"/>
        </w:rPr>
        <w:t xml:space="preserve">    </w:t>
      </w:r>
      <w:r>
        <w:rPr>
          <w:sz w:val="20"/>
          <w:szCs w:val="20"/>
          <w:color w:val="auto"/>
        </w:rPr>
        <w:tab/>
      </w:r>
      <w:r>
        <w:rPr>
          <w:rFonts w:ascii="Arial" w:cs="Arial" w:eastAsia="Arial" w:hAnsi="Arial"/>
          <w:sz w:val="15"/>
          <w:szCs w:val="15"/>
          <w:b w:val="1"/>
          <w:bCs w:val="1"/>
          <w:color w:val="002B5F"/>
        </w:rPr>
        <w:t xml:space="preserve">8  </w:t>
      </w:r>
      <w:r>
        <w:rPr>
          <w:rFonts w:ascii="Arial" w:cs="Arial" w:eastAsia="Arial" w:hAnsi="Arial"/>
          <w:sz w:val="20"/>
          <w:szCs w:val="20"/>
          <w:color w:val="002B5F"/>
        </w:rPr>
        <w:t>|</w:t>
      </w:r>
      <w:r>
        <w:rPr>
          <w:rFonts w:ascii="Arial" w:cs="Arial" w:eastAsia="Arial" w:hAnsi="Arial"/>
          <w:sz w:val="15"/>
          <w:szCs w:val="15"/>
          <w:b w:val="1"/>
          <w:bCs w:val="1"/>
          <w:color w:val="002B5F"/>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6111875</wp:posOffset>
            </wp:positionH>
            <wp:positionV relativeFrom="paragraph">
              <wp:posOffset>-208915</wp:posOffset>
            </wp:positionV>
            <wp:extent cx="769620" cy="971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69620" cy="97155"/>
                    </a:xfrm>
                    <a:prstGeom prst="rect">
                      <a:avLst/>
                    </a:prstGeom>
                    <a:noFill/>
                  </pic:spPr>
                </pic:pic>
              </a:graphicData>
            </a:graphic>
          </wp:anchor>
        </w:drawing>
      </w:r>
    </w:p>
    <w:p>
      <w:pPr>
        <w:sectPr>
          <w:pgSz w:w="11900" w:h="16838" w:orient="portrait"/>
          <w:cols w:equalWidth="0" w:num="1">
            <w:col w:w="10700"/>
          </w:cols>
          <w:pgMar w:left="320" w:top="464" w:right="87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533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81215" cy="53340"/>
                    </a:xfrm>
                    <a:prstGeom prst="rect">
                      <a:avLst/>
                    </a:prstGeom>
                    <a:noFill/>
                  </pic:spPr>
                </pic:pic>
              </a:graphicData>
            </a:graphic>
          </wp:anchor>
        </w:drawing>
        <w:t>Table of Contents</w:t>
      </w:r>
    </w:p>
    <w:p>
      <w:pPr>
        <w:spacing w:after="0" w:line="200" w:lineRule="exact"/>
        <w:rPr>
          <w:sz w:val="20"/>
          <w:szCs w:val="20"/>
          <w:color w:val="auto"/>
        </w:rPr>
      </w:pPr>
    </w:p>
    <w:p>
      <w:pPr>
        <w:spacing w:after="0" w:line="276" w:lineRule="exact"/>
        <w:rPr>
          <w:sz w:val="20"/>
          <w:szCs w:val="20"/>
          <w:color w:val="auto"/>
        </w:rPr>
      </w:pPr>
    </w:p>
    <w:p>
      <w:pPr>
        <w:ind w:left="540" w:right="240"/>
        <w:spacing w:after="0" w:line="287" w:lineRule="auto"/>
        <w:rPr>
          <w:sz w:val="20"/>
          <w:szCs w:val="20"/>
          <w:color w:val="auto"/>
        </w:rPr>
      </w:pPr>
      <w:r>
        <w:rPr>
          <w:rFonts w:ascii="Arial" w:cs="Arial" w:eastAsia="Arial" w:hAnsi="Arial"/>
          <w:sz w:val="15"/>
          <w:szCs w:val="15"/>
          <w:color w:val="auto"/>
        </w:rPr>
        <w:t>The average age of our independent director nominees is 64, and the average tenure of our independent director nominees is ten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349885</wp:posOffset>
            </wp:positionH>
            <wp:positionV relativeFrom="paragraph">
              <wp:posOffset>118745</wp:posOffset>
            </wp:positionV>
            <wp:extent cx="4992370" cy="177482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4992370" cy="17748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540" w:right="260"/>
        <w:spacing w:after="0" w:line="287" w:lineRule="auto"/>
        <w:rPr>
          <w:sz w:val="20"/>
          <w:szCs w:val="20"/>
          <w:color w:val="auto"/>
        </w:rPr>
      </w:pPr>
      <w:r>
        <w:rPr>
          <w:rFonts w:ascii="Arial" w:cs="Arial" w:eastAsia="Arial" w:hAnsi="Arial"/>
          <w:sz w:val="15"/>
          <w:szCs w:val="15"/>
          <w:color w:val="auto"/>
        </w:rPr>
        <w:t>The charts and table below reflect the composition of our Board based on the self-identified characteristics of our director nominees, including Mr. Steinmeier.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349885</wp:posOffset>
            </wp:positionH>
            <wp:positionV relativeFrom="paragraph">
              <wp:posOffset>118745</wp:posOffset>
            </wp:positionV>
            <wp:extent cx="4992370" cy="177482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4992370" cy="17748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left="540"/>
        <w:spacing w:after="0"/>
        <w:rPr>
          <w:sz w:val="20"/>
          <w:szCs w:val="20"/>
          <w:color w:val="auto"/>
        </w:rPr>
      </w:pPr>
      <w:r>
        <w:rPr>
          <w:rFonts w:ascii="Arial" w:cs="Arial" w:eastAsia="Arial" w:hAnsi="Arial"/>
          <w:sz w:val="14"/>
          <w:szCs w:val="14"/>
          <w:b w:val="1"/>
          <w:bCs w:val="1"/>
          <w:color w:val="002B5F"/>
        </w:rPr>
        <w:t>Board Composition Matrix (as of [</w:t>
      </w:r>
      <w:r>
        <w:rPr>
          <w:rFonts w:ascii="Times New Roman" w:cs="Times New Roman" w:eastAsia="Times New Roman" w:hAnsi="Times New Roman"/>
          <w:sz w:val="14"/>
          <w:szCs w:val="14"/>
          <w:color w:val="002B5F"/>
        </w:rPr>
        <w:t>●</w:t>
      </w:r>
      <w:r>
        <w:rPr>
          <w:rFonts w:ascii="Arial" w:cs="Arial" w:eastAsia="Arial" w:hAnsi="Arial"/>
          <w:sz w:val="14"/>
          <w:szCs w:val="14"/>
          <w:b w:val="1"/>
          <w:bCs w:val="1"/>
          <w:color w:val="002B5F"/>
        </w:rPr>
        <w:t>], 2026)</w:t>
      </w:r>
    </w:p>
    <w:p>
      <w:pPr>
        <w:spacing w:after="0" w:line="32" w:lineRule="exact"/>
        <w:rPr>
          <w:sz w:val="20"/>
          <w:szCs w:val="20"/>
          <w:color w:val="auto"/>
        </w:rPr>
      </w:pPr>
    </w:p>
    <w:tbl>
      <w:tblPr>
        <w:tblLayout w:type="fixed"/>
        <w:tblInd w:w="540" w:type="dxa"/>
        <w:tblCellMar>
          <w:top w:w="0" w:type="dxa"/>
          <w:left w:w="0" w:type="dxa"/>
          <w:bottom w:w="0" w:type="dxa"/>
          <w:right w:w="0" w:type="dxa"/>
        </w:tblCellMar>
      </w:tblPr>
      <w:tr>
        <w:trPr>
          <w:trHeight w:val="222"/>
        </w:trPr>
        <w:tc>
          <w:tcPr>
            <w:tcW w:w="4560" w:type="dxa"/>
            <w:vAlign w:val="bottom"/>
            <w:tcBorders>
              <w:top w:val="single" w:sz="8" w:color="002B5F"/>
              <w:bottom w:val="single" w:sz="8" w:color="F7F1EC"/>
            </w:tcBorders>
            <w:shd w:val="clear" w:color="auto" w:fill="F7F1EC"/>
          </w:tcPr>
          <w:p>
            <w:pPr>
              <w:ind w:left="60"/>
              <w:spacing w:after="0"/>
              <w:rPr>
                <w:sz w:val="20"/>
                <w:szCs w:val="20"/>
                <w:color w:val="auto"/>
              </w:rPr>
            </w:pPr>
            <w:r>
              <w:rPr>
                <w:rFonts w:ascii="Arial" w:cs="Arial" w:eastAsia="Arial" w:hAnsi="Arial"/>
                <w:sz w:val="14"/>
                <w:szCs w:val="14"/>
                <w:b w:val="1"/>
                <w:bCs w:val="1"/>
                <w:color w:val="auto"/>
              </w:rPr>
              <w:t>Board Size:</w:t>
            </w:r>
          </w:p>
        </w:tc>
        <w:tc>
          <w:tcPr>
            <w:tcW w:w="1400" w:type="dxa"/>
            <w:vAlign w:val="bottom"/>
            <w:tcBorders>
              <w:top w:val="single" w:sz="8" w:color="002B5F"/>
              <w:bottom w:val="single" w:sz="8" w:color="F7F1EC"/>
            </w:tcBorders>
            <w:shd w:val="clear" w:color="auto" w:fill="F7F1EC"/>
          </w:tcPr>
          <w:p>
            <w:pPr>
              <w:spacing w:after="0"/>
              <w:rPr>
                <w:sz w:val="19"/>
                <w:szCs w:val="19"/>
                <w:color w:val="auto"/>
              </w:rPr>
            </w:pPr>
          </w:p>
        </w:tc>
        <w:tc>
          <w:tcPr>
            <w:tcW w:w="1920" w:type="dxa"/>
            <w:vAlign w:val="bottom"/>
            <w:tcBorders>
              <w:top w:val="single" w:sz="8" w:color="002B5F"/>
              <w:bottom w:val="single" w:sz="8" w:color="F7F1EC"/>
            </w:tcBorders>
            <w:shd w:val="clear" w:color="auto" w:fill="F7F1EC"/>
          </w:tcPr>
          <w:p>
            <w:pPr>
              <w:spacing w:after="0"/>
              <w:rPr>
                <w:sz w:val="19"/>
                <w:szCs w:val="19"/>
                <w:color w:val="auto"/>
              </w:rPr>
            </w:pPr>
          </w:p>
        </w:tc>
      </w:tr>
      <w:tr>
        <w:trPr>
          <w:trHeight w:val="197"/>
        </w:trPr>
        <w:tc>
          <w:tcPr>
            <w:tcW w:w="4560" w:type="dxa"/>
            <w:vAlign w:val="bottom"/>
          </w:tcPr>
          <w:p>
            <w:pPr>
              <w:ind w:left="60"/>
              <w:spacing w:after="0"/>
              <w:rPr>
                <w:sz w:val="20"/>
                <w:szCs w:val="20"/>
                <w:color w:val="auto"/>
              </w:rPr>
            </w:pPr>
            <w:r>
              <w:rPr>
                <w:rFonts w:ascii="Arial" w:cs="Arial" w:eastAsia="Arial" w:hAnsi="Arial"/>
                <w:sz w:val="14"/>
                <w:szCs w:val="14"/>
                <w:color w:val="auto"/>
              </w:rPr>
              <w:t>Total Number of Directors</w:t>
            </w:r>
          </w:p>
        </w:tc>
        <w:tc>
          <w:tcPr>
            <w:tcW w:w="1400" w:type="dxa"/>
            <w:vAlign w:val="bottom"/>
          </w:tcPr>
          <w:p>
            <w:pPr>
              <w:spacing w:after="0"/>
              <w:rPr>
                <w:sz w:val="17"/>
                <w:szCs w:val="17"/>
                <w:color w:val="auto"/>
              </w:rPr>
            </w:pPr>
          </w:p>
        </w:tc>
        <w:tc>
          <w:tcPr>
            <w:tcW w:w="1920" w:type="dxa"/>
            <w:vAlign w:val="bottom"/>
          </w:tcPr>
          <w:p>
            <w:pPr>
              <w:jc w:val="right"/>
              <w:ind w:right="1432"/>
              <w:spacing w:after="0"/>
              <w:rPr>
                <w:sz w:val="20"/>
                <w:szCs w:val="20"/>
                <w:color w:val="auto"/>
              </w:rPr>
            </w:pPr>
            <w:r>
              <w:rPr>
                <w:rFonts w:ascii="Arial" w:cs="Arial" w:eastAsia="Arial" w:hAnsi="Arial"/>
                <w:sz w:val="14"/>
                <w:szCs w:val="14"/>
                <w:color w:val="auto"/>
              </w:rPr>
              <w:t>11</w:t>
            </w:r>
          </w:p>
        </w:tc>
      </w:tr>
      <w:tr>
        <w:trPr>
          <w:trHeight w:val="33"/>
        </w:trPr>
        <w:tc>
          <w:tcPr>
            <w:tcW w:w="45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10"/>
        </w:trPr>
        <w:tc>
          <w:tcPr>
            <w:tcW w:w="4560" w:type="dxa"/>
            <w:vAlign w:val="bottom"/>
            <w:tcBorders>
              <w:bottom w:val="single" w:sz="8" w:color="F7F1EC"/>
            </w:tcBorders>
            <w:shd w:val="clear" w:color="auto" w:fill="F7F1EC"/>
          </w:tcPr>
          <w:p>
            <w:pPr>
              <w:ind w:left="60"/>
              <w:spacing w:after="0"/>
              <w:rPr>
                <w:sz w:val="20"/>
                <w:szCs w:val="20"/>
                <w:color w:val="auto"/>
              </w:rPr>
            </w:pPr>
            <w:r>
              <w:rPr>
                <w:rFonts w:ascii="Arial" w:cs="Arial" w:eastAsia="Arial" w:hAnsi="Arial"/>
                <w:sz w:val="14"/>
                <w:szCs w:val="14"/>
                <w:b w:val="1"/>
                <w:bCs w:val="1"/>
                <w:color w:val="auto"/>
              </w:rPr>
              <w:t>Gender</w:t>
            </w:r>
          </w:p>
        </w:tc>
        <w:tc>
          <w:tcPr>
            <w:tcW w:w="1400" w:type="dxa"/>
            <w:vAlign w:val="bottom"/>
            <w:tcBorders>
              <w:bottom w:val="single" w:sz="8" w:color="F7F1EC"/>
            </w:tcBorders>
            <w:shd w:val="clear" w:color="auto" w:fill="F7F1EC"/>
          </w:tcPr>
          <w:p>
            <w:pPr>
              <w:jc w:val="center"/>
              <w:ind w:left="452"/>
              <w:spacing w:after="0"/>
              <w:rPr>
                <w:sz w:val="20"/>
                <w:szCs w:val="20"/>
                <w:color w:val="auto"/>
              </w:rPr>
            </w:pPr>
            <w:r>
              <w:rPr>
                <w:rFonts w:ascii="Arial" w:cs="Arial" w:eastAsia="Arial" w:hAnsi="Arial"/>
                <w:sz w:val="14"/>
                <w:szCs w:val="14"/>
                <w:b w:val="1"/>
                <w:bCs w:val="1"/>
                <w:color w:val="auto"/>
              </w:rPr>
              <w:t>Male</w:t>
            </w:r>
          </w:p>
        </w:tc>
        <w:tc>
          <w:tcPr>
            <w:tcW w:w="1920" w:type="dxa"/>
            <w:vAlign w:val="bottom"/>
            <w:tcBorders>
              <w:bottom w:val="single" w:sz="8" w:color="F7F1EC"/>
            </w:tcBorders>
            <w:shd w:val="clear" w:color="auto" w:fill="F7F1EC"/>
          </w:tcPr>
          <w:p>
            <w:pPr>
              <w:jc w:val="center"/>
              <w:ind w:left="432"/>
              <w:spacing w:after="0"/>
              <w:rPr>
                <w:sz w:val="20"/>
                <w:szCs w:val="20"/>
                <w:color w:val="auto"/>
              </w:rPr>
            </w:pPr>
            <w:r>
              <w:rPr>
                <w:rFonts w:ascii="Arial" w:cs="Arial" w:eastAsia="Arial" w:hAnsi="Arial"/>
                <w:sz w:val="14"/>
                <w:szCs w:val="14"/>
                <w:b w:val="1"/>
                <w:bCs w:val="1"/>
                <w:color w:val="auto"/>
                <w:w w:val="95"/>
              </w:rPr>
              <w:t>Female</w:t>
            </w:r>
          </w:p>
        </w:tc>
      </w:tr>
      <w:tr>
        <w:trPr>
          <w:trHeight w:val="197"/>
        </w:trPr>
        <w:tc>
          <w:tcPr>
            <w:tcW w:w="4560" w:type="dxa"/>
            <w:vAlign w:val="bottom"/>
          </w:tcPr>
          <w:p>
            <w:pPr>
              <w:ind w:left="60"/>
              <w:spacing w:after="0"/>
              <w:rPr>
                <w:sz w:val="20"/>
                <w:szCs w:val="20"/>
                <w:color w:val="auto"/>
              </w:rPr>
            </w:pPr>
            <w:r>
              <w:rPr>
                <w:rFonts w:ascii="Arial" w:cs="Arial" w:eastAsia="Arial" w:hAnsi="Arial"/>
                <w:sz w:val="14"/>
                <w:szCs w:val="14"/>
                <w:color w:val="auto"/>
              </w:rPr>
              <w:t>Directors</w:t>
            </w:r>
          </w:p>
        </w:tc>
        <w:tc>
          <w:tcPr>
            <w:tcW w:w="1400" w:type="dxa"/>
            <w:vAlign w:val="bottom"/>
          </w:tcPr>
          <w:p>
            <w:pPr>
              <w:jc w:val="center"/>
              <w:ind w:left="452"/>
              <w:spacing w:after="0"/>
              <w:rPr>
                <w:sz w:val="20"/>
                <w:szCs w:val="20"/>
                <w:color w:val="auto"/>
              </w:rPr>
            </w:pPr>
            <w:r>
              <w:rPr>
                <w:rFonts w:ascii="Arial" w:cs="Arial" w:eastAsia="Arial" w:hAnsi="Arial"/>
                <w:sz w:val="14"/>
                <w:szCs w:val="14"/>
                <w:color w:val="auto"/>
              </w:rPr>
              <w:t>8</w:t>
            </w:r>
          </w:p>
        </w:tc>
        <w:tc>
          <w:tcPr>
            <w:tcW w:w="1920" w:type="dxa"/>
            <w:vAlign w:val="bottom"/>
          </w:tcPr>
          <w:p>
            <w:pPr>
              <w:jc w:val="center"/>
              <w:ind w:left="412"/>
              <w:spacing w:after="0"/>
              <w:rPr>
                <w:sz w:val="20"/>
                <w:szCs w:val="20"/>
                <w:color w:val="auto"/>
              </w:rPr>
            </w:pPr>
            <w:r>
              <w:rPr>
                <w:rFonts w:ascii="Arial" w:cs="Arial" w:eastAsia="Arial" w:hAnsi="Arial"/>
                <w:sz w:val="14"/>
                <w:szCs w:val="14"/>
                <w:color w:val="auto"/>
              </w:rPr>
              <w:t>3</w:t>
            </w:r>
          </w:p>
        </w:tc>
      </w:tr>
      <w:tr>
        <w:trPr>
          <w:trHeight w:val="33"/>
        </w:trPr>
        <w:tc>
          <w:tcPr>
            <w:tcW w:w="45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10"/>
        </w:trPr>
        <w:tc>
          <w:tcPr>
            <w:tcW w:w="4560" w:type="dxa"/>
            <w:vAlign w:val="bottom"/>
            <w:tcBorders>
              <w:bottom w:val="single" w:sz="8" w:color="F7F1EC"/>
            </w:tcBorders>
            <w:shd w:val="clear" w:color="auto" w:fill="F7F1EC"/>
          </w:tcPr>
          <w:p>
            <w:pPr>
              <w:ind w:left="60"/>
              <w:spacing w:after="0"/>
              <w:rPr>
                <w:sz w:val="20"/>
                <w:szCs w:val="20"/>
                <w:color w:val="auto"/>
              </w:rPr>
            </w:pPr>
            <w:r>
              <w:rPr>
                <w:rFonts w:ascii="Arial" w:cs="Arial" w:eastAsia="Arial" w:hAnsi="Arial"/>
                <w:sz w:val="14"/>
                <w:szCs w:val="14"/>
                <w:b w:val="1"/>
                <w:bCs w:val="1"/>
                <w:color w:val="auto"/>
              </w:rPr>
              <w:t>Demographic Background</w:t>
            </w:r>
          </w:p>
        </w:tc>
        <w:tc>
          <w:tcPr>
            <w:tcW w:w="1400" w:type="dxa"/>
            <w:vAlign w:val="bottom"/>
            <w:tcBorders>
              <w:bottom w:val="single" w:sz="8" w:color="F7F1EC"/>
            </w:tcBorders>
            <w:shd w:val="clear" w:color="auto" w:fill="F7F1EC"/>
          </w:tcPr>
          <w:p>
            <w:pPr>
              <w:spacing w:after="0"/>
              <w:rPr>
                <w:sz w:val="18"/>
                <w:szCs w:val="18"/>
                <w:color w:val="auto"/>
              </w:rPr>
            </w:pPr>
          </w:p>
        </w:tc>
        <w:tc>
          <w:tcPr>
            <w:tcW w:w="1920" w:type="dxa"/>
            <w:vAlign w:val="bottom"/>
            <w:tcBorders>
              <w:bottom w:val="single" w:sz="8" w:color="F7F1EC"/>
            </w:tcBorders>
            <w:shd w:val="clear" w:color="auto" w:fill="F7F1EC"/>
          </w:tcPr>
          <w:p>
            <w:pPr>
              <w:spacing w:after="0"/>
              <w:rPr>
                <w:sz w:val="18"/>
                <w:szCs w:val="18"/>
                <w:color w:val="auto"/>
              </w:rPr>
            </w:pPr>
          </w:p>
        </w:tc>
      </w:tr>
      <w:tr>
        <w:trPr>
          <w:trHeight w:val="197"/>
        </w:trPr>
        <w:tc>
          <w:tcPr>
            <w:tcW w:w="4560" w:type="dxa"/>
            <w:vAlign w:val="bottom"/>
          </w:tcPr>
          <w:p>
            <w:pPr>
              <w:ind w:left="60"/>
              <w:spacing w:after="0"/>
              <w:rPr>
                <w:sz w:val="20"/>
                <w:szCs w:val="20"/>
                <w:color w:val="auto"/>
              </w:rPr>
            </w:pPr>
            <w:r>
              <w:rPr>
                <w:rFonts w:ascii="Arial" w:cs="Arial" w:eastAsia="Arial" w:hAnsi="Arial"/>
                <w:sz w:val="14"/>
                <w:szCs w:val="14"/>
                <w:color w:val="auto"/>
              </w:rPr>
              <w:t>African American or Black</w:t>
            </w:r>
          </w:p>
        </w:tc>
        <w:tc>
          <w:tcPr>
            <w:tcW w:w="1400" w:type="dxa"/>
            <w:vAlign w:val="bottom"/>
          </w:tcPr>
          <w:p>
            <w:pPr>
              <w:jc w:val="center"/>
              <w:ind w:left="452"/>
              <w:spacing w:after="0"/>
              <w:rPr>
                <w:sz w:val="20"/>
                <w:szCs w:val="20"/>
                <w:color w:val="auto"/>
              </w:rPr>
            </w:pPr>
            <w:r>
              <w:rPr>
                <w:rFonts w:ascii="Arial" w:cs="Arial" w:eastAsia="Arial" w:hAnsi="Arial"/>
                <w:sz w:val="14"/>
                <w:szCs w:val="14"/>
                <w:color w:val="auto"/>
              </w:rPr>
              <w:t>1</w:t>
            </w:r>
          </w:p>
        </w:tc>
        <w:tc>
          <w:tcPr>
            <w:tcW w:w="1920" w:type="dxa"/>
            <w:vAlign w:val="bottom"/>
          </w:tcPr>
          <w:p>
            <w:pPr>
              <w:spacing w:after="0"/>
              <w:rPr>
                <w:sz w:val="17"/>
                <w:szCs w:val="17"/>
                <w:color w:val="auto"/>
              </w:rPr>
            </w:pPr>
          </w:p>
        </w:tc>
      </w:tr>
      <w:tr>
        <w:trPr>
          <w:trHeight w:val="33"/>
        </w:trPr>
        <w:tc>
          <w:tcPr>
            <w:tcW w:w="45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10"/>
        </w:trPr>
        <w:tc>
          <w:tcPr>
            <w:tcW w:w="4560" w:type="dxa"/>
            <w:vAlign w:val="bottom"/>
            <w:tcBorders>
              <w:bottom w:val="single" w:sz="8" w:color="F7F1EC"/>
            </w:tcBorders>
            <w:shd w:val="clear" w:color="auto" w:fill="F7F1EC"/>
          </w:tcPr>
          <w:p>
            <w:pPr>
              <w:ind w:left="60"/>
              <w:spacing w:after="0"/>
              <w:rPr>
                <w:sz w:val="20"/>
                <w:szCs w:val="20"/>
                <w:color w:val="auto"/>
              </w:rPr>
            </w:pPr>
            <w:r>
              <w:rPr>
                <w:rFonts w:ascii="Arial" w:cs="Arial" w:eastAsia="Arial" w:hAnsi="Arial"/>
                <w:sz w:val="14"/>
                <w:szCs w:val="14"/>
                <w:color w:val="auto"/>
              </w:rPr>
              <w:t>Alaskan Native or American Indian</w:t>
            </w:r>
          </w:p>
        </w:tc>
        <w:tc>
          <w:tcPr>
            <w:tcW w:w="1400" w:type="dxa"/>
            <w:vAlign w:val="bottom"/>
            <w:tcBorders>
              <w:bottom w:val="single" w:sz="8" w:color="F7F1EC"/>
            </w:tcBorders>
            <w:shd w:val="clear" w:color="auto" w:fill="F7F1EC"/>
          </w:tcPr>
          <w:p>
            <w:pPr>
              <w:spacing w:after="0"/>
              <w:rPr>
                <w:sz w:val="18"/>
                <w:szCs w:val="18"/>
                <w:color w:val="auto"/>
              </w:rPr>
            </w:pPr>
          </w:p>
        </w:tc>
        <w:tc>
          <w:tcPr>
            <w:tcW w:w="1920" w:type="dxa"/>
            <w:vAlign w:val="bottom"/>
            <w:tcBorders>
              <w:bottom w:val="single" w:sz="8" w:color="F7F1EC"/>
            </w:tcBorders>
            <w:shd w:val="clear" w:color="auto" w:fill="F7F1EC"/>
          </w:tcPr>
          <w:p>
            <w:pPr>
              <w:spacing w:after="0"/>
              <w:rPr>
                <w:sz w:val="18"/>
                <w:szCs w:val="18"/>
                <w:color w:val="auto"/>
              </w:rPr>
            </w:pPr>
          </w:p>
        </w:tc>
      </w:tr>
      <w:tr>
        <w:trPr>
          <w:trHeight w:val="197"/>
        </w:trPr>
        <w:tc>
          <w:tcPr>
            <w:tcW w:w="4560" w:type="dxa"/>
            <w:vAlign w:val="bottom"/>
          </w:tcPr>
          <w:p>
            <w:pPr>
              <w:ind w:left="60"/>
              <w:spacing w:after="0"/>
              <w:rPr>
                <w:sz w:val="20"/>
                <w:szCs w:val="20"/>
                <w:color w:val="auto"/>
              </w:rPr>
            </w:pPr>
            <w:r>
              <w:rPr>
                <w:rFonts w:ascii="Arial" w:cs="Arial" w:eastAsia="Arial" w:hAnsi="Arial"/>
                <w:sz w:val="14"/>
                <w:szCs w:val="14"/>
                <w:color w:val="auto"/>
              </w:rPr>
              <w:t>Asian</w:t>
            </w:r>
          </w:p>
        </w:tc>
        <w:tc>
          <w:tcPr>
            <w:tcW w:w="1400" w:type="dxa"/>
            <w:vAlign w:val="bottom"/>
          </w:tcPr>
          <w:p>
            <w:pPr>
              <w:jc w:val="center"/>
              <w:ind w:left="452"/>
              <w:spacing w:after="0"/>
              <w:rPr>
                <w:sz w:val="20"/>
                <w:szCs w:val="20"/>
                <w:color w:val="auto"/>
              </w:rPr>
            </w:pPr>
            <w:r>
              <w:rPr>
                <w:rFonts w:ascii="Arial" w:cs="Arial" w:eastAsia="Arial" w:hAnsi="Arial"/>
                <w:sz w:val="14"/>
                <w:szCs w:val="14"/>
                <w:color w:val="auto"/>
              </w:rPr>
              <w:t>2</w:t>
            </w:r>
          </w:p>
        </w:tc>
        <w:tc>
          <w:tcPr>
            <w:tcW w:w="1920" w:type="dxa"/>
            <w:vAlign w:val="bottom"/>
          </w:tcPr>
          <w:p>
            <w:pPr>
              <w:spacing w:after="0"/>
              <w:rPr>
                <w:sz w:val="17"/>
                <w:szCs w:val="17"/>
                <w:color w:val="auto"/>
              </w:rPr>
            </w:pPr>
          </w:p>
        </w:tc>
      </w:tr>
      <w:tr>
        <w:trPr>
          <w:trHeight w:val="33"/>
        </w:trPr>
        <w:tc>
          <w:tcPr>
            <w:tcW w:w="45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10"/>
        </w:trPr>
        <w:tc>
          <w:tcPr>
            <w:tcW w:w="4560" w:type="dxa"/>
            <w:vAlign w:val="bottom"/>
            <w:tcBorders>
              <w:bottom w:val="single" w:sz="8" w:color="F7F1EC"/>
            </w:tcBorders>
            <w:shd w:val="clear" w:color="auto" w:fill="F7F1EC"/>
          </w:tcPr>
          <w:p>
            <w:pPr>
              <w:ind w:left="60"/>
              <w:spacing w:after="0"/>
              <w:rPr>
                <w:sz w:val="20"/>
                <w:szCs w:val="20"/>
                <w:color w:val="auto"/>
              </w:rPr>
            </w:pPr>
            <w:r>
              <w:rPr>
                <w:rFonts w:ascii="Arial" w:cs="Arial" w:eastAsia="Arial" w:hAnsi="Arial"/>
                <w:sz w:val="14"/>
                <w:szCs w:val="14"/>
                <w:color w:val="auto"/>
              </w:rPr>
              <w:t>Hispanic or Latinx</w:t>
            </w:r>
          </w:p>
        </w:tc>
        <w:tc>
          <w:tcPr>
            <w:tcW w:w="1400" w:type="dxa"/>
            <w:vAlign w:val="bottom"/>
            <w:tcBorders>
              <w:bottom w:val="single" w:sz="8" w:color="F7F1EC"/>
            </w:tcBorders>
            <w:shd w:val="clear" w:color="auto" w:fill="F7F1EC"/>
          </w:tcPr>
          <w:p>
            <w:pPr>
              <w:spacing w:after="0"/>
              <w:rPr>
                <w:sz w:val="18"/>
                <w:szCs w:val="18"/>
                <w:color w:val="auto"/>
              </w:rPr>
            </w:pPr>
          </w:p>
        </w:tc>
        <w:tc>
          <w:tcPr>
            <w:tcW w:w="1920" w:type="dxa"/>
            <w:vAlign w:val="bottom"/>
            <w:tcBorders>
              <w:bottom w:val="single" w:sz="8" w:color="F7F1EC"/>
            </w:tcBorders>
            <w:shd w:val="clear" w:color="auto" w:fill="F7F1EC"/>
          </w:tcPr>
          <w:p>
            <w:pPr>
              <w:spacing w:after="0"/>
              <w:rPr>
                <w:sz w:val="18"/>
                <w:szCs w:val="18"/>
                <w:color w:val="auto"/>
              </w:rPr>
            </w:pPr>
          </w:p>
        </w:tc>
      </w:tr>
      <w:tr>
        <w:trPr>
          <w:trHeight w:val="197"/>
        </w:trPr>
        <w:tc>
          <w:tcPr>
            <w:tcW w:w="4560" w:type="dxa"/>
            <w:vAlign w:val="bottom"/>
          </w:tcPr>
          <w:p>
            <w:pPr>
              <w:ind w:left="60"/>
              <w:spacing w:after="0"/>
              <w:rPr>
                <w:sz w:val="20"/>
                <w:szCs w:val="20"/>
                <w:color w:val="auto"/>
              </w:rPr>
            </w:pPr>
            <w:r>
              <w:rPr>
                <w:rFonts w:ascii="Arial" w:cs="Arial" w:eastAsia="Arial" w:hAnsi="Arial"/>
                <w:sz w:val="14"/>
                <w:szCs w:val="14"/>
                <w:color w:val="auto"/>
              </w:rPr>
              <w:t>Native Hawaiian or Pacific Islander</w:t>
            </w:r>
          </w:p>
        </w:tc>
        <w:tc>
          <w:tcPr>
            <w:tcW w:w="1400" w:type="dxa"/>
            <w:vAlign w:val="bottom"/>
          </w:tcPr>
          <w:p>
            <w:pPr>
              <w:spacing w:after="0"/>
              <w:rPr>
                <w:sz w:val="17"/>
                <w:szCs w:val="17"/>
                <w:color w:val="auto"/>
              </w:rPr>
            </w:pPr>
          </w:p>
        </w:tc>
        <w:tc>
          <w:tcPr>
            <w:tcW w:w="1920" w:type="dxa"/>
            <w:vAlign w:val="bottom"/>
          </w:tcPr>
          <w:p>
            <w:pPr>
              <w:spacing w:after="0"/>
              <w:rPr>
                <w:sz w:val="17"/>
                <w:szCs w:val="17"/>
                <w:color w:val="auto"/>
              </w:rPr>
            </w:pPr>
          </w:p>
        </w:tc>
      </w:tr>
      <w:tr>
        <w:trPr>
          <w:trHeight w:val="33"/>
        </w:trPr>
        <w:tc>
          <w:tcPr>
            <w:tcW w:w="45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10"/>
        </w:trPr>
        <w:tc>
          <w:tcPr>
            <w:tcW w:w="4560" w:type="dxa"/>
            <w:vAlign w:val="bottom"/>
            <w:tcBorders>
              <w:bottom w:val="single" w:sz="8" w:color="F7F1EC"/>
            </w:tcBorders>
            <w:shd w:val="clear" w:color="auto" w:fill="F7F1EC"/>
          </w:tcPr>
          <w:p>
            <w:pPr>
              <w:ind w:left="60"/>
              <w:spacing w:after="0"/>
              <w:rPr>
                <w:sz w:val="20"/>
                <w:szCs w:val="20"/>
                <w:color w:val="auto"/>
              </w:rPr>
            </w:pPr>
            <w:r>
              <w:rPr>
                <w:rFonts w:ascii="Arial" w:cs="Arial" w:eastAsia="Arial" w:hAnsi="Arial"/>
                <w:sz w:val="14"/>
                <w:szCs w:val="14"/>
                <w:color w:val="auto"/>
              </w:rPr>
              <w:t>White</w:t>
            </w:r>
          </w:p>
        </w:tc>
        <w:tc>
          <w:tcPr>
            <w:tcW w:w="1400" w:type="dxa"/>
            <w:vAlign w:val="bottom"/>
            <w:tcBorders>
              <w:bottom w:val="single" w:sz="8" w:color="F7F1EC"/>
            </w:tcBorders>
            <w:shd w:val="clear" w:color="auto" w:fill="F7F1EC"/>
          </w:tcPr>
          <w:p>
            <w:pPr>
              <w:jc w:val="center"/>
              <w:ind w:left="452"/>
              <w:spacing w:after="0"/>
              <w:rPr>
                <w:sz w:val="20"/>
                <w:szCs w:val="20"/>
                <w:color w:val="auto"/>
              </w:rPr>
            </w:pPr>
            <w:r>
              <w:rPr>
                <w:rFonts w:ascii="Arial" w:cs="Arial" w:eastAsia="Arial" w:hAnsi="Arial"/>
                <w:sz w:val="14"/>
                <w:szCs w:val="14"/>
                <w:color w:val="auto"/>
              </w:rPr>
              <w:t>5</w:t>
            </w:r>
          </w:p>
        </w:tc>
        <w:tc>
          <w:tcPr>
            <w:tcW w:w="1920" w:type="dxa"/>
            <w:vAlign w:val="bottom"/>
            <w:tcBorders>
              <w:bottom w:val="single" w:sz="8" w:color="F7F1EC"/>
            </w:tcBorders>
            <w:shd w:val="clear" w:color="auto" w:fill="F7F1EC"/>
          </w:tcPr>
          <w:p>
            <w:pPr>
              <w:jc w:val="center"/>
              <w:ind w:left="412"/>
              <w:spacing w:after="0"/>
              <w:rPr>
                <w:sz w:val="20"/>
                <w:szCs w:val="20"/>
                <w:color w:val="auto"/>
              </w:rPr>
            </w:pPr>
            <w:r>
              <w:rPr>
                <w:rFonts w:ascii="Arial" w:cs="Arial" w:eastAsia="Arial" w:hAnsi="Arial"/>
                <w:sz w:val="14"/>
                <w:szCs w:val="14"/>
                <w:color w:val="auto"/>
              </w:rPr>
              <w:t>3</w:t>
            </w:r>
          </w:p>
        </w:tc>
      </w:tr>
      <w:tr>
        <w:trPr>
          <w:trHeight w:val="197"/>
        </w:trPr>
        <w:tc>
          <w:tcPr>
            <w:tcW w:w="4560" w:type="dxa"/>
            <w:vAlign w:val="bottom"/>
          </w:tcPr>
          <w:p>
            <w:pPr>
              <w:ind w:left="60"/>
              <w:spacing w:after="0"/>
              <w:rPr>
                <w:sz w:val="20"/>
                <w:szCs w:val="20"/>
                <w:color w:val="auto"/>
              </w:rPr>
            </w:pPr>
            <w:r>
              <w:rPr>
                <w:rFonts w:ascii="Arial" w:cs="Arial" w:eastAsia="Arial" w:hAnsi="Arial"/>
                <w:sz w:val="14"/>
                <w:szCs w:val="14"/>
                <w:color w:val="auto"/>
              </w:rPr>
              <w:t>Two or More Races or Ethnicities</w:t>
            </w:r>
          </w:p>
        </w:tc>
        <w:tc>
          <w:tcPr>
            <w:tcW w:w="1400" w:type="dxa"/>
            <w:vAlign w:val="bottom"/>
          </w:tcPr>
          <w:p>
            <w:pPr>
              <w:spacing w:after="0"/>
              <w:rPr>
                <w:sz w:val="17"/>
                <w:szCs w:val="17"/>
                <w:color w:val="auto"/>
              </w:rPr>
            </w:pPr>
          </w:p>
        </w:tc>
        <w:tc>
          <w:tcPr>
            <w:tcW w:w="1920" w:type="dxa"/>
            <w:vAlign w:val="bottom"/>
          </w:tcPr>
          <w:p>
            <w:pPr>
              <w:spacing w:after="0"/>
              <w:rPr>
                <w:sz w:val="17"/>
                <w:szCs w:val="17"/>
                <w:color w:val="auto"/>
              </w:rPr>
            </w:pPr>
          </w:p>
        </w:tc>
      </w:tr>
      <w:tr>
        <w:trPr>
          <w:trHeight w:val="33"/>
        </w:trPr>
        <w:tc>
          <w:tcPr>
            <w:tcW w:w="45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48"/>
        </w:trPr>
        <w:tc>
          <w:tcPr>
            <w:tcW w:w="4560" w:type="dxa"/>
            <w:vAlign w:val="bottom"/>
            <w:shd w:val="clear" w:color="auto" w:fill="F7F1EC"/>
          </w:tcPr>
          <w:p>
            <w:pPr>
              <w:ind w:left="60"/>
              <w:spacing w:after="0"/>
              <w:rPr>
                <w:sz w:val="20"/>
                <w:szCs w:val="20"/>
                <w:color w:val="auto"/>
              </w:rPr>
            </w:pPr>
            <w:r>
              <w:rPr>
                <w:rFonts w:ascii="Arial" w:cs="Arial" w:eastAsia="Arial" w:hAnsi="Arial"/>
                <w:sz w:val="14"/>
                <w:szCs w:val="14"/>
                <w:color w:val="auto"/>
              </w:rPr>
              <w:t>LGBTQ+</w:t>
            </w:r>
          </w:p>
        </w:tc>
        <w:tc>
          <w:tcPr>
            <w:tcW w:w="1400" w:type="dxa"/>
            <w:vAlign w:val="bottom"/>
            <w:shd w:val="clear" w:color="auto" w:fill="F7F1EC"/>
          </w:tcPr>
          <w:p>
            <w:pPr>
              <w:spacing w:after="0"/>
              <w:rPr>
                <w:sz w:val="21"/>
                <w:szCs w:val="21"/>
                <w:color w:val="auto"/>
              </w:rPr>
            </w:pPr>
          </w:p>
        </w:tc>
        <w:tc>
          <w:tcPr>
            <w:tcW w:w="1920" w:type="dxa"/>
            <w:vAlign w:val="bottom"/>
            <w:shd w:val="clear" w:color="auto" w:fill="F7F1EC"/>
          </w:tcPr>
          <w:p>
            <w:pPr>
              <w:spacing w:after="0"/>
              <w:rPr>
                <w:sz w:val="21"/>
                <w:szCs w:val="21"/>
                <w:color w:val="auto"/>
              </w:rPr>
            </w:pPr>
          </w:p>
        </w:tc>
      </w:tr>
      <w:tr>
        <w:trPr>
          <w:trHeight w:val="33"/>
        </w:trPr>
        <w:tc>
          <w:tcPr>
            <w:tcW w:w="4560" w:type="dxa"/>
            <w:vAlign w:val="bottom"/>
            <w:shd w:val="clear" w:color="auto" w:fill="F7F1EC"/>
          </w:tcPr>
          <w:p>
            <w:pPr>
              <w:spacing w:after="0"/>
              <w:rPr>
                <w:sz w:val="2"/>
                <w:szCs w:val="2"/>
                <w:color w:val="auto"/>
              </w:rPr>
            </w:pPr>
          </w:p>
        </w:tc>
        <w:tc>
          <w:tcPr>
            <w:tcW w:w="1400" w:type="dxa"/>
            <w:vAlign w:val="bottom"/>
            <w:shd w:val="clear" w:color="auto" w:fill="F7F1EC"/>
          </w:tcPr>
          <w:p>
            <w:pPr>
              <w:spacing w:after="0"/>
              <w:rPr>
                <w:sz w:val="2"/>
                <w:szCs w:val="2"/>
                <w:color w:val="auto"/>
              </w:rPr>
            </w:pPr>
          </w:p>
        </w:tc>
        <w:tc>
          <w:tcPr>
            <w:tcW w:w="1920" w:type="dxa"/>
            <w:vAlign w:val="bottom"/>
            <w:shd w:val="clear" w:color="auto" w:fill="F7F1EC"/>
          </w:tcPr>
          <w:p>
            <w:pPr>
              <w:spacing w:after="0"/>
              <w:rPr>
                <w:sz w:val="2"/>
                <w:szCs w:val="2"/>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2"/>
        </w:trPr>
        <w:tc>
          <w:tcPr>
            <w:tcW w:w="200" w:type="dxa"/>
            <w:vAlign w:val="bottom"/>
          </w:tcPr>
          <w:p>
            <w:pPr>
              <w:spacing w:after="0"/>
              <w:rPr>
                <w:sz w:val="20"/>
                <w:szCs w:val="20"/>
                <w:color w:val="auto"/>
              </w:rPr>
            </w:pPr>
            <w:r>
              <w:rPr>
                <w:rFonts w:ascii="Arial" w:cs="Arial" w:eastAsia="Arial" w:hAnsi="Arial"/>
                <w:sz w:val="15"/>
                <w:szCs w:val="15"/>
                <w:color w:val="auto"/>
              </w:rPr>
              <w:t> </w:t>
            </w:r>
          </w:p>
        </w:tc>
        <w:tc>
          <w:tcPr>
            <w:tcW w:w="1280" w:type="dxa"/>
            <w:vAlign w:val="bottom"/>
          </w:tcPr>
          <w:p>
            <w:pPr>
              <w:ind w:left="140"/>
              <w:spacing w:after="0"/>
              <w:rPr>
                <w:sz w:val="20"/>
                <w:szCs w:val="20"/>
                <w:color w:val="auto"/>
              </w:rPr>
            </w:pPr>
            <w:r>
              <w:rPr>
                <w:rFonts w:ascii="Arial" w:cs="Arial" w:eastAsia="Arial" w:hAnsi="Arial"/>
                <w:sz w:val="12"/>
                <w:szCs w:val="12"/>
                <w:color w:val="FFFFFF"/>
              </w:rPr>
              <w:t>General</w:t>
            </w:r>
          </w:p>
        </w:tc>
        <w:tc>
          <w:tcPr>
            <w:tcW w:w="440" w:type="dxa"/>
            <w:vAlign w:val="bottom"/>
          </w:tcPr>
          <w:p>
            <w:pPr>
              <w:ind w:left="80"/>
              <w:spacing w:after="0"/>
              <w:rPr>
                <w:sz w:val="20"/>
                <w:szCs w:val="20"/>
                <w:color w:val="auto"/>
              </w:rPr>
            </w:pPr>
            <w:r>
              <w:rPr>
                <w:rFonts w:ascii="Arial" w:cs="Arial" w:eastAsia="Arial" w:hAnsi="Arial"/>
                <w:sz w:val="15"/>
                <w:szCs w:val="15"/>
                <w:color w:val="auto"/>
              </w:rPr>
              <w:t xml:space="preserve">       </w:t>
            </w:r>
          </w:p>
        </w:tc>
      </w:tr>
      <w:tr>
        <w:trPr>
          <w:trHeight w:val="158"/>
        </w:trPr>
        <w:tc>
          <w:tcPr>
            <w:tcW w:w="200" w:type="dxa"/>
            <w:vAlign w:val="bottom"/>
          </w:tcPr>
          <w:p>
            <w:pPr>
              <w:spacing w:after="0"/>
              <w:rPr>
                <w:sz w:val="13"/>
                <w:szCs w:val="13"/>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Information</w:t>
            </w:r>
          </w:p>
        </w:tc>
        <w:tc>
          <w:tcPr>
            <w:tcW w:w="440" w:type="dxa"/>
            <w:vAlign w:val="bottom"/>
          </w:tcPr>
          <w:p>
            <w:pPr>
              <w:spacing w:after="0"/>
              <w:rPr>
                <w:sz w:val="13"/>
                <w:szCs w:val="13"/>
                <w:color w:val="auto"/>
              </w:rPr>
            </w:pPr>
          </w:p>
        </w:tc>
      </w:tr>
      <w:tr>
        <w:trPr>
          <w:trHeight w:val="233"/>
        </w:trPr>
        <w:tc>
          <w:tcPr>
            <w:tcW w:w="200" w:type="dxa"/>
            <w:vAlign w:val="bottom"/>
          </w:tcPr>
          <w:p>
            <w:pPr>
              <w:spacing w:after="0"/>
              <w:rPr>
                <w:sz w:val="20"/>
                <w:szCs w:val="20"/>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General Information</w:t>
            </w:r>
          </w:p>
        </w:tc>
        <w:tc>
          <w:tcPr>
            <w:tcW w:w="440" w:type="dxa"/>
            <w:vAlign w:val="bottom"/>
          </w:tcPr>
          <w:p>
            <w:pPr>
              <w:spacing w:after="0"/>
              <w:rPr>
                <w:sz w:val="20"/>
                <w:szCs w:val="20"/>
                <w:color w:val="auto"/>
              </w:rPr>
            </w:pPr>
          </w:p>
        </w:tc>
      </w:tr>
      <w:tr>
        <w:trPr>
          <w:trHeight w:val="128"/>
        </w:trPr>
        <w:tc>
          <w:tcPr>
            <w:tcW w:w="200" w:type="dxa"/>
            <w:vAlign w:val="bottom"/>
          </w:tcPr>
          <w:p>
            <w:pPr>
              <w:spacing w:after="0"/>
              <w:rPr>
                <w:sz w:val="11"/>
                <w:szCs w:val="11"/>
                <w:color w:val="auto"/>
              </w:rPr>
            </w:pPr>
          </w:p>
        </w:tc>
        <w:tc>
          <w:tcPr>
            <w:tcW w:w="1280" w:type="dxa"/>
            <w:vAlign w:val="bottom"/>
          </w:tcPr>
          <w:p>
            <w:pPr>
              <w:ind w:left="140"/>
              <w:spacing w:after="0" w:line="128" w:lineRule="exact"/>
              <w:rPr>
                <w:sz w:val="20"/>
                <w:szCs w:val="20"/>
                <w:color w:val="auto"/>
              </w:rPr>
            </w:pPr>
            <w:r>
              <w:rPr>
                <w:rFonts w:ascii="Arial" w:cs="Arial" w:eastAsia="Arial" w:hAnsi="Arial"/>
                <w:sz w:val="12"/>
                <w:szCs w:val="12"/>
                <w:color w:val="FFFFFF"/>
              </w:rPr>
              <w:t>About Corporate</w:t>
            </w:r>
          </w:p>
        </w:tc>
        <w:tc>
          <w:tcPr>
            <w:tcW w:w="440" w:type="dxa"/>
            <w:vAlign w:val="bottom"/>
          </w:tcPr>
          <w:p>
            <w:pPr>
              <w:spacing w:after="0"/>
              <w:rPr>
                <w:sz w:val="11"/>
                <w:szCs w:val="11"/>
                <w:color w:val="auto"/>
              </w:rPr>
            </w:pPr>
          </w:p>
        </w:tc>
      </w:tr>
      <w:tr>
        <w:trPr>
          <w:trHeight w:val="128"/>
        </w:trPr>
        <w:tc>
          <w:tcPr>
            <w:tcW w:w="200" w:type="dxa"/>
            <w:vAlign w:val="bottom"/>
          </w:tcPr>
          <w:p>
            <w:pPr>
              <w:spacing w:after="0"/>
              <w:rPr>
                <w:sz w:val="11"/>
                <w:szCs w:val="11"/>
                <w:color w:val="auto"/>
              </w:rPr>
            </w:pPr>
          </w:p>
        </w:tc>
        <w:tc>
          <w:tcPr>
            <w:tcW w:w="1280" w:type="dxa"/>
            <w:vAlign w:val="bottom"/>
          </w:tcPr>
          <w:p>
            <w:pPr>
              <w:ind w:left="140"/>
              <w:spacing w:after="0" w:line="128" w:lineRule="exact"/>
              <w:rPr>
                <w:sz w:val="20"/>
                <w:szCs w:val="20"/>
                <w:color w:val="auto"/>
              </w:rPr>
            </w:pPr>
            <w:r>
              <w:rPr>
                <w:rFonts w:ascii="Arial" w:cs="Arial" w:eastAsia="Arial" w:hAnsi="Arial"/>
                <w:sz w:val="12"/>
                <w:szCs w:val="12"/>
                <w:color w:val="FFFFFF"/>
              </w:rPr>
              <w:t>Governance</w:t>
            </w:r>
          </w:p>
        </w:tc>
        <w:tc>
          <w:tcPr>
            <w:tcW w:w="440" w:type="dxa"/>
            <w:vAlign w:val="bottom"/>
          </w:tcPr>
          <w:p>
            <w:pPr>
              <w:spacing w:after="0"/>
              <w:rPr>
                <w:sz w:val="11"/>
                <w:szCs w:val="11"/>
                <w:color w:val="auto"/>
              </w:rPr>
            </w:pPr>
          </w:p>
        </w:tc>
      </w:tr>
      <w:tr>
        <w:trPr>
          <w:trHeight w:val="128"/>
        </w:trPr>
        <w:tc>
          <w:tcPr>
            <w:tcW w:w="200" w:type="dxa"/>
            <w:vAlign w:val="bottom"/>
          </w:tcPr>
          <w:p>
            <w:pPr>
              <w:spacing w:after="0"/>
              <w:rPr>
                <w:sz w:val="11"/>
                <w:szCs w:val="11"/>
                <w:color w:val="auto"/>
              </w:rPr>
            </w:pPr>
          </w:p>
        </w:tc>
        <w:tc>
          <w:tcPr>
            <w:tcW w:w="1280" w:type="dxa"/>
            <w:vAlign w:val="bottom"/>
          </w:tcPr>
          <w:p>
            <w:pPr>
              <w:ind w:left="140"/>
              <w:spacing w:after="0" w:line="128" w:lineRule="exact"/>
              <w:rPr>
                <w:sz w:val="20"/>
                <w:szCs w:val="20"/>
                <w:color w:val="auto"/>
              </w:rPr>
            </w:pPr>
            <w:r>
              <w:rPr>
                <w:rFonts w:ascii="Arial" w:cs="Arial" w:eastAsia="Arial" w:hAnsi="Arial"/>
                <w:sz w:val="12"/>
                <w:szCs w:val="12"/>
                <w:color w:val="FFFFFF"/>
              </w:rPr>
              <w:t>and the Board of</w:t>
            </w:r>
          </w:p>
        </w:tc>
        <w:tc>
          <w:tcPr>
            <w:tcW w:w="440" w:type="dxa"/>
            <w:vAlign w:val="bottom"/>
          </w:tcPr>
          <w:p>
            <w:pPr>
              <w:spacing w:after="0"/>
              <w:rPr>
                <w:sz w:val="11"/>
                <w:szCs w:val="11"/>
                <w:color w:val="auto"/>
              </w:rPr>
            </w:pPr>
          </w:p>
        </w:tc>
      </w:tr>
      <w:tr>
        <w:trPr>
          <w:trHeight w:val="158"/>
        </w:trPr>
        <w:tc>
          <w:tcPr>
            <w:tcW w:w="200" w:type="dxa"/>
            <w:vAlign w:val="bottom"/>
          </w:tcPr>
          <w:p>
            <w:pPr>
              <w:spacing w:after="0"/>
              <w:rPr>
                <w:sz w:val="13"/>
                <w:szCs w:val="13"/>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Directors</w:t>
            </w:r>
          </w:p>
        </w:tc>
        <w:tc>
          <w:tcPr>
            <w:tcW w:w="440" w:type="dxa"/>
            <w:vAlign w:val="bottom"/>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-898525</wp:posOffset>
            </wp:positionV>
            <wp:extent cx="1256030" cy="74720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56030" cy="7472045"/>
                    </a:xfrm>
                    <a:prstGeom prst="rect">
                      <a:avLst/>
                    </a:prstGeom>
                    <a:noFill/>
                  </pic:spPr>
                </pic:pic>
              </a:graphicData>
            </a:graphic>
          </wp:anchor>
        </w:drawing>
      </w:r>
    </w:p>
    <w:p>
      <w:pPr>
        <w:spacing w:after="0" w:line="114" w:lineRule="exact"/>
        <w:rPr>
          <w:sz w:val="20"/>
          <w:szCs w:val="20"/>
          <w:color w:val="auto"/>
        </w:rPr>
      </w:pPr>
    </w:p>
    <w:p>
      <w:pPr>
        <w:ind w:left="200"/>
        <w:spacing w:after="0"/>
        <w:rPr>
          <w:sz w:val="20"/>
          <w:szCs w:val="20"/>
          <w:color w:val="auto"/>
        </w:rPr>
      </w:pPr>
      <w:r>
        <w:rPr>
          <w:sz w:val="1"/>
          <w:szCs w:val="1"/>
          <w:color w:val="auto"/>
        </w:rPr>
        <w:drawing>
          <wp:inline distT="0" distB="0" distL="0" distR="0">
            <wp:extent cx="56515" cy="88900"/>
            <wp:effectExtent l="0" t="0" r="0" b="0"/>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6515" cy="88900"/>
                    </a:xfrm>
                    <a:prstGeom prst="rect">
                      <a:avLst/>
                    </a:prstGeom>
                    <a:noFill/>
                    <a:ln>
                      <a:noFill/>
                    </a:ln>
                  </pic:spPr>
                </pic:pic>
              </a:graphicData>
            </a:graphic>
          </wp:inline>
        </w:drawing>
      </w:r>
      <w:r>
        <w:rPr>
          <w:rFonts w:ascii="Arial" w:cs="Arial" w:eastAsia="Arial" w:hAnsi="Arial"/>
          <w:sz w:val="12"/>
          <w:szCs w:val="12"/>
          <w:b w:val="1"/>
          <w:bCs w:val="1"/>
          <w:color w:val="FFFFFF"/>
        </w:rPr>
        <w:t xml:space="preserve"> Proposal 1</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2"/>
          <w:szCs w:val="12"/>
          <w:color w:val="FFFFFF"/>
        </w:rPr>
        <w:t>Information</w:t>
      </w:r>
    </w:p>
    <w:p>
      <w:pPr>
        <w:ind w:left="340"/>
        <w:spacing w:after="0" w:line="224" w:lineRule="auto"/>
        <w:rPr>
          <w:sz w:val="20"/>
          <w:szCs w:val="20"/>
          <w:color w:val="auto"/>
        </w:rPr>
      </w:pPr>
      <w:r>
        <w:rPr>
          <w:rFonts w:ascii="Arial" w:cs="Arial" w:eastAsia="Arial" w:hAnsi="Arial"/>
          <w:sz w:val="12"/>
          <w:szCs w:val="12"/>
          <w:color w:val="FFFFFF"/>
        </w:rPr>
        <w:t>Regarding Board</w:t>
      </w:r>
    </w:p>
    <w:p>
      <w:pPr>
        <w:ind w:left="340"/>
        <w:spacing w:after="0" w:line="222" w:lineRule="auto"/>
        <w:rPr>
          <w:sz w:val="20"/>
          <w:szCs w:val="20"/>
          <w:color w:val="auto"/>
        </w:rPr>
      </w:pPr>
      <w:r>
        <w:rPr>
          <w:rFonts w:ascii="Arial" w:cs="Arial" w:eastAsia="Arial" w:hAnsi="Arial"/>
          <w:sz w:val="12"/>
          <w:szCs w:val="12"/>
          <w:color w:val="FFFFFF"/>
        </w:rPr>
        <w:t>and Committee</w:t>
      </w:r>
    </w:p>
    <w:p>
      <w:pPr>
        <w:ind w:left="340"/>
        <w:spacing w:after="0"/>
        <w:rPr>
          <w:sz w:val="20"/>
          <w:szCs w:val="20"/>
          <w:color w:val="auto"/>
        </w:rPr>
      </w:pPr>
      <w:r>
        <w:rPr>
          <w:rFonts w:ascii="Arial" w:cs="Arial" w:eastAsia="Arial" w:hAnsi="Arial"/>
          <w:sz w:val="12"/>
          <w:szCs w:val="12"/>
          <w:color w:val="FFFFFF"/>
        </w:rPr>
        <w:t>Structure</w:t>
      </w:r>
    </w:p>
    <w:p>
      <w:pPr>
        <w:spacing w:after="0" w:line="144" w:lineRule="exact"/>
        <w:rPr>
          <w:sz w:val="20"/>
          <w:szCs w:val="20"/>
          <w:color w:val="auto"/>
        </w:rPr>
      </w:pPr>
    </w:p>
    <w:p>
      <w:pPr>
        <w:ind w:left="340"/>
        <w:spacing w:after="0"/>
        <w:rPr>
          <w:sz w:val="20"/>
          <w:szCs w:val="20"/>
          <w:color w:val="auto"/>
        </w:rPr>
      </w:pPr>
      <w:r>
        <w:rPr>
          <w:rFonts w:ascii="Arial" w:cs="Arial" w:eastAsia="Arial" w:hAnsi="Arial"/>
          <w:sz w:val="12"/>
          <w:szCs w:val="12"/>
          <w:color w:val="FFFFFF"/>
        </w:rPr>
        <w:t>Board of Directors</w:t>
      </w:r>
    </w:p>
    <w:p>
      <w:pPr>
        <w:spacing w:after="0" w:line="2" w:lineRule="exact"/>
        <w:rPr>
          <w:sz w:val="20"/>
          <w:szCs w:val="20"/>
          <w:color w:val="auto"/>
        </w:rPr>
      </w:pPr>
    </w:p>
    <w:p>
      <w:pPr>
        <w:ind w:left="340"/>
        <w:spacing w:after="0"/>
        <w:rPr>
          <w:sz w:val="20"/>
          <w:szCs w:val="20"/>
          <w:color w:val="auto"/>
        </w:rPr>
      </w:pPr>
      <w:r>
        <w:rPr>
          <w:rFonts w:ascii="Arial" w:cs="Arial" w:eastAsia="Arial" w:hAnsi="Arial"/>
          <w:sz w:val="12"/>
          <w:szCs w:val="12"/>
          <w:color w:val="FFFFFF"/>
        </w:rPr>
        <w:t>Compensation</w:t>
      </w:r>
    </w:p>
    <w:p>
      <w:pPr>
        <w:spacing w:after="0" w:line="144" w:lineRule="exact"/>
        <w:rPr>
          <w:sz w:val="20"/>
          <w:szCs w:val="20"/>
          <w:color w:val="auto"/>
        </w:rPr>
      </w:pPr>
    </w:p>
    <w:p>
      <w:pPr>
        <w:ind w:left="340"/>
        <w:spacing w:after="0"/>
        <w:rPr>
          <w:sz w:val="20"/>
          <w:szCs w:val="20"/>
          <w:color w:val="auto"/>
        </w:rPr>
      </w:pPr>
      <w:r>
        <w:rPr>
          <w:rFonts w:ascii="Arial" w:cs="Arial" w:eastAsia="Arial" w:hAnsi="Arial"/>
          <w:sz w:val="12"/>
          <w:szCs w:val="12"/>
          <w:color w:val="FFFFFF"/>
        </w:rPr>
        <w:t>Compensation</w:t>
      </w:r>
    </w:p>
    <w:p>
      <w:pPr>
        <w:ind w:left="340"/>
        <w:spacing w:after="0" w:line="224" w:lineRule="auto"/>
        <w:rPr>
          <w:sz w:val="20"/>
          <w:szCs w:val="20"/>
          <w:color w:val="auto"/>
        </w:rPr>
      </w:pPr>
      <w:r>
        <w:rPr>
          <w:rFonts w:ascii="Arial" w:cs="Arial" w:eastAsia="Arial" w:hAnsi="Arial"/>
          <w:sz w:val="12"/>
          <w:szCs w:val="12"/>
          <w:color w:val="FFFFFF"/>
        </w:rPr>
        <w:t>Discussion and</w:t>
      </w:r>
    </w:p>
    <w:p>
      <w:pPr>
        <w:ind w:left="340"/>
        <w:spacing w:after="0"/>
        <w:rPr>
          <w:sz w:val="20"/>
          <w:szCs w:val="20"/>
          <w:color w:val="auto"/>
        </w:rPr>
      </w:pPr>
      <w:r>
        <w:rPr>
          <w:rFonts w:ascii="Arial" w:cs="Arial" w:eastAsia="Arial" w:hAnsi="Arial"/>
          <w:sz w:val="12"/>
          <w:szCs w:val="12"/>
          <w:color w:val="FFFFFF"/>
        </w:rPr>
        <w:t>Analysis</w:t>
      </w:r>
    </w:p>
    <w:p>
      <w:pPr>
        <w:spacing w:after="0" w:line="144" w:lineRule="exact"/>
        <w:rPr>
          <w:sz w:val="20"/>
          <w:szCs w:val="20"/>
          <w:color w:val="auto"/>
        </w:rPr>
      </w:pPr>
    </w:p>
    <w:p>
      <w:pPr>
        <w:ind w:left="340"/>
        <w:spacing w:after="0"/>
        <w:rPr>
          <w:sz w:val="20"/>
          <w:szCs w:val="20"/>
          <w:color w:val="auto"/>
        </w:rPr>
      </w:pPr>
      <w:r>
        <w:rPr>
          <w:rFonts w:ascii="Arial" w:cs="Arial" w:eastAsia="Arial" w:hAnsi="Arial"/>
          <w:sz w:val="12"/>
          <w:szCs w:val="12"/>
          <w:color w:val="FFFFFF"/>
        </w:rPr>
        <w:t>Report of the</w:t>
      </w:r>
    </w:p>
    <w:p>
      <w:pPr>
        <w:ind w:left="340"/>
        <w:spacing w:after="0" w:line="224" w:lineRule="auto"/>
        <w:rPr>
          <w:sz w:val="20"/>
          <w:szCs w:val="20"/>
          <w:color w:val="auto"/>
        </w:rPr>
      </w:pPr>
      <w:r>
        <w:rPr>
          <w:rFonts w:ascii="Arial" w:cs="Arial" w:eastAsia="Arial" w:hAnsi="Arial"/>
          <w:sz w:val="12"/>
          <w:szCs w:val="12"/>
          <w:color w:val="FFFFFF"/>
        </w:rPr>
        <w:t>Compensation</w:t>
      </w:r>
    </w:p>
    <w:p>
      <w:pPr>
        <w:ind w:left="340"/>
        <w:spacing w:after="0" w:line="222" w:lineRule="auto"/>
        <w:rPr>
          <w:sz w:val="20"/>
          <w:szCs w:val="20"/>
          <w:color w:val="auto"/>
        </w:rPr>
      </w:pPr>
      <w:r>
        <w:rPr>
          <w:rFonts w:ascii="Arial" w:cs="Arial" w:eastAsia="Arial" w:hAnsi="Arial"/>
          <w:sz w:val="12"/>
          <w:szCs w:val="12"/>
          <w:color w:val="FFFFFF"/>
        </w:rPr>
        <w:t>and Human</w:t>
      </w:r>
    </w:p>
    <w:p>
      <w:pPr>
        <w:ind w:left="340"/>
        <w:spacing w:after="0" w:line="222" w:lineRule="auto"/>
        <w:rPr>
          <w:sz w:val="20"/>
          <w:szCs w:val="20"/>
          <w:color w:val="auto"/>
        </w:rPr>
      </w:pPr>
      <w:r>
        <w:rPr>
          <w:rFonts w:ascii="Arial" w:cs="Arial" w:eastAsia="Arial" w:hAnsi="Arial"/>
          <w:sz w:val="12"/>
          <w:szCs w:val="12"/>
          <w:color w:val="FFFFFF"/>
        </w:rPr>
        <w:t>Resources</w:t>
      </w:r>
    </w:p>
    <w:p>
      <w:pPr>
        <w:ind w:left="340"/>
        <w:spacing w:after="0" w:line="222" w:lineRule="auto"/>
        <w:rPr>
          <w:sz w:val="20"/>
          <w:szCs w:val="20"/>
          <w:color w:val="auto"/>
        </w:rPr>
      </w:pPr>
      <w:r>
        <w:rPr>
          <w:rFonts w:ascii="Arial" w:cs="Arial" w:eastAsia="Arial" w:hAnsi="Arial"/>
          <w:sz w:val="12"/>
          <w:szCs w:val="12"/>
          <w:color w:val="FFFFFF"/>
        </w:rPr>
        <w:t>Committee of the</w:t>
      </w:r>
    </w:p>
    <w:p>
      <w:pPr>
        <w:ind w:left="340"/>
        <w:spacing w:after="0"/>
        <w:rPr>
          <w:sz w:val="20"/>
          <w:szCs w:val="20"/>
          <w:color w:val="auto"/>
        </w:rPr>
      </w:pPr>
      <w:r>
        <w:rPr>
          <w:rFonts w:ascii="Arial" w:cs="Arial" w:eastAsia="Arial" w:hAnsi="Arial"/>
          <w:sz w:val="12"/>
          <w:szCs w:val="12"/>
          <w:color w:val="FFFFFF"/>
        </w:rPr>
        <w:t>Board of Directors</w:t>
      </w:r>
    </w:p>
    <w:p>
      <w:pPr>
        <w:spacing w:after="0" w:line="144" w:lineRule="exact"/>
        <w:rPr>
          <w:sz w:val="20"/>
          <w:szCs w:val="20"/>
          <w:color w:val="auto"/>
        </w:rPr>
      </w:pPr>
    </w:p>
    <w:p>
      <w:pPr>
        <w:ind w:left="340"/>
        <w:spacing w:after="0"/>
        <w:rPr>
          <w:sz w:val="20"/>
          <w:szCs w:val="20"/>
          <w:color w:val="auto"/>
        </w:rPr>
      </w:pPr>
      <w:r>
        <w:rPr>
          <w:rFonts w:ascii="Arial" w:cs="Arial" w:eastAsia="Arial" w:hAnsi="Arial"/>
          <w:sz w:val="12"/>
          <w:szCs w:val="12"/>
          <w:color w:val="FFFFFF"/>
        </w:rPr>
        <w:t>Compensation of</w:t>
      </w:r>
    </w:p>
    <w:p>
      <w:pPr>
        <w:ind w:left="340"/>
        <w:spacing w:after="0" w:line="224" w:lineRule="auto"/>
        <w:rPr>
          <w:sz w:val="20"/>
          <w:szCs w:val="20"/>
          <w:color w:val="auto"/>
        </w:rPr>
      </w:pPr>
      <w:r>
        <w:rPr>
          <w:rFonts w:ascii="Arial" w:cs="Arial" w:eastAsia="Arial" w:hAnsi="Arial"/>
          <w:sz w:val="12"/>
          <w:szCs w:val="12"/>
          <w:color w:val="FFFFFF"/>
        </w:rPr>
        <w:t>Named Executive</w:t>
      </w:r>
    </w:p>
    <w:p>
      <w:pPr>
        <w:ind w:left="340"/>
        <w:spacing w:after="0"/>
        <w:rPr>
          <w:sz w:val="20"/>
          <w:szCs w:val="20"/>
          <w:color w:val="auto"/>
        </w:rPr>
      </w:pPr>
      <w:r>
        <w:rPr>
          <w:rFonts w:ascii="Arial" w:cs="Arial" w:eastAsia="Arial" w:hAnsi="Arial"/>
          <w:sz w:val="12"/>
          <w:szCs w:val="12"/>
          <w:color w:val="FFFFFF"/>
        </w:rPr>
        <w:t>Officers</w:t>
      </w:r>
    </w:p>
    <w:p>
      <w:pPr>
        <w:spacing w:after="0" w:line="144" w:lineRule="exact"/>
        <w:rPr>
          <w:sz w:val="20"/>
          <w:szCs w:val="20"/>
          <w:color w:val="auto"/>
        </w:rPr>
      </w:pPr>
    </w:p>
    <w:p>
      <w:pPr>
        <w:ind w:left="340"/>
        <w:spacing w:after="0"/>
        <w:rPr>
          <w:sz w:val="20"/>
          <w:szCs w:val="20"/>
          <w:color w:val="auto"/>
        </w:rPr>
      </w:pPr>
      <w:r>
        <w:rPr>
          <w:rFonts w:ascii="Arial" w:cs="Arial" w:eastAsia="Arial" w:hAnsi="Arial"/>
          <w:sz w:val="12"/>
          <w:szCs w:val="12"/>
          <w:color w:val="FFFFFF"/>
        </w:rPr>
        <w:t>Pay Versus</w:t>
      </w:r>
    </w:p>
    <w:p>
      <w:pPr>
        <w:ind w:left="340"/>
        <w:spacing w:after="0" w:line="224" w:lineRule="auto"/>
        <w:rPr>
          <w:sz w:val="20"/>
          <w:szCs w:val="20"/>
          <w:color w:val="auto"/>
        </w:rPr>
      </w:pPr>
      <w:r>
        <w:rPr>
          <w:rFonts w:ascii="Arial" w:cs="Arial" w:eastAsia="Arial" w:hAnsi="Arial"/>
          <w:sz w:val="12"/>
          <w:szCs w:val="12"/>
          <w:color w:val="FFFFFF"/>
        </w:rPr>
        <w:t>Performance</w:t>
      </w:r>
    </w:p>
    <w:p>
      <w:pPr>
        <w:ind w:left="340"/>
        <w:spacing w:after="0"/>
        <w:rPr>
          <w:sz w:val="20"/>
          <w:szCs w:val="20"/>
          <w:color w:val="auto"/>
        </w:rPr>
      </w:pPr>
      <w:r>
        <w:rPr>
          <w:rFonts w:ascii="Arial" w:cs="Arial" w:eastAsia="Arial" w:hAnsi="Arial"/>
          <w:sz w:val="12"/>
          <w:szCs w:val="12"/>
          <w:color w:val="FFFFFF"/>
        </w:rPr>
        <w:t>Disclosure</w:t>
      </w:r>
    </w:p>
    <w:p>
      <w:pPr>
        <w:spacing w:after="0" w:line="144" w:lineRule="exact"/>
        <w:rPr>
          <w:sz w:val="20"/>
          <w:szCs w:val="20"/>
          <w:color w:val="auto"/>
        </w:rPr>
      </w:pPr>
    </w:p>
    <w:p>
      <w:pPr>
        <w:ind w:left="340"/>
        <w:spacing w:after="0"/>
        <w:rPr>
          <w:sz w:val="20"/>
          <w:szCs w:val="20"/>
          <w:color w:val="auto"/>
        </w:rPr>
      </w:pPr>
      <w:r>
        <w:rPr>
          <w:rFonts w:ascii="Arial" w:cs="Arial" w:eastAsia="Arial" w:hAnsi="Arial"/>
          <w:sz w:val="12"/>
          <w:szCs w:val="12"/>
          <w:color w:val="FFFFFF"/>
        </w:rPr>
        <w:t>Security</w:t>
      </w:r>
    </w:p>
    <w:p>
      <w:pPr>
        <w:ind w:left="340"/>
        <w:spacing w:after="0" w:line="224" w:lineRule="auto"/>
        <w:rPr>
          <w:sz w:val="20"/>
          <w:szCs w:val="20"/>
          <w:color w:val="auto"/>
        </w:rPr>
      </w:pPr>
      <w:r>
        <w:rPr>
          <w:rFonts w:ascii="Arial" w:cs="Arial" w:eastAsia="Arial" w:hAnsi="Arial"/>
          <w:sz w:val="12"/>
          <w:szCs w:val="12"/>
          <w:color w:val="FFFFFF"/>
        </w:rPr>
        <w:t>Ownership of</w:t>
      </w:r>
    </w:p>
    <w:p>
      <w:pPr>
        <w:ind w:left="340"/>
        <w:spacing w:after="0" w:line="222" w:lineRule="auto"/>
        <w:rPr>
          <w:sz w:val="20"/>
          <w:szCs w:val="20"/>
          <w:color w:val="auto"/>
        </w:rPr>
      </w:pPr>
      <w:r>
        <w:rPr>
          <w:rFonts w:ascii="Arial" w:cs="Arial" w:eastAsia="Arial" w:hAnsi="Arial"/>
          <w:sz w:val="12"/>
          <w:szCs w:val="12"/>
          <w:color w:val="FFFFFF"/>
        </w:rPr>
        <w:t>Certain Beneficial</w:t>
      </w:r>
    </w:p>
    <w:p>
      <w:pPr>
        <w:ind w:left="340"/>
        <w:spacing w:after="0" w:line="222" w:lineRule="auto"/>
        <w:rPr>
          <w:sz w:val="20"/>
          <w:szCs w:val="20"/>
          <w:color w:val="auto"/>
        </w:rPr>
      </w:pPr>
      <w:r>
        <w:rPr>
          <w:rFonts w:ascii="Arial" w:cs="Arial" w:eastAsia="Arial" w:hAnsi="Arial"/>
          <w:sz w:val="12"/>
          <w:szCs w:val="12"/>
          <w:color w:val="FFFFFF"/>
        </w:rPr>
        <w:t>Owners and</w:t>
      </w:r>
    </w:p>
    <w:p>
      <w:pPr>
        <w:ind w:left="340"/>
        <w:spacing w:after="0"/>
        <w:rPr>
          <w:sz w:val="20"/>
          <w:szCs w:val="20"/>
          <w:color w:val="auto"/>
        </w:rPr>
      </w:pPr>
      <w:r>
        <w:rPr>
          <w:rFonts w:ascii="Arial" w:cs="Arial" w:eastAsia="Arial" w:hAnsi="Arial"/>
          <w:sz w:val="12"/>
          <w:szCs w:val="12"/>
          <w:color w:val="FFFFFF"/>
        </w:rPr>
        <w:t>Management</w:t>
      </w:r>
    </w:p>
    <w:p>
      <w:pPr>
        <w:spacing w:after="0" w:line="144" w:lineRule="exact"/>
        <w:rPr>
          <w:sz w:val="20"/>
          <w:szCs w:val="20"/>
          <w:color w:val="auto"/>
        </w:rPr>
      </w:pPr>
    </w:p>
    <w:p>
      <w:pPr>
        <w:ind w:left="340"/>
        <w:spacing w:after="0"/>
        <w:rPr>
          <w:sz w:val="20"/>
          <w:szCs w:val="20"/>
          <w:color w:val="auto"/>
        </w:rPr>
      </w:pPr>
      <w:r>
        <w:rPr>
          <w:rFonts w:ascii="Arial" w:cs="Arial" w:eastAsia="Arial" w:hAnsi="Arial"/>
          <w:sz w:val="12"/>
          <w:szCs w:val="12"/>
          <w:color w:val="FFFFFF"/>
        </w:rPr>
        <w:t>Certain</w:t>
      </w:r>
    </w:p>
    <w:p>
      <w:pPr>
        <w:ind w:left="340"/>
        <w:spacing w:after="0" w:line="224" w:lineRule="auto"/>
        <w:rPr>
          <w:sz w:val="20"/>
          <w:szCs w:val="20"/>
          <w:color w:val="auto"/>
        </w:rPr>
      </w:pPr>
      <w:r>
        <w:rPr>
          <w:rFonts w:ascii="Arial" w:cs="Arial" w:eastAsia="Arial" w:hAnsi="Arial"/>
          <w:sz w:val="12"/>
          <w:szCs w:val="12"/>
          <w:color w:val="FFFFFF"/>
        </w:rPr>
        <w:t>Relationships and</w:t>
      </w:r>
    </w:p>
    <w:p>
      <w:pPr>
        <w:ind w:left="340"/>
        <w:spacing w:after="0" w:line="222" w:lineRule="auto"/>
        <w:rPr>
          <w:sz w:val="20"/>
          <w:szCs w:val="20"/>
          <w:color w:val="auto"/>
        </w:rPr>
      </w:pPr>
      <w:r>
        <w:rPr>
          <w:rFonts w:ascii="Arial" w:cs="Arial" w:eastAsia="Arial" w:hAnsi="Arial"/>
          <w:sz w:val="12"/>
          <w:szCs w:val="12"/>
          <w:color w:val="FFFFFF"/>
        </w:rPr>
        <w:t>Related Party</w:t>
      </w:r>
    </w:p>
    <w:p>
      <w:pPr>
        <w:ind w:left="340"/>
        <w:spacing w:after="0"/>
        <w:rPr>
          <w:sz w:val="20"/>
          <w:szCs w:val="20"/>
          <w:color w:val="auto"/>
        </w:rPr>
      </w:pPr>
      <w:r>
        <w:rPr>
          <w:rFonts w:ascii="Arial" w:cs="Arial" w:eastAsia="Arial" w:hAnsi="Arial"/>
          <w:sz w:val="12"/>
          <w:szCs w:val="12"/>
          <w:color w:val="FFFFFF"/>
        </w:rPr>
        <w:t>Transactions</w:t>
      </w:r>
    </w:p>
    <w:p>
      <w:pPr>
        <w:spacing w:after="0" w:line="144" w:lineRule="exact"/>
        <w:rPr>
          <w:sz w:val="20"/>
          <w:szCs w:val="20"/>
          <w:color w:val="auto"/>
        </w:rPr>
      </w:pPr>
    </w:p>
    <w:p>
      <w:pPr>
        <w:ind w:left="340"/>
        <w:spacing w:after="0"/>
        <w:rPr>
          <w:sz w:val="20"/>
          <w:szCs w:val="20"/>
          <w:color w:val="auto"/>
        </w:rPr>
      </w:pPr>
      <w:r>
        <w:rPr>
          <w:rFonts w:ascii="Arial" w:cs="Arial" w:eastAsia="Arial" w:hAnsi="Arial"/>
          <w:sz w:val="12"/>
          <w:szCs w:val="12"/>
          <w:color w:val="FFFFFF"/>
        </w:rPr>
        <w:t>Proposal 2</w:t>
      </w:r>
    </w:p>
    <w:p>
      <w:pPr>
        <w:spacing w:after="0" w:line="156" w:lineRule="exact"/>
        <w:rPr>
          <w:sz w:val="20"/>
          <w:szCs w:val="20"/>
          <w:color w:val="auto"/>
        </w:rPr>
      </w:pPr>
    </w:p>
    <w:p>
      <w:pPr>
        <w:ind w:left="340"/>
        <w:spacing w:after="0"/>
        <w:rPr>
          <w:sz w:val="20"/>
          <w:szCs w:val="20"/>
          <w:color w:val="auto"/>
        </w:rPr>
      </w:pPr>
      <w:r>
        <w:rPr>
          <w:rFonts w:ascii="Arial" w:cs="Arial" w:eastAsia="Arial" w:hAnsi="Arial"/>
          <w:sz w:val="12"/>
          <w:szCs w:val="12"/>
          <w:color w:val="FFFFFF"/>
        </w:rPr>
        <w:t>Report of the</w:t>
      </w:r>
    </w:p>
    <w:p>
      <w:pPr>
        <w:ind w:left="340"/>
        <w:spacing w:after="0" w:line="224" w:lineRule="auto"/>
        <w:rPr>
          <w:sz w:val="20"/>
          <w:szCs w:val="20"/>
          <w:color w:val="auto"/>
        </w:rPr>
      </w:pPr>
      <w:r>
        <w:rPr>
          <w:rFonts w:ascii="Arial" w:cs="Arial" w:eastAsia="Arial" w:hAnsi="Arial"/>
          <w:sz w:val="12"/>
          <w:szCs w:val="12"/>
          <w:color w:val="FFFFFF"/>
        </w:rPr>
        <w:t>Audit and Risk</w:t>
      </w:r>
    </w:p>
    <w:p>
      <w:pPr>
        <w:ind w:left="340"/>
        <w:spacing w:after="0" w:line="222" w:lineRule="auto"/>
        <w:rPr>
          <w:sz w:val="20"/>
          <w:szCs w:val="20"/>
          <w:color w:val="auto"/>
        </w:rPr>
      </w:pPr>
      <w:r>
        <w:rPr>
          <w:rFonts w:ascii="Arial" w:cs="Arial" w:eastAsia="Arial" w:hAnsi="Arial"/>
          <w:sz w:val="12"/>
          <w:szCs w:val="12"/>
          <w:color w:val="FFFFFF"/>
        </w:rPr>
        <w:t>Committee of the</w:t>
      </w:r>
    </w:p>
    <w:p>
      <w:pPr>
        <w:ind w:left="340"/>
        <w:spacing w:after="0"/>
        <w:rPr>
          <w:sz w:val="20"/>
          <w:szCs w:val="20"/>
          <w:color w:val="auto"/>
        </w:rPr>
      </w:pPr>
      <w:r>
        <w:rPr>
          <w:rFonts w:ascii="Arial" w:cs="Arial" w:eastAsia="Arial" w:hAnsi="Arial"/>
          <w:sz w:val="12"/>
          <w:szCs w:val="12"/>
          <w:color w:val="FFFFFF"/>
        </w:rPr>
        <w:t>Board of Directors</w:t>
      </w:r>
    </w:p>
    <w:p>
      <w:pPr>
        <w:spacing w:after="0" w:line="144" w:lineRule="exact"/>
        <w:rPr>
          <w:sz w:val="20"/>
          <w:szCs w:val="20"/>
          <w:color w:val="auto"/>
        </w:rPr>
      </w:pPr>
    </w:p>
    <w:p>
      <w:pPr>
        <w:ind w:left="340"/>
        <w:spacing w:after="0"/>
        <w:rPr>
          <w:sz w:val="20"/>
          <w:szCs w:val="20"/>
          <w:color w:val="auto"/>
        </w:rPr>
      </w:pPr>
      <w:r>
        <w:rPr>
          <w:rFonts w:ascii="Arial" w:cs="Arial" w:eastAsia="Arial" w:hAnsi="Arial"/>
          <w:sz w:val="12"/>
          <w:szCs w:val="12"/>
          <w:color w:val="FFFFFF"/>
        </w:rPr>
        <w:t>Proposal 3</w:t>
      </w:r>
    </w:p>
    <w:p>
      <w:pPr>
        <w:spacing w:after="0" w:line="156" w:lineRule="exact"/>
        <w:rPr>
          <w:sz w:val="20"/>
          <w:szCs w:val="20"/>
          <w:color w:val="auto"/>
        </w:rPr>
      </w:pPr>
    </w:p>
    <w:p>
      <w:pPr>
        <w:ind w:left="340"/>
        <w:spacing w:after="0"/>
        <w:rPr>
          <w:sz w:val="20"/>
          <w:szCs w:val="20"/>
          <w:color w:val="auto"/>
        </w:rPr>
      </w:pPr>
      <w:r>
        <w:rPr>
          <w:rFonts w:ascii="Arial" w:cs="Arial" w:eastAsia="Arial" w:hAnsi="Arial"/>
          <w:sz w:val="12"/>
          <w:szCs w:val="12"/>
          <w:color w:val="FFFFFF"/>
        </w:rPr>
        <w:t>Proposal 4</w:t>
      </w:r>
    </w:p>
    <w:p>
      <w:pPr>
        <w:spacing w:after="0" w:line="156" w:lineRule="exact"/>
        <w:rPr>
          <w:sz w:val="20"/>
          <w:szCs w:val="20"/>
          <w:color w:val="auto"/>
        </w:rPr>
      </w:pPr>
    </w:p>
    <w:p>
      <w:pPr>
        <w:ind w:left="340"/>
        <w:spacing w:after="0"/>
        <w:rPr>
          <w:sz w:val="20"/>
          <w:szCs w:val="20"/>
          <w:color w:val="auto"/>
        </w:rPr>
      </w:pPr>
      <w:r>
        <w:rPr>
          <w:rFonts w:ascii="Arial" w:cs="Arial" w:eastAsia="Arial" w:hAnsi="Arial"/>
          <w:sz w:val="12"/>
          <w:szCs w:val="12"/>
          <w:color w:val="FFFFFF"/>
        </w:rPr>
        <w:t>Proposal 5</w:t>
      </w:r>
    </w:p>
    <w:p>
      <w:pPr>
        <w:spacing w:after="0" w:line="156" w:lineRule="exact"/>
        <w:rPr>
          <w:sz w:val="20"/>
          <w:szCs w:val="20"/>
          <w:color w:val="auto"/>
        </w:rPr>
      </w:pPr>
    </w:p>
    <w:p>
      <w:pPr>
        <w:ind w:left="340"/>
        <w:spacing w:after="0"/>
        <w:rPr>
          <w:sz w:val="20"/>
          <w:szCs w:val="20"/>
          <w:color w:val="auto"/>
        </w:rPr>
      </w:pPr>
      <w:r>
        <w:rPr>
          <w:rFonts w:ascii="Arial" w:cs="Arial" w:eastAsia="Arial" w:hAnsi="Arial"/>
          <w:sz w:val="12"/>
          <w:szCs w:val="12"/>
          <w:color w:val="FFFFFF"/>
        </w:rPr>
        <w:t>Proposal 6</w:t>
      </w:r>
    </w:p>
    <w:p>
      <w:pPr>
        <w:spacing w:after="0" w:line="156" w:lineRule="exact"/>
        <w:rPr>
          <w:sz w:val="20"/>
          <w:szCs w:val="20"/>
          <w:color w:val="auto"/>
        </w:rPr>
      </w:pPr>
    </w:p>
    <w:p>
      <w:pPr>
        <w:ind w:left="340"/>
        <w:spacing w:after="0"/>
        <w:rPr>
          <w:sz w:val="20"/>
          <w:szCs w:val="20"/>
          <w:color w:val="auto"/>
        </w:rPr>
      </w:pPr>
      <w:r>
        <w:rPr>
          <w:rFonts w:ascii="Arial" w:cs="Arial" w:eastAsia="Arial" w:hAnsi="Arial"/>
          <w:sz w:val="12"/>
          <w:szCs w:val="12"/>
          <w:color w:val="FFFFFF"/>
        </w:rPr>
        <w:t>Stockholder</w:t>
      </w:r>
    </w:p>
    <w:p>
      <w:pPr>
        <w:ind w:left="340"/>
        <w:spacing w:after="0" w:line="224" w:lineRule="auto"/>
        <w:rPr>
          <w:sz w:val="20"/>
          <w:szCs w:val="20"/>
          <w:color w:val="auto"/>
        </w:rPr>
      </w:pPr>
      <w:r>
        <w:rPr>
          <w:rFonts w:ascii="Arial" w:cs="Arial" w:eastAsia="Arial" w:hAnsi="Arial"/>
          <w:sz w:val="12"/>
          <w:szCs w:val="12"/>
          <w:color w:val="FFFFFF"/>
        </w:rPr>
        <w:t>Proposals and</w:t>
      </w:r>
    </w:p>
    <w:p>
      <w:pPr>
        <w:ind w:left="340"/>
        <w:spacing w:after="0"/>
        <w:rPr>
          <w:sz w:val="20"/>
          <w:szCs w:val="20"/>
          <w:color w:val="auto"/>
        </w:rPr>
      </w:pPr>
      <w:r>
        <w:rPr>
          <w:rFonts w:ascii="Arial" w:cs="Arial" w:eastAsia="Arial" w:hAnsi="Arial"/>
          <w:sz w:val="12"/>
          <w:szCs w:val="12"/>
          <w:color w:val="FFFFFF"/>
        </w:rPr>
        <w:t>Other Matters</w:t>
      </w:r>
    </w:p>
    <w:p>
      <w:pPr>
        <w:spacing w:after="0" w:line="144" w:lineRule="exact"/>
        <w:rPr>
          <w:sz w:val="20"/>
          <w:szCs w:val="20"/>
          <w:color w:val="auto"/>
        </w:rPr>
      </w:pPr>
    </w:p>
    <w:p>
      <w:pPr>
        <w:ind w:left="340"/>
        <w:spacing w:after="0"/>
        <w:rPr>
          <w:sz w:val="20"/>
          <w:szCs w:val="20"/>
          <w:color w:val="auto"/>
        </w:rPr>
      </w:pPr>
      <w:r>
        <w:rPr>
          <w:rFonts w:ascii="Arial" w:cs="Arial" w:eastAsia="Arial" w:hAnsi="Arial"/>
          <w:sz w:val="12"/>
          <w:szCs w:val="12"/>
          <w:color w:val="FFFFFF"/>
        </w:rPr>
        <w:t>Delinquent</w:t>
      </w:r>
    </w:p>
    <w:p>
      <w:pPr>
        <w:ind w:left="340"/>
        <w:spacing w:after="0" w:line="224" w:lineRule="auto"/>
        <w:rPr>
          <w:sz w:val="20"/>
          <w:szCs w:val="20"/>
          <w:color w:val="auto"/>
        </w:rPr>
      </w:pPr>
      <w:r>
        <w:rPr>
          <w:rFonts w:ascii="Arial" w:cs="Arial" w:eastAsia="Arial" w:hAnsi="Arial"/>
          <w:sz w:val="12"/>
          <w:szCs w:val="12"/>
          <w:color w:val="FFFFFF"/>
        </w:rPr>
        <w:t>Section 16(a)</w:t>
      </w:r>
    </w:p>
    <w:p>
      <w:pPr>
        <w:ind w:left="340"/>
        <w:spacing w:after="0"/>
        <w:rPr>
          <w:sz w:val="20"/>
          <w:szCs w:val="20"/>
          <w:color w:val="auto"/>
        </w:rPr>
      </w:pPr>
      <w:r>
        <w:rPr>
          <w:rFonts w:ascii="Arial" w:cs="Arial" w:eastAsia="Arial" w:hAnsi="Arial"/>
          <w:sz w:val="12"/>
          <w:szCs w:val="12"/>
          <w:color w:val="FFFFFF"/>
        </w:rPr>
        <w:t>Reports</w:t>
      </w:r>
    </w:p>
    <w:p>
      <w:pPr>
        <w:spacing w:after="0" w:line="144" w:lineRule="exact"/>
        <w:rPr>
          <w:sz w:val="20"/>
          <w:szCs w:val="20"/>
          <w:color w:val="auto"/>
        </w:rPr>
      </w:pPr>
    </w:p>
    <w:p>
      <w:pPr>
        <w:ind w:left="340"/>
        <w:spacing w:after="0"/>
        <w:rPr>
          <w:sz w:val="20"/>
          <w:szCs w:val="20"/>
          <w:color w:val="auto"/>
        </w:rPr>
      </w:pPr>
      <w:r>
        <w:rPr>
          <w:rFonts w:ascii="Arial" w:cs="Arial" w:eastAsia="Arial" w:hAnsi="Arial"/>
          <w:sz w:val="12"/>
          <w:szCs w:val="12"/>
          <w:color w:val="FFFFFF"/>
        </w:rPr>
        <w:t>Other</w:t>
      </w:r>
    </w:p>
    <w:p>
      <w:pPr>
        <w:spacing w:after="0" w:line="2" w:lineRule="exact"/>
        <w:rPr>
          <w:sz w:val="20"/>
          <w:szCs w:val="20"/>
          <w:color w:val="auto"/>
        </w:rPr>
      </w:pPr>
    </w:p>
    <w:p>
      <w:pPr>
        <w:ind w:left="340"/>
        <w:spacing w:after="0"/>
        <w:rPr>
          <w:sz w:val="20"/>
          <w:szCs w:val="20"/>
          <w:color w:val="auto"/>
        </w:rPr>
      </w:pPr>
      <w:r>
        <w:rPr>
          <w:rFonts w:ascii="Arial" w:cs="Arial" w:eastAsia="Arial" w:hAnsi="Arial"/>
          <w:sz w:val="12"/>
          <w:szCs w:val="12"/>
          <w:color w:val="FFFFFF"/>
        </w:rPr>
        <w:t>Information</w:t>
      </w:r>
    </w:p>
    <w:p>
      <w:pPr>
        <w:spacing w:after="0" w:line="144" w:lineRule="exact"/>
        <w:rPr>
          <w:sz w:val="20"/>
          <w:szCs w:val="20"/>
          <w:color w:val="auto"/>
        </w:rPr>
      </w:pPr>
    </w:p>
    <w:p>
      <w:pPr>
        <w:ind w:left="340"/>
        <w:spacing w:after="0"/>
        <w:rPr>
          <w:sz w:val="20"/>
          <w:szCs w:val="20"/>
          <w:color w:val="auto"/>
        </w:rPr>
      </w:pPr>
      <w:r>
        <w:rPr>
          <w:rFonts w:ascii="Arial" w:cs="Arial" w:eastAsia="Arial" w:hAnsi="Arial"/>
          <w:sz w:val="12"/>
          <w:szCs w:val="12"/>
          <w:color w:val="FFFFFF"/>
        </w:rPr>
        <w:t>Appendix A</w:t>
      </w:r>
    </w:p>
    <w:p>
      <w:pPr>
        <w:spacing w:after="0" w:line="156" w:lineRule="exact"/>
        <w:rPr>
          <w:sz w:val="20"/>
          <w:szCs w:val="20"/>
          <w:color w:val="auto"/>
        </w:rPr>
      </w:pPr>
    </w:p>
    <w:p>
      <w:pPr>
        <w:ind w:left="340"/>
        <w:spacing w:after="0"/>
        <w:rPr>
          <w:sz w:val="20"/>
          <w:szCs w:val="20"/>
          <w:color w:val="auto"/>
        </w:rPr>
      </w:pPr>
      <w:r>
        <w:rPr>
          <w:rFonts w:ascii="Arial" w:cs="Arial" w:eastAsia="Arial" w:hAnsi="Arial"/>
          <w:sz w:val="12"/>
          <w:szCs w:val="12"/>
          <w:color w:val="FFFFFF"/>
        </w:rPr>
        <w:t>Appendix B</w:t>
      </w:r>
    </w:p>
    <w:p>
      <w:pPr>
        <w:spacing w:after="0" w:line="200" w:lineRule="exact"/>
        <w:rPr>
          <w:sz w:val="20"/>
          <w:szCs w:val="20"/>
          <w:color w:val="auto"/>
        </w:rPr>
      </w:pPr>
    </w:p>
    <w:p>
      <w:pPr>
        <w:sectPr>
          <w:pgSz w:w="11900" w:h="16838" w:orient="portrait"/>
          <w:cols w:equalWidth="0" w:num="2">
            <w:col w:w="8420" w:space="460"/>
            <w:col w:w="1920"/>
          </w:cols>
          <w:pgMar w:left="320" w:top="464" w:right="7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6480"/>
        <w:spacing w:after="0"/>
        <w:tabs>
          <w:tab w:leader="none" w:pos="8500" w:val="left"/>
          <w:tab w:leader="none" w:pos="9960" w:val="left"/>
        </w:tabs>
        <w:rPr>
          <w:sz w:val="20"/>
          <w:szCs w:val="20"/>
          <w:color w:val="auto"/>
        </w:rPr>
      </w:pPr>
      <w:r>
        <w:rPr>
          <w:rFonts w:ascii="Arial" w:cs="Arial" w:eastAsia="Arial" w:hAnsi="Arial"/>
          <w:sz w:val="15"/>
          <w:szCs w:val="15"/>
          <w:b w:val="1"/>
          <w:bCs w:val="1"/>
          <w:color w:val="002B5F"/>
        </w:rPr>
        <w:t xml:space="preserve">2026 Proxy Statement  </w:t>
      </w:r>
      <w:r>
        <w:rPr>
          <w:rFonts w:ascii="Arial" w:cs="Arial" w:eastAsia="Arial" w:hAnsi="Arial"/>
          <w:sz w:val="20"/>
          <w:szCs w:val="20"/>
          <w:color w:val="002B5F"/>
        </w:rPr>
        <w:t>|</w:t>
      </w:r>
      <w:r>
        <w:rPr>
          <w:rFonts w:ascii="Arial" w:cs="Arial" w:eastAsia="Arial" w:hAnsi="Arial"/>
          <w:sz w:val="15"/>
          <w:szCs w:val="15"/>
          <w:b w:val="1"/>
          <w:bCs w:val="1"/>
          <w:color w:val="002B5F"/>
        </w:rPr>
        <w:t xml:space="preserve">  9</w:t>
      </w:r>
      <w:r>
        <w:rPr>
          <w:sz w:val="20"/>
          <w:szCs w:val="20"/>
          <w:color w:val="auto"/>
        </w:rPr>
        <w:tab/>
      </w:r>
      <w:r>
        <w:rPr>
          <w:rFonts w:ascii="Arial" w:cs="Arial" w:eastAsia="Arial" w:hAnsi="Arial"/>
          <w:sz w:val="17"/>
          <w:szCs w:val="17"/>
          <w:color w:val="auto"/>
        </w:rPr>
        <w:t xml:space="preserve">    </w:t>
      </w:r>
      <w:r>
        <w:rPr>
          <w:sz w:val="20"/>
          <w:szCs w:val="20"/>
          <w:color w:val="auto"/>
        </w:rPr>
        <w:tab/>
      </w:r>
      <w:r>
        <w:rPr>
          <w:rFonts w:ascii="Arial" w:cs="Arial" w:eastAsia="Arial" w:hAnsi="Arial"/>
          <w:sz w:val="17"/>
          <w:szCs w:val="17"/>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268605</wp:posOffset>
            </wp:positionH>
            <wp:positionV relativeFrom="paragraph">
              <wp:posOffset>-128905</wp:posOffset>
            </wp:positionV>
            <wp:extent cx="762000" cy="971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62000" cy="97155"/>
                    </a:xfrm>
                    <a:prstGeom prst="rect">
                      <a:avLst/>
                    </a:prstGeom>
                    <a:noFill/>
                  </pic:spPr>
                </pic:pic>
              </a:graphicData>
            </a:graphic>
          </wp:anchor>
        </w:drawing>
      </w:r>
    </w:p>
    <w:p>
      <w:pPr>
        <w:sectPr>
          <w:pgSz w:w="11900" w:h="16838" w:orient="portrait"/>
          <w:cols w:equalWidth="0" w:num="1">
            <w:col w:w="10800"/>
          </w:cols>
          <w:pgMar w:left="320" w:top="464" w:right="77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7"/>
          <w:szCs w:val="17"/>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268605</wp:posOffset>
            </wp:positionH>
            <wp:positionV relativeFrom="paragraph">
              <wp:posOffset>253365</wp:posOffset>
            </wp:positionV>
            <wp:extent cx="1183005" cy="745617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183005" cy="7456170"/>
                    </a:xfrm>
                    <a:prstGeom prst="rect">
                      <a:avLst/>
                    </a:prstGeom>
                    <a:noFill/>
                  </pic:spPr>
                </pic:pic>
              </a:graphicData>
            </a:graphic>
          </wp:anchor>
        </w:drawing>
      </w:r>
    </w:p>
    <w:p>
      <w:pPr>
        <w:spacing w:after="0" w:line="200" w:lineRule="exact"/>
        <w:rPr>
          <w:sz w:val="20"/>
          <w:szCs w:val="20"/>
          <w:color w:val="auto"/>
        </w:rPr>
      </w:pPr>
    </w:p>
    <w:p>
      <w:pPr>
        <w:spacing w:after="0" w:line="304" w:lineRule="exact"/>
        <w:rPr>
          <w:sz w:val="20"/>
          <w:szCs w:val="20"/>
          <w:color w:val="auto"/>
        </w:rPr>
      </w:pPr>
    </w:p>
    <w:p>
      <w:pPr>
        <w:ind w:left="1120" w:right="460" w:hanging="672"/>
        <w:spacing w:after="0" w:line="382" w:lineRule="auto"/>
        <w:tabs>
          <w:tab w:leader="none" w:pos="610" w:val="left"/>
        </w:tabs>
        <w:numPr>
          <w:ilvl w:val="0"/>
          <w:numId w:val="20"/>
        </w:numPr>
        <w:rPr>
          <w:rFonts w:ascii="Arial" w:cs="Arial" w:eastAsia="Arial" w:hAnsi="Arial"/>
          <w:sz w:val="24"/>
          <w:szCs w:val="24"/>
          <w:color w:val="auto"/>
          <w:vertAlign w:val="subscript"/>
        </w:rPr>
      </w:pPr>
      <w:r>
        <w:rPr>
          <w:rFonts w:ascii="Arial" w:cs="Arial" w:eastAsia="Arial" w:hAnsi="Arial"/>
          <w:sz w:val="24"/>
          <w:szCs w:val="24"/>
          <w:color w:val="000000"/>
          <w:vertAlign w:val="subscript"/>
        </w:rPr>
        <w:t xml:space="preserve">     </w:t>
      </w:r>
      <w:r>
        <w:rPr>
          <w:rFonts w:ascii="Arial" w:cs="Arial" w:eastAsia="Arial" w:hAnsi="Arial"/>
          <w:sz w:val="10"/>
          <w:szCs w:val="10"/>
          <w:color w:val="FFFFFF"/>
        </w:rPr>
        <w:t xml:space="preserve"> General Information</w:t>
      </w:r>
    </w:p>
    <w:p>
      <w:pPr>
        <w:spacing w:after="0" w:line="1" w:lineRule="exact"/>
        <w:rPr>
          <w:sz w:val="20"/>
          <w:szCs w:val="20"/>
          <w:color w:val="auto"/>
        </w:rPr>
      </w:pPr>
    </w:p>
    <w:p>
      <w:pPr>
        <w:ind w:left="1120"/>
        <w:spacing w:after="0"/>
        <w:rPr>
          <w:sz w:val="20"/>
          <w:szCs w:val="20"/>
          <w:color w:val="auto"/>
        </w:rPr>
      </w:pPr>
      <w:r>
        <w:rPr>
          <w:rFonts w:ascii="Arial" w:cs="Arial" w:eastAsia="Arial" w:hAnsi="Arial"/>
          <w:sz w:val="11"/>
          <w:szCs w:val="11"/>
          <w:color w:val="FFFFFF"/>
        </w:rPr>
        <w:t>General Information</w:t>
      </w:r>
    </w:p>
    <w:p>
      <w:pPr>
        <w:spacing w:after="0" w:line="3"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About Corporate</w:t>
      </w:r>
    </w:p>
    <w:p>
      <w:pPr>
        <w:ind w:left="1120"/>
        <w:spacing w:after="0" w:line="221" w:lineRule="auto"/>
        <w:rPr>
          <w:sz w:val="20"/>
          <w:szCs w:val="20"/>
          <w:color w:val="auto"/>
        </w:rPr>
      </w:pPr>
      <w:r>
        <w:rPr>
          <w:rFonts w:ascii="Arial" w:cs="Arial" w:eastAsia="Arial" w:hAnsi="Arial"/>
          <w:sz w:val="12"/>
          <w:szCs w:val="12"/>
          <w:color w:val="FFFFFF"/>
        </w:rPr>
        <w:t>Governance</w:t>
      </w:r>
    </w:p>
    <w:p>
      <w:pPr>
        <w:ind w:left="1120"/>
        <w:spacing w:after="0" w:line="222" w:lineRule="auto"/>
        <w:rPr>
          <w:sz w:val="20"/>
          <w:szCs w:val="20"/>
          <w:color w:val="auto"/>
        </w:rPr>
      </w:pPr>
      <w:r>
        <w:rPr>
          <w:rFonts w:ascii="Arial" w:cs="Arial" w:eastAsia="Arial" w:hAnsi="Arial"/>
          <w:sz w:val="12"/>
          <w:szCs w:val="12"/>
          <w:color w:val="FFFFFF"/>
        </w:rPr>
        <w:t>and the Board of</w:t>
      </w:r>
    </w:p>
    <w:p>
      <w:pPr>
        <w:spacing w:after="0" w:line="1"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Directors</w:t>
      </w:r>
    </w:p>
    <w:p>
      <w:pPr>
        <w:spacing w:after="0" w:line="141" w:lineRule="exact"/>
        <w:rPr>
          <w:sz w:val="20"/>
          <w:szCs w:val="20"/>
          <w:color w:val="auto"/>
        </w:rPr>
      </w:pPr>
    </w:p>
    <w:p>
      <w:pPr>
        <w:ind w:left="980"/>
        <w:spacing w:after="0"/>
        <w:rPr>
          <w:sz w:val="20"/>
          <w:szCs w:val="20"/>
          <w:color w:val="auto"/>
        </w:rPr>
      </w:pPr>
      <w:r>
        <w:rPr>
          <w:sz w:val="1"/>
          <w:szCs w:val="1"/>
          <w:color w:val="auto"/>
        </w:rPr>
        <w:drawing>
          <wp:inline distT="0" distB="0" distL="0" distR="0">
            <wp:extent cx="56515" cy="88900"/>
            <wp:effectExtent l="0" t="0" r="0" b="0"/>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6515" cy="88900"/>
                    </a:xfrm>
                    <a:prstGeom prst="rect">
                      <a:avLst/>
                    </a:prstGeom>
                    <a:noFill/>
                    <a:ln>
                      <a:noFill/>
                    </a:ln>
                  </pic:spPr>
                </pic:pic>
              </a:graphicData>
            </a:graphic>
          </wp:inline>
        </w:drawing>
      </w:r>
      <w:r>
        <w:rPr>
          <w:rFonts w:ascii="Arial" w:cs="Arial" w:eastAsia="Arial" w:hAnsi="Arial"/>
          <w:sz w:val="12"/>
          <w:szCs w:val="12"/>
          <w:b w:val="1"/>
          <w:bCs w:val="1"/>
          <w:color w:val="FFFFFF"/>
        </w:rPr>
        <w:t xml:space="preserve"> Proposal 1</w:t>
      </w:r>
    </w:p>
    <w:p>
      <w:pPr>
        <w:spacing w:after="0" w:line="130"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Information</w:t>
      </w:r>
    </w:p>
    <w:p>
      <w:pPr>
        <w:ind w:left="1120"/>
        <w:spacing w:after="0" w:line="224" w:lineRule="auto"/>
        <w:rPr>
          <w:sz w:val="20"/>
          <w:szCs w:val="20"/>
          <w:color w:val="auto"/>
        </w:rPr>
      </w:pPr>
      <w:r>
        <w:rPr>
          <w:rFonts w:ascii="Arial" w:cs="Arial" w:eastAsia="Arial" w:hAnsi="Arial"/>
          <w:sz w:val="12"/>
          <w:szCs w:val="12"/>
          <w:color w:val="FFFFFF"/>
        </w:rPr>
        <w:t>Regarding Board</w:t>
      </w:r>
    </w:p>
    <w:p>
      <w:pPr>
        <w:ind w:left="1120"/>
        <w:spacing w:after="0" w:line="222" w:lineRule="auto"/>
        <w:rPr>
          <w:sz w:val="20"/>
          <w:szCs w:val="20"/>
          <w:color w:val="auto"/>
        </w:rPr>
      </w:pPr>
      <w:r>
        <w:rPr>
          <w:rFonts w:ascii="Arial" w:cs="Arial" w:eastAsia="Arial" w:hAnsi="Arial"/>
          <w:sz w:val="12"/>
          <w:szCs w:val="12"/>
          <w:color w:val="FFFFFF"/>
        </w:rPr>
        <w:t>and Committee</w:t>
      </w:r>
    </w:p>
    <w:p>
      <w:pPr>
        <w:ind w:left="1120"/>
        <w:spacing w:after="0"/>
        <w:rPr>
          <w:sz w:val="20"/>
          <w:szCs w:val="20"/>
          <w:color w:val="auto"/>
        </w:rPr>
      </w:pPr>
      <w:r>
        <w:rPr>
          <w:rFonts w:ascii="Arial" w:cs="Arial" w:eastAsia="Arial" w:hAnsi="Arial"/>
          <w:sz w:val="12"/>
          <w:szCs w:val="12"/>
          <w:color w:val="FFFFFF"/>
        </w:rPr>
        <w:t>Structure</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Board of Directors</w:t>
      </w:r>
    </w:p>
    <w:p>
      <w:pPr>
        <w:spacing w:after="0" w:line="2"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Compensation</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Compensation</w:t>
      </w:r>
    </w:p>
    <w:p>
      <w:pPr>
        <w:ind w:left="1120"/>
        <w:spacing w:after="0" w:line="224" w:lineRule="auto"/>
        <w:rPr>
          <w:sz w:val="20"/>
          <w:szCs w:val="20"/>
          <w:color w:val="auto"/>
        </w:rPr>
      </w:pPr>
      <w:r>
        <w:rPr>
          <w:rFonts w:ascii="Arial" w:cs="Arial" w:eastAsia="Arial" w:hAnsi="Arial"/>
          <w:sz w:val="12"/>
          <w:szCs w:val="12"/>
          <w:color w:val="FFFFFF"/>
        </w:rPr>
        <w:t>Discussion and</w:t>
      </w:r>
    </w:p>
    <w:p>
      <w:pPr>
        <w:ind w:left="1120"/>
        <w:spacing w:after="0"/>
        <w:rPr>
          <w:sz w:val="20"/>
          <w:szCs w:val="20"/>
          <w:color w:val="auto"/>
        </w:rPr>
      </w:pPr>
      <w:r>
        <w:rPr>
          <w:rFonts w:ascii="Arial" w:cs="Arial" w:eastAsia="Arial" w:hAnsi="Arial"/>
          <w:sz w:val="12"/>
          <w:szCs w:val="12"/>
          <w:color w:val="FFFFFF"/>
        </w:rPr>
        <w:t>Analysis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Report of the</w:t>
      </w:r>
    </w:p>
    <w:p>
      <w:pPr>
        <w:ind w:left="1120"/>
        <w:spacing w:after="0" w:line="224" w:lineRule="auto"/>
        <w:rPr>
          <w:sz w:val="20"/>
          <w:szCs w:val="20"/>
          <w:color w:val="auto"/>
        </w:rPr>
      </w:pPr>
      <w:r>
        <w:rPr>
          <w:rFonts w:ascii="Arial" w:cs="Arial" w:eastAsia="Arial" w:hAnsi="Arial"/>
          <w:sz w:val="12"/>
          <w:szCs w:val="12"/>
          <w:color w:val="FFFFFF"/>
        </w:rPr>
        <w:t>Compensation</w:t>
      </w:r>
    </w:p>
    <w:p>
      <w:pPr>
        <w:ind w:left="1120"/>
        <w:spacing w:after="0" w:line="222" w:lineRule="auto"/>
        <w:rPr>
          <w:sz w:val="20"/>
          <w:szCs w:val="20"/>
          <w:color w:val="auto"/>
        </w:rPr>
      </w:pPr>
      <w:r>
        <w:rPr>
          <w:rFonts w:ascii="Arial" w:cs="Arial" w:eastAsia="Arial" w:hAnsi="Arial"/>
          <w:sz w:val="12"/>
          <w:szCs w:val="12"/>
          <w:color w:val="FFFFFF"/>
        </w:rPr>
        <w:t>and Human</w:t>
      </w:r>
    </w:p>
    <w:p>
      <w:pPr>
        <w:ind w:left="1120"/>
        <w:spacing w:after="0" w:line="222" w:lineRule="auto"/>
        <w:rPr>
          <w:sz w:val="20"/>
          <w:szCs w:val="20"/>
          <w:color w:val="auto"/>
        </w:rPr>
      </w:pPr>
      <w:r>
        <w:rPr>
          <w:rFonts w:ascii="Arial" w:cs="Arial" w:eastAsia="Arial" w:hAnsi="Arial"/>
          <w:sz w:val="12"/>
          <w:szCs w:val="12"/>
          <w:color w:val="FFFFFF"/>
        </w:rPr>
        <w:t>Resources</w:t>
      </w:r>
    </w:p>
    <w:p>
      <w:pPr>
        <w:ind w:left="1120"/>
        <w:spacing w:after="0" w:line="222" w:lineRule="auto"/>
        <w:rPr>
          <w:sz w:val="20"/>
          <w:szCs w:val="20"/>
          <w:color w:val="auto"/>
        </w:rPr>
      </w:pPr>
      <w:r>
        <w:rPr>
          <w:rFonts w:ascii="Arial" w:cs="Arial" w:eastAsia="Arial" w:hAnsi="Arial"/>
          <w:sz w:val="12"/>
          <w:szCs w:val="12"/>
          <w:color w:val="FFFFFF"/>
        </w:rPr>
        <w:t>Committee of the</w:t>
      </w:r>
    </w:p>
    <w:p>
      <w:pPr>
        <w:ind w:left="1120"/>
        <w:spacing w:after="0"/>
        <w:rPr>
          <w:sz w:val="20"/>
          <w:szCs w:val="20"/>
          <w:color w:val="auto"/>
        </w:rPr>
      </w:pPr>
      <w:r>
        <w:rPr>
          <w:rFonts w:ascii="Arial" w:cs="Arial" w:eastAsia="Arial" w:hAnsi="Arial"/>
          <w:sz w:val="12"/>
          <w:szCs w:val="12"/>
          <w:color w:val="FFFFFF"/>
        </w:rPr>
        <w:t>Board of Directors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Compensation of</w:t>
      </w:r>
    </w:p>
    <w:p>
      <w:pPr>
        <w:ind w:left="1120"/>
        <w:spacing w:after="0" w:line="224" w:lineRule="auto"/>
        <w:rPr>
          <w:sz w:val="20"/>
          <w:szCs w:val="20"/>
          <w:color w:val="auto"/>
        </w:rPr>
      </w:pPr>
      <w:r>
        <w:rPr>
          <w:rFonts w:ascii="Arial" w:cs="Arial" w:eastAsia="Arial" w:hAnsi="Arial"/>
          <w:sz w:val="12"/>
          <w:szCs w:val="12"/>
          <w:color w:val="FFFFFF"/>
        </w:rPr>
        <w:t>Named Executive</w:t>
      </w:r>
    </w:p>
    <w:p>
      <w:pPr>
        <w:ind w:left="1120"/>
        <w:spacing w:after="0"/>
        <w:rPr>
          <w:sz w:val="20"/>
          <w:szCs w:val="20"/>
          <w:color w:val="auto"/>
        </w:rPr>
      </w:pPr>
      <w:r>
        <w:rPr>
          <w:rFonts w:ascii="Arial" w:cs="Arial" w:eastAsia="Arial" w:hAnsi="Arial"/>
          <w:sz w:val="12"/>
          <w:szCs w:val="12"/>
          <w:color w:val="FFFFFF"/>
        </w:rPr>
        <w:t>Officers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Pay Versus</w:t>
      </w:r>
    </w:p>
    <w:p>
      <w:pPr>
        <w:ind w:left="1120"/>
        <w:spacing w:after="0" w:line="224" w:lineRule="auto"/>
        <w:rPr>
          <w:sz w:val="20"/>
          <w:szCs w:val="20"/>
          <w:color w:val="auto"/>
        </w:rPr>
      </w:pPr>
      <w:r>
        <w:rPr>
          <w:rFonts w:ascii="Arial" w:cs="Arial" w:eastAsia="Arial" w:hAnsi="Arial"/>
          <w:sz w:val="12"/>
          <w:szCs w:val="12"/>
          <w:color w:val="FFFFFF"/>
        </w:rPr>
        <w:t>Performance</w:t>
      </w:r>
    </w:p>
    <w:p>
      <w:pPr>
        <w:ind w:left="1120"/>
        <w:spacing w:after="0"/>
        <w:rPr>
          <w:sz w:val="20"/>
          <w:szCs w:val="20"/>
          <w:color w:val="auto"/>
        </w:rPr>
      </w:pPr>
      <w:r>
        <w:rPr>
          <w:rFonts w:ascii="Arial" w:cs="Arial" w:eastAsia="Arial" w:hAnsi="Arial"/>
          <w:sz w:val="12"/>
          <w:szCs w:val="12"/>
          <w:color w:val="FFFFFF"/>
        </w:rPr>
        <w:t>Disclosure</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Security</w:t>
      </w:r>
    </w:p>
    <w:p>
      <w:pPr>
        <w:ind w:left="1120"/>
        <w:spacing w:after="0" w:line="224" w:lineRule="auto"/>
        <w:rPr>
          <w:sz w:val="20"/>
          <w:szCs w:val="20"/>
          <w:color w:val="auto"/>
        </w:rPr>
      </w:pPr>
      <w:r>
        <w:rPr>
          <w:rFonts w:ascii="Arial" w:cs="Arial" w:eastAsia="Arial" w:hAnsi="Arial"/>
          <w:sz w:val="12"/>
          <w:szCs w:val="12"/>
          <w:color w:val="FFFFFF"/>
        </w:rPr>
        <w:t>Ownership of</w:t>
      </w:r>
    </w:p>
    <w:p>
      <w:pPr>
        <w:ind w:left="1120"/>
        <w:spacing w:after="0" w:line="222" w:lineRule="auto"/>
        <w:rPr>
          <w:sz w:val="20"/>
          <w:szCs w:val="20"/>
          <w:color w:val="auto"/>
        </w:rPr>
      </w:pPr>
      <w:r>
        <w:rPr>
          <w:rFonts w:ascii="Arial" w:cs="Arial" w:eastAsia="Arial" w:hAnsi="Arial"/>
          <w:sz w:val="12"/>
          <w:szCs w:val="12"/>
          <w:color w:val="FFFFFF"/>
        </w:rPr>
        <w:t>Certain Beneficial</w:t>
      </w:r>
    </w:p>
    <w:p>
      <w:pPr>
        <w:ind w:left="1120"/>
        <w:spacing w:after="0" w:line="222" w:lineRule="auto"/>
        <w:rPr>
          <w:sz w:val="20"/>
          <w:szCs w:val="20"/>
          <w:color w:val="auto"/>
        </w:rPr>
      </w:pPr>
      <w:r>
        <w:rPr>
          <w:rFonts w:ascii="Arial" w:cs="Arial" w:eastAsia="Arial" w:hAnsi="Arial"/>
          <w:sz w:val="12"/>
          <w:szCs w:val="12"/>
          <w:color w:val="FFFFFF"/>
        </w:rPr>
        <w:t>Owners and</w:t>
      </w:r>
    </w:p>
    <w:p>
      <w:pPr>
        <w:ind w:left="1120"/>
        <w:spacing w:after="0"/>
        <w:rPr>
          <w:sz w:val="20"/>
          <w:szCs w:val="20"/>
          <w:color w:val="auto"/>
        </w:rPr>
      </w:pPr>
      <w:r>
        <w:rPr>
          <w:rFonts w:ascii="Arial" w:cs="Arial" w:eastAsia="Arial" w:hAnsi="Arial"/>
          <w:sz w:val="12"/>
          <w:szCs w:val="12"/>
          <w:color w:val="FFFFFF"/>
        </w:rPr>
        <w:t>Management</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Certain</w:t>
      </w:r>
    </w:p>
    <w:p>
      <w:pPr>
        <w:ind w:left="1120"/>
        <w:spacing w:after="0" w:line="224" w:lineRule="auto"/>
        <w:rPr>
          <w:sz w:val="20"/>
          <w:szCs w:val="20"/>
          <w:color w:val="auto"/>
        </w:rPr>
      </w:pPr>
      <w:r>
        <w:rPr>
          <w:rFonts w:ascii="Arial" w:cs="Arial" w:eastAsia="Arial" w:hAnsi="Arial"/>
          <w:sz w:val="12"/>
          <w:szCs w:val="12"/>
          <w:color w:val="FFFFFF"/>
        </w:rPr>
        <w:t>Relationships and</w:t>
      </w:r>
    </w:p>
    <w:p>
      <w:pPr>
        <w:ind w:left="1120"/>
        <w:spacing w:after="0" w:line="222" w:lineRule="auto"/>
        <w:rPr>
          <w:sz w:val="20"/>
          <w:szCs w:val="20"/>
          <w:color w:val="auto"/>
        </w:rPr>
      </w:pPr>
      <w:r>
        <w:rPr>
          <w:rFonts w:ascii="Arial" w:cs="Arial" w:eastAsia="Arial" w:hAnsi="Arial"/>
          <w:sz w:val="12"/>
          <w:szCs w:val="12"/>
          <w:color w:val="FFFFFF"/>
        </w:rPr>
        <w:t>Related Party</w:t>
      </w:r>
    </w:p>
    <w:p>
      <w:pPr>
        <w:ind w:left="1120"/>
        <w:spacing w:after="0"/>
        <w:rPr>
          <w:sz w:val="20"/>
          <w:szCs w:val="20"/>
          <w:color w:val="auto"/>
        </w:rPr>
      </w:pPr>
      <w:r>
        <w:rPr>
          <w:rFonts w:ascii="Arial" w:cs="Arial" w:eastAsia="Arial" w:hAnsi="Arial"/>
          <w:sz w:val="12"/>
          <w:szCs w:val="12"/>
          <w:color w:val="FFFFFF"/>
        </w:rPr>
        <w:t>Transactions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Proposal 2</w:t>
      </w:r>
    </w:p>
    <w:p>
      <w:pPr>
        <w:spacing w:after="0" w:line="156"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Report of the</w:t>
      </w:r>
    </w:p>
    <w:p>
      <w:pPr>
        <w:ind w:left="1120"/>
        <w:spacing w:after="0" w:line="224" w:lineRule="auto"/>
        <w:rPr>
          <w:sz w:val="20"/>
          <w:szCs w:val="20"/>
          <w:color w:val="auto"/>
        </w:rPr>
      </w:pPr>
      <w:r>
        <w:rPr>
          <w:rFonts w:ascii="Arial" w:cs="Arial" w:eastAsia="Arial" w:hAnsi="Arial"/>
          <w:sz w:val="12"/>
          <w:szCs w:val="12"/>
          <w:color w:val="FFFFFF"/>
        </w:rPr>
        <w:t>Audit and Risk</w:t>
      </w:r>
    </w:p>
    <w:p>
      <w:pPr>
        <w:ind w:left="1120"/>
        <w:spacing w:after="0" w:line="222" w:lineRule="auto"/>
        <w:rPr>
          <w:sz w:val="20"/>
          <w:szCs w:val="20"/>
          <w:color w:val="auto"/>
        </w:rPr>
      </w:pPr>
      <w:r>
        <w:rPr>
          <w:rFonts w:ascii="Arial" w:cs="Arial" w:eastAsia="Arial" w:hAnsi="Arial"/>
          <w:sz w:val="12"/>
          <w:szCs w:val="12"/>
          <w:color w:val="FFFFFF"/>
        </w:rPr>
        <w:t>Committee of the</w:t>
      </w:r>
    </w:p>
    <w:p>
      <w:pPr>
        <w:ind w:left="1120"/>
        <w:spacing w:after="0"/>
        <w:rPr>
          <w:sz w:val="20"/>
          <w:szCs w:val="20"/>
          <w:color w:val="auto"/>
        </w:rPr>
      </w:pPr>
      <w:r>
        <w:rPr>
          <w:rFonts w:ascii="Arial" w:cs="Arial" w:eastAsia="Arial" w:hAnsi="Arial"/>
          <w:sz w:val="12"/>
          <w:szCs w:val="12"/>
          <w:color w:val="FFFFFF"/>
        </w:rPr>
        <w:t>Board of Directors</w:t>
      </w:r>
    </w:p>
    <w:p>
      <w:pPr>
        <w:spacing w:after="0" w:line="144" w:lineRule="exact"/>
        <w:rPr>
          <w:sz w:val="20"/>
          <w:szCs w:val="20"/>
          <w:color w:val="auto"/>
        </w:rPr>
      </w:pPr>
    </w:p>
    <w:p>
      <w:pPr>
        <w:jc w:val="center"/>
        <w:ind w:left="620"/>
        <w:spacing w:after="0"/>
        <w:rPr>
          <w:sz w:val="20"/>
          <w:szCs w:val="20"/>
          <w:color w:val="auto"/>
        </w:rPr>
      </w:pPr>
      <w:r>
        <w:rPr>
          <w:rFonts w:ascii="Arial" w:cs="Arial" w:eastAsia="Arial" w:hAnsi="Arial"/>
          <w:sz w:val="12"/>
          <w:szCs w:val="12"/>
          <w:color w:val="FFFFFF"/>
        </w:rPr>
        <w:t>Proposal 3</w:t>
      </w:r>
    </w:p>
    <w:p>
      <w:pPr>
        <w:spacing w:after="0" w:line="156" w:lineRule="exact"/>
        <w:rPr>
          <w:sz w:val="20"/>
          <w:szCs w:val="20"/>
          <w:color w:val="auto"/>
        </w:rPr>
      </w:pPr>
    </w:p>
    <w:p>
      <w:pPr>
        <w:jc w:val="center"/>
        <w:ind w:left="620"/>
        <w:spacing w:after="0"/>
        <w:rPr>
          <w:sz w:val="20"/>
          <w:szCs w:val="20"/>
          <w:color w:val="auto"/>
        </w:rPr>
      </w:pPr>
      <w:r>
        <w:rPr>
          <w:rFonts w:ascii="Arial" w:cs="Arial" w:eastAsia="Arial" w:hAnsi="Arial"/>
          <w:sz w:val="12"/>
          <w:szCs w:val="12"/>
          <w:color w:val="FFFFFF"/>
        </w:rPr>
        <w:t>Proposal 4</w:t>
      </w:r>
    </w:p>
    <w:p>
      <w:pPr>
        <w:spacing w:after="0" w:line="156" w:lineRule="exact"/>
        <w:rPr>
          <w:sz w:val="20"/>
          <w:szCs w:val="20"/>
          <w:color w:val="auto"/>
        </w:rPr>
      </w:pPr>
    </w:p>
    <w:p>
      <w:pPr>
        <w:jc w:val="center"/>
        <w:ind w:left="620"/>
        <w:spacing w:after="0"/>
        <w:rPr>
          <w:sz w:val="20"/>
          <w:szCs w:val="20"/>
          <w:color w:val="auto"/>
        </w:rPr>
      </w:pPr>
      <w:r>
        <w:rPr>
          <w:rFonts w:ascii="Arial" w:cs="Arial" w:eastAsia="Arial" w:hAnsi="Arial"/>
          <w:sz w:val="12"/>
          <w:szCs w:val="12"/>
          <w:color w:val="FFFFFF"/>
        </w:rPr>
        <w:t>Proposal 5</w:t>
      </w:r>
    </w:p>
    <w:p>
      <w:pPr>
        <w:spacing w:after="0" w:line="156"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Proposal 6</w:t>
      </w:r>
    </w:p>
    <w:p>
      <w:pPr>
        <w:spacing w:after="0" w:line="156"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Stockholder</w:t>
      </w:r>
    </w:p>
    <w:p>
      <w:pPr>
        <w:ind w:left="1120"/>
        <w:spacing w:after="0" w:line="224" w:lineRule="auto"/>
        <w:rPr>
          <w:sz w:val="20"/>
          <w:szCs w:val="20"/>
          <w:color w:val="auto"/>
        </w:rPr>
      </w:pPr>
      <w:r>
        <w:rPr>
          <w:rFonts w:ascii="Arial" w:cs="Arial" w:eastAsia="Arial" w:hAnsi="Arial"/>
          <w:sz w:val="12"/>
          <w:szCs w:val="12"/>
          <w:color w:val="FFFFFF"/>
        </w:rPr>
        <w:t>Proposals and</w:t>
      </w:r>
    </w:p>
    <w:p>
      <w:pPr>
        <w:ind w:left="1120"/>
        <w:spacing w:after="0"/>
        <w:rPr>
          <w:sz w:val="20"/>
          <w:szCs w:val="20"/>
          <w:color w:val="auto"/>
        </w:rPr>
      </w:pPr>
      <w:r>
        <w:rPr>
          <w:rFonts w:ascii="Arial" w:cs="Arial" w:eastAsia="Arial" w:hAnsi="Arial"/>
          <w:sz w:val="12"/>
          <w:szCs w:val="12"/>
          <w:color w:val="FFFFFF"/>
        </w:rPr>
        <w:t>Other Matters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Delinquent</w:t>
      </w:r>
    </w:p>
    <w:p>
      <w:pPr>
        <w:ind w:left="1120"/>
        <w:spacing w:after="0" w:line="224" w:lineRule="auto"/>
        <w:rPr>
          <w:sz w:val="20"/>
          <w:szCs w:val="20"/>
          <w:color w:val="auto"/>
        </w:rPr>
      </w:pPr>
      <w:r>
        <w:rPr>
          <w:rFonts w:ascii="Arial" w:cs="Arial" w:eastAsia="Arial" w:hAnsi="Arial"/>
          <w:sz w:val="12"/>
          <w:szCs w:val="12"/>
          <w:color w:val="FFFFFF"/>
        </w:rPr>
        <w:t>Section 16(a)</w:t>
      </w:r>
    </w:p>
    <w:p>
      <w:pPr>
        <w:ind w:left="1120"/>
        <w:spacing w:after="0"/>
        <w:rPr>
          <w:sz w:val="20"/>
          <w:szCs w:val="20"/>
          <w:color w:val="auto"/>
        </w:rPr>
      </w:pPr>
      <w:r>
        <w:rPr>
          <w:rFonts w:ascii="Arial" w:cs="Arial" w:eastAsia="Arial" w:hAnsi="Arial"/>
          <w:sz w:val="12"/>
          <w:szCs w:val="12"/>
          <w:color w:val="FFFFFF"/>
        </w:rPr>
        <w:t>Reports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Other</w:t>
      </w:r>
    </w:p>
    <w:p>
      <w:pPr>
        <w:spacing w:after="0" w:line="2"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Information</w:t>
      </w:r>
    </w:p>
    <w:p>
      <w:pPr>
        <w:spacing w:after="0" w:line="144" w:lineRule="exact"/>
        <w:rPr>
          <w:sz w:val="20"/>
          <w:szCs w:val="20"/>
          <w:color w:val="auto"/>
        </w:rPr>
      </w:pPr>
    </w:p>
    <w:p>
      <w:pPr>
        <w:jc w:val="center"/>
        <w:ind w:left="660"/>
        <w:spacing w:after="0"/>
        <w:rPr>
          <w:sz w:val="20"/>
          <w:szCs w:val="20"/>
          <w:color w:val="auto"/>
        </w:rPr>
      </w:pPr>
      <w:r>
        <w:rPr>
          <w:rFonts w:ascii="Arial" w:cs="Arial" w:eastAsia="Arial" w:hAnsi="Arial"/>
          <w:sz w:val="12"/>
          <w:szCs w:val="12"/>
          <w:color w:val="FFFFFF"/>
        </w:rPr>
        <w:t>Appendix A</w:t>
      </w:r>
    </w:p>
    <w:p>
      <w:pPr>
        <w:spacing w:after="0" w:line="156" w:lineRule="exact"/>
        <w:rPr>
          <w:sz w:val="20"/>
          <w:szCs w:val="20"/>
          <w:color w:val="auto"/>
        </w:rPr>
      </w:pPr>
    </w:p>
    <w:p>
      <w:pPr>
        <w:jc w:val="center"/>
        <w:ind w:left="660"/>
        <w:spacing w:after="0"/>
        <w:rPr>
          <w:sz w:val="20"/>
          <w:szCs w:val="20"/>
          <w:color w:val="auto"/>
        </w:rPr>
      </w:pPr>
      <w:r>
        <w:rPr>
          <w:rFonts w:ascii="Arial" w:cs="Arial" w:eastAsia="Arial" w:hAnsi="Arial"/>
          <w:sz w:val="12"/>
          <w:szCs w:val="12"/>
          <w:color w:val="FFFFFF"/>
        </w:rPr>
        <w:t>Appendix 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24"/>
          <w:szCs w:val="24"/>
          <w:color w:val="B95827"/>
        </w:rPr>
        <w:t>Recommendation of the Nominating and Governance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-1737995</wp:posOffset>
            </wp:positionH>
            <wp:positionV relativeFrom="paragraph">
              <wp:posOffset>-800735</wp:posOffset>
            </wp:positionV>
            <wp:extent cx="7181215" cy="533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81215" cy="53340"/>
                    </a:xfrm>
                    <a:prstGeom prst="rect">
                      <a:avLst/>
                    </a:prstGeom>
                    <a:noFill/>
                  </pic:spPr>
                </pic:pic>
              </a:graphicData>
            </a:graphic>
          </wp:anchor>
        </w:drawing>
      </w:r>
    </w:p>
    <w:p>
      <w:pPr>
        <w:spacing w:after="0" w:line="97" w:lineRule="exact"/>
        <w:rPr>
          <w:sz w:val="20"/>
          <w:szCs w:val="20"/>
          <w:color w:val="auto"/>
        </w:rPr>
      </w:pPr>
    </w:p>
    <w:p>
      <w:pPr>
        <w:ind w:right="160"/>
        <w:spacing w:after="0" w:line="261" w:lineRule="auto"/>
        <w:rPr>
          <w:sz w:val="20"/>
          <w:szCs w:val="20"/>
          <w:color w:val="auto"/>
        </w:rPr>
      </w:pPr>
      <w:r>
        <w:rPr>
          <w:rFonts w:ascii="Arial" w:cs="Arial" w:eastAsia="Arial" w:hAnsi="Arial"/>
          <w:sz w:val="15"/>
          <w:szCs w:val="15"/>
          <w:color w:val="auto"/>
        </w:rPr>
        <w:t>In recommending that the Board nominate each of our current directors to stand for election at the Annual Meeting, the Nominating and Governance Committee evaluated those directors according to the principles set forth in the Corporate Governance Guidelines and considered the pertinent qualifications and experience of each nominee, as further set forth below.</w:t>
      </w:r>
    </w:p>
    <w:p>
      <w:pPr>
        <w:spacing w:after="0" w:line="66" w:lineRule="exact"/>
        <w:rPr>
          <w:sz w:val="20"/>
          <w:szCs w:val="20"/>
          <w:color w:val="auto"/>
        </w:rPr>
      </w:pPr>
    </w:p>
    <w:p>
      <w:pPr>
        <w:spacing w:after="0" w:line="261" w:lineRule="auto"/>
        <w:rPr>
          <w:sz w:val="20"/>
          <w:szCs w:val="20"/>
          <w:color w:val="auto"/>
        </w:rPr>
      </w:pPr>
      <w:r>
        <w:rPr>
          <w:rFonts w:ascii="Arial" w:cs="Arial" w:eastAsia="Arial" w:hAnsi="Arial"/>
          <w:sz w:val="15"/>
          <w:szCs w:val="15"/>
          <w:color w:val="auto"/>
        </w:rPr>
        <w:t>If any of our nominees is unable or unwilling to serve on our Board of Directors, the shares represented by your proxy will be voted for the election of such other person as may be nominated by our Board of Directors. In addition, in compliance with all applicable state and federal laws and regulations, we will file an amended proxy statement and proxy card that, as applicable:</w:t>
      </w:r>
    </w:p>
    <w:p>
      <w:pPr>
        <w:spacing w:after="0" w:line="79" w:lineRule="exact"/>
        <w:rPr>
          <w:sz w:val="20"/>
          <w:szCs w:val="20"/>
          <w:color w:val="auto"/>
        </w:rPr>
      </w:pPr>
    </w:p>
    <w:p>
      <w:pPr>
        <w:ind w:left="280" w:hanging="273"/>
        <w:spacing w:after="0"/>
        <w:tabs>
          <w:tab w:leader="none" w:pos="280" w:val="left"/>
        </w:tabs>
        <w:numPr>
          <w:ilvl w:val="0"/>
          <w:numId w:val="21"/>
        </w:numPr>
        <w:rPr>
          <w:rFonts w:ascii="Arial" w:cs="Arial" w:eastAsia="Arial" w:hAnsi="Arial"/>
          <w:sz w:val="15"/>
          <w:szCs w:val="15"/>
          <w:color w:val="auto"/>
        </w:rPr>
      </w:pPr>
      <w:r>
        <w:rPr>
          <w:rFonts w:ascii="Arial" w:cs="Arial" w:eastAsia="Arial" w:hAnsi="Arial"/>
          <w:sz w:val="15"/>
          <w:szCs w:val="15"/>
          <w:color w:val="auto"/>
        </w:rPr>
        <w:t>identifies the alternate nominee(s);</w:t>
      </w:r>
    </w:p>
    <w:p>
      <w:pPr>
        <w:spacing w:after="0" w:line="121" w:lineRule="exact"/>
        <w:rPr>
          <w:rFonts w:ascii="Arial" w:cs="Arial" w:eastAsia="Arial" w:hAnsi="Arial"/>
          <w:sz w:val="15"/>
          <w:szCs w:val="15"/>
          <w:color w:val="auto"/>
        </w:rPr>
      </w:pPr>
    </w:p>
    <w:p>
      <w:pPr>
        <w:ind w:left="280" w:right="220" w:hanging="273"/>
        <w:spacing w:after="0" w:line="287" w:lineRule="auto"/>
        <w:tabs>
          <w:tab w:leader="none" w:pos="280" w:val="left"/>
        </w:tabs>
        <w:numPr>
          <w:ilvl w:val="0"/>
          <w:numId w:val="21"/>
        </w:numPr>
        <w:rPr>
          <w:rFonts w:ascii="Arial" w:cs="Arial" w:eastAsia="Arial" w:hAnsi="Arial"/>
          <w:sz w:val="15"/>
          <w:szCs w:val="15"/>
          <w:color w:val="auto"/>
        </w:rPr>
      </w:pPr>
      <w:r>
        <w:rPr>
          <w:rFonts w:ascii="Arial" w:cs="Arial" w:eastAsia="Arial" w:hAnsi="Arial"/>
          <w:sz w:val="15"/>
          <w:szCs w:val="15"/>
          <w:color w:val="auto"/>
        </w:rPr>
        <w:t>discloses that any such nominee has consented to being named in the revised proxy statement and to serve if elected; and</w:t>
      </w:r>
    </w:p>
    <w:p>
      <w:pPr>
        <w:spacing w:after="0" w:line="59" w:lineRule="exact"/>
        <w:rPr>
          <w:rFonts w:ascii="Arial" w:cs="Arial" w:eastAsia="Arial" w:hAnsi="Arial"/>
          <w:sz w:val="15"/>
          <w:szCs w:val="15"/>
          <w:color w:val="auto"/>
        </w:rPr>
      </w:pPr>
    </w:p>
    <w:p>
      <w:pPr>
        <w:ind w:left="280" w:hanging="273"/>
        <w:spacing w:after="0"/>
        <w:tabs>
          <w:tab w:leader="none" w:pos="280" w:val="left"/>
        </w:tabs>
        <w:numPr>
          <w:ilvl w:val="0"/>
          <w:numId w:val="21"/>
        </w:numPr>
        <w:rPr>
          <w:rFonts w:ascii="Arial" w:cs="Arial" w:eastAsia="Arial" w:hAnsi="Arial"/>
          <w:sz w:val="15"/>
          <w:szCs w:val="15"/>
          <w:color w:val="auto"/>
        </w:rPr>
      </w:pPr>
      <w:r>
        <w:rPr>
          <w:rFonts w:ascii="Arial" w:cs="Arial" w:eastAsia="Arial" w:hAnsi="Arial"/>
          <w:sz w:val="15"/>
          <w:szCs w:val="15"/>
          <w:color w:val="auto"/>
        </w:rPr>
        <w:t>includes the disclosure required by Item 7 of Schedule 14A with respect to any such nominee.</w:t>
      </w:r>
    </w:p>
    <w:p>
      <w:pPr>
        <w:spacing w:after="0" w:line="108" w:lineRule="exact"/>
        <w:rPr>
          <w:sz w:val="20"/>
          <w:szCs w:val="20"/>
          <w:color w:val="auto"/>
        </w:rPr>
      </w:pPr>
    </w:p>
    <w:p>
      <w:pPr>
        <w:ind w:right="160"/>
        <w:spacing w:after="0" w:line="287" w:lineRule="auto"/>
        <w:rPr>
          <w:sz w:val="20"/>
          <w:szCs w:val="20"/>
          <w:color w:val="auto"/>
        </w:rPr>
      </w:pPr>
      <w:r>
        <w:rPr>
          <w:rFonts w:ascii="Arial" w:cs="Arial" w:eastAsia="Arial" w:hAnsi="Arial"/>
          <w:sz w:val="15"/>
          <w:szCs w:val="15"/>
          <w:color w:val="auto"/>
        </w:rPr>
        <w:t>We know of no reason why any nominee would be unable or unwilling to serve. All nominees have consented to be named in this proxy statement and to serve if elected.</w:t>
      </w:r>
    </w:p>
    <w:p>
      <w:pPr>
        <w:spacing w:after="0" w:line="139" w:lineRule="exact"/>
        <w:rPr>
          <w:sz w:val="20"/>
          <w:szCs w:val="20"/>
          <w:color w:val="auto"/>
        </w:rPr>
      </w:pPr>
    </w:p>
    <w:p>
      <w:pPr>
        <w:spacing w:after="0"/>
        <w:rPr>
          <w:sz w:val="20"/>
          <w:szCs w:val="20"/>
          <w:color w:val="auto"/>
        </w:rPr>
      </w:pPr>
      <w:r>
        <w:rPr>
          <w:rFonts w:ascii="Arial" w:cs="Arial" w:eastAsia="Arial" w:hAnsi="Arial"/>
          <w:sz w:val="24"/>
          <w:szCs w:val="24"/>
          <w:color w:val="B95827"/>
        </w:rPr>
        <w:t>Director Qualifications and Experience</w:t>
      </w:r>
    </w:p>
    <w:p>
      <w:pPr>
        <w:spacing w:after="0" w:line="117" w:lineRule="exact"/>
        <w:rPr>
          <w:sz w:val="20"/>
          <w:szCs w:val="20"/>
          <w:color w:val="auto"/>
        </w:rPr>
      </w:pPr>
    </w:p>
    <w:p>
      <w:pPr>
        <w:jc w:val="both"/>
        <w:ind w:right="80"/>
        <w:spacing w:after="0" w:line="261" w:lineRule="auto"/>
        <w:rPr>
          <w:sz w:val="20"/>
          <w:szCs w:val="20"/>
          <w:color w:val="auto"/>
        </w:rPr>
      </w:pPr>
      <w:r>
        <w:rPr>
          <w:rFonts w:ascii="Arial" w:cs="Arial" w:eastAsia="Arial" w:hAnsi="Arial"/>
          <w:sz w:val="15"/>
          <w:szCs w:val="15"/>
          <w:color w:val="auto"/>
        </w:rPr>
        <w:t>The Board believes that the director nominees possess experience, skills and qualifications that are complementary and, together, cover the spectrum of areas that impact the Company’s current and evolving business circumstances. The Board believes that the combination of backgrounds, skills and experiences will result in a Board that continues to be well-equipped to exercise oversight responsibilities on behalf of the Company’s stakeholders.</w:t>
      </w:r>
    </w:p>
    <w:p>
      <w:pPr>
        <w:spacing w:after="0" w:line="67" w:lineRule="exact"/>
        <w:rPr>
          <w:sz w:val="20"/>
          <w:szCs w:val="20"/>
          <w:color w:val="auto"/>
        </w:rPr>
      </w:pPr>
    </w:p>
    <w:p>
      <w:pPr>
        <w:spacing w:after="0"/>
        <w:rPr>
          <w:sz w:val="20"/>
          <w:szCs w:val="20"/>
          <w:color w:val="auto"/>
        </w:rPr>
      </w:pPr>
      <w:r>
        <w:rPr>
          <w:rFonts w:ascii="Arial" w:cs="Arial" w:eastAsia="Arial" w:hAnsi="Arial"/>
          <w:sz w:val="15"/>
          <w:szCs w:val="15"/>
          <w:color w:val="auto"/>
        </w:rPr>
        <w:t>The table below provides a summary of the skills and qualifications of each director nominee: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157480</wp:posOffset>
            </wp:positionV>
            <wp:extent cx="4797425" cy="323342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4797425" cy="3233420"/>
                    </a:xfrm>
                    <a:prstGeom prst="rect">
                      <a:avLst/>
                    </a:prstGeom>
                    <a:noFill/>
                  </pic:spPr>
                </pic:pic>
              </a:graphicData>
            </a:graphic>
          </wp:anchor>
        </w:drawing>
      </w:r>
    </w:p>
    <w:p>
      <w:pPr>
        <w:spacing w:after="0" w:line="6209" w:lineRule="exact"/>
        <w:rPr>
          <w:sz w:val="20"/>
          <w:szCs w:val="20"/>
          <w:color w:val="auto"/>
        </w:rPr>
      </w:pPr>
    </w:p>
    <w:p>
      <w:pPr>
        <w:sectPr>
          <w:pgSz w:w="11900" w:h="16838" w:orient="portrait"/>
          <w:cols w:equalWidth="0" w:num="2">
            <w:col w:w="2160" w:space="560"/>
            <w:col w:w="7940"/>
          </w:cols>
          <w:pgMar w:left="320" w:top="464" w:right="919" w:bottom="1440" w:gutter="0" w:footer="0" w:header="0"/>
        </w:sectPr>
      </w:pPr>
    </w:p>
    <w:p>
      <w:pPr>
        <w:spacing w:after="0" w:line="200" w:lineRule="exact"/>
        <w:rPr>
          <w:sz w:val="20"/>
          <w:szCs w:val="20"/>
          <w:color w:val="auto"/>
        </w:rPr>
      </w:pPr>
    </w:p>
    <w:p>
      <w:pPr>
        <w:spacing w:after="0" w:line="385" w:lineRule="exact"/>
        <w:rPr>
          <w:sz w:val="20"/>
          <w:szCs w:val="20"/>
          <w:color w:val="auto"/>
        </w:rPr>
      </w:pPr>
    </w:p>
    <w:p>
      <w:pPr>
        <w:ind w:left="420"/>
        <w:spacing w:after="0"/>
        <w:tabs>
          <w:tab w:leader="none" w:pos="2380" w:val="left"/>
          <w:tab w:leader="none" w:pos="2800" w:val="left"/>
        </w:tabs>
        <w:rPr>
          <w:sz w:val="20"/>
          <w:szCs w:val="20"/>
          <w:color w:val="auto"/>
        </w:rPr>
      </w:pPr>
      <w:r>
        <w:rPr>
          <w:rFonts w:ascii="Arial" w:cs="Arial" w:eastAsia="Arial" w:hAnsi="Arial"/>
          <w:sz w:val="30"/>
          <w:szCs w:val="30"/>
          <w:color w:val="000000"/>
          <w:vertAlign w:val="superscript"/>
        </w:rPr>
        <w:t xml:space="preserve">             </w:t>
      </w:r>
      <w:r>
        <w:rPr>
          <w:sz w:val="20"/>
          <w:szCs w:val="20"/>
          <w:color w:val="auto"/>
        </w:rPr>
        <w:tab/>
      </w:r>
      <w:r>
        <w:rPr>
          <w:rFonts w:ascii="Arial" w:cs="Arial" w:eastAsia="Arial" w:hAnsi="Arial"/>
          <w:sz w:val="31"/>
          <w:szCs w:val="31"/>
          <w:color w:val="auto"/>
          <w:vertAlign w:val="superscript"/>
        </w:rPr>
        <w:t xml:space="preserve">    </w:t>
      </w:r>
      <w:r>
        <w:rPr>
          <w:sz w:val="20"/>
          <w:szCs w:val="20"/>
          <w:color w:val="auto"/>
        </w:rPr>
        <w:tab/>
      </w:r>
      <w:r>
        <w:rPr>
          <w:rFonts w:ascii="Arial" w:cs="Arial" w:eastAsia="Arial" w:hAnsi="Arial"/>
          <w:sz w:val="15"/>
          <w:szCs w:val="15"/>
          <w:b w:val="1"/>
          <w:bCs w:val="1"/>
          <w:color w:val="002B5F"/>
        </w:rPr>
        <w:t xml:space="preserve">10  </w:t>
      </w:r>
      <w:r>
        <w:rPr>
          <w:rFonts w:ascii="Arial" w:cs="Arial" w:eastAsia="Arial" w:hAnsi="Arial"/>
          <w:sz w:val="20"/>
          <w:szCs w:val="20"/>
          <w:color w:val="002B5F"/>
        </w:rPr>
        <w:t>|</w:t>
      </w:r>
      <w:r>
        <w:rPr>
          <w:rFonts w:ascii="Arial" w:cs="Arial" w:eastAsia="Arial" w:hAnsi="Arial"/>
          <w:sz w:val="15"/>
          <w:szCs w:val="15"/>
          <w:b w:val="1"/>
          <w:bCs w:val="1"/>
          <w:color w:val="002B5F"/>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6111875</wp:posOffset>
            </wp:positionH>
            <wp:positionV relativeFrom="paragraph">
              <wp:posOffset>-208915</wp:posOffset>
            </wp:positionV>
            <wp:extent cx="769620" cy="971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69620" cy="97155"/>
                    </a:xfrm>
                    <a:prstGeom prst="rect">
                      <a:avLst/>
                    </a:prstGeom>
                    <a:noFill/>
                  </pic:spPr>
                </pic:pic>
              </a:graphicData>
            </a:graphic>
          </wp:anchor>
        </w:drawing>
      </w:r>
    </w:p>
    <w:p>
      <w:pPr>
        <w:sectPr>
          <w:pgSz w:w="11900" w:h="16838" w:orient="portrait"/>
          <w:cols w:equalWidth="0" w:num="1">
            <w:col w:w="10660"/>
          </w:cols>
          <w:pgMar w:left="320" w:top="464" w:right="91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533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81215" cy="5334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5617845</wp:posOffset>
            </wp:positionH>
            <wp:positionV relativeFrom="paragraph">
              <wp:posOffset>253365</wp:posOffset>
            </wp:positionV>
            <wp:extent cx="1256030" cy="74720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56030" cy="7472045"/>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ind w:left="540"/>
        <w:spacing w:after="0"/>
        <w:rPr>
          <w:sz w:val="20"/>
          <w:szCs w:val="20"/>
          <w:color w:val="auto"/>
        </w:rPr>
      </w:pPr>
      <w:r>
        <w:rPr>
          <w:rFonts w:ascii="Arial" w:cs="Arial" w:eastAsia="Arial" w:hAnsi="Arial"/>
          <w:sz w:val="24"/>
          <w:szCs w:val="24"/>
          <w:color w:val="B95827"/>
        </w:rPr>
        <w:t>Board of Director Nominees</w:t>
      </w:r>
    </w:p>
    <w:tbl>
      <w:tblPr>
        <w:tblLayout w:type="fixed"/>
        <w:tblInd w:w="540" w:type="dxa"/>
        <w:tblCellMar>
          <w:top w:w="0" w:type="dxa"/>
          <w:left w:w="0" w:type="dxa"/>
          <w:bottom w:w="0" w:type="dxa"/>
          <w:right w:w="0" w:type="dxa"/>
        </w:tblCellMar>
      </w:tblPr>
      <w:tr>
        <w:trPr>
          <w:trHeight w:val="146"/>
        </w:trPr>
        <w:tc>
          <w:tcPr>
            <w:tcW w:w="7880" w:type="dxa"/>
            <w:vAlign w:val="bottom"/>
          </w:tcPr>
          <w:p>
            <w:pPr>
              <w:spacing w:after="0"/>
              <w:rPr>
                <w:sz w:val="12"/>
                <w:szCs w:val="12"/>
                <w:color w:val="auto"/>
              </w:rPr>
            </w:pPr>
          </w:p>
        </w:tc>
        <w:tc>
          <w:tcPr>
            <w:tcW w:w="660" w:type="dxa"/>
            <w:vAlign w:val="bottom"/>
          </w:tcPr>
          <w:p>
            <w:pPr>
              <w:ind w:left="460"/>
              <w:spacing w:after="0" w:line="146" w:lineRule="exact"/>
              <w:rPr>
                <w:sz w:val="20"/>
                <w:szCs w:val="20"/>
                <w:color w:val="auto"/>
              </w:rPr>
            </w:pPr>
            <w:r>
              <w:rPr>
                <w:rFonts w:ascii="Arial" w:cs="Arial" w:eastAsia="Arial" w:hAnsi="Arial"/>
                <w:sz w:val="15"/>
                <w:szCs w:val="15"/>
                <w:color w:val="auto"/>
              </w:rPr>
              <w:t> </w:t>
            </w:r>
          </w:p>
        </w:tc>
        <w:tc>
          <w:tcPr>
            <w:tcW w:w="1280" w:type="dxa"/>
            <w:vAlign w:val="bottom"/>
          </w:tcPr>
          <w:p>
            <w:pPr>
              <w:ind w:left="140"/>
              <w:spacing w:after="0"/>
              <w:rPr>
                <w:sz w:val="20"/>
                <w:szCs w:val="20"/>
                <w:color w:val="auto"/>
              </w:rPr>
            </w:pPr>
            <w:r>
              <w:rPr>
                <w:rFonts w:ascii="Arial" w:cs="Arial" w:eastAsia="Arial" w:hAnsi="Arial"/>
                <w:sz w:val="12"/>
                <w:szCs w:val="12"/>
                <w:color w:val="FFFFFF"/>
              </w:rPr>
              <w:t>General</w:t>
            </w:r>
          </w:p>
        </w:tc>
        <w:tc>
          <w:tcPr>
            <w:tcW w:w="440" w:type="dxa"/>
            <w:vAlign w:val="bottom"/>
          </w:tcPr>
          <w:p>
            <w:pPr>
              <w:ind w:left="80"/>
              <w:spacing w:after="0" w:line="146" w:lineRule="exact"/>
              <w:rPr>
                <w:sz w:val="20"/>
                <w:szCs w:val="20"/>
                <w:color w:val="auto"/>
              </w:rPr>
            </w:pPr>
            <w:r>
              <w:rPr>
                <w:rFonts w:ascii="Arial" w:cs="Arial" w:eastAsia="Arial" w:hAnsi="Arial"/>
                <w:sz w:val="15"/>
                <w:szCs w:val="15"/>
                <w:color w:val="auto"/>
              </w:rPr>
              <w:t xml:space="preserve">       </w:t>
            </w:r>
          </w:p>
        </w:tc>
        <w:tc>
          <w:tcPr>
            <w:tcW w:w="0" w:type="dxa"/>
            <w:vAlign w:val="bottom"/>
          </w:tcPr>
          <w:p>
            <w:pPr>
              <w:spacing w:after="0"/>
              <w:rPr>
                <w:sz w:val="1"/>
                <w:szCs w:val="1"/>
                <w:color w:val="auto"/>
              </w:rPr>
            </w:pPr>
          </w:p>
        </w:tc>
      </w:tr>
      <w:tr>
        <w:trPr>
          <w:trHeight w:val="154"/>
        </w:trPr>
        <w:tc>
          <w:tcPr>
            <w:tcW w:w="8540" w:type="dxa"/>
            <w:vAlign w:val="bottom"/>
            <w:gridSpan w:val="2"/>
          </w:tcPr>
          <w:p>
            <w:pPr>
              <w:spacing w:after="0" w:line="154" w:lineRule="exact"/>
              <w:rPr>
                <w:sz w:val="20"/>
                <w:szCs w:val="20"/>
                <w:color w:val="auto"/>
              </w:rPr>
            </w:pPr>
            <w:r>
              <w:rPr>
                <w:rFonts w:ascii="Arial" w:cs="Arial" w:eastAsia="Arial" w:hAnsi="Arial"/>
                <w:sz w:val="15"/>
                <w:szCs w:val="15"/>
                <w:color w:val="auto"/>
              </w:rPr>
              <w:t>The name, age and a description of the business experience, principal occupation, and past employment and</w:t>
            </w:r>
          </w:p>
        </w:tc>
        <w:tc>
          <w:tcPr>
            <w:tcW w:w="1280" w:type="dxa"/>
            <w:vAlign w:val="bottom"/>
          </w:tcPr>
          <w:p>
            <w:pPr>
              <w:ind w:left="140"/>
              <w:spacing w:after="0"/>
              <w:rPr>
                <w:sz w:val="20"/>
                <w:szCs w:val="20"/>
                <w:color w:val="auto"/>
              </w:rPr>
            </w:pPr>
            <w:r>
              <w:rPr>
                <w:rFonts w:ascii="Arial" w:cs="Arial" w:eastAsia="Arial" w:hAnsi="Arial"/>
                <w:sz w:val="12"/>
                <w:szCs w:val="12"/>
                <w:color w:val="FFFFFF"/>
              </w:rPr>
              <w:t>Information</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8540" w:type="dxa"/>
            <w:vAlign w:val="bottom"/>
            <w:gridSpan w:val="2"/>
          </w:tcPr>
          <w:p>
            <w:pPr>
              <w:spacing w:after="0"/>
              <w:rPr>
                <w:sz w:val="20"/>
                <w:szCs w:val="20"/>
                <w:color w:val="auto"/>
              </w:rPr>
            </w:pPr>
            <w:r>
              <w:rPr>
                <w:rFonts w:ascii="Arial" w:cs="Arial" w:eastAsia="Arial" w:hAnsi="Arial"/>
                <w:sz w:val="15"/>
                <w:szCs w:val="15"/>
                <w:color w:val="auto"/>
              </w:rPr>
              <w:t>public-company directorships of each of the nominees during at least the last five years are set forth below. In</w:t>
            </w:r>
          </w:p>
        </w:tc>
        <w:tc>
          <w:tcPr>
            <w:tcW w:w="1280" w:type="dxa"/>
            <w:vAlign w:val="bottom"/>
            <w:vMerge w:val="restart"/>
          </w:tcPr>
          <w:p>
            <w:pPr>
              <w:ind w:left="140"/>
              <w:spacing w:after="0"/>
              <w:rPr>
                <w:sz w:val="20"/>
                <w:szCs w:val="20"/>
                <w:color w:val="auto"/>
              </w:rPr>
            </w:pPr>
            <w:r>
              <w:rPr>
                <w:rFonts w:ascii="Arial" w:cs="Arial" w:eastAsia="Arial" w:hAnsi="Arial"/>
                <w:sz w:val="12"/>
                <w:szCs w:val="12"/>
                <w:color w:val="FFFFFF"/>
              </w:rPr>
              <w:t>General Information</w:t>
            </w: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8"/>
        </w:trPr>
        <w:tc>
          <w:tcPr>
            <w:tcW w:w="8540" w:type="dxa"/>
            <w:vAlign w:val="bottom"/>
            <w:gridSpan w:val="2"/>
            <w:vMerge w:val="restart"/>
          </w:tcPr>
          <w:p>
            <w:pPr>
              <w:spacing w:after="0"/>
              <w:rPr>
                <w:sz w:val="20"/>
                <w:szCs w:val="20"/>
                <w:color w:val="auto"/>
              </w:rPr>
            </w:pPr>
            <w:r>
              <w:rPr>
                <w:rFonts w:ascii="Arial" w:cs="Arial" w:eastAsia="Arial" w:hAnsi="Arial"/>
                <w:sz w:val="15"/>
                <w:szCs w:val="15"/>
                <w:color w:val="auto"/>
              </w:rPr>
              <w:t>addition, we have summarized the particular experience, qualifications, attributes and skills that led the Board of</w:t>
            </w:r>
          </w:p>
        </w:tc>
        <w:tc>
          <w:tcPr>
            <w:tcW w:w="128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0"/>
        </w:trPr>
        <w:tc>
          <w:tcPr>
            <w:tcW w:w="8540" w:type="dxa"/>
            <w:vAlign w:val="bottom"/>
            <w:gridSpan w:val="2"/>
            <w:vMerge w:val="continue"/>
          </w:tcPr>
          <w:p>
            <w:pPr>
              <w:spacing w:after="0"/>
              <w:rPr>
                <w:sz w:val="10"/>
                <w:szCs w:val="10"/>
                <w:color w:val="auto"/>
              </w:rPr>
            </w:pPr>
          </w:p>
        </w:tc>
        <w:tc>
          <w:tcPr>
            <w:tcW w:w="1280" w:type="dxa"/>
            <w:vAlign w:val="bottom"/>
          </w:tcPr>
          <w:p>
            <w:pPr>
              <w:ind w:left="140"/>
              <w:spacing w:after="0" w:line="121" w:lineRule="exact"/>
              <w:rPr>
                <w:sz w:val="20"/>
                <w:szCs w:val="20"/>
                <w:color w:val="auto"/>
              </w:rPr>
            </w:pPr>
            <w:r>
              <w:rPr>
                <w:rFonts w:ascii="Arial" w:cs="Arial" w:eastAsia="Arial" w:hAnsi="Arial"/>
                <w:sz w:val="12"/>
                <w:szCs w:val="12"/>
                <w:color w:val="FFFFFF"/>
              </w:rPr>
              <w:t>About Corporate</w:t>
            </w: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8540" w:type="dxa"/>
            <w:vAlign w:val="bottom"/>
            <w:gridSpan w:val="2"/>
          </w:tcPr>
          <w:p>
            <w:pPr>
              <w:spacing w:after="0" w:line="153" w:lineRule="exact"/>
              <w:rPr>
                <w:sz w:val="20"/>
                <w:szCs w:val="20"/>
                <w:color w:val="auto"/>
              </w:rPr>
            </w:pPr>
            <w:r>
              <w:rPr>
                <w:rFonts w:ascii="Arial" w:cs="Arial" w:eastAsia="Arial" w:hAnsi="Arial"/>
                <w:sz w:val="15"/>
                <w:szCs w:val="15"/>
                <w:color w:val="auto"/>
              </w:rPr>
              <w:t>Directors, including our Nominating and Governance Committee, to determine that each nominee should serve as a</w:t>
            </w:r>
          </w:p>
        </w:tc>
        <w:tc>
          <w:tcPr>
            <w:tcW w:w="1280" w:type="dxa"/>
            <w:vAlign w:val="bottom"/>
          </w:tcPr>
          <w:p>
            <w:pPr>
              <w:ind w:left="140"/>
              <w:spacing w:after="0"/>
              <w:rPr>
                <w:sz w:val="20"/>
                <w:szCs w:val="20"/>
                <w:color w:val="auto"/>
              </w:rPr>
            </w:pPr>
            <w:r>
              <w:rPr>
                <w:rFonts w:ascii="Arial" w:cs="Arial" w:eastAsia="Arial" w:hAnsi="Arial"/>
                <w:sz w:val="12"/>
                <w:szCs w:val="12"/>
                <w:color w:val="FFFFFF"/>
              </w:rPr>
              <w:t>Governance</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0"/>
        </w:trPr>
        <w:tc>
          <w:tcPr>
            <w:tcW w:w="8540" w:type="dxa"/>
            <w:vAlign w:val="bottom"/>
            <w:gridSpan w:val="2"/>
            <w:vMerge w:val="restart"/>
          </w:tcPr>
          <w:p>
            <w:pPr>
              <w:spacing w:after="0"/>
              <w:rPr>
                <w:sz w:val="20"/>
                <w:szCs w:val="20"/>
                <w:color w:val="auto"/>
              </w:rPr>
            </w:pPr>
            <w:r>
              <w:rPr>
                <w:rFonts w:ascii="Arial" w:cs="Arial" w:eastAsia="Arial" w:hAnsi="Arial"/>
                <w:sz w:val="15"/>
                <w:szCs w:val="15"/>
                <w:color w:val="auto"/>
              </w:rPr>
              <w:t>director.</w:t>
            </w:r>
          </w:p>
        </w:tc>
        <w:tc>
          <w:tcPr>
            <w:tcW w:w="1280" w:type="dxa"/>
            <w:vAlign w:val="bottom"/>
          </w:tcPr>
          <w:p>
            <w:pPr>
              <w:ind w:left="140"/>
              <w:spacing w:after="0" w:line="110" w:lineRule="exact"/>
              <w:rPr>
                <w:sz w:val="20"/>
                <w:szCs w:val="20"/>
                <w:color w:val="auto"/>
              </w:rPr>
            </w:pPr>
            <w:r>
              <w:rPr>
                <w:rFonts w:ascii="Arial" w:cs="Arial" w:eastAsia="Arial" w:hAnsi="Arial"/>
                <w:sz w:val="12"/>
                <w:szCs w:val="12"/>
                <w:color w:val="FFFFFF"/>
              </w:rPr>
              <w:t>and the Board of</w:t>
            </w: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8540" w:type="dxa"/>
            <w:vAlign w:val="bottom"/>
            <w:gridSpan w:val="2"/>
            <w:vMerge w:val="continue"/>
          </w:tcPr>
          <w:p>
            <w:pPr>
              <w:spacing w:after="0"/>
              <w:rPr>
                <w:sz w:val="10"/>
                <w:szCs w:val="10"/>
                <w:color w:val="auto"/>
              </w:rPr>
            </w:pPr>
          </w:p>
        </w:tc>
        <w:tc>
          <w:tcPr>
            <w:tcW w:w="1280" w:type="dxa"/>
            <w:vAlign w:val="bottom"/>
            <w:vMerge w:val="restart"/>
          </w:tcPr>
          <w:p>
            <w:pPr>
              <w:ind w:left="140"/>
              <w:spacing w:after="0"/>
              <w:rPr>
                <w:sz w:val="20"/>
                <w:szCs w:val="20"/>
                <w:color w:val="auto"/>
              </w:rPr>
            </w:pPr>
            <w:r>
              <w:rPr>
                <w:rFonts w:ascii="Arial" w:cs="Arial" w:eastAsia="Arial" w:hAnsi="Arial"/>
                <w:sz w:val="12"/>
                <w:szCs w:val="12"/>
                <w:color w:val="FFFFFF"/>
              </w:rPr>
              <w:t>Directors</w:t>
            </w: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1"/>
        </w:trPr>
        <w:tc>
          <w:tcPr>
            <w:tcW w:w="78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00"/>
        </w:trPr>
        <w:tc>
          <w:tcPr>
            <w:tcW w:w="8540" w:type="dxa"/>
            <w:vAlign w:val="bottom"/>
            <w:gridSpan w:val="2"/>
            <w:vMerge w:val="restart"/>
          </w:tcPr>
          <w:p>
            <w:pPr>
              <w:spacing w:after="0"/>
              <w:rPr>
                <w:sz w:val="20"/>
                <w:szCs w:val="20"/>
                <w:color w:val="auto"/>
              </w:rPr>
            </w:pPr>
            <w:r>
              <w:rPr>
                <w:rFonts w:ascii="Times New Roman" w:cs="Times New Roman" w:eastAsia="Times New Roman" w:hAnsi="Times New Roman"/>
                <w:sz w:val="37"/>
                <w:szCs w:val="37"/>
                <w:color w:val="B95827"/>
              </w:rPr>
              <w:t>Edward C. Bernard</w:t>
            </w:r>
          </w:p>
        </w:tc>
        <w:tc>
          <w:tcPr>
            <w:tcW w:w="1280" w:type="dxa"/>
            <w:vAlign w:val="bottom"/>
          </w:tcPr>
          <w:p>
            <w:pPr>
              <w:ind w:left="140"/>
              <w:spacing w:after="0"/>
              <w:rPr>
                <w:sz w:val="20"/>
                <w:szCs w:val="20"/>
                <w:color w:val="auto"/>
              </w:rPr>
            </w:pPr>
            <w:r>
              <w:rPr>
                <w:rFonts w:ascii="Arial" w:cs="Arial" w:eastAsia="Arial" w:hAnsi="Arial"/>
                <w:sz w:val="12"/>
                <w:szCs w:val="12"/>
                <w:b w:val="1"/>
                <w:bCs w:val="1"/>
                <w:color w:val="FFFFFF"/>
              </w:rPr>
              <w:t>Proposal 1</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8540" w:type="dxa"/>
            <w:vAlign w:val="bottom"/>
            <w:gridSpan w:val="2"/>
            <w:vMerge w:val="continue"/>
          </w:tcPr>
          <w:p>
            <w:pPr>
              <w:spacing w:after="0"/>
              <w:rPr>
                <w:sz w:val="22"/>
                <w:szCs w:val="22"/>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Information</w:t>
            </w:r>
          </w:p>
        </w:tc>
        <w:tc>
          <w:tcPr>
            <w:tcW w:w="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9"/>
        </w:trPr>
        <w:tc>
          <w:tcPr>
            <w:tcW w:w="7880" w:type="dxa"/>
            <w:vAlign w:val="bottom"/>
            <w:tcBorders>
              <w:bottom w:val="single" w:sz="8" w:color="auto"/>
            </w:tcBorders>
          </w:tcPr>
          <w:p>
            <w:pPr>
              <w:spacing w:after="0"/>
              <w:rPr>
                <w:sz w:val="5"/>
                <w:szCs w:val="5"/>
                <w:color w:val="auto"/>
              </w:rPr>
            </w:pPr>
          </w:p>
        </w:tc>
        <w:tc>
          <w:tcPr>
            <w:tcW w:w="660" w:type="dxa"/>
            <w:vAlign w:val="bottom"/>
          </w:tcPr>
          <w:p>
            <w:pPr>
              <w:spacing w:after="0"/>
              <w:rPr>
                <w:sz w:val="5"/>
                <w:szCs w:val="5"/>
                <w:color w:val="auto"/>
              </w:rPr>
            </w:pPr>
          </w:p>
        </w:tc>
        <w:tc>
          <w:tcPr>
            <w:tcW w:w="1280" w:type="dxa"/>
            <w:vAlign w:val="bottom"/>
            <w:vMerge w:val="restart"/>
          </w:tcPr>
          <w:p>
            <w:pPr>
              <w:ind w:left="140"/>
              <w:spacing w:after="0" w:line="128" w:lineRule="exact"/>
              <w:rPr>
                <w:sz w:val="20"/>
                <w:szCs w:val="20"/>
                <w:color w:val="auto"/>
              </w:rPr>
            </w:pPr>
            <w:r>
              <w:rPr>
                <w:rFonts w:ascii="Arial" w:cs="Arial" w:eastAsia="Arial" w:hAnsi="Arial"/>
                <w:sz w:val="12"/>
                <w:szCs w:val="12"/>
                <w:color w:val="FFFFFF"/>
              </w:rPr>
              <w:t>Regarding Board</w:t>
            </w:r>
          </w:p>
        </w:tc>
        <w:tc>
          <w:tcPr>
            <w:tcW w:w="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78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78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80" w:type="dxa"/>
            <w:vAlign w:val="bottom"/>
          </w:tcPr>
          <w:p>
            <w:pPr>
              <w:ind w:left="140"/>
              <w:spacing w:after="0" w:line="128" w:lineRule="exact"/>
              <w:rPr>
                <w:sz w:val="20"/>
                <w:szCs w:val="20"/>
                <w:color w:val="auto"/>
              </w:rPr>
            </w:pPr>
            <w:r>
              <w:rPr>
                <w:rFonts w:ascii="Arial" w:cs="Arial" w:eastAsia="Arial" w:hAnsi="Arial"/>
                <w:sz w:val="12"/>
                <w:szCs w:val="12"/>
                <w:color w:val="FFFFFF"/>
              </w:rPr>
              <w:t>and Committee</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8540" w:type="dxa"/>
            <w:vAlign w:val="bottom"/>
            <w:gridSpan w:val="2"/>
            <w:vMerge w:val="restart"/>
          </w:tcPr>
          <w:p>
            <w:pPr>
              <w:ind w:left="2600"/>
              <w:spacing w:after="0"/>
              <w:rPr>
                <w:sz w:val="20"/>
                <w:szCs w:val="20"/>
                <w:color w:val="auto"/>
              </w:rPr>
            </w:pPr>
            <w:r>
              <w:rPr>
                <w:rFonts w:ascii="Arial" w:cs="Arial" w:eastAsia="Arial" w:hAnsi="Arial"/>
                <w:sz w:val="19"/>
                <w:szCs w:val="19"/>
                <w:b w:val="1"/>
                <w:bCs w:val="1"/>
                <w:color w:val="B95827"/>
              </w:rPr>
              <w:t>BACKGROUND</w:t>
            </w:r>
          </w:p>
        </w:tc>
        <w:tc>
          <w:tcPr>
            <w:tcW w:w="1280" w:type="dxa"/>
            <w:vAlign w:val="bottom"/>
          </w:tcPr>
          <w:p>
            <w:pPr>
              <w:ind w:left="140"/>
              <w:spacing w:after="0"/>
              <w:rPr>
                <w:sz w:val="20"/>
                <w:szCs w:val="20"/>
                <w:color w:val="auto"/>
              </w:rPr>
            </w:pPr>
            <w:r>
              <w:rPr>
                <w:rFonts w:ascii="Arial" w:cs="Arial" w:eastAsia="Arial" w:hAnsi="Arial"/>
                <w:sz w:val="12"/>
                <w:szCs w:val="12"/>
                <w:color w:val="FFFFFF"/>
              </w:rPr>
              <w:t>Structure</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8540" w:type="dxa"/>
            <w:vAlign w:val="bottom"/>
            <w:gridSpan w:val="2"/>
            <w:vMerge w:val="continue"/>
          </w:tcPr>
          <w:p>
            <w:pPr>
              <w:spacing w:after="0"/>
              <w:rPr>
                <w:sz w:val="12"/>
                <w:szCs w:val="12"/>
                <w:color w:val="auto"/>
              </w:rPr>
            </w:pPr>
          </w:p>
        </w:tc>
        <w:tc>
          <w:tcPr>
            <w:tcW w:w="12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341630</wp:posOffset>
            </wp:positionH>
            <wp:positionV relativeFrom="paragraph">
              <wp:posOffset>-130175</wp:posOffset>
            </wp:positionV>
            <wp:extent cx="1499235" cy="157226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499235" cy="1572260"/>
                    </a:xfrm>
                    <a:prstGeom prst="rect">
                      <a:avLst/>
                    </a:prstGeom>
                    <a:noFill/>
                  </pic:spPr>
                </pic:pic>
              </a:graphicData>
            </a:graphic>
          </wp:anchor>
        </w:drawing>
      </w:r>
    </w:p>
    <w:p>
      <w:pPr>
        <w:sectPr>
          <w:pgSz w:w="11900" w:h="16838" w:orient="portrait"/>
          <w:cols w:equalWidth="0" w:num="1">
            <w:col w:w="10800"/>
          </w:cols>
          <w:pgMar w:left="320" w:top="464" w:right="7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540"/>
        <w:spacing w:after="0"/>
        <w:rPr>
          <w:sz w:val="20"/>
          <w:szCs w:val="20"/>
          <w:color w:val="auto"/>
        </w:rPr>
      </w:pPr>
      <w:r>
        <w:rPr>
          <w:rFonts w:ascii="Arial" w:cs="Arial" w:eastAsia="Arial" w:hAnsi="Arial"/>
          <w:sz w:val="19"/>
          <w:szCs w:val="19"/>
          <w:b w:val="1"/>
          <w:bCs w:val="1"/>
          <w:color w:val="B95827"/>
        </w:rPr>
        <w:t xml:space="preserve">AGE </w:t>
      </w:r>
      <w:r>
        <w:rPr>
          <w:rFonts w:ascii="Arial" w:cs="Arial" w:eastAsia="Arial" w:hAnsi="Arial"/>
          <w:sz w:val="15"/>
          <w:szCs w:val="15"/>
          <w:color w:val="000000"/>
        </w:rPr>
        <w:t>70</w:t>
      </w:r>
    </w:p>
    <w:p>
      <w:pPr>
        <w:spacing w:after="0" w:line="101"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B95827"/>
        </w:rPr>
        <w:t xml:space="preserve">DIRECTOR SINCE </w:t>
      </w:r>
      <w:r>
        <w:rPr>
          <w:rFonts w:ascii="Arial" w:cs="Arial" w:eastAsia="Arial" w:hAnsi="Arial"/>
          <w:sz w:val="14"/>
          <w:szCs w:val="14"/>
          <w:color w:val="000000"/>
        </w:rPr>
        <w:t>2020</w:t>
      </w:r>
    </w:p>
    <w:p>
      <w:pPr>
        <w:spacing w:after="0" w:line="20" w:lineRule="exact"/>
        <w:rPr>
          <w:sz w:val="20"/>
          <w:szCs w:val="20"/>
          <w:color w:val="auto"/>
        </w:rPr>
      </w:pPr>
      <w:r>
        <w:rPr>
          <w:sz w:val="20"/>
          <w:szCs w:val="20"/>
          <w:color w:val="auto"/>
        </w:rPr>
        <w:br w:type="column"/>
      </w:r>
    </w:p>
    <w:p>
      <w:pPr>
        <w:ind w:right="80"/>
        <w:spacing w:after="0" w:line="249" w:lineRule="auto"/>
        <w:rPr>
          <w:sz w:val="20"/>
          <w:szCs w:val="20"/>
          <w:color w:val="auto"/>
        </w:rPr>
      </w:pPr>
      <w:r>
        <w:rPr>
          <w:rFonts w:ascii="Arial" w:cs="Arial" w:eastAsia="Arial" w:hAnsi="Arial"/>
          <w:sz w:val="15"/>
          <w:szCs w:val="15"/>
          <w:color w:val="auto"/>
        </w:rPr>
        <w:t>Mr. Bernard served as the vice chair of the board of directors of T. Rowe Price Group, Inc. (“TRP”), a global investment management firm, from 2007 to April 2019. Mr. Bernard served as a vice president of TRP from 1989 to December 2018 and as a member of the management committee of TRP from 2000 to December 2018. He oversaw TRP’s marketing, distribution, client service, information technology, legal and communications activities from 2006 until December 2018. He also served as chair of the board of all sponsored TRP mutual funds and trusts during that period and as president and/or chair of T. Rowe Price Investment Services, a registered broker/dealer, from 1996 to 2018. Mr. Bernard served as a director of TRP from 1999 to April 2019. From January 2023 to December 2025, he served as Chair of the Financial Accounting Foundation. He also previously served as chair of the board of governors, and as a member of the executive committee, of the Investment Company Institute, the national trade association for the mutual fund industry, and as a director of UTI Asset Management Company. Mr. Bernard received his B.A. from Brown University and an M.B.A. from New York University.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1"/>
          <w:szCs w:val="11"/>
          <w:color w:val="FFFFFF"/>
        </w:rPr>
        <w:t>Board of Directors</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FFFFFF"/>
        </w:rPr>
        <w:t>Compensation</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Compensation</w:t>
      </w:r>
    </w:p>
    <w:p>
      <w:pPr>
        <w:spacing w:after="0" w:line="224" w:lineRule="auto"/>
        <w:rPr>
          <w:sz w:val="20"/>
          <w:szCs w:val="20"/>
          <w:color w:val="auto"/>
        </w:rPr>
      </w:pPr>
      <w:r>
        <w:rPr>
          <w:rFonts w:ascii="Arial" w:cs="Arial" w:eastAsia="Arial" w:hAnsi="Arial"/>
          <w:sz w:val="12"/>
          <w:szCs w:val="12"/>
          <w:color w:val="FFFFFF"/>
        </w:rPr>
        <w:t>Discussion and</w:t>
      </w:r>
    </w:p>
    <w:p>
      <w:pPr>
        <w:spacing w:after="0"/>
        <w:rPr>
          <w:sz w:val="20"/>
          <w:szCs w:val="20"/>
          <w:color w:val="auto"/>
        </w:rPr>
      </w:pPr>
      <w:r>
        <w:rPr>
          <w:rFonts w:ascii="Arial" w:cs="Arial" w:eastAsia="Arial" w:hAnsi="Arial"/>
          <w:sz w:val="12"/>
          <w:szCs w:val="12"/>
          <w:color w:val="FFFFFF"/>
        </w:rPr>
        <w:t>Analysis</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Report of the</w:t>
      </w:r>
    </w:p>
    <w:p>
      <w:pPr>
        <w:spacing w:after="0" w:line="224" w:lineRule="auto"/>
        <w:rPr>
          <w:sz w:val="20"/>
          <w:szCs w:val="20"/>
          <w:color w:val="auto"/>
        </w:rPr>
      </w:pPr>
      <w:r>
        <w:rPr>
          <w:rFonts w:ascii="Arial" w:cs="Arial" w:eastAsia="Arial" w:hAnsi="Arial"/>
          <w:sz w:val="12"/>
          <w:szCs w:val="12"/>
          <w:color w:val="FFFFFF"/>
        </w:rPr>
        <w:t>Compensation</w:t>
      </w:r>
    </w:p>
    <w:p>
      <w:pPr>
        <w:spacing w:after="0" w:line="222" w:lineRule="auto"/>
        <w:rPr>
          <w:sz w:val="20"/>
          <w:szCs w:val="20"/>
          <w:color w:val="auto"/>
        </w:rPr>
      </w:pPr>
      <w:r>
        <w:rPr>
          <w:rFonts w:ascii="Arial" w:cs="Arial" w:eastAsia="Arial" w:hAnsi="Arial"/>
          <w:sz w:val="12"/>
          <w:szCs w:val="12"/>
          <w:color w:val="FFFFFF"/>
        </w:rPr>
        <w:t>and Human</w:t>
      </w:r>
    </w:p>
    <w:p>
      <w:pPr>
        <w:spacing w:after="0" w:line="222" w:lineRule="auto"/>
        <w:rPr>
          <w:sz w:val="20"/>
          <w:szCs w:val="20"/>
          <w:color w:val="auto"/>
        </w:rPr>
      </w:pPr>
      <w:r>
        <w:rPr>
          <w:rFonts w:ascii="Arial" w:cs="Arial" w:eastAsia="Arial" w:hAnsi="Arial"/>
          <w:sz w:val="12"/>
          <w:szCs w:val="12"/>
          <w:color w:val="FFFFFF"/>
        </w:rPr>
        <w:t>Resources</w:t>
      </w:r>
    </w:p>
    <w:p>
      <w:pPr>
        <w:spacing w:after="0" w:line="222" w:lineRule="auto"/>
        <w:rPr>
          <w:sz w:val="20"/>
          <w:szCs w:val="20"/>
          <w:color w:val="auto"/>
        </w:rPr>
      </w:pPr>
      <w:r>
        <w:rPr>
          <w:rFonts w:ascii="Arial" w:cs="Arial" w:eastAsia="Arial" w:hAnsi="Arial"/>
          <w:sz w:val="12"/>
          <w:szCs w:val="12"/>
          <w:color w:val="FFFFFF"/>
        </w:rPr>
        <w:t>Committee of the</w:t>
      </w:r>
    </w:p>
    <w:p>
      <w:pPr>
        <w:spacing w:after="0"/>
        <w:rPr>
          <w:sz w:val="20"/>
          <w:szCs w:val="20"/>
          <w:color w:val="auto"/>
        </w:rPr>
      </w:pPr>
      <w:r>
        <w:rPr>
          <w:rFonts w:ascii="Arial" w:cs="Arial" w:eastAsia="Arial" w:hAnsi="Arial"/>
          <w:sz w:val="11"/>
          <w:szCs w:val="11"/>
          <w:color w:val="FFFFFF"/>
        </w:rPr>
        <w:t>Board of Directors</w:t>
      </w:r>
    </w:p>
    <w:p>
      <w:pPr>
        <w:spacing w:after="0" w:line="155" w:lineRule="exact"/>
        <w:rPr>
          <w:sz w:val="20"/>
          <w:szCs w:val="20"/>
          <w:color w:val="auto"/>
        </w:rPr>
      </w:pPr>
    </w:p>
    <w:p>
      <w:pPr>
        <w:spacing w:after="0"/>
        <w:rPr>
          <w:sz w:val="20"/>
          <w:szCs w:val="20"/>
          <w:color w:val="auto"/>
        </w:rPr>
      </w:pPr>
      <w:r>
        <w:rPr>
          <w:rFonts w:ascii="Arial" w:cs="Arial" w:eastAsia="Arial" w:hAnsi="Arial"/>
          <w:sz w:val="12"/>
          <w:szCs w:val="12"/>
          <w:color w:val="FFFFFF"/>
        </w:rPr>
        <w:t>Compensation of</w:t>
      </w:r>
    </w:p>
    <w:p>
      <w:pPr>
        <w:spacing w:after="0" w:line="224" w:lineRule="auto"/>
        <w:rPr>
          <w:sz w:val="20"/>
          <w:szCs w:val="20"/>
          <w:color w:val="auto"/>
        </w:rPr>
      </w:pPr>
      <w:r>
        <w:rPr>
          <w:rFonts w:ascii="Arial" w:cs="Arial" w:eastAsia="Arial" w:hAnsi="Arial"/>
          <w:sz w:val="12"/>
          <w:szCs w:val="12"/>
          <w:color w:val="FFFFFF"/>
        </w:rPr>
        <w:t>Named Executive</w:t>
      </w:r>
    </w:p>
    <w:p>
      <w:pPr>
        <w:spacing w:after="0"/>
        <w:rPr>
          <w:sz w:val="20"/>
          <w:szCs w:val="20"/>
          <w:color w:val="auto"/>
        </w:rPr>
      </w:pPr>
      <w:r>
        <w:rPr>
          <w:rFonts w:ascii="Arial" w:cs="Arial" w:eastAsia="Arial" w:hAnsi="Arial"/>
          <w:sz w:val="12"/>
          <w:szCs w:val="12"/>
          <w:color w:val="FFFFFF"/>
        </w:rPr>
        <w:t>Officers</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Pay Versus</w:t>
      </w:r>
    </w:p>
    <w:p>
      <w:pPr>
        <w:spacing w:after="0" w:line="224" w:lineRule="auto"/>
        <w:rPr>
          <w:sz w:val="20"/>
          <w:szCs w:val="20"/>
          <w:color w:val="auto"/>
        </w:rPr>
      </w:pPr>
      <w:r>
        <w:rPr>
          <w:rFonts w:ascii="Arial" w:cs="Arial" w:eastAsia="Arial" w:hAnsi="Arial"/>
          <w:sz w:val="12"/>
          <w:szCs w:val="12"/>
          <w:color w:val="FFFFFF"/>
        </w:rPr>
        <w:t>Performance</w:t>
      </w:r>
    </w:p>
    <w:p>
      <w:pPr>
        <w:spacing w:after="0"/>
        <w:rPr>
          <w:sz w:val="20"/>
          <w:szCs w:val="20"/>
          <w:color w:val="auto"/>
        </w:rPr>
      </w:pPr>
      <w:r>
        <w:rPr>
          <w:rFonts w:ascii="Arial" w:cs="Arial" w:eastAsia="Arial" w:hAnsi="Arial"/>
          <w:sz w:val="12"/>
          <w:szCs w:val="12"/>
          <w:color w:val="FFFFFF"/>
        </w:rPr>
        <w:t>Disclosure</w:t>
      </w:r>
    </w:p>
    <w:p>
      <w:pPr>
        <w:spacing w:after="0" w:line="145" w:lineRule="exact"/>
        <w:rPr>
          <w:sz w:val="20"/>
          <w:szCs w:val="20"/>
          <w:color w:val="auto"/>
        </w:rPr>
      </w:pPr>
    </w:p>
    <w:p>
      <w:pPr>
        <w:sectPr>
          <w:pgSz w:w="11900" w:h="16838" w:orient="portrait"/>
          <w:cols w:equalWidth="0" w:num="3">
            <w:col w:w="2540" w:space="600"/>
            <w:col w:w="5360" w:space="720"/>
            <w:col w:w="1580"/>
          </w:cols>
          <w:pgMar w:left="320" w:top="464" w:right="779" w:bottom="1440" w:gutter="0" w:footer="0" w:header="0"/>
          <w:type w:val="continuous"/>
        </w:sectPr>
      </w:pPr>
    </w:p>
    <w:p>
      <w:pPr>
        <w:spacing w:after="0" w:line="84" w:lineRule="exact"/>
        <w:rPr>
          <w:sz w:val="20"/>
          <w:szCs w:val="20"/>
          <w:color w:val="auto"/>
        </w:rPr>
      </w:pPr>
    </w:p>
    <w:p>
      <w:pPr>
        <w:ind w:left="540"/>
        <w:spacing w:after="0"/>
        <w:rPr>
          <w:sz w:val="20"/>
          <w:szCs w:val="20"/>
          <w:color w:val="auto"/>
        </w:rPr>
      </w:pPr>
      <w:r>
        <w:rPr>
          <w:rFonts w:ascii="Arial" w:cs="Arial" w:eastAsia="Arial" w:hAnsi="Arial"/>
          <w:sz w:val="19"/>
          <w:szCs w:val="19"/>
          <w:b w:val="1"/>
          <w:bCs w:val="1"/>
          <w:color w:val="B95827"/>
        </w:rPr>
        <w:t>INDEPENDENT</w:t>
      </w:r>
    </w:p>
    <w:p>
      <w:pPr>
        <w:spacing w:after="0" w:line="101" w:lineRule="exact"/>
        <w:rPr>
          <w:sz w:val="20"/>
          <w:szCs w:val="20"/>
          <w:color w:val="auto"/>
        </w:rPr>
      </w:pPr>
    </w:p>
    <w:p>
      <w:pPr>
        <w:ind w:left="540"/>
        <w:spacing w:after="0"/>
        <w:rPr>
          <w:sz w:val="20"/>
          <w:szCs w:val="20"/>
          <w:color w:val="auto"/>
        </w:rPr>
      </w:pPr>
      <w:r>
        <w:rPr>
          <w:rFonts w:ascii="Arial" w:cs="Arial" w:eastAsia="Arial" w:hAnsi="Arial"/>
          <w:sz w:val="19"/>
          <w:szCs w:val="19"/>
          <w:b w:val="1"/>
          <w:bCs w:val="1"/>
          <w:color w:val="B95827"/>
        </w:rPr>
        <w:t>COMMITTEES:</w:t>
      </w:r>
    </w:p>
    <w:p>
      <w:pPr>
        <w:spacing w:after="0" w:line="1" w:lineRule="exact"/>
        <w:rPr>
          <w:sz w:val="20"/>
          <w:szCs w:val="20"/>
          <w:color w:val="auto"/>
        </w:rPr>
      </w:pPr>
    </w:p>
    <w:p>
      <w:pPr>
        <w:ind w:left="700" w:hanging="159"/>
        <w:spacing w:after="0"/>
        <w:tabs>
          <w:tab w:leader="none" w:pos="7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Audit and Risk Committee</w:t>
      </w:r>
    </w:p>
    <w:p>
      <w:pPr>
        <w:ind w:left="700" w:hanging="159"/>
        <w:spacing w:after="0"/>
        <w:tabs>
          <w:tab w:leader="none" w:pos="7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Compensation Committee</w:t>
      </w:r>
    </w:p>
    <w:p>
      <w:pPr>
        <w:spacing w:after="0" w:line="94" w:lineRule="exact"/>
        <w:rPr>
          <w:sz w:val="20"/>
          <w:szCs w:val="20"/>
          <w:color w:val="auto"/>
        </w:rPr>
      </w:pPr>
    </w:p>
    <w:p>
      <w:pPr>
        <w:ind w:left="540" w:right="520"/>
        <w:spacing w:after="0" w:line="295" w:lineRule="auto"/>
        <w:rPr>
          <w:sz w:val="20"/>
          <w:szCs w:val="20"/>
          <w:color w:val="auto"/>
        </w:rPr>
      </w:pPr>
      <w:r>
        <w:rPr>
          <w:rFonts w:ascii="Arial" w:cs="Arial" w:eastAsia="Arial" w:hAnsi="Arial"/>
          <w:sz w:val="18"/>
          <w:szCs w:val="18"/>
          <w:b w:val="1"/>
          <w:bCs w:val="1"/>
          <w:color w:val="B95827"/>
        </w:rPr>
        <w:t>OTHER PUBLIC COMPANY BOARDS</w:t>
      </w:r>
    </w:p>
    <w:p>
      <w:pPr>
        <w:spacing w:after="0" w:line="22" w:lineRule="exact"/>
        <w:rPr>
          <w:sz w:val="20"/>
          <w:szCs w:val="20"/>
          <w:color w:val="auto"/>
        </w:rPr>
      </w:pPr>
    </w:p>
    <w:p>
      <w:pPr>
        <w:ind w:left="540"/>
        <w:spacing w:after="0"/>
        <w:rPr>
          <w:sz w:val="20"/>
          <w:szCs w:val="20"/>
          <w:color w:val="auto"/>
        </w:rPr>
      </w:pPr>
      <w:r>
        <w:rPr>
          <w:rFonts w:ascii="Arial" w:cs="Arial" w:eastAsia="Arial" w:hAnsi="Arial"/>
          <w:sz w:val="15"/>
          <w:szCs w:val="15"/>
          <w:b w:val="1"/>
          <w:bCs w:val="1"/>
          <w:color w:val="auto"/>
        </w:rPr>
        <w:t>Current</w:t>
      </w:r>
    </w:p>
    <w:p>
      <w:pPr>
        <w:spacing w:after="0" w:line="17" w:lineRule="exact"/>
        <w:rPr>
          <w:sz w:val="20"/>
          <w:szCs w:val="20"/>
          <w:color w:val="auto"/>
        </w:rPr>
      </w:pPr>
    </w:p>
    <w:p>
      <w:pPr>
        <w:ind w:left="540"/>
        <w:spacing w:after="0"/>
        <w:rPr>
          <w:sz w:val="20"/>
          <w:szCs w:val="20"/>
          <w:color w:val="auto"/>
        </w:rPr>
      </w:pPr>
      <w:r>
        <w:rPr>
          <w:rFonts w:ascii="Arial" w:cs="Arial" w:eastAsia="Arial" w:hAnsi="Arial"/>
          <w:sz w:val="19"/>
          <w:szCs w:val="19"/>
          <w:color w:val="auto"/>
        </w:rPr>
        <w:t>• None</w:t>
      </w:r>
    </w:p>
    <w:p>
      <w:pPr>
        <w:spacing w:after="0" w:line="90" w:lineRule="exact"/>
        <w:rPr>
          <w:sz w:val="20"/>
          <w:szCs w:val="20"/>
          <w:color w:val="auto"/>
        </w:rPr>
      </w:pPr>
    </w:p>
    <w:p>
      <w:pPr>
        <w:ind w:left="540"/>
        <w:spacing w:after="0"/>
        <w:rPr>
          <w:sz w:val="20"/>
          <w:szCs w:val="20"/>
          <w:color w:val="auto"/>
        </w:rPr>
      </w:pPr>
      <w:r>
        <w:rPr>
          <w:rFonts w:ascii="Arial" w:cs="Arial" w:eastAsia="Arial" w:hAnsi="Arial"/>
          <w:sz w:val="15"/>
          <w:szCs w:val="15"/>
          <w:b w:val="1"/>
          <w:bCs w:val="1"/>
          <w:color w:val="auto"/>
        </w:rPr>
        <w:t>Past 5 Years</w:t>
      </w:r>
    </w:p>
    <w:p>
      <w:pPr>
        <w:spacing w:after="0" w:line="17" w:lineRule="exact"/>
        <w:rPr>
          <w:sz w:val="20"/>
          <w:szCs w:val="20"/>
          <w:color w:val="auto"/>
        </w:rPr>
      </w:pPr>
    </w:p>
    <w:p>
      <w:pPr>
        <w:ind w:left="700" w:right="200" w:hanging="159"/>
        <w:spacing w:after="0" w:line="262" w:lineRule="auto"/>
        <w:tabs>
          <w:tab w:leader="none" w:pos="7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UTI Asset Management Company (India)</w:t>
      </w:r>
    </w:p>
    <w:p>
      <w:pPr>
        <w:spacing w:after="0" w:line="20" w:lineRule="exact"/>
        <w:rPr>
          <w:sz w:val="20"/>
          <w:szCs w:val="20"/>
          <w:color w:val="auto"/>
        </w:rPr>
      </w:pPr>
      <w:r>
        <w:rPr>
          <w:sz w:val="20"/>
          <w:szCs w:val="20"/>
          <w:color w:val="auto"/>
        </w:rPr>
        <w:br w:type="column"/>
      </w:r>
    </w:p>
    <w:p>
      <w:pPr>
        <w:spacing w:after="0" w:line="51" w:lineRule="exact"/>
        <w:rPr>
          <w:sz w:val="20"/>
          <w:szCs w:val="20"/>
          <w:color w:val="auto"/>
        </w:rPr>
      </w:pPr>
    </w:p>
    <w:p>
      <w:pPr>
        <w:spacing w:after="0"/>
        <w:rPr>
          <w:sz w:val="20"/>
          <w:szCs w:val="20"/>
          <w:color w:val="auto"/>
        </w:rPr>
      </w:pPr>
      <w:r>
        <w:rPr>
          <w:rFonts w:ascii="Arial" w:cs="Arial" w:eastAsia="Arial" w:hAnsi="Arial"/>
          <w:sz w:val="19"/>
          <w:szCs w:val="19"/>
          <w:b w:val="1"/>
          <w:bCs w:val="1"/>
          <w:color w:val="B95827"/>
        </w:rPr>
        <w:t>QUALIFICATIONS</w:t>
      </w:r>
    </w:p>
    <w:p>
      <w:pPr>
        <w:spacing w:after="0" w:line="9" w:lineRule="exact"/>
        <w:rPr>
          <w:sz w:val="20"/>
          <w:szCs w:val="20"/>
          <w:color w:val="auto"/>
        </w:rPr>
      </w:pPr>
    </w:p>
    <w:p>
      <w:pPr>
        <w:ind w:right="100"/>
        <w:spacing w:after="0" w:line="250" w:lineRule="auto"/>
        <w:rPr>
          <w:sz w:val="20"/>
          <w:szCs w:val="20"/>
          <w:color w:val="auto"/>
        </w:rPr>
      </w:pPr>
      <w:r>
        <w:rPr>
          <w:rFonts w:ascii="Arial" w:cs="Arial" w:eastAsia="Arial" w:hAnsi="Arial"/>
          <w:sz w:val="15"/>
          <w:szCs w:val="15"/>
          <w:color w:val="auto"/>
        </w:rPr>
        <w:t>Mr. Bernard’s pertinent qualifications include expertise in the wealth management industry, gained through his over 30 years of experience in investment management and leadership roles as a member of the board of governors at the Investment Company Institute; his high level of operating, management and strategic planning experience, gained through his executive positions and roles as vice chair of the board of directors of TRP and chair of all sponsored TRP mutual funds and trusts; and his deep understanding of financial product distribution, compliance requirements and the perspectives of advisors and their retail clients, including with respect to the use of technology, product and analytics as a competitive differentiator.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FFFFFF"/>
        </w:rPr>
        <w:t>Security</w:t>
      </w:r>
    </w:p>
    <w:p>
      <w:pPr>
        <w:spacing w:after="0" w:line="221" w:lineRule="auto"/>
        <w:rPr>
          <w:sz w:val="20"/>
          <w:szCs w:val="20"/>
          <w:color w:val="auto"/>
        </w:rPr>
      </w:pPr>
      <w:r>
        <w:rPr>
          <w:rFonts w:ascii="Arial" w:cs="Arial" w:eastAsia="Arial" w:hAnsi="Arial"/>
          <w:sz w:val="12"/>
          <w:szCs w:val="12"/>
          <w:color w:val="FFFFFF"/>
        </w:rPr>
        <w:t>Ownership of</w:t>
      </w:r>
    </w:p>
    <w:p>
      <w:pPr>
        <w:spacing w:after="0" w:line="222" w:lineRule="auto"/>
        <w:rPr>
          <w:sz w:val="20"/>
          <w:szCs w:val="20"/>
          <w:color w:val="auto"/>
        </w:rPr>
      </w:pPr>
      <w:r>
        <w:rPr>
          <w:rFonts w:ascii="Arial" w:cs="Arial" w:eastAsia="Arial" w:hAnsi="Arial"/>
          <w:sz w:val="12"/>
          <w:szCs w:val="12"/>
          <w:color w:val="FFFFFF"/>
        </w:rPr>
        <w:t>Certain Beneficial</w:t>
      </w:r>
    </w:p>
    <w:p>
      <w:pPr>
        <w:spacing w:after="0" w:line="222" w:lineRule="auto"/>
        <w:rPr>
          <w:sz w:val="20"/>
          <w:szCs w:val="20"/>
          <w:color w:val="auto"/>
        </w:rPr>
      </w:pPr>
      <w:r>
        <w:rPr>
          <w:rFonts w:ascii="Arial" w:cs="Arial" w:eastAsia="Arial" w:hAnsi="Arial"/>
          <w:sz w:val="12"/>
          <w:szCs w:val="12"/>
          <w:color w:val="FFFFFF"/>
        </w:rPr>
        <w:t>Owners and</w:t>
      </w:r>
    </w:p>
    <w:p>
      <w:pPr>
        <w:spacing w:after="0" w:line="1" w:lineRule="exact"/>
        <w:rPr>
          <w:sz w:val="20"/>
          <w:szCs w:val="20"/>
          <w:color w:val="auto"/>
        </w:rPr>
      </w:pPr>
    </w:p>
    <w:p>
      <w:pPr>
        <w:spacing w:after="0"/>
        <w:rPr>
          <w:sz w:val="20"/>
          <w:szCs w:val="20"/>
          <w:color w:val="auto"/>
        </w:rPr>
      </w:pPr>
      <w:r>
        <w:rPr>
          <w:rFonts w:ascii="Arial" w:cs="Arial" w:eastAsia="Arial" w:hAnsi="Arial"/>
          <w:sz w:val="12"/>
          <w:szCs w:val="12"/>
          <w:color w:val="FFFFFF"/>
        </w:rPr>
        <w:t>Management</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Certain</w:t>
      </w:r>
    </w:p>
    <w:p>
      <w:pPr>
        <w:spacing w:after="0" w:line="224" w:lineRule="auto"/>
        <w:rPr>
          <w:sz w:val="20"/>
          <w:szCs w:val="20"/>
          <w:color w:val="auto"/>
        </w:rPr>
      </w:pPr>
      <w:r>
        <w:rPr>
          <w:rFonts w:ascii="Arial" w:cs="Arial" w:eastAsia="Arial" w:hAnsi="Arial"/>
          <w:sz w:val="12"/>
          <w:szCs w:val="12"/>
          <w:color w:val="FFFFFF"/>
        </w:rPr>
        <w:t>Relationships and</w:t>
      </w:r>
    </w:p>
    <w:p>
      <w:pPr>
        <w:spacing w:after="0" w:line="222" w:lineRule="auto"/>
        <w:rPr>
          <w:sz w:val="20"/>
          <w:szCs w:val="20"/>
          <w:color w:val="auto"/>
        </w:rPr>
      </w:pPr>
      <w:r>
        <w:rPr>
          <w:rFonts w:ascii="Arial" w:cs="Arial" w:eastAsia="Arial" w:hAnsi="Arial"/>
          <w:sz w:val="12"/>
          <w:szCs w:val="12"/>
          <w:color w:val="FFFFFF"/>
        </w:rPr>
        <w:t>Related Party</w:t>
      </w:r>
    </w:p>
    <w:p>
      <w:pPr>
        <w:spacing w:after="0"/>
        <w:rPr>
          <w:sz w:val="20"/>
          <w:szCs w:val="20"/>
          <w:color w:val="auto"/>
        </w:rPr>
      </w:pPr>
      <w:r>
        <w:rPr>
          <w:rFonts w:ascii="Arial" w:cs="Arial" w:eastAsia="Arial" w:hAnsi="Arial"/>
          <w:sz w:val="12"/>
          <w:szCs w:val="12"/>
          <w:color w:val="FFFFFF"/>
        </w:rPr>
        <w:t>Transactions</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Proposal 2</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FFFFFF"/>
        </w:rPr>
        <w:t>Report of the</w:t>
      </w:r>
    </w:p>
    <w:p>
      <w:pPr>
        <w:spacing w:after="0" w:line="224" w:lineRule="auto"/>
        <w:rPr>
          <w:sz w:val="20"/>
          <w:szCs w:val="20"/>
          <w:color w:val="auto"/>
        </w:rPr>
      </w:pPr>
      <w:r>
        <w:rPr>
          <w:rFonts w:ascii="Arial" w:cs="Arial" w:eastAsia="Arial" w:hAnsi="Arial"/>
          <w:sz w:val="12"/>
          <w:szCs w:val="12"/>
          <w:color w:val="FFFFFF"/>
        </w:rPr>
        <w:t>Audit and Risk</w:t>
      </w:r>
    </w:p>
    <w:p>
      <w:pPr>
        <w:spacing w:after="0" w:line="222" w:lineRule="auto"/>
        <w:rPr>
          <w:sz w:val="20"/>
          <w:szCs w:val="20"/>
          <w:color w:val="auto"/>
        </w:rPr>
      </w:pPr>
      <w:r>
        <w:rPr>
          <w:rFonts w:ascii="Arial" w:cs="Arial" w:eastAsia="Arial" w:hAnsi="Arial"/>
          <w:sz w:val="12"/>
          <w:szCs w:val="12"/>
          <w:color w:val="FFFFFF"/>
        </w:rPr>
        <w:t>Committee of the</w:t>
      </w:r>
    </w:p>
    <w:p>
      <w:pPr>
        <w:spacing w:after="0"/>
        <w:rPr>
          <w:sz w:val="20"/>
          <w:szCs w:val="20"/>
          <w:color w:val="auto"/>
        </w:rPr>
      </w:pPr>
      <w:r>
        <w:rPr>
          <w:rFonts w:ascii="Arial" w:cs="Arial" w:eastAsia="Arial" w:hAnsi="Arial"/>
          <w:sz w:val="11"/>
          <w:szCs w:val="11"/>
          <w:color w:val="FFFFFF"/>
        </w:rPr>
        <w:t>Board of Directors</w:t>
      </w:r>
    </w:p>
    <w:p>
      <w:pPr>
        <w:spacing w:after="0" w:line="155" w:lineRule="exact"/>
        <w:rPr>
          <w:sz w:val="20"/>
          <w:szCs w:val="20"/>
          <w:color w:val="auto"/>
        </w:rPr>
      </w:pPr>
    </w:p>
    <w:p>
      <w:pPr>
        <w:spacing w:after="0"/>
        <w:rPr>
          <w:sz w:val="20"/>
          <w:szCs w:val="20"/>
          <w:color w:val="auto"/>
        </w:rPr>
      </w:pPr>
      <w:r>
        <w:rPr>
          <w:rFonts w:ascii="Arial" w:cs="Arial" w:eastAsia="Arial" w:hAnsi="Arial"/>
          <w:sz w:val="12"/>
          <w:szCs w:val="12"/>
          <w:color w:val="FFFFFF"/>
        </w:rPr>
        <w:t>Proposal 3</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FFFFFF"/>
        </w:rPr>
        <w:t>Proposal 4</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FFFFFF"/>
        </w:rPr>
        <w:t>Proposal 5</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FFFFFF"/>
        </w:rPr>
        <w:t>Proposal 6</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FFFFFF"/>
        </w:rPr>
        <w:t>Stockholder</w:t>
      </w:r>
    </w:p>
    <w:p>
      <w:pPr>
        <w:spacing w:after="0" w:line="224" w:lineRule="auto"/>
        <w:rPr>
          <w:sz w:val="20"/>
          <w:szCs w:val="20"/>
          <w:color w:val="auto"/>
        </w:rPr>
      </w:pPr>
      <w:r>
        <w:rPr>
          <w:rFonts w:ascii="Arial" w:cs="Arial" w:eastAsia="Arial" w:hAnsi="Arial"/>
          <w:sz w:val="12"/>
          <w:szCs w:val="12"/>
          <w:color w:val="FFFFFF"/>
        </w:rPr>
        <w:t>Proposals and</w:t>
      </w:r>
    </w:p>
    <w:p>
      <w:pPr>
        <w:spacing w:after="0"/>
        <w:rPr>
          <w:sz w:val="20"/>
          <w:szCs w:val="20"/>
          <w:color w:val="auto"/>
        </w:rPr>
      </w:pPr>
      <w:r>
        <w:rPr>
          <w:rFonts w:ascii="Arial" w:cs="Arial" w:eastAsia="Arial" w:hAnsi="Arial"/>
          <w:sz w:val="12"/>
          <w:szCs w:val="12"/>
          <w:color w:val="FFFFFF"/>
        </w:rPr>
        <w:t>Other Matters</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Delinquent</w:t>
      </w:r>
    </w:p>
    <w:p>
      <w:pPr>
        <w:spacing w:after="0" w:line="224" w:lineRule="auto"/>
        <w:rPr>
          <w:sz w:val="20"/>
          <w:szCs w:val="20"/>
          <w:color w:val="auto"/>
        </w:rPr>
      </w:pPr>
      <w:r>
        <w:rPr>
          <w:rFonts w:ascii="Arial" w:cs="Arial" w:eastAsia="Arial" w:hAnsi="Arial"/>
          <w:sz w:val="12"/>
          <w:szCs w:val="12"/>
          <w:color w:val="FFFFFF"/>
        </w:rPr>
        <w:t>Section 16(a)</w:t>
      </w:r>
    </w:p>
    <w:p>
      <w:pPr>
        <w:spacing w:after="0"/>
        <w:rPr>
          <w:sz w:val="20"/>
          <w:szCs w:val="20"/>
          <w:color w:val="auto"/>
        </w:rPr>
      </w:pPr>
      <w:r>
        <w:rPr>
          <w:rFonts w:ascii="Arial" w:cs="Arial" w:eastAsia="Arial" w:hAnsi="Arial"/>
          <w:sz w:val="12"/>
          <w:szCs w:val="12"/>
          <w:color w:val="FFFFFF"/>
        </w:rPr>
        <w:t>Reports</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Other</w:t>
      </w:r>
    </w:p>
    <w:p>
      <w:pPr>
        <w:spacing w:after="0" w:line="2" w:lineRule="exact"/>
        <w:rPr>
          <w:sz w:val="20"/>
          <w:szCs w:val="20"/>
          <w:color w:val="auto"/>
        </w:rPr>
      </w:pPr>
    </w:p>
    <w:p>
      <w:pPr>
        <w:spacing w:after="0"/>
        <w:rPr>
          <w:sz w:val="20"/>
          <w:szCs w:val="20"/>
          <w:color w:val="auto"/>
        </w:rPr>
      </w:pPr>
      <w:r>
        <w:rPr>
          <w:rFonts w:ascii="Arial" w:cs="Arial" w:eastAsia="Arial" w:hAnsi="Arial"/>
          <w:sz w:val="12"/>
          <w:szCs w:val="12"/>
          <w:color w:val="FFFFFF"/>
        </w:rPr>
        <w:t>Information</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Appendix A</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FFFFFF"/>
        </w:rPr>
        <w:t>Appendix B</w:t>
      </w:r>
    </w:p>
    <w:p>
      <w:pPr>
        <w:spacing w:after="0" w:line="200" w:lineRule="exact"/>
        <w:rPr>
          <w:sz w:val="20"/>
          <w:szCs w:val="20"/>
          <w:color w:val="auto"/>
        </w:rPr>
      </w:pPr>
    </w:p>
    <w:p>
      <w:pPr>
        <w:sectPr>
          <w:pgSz w:w="11900" w:h="16838" w:orient="portrait"/>
          <w:cols w:equalWidth="0" w:num="3">
            <w:col w:w="2860" w:space="280"/>
            <w:col w:w="5360" w:space="720"/>
            <w:col w:w="1580"/>
          </w:cols>
          <w:pgMar w:left="320" w:top="464" w:right="7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6400"/>
        <w:spacing w:after="0"/>
        <w:tabs>
          <w:tab w:leader="none" w:pos="8500" w:val="left"/>
          <w:tab w:leader="none" w:pos="9960" w:val="left"/>
        </w:tabs>
        <w:rPr>
          <w:sz w:val="20"/>
          <w:szCs w:val="20"/>
          <w:color w:val="auto"/>
        </w:rPr>
      </w:pPr>
      <w:r>
        <w:rPr>
          <w:rFonts w:ascii="Arial" w:cs="Arial" w:eastAsia="Arial" w:hAnsi="Arial"/>
          <w:sz w:val="15"/>
          <w:szCs w:val="15"/>
          <w:b w:val="1"/>
          <w:bCs w:val="1"/>
          <w:color w:val="002B5F"/>
        </w:rPr>
        <w:t xml:space="preserve">2026 Proxy Statement  </w:t>
      </w:r>
      <w:r>
        <w:rPr>
          <w:rFonts w:ascii="Arial" w:cs="Arial" w:eastAsia="Arial" w:hAnsi="Arial"/>
          <w:sz w:val="20"/>
          <w:szCs w:val="20"/>
          <w:color w:val="002B5F"/>
        </w:rPr>
        <w:t>|</w:t>
      </w:r>
      <w:r>
        <w:rPr>
          <w:rFonts w:ascii="Arial" w:cs="Arial" w:eastAsia="Arial" w:hAnsi="Arial"/>
          <w:sz w:val="15"/>
          <w:szCs w:val="15"/>
          <w:b w:val="1"/>
          <w:bCs w:val="1"/>
          <w:color w:val="002B5F"/>
        </w:rPr>
        <w:t xml:space="preserve">  11</w:t>
      </w:r>
      <w:r>
        <w:rPr>
          <w:sz w:val="20"/>
          <w:szCs w:val="20"/>
          <w:color w:val="auto"/>
        </w:rPr>
        <w:tab/>
      </w:r>
      <w:r>
        <w:rPr>
          <w:rFonts w:ascii="Arial" w:cs="Arial" w:eastAsia="Arial" w:hAnsi="Arial"/>
          <w:sz w:val="17"/>
          <w:szCs w:val="17"/>
          <w:color w:val="auto"/>
        </w:rPr>
        <w:t xml:space="preserve">    </w:t>
      </w:r>
      <w:r>
        <w:rPr>
          <w:sz w:val="20"/>
          <w:szCs w:val="20"/>
          <w:color w:val="auto"/>
        </w:rPr>
        <w:tab/>
      </w:r>
      <w:r>
        <w:rPr>
          <w:rFonts w:ascii="Arial" w:cs="Arial" w:eastAsia="Arial" w:hAnsi="Arial"/>
          <w:sz w:val="17"/>
          <w:szCs w:val="17"/>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268605</wp:posOffset>
            </wp:positionH>
            <wp:positionV relativeFrom="paragraph">
              <wp:posOffset>-128905</wp:posOffset>
            </wp:positionV>
            <wp:extent cx="762000" cy="971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62000" cy="97155"/>
                    </a:xfrm>
                    <a:prstGeom prst="rect">
                      <a:avLst/>
                    </a:prstGeom>
                    <a:noFill/>
                  </pic:spPr>
                </pic:pic>
              </a:graphicData>
            </a:graphic>
          </wp:anchor>
        </w:drawing>
      </w:r>
    </w:p>
    <w:p>
      <w:pPr>
        <w:sectPr>
          <w:pgSz w:w="11900" w:h="16838" w:orient="portrait"/>
          <w:cols w:equalWidth="0" w:num="1">
            <w:col w:w="10800"/>
          </w:cols>
          <w:pgMar w:left="320" w:top="464" w:right="77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7"/>
          <w:szCs w:val="17"/>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268605</wp:posOffset>
            </wp:positionH>
            <wp:positionV relativeFrom="paragraph">
              <wp:posOffset>253365</wp:posOffset>
            </wp:positionV>
            <wp:extent cx="1183005" cy="745617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183005" cy="7456170"/>
                    </a:xfrm>
                    <a:prstGeom prst="rect">
                      <a:avLst/>
                    </a:prstGeom>
                    <a:noFill/>
                  </pic:spPr>
                </pic:pic>
              </a:graphicData>
            </a:graphic>
          </wp:anchor>
        </w:drawing>
      </w:r>
    </w:p>
    <w:p>
      <w:pPr>
        <w:spacing w:after="0" w:line="200" w:lineRule="exact"/>
        <w:rPr>
          <w:sz w:val="20"/>
          <w:szCs w:val="20"/>
          <w:color w:val="auto"/>
        </w:rPr>
      </w:pPr>
    </w:p>
    <w:p>
      <w:pPr>
        <w:spacing w:after="0" w:line="304" w:lineRule="exact"/>
        <w:rPr>
          <w:sz w:val="20"/>
          <w:szCs w:val="20"/>
          <w:color w:val="auto"/>
        </w:rPr>
      </w:pPr>
    </w:p>
    <w:p>
      <w:pPr>
        <w:ind w:left="1120" w:right="300" w:hanging="672"/>
        <w:spacing w:after="0" w:line="382" w:lineRule="auto"/>
        <w:tabs>
          <w:tab w:leader="none" w:pos="610" w:val="left"/>
        </w:tabs>
        <w:numPr>
          <w:ilvl w:val="0"/>
          <w:numId w:val="24"/>
        </w:numPr>
        <w:rPr>
          <w:rFonts w:ascii="Arial" w:cs="Arial" w:eastAsia="Arial" w:hAnsi="Arial"/>
          <w:sz w:val="24"/>
          <w:szCs w:val="24"/>
          <w:color w:val="auto"/>
          <w:vertAlign w:val="subscript"/>
        </w:rPr>
      </w:pPr>
      <w:r>
        <w:rPr>
          <w:rFonts w:ascii="Arial" w:cs="Arial" w:eastAsia="Arial" w:hAnsi="Arial"/>
          <w:sz w:val="24"/>
          <w:szCs w:val="24"/>
          <w:color w:val="000000"/>
          <w:vertAlign w:val="subscript"/>
        </w:rPr>
        <w:t xml:space="preserve">     </w:t>
      </w:r>
      <w:r>
        <w:rPr>
          <w:rFonts w:ascii="Arial" w:cs="Arial" w:eastAsia="Arial" w:hAnsi="Arial"/>
          <w:sz w:val="10"/>
          <w:szCs w:val="10"/>
          <w:color w:val="FFFFFF"/>
        </w:rPr>
        <w:t xml:space="preserve"> General Information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37"/>
          <w:szCs w:val="37"/>
          <w:color w:val="B95827"/>
        </w:rPr>
        <w:t>H. Paulett Eberhart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-1737995</wp:posOffset>
            </wp:positionH>
            <wp:positionV relativeFrom="paragraph">
              <wp:posOffset>-882015</wp:posOffset>
            </wp:positionV>
            <wp:extent cx="7181215" cy="5334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81215" cy="5334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57150</wp:posOffset>
            </wp:positionV>
            <wp:extent cx="506539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065395" cy="8255"/>
                    </a:xfrm>
                    <a:prstGeom prst="rect">
                      <a:avLst/>
                    </a:prstGeom>
                    <a:noFill/>
                  </pic:spPr>
                </pic:pic>
              </a:graphicData>
            </a:graphic>
          </wp:anchor>
        </w:drawing>
      </w:r>
    </w:p>
    <w:p>
      <w:pPr>
        <w:spacing w:after="0" w:line="276" w:lineRule="exact"/>
        <w:rPr>
          <w:sz w:val="20"/>
          <w:szCs w:val="20"/>
          <w:color w:val="auto"/>
        </w:rPr>
      </w:pPr>
    </w:p>
    <w:p>
      <w:pPr>
        <w:sectPr>
          <w:pgSz w:w="11900" w:h="16838" w:orient="portrait"/>
          <w:cols w:equalWidth="0" w:num="2">
            <w:col w:w="2000" w:space="720"/>
            <w:col w:w="7980"/>
          </w:cols>
          <w:pgMar w:left="320" w:top="464" w:right="879" w:bottom="1440" w:gutter="0" w:footer="0" w:header="0"/>
        </w:sectPr>
      </w:pPr>
    </w:p>
    <w:p>
      <w:pPr>
        <w:ind w:left="1120"/>
        <w:spacing w:after="0"/>
        <w:rPr>
          <w:sz w:val="20"/>
          <w:szCs w:val="20"/>
          <w:color w:val="auto"/>
        </w:rPr>
      </w:pPr>
      <w:r>
        <w:rPr>
          <w:rFonts w:ascii="Arial" w:cs="Arial" w:eastAsia="Arial" w:hAnsi="Arial"/>
          <w:sz w:val="11"/>
          <w:szCs w:val="11"/>
          <w:color w:val="FFFFFF"/>
        </w:rPr>
        <w:t>General Information</w:t>
      </w:r>
    </w:p>
    <w:p>
      <w:pPr>
        <w:spacing w:after="0" w:line="3"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About Corporate</w:t>
      </w:r>
    </w:p>
    <w:p>
      <w:pPr>
        <w:ind w:left="1120"/>
        <w:spacing w:after="0" w:line="221" w:lineRule="auto"/>
        <w:rPr>
          <w:sz w:val="20"/>
          <w:szCs w:val="20"/>
          <w:color w:val="auto"/>
        </w:rPr>
      </w:pPr>
      <w:r>
        <w:rPr>
          <w:rFonts w:ascii="Arial" w:cs="Arial" w:eastAsia="Arial" w:hAnsi="Arial"/>
          <w:sz w:val="12"/>
          <w:szCs w:val="12"/>
          <w:color w:val="FFFFFF"/>
        </w:rPr>
        <w:t>Governance</w:t>
      </w:r>
    </w:p>
    <w:p>
      <w:pPr>
        <w:ind w:left="1120"/>
        <w:spacing w:after="0" w:line="222" w:lineRule="auto"/>
        <w:rPr>
          <w:sz w:val="20"/>
          <w:szCs w:val="20"/>
          <w:color w:val="auto"/>
        </w:rPr>
      </w:pPr>
      <w:r>
        <w:rPr>
          <w:rFonts w:ascii="Arial" w:cs="Arial" w:eastAsia="Arial" w:hAnsi="Arial"/>
          <w:sz w:val="12"/>
          <w:szCs w:val="12"/>
          <w:color w:val="FFFFFF"/>
        </w:rPr>
        <w:t>and the Board of</w:t>
      </w:r>
    </w:p>
    <w:p>
      <w:pPr>
        <w:spacing w:after="0" w:line="1"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Directors</w:t>
      </w:r>
    </w:p>
    <w:p>
      <w:pPr>
        <w:spacing w:after="0" w:line="141" w:lineRule="exact"/>
        <w:rPr>
          <w:sz w:val="20"/>
          <w:szCs w:val="20"/>
          <w:color w:val="auto"/>
        </w:rPr>
      </w:pPr>
    </w:p>
    <w:p>
      <w:pPr>
        <w:ind w:left="980"/>
        <w:spacing w:after="0"/>
        <w:rPr>
          <w:sz w:val="20"/>
          <w:szCs w:val="20"/>
          <w:color w:val="auto"/>
        </w:rPr>
      </w:pPr>
      <w:r>
        <w:rPr>
          <w:sz w:val="1"/>
          <w:szCs w:val="1"/>
          <w:color w:val="auto"/>
        </w:rPr>
        <w:drawing>
          <wp:inline distT="0" distB="0" distL="0" distR="0">
            <wp:extent cx="56515" cy="88900"/>
            <wp:effectExtent l="0" t="0" r="0" b="0"/>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6515" cy="88900"/>
                    </a:xfrm>
                    <a:prstGeom prst="rect">
                      <a:avLst/>
                    </a:prstGeom>
                    <a:noFill/>
                    <a:ln>
                      <a:noFill/>
                    </a:ln>
                  </pic:spPr>
                </pic:pic>
              </a:graphicData>
            </a:graphic>
          </wp:inline>
        </w:drawing>
      </w:r>
      <w:r>
        <w:rPr>
          <w:rFonts w:ascii="Arial" w:cs="Arial" w:eastAsia="Arial" w:hAnsi="Arial"/>
          <w:sz w:val="12"/>
          <w:szCs w:val="12"/>
          <w:b w:val="1"/>
          <w:bCs w:val="1"/>
          <w:color w:val="FFFFFF"/>
        </w:rPr>
        <w:t xml:space="preserve"> Proposal 1</w:t>
      </w:r>
    </w:p>
    <w:p>
      <w:pPr>
        <w:spacing w:after="0" w:line="130"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Information</w:t>
      </w:r>
    </w:p>
    <w:p>
      <w:pPr>
        <w:ind w:left="1120"/>
        <w:spacing w:after="0" w:line="224" w:lineRule="auto"/>
        <w:rPr>
          <w:sz w:val="20"/>
          <w:szCs w:val="20"/>
          <w:color w:val="auto"/>
        </w:rPr>
      </w:pPr>
      <w:r>
        <w:rPr>
          <w:rFonts w:ascii="Arial" w:cs="Arial" w:eastAsia="Arial" w:hAnsi="Arial"/>
          <w:sz w:val="12"/>
          <w:szCs w:val="12"/>
          <w:color w:val="FFFFFF"/>
        </w:rPr>
        <w:t>Regarding Board</w:t>
      </w:r>
    </w:p>
    <w:p>
      <w:pPr>
        <w:ind w:left="1120"/>
        <w:spacing w:after="0" w:line="222" w:lineRule="auto"/>
        <w:rPr>
          <w:sz w:val="20"/>
          <w:szCs w:val="20"/>
          <w:color w:val="auto"/>
        </w:rPr>
      </w:pPr>
      <w:r>
        <w:rPr>
          <w:rFonts w:ascii="Arial" w:cs="Arial" w:eastAsia="Arial" w:hAnsi="Arial"/>
          <w:sz w:val="12"/>
          <w:szCs w:val="12"/>
          <w:color w:val="FFFFFF"/>
        </w:rPr>
        <w:t>and Committee</w:t>
      </w:r>
    </w:p>
    <w:p>
      <w:pPr>
        <w:ind w:left="1120"/>
        <w:spacing w:after="0"/>
        <w:rPr>
          <w:sz w:val="20"/>
          <w:szCs w:val="20"/>
          <w:color w:val="auto"/>
        </w:rPr>
      </w:pPr>
      <w:r>
        <w:rPr>
          <w:rFonts w:ascii="Arial" w:cs="Arial" w:eastAsia="Arial" w:hAnsi="Arial"/>
          <w:sz w:val="12"/>
          <w:szCs w:val="12"/>
          <w:color w:val="FFFFFF"/>
        </w:rPr>
        <w:t>Structure</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Board of Directors</w:t>
      </w:r>
    </w:p>
    <w:p>
      <w:pPr>
        <w:spacing w:after="0" w:line="2"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Compensation</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Compensation</w:t>
      </w:r>
    </w:p>
    <w:p>
      <w:pPr>
        <w:ind w:left="1120"/>
        <w:spacing w:after="0" w:line="224" w:lineRule="auto"/>
        <w:rPr>
          <w:sz w:val="20"/>
          <w:szCs w:val="20"/>
          <w:color w:val="auto"/>
        </w:rPr>
      </w:pPr>
      <w:r>
        <w:rPr>
          <w:rFonts w:ascii="Arial" w:cs="Arial" w:eastAsia="Arial" w:hAnsi="Arial"/>
          <w:sz w:val="12"/>
          <w:szCs w:val="12"/>
          <w:color w:val="FFFFFF"/>
        </w:rPr>
        <w:t>Discussion and</w:t>
      </w:r>
    </w:p>
    <w:p>
      <w:pPr>
        <w:ind w:left="1120"/>
        <w:spacing w:after="0"/>
        <w:rPr>
          <w:sz w:val="20"/>
          <w:szCs w:val="20"/>
          <w:color w:val="auto"/>
        </w:rPr>
      </w:pPr>
      <w:r>
        <w:rPr>
          <w:rFonts w:ascii="Arial" w:cs="Arial" w:eastAsia="Arial" w:hAnsi="Arial"/>
          <w:sz w:val="12"/>
          <w:szCs w:val="12"/>
          <w:color w:val="FFFFFF"/>
        </w:rPr>
        <w:t>Analysis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Report of the</w:t>
      </w:r>
    </w:p>
    <w:p>
      <w:pPr>
        <w:ind w:left="1120"/>
        <w:spacing w:after="0" w:line="224" w:lineRule="auto"/>
        <w:rPr>
          <w:sz w:val="20"/>
          <w:szCs w:val="20"/>
          <w:color w:val="auto"/>
        </w:rPr>
      </w:pPr>
      <w:r>
        <w:rPr>
          <w:rFonts w:ascii="Arial" w:cs="Arial" w:eastAsia="Arial" w:hAnsi="Arial"/>
          <w:sz w:val="12"/>
          <w:szCs w:val="12"/>
          <w:color w:val="FFFFFF"/>
        </w:rPr>
        <w:t>Compensation</w:t>
      </w:r>
    </w:p>
    <w:p>
      <w:pPr>
        <w:ind w:left="1120"/>
        <w:spacing w:after="0" w:line="222" w:lineRule="auto"/>
        <w:rPr>
          <w:sz w:val="20"/>
          <w:szCs w:val="20"/>
          <w:color w:val="auto"/>
        </w:rPr>
      </w:pPr>
      <w:r>
        <w:rPr>
          <w:rFonts w:ascii="Arial" w:cs="Arial" w:eastAsia="Arial" w:hAnsi="Arial"/>
          <w:sz w:val="12"/>
          <w:szCs w:val="12"/>
          <w:color w:val="FFFFFF"/>
        </w:rPr>
        <w:t>and Human</w:t>
      </w:r>
    </w:p>
    <w:p>
      <w:pPr>
        <w:ind w:left="1120"/>
        <w:spacing w:after="0" w:line="222" w:lineRule="auto"/>
        <w:rPr>
          <w:sz w:val="20"/>
          <w:szCs w:val="20"/>
          <w:color w:val="auto"/>
        </w:rPr>
      </w:pPr>
      <w:r>
        <w:rPr>
          <w:rFonts w:ascii="Arial" w:cs="Arial" w:eastAsia="Arial" w:hAnsi="Arial"/>
          <w:sz w:val="12"/>
          <w:szCs w:val="12"/>
          <w:color w:val="FFFFFF"/>
        </w:rPr>
        <w:t>Resources</w:t>
      </w:r>
    </w:p>
    <w:p>
      <w:pPr>
        <w:ind w:left="1120"/>
        <w:spacing w:after="0" w:line="222" w:lineRule="auto"/>
        <w:rPr>
          <w:sz w:val="20"/>
          <w:szCs w:val="20"/>
          <w:color w:val="auto"/>
        </w:rPr>
      </w:pPr>
      <w:r>
        <w:rPr>
          <w:rFonts w:ascii="Arial" w:cs="Arial" w:eastAsia="Arial" w:hAnsi="Arial"/>
          <w:sz w:val="12"/>
          <w:szCs w:val="12"/>
          <w:color w:val="FFFFFF"/>
        </w:rPr>
        <w:t>Committee of the</w:t>
      </w:r>
    </w:p>
    <w:p>
      <w:pPr>
        <w:ind w:left="1120"/>
        <w:spacing w:after="0"/>
        <w:rPr>
          <w:sz w:val="20"/>
          <w:szCs w:val="20"/>
          <w:color w:val="auto"/>
        </w:rPr>
      </w:pPr>
      <w:r>
        <w:rPr>
          <w:rFonts w:ascii="Arial" w:cs="Arial" w:eastAsia="Arial" w:hAnsi="Arial"/>
          <w:sz w:val="12"/>
          <w:szCs w:val="12"/>
          <w:color w:val="FFFFFF"/>
        </w:rPr>
        <w:t>Board of Directors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Compensation of</w:t>
      </w:r>
    </w:p>
    <w:p>
      <w:pPr>
        <w:ind w:left="1120"/>
        <w:spacing w:after="0" w:line="224" w:lineRule="auto"/>
        <w:rPr>
          <w:sz w:val="20"/>
          <w:szCs w:val="20"/>
          <w:color w:val="auto"/>
        </w:rPr>
      </w:pPr>
      <w:r>
        <w:rPr>
          <w:rFonts w:ascii="Arial" w:cs="Arial" w:eastAsia="Arial" w:hAnsi="Arial"/>
          <w:sz w:val="12"/>
          <w:szCs w:val="12"/>
          <w:color w:val="FFFFFF"/>
        </w:rPr>
        <w:t>Named Executive</w:t>
      </w:r>
    </w:p>
    <w:p>
      <w:pPr>
        <w:ind w:left="1120"/>
        <w:spacing w:after="0"/>
        <w:rPr>
          <w:sz w:val="20"/>
          <w:szCs w:val="20"/>
          <w:color w:val="auto"/>
        </w:rPr>
      </w:pPr>
      <w:r>
        <w:rPr>
          <w:rFonts w:ascii="Arial" w:cs="Arial" w:eastAsia="Arial" w:hAnsi="Arial"/>
          <w:sz w:val="12"/>
          <w:szCs w:val="12"/>
          <w:color w:val="FFFFFF"/>
        </w:rPr>
        <w:t>Officers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Pay Versus</w:t>
      </w:r>
    </w:p>
    <w:p>
      <w:pPr>
        <w:ind w:left="1120"/>
        <w:spacing w:after="0" w:line="224" w:lineRule="auto"/>
        <w:rPr>
          <w:sz w:val="20"/>
          <w:szCs w:val="20"/>
          <w:color w:val="auto"/>
        </w:rPr>
      </w:pPr>
      <w:r>
        <w:rPr>
          <w:rFonts w:ascii="Arial" w:cs="Arial" w:eastAsia="Arial" w:hAnsi="Arial"/>
          <w:sz w:val="12"/>
          <w:szCs w:val="12"/>
          <w:color w:val="FFFFFF"/>
        </w:rPr>
        <w:t>Performance</w:t>
      </w:r>
    </w:p>
    <w:p>
      <w:pPr>
        <w:ind w:left="1120"/>
        <w:spacing w:after="0"/>
        <w:rPr>
          <w:sz w:val="20"/>
          <w:szCs w:val="20"/>
          <w:color w:val="auto"/>
        </w:rPr>
      </w:pPr>
      <w:r>
        <w:rPr>
          <w:rFonts w:ascii="Arial" w:cs="Arial" w:eastAsia="Arial" w:hAnsi="Arial"/>
          <w:sz w:val="12"/>
          <w:szCs w:val="12"/>
          <w:color w:val="FFFFFF"/>
        </w:rPr>
        <w:t>Disclosure</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Security</w:t>
      </w:r>
    </w:p>
    <w:p>
      <w:pPr>
        <w:ind w:left="1120"/>
        <w:spacing w:after="0" w:line="224" w:lineRule="auto"/>
        <w:rPr>
          <w:sz w:val="20"/>
          <w:szCs w:val="20"/>
          <w:color w:val="auto"/>
        </w:rPr>
      </w:pPr>
      <w:r>
        <w:rPr>
          <w:rFonts w:ascii="Arial" w:cs="Arial" w:eastAsia="Arial" w:hAnsi="Arial"/>
          <w:sz w:val="12"/>
          <w:szCs w:val="12"/>
          <w:color w:val="FFFFFF"/>
        </w:rPr>
        <w:t>Ownership of</w:t>
      </w:r>
    </w:p>
    <w:p>
      <w:pPr>
        <w:ind w:left="1120"/>
        <w:spacing w:after="0" w:line="222" w:lineRule="auto"/>
        <w:rPr>
          <w:sz w:val="20"/>
          <w:szCs w:val="20"/>
          <w:color w:val="auto"/>
        </w:rPr>
      </w:pPr>
      <w:r>
        <w:rPr>
          <w:rFonts w:ascii="Arial" w:cs="Arial" w:eastAsia="Arial" w:hAnsi="Arial"/>
          <w:sz w:val="12"/>
          <w:szCs w:val="12"/>
          <w:color w:val="FFFFFF"/>
        </w:rPr>
        <w:t>Certain Beneficial</w:t>
      </w:r>
    </w:p>
    <w:p>
      <w:pPr>
        <w:ind w:left="1120"/>
        <w:spacing w:after="0" w:line="222" w:lineRule="auto"/>
        <w:rPr>
          <w:sz w:val="20"/>
          <w:szCs w:val="20"/>
          <w:color w:val="auto"/>
        </w:rPr>
      </w:pPr>
      <w:r>
        <w:rPr>
          <w:rFonts w:ascii="Arial" w:cs="Arial" w:eastAsia="Arial" w:hAnsi="Arial"/>
          <w:sz w:val="12"/>
          <w:szCs w:val="12"/>
          <w:color w:val="FFFFFF"/>
        </w:rPr>
        <w:t>Owners and</w:t>
      </w:r>
    </w:p>
    <w:p>
      <w:pPr>
        <w:ind w:left="1120"/>
        <w:spacing w:after="0"/>
        <w:rPr>
          <w:sz w:val="20"/>
          <w:szCs w:val="20"/>
          <w:color w:val="auto"/>
        </w:rPr>
      </w:pPr>
      <w:r>
        <w:rPr>
          <w:rFonts w:ascii="Arial" w:cs="Arial" w:eastAsia="Arial" w:hAnsi="Arial"/>
          <w:sz w:val="12"/>
          <w:szCs w:val="12"/>
          <w:color w:val="FFFFFF"/>
        </w:rPr>
        <w:t>Management</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Certain</w:t>
      </w:r>
    </w:p>
    <w:p>
      <w:pPr>
        <w:ind w:left="1120"/>
        <w:spacing w:after="0" w:line="224" w:lineRule="auto"/>
        <w:rPr>
          <w:sz w:val="20"/>
          <w:szCs w:val="20"/>
          <w:color w:val="auto"/>
        </w:rPr>
      </w:pPr>
      <w:r>
        <w:rPr>
          <w:rFonts w:ascii="Arial" w:cs="Arial" w:eastAsia="Arial" w:hAnsi="Arial"/>
          <w:sz w:val="12"/>
          <w:szCs w:val="12"/>
          <w:color w:val="FFFFFF"/>
        </w:rPr>
        <w:t>Relationships and</w:t>
      </w:r>
    </w:p>
    <w:p>
      <w:pPr>
        <w:ind w:left="1120"/>
        <w:spacing w:after="0" w:line="222" w:lineRule="auto"/>
        <w:rPr>
          <w:sz w:val="20"/>
          <w:szCs w:val="20"/>
          <w:color w:val="auto"/>
        </w:rPr>
      </w:pPr>
      <w:r>
        <w:rPr>
          <w:rFonts w:ascii="Arial" w:cs="Arial" w:eastAsia="Arial" w:hAnsi="Arial"/>
          <w:sz w:val="12"/>
          <w:szCs w:val="12"/>
          <w:color w:val="FFFFFF"/>
        </w:rPr>
        <w:t>Related Party</w:t>
      </w:r>
    </w:p>
    <w:p>
      <w:pPr>
        <w:ind w:left="1120"/>
        <w:spacing w:after="0"/>
        <w:rPr>
          <w:sz w:val="20"/>
          <w:szCs w:val="20"/>
          <w:color w:val="auto"/>
        </w:rPr>
      </w:pPr>
      <w:r>
        <w:rPr>
          <w:rFonts w:ascii="Arial" w:cs="Arial" w:eastAsia="Arial" w:hAnsi="Arial"/>
          <w:sz w:val="12"/>
          <w:szCs w:val="12"/>
          <w:color w:val="FFFFFF"/>
        </w:rPr>
        <w:t>Transactions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Proposal 2</w:t>
      </w:r>
    </w:p>
    <w:p>
      <w:pPr>
        <w:spacing w:after="0" w:line="156"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Report of the</w:t>
      </w:r>
    </w:p>
    <w:p>
      <w:pPr>
        <w:ind w:left="1120"/>
        <w:spacing w:after="0" w:line="224" w:lineRule="auto"/>
        <w:rPr>
          <w:sz w:val="20"/>
          <w:szCs w:val="20"/>
          <w:color w:val="auto"/>
        </w:rPr>
      </w:pPr>
      <w:r>
        <w:rPr>
          <w:rFonts w:ascii="Arial" w:cs="Arial" w:eastAsia="Arial" w:hAnsi="Arial"/>
          <w:sz w:val="12"/>
          <w:szCs w:val="12"/>
          <w:color w:val="FFFFFF"/>
        </w:rPr>
        <w:t>Audit and Risk</w:t>
      </w:r>
    </w:p>
    <w:p>
      <w:pPr>
        <w:ind w:left="1120"/>
        <w:spacing w:after="0" w:line="222" w:lineRule="auto"/>
        <w:rPr>
          <w:sz w:val="20"/>
          <w:szCs w:val="20"/>
          <w:color w:val="auto"/>
        </w:rPr>
      </w:pPr>
      <w:r>
        <w:rPr>
          <w:rFonts w:ascii="Arial" w:cs="Arial" w:eastAsia="Arial" w:hAnsi="Arial"/>
          <w:sz w:val="12"/>
          <w:szCs w:val="12"/>
          <w:color w:val="FFFFFF"/>
        </w:rPr>
        <w:t>Committee of the</w:t>
      </w:r>
    </w:p>
    <w:p>
      <w:pPr>
        <w:ind w:left="1120"/>
        <w:spacing w:after="0"/>
        <w:rPr>
          <w:sz w:val="20"/>
          <w:szCs w:val="20"/>
          <w:color w:val="auto"/>
        </w:rPr>
      </w:pPr>
      <w:r>
        <w:rPr>
          <w:rFonts w:ascii="Arial" w:cs="Arial" w:eastAsia="Arial" w:hAnsi="Arial"/>
          <w:sz w:val="12"/>
          <w:szCs w:val="12"/>
          <w:color w:val="FFFFFF"/>
        </w:rPr>
        <w:t>Board of Directors</w:t>
      </w:r>
    </w:p>
    <w:p>
      <w:pPr>
        <w:spacing w:after="0" w:line="144" w:lineRule="exact"/>
        <w:rPr>
          <w:sz w:val="20"/>
          <w:szCs w:val="20"/>
          <w:color w:val="auto"/>
        </w:rPr>
      </w:pPr>
    </w:p>
    <w:p>
      <w:pPr>
        <w:jc w:val="center"/>
        <w:ind w:left="620"/>
        <w:spacing w:after="0"/>
        <w:rPr>
          <w:sz w:val="20"/>
          <w:szCs w:val="20"/>
          <w:color w:val="auto"/>
        </w:rPr>
      </w:pPr>
      <w:r>
        <w:rPr>
          <w:rFonts w:ascii="Arial" w:cs="Arial" w:eastAsia="Arial" w:hAnsi="Arial"/>
          <w:sz w:val="12"/>
          <w:szCs w:val="12"/>
          <w:color w:val="FFFFFF"/>
        </w:rPr>
        <w:t>Proposal 3</w:t>
      </w:r>
    </w:p>
    <w:p>
      <w:pPr>
        <w:spacing w:after="0" w:line="156" w:lineRule="exact"/>
        <w:rPr>
          <w:sz w:val="20"/>
          <w:szCs w:val="20"/>
          <w:color w:val="auto"/>
        </w:rPr>
      </w:pPr>
    </w:p>
    <w:p>
      <w:pPr>
        <w:jc w:val="center"/>
        <w:ind w:left="620"/>
        <w:spacing w:after="0"/>
        <w:rPr>
          <w:sz w:val="20"/>
          <w:szCs w:val="20"/>
          <w:color w:val="auto"/>
        </w:rPr>
      </w:pPr>
      <w:r>
        <w:rPr>
          <w:rFonts w:ascii="Arial" w:cs="Arial" w:eastAsia="Arial" w:hAnsi="Arial"/>
          <w:sz w:val="12"/>
          <w:szCs w:val="12"/>
          <w:color w:val="FFFFFF"/>
        </w:rPr>
        <w:t>Proposal 4</w:t>
      </w:r>
    </w:p>
    <w:p>
      <w:pPr>
        <w:spacing w:after="0" w:line="156" w:lineRule="exact"/>
        <w:rPr>
          <w:sz w:val="20"/>
          <w:szCs w:val="20"/>
          <w:color w:val="auto"/>
        </w:rPr>
      </w:pPr>
    </w:p>
    <w:p>
      <w:pPr>
        <w:jc w:val="center"/>
        <w:ind w:left="620"/>
        <w:spacing w:after="0"/>
        <w:rPr>
          <w:sz w:val="20"/>
          <w:szCs w:val="20"/>
          <w:color w:val="auto"/>
        </w:rPr>
      </w:pPr>
      <w:r>
        <w:rPr>
          <w:rFonts w:ascii="Arial" w:cs="Arial" w:eastAsia="Arial" w:hAnsi="Arial"/>
          <w:sz w:val="12"/>
          <w:szCs w:val="12"/>
          <w:color w:val="FFFFFF"/>
        </w:rPr>
        <w:t>Proposal 5</w:t>
      </w:r>
    </w:p>
    <w:p>
      <w:pPr>
        <w:spacing w:after="0" w:line="156"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Proposal 6</w:t>
      </w:r>
    </w:p>
    <w:p>
      <w:pPr>
        <w:spacing w:after="0" w:line="156"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Stockholder</w:t>
      </w:r>
    </w:p>
    <w:p>
      <w:pPr>
        <w:ind w:left="1120"/>
        <w:spacing w:after="0" w:line="224" w:lineRule="auto"/>
        <w:rPr>
          <w:sz w:val="20"/>
          <w:szCs w:val="20"/>
          <w:color w:val="auto"/>
        </w:rPr>
      </w:pPr>
      <w:r>
        <w:rPr>
          <w:rFonts w:ascii="Arial" w:cs="Arial" w:eastAsia="Arial" w:hAnsi="Arial"/>
          <w:sz w:val="12"/>
          <w:szCs w:val="12"/>
          <w:color w:val="FFFFFF"/>
        </w:rPr>
        <w:t>Proposals and</w:t>
      </w:r>
    </w:p>
    <w:p>
      <w:pPr>
        <w:ind w:left="1120"/>
        <w:spacing w:after="0"/>
        <w:rPr>
          <w:sz w:val="20"/>
          <w:szCs w:val="20"/>
          <w:color w:val="auto"/>
        </w:rPr>
      </w:pPr>
      <w:r>
        <w:rPr>
          <w:rFonts w:ascii="Arial" w:cs="Arial" w:eastAsia="Arial" w:hAnsi="Arial"/>
          <w:sz w:val="12"/>
          <w:szCs w:val="12"/>
          <w:color w:val="FFFFFF"/>
        </w:rPr>
        <w:t>Other Matters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Delinquent</w:t>
      </w:r>
    </w:p>
    <w:p>
      <w:pPr>
        <w:ind w:left="1120"/>
        <w:spacing w:after="0" w:line="224" w:lineRule="auto"/>
        <w:rPr>
          <w:sz w:val="20"/>
          <w:szCs w:val="20"/>
          <w:color w:val="auto"/>
        </w:rPr>
      </w:pPr>
      <w:r>
        <w:rPr>
          <w:rFonts w:ascii="Arial" w:cs="Arial" w:eastAsia="Arial" w:hAnsi="Arial"/>
          <w:sz w:val="12"/>
          <w:szCs w:val="12"/>
          <w:color w:val="FFFFFF"/>
        </w:rPr>
        <w:t>Section 16(a)</w:t>
      </w:r>
    </w:p>
    <w:p>
      <w:pPr>
        <w:ind w:left="1120"/>
        <w:spacing w:after="0"/>
        <w:rPr>
          <w:sz w:val="20"/>
          <w:szCs w:val="20"/>
          <w:color w:val="auto"/>
        </w:rPr>
      </w:pPr>
      <w:r>
        <w:rPr>
          <w:rFonts w:ascii="Arial" w:cs="Arial" w:eastAsia="Arial" w:hAnsi="Arial"/>
          <w:sz w:val="12"/>
          <w:szCs w:val="12"/>
          <w:color w:val="FFFFFF"/>
        </w:rPr>
        <w:t>Reports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Other</w:t>
      </w:r>
    </w:p>
    <w:p>
      <w:pPr>
        <w:spacing w:after="0" w:line="2"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Information</w:t>
      </w:r>
    </w:p>
    <w:p>
      <w:pPr>
        <w:spacing w:after="0" w:line="144" w:lineRule="exact"/>
        <w:rPr>
          <w:sz w:val="20"/>
          <w:szCs w:val="20"/>
          <w:color w:val="auto"/>
        </w:rPr>
      </w:pPr>
    </w:p>
    <w:p>
      <w:pPr>
        <w:jc w:val="center"/>
        <w:ind w:left="660"/>
        <w:spacing w:after="0"/>
        <w:rPr>
          <w:sz w:val="20"/>
          <w:szCs w:val="20"/>
          <w:color w:val="auto"/>
        </w:rPr>
      </w:pPr>
      <w:r>
        <w:rPr>
          <w:rFonts w:ascii="Arial" w:cs="Arial" w:eastAsia="Arial" w:hAnsi="Arial"/>
          <w:sz w:val="12"/>
          <w:szCs w:val="12"/>
          <w:color w:val="FFFFFF"/>
        </w:rPr>
        <w:t>Appendix A</w:t>
      </w:r>
    </w:p>
    <w:p>
      <w:pPr>
        <w:spacing w:after="0" w:line="156" w:lineRule="exact"/>
        <w:rPr>
          <w:sz w:val="20"/>
          <w:szCs w:val="20"/>
          <w:color w:val="auto"/>
        </w:rPr>
      </w:pPr>
    </w:p>
    <w:p>
      <w:pPr>
        <w:jc w:val="center"/>
        <w:ind w:left="660"/>
        <w:spacing w:after="0"/>
        <w:rPr>
          <w:sz w:val="20"/>
          <w:szCs w:val="20"/>
          <w:color w:val="auto"/>
        </w:rPr>
      </w:pPr>
      <w:r>
        <w:rPr>
          <w:rFonts w:ascii="Arial" w:cs="Arial" w:eastAsia="Arial" w:hAnsi="Arial"/>
          <w:sz w:val="12"/>
          <w:szCs w:val="12"/>
          <w:color w:val="FFFFFF"/>
        </w:rPr>
        <w:t>Appendix 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9"/>
          <w:szCs w:val="19"/>
          <w:b w:val="1"/>
          <w:bCs w:val="1"/>
          <w:color w:val="B95827"/>
        </w:rPr>
        <w:t xml:space="preserve">AGE </w:t>
      </w:r>
      <w:r>
        <w:rPr>
          <w:rFonts w:ascii="Arial" w:cs="Arial" w:eastAsia="Arial" w:hAnsi="Arial"/>
          <w:sz w:val="15"/>
          <w:szCs w:val="15"/>
          <w:color w:val="000000"/>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-1818005</wp:posOffset>
            </wp:positionV>
            <wp:extent cx="1499235" cy="157226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499235" cy="1572260"/>
                    </a:xfrm>
                    <a:prstGeom prst="rect">
                      <a:avLst/>
                    </a:prstGeom>
                    <a:noFill/>
                  </pic:spPr>
                </pic:pic>
              </a:graphicData>
            </a:graphic>
          </wp:anchor>
        </w:drawing>
      </w:r>
    </w:p>
    <w:p>
      <w:pPr>
        <w:spacing w:after="0" w:line="81" w:lineRule="exact"/>
        <w:rPr>
          <w:sz w:val="20"/>
          <w:szCs w:val="20"/>
          <w:color w:val="auto"/>
        </w:rPr>
      </w:pPr>
    </w:p>
    <w:p>
      <w:pPr>
        <w:spacing w:after="0"/>
        <w:rPr>
          <w:sz w:val="20"/>
          <w:szCs w:val="20"/>
          <w:color w:val="auto"/>
        </w:rPr>
      </w:pPr>
      <w:r>
        <w:rPr>
          <w:rFonts w:ascii="Arial" w:cs="Arial" w:eastAsia="Arial" w:hAnsi="Arial"/>
          <w:sz w:val="19"/>
          <w:szCs w:val="19"/>
          <w:b w:val="1"/>
          <w:bCs w:val="1"/>
          <w:color w:val="B95827"/>
        </w:rPr>
        <w:t xml:space="preserve">DIRECTOR SINCE </w:t>
      </w:r>
      <w:r>
        <w:rPr>
          <w:rFonts w:ascii="Arial" w:cs="Arial" w:eastAsia="Arial" w:hAnsi="Arial"/>
          <w:sz w:val="15"/>
          <w:szCs w:val="15"/>
          <w:color w:val="000000"/>
        </w:rPr>
        <w:t>2014</w:t>
      </w:r>
    </w:p>
    <w:p>
      <w:pPr>
        <w:spacing w:after="0" w:line="101" w:lineRule="exact"/>
        <w:rPr>
          <w:sz w:val="20"/>
          <w:szCs w:val="20"/>
          <w:color w:val="auto"/>
        </w:rPr>
      </w:pPr>
    </w:p>
    <w:p>
      <w:pPr>
        <w:spacing w:after="0"/>
        <w:rPr>
          <w:sz w:val="20"/>
          <w:szCs w:val="20"/>
          <w:color w:val="auto"/>
        </w:rPr>
      </w:pPr>
      <w:r>
        <w:rPr>
          <w:rFonts w:ascii="Arial" w:cs="Arial" w:eastAsia="Arial" w:hAnsi="Arial"/>
          <w:sz w:val="19"/>
          <w:szCs w:val="19"/>
          <w:b w:val="1"/>
          <w:bCs w:val="1"/>
          <w:color w:val="B95827"/>
        </w:rPr>
        <w:t>INDEPENDENT</w:t>
      </w:r>
    </w:p>
    <w:p>
      <w:pPr>
        <w:spacing w:after="0" w:line="101" w:lineRule="exact"/>
        <w:rPr>
          <w:sz w:val="20"/>
          <w:szCs w:val="20"/>
          <w:color w:val="auto"/>
        </w:rPr>
      </w:pPr>
    </w:p>
    <w:p>
      <w:pPr>
        <w:spacing w:after="0"/>
        <w:rPr>
          <w:sz w:val="20"/>
          <w:szCs w:val="20"/>
          <w:color w:val="auto"/>
        </w:rPr>
      </w:pPr>
      <w:r>
        <w:rPr>
          <w:rFonts w:ascii="Arial" w:cs="Arial" w:eastAsia="Arial" w:hAnsi="Arial"/>
          <w:sz w:val="19"/>
          <w:szCs w:val="19"/>
          <w:b w:val="1"/>
          <w:bCs w:val="1"/>
          <w:color w:val="B95827"/>
        </w:rPr>
        <w:t>COMMITTEES:</w:t>
      </w:r>
    </w:p>
    <w:p>
      <w:pPr>
        <w:spacing w:after="0" w:line="4" w:lineRule="exact"/>
        <w:rPr>
          <w:sz w:val="20"/>
          <w:szCs w:val="20"/>
          <w:color w:val="auto"/>
        </w:rPr>
      </w:pPr>
    </w:p>
    <w:p>
      <w:pPr>
        <w:ind w:left="160" w:right="40" w:hanging="151"/>
        <w:spacing w:after="0" w:line="224" w:lineRule="auto"/>
        <w:tabs>
          <w:tab w:leader="none" w:pos="160" w:val="left"/>
        </w:tabs>
        <w:numPr>
          <w:ilvl w:val="0"/>
          <w:numId w:val="25"/>
        </w:numPr>
        <w:rPr>
          <w:rFonts w:ascii="Arial" w:cs="Arial" w:eastAsia="Arial" w:hAnsi="Arial"/>
          <w:sz w:val="19"/>
          <w:szCs w:val="19"/>
          <w:color w:val="auto"/>
        </w:rPr>
      </w:pPr>
      <w:r>
        <w:rPr>
          <w:rFonts w:ascii="Arial" w:cs="Arial" w:eastAsia="Arial" w:hAnsi="Arial"/>
          <w:sz w:val="19"/>
          <w:szCs w:val="19"/>
          <w:color w:val="auto"/>
        </w:rPr>
        <w:t>Audit and Risk Committee (Chair)</w:t>
      </w:r>
    </w:p>
    <w:p>
      <w:pPr>
        <w:ind w:left="160" w:hanging="151"/>
        <w:spacing w:after="0"/>
        <w:tabs>
          <w:tab w:leader="none" w:pos="160" w:val="left"/>
        </w:tabs>
        <w:numPr>
          <w:ilvl w:val="0"/>
          <w:numId w:val="25"/>
        </w:numPr>
        <w:rPr>
          <w:rFonts w:ascii="Arial" w:cs="Arial" w:eastAsia="Arial" w:hAnsi="Arial"/>
          <w:sz w:val="19"/>
          <w:szCs w:val="19"/>
          <w:color w:val="auto"/>
        </w:rPr>
      </w:pPr>
      <w:r>
        <w:rPr>
          <w:rFonts w:ascii="Arial" w:cs="Arial" w:eastAsia="Arial" w:hAnsi="Arial"/>
          <w:sz w:val="19"/>
          <w:szCs w:val="19"/>
          <w:color w:val="auto"/>
        </w:rPr>
        <w:t>Compensation Committee</w:t>
      </w:r>
    </w:p>
    <w:p>
      <w:pPr>
        <w:spacing w:after="0" w:line="83" w:lineRule="exact"/>
        <w:rPr>
          <w:sz w:val="20"/>
          <w:szCs w:val="20"/>
          <w:color w:val="auto"/>
        </w:rPr>
      </w:pPr>
    </w:p>
    <w:p>
      <w:pPr>
        <w:ind w:right="540"/>
        <w:spacing w:after="0" w:line="295" w:lineRule="auto"/>
        <w:rPr>
          <w:sz w:val="20"/>
          <w:szCs w:val="20"/>
          <w:color w:val="auto"/>
        </w:rPr>
      </w:pPr>
      <w:r>
        <w:rPr>
          <w:rFonts w:ascii="Arial" w:cs="Arial" w:eastAsia="Arial" w:hAnsi="Arial"/>
          <w:sz w:val="18"/>
          <w:szCs w:val="18"/>
          <w:b w:val="1"/>
          <w:bCs w:val="1"/>
          <w:color w:val="B95827"/>
        </w:rPr>
        <w:t>OTHER PUBLIC COMPANY BOARDS</w:t>
      </w:r>
    </w:p>
    <w:p>
      <w:pPr>
        <w:spacing w:after="0" w:line="2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Current</w:t>
      </w:r>
    </w:p>
    <w:p>
      <w:pPr>
        <w:spacing w:after="0" w:line="14" w:lineRule="exact"/>
        <w:rPr>
          <w:sz w:val="20"/>
          <w:szCs w:val="20"/>
          <w:color w:val="auto"/>
        </w:rPr>
      </w:pPr>
    </w:p>
    <w:p>
      <w:pPr>
        <w:ind w:left="160" w:hanging="151"/>
        <w:spacing w:after="0"/>
        <w:tabs>
          <w:tab w:leader="none" w:pos="1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Valero Energy Corporation</w:t>
      </w:r>
    </w:p>
    <w:p>
      <w:pPr>
        <w:ind w:left="160" w:hanging="151"/>
        <w:spacing w:after="0" w:line="224" w:lineRule="auto"/>
        <w:tabs>
          <w:tab w:leader="none" w:pos="160" w:val="left"/>
        </w:tabs>
        <w:numPr>
          <w:ilvl w:val="0"/>
          <w:numId w:val="26"/>
        </w:numPr>
        <w:rPr>
          <w:rFonts w:ascii="Arial" w:cs="Arial" w:eastAsia="Arial" w:hAnsi="Arial"/>
          <w:sz w:val="19"/>
          <w:szCs w:val="19"/>
          <w:color w:val="auto"/>
        </w:rPr>
      </w:pPr>
      <w:r>
        <w:rPr>
          <w:rFonts w:ascii="Arial" w:cs="Arial" w:eastAsia="Arial" w:hAnsi="Arial"/>
          <w:sz w:val="19"/>
          <w:szCs w:val="19"/>
          <w:color w:val="auto"/>
        </w:rPr>
        <w:t>Fluor Corporation</w:t>
      </w:r>
    </w:p>
    <w:p>
      <w:pPr>
        <w:ind w:left="160" w:hanging="151"/>
        <w:spacing w:after="0"/>
        <w:tabs>
          <w:tab w:leader="none" w:pos="160" w:val="left"/>
        </w:tabs>
        <w:numPr>
          <w:ilvl w:val="0"/>
          <w:numId w:val="26"/>
        </w:numPr>
        <w:rPr>
          <w:rFonts w:ascii="Arial" w:cs="Arial" w:eastAsia="Arial" w:hAnsi="Arial"/>
          <w:sz w:val="19"/>
          <w:szCs w:val="19"/>
          <w:color w:val="auto"/>
        </w:rPr>
      </w:pPr>
      <w:r>
        <w:rPr>
          <w:rFonts w:ascii="Arial" w:cs="Arial" w:eastAsia="Arial" w:hAnsi="Arial"/>
          <w:sz w:val="19"/>
          <w:szCs w:val="19"/>
          <w:color w:val="auto"/>
        </w:rPr>
        <w:t>KORE Wireless</w:t>
      </w:r>
    </w:p>
    <w:p>
      <w:pPr>
        <w:spacing w:after="0" w:line="9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Past 5 Years</w:t>
      </w:r>
    </w:p>
    <w:p>
      <w:pPr>
        <w:spacing w:after="0" w:line="17" w:lineRule="exact"/>
        <w:rPr>
          <w:sz w:val="20"/>
          <w:szCs w:val="20"/>
          <w:color w:val="auto"/>
        </w:rPr>
      </w:pPr>
    </w:p>
    <w:p>
      <w:pPr>
        <w:spacing w:after="0"/>
        <w:rPr>
          <w:sz w:val="20"/>
          <w:szCs w:val="20"/>
          <w:color w:val="auto"/>
        </w:rPr>
      </w:pPr>
      <w:r>
        <w:rPr>
          <w:rFonts w:ascii="Arial" w:cs="Arial" w:eastAsia="Arial" w:hAnsi="Arial"/>
          <w:sz w:val="19"/>
          <w:szCs w:val="19"/>
          <w:color w:val="auto"/>
        </w:rPr>
        <w:t>• Vine Energy</w:t>
      </w:r>
    </w:p>
    <w:p>
      <w:pPr>
        <w:spacing w:after="0" w:line="20" w:lineRule="exact"/>
        <w:rPr>
          <w:sz w:val="20"/>
          <w:szCs w:val="20"/>
          <w:color w:val="auto"/>
        </w:rPr>
      </w:pPr>
      <w:r>
        <w:rPr>
          <w:sz w:val="20"/>
          <w:szCs w:val="20"/>
          <w:color w:val="auto"/>
        </w:rPr>
        <w:br w:type="column"/>
      </w:r>
    </w:p>
    <w:p>
      <w:pPr>
        <w:spacing w:after="0" w:line="53" w:lineRule="exact"/>
        <w:rPr>
          <w:sz w:val="20"/>
          <w:szCs w:val="20"/>
          <w:color w:val="auto"/>
        </w:rPr>
      </w:pPr>
    </w:p>
    <w:p>
      <w:pPr>
        <w:spacing w:after="0"/>
        <w:rPr>
          <w:sz w:val="20"/>
          <w:szCs w:val="20"/>
          <w:color w:val="auto"/>
        </w:rPr>
      </w:pPr>
      <w:r>
        <w:rPr>
          <w:rFonts w:ascii="Arial" w:cs="Arial" w:eastAsia="Arial" w:hAnsi="Arial"/>
          <w:sz w:val="19"/>
          <w:szCs w:val="19"/>
          <w:b w:val="1"/>
          <w:bCs w:val="1"/>
          <w:color w:val="B95827"/>
        </w:rPr>
        <w:t>BACKGROUND</w:t>
      </w:r>
    </w:p>
    <w:p>
      <w:pPr>
        <w:spacing w:after="0" w:line="9" w:lineRule="exact"/>
        <w:rPr>
          <w:sz w:val="20"/>
          <w:szCs w:val="20"/>
          <w:color w:val="auto"/>
        </w:rPr>
      </w:pPr>
    </w:p>
    <w:p>
      <w:pPr>
        <w:spacing w:after="0" w:line="249" w:lineRule="auto"/>
        <w:rPr>
          <w:sz w:val="20"/>
          <w:szCs w:val="20"/>
          <w:color w:val="auto"/>
        </w:rPr>
      </w:pPr>
      <w:r>
        <w:rPr>
          <w:rFonts w:ascii="Arial" w:cs="Arial" w:eastAsia="Arial" w:hAnsi="Arial"/>
          <w:sz w:val="15"/>
          <w:szCs w:val="15"/>
          <w:color w:val="auto"/>
        </w:rPr>
        <w:t>Ms. Eberhart currently serves as chair and chief executive officer of HMS Ventures, a privately-held business involved with technology services and the acquisition and management of real estate. From 2011 through 2014, she served as president and chief executive officer of CDI Corp. (“CDI”), a provider of engineering and information technology outsourcing and professional staffing services that was then a public company. Ms. Eberhart also served as chair and chief executive officer of HMS Ventures from January 2009 until January 2011. She served as president and chief executive officer of Invensys Process Systems, Inc. (“Invensys”), a process automation company, from January 2007 to January 2009. From 1978 to 2004, she was an employee of Electronic Data Systems Corporation (“EDS”), an information technology and business process outsourcing company that was subsequently acquired by the Hewlett-Packard Company, and held roles of increasing responsibility over time, including senior level financial and operating roles as president of Americas of EDS from 2003 until March 2004 and senior vice president of EDS and president of Solutions Consulting from 2002 to 2003. She is a Certified Public Accountant and received her B.S. from Bowling Green State University.</w:t>
      </w:r>
    </w:p>
    <w:p>
      <w:pPr>
        <w:spacing w:after="0" w:line="381" w:lineRule="exact"/>
        <w:rPr>
          <w:sz w:val="20"/>
          <w:szCs w:val="20"/>
          <w:color w:val="auto"/>
        </w:rPr>
      </w:pPr>
    </w:p>
    <w:p>
      <w:pPr>
        <w:spacing w:after="0"/>
        <w:rPr>
          <w:sz w:val="20"/>
          <w:szCs w:val="20"/>
          <w:color w:val="auto"/>
        </w:rPr>
      </w:pPr>
      <w:r>
        <w:rPr>
          <w:rFonts w:ascii="Arial" w:cs="Arial" w:eastAsia="Arial" w:hAnsi="Arial"/>
          <w:sz w:val="19"/>
          <w:szCs w:val="19"/>
          <w:b w:val="1"/>
          <w:bCs w:val="1"/>
          <w:color w:val="B95827"/>
        </w:rPr>
        <w:t>QUALIFICATIONS</w:t>
      </w:r>
    </w:p>
    <w:p>
      <w:pPr>
        <w:spacing w:after="0" w:line="9" w:lineRule="exact"/>
        <w:rPr>
          <w:sz w:val="20"/>
          <w:szCs w:val="20"/>
          <w:color w:val="auto"/>
        </w:rPr>
      </w:pPr>
    </w:p>
    <w:p>
      <w:pPr>
        <w:ind w:right="40"/>
        <w:spacing w:after="0" w:line="250" w:lineRule="auto"/>
        <w:rPr>
          <w:sz w:val="20"/>
          <w:szCs w:val="20"/>
          <w:color w:val="auto"/>
        </w:rPr>
      </w:pPr>
      <w:r>
        <w:rPr>
          <w:rFonts w:ascii="Arial" w:cs="Arial" w:eastAsia="Arial" w:hAnsi="Arial"/>
          <w:sz w:val="15"/>
          <w:szCs w:val="15"/>
          <w:color w:val="auto"/>
        </w:rPr>
        <w:t>Ms. Eberhart’s pertinent qualifications include her wealth of managerial and executive experience gained through her leadership as the chief executive officer of CDI, formerly an NYSE-listed public company, and Invensys, as well as her numerous years of service as an executive officer of EDS, including president of Americas; financial and accounting expertise gained through various other operating and financial positions during her 26 years at EDS; strong knowledge of the intersection of technology, data and finance industries; and knowledge and experience gained through her leadership and service on the boards of other public companies, including current service as lead director of Valero Energy Corporation and prior service as lead director of Anadarko Petroleum Corporation and risk oversight experience in chairing the governance and risk committee of its board of directors.</w:t>
      </w:r>
    </w:p>
    <w:p>
      <w:pPr>
        <w:spacing w:after="0" w:line="4441" w:lineRule="exact"/>
        <w:rPr>
          <w:sz w:val="20"/>
          <w:szCs w:val="20"/>
          <w:color w:val="auto"/>
        </w:rPr>
      </w:pPr>
    </w:p>
    <w:p>
      <w:pPr>
        <w:sectPr>
          <w:pgSz w:w="11900" w:h="16838" w:orient="portrait"/>
          <w:cols w:equalWidth="0" w:num="3">
            <w:col w:w="2160" w:space="560"/>
            <w:col w:w="2360" w:space="300"/>
            <w:col w:w="5320"/>
          </w:cols>
          <w:pgMar w:left="320" w:top="464" w:right="879" w:bottom="1440" w:gutter="0" w:footer="0" w:header="0"/>
          <w:type w:val="continuous"/>
        </w:sectPr>
      </w:pPr>
    </w:p>
    <w:p>
      <w:pPr>
        <w:spacing w:after="0" w:line="200" w:lineRule="exact"/>
        <w:rPr>
          <w:sz w:val="20"/>
          <w:szCs w:val="20"/>
          <w:color w:val="auto"/>
        </w:rPr>
      </w:pPr>
    </w:p>
    <w:p>
      <w:pPr>
        <w:spacing w:after="0" w:line="385" w:lineRule="exact"/>
        <w:rPr>
          <w:sz w:val="20"/>
          <w:szCs w:val="20"/>
          <w:color w:val="auto"/>
        </w:rPr>
      </w:pPr>
    </w:p>
    <w:p>
      <w:pPr>
        <w:ind w:left="420"/>
        <w:spacing w:after="0"/>
        <w:tabs>
          <w:tab w:leader="none" w:pos="2380" w:val="left"/>
          <w:tab w:leader="none" w:pos="2800" w:val="left"/>
        </w:tabs>
        <w:rPr>
          <w:sz w:val="20"/>
          <w:szCs w:val="20"/>
          <w:color w:val="auto"/>
        </w:rPr>
      </w:pPr>
      <w:r>
        <w:rPr>
          <w:rFonts w:ascii="Arial" w:cs="Arial" w:eastAsia="Arial" w:hAnsi="Arial"/>
          <w:sz w:val="30"/>
          <w:szCs w:val="30"/>
          <w:color w:val="000000"/>
          <w:vertAlign w:val="superscript"/>
        </w:rPr>
        <w:t xml:space="preserve">             </w:t>
      </w:r>
      <w:r>
        <w:rPr>
          <w:sz w:val="20"/>
          <w:szCs w:val="20"/>
          <w:color w:val="auto"/>
        </w:rPr>
        <w:tab/>
      </w:r>
      <w:r>
        <w:rPr>
          <w:rFonts w:ascii="Arial" w:cs="Arial" w:eastAsia="Arial" w:hAnsi="Arial"/>
          <w:sz w:val="31"/>
          <w:szCs w:val="31"/>
          <w:color w:val="auto"/>
          <w:vertAlign w:val="superscript"/>
        </w:rPr>
        <w:t xml:space="preserve">    </w:t>
      </w:r>
      <w:r>
        <w:rPr>
          <w:sz w:val="20"/>
          <w:szCs w:val="20"/>
          <w:color w:val="auto"/>
        </w:rPr>
        <w:tab/>
      </w:r>
      <w:r>
        <w:rPr>
          <w:rFonts w:ascii="Arial" w:cs="Arial" w:eastAsia="Arial" w:hAnsi="Arial"/>
          <w:sz w:val="15"/>
          <w:szCs w:val="15"/>
          <w:b w:val="1"/>
          <w:bCs w:val="1"/>
          <w:color w:val="002B5F"/>
        </w:rPr>
        <w:t xml:space="preserve">12  </w:t>
      </w:r>
      <w:r>
        <w:rPr>
          <w:rFonts w:ascii="Arial" w:cs="Arial" w:eastAsia="Arial" w:hAnsi="Arial"/>
          <w:sz w:val="20"/>
          <w:szCs w:val="20"/>
          <w:color w:val="002B5F"/>
        </w:rPr>
        <w:t>|</w:t>
      </w:r>
      <w:r>
        <w:rPr>
          <w:rFonts w:ascii="Arial" w:cs="Arial" w:eastAsia="Arial" w:hAnsi="Arial"/>
          <w:sz w:val="15"/>
          <w:szCs w:val="15"/>
          <w:b w:val="1"/>
          <w:bCs w:val="1"/>
          <w:color w:val="002B5F"/>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6111875</wp:posOffset>
            </wp:positionH>
            <wp:positionV relativeFrom="paragraph">
              <wp:posOffset>-208915</wp:posOffset>
            </wp:positionV>
            <wp:extent cx="769620" cy="971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69620" cy="97155"/>
                    </a:xfrm>
                    <a:prstGeom prst="rect">
                      <a:avLst/>
                    </a:prstGeom>
                    <a:noFill/>
                  </pic:spPr>
                </pic:pic>
              </a:graphicData>
            </a:graphic>
          </wp:anchor>
        </w:drawing>
      </w:r>
    </w:p>
    <w:p>
      <w:pPr>
        <w:sectPr>
          <w:pgSz w:w="11900" w:h="16838" w:orient="portrait"/>
          <w:cols w:equalWidth="0" w:num="1">
            <w:col w:w="10700"/>
          </w:cols>
          <w:pgMar w:left="320" w:top="464" w:right="879"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5334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81215" cy="5334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5617845</wp:posOffset>
            </wp:positionH>
            <wp:positionV relativeFrom="paragraph">
              <wp:posOffset>253365</wp:posOffset>
            </wp:positionV>
            <wp:extent cx="1256030" cy="74720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56030" cy="7472045"/>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tbl>
      <w:tblPr>
        <w:tblLayout w:type="fixed"/>
        <w:tblInd w:w="540" w:type="dxa"/>
        <w:tblCellMar>
          <w:top w:w="0" w:type="dxa"/>
          <w:left w:w="0" w:type="dxa"/>
          <w:bottom w:w="0" w:type="dxa"/>
          <w:right w:w="0" w:type="dxa"/>
        </w:tblCellMar>
      </w:tblPr>
      <w:tr>
        <w:trPr>
          <w:trHeight w:val="425"/>
        </w:trPr>
        <w:tc>
          <w:tcPr>
            <w:tcW w:w="7880" w:type="dxa"/>
            <w:vAlign w:val="bottom"/>
            <w:gridSpan w:val="2"/>
          </w:tcPr>
          <w:p>
            <w:pPr>
              <w:spacing w:after="0"/>
              <w:rPr>
                <w:sz w:val="20"/>
                <w:szCs w:val="20"/>
                <w:color w:val="auto"/>
              </w:rPr>
            </w:pPr>
            <w:r>
              <w:rPr>
                <w:rFonts w:ascii="Times New Roman" w:cs="Times New Roman" w:eastAsia="Times New Roman" w:hAnsi="Times New Roman"/>
                <w:sz w:val="37"/>
                <w:szCs w:val="37"/>
                <w:color w:val="B95827"/>
              </w:rPr>
              <w:t>William F. Glavin Jr.</w:t>
            </w:r>
          </w:p>
        </w:tc>
        <w:tc>
          <w:tcPr>
            <w:tcW w:w="660" w:type="dxa"/>
            <w:vAlign w:val="bottom"/>
          </w:tcPr>
          <w:p>
            <w:pPr>
              <w:ind w:left="460"/>
              <w:spacing w:after="0"/>
              <w:rPr>
                <w:sz w:val="20"/>
                <w:szCs w:val="20"/>
                <w:color w:val="auto"/>
              </w:rPr>
            </w:pPr>
            <w:r>
              <w:rPr>
                <w:rFonts w:ascii="Arial" w:cs="Arial" w:eastAsia="Arial" w:hAnsi="Arial"/>
                <w:sz w:val="15"/>
                <w:szCs w:val="15"/>
                <w:color w:val="auto"/>
              </w:rPr>
              <w:t> </w:t>
            </w:r>
          </w:p>
        </w:tc>
        <w:tc>
          <w:tcPr>
            <w:tcW w:w="1280" w:type="dxa"/>
            <w:vAlign w:val="bottom"/>
          </w:tcPr>
          <w:p>
            <w:pPr>
              <w:ind w:left="140"/>
              <w:spacing w:after="0"/>
              <w:rPr>
                <w:sz w:val="20"/>
                <w:szCs w:val="20"/>
                <w:color w:val="auto"/>
              </w:rPr>
            </w:pPr>
            <w:r>
              <w:rPr>
                <w:rFonts w:ascii="Arial" w:cs="Arial" w:eastAsia="Arial" w:hAnsi="Arial"/>
                <w:sz w:val="12"/>
                <w:szCs w:val="12"/>
                <w:color w:val="FFFFFF"/>
              </w:rPr>
              <w:t>General</w:t>
            </w:r>
          </w:p>
        </w:tc>
        <w:tc>
          <w:tcPr>
            <w:tcW w:w="440" w:type="dxa"/>
            <w:vAlign w:val="bottom"/>
          </w:tcPr>
          <w:p>
            <w:pPr>
              <w:ind w:left="80"/>
              <w:spacing w:after="0"/>
              <w:rPr>
                <w:sz w:val="20"/>
                <w:szCs w:val="20"/>
                <w:color w:val="auto"/>
              </w:rPr>
            </w:pPr>
            <w:r>
              <w:rPr>
                <w:rFonts w:ascii="Arial" w:cs="Arial" w:eastAsia="Arial" w:hAnsi="Arial"/>
                <w:sz w:val="15"/>
                <w:szCs w:val="15"/>
                <w:color w:val="auto"/>
              </w:rPr>
              <w:t xml:space="preserve">       </w:t>
            </w:r>
          </w:p>
        </w:tc>
        <w:tc>
          <w:tcPr>
            <w:tcW w:w="0" w:type="dxa"/>
            <w:vAlign w:val="bottom"/>
          </w:tcPr>
          <w:p>
            <w:pPr>
              <w:spacing w:after="0"/>
              <w:rPr>
                <w:sz w:val="1"/>
                <w:szCs w:val="1"/>
                <w:color w:val="auto"/>
              </w:rPr>
            </w:pPr>
          </w:p>
        </w:tc>
      </w:tr>
      <w:tr>
        <w:trPr>
          <w:trHeight w:val="95"/>
        </w:trPr>
        <w:tc>
          <w:tcPr>
            <w:tcW w:w="2460" w:type="dxa"/>
            <w:vAlign w:val="bottom"/>
            <w:tcBorders>
              <w:bottom w:val="single" w:sz="8" w:color="auto"/>
            </w:tcBorders>
          </w:tcPr>
          <w:p>
            <w:pPr>
              <w:spacing w:after="0"/>
              <w:rPr>
                <w:sz w:val="8"/>
                <w:szCs w:val="8"/>
                <w:color w:val="auto"/>
              </w:rPr>
            </w:pPr>
          </w:p>
        </w:tc>
        <w:tc>
          <w:tcPr>
            <w:tcW w:w="5420" w:type="dxa"/>
            <w:vAlign w:val="bottom"/>
            <w:tcBorders>
              <w:bottom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1280" w:type="dxa"/>
            <w:vAlign w:val="bottom"/>
          </w:tcPr>
          <w:p>
            <w:pPr>
              <w:ind w:left="140"/>
              <w:spacing w:after="0" w:line="88" w:lineRule="exact"/>
              <w:rPr>
                <w:sz w:val="20"/>
                <w:szCs w:val="20"/>
                <w:color w:val="auto"/>
              </w:rPr>
            </w:pPr>
            <w:r>
              <w:rPr>
                <w:rFonts w:ascii="Arial" w:cs="Arial" w:eastAsia="Arial" w:hAnsi="Arial"/>
                <w:sz w:val="10"/>
                <w:szCs w:val="10"/>
                <w:color w:val="FFFFFF"/>
              </w:rPr>
              <w:t>Information</w:t>
            </w: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4"/>
        </w:trPr>
        <w:tc>
          <w:tcPr>
            <w:tcW w:w="2460" w:type="dxa"/>
            <w:vAlign w:val="bottom"/>
          </w:tcPr>
          <w:p>
            <w:pPr>
              <w:spacing w:after="0"/>
              <w:rPr>
                <w:sz w:val="24"/>
                <w:szCs w:val="24"/>
                <w:color w:val="auto"/>
              </w:rPr>
            </w:pPr>
          </w:p>
        </w:tc>
        <w:tc>
          <w:tcPr>
            <w:tcW w:w="5420" w:type="dxa"/>
            <w:vAlign w:val="bottom"/>
            <w:vMerge w:val="restart"/>
          </w:tcPr>
          <w:p>
            <w:pPr>
              <w:ind w:left="140"/>
              <w:spacing w:after="0"/>
              <w:rPr>
                <w:sz w:val="20"/>
                <w:szCs w:val="20"/>
                <w:color w:val="auto"/>
              </w:rPr>
            </w:pPr>
            <w:r>
              <w:rPr>
                <w:rFonts w:ascii="Arial" w:cs="Arial" w:eastAsia="Arial" w:hAnsi="Arial"/>
                <w:sz w:val="19"/>
                <w:szCs w:val="19"/>
                <w:b w:val="1"/>
                <w:bCs w:val="1"/>
                <w:color w:val="B95827"/>
              </w:rPr>
              <w:t>BACKGROUND</w:t>
            </w:r>
          </w:p>
        </w:tc>
        <w:tc>
          <w:tcPr>
            <w:tcW w:w="660" w:type="dxa"/>
            <w:vAlign w:val="bottom"/>
          </w:tcPr>
          <w:p>
            <w:pPr>
              <w:spacing w:after="0"/>
              <w:rPr>
                <w:sz w:val="24"/>
                <w:szCs w:val="24"/>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General Information</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2460" w:type="dxa"/>
            <w:vAlign w:val="bottom"/>
          </w:tcPr>
          <w:p>
            <w:pPr>
              <w:spacing w:after="0"/>
              <w:rPr>
                <w:sz w:val="11"/>
                <w:szCs w:val="11"/>
                <w:color w:val="auto"/>
              </w:rPr>
            </w:pPr>
          </w:p>
        </w:tc>
        <w:tc>
          <w:tcPr>
            <w:tcW w:w="5420" w:type="dxa"/>
            <w:vAlign w:val="bottom"/>
            <w:vMerge w:val="continue"/>
          </w:tcPr>
          <w:p>
            <w:pPr>
              <w:spacing w:after="0"/>
              <w:rPr>
                <w:sz w:val="11"/>
                <w:szCs w:val="11"/>
                <w:color w:val="auto"/>
              </w:rPr>
            </w:pPr>
          </w:p>
        </w:tc>
        <w:tc>
          <w:tcPr>
            <w:tcW w:w="660" w:type="dxa"/>
            <w:vAlign w:val="bottom"/>
          </w:tcPr>
          <w:p>
            <w:pPr>
              <w:spacing w:after="0"/>
              <w:rPr>
                <w:sz w:val="11"/>
                <w:szCs w:val="11"/>
                <w:color w:val="auto"/>
              </w:rPr>
            </w:pPr>
          </w:p>
        </w:tc>
        <w:tc>
          <w:tcPr>
            <w:tcW w:w="1280" w:type="dxa"/>
            <w:vAlign w:val="bottom"/>
          </w:tcPr>
          <w:p>
            <w:pPr>
              <w:ind w:left="140"/>
              <w:spacing w:after="0" w:line="133" w:lineRule="exact"/>
              <w:rPr>
                <w:sz w:val="20"/>
                <w:szCs w:val="20"/>
                <w:color w:val="auto"/>
              </w:rPr>
            </w:pPr>
            <w:r>
              <w:rPr>
                <w:rFonts w:ascii="Arial" w:cs="Arial" w:eastAsia="Arial" w:hAnsi="Arial"/>
                <w:sz w:val="12"/>
                <w:szCs w:val="12"/>
                <w:color w:val="FFFFFF"/>
              </w:rPr>
              <w:t>About Corporate</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9"/>
        </w:trPr>
        <w:tc>
          <w:tcPr>
            <w:tcW w:w="2460" w:type="dxa"/>
            <w:vAlign w:val="bottom"/>
          </w:tcPr>
          <w:p>
            <w:pPr>
              <w:spacing w:after="0"/>
              <w:rPr>
                <w:sz w:val="15"/>
                <w:szCs w:val="15"/>
                <w:color w:val="auto"/>
              </w:rPr>
            </w:pPr>
          </w:p>
        </w:tc>
        <w:tc>
          <w:tcPr>
            <w:tcW w:w="5420" w:type="dxa"/>
            <w:vAlign w:val="bottom"/>
          </w:tcPr>
          <w:p>
            <w:pPr>
              <w:ind w:left="140"/>
              <w:spacing w:after="0"/>
              <w:rPr>
                <w:sz w:val="20"/>
                <w:szCs w:val="20"/>
                <w:color w:val="auto"/>
              </w:rPr>
            </w:pPr>
            <w:r>
              <w:rPr>
                <w:rFonts w:ascii="Arial" w:cs="Arial" w:eastAsia="Arial" w:hAnsi="Arial"/>
                <w:sz w:val="15"/>
                <w:szCs w:val="15"/>
                <w:color w:val="auto"/>
              </w:rPr>
              <w:t>Mr. Glavin served as chair of OppenheimerFunds, Inc., a global asset</w:t>
            </w:r>
          </w:p>
        </w:tc>
        <w:tc>
          <w:tcPr>
            <w:tcW w:w="660" w:type="dxa"/>
            <w:vAlign w:val="bottom"/>
          </w:tcPr>
          <w:p>
            <w:pPr>
              <w:spacing w:after="0"/>
              <w:rPr>
                <w:sz w:val="15"/>
                <w:szCs w:val="15"/>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Governance</w:t>
            </w: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2"/>
        </w:trPr>
        <w:tc>
          <w:tcPr>
            <w:tcW w:w="2460" w:type="dxa"/>
            <w:vAlign w:val="bottom"/>
          </w:tcPr>
          <w:p>
            <w:pPr>
              <w:spacing w:after="0"/>
              <w:rPr>
                <w:sz w:val="6"/>
                <w:szCs w:val="6"/>
                <w:color w:val="auto"/>
              </w:rPr>
            </w:pPr>
          </w:p>
        </w:tc>
        <w:tc>
          <w:tcPr>
            <w:tcW w:w="5420" w:type="dxa"/>
            <w:vAlign w:val="bottom"/>
            <w:vMerge w:val="restart"/>
          </w:tcPr>
          <w:p>
            <w:pPr>
              <w:ind w:left="140"/>
              <w:spacing w:after="0"/>
              <w:rPr>
                <w:sz w:val="20"/>
                <w:szCs w:val="20"/>
                <w:color w:val="auto"/>
              </w:rPr>
            </w:pPr>
            <w:r>
              <w:rPr>
                <w:rFonts w:ascii="Arial" w:cs="Arial" w:eastAsia="Arial" w:hAnsi="Arial"/>
                <w:sz w:val="15"/>
                <w:szCs w:val="15"/>
                <w:color w:val="auto"/>
              </w:rPr>
              <w:t>management firm (“OppenheimerFunds”), from 2009 until 2015, as chief</w:t>
            </w:r>
          </w:p>
        </w:tc>
        <w:tc>
          <w:tcPr>
            <w:tcW w:w="660" w:type="dxa"/>
            <w:vAlign w:val="bottom"/>
          </w:tcPr>
          <w:p>
            <w:pPr>
              <w:spacing w:after="0"/>
              <w:rPr>
                <w:sz w:val="6"/>
                <w:szCs w:val="6"/>
                <w:color w:val="auto"/>
              </w:rPr>
            </w:pPr>
          </w:p>
        </w:tc>
        <w:tc>
          <w:tcPr>
            <w:tcW w:w="1280" w:type="dxa"/>
            <w:vAlign w:val="bottom"/>
          </w:tcPr>
          <w:p>
            <w:pPr>
              <w:ind w:left="140"/>
              <w:spacing w:after="0" w:line="72" w:lineRule="exact"/>
              <w:rPr>
                <w:sz w:val="20"/>
                <w:szCs w:val="20"/>
                <w:color w:val="auto"/>
              </w:rPr>
            </w:pPr>
            <w:r>
              <w:rPr>
                <w:rFonts w:ascii="Arial" w:cs="Arial" w:eastAsia="Arial" w:hAnsi="Arial"/>
                <w:sz w:val="8"/>
                <w:szCs w:val="8"/>
                <w:color w:val="FFFFFF"/>
              </w:rPr>
              <w:t>and the Board of</w:t>
            </w:r>
          </w:p>
        </w:tc>
        <w:tc>
          <w:tcPr>
            <w:tcW w:w="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3"/>
        </w:trPr>
        <w:tc>
          <w:tcPr>
            <w:tcW w:w="2460" w:type="dxa"/>
            <w:vAlign w:val="bottom"/>
          </w:tcPr>
          <w:p>
            <w:pPr>
              <w:spacing w:after="0"/>
              <w:rPr>
                <w:sz w:val="11"/>
                <w:szCs w:val="11"/>
                <w:color w:val="auto"/>
              </w:rPr>
            </w:pPr>
          </w:p>
        </w:tc>
        <w:tc>
          <w:tcPr>
            <w:tcW w:w="5420" w:type="dxa"/>
            <w:vAlign w:val="bottom"/>
            <w:vMerge w:val="continue"/>
          </w:tcPr>
          <w:p>
            <w:pPr>
              <w:spacing w:after="0"/>
              <w:rPr>
                <w:sz w:val="11"/>
                <w:szCs w:val="11"/>
                <w:color w:val="auto"/>
              </w:rPr>
            </w:pPr>
          </w:p>
        </w:tc>
        <w:tc>
          <w:tcPr>
            <w:tcW w:w="660" w:type="dxa"/>
            <w:vAlign w:val="bottom"/>
          </w:tcPr>
          <w:p>
            <w:pPr>
              <w:spacing w:after="0"/>
              <w:rPr>
                <w:sz w:val="11"/>
                <w:szCs w:val="11"/>
                <w:color w:val="auto"/>
              </w:rPr>
            </w:pPr>
          </w:p>
        </w:tc>
        <w:tc>
          <w:tcPr>
            <w:tcW w:w="1280" w:type="dxa"/>
            <w:vAlign w:val="bottom"/>
          </w:tcPr>
          <w:p>
            <w:pPr>
              <w:ind w:left="140"/>
              <w:spacing w:after="0" w:line="133" w:lineRule="exact"/>
              <w:rPr>
                <w:sz w:val="20"/>
                <w:szCs w:val="20"/>
                <w:color w:val="auto"/>
              </w:rPr>
            </w:pPr>
            <w:r>
              <w:rPr>
                <w:rFonts w:ascii="Arial" w:cs="Arial" w:eastAsia="Arial" w:hAnsi="Arial"/>
                <w:sz w:val="12"/>
                <w:szCs w:val="12"/>
                <w:color w:val="FFFFFF"/>
              </w:rPr>
              <w:t>Directors</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9"/>
        </w:trPr>
        <w:tc>
          <w:tcPr>
            <w:tcW w:w="2460" w:type="dxa"/>
            <w:vAlign w:val="bottom"/>
          </w:tcPr>
          <w:p>
            <w:pPr>
              <w:spacing w:after="0"/>
              <w:rPr>
                <w:sz w:val="15"/>
                <w:szCs w:val="15"/>
                <w:color w:val="auto"/>
              </w:rPr>
            </w:pPr>
          </w:p>
        </w:tc>
        <w:tc>
          <w:tcPr>
            <w:tcW w:w="5420" w:type="dxa"/>
            <w:vAlign w:val="bottom"/>
          </w:tcPr>
          <w:p>
            <w:pPr>
              <w:ind w:left="140"/>
              <w:spacing w:after="0"/>
              <w:rPr>
                <w:sz w:val="20"/>
                <w:szCs w:val="20"/>
                <w:color w:val="auto"/>
              </w:rPr>
            </w:pPr>
            <w:r>
              <w:rPr>
                <w:rFonts w:ascii="Arial" w:cs="Arial" w:eastAsia="Arial" w:hAnsi="Arial"/>
                <w:sz w:val="15"/>
                <w:szCs w:val="15"/>
                <w:color w:val="auto"/>
              </w:rPr>
              <w:t>executive officer from 2009 until 2014, and as president from 2009 until 2013.</w:t>
            </w:r>
          </w:p>
        </w:tc>
        <w:tc>
          <w:tcPr>
            <w:tcW w:w="660" w:type="dxa"/>
            <w:vAlign w:val="bottom"/>
          </w:tcPr>
          <w:p>
            <w:pPr>
              <w:spacing w:after="0"/>
              <w:rPr>
                <w:sz w:val="15"/>
                <w:szCs w:val="15"/>
                <w:color w:val="auto"/>
              </w:rPr>
            </w:pPr>
          </w:p>
        </w:tc>
        <w:tc>
          <w:tcPr>
            <w:tcW w:w="1280" w:type="dxa"/>
            <w:vAlign w:val="bottom"/>
            <w:vMerge w:val="restart"/>
          </w:tcPr>
          <w:p>
            <w:pPr>
              <w:ind w:left="140"/>
              <w:spacing w:after="0"/>
              <w:rPr>
                <w:sz w:val="20"/>
                <w:szCs w:val="20"/>
                <w:color w:val="auto"/>
              </w:rPr>
            </w:pPr>
            <w:r>
              <w:rPr>
                <w:rFonts w:ascii="Arial" w:cs="Arial" w:eastAsia="Arial" w:hAnsi="Arial"/>
                <w:sz w:val="12"/>
                <w:szCs w:val="12"/>
                <w:b w:val="1"/>
                <w:bCs w:val="1"/>
                <w:color w:val="FFFFFF"/>
              </w:rPr>
              <w:t>Proposal 1</w:t>
            </w: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460" w:type="dxa"/>
            <w:vAlign w:val="bottom"/>
          </w:tcPr>
          <w:p>
            <w:pPr>
              <w:spacing w:after="0"/>
              <w:rPr>
                <w:sz w:val="15"/>
                <w:szCs w:val="15"/>
                <w:color w:val="auto"/>
              </w:rPr>
            </w:pPr>
          </w:p>
        </w:tc>
        <w:tc>
          <w:tcPr>
            <w:tcW w:w="5420" w:type="dxa"/>
            <w:vAlign w:val="bottom"/>
          </w:tcPr>
          <w:p>
            <w:pPr>
              <w:ind w:left="140"/>
              <w:spacing w:after="0"/>
              <w:rPr>
                <w:sz w:val="20"/>
                <w:szCs w:val="20"/>
                <w:color w:val="auto"/>
              </w:rPr>
            </w:pPr>
            <w:r>
              <w:rPr>
                <w:rFonts w:ascii="Arial" w:cs="Arial" w:eastAsia="Arial" w:hAnsi="Arial"/>
                <w:sz w:val="15"/>
                <w:szCs w:val="15"/>
                <w:color w:val="auto"/>
              </w:rPr>
              <w:t>OppenheimerFunds was a majority owned subsidiary of MassMutual</w:t>
            </w:r>
          </w:p>
        </w:tc>
        <w:tc>
          <w:tcPr>
            <w:tcW w:w="660" w:type="dxa"/>
            <w:vAlign w:val="bottom"/>
          </w:tcPr>
          <w:p>
            <w:pPr>
              <w:spacing w:after="0"/>
              <w:rPr>
                <w:sz w:val="15"/>
                <w:szCs w:val="15"/>
                <w:color w:val="auto"/>
              </w:rPr>
            </w:pPr>
          </w:p>
        </w:tc>
        <w:tc>
          <w:tcPr>
            <w:tcW w:w="1280" w:type="dxa"/>
            <w:vAlign w:val="bottom"/>
            <w:vMerge w:val="continue"/>
          </w:tcPr>
          <w:p>
            <w:pPr>
              <w:spacing w:after="0"/>
              <w:rPr>
                <w:sz w:val="15"/>
                <w:szCs w:val="15"/>
                <w:color w:val="auto"/>
              </w:rPr>
            </w:pP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460" w:type="dxa"/>
            <w:vAlign w:val="bottom"/>
          </w:tcPr>
          <w:p>
            <w:pPr>
              <w:spacing w:after="0"/>
              <w:rPr>
                <w:sz w:val="15"/>
                <w:szCs w:val="15"/>
                <w:color w:val="auto"/>
              </w:rPr>
            </w:pPr>
          </w:p>
        </w:tc>
        <w:tc>
          <w:tcPr>
            <w:tcW w:w="5420" w:type="dxa"/>
            <w:vAlign w:val="bottom"/>
          </w:tcPr>
          <w:p>
            <w:pPr>
              <w:ind w:left="140"/>
              <w:spacing w:after="0"/>
              <w:rPr>
                <w:sz w:val="20"/>
                <w:szCs w:val="20"/>
                <w:color w:val="auto"/>
              </w:rPr>
            </w:pPr>
            <w:r>
              <w:rPr>
                <w:rFonts w:ascii="Arial" w:cs="Arial" w:eastAsia="Arial" w:hAnsi="Arial"/>
                <w:sz w:val="15"/>
                <w:szCs w:val="15"/>
                <w:color w:val="auto"/>
              </w:rPr>
              <w:t>Financial Group (“MassMutual”), a mutual life insurance company, at which</w:t>
            </w:r>
          </w:p>
        </w:tc>
        <w:tc>
          <w:tcPr>
            <w:tcW w:w="660" w:type="dxa"/>
            <w:vAlign w:val="bottom"/>
          </w:tcPr>
          <w:p>
            <w:pPr>
              <w:spacing w:after="0"/>
              <w:rPr>
                <w:sz w:val="15"/>
                <w:szCs w:val="15"/>
                <w:color w:val="auto"/>
              </w:rPr>
            </w:pPr>
          </w:p>
        </w:tc>
        <w:tc>
          <w:tcPr>
            <w:tcW w:w="1280" w:type="dxa"/>
            <w:vAlign w:val="bottom"/>
            <w:vMerge w:val="restart"/>
          </w:tcPr>
          <w:p>
            <w:pPr>
              <w:ind w:left="140"/>
              <w:spacing w:after="0"/>
              <w:rPr>
                <w:sz w:val="20"/>
                <w:szCs w:val="20"/>
                <w:color w:val="auto"/>
              </w:rPr>
            </w:pPr>
            <w:r>
              <w:rPr>
                <w:rFonts w:ascii="Arial" w:cs="Arial" w:eastAsia="Arial" w:hAnsi="Arial"/>
                <w:sz w:val="12"/>
                <w:szCs w:val="12"/>
                <w:color w:val="FFFFFF"/>
              </w:rPr>
              <w:t>Information</w:t>
            </w: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6"/>
        </w:trPr>
        <w:tc>
          <w:tcPr>
            <w:tcW w:w="2460" w:type="dxa"/>
            <w:vAlign w:val="bottom"/>
          </w:tcPr>
          <w:p>
            <w:pPr>
              <w:spacing w:after="0"/>
              <w:rPr>
                <w:sz w:val="3"/>
                <w:szCs w:val="3"/>
                <w:color w:val="auto"/>
              </w:rPr>
            </w:pPr>
          </w:p>
        </w:tc>
        <w:tc>
          <w:tcPr>
            <w:tcW w:w="5420" w:type="dxa"/>
            <w:vAlign w:val="bottom"/>
            <w:vMerge w:val="restart"/>
          </w:tcPr>
          <w:p>
            <w:pPr>
              <w:ind w:left="140"/>
              <w:spacing w:after="0"/>
              <w:rPr>
                <w:sz w:val="20"/>
                <w:szCs w:val="20"/>
                <w:color w:val="auto"/>
              </w:rPr>
            </w:pPr>
            <w:r>
              <w:rPr>
                <w:rFonts w:ascii="Arial" w:cs="Arial" w:eastAsia="Arial" w:hAnsi="Arial"/>
                <w:sz w:val="15"/>
                <w:szCs w:val="15"/>
                <w:color w:val="auto"/>
              </w:rPr>
              <w:t>Mr. Glavin held several senior executive positions prior to joining</w:t>
            </w:r>
          </w:p>
        </w:tc>
        <w:tc>
          <w:tcPr>
            <w:tcW w:w="66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28"/>
        </w:trPr>
        <w:tc>
          <w:tcPr>
            <w:tcW w:w="2460" w:type="dxa"/>
            <w:vAlign w:val="bottom"/>
          </w:tcPr>
          <w:p>
            <w:pPr>
              <w:spacing w:after="0"/>
              <w:rPr>
                <w:sz w:val="11"/>
                <w:szCs w:val="11"/>
                <w:color w:val="auto"/>
              </w:rPr>
            </w:pPr>
          </w:p>
        </w:tc>
        <w:tc>
          <w:tcPr>
            <w:tcW w:w="5420" w:type="dxa"/>
            <w:vAlign w:val="bottom"/>
            <w:vMerge w:val="continue"/>
          </w:tcPr>
          <w:p>
            <w:pPr>
              <w:spacing w:after="0"/>
              <w:rPr>
                <w:sz w:val="11"/>
                <w:szCs w:val="11"/>
                <w:color w:val="auto"/>
              </w:rPr>
            </w:pPr>
          </w:p>
        </w:tc>
        <w:tc>
          <w:tcPr>
            <w:tcW w:w="660" w:type="dxa"/>
            <w:vAlign w:val="bottom"/>
          </w:tcPr>
          <w:p>
            <w:pPr>
              <w:spacing w:after="0"/>
              <w:rPr>
                <w:sz w:val="11"/>
                <w:szCs w:val="11"/>
                <w:color w:val="auto"/>
              </w:rPr>
            </w:pPr>
          </w:p>
        </w:tc>
        <w:tc>
          <w:tcPr>
            <w:tcW w:w="1280" w:type="dxa"/>
            <w:vAlign w:val="bottom"/>
          </w:tcPr>
          <w:p>
            <w:pPr>
              <w:ind w:left="140"/>
              <w:spacing w:after="0" w:line="128" w:lineRule="exact"/>
              <w:rPr>
                <w:sz w:val="20"/>
                <w:szCs w:val="20"/>
                <w:color w:val="auto"/>
              </w:rPr>
            </w:pPr>
            <w:r>
              <w:rPr>
                <w:rFonts w:ascii="Arial" w:cs="Arial" w:eastAsia="Arial" w:hAnsi="Arial"/>
                <w:sz w:val="12"/>
                <w:szCs w:val="12"/>
                <w:color w:val="FFFFFF"/>
              </w:rPr>
              <w:t>Regarding Board</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460" w:type="dxa"/>
            <w:vAlign w:val="bottom"/>
          </w:tcPr>
          <w:p>
            <w:pPr>
              <w:spacing w:after="0"/>
              <w:rPr>
                <w:sz w:val="13"/>
                <w:szCs w:val="13"/>
                <w:color w:val="auto"/>
              </w:rPr>
            </w:pPr>
          </w:p>
        </w:tc>
        <w:tc>
          <w:tcPr>
            <w:tcW w:w="5420" w:type="dxa"/>
            <w:vAlign w:val="bottom"/>
          </w:tcPr>
          <w:p>
            <w:pPr>
              <w:ind w:left="140"/>
              <w:spacing w:after="0" w:line="158" w:lineRule="exact"/>
              <w:rPr>
                <w:sz w:val="20"/>
                <w:szCs w:val="20"/>
                <w:color w:val="auto"/>
              </w:rPr>
            </w:pPr>
            <w:r>
              <w:rPr>
                <w:rFonts w:ascii="Arial" w:cs="Arial" w:eastAsia="Arial" w:hAnsi="Arial"/>
                <w:sz w:val="15"/>
                <w:szCs w:val="15"/>
                <w:color w:val="auto"/>
              </w:rPr>
              <w:t>OppenheimerFunds. He served as co-chief operating officer of MassMutual</w:t>
            </w:r>
          </w:p>
        </w:tc>
        <w:tc>
          <w:tcPr>
            <w:tcW w:w="660" w:type="dxa"/>
            <w:vAlign w:val="bottom"/>
          </w:tcPr>
          <w:p>
            <w:pPr>
              <w:spacing w:after="0"/>
              <w:rPr>
                <w:sz w:val="13"/>
                <w:szCs w:val="13"/>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and Committee</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460" w:type="dxa"/>
            <w:vAlign w:val="bottom"/>
          </w:tcPr>
          <w:p>
            <w:pPr>
              <w:spacing w:after="0"/>
              <w:rPr>
                <w:sz w:val="13"/>
                <w:szCs w:val="13"/>
                <w:color w:val="auto"/>
              </w:rPr>
            </w:pPr>
          </w:p>
        </w:tc>
        <w:tc>
          <w:tcPr>
            <w:tcW w:w="5420" w:type="dxa"/>
            <w:vAlign w:val="bottom"/>
            <w:vMerge w:val="restart"/>
          </w:tcPr>
          <w:p>
            <w:pPr>
              <w:ind w:left="140"/>
              <w:spacing w:after="0"/>
              <w:rPr>
                <w:sz w:val="20"/>
                <w:szCs w:val="20"/>
                <w:color w:val="auto"/>
              </w:rPr>
            </w:pPr>
            <w:r>
              <w:rPr>
                <w:rFonts w:ascii="Arial" w:cs="Arial" w:eastAsia="Arial" w:hAnsi="Arial"/>
                <w:sz w:val="15"/>
                <w:szCs w:val="15"/>
                <w:color w:val="auto"/>
              </w:rPr>
              <w:t>from 2007 to 2008, executive vice president, U.S. Insurance Group of</w:t>
            </w:r>
          </w:p>
        </w:tc>
        <w:tc>
          <w:tcPr>
            <w:tcW w:w="660" w:type="dxa"/>
            <w:vAlign w:val="bottom"/>
          </w:tcPr>
          <w:p>
            <w:pPr>
              <w:spacing w:after="0"/>
              <w:rPr>
                <w:sz w:val="13"/>
                <w:szCs w:val="13"/>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Structure</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7"/>
        </w:trPr>
        <w:tc>
          <w:tcPr>
            <w:tcW w:w="2460" w:type="dxa"/>
            <w:vAlign w:val="bottom"/>
          </w:tcPr>
          <w:p>
            <w:pPr>
              <w:spacing w:after="0"/>
              <w:rPr>
                <w:sz w:val="4"/>
                <w:szCs w:val="4"/>
                <w:color w:val="auto"/>
              </w:rPr>
            </w:pPr>
          </w:p>
        </w:tc>
        <w:tc>
          <w:tcPr>
            <w:tcW w:w="5420" w:type="dxa"/>
            <w:vAlign w:val="bottom"/>
            <w:vMerge w:val="continue"/>
          </w:tcPr>
          <w:p>
            <w:pPr>
              <w:spacing w:after="0"/>
              <w:rPr>
                <w:sz w:val="4"/>
                <w:szCs w:val="4"/>
                <w:color w:val="auto"/>
              </w:rPr>
            </w:pPr>
          </w:p>
        </w:tc>
        <w:tc>
          <w:tcPr>
            <w:tcW w:w="660" w:type="dxa"/>
            <w:vAlign w:val="bottom"/>
          </w:tcPr>
          <w:p>
            <w:pPr>
              <w:spacing w:after="0"/>
              <w:rPr>
                <w:sz w:val="4"/>
                <w:szCs w:val="4"/>
                <w:color w:val="auto"/>
              </w:rPr>
            </w:pPr>
          </w:p>
        </w:tc>
        <w:tc>
          <w:tcPr>
            <w:tcW w:w="128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9"/>
        </w:trPr>
        <w:tc>
          <w:tcPr>
            <w:tcW w:w="2460" w:type="dxa"/>
            <w:vAlign w:val="bottom"/>
          </w:tcPr>
          <w:p>
            <w:pPr>
              <w:spacing w:after="0"/>
              <w:rPr>
                <w:sz w:val="15"/>
                <w:szCs w:val="15"/>
                <w:color w:val="auto"/>
              </w:rPr>
            </w:pPr>
          </w:p>
        </w:tc>
        <w:tc>
          <w:tcPr>
            <w:tcW w:w="5420" w:type="dxa"/>
            <w:vAlign w:val="bottom"/>
          </w:tcPr>
          <w:p>
            <w:pPr>
              <w:ind w:left="140"/>
              <w:spacing w:after="0"/>
              <w:rPr>
                <w:sz w:val="20"/>
                <w:szCs w:val="20"/>
                <w:color w:val="auto"/>
              </w:rPr>
            </w:pPr>
            <w:r>
              <w:rPr>
                <w:rFonts w:ascii="Arial" w:cs="Arial" w:eastAsia="Arial" w:hAnsi="Arial"/>
                <w:sz w:val="15"/>
                <w:szCs w:val="15"/>
                <w:color w:val="auto"/>
              </w:rPr>
              <w:t>MassMutual from 2006 to 2008, president and chief executive officer of</w:t>
            </w:r>
          </w:p>
        </w:tc>
        <w:tc>
          <w:tcPr>
            <w:tcW w:w="660" w:type="dxa"/>
            <w:vAlign w:val="bottom"/>
          </w:tcPr>
          <w:p>
            <w:pPr>
              <w:spacing w:after="0"/>
              <w:rPr>
                <w:sz w:val="15"/>
                <w:szCs w:val="15"/>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Board of Directors</w:t>
            </w: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460" w:type="dxa"/>
            <w:vAlign w:val="bottom"/>
          </w:tcPr>
          <w:p>
            <w:pPr>
              <w:spacing w:after="0"/>
              <w:rPr>
                <w:sz w:val="15"/>
                <w:szCs w:val="15"/>
                <w:color w:val="auto"/>
              </w:rPr>
            </w:pPr>
          </w:p>
        </w:tc>
        <w:tc>
          <w:tcPr>
            <w:tcW w:w="5420" w:type="dxa"/>
            <w:vAlign w:val="bottom"/>
          </w:tcPr>
          <w:p>
            <w:pPr>
              <w:ind w:left="140"/>
              <w:spacing w:after="0"/>
              <w:rPr>
                <w:sz w:val="20"/>
                <w:szCs w:val="20"/>
                <w:color w:val="auto"/>
              </w:rPr>
            </w:pPr>
            <w:r>
              <w:rPr>
                <w:rFonts w:ascii="Arial" w:cs="Arial" w:eastAsia="Arial" w:hAnsi="Arial"/>
                <w:sz w:val="15"/>
                <w:szCs w:val="15"/>
                <w:color w:val="auto"/>
              </w:rPr>
              <w:t>Babson Capital Management LLC (“Babson”), an asset management firm and</w:t>
            </w:r>
          </w:p>
        </w:tc>
        <w:tc>
          <w:tcPr>
            <w:tcW w:w="660" w:type="dxa"/>
            <w:vAlign w:val="bottom"/>
          </w:tcPr>
          <w:p>
            <w:pPr>
              <w:spacing w:after="0"/>
              <w:rPr>
                <w:sz w:val="15"/>
                <w:szCs w:val="15"/>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Compensation</w:t>
            </w: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460" w:type="dxa"/>
            <w:vAlign w:val="bottom"/>
          </w:tcPr>
          <w:p>
            <w:pPr>
              <w:spacing w:after="0"/>
              <w:rPr>
                <w:sz w:val="15"/>
                <w:szCs w:val="15"/>
                <w:color w:val="auto"/>
              </w:rPr>
            </w:pPr>
          </w:p>
        </w:tc>
        <w:tc>
          <w:tcPr>
            <w:tcW w:w="5420" w:type="dxa"/>
            <w:vAlign w:val="bottom"/>
          </w:tcPr>
          <w:p>
            <w:pPr>
              <w:ind w:left="140"/>
              <w:spacing w:after="0"/>
              <w:rPr>
                <w:sz w:val="20"/>
                <w:szCs w:val="20"/>
                <w:color w:val="auto"/>
              </w:rPr>
            </w:pPr>
            <w:r>
              <w:rPr>
                <w:rFonts w:ascii="Arial" w:cs="Arial" w:eastAsia="Arial" w:hAnsi="Arial"/>
                <w:sz w:val="15"/>
                <w:szCs w:val="15"/>
                <w:color w:val="auto"/>
              </w:rPr>
              <w:t>subsidiary of MassMutual, from 2005 until 2006 and chief operating officer of</w:t>
            </w:r>
          </w:p>
        </w:tc>
        <w:tc>
          <w:tcPr>
            <w:tcW w:w="660" w:type="dxa"/>
            <w:vAlign w:val="bottom"/>
          </w:tcPr>
          <w:p>
            <w:pPr>
              <w:spacing w:after="0"/>
              <w:rPr>
                <w:sz w:val="15"/>
                <w:szCs w:val="15"/>
                <w:color w:val="auto"/>
              </w:rPr>
            </w:pPr>
          </w:p>
        </w:tc>
        <w:tc>
          <w:tcPr>
            <w:tcW w:w="1280" w:type="dxa"/>
            <w:vAlign w:val="bottom"/>
            <w:vMerge w:val="restart"/>
          </w:tcPr>
          <w:p>
            <w:pPr>
              <w:ind w:left="140"/>
              <w:spacing w:after="0"/>
              <w:rPr>
                <w:sz w:val="20"/>
                <w:szCs w:val="20"/>
                <w:color w:val="auto"/>
              </w:rPr>
            </w:pPr>
            <w:r>
              <w:rPr>
                <w:rFonts w:ascii="Arial" w:cs="Arial" w:eastAsia="Arial" w:hAnsi="Arial"/>
                <w:sz w:val="12"/>
                <w:szCs w:val="12"/>
                <w:color w:val="FFFFFF"/>
              </w:rPr>
              <w:t>Compensation</w:t>
            </w: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1"/>
        </w:trPr>
        <w:tc>
          <w:tcPr>
            <w:tcW w:w="2460" w:type="dxa"/>
            <w:vAlign w:val="bottom"/>
          </w:tcPr>
          <w:p>
            <w:pPr>
              <w:spacing w:after="0"/>
              <w:rPr>
                <w:sz w:val="6"/>
                <w:szCs w:val="6"/>
                <w:color w:val="auto"/>
              </w:rPr>
            </w:pPr>
          </w:p>
        </w:tc>
        <w:tc>
          <w:tcPr>
            <w:tcW w:w="5420" w:type="dxa"/>
            <w:vAlign w:val="bottom"/>
            <w:vMerge w:val="restart"/>
          </w:tcPr>
          <w:p>
            <w:pPr>
              <w:ind w:left="140"/>
              <w:spacing w:after="0"/>
              <w:rPr>
                <w:sz w:val="20"/>
                <w:szCs w:val="20"/>
                <w:color w:val="auto"/>
              </w:rPr>
            </w:pPr>
            <w:r>
              <w:rPr>
                <w:rFonts w:ascii="Arial" w:cs="Arial" w:eastAsia="Arial" w:hAnsi="Arial"/>
                <w:sz w:val="15"/>
                <w:szCs w:val="15"/>
                <w:color w:val="auto"/>
              </w:rPr>
              <w:t>Babson from 2003 to 2005. Prior to joining MassMutual, Mr. Glavin was</w:t>
            </w:r>
          </w:p>
        </w:tc>
        <w:tc>
          <w:tcPr>
            <w:tcW w:w="66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0"/>
        </w:trPr>
        <w:tc>
          <w:tcPr>
            <w:tcW w:w="2460" w:type="dxa"/>
            <w:vAlign w:val="bottom"/>
          </w:tcPr>
          <w:p>
            <w:pPr>
              <w:spacing w:after="0"/>
              <w:rPr>
                <w:sz w:val="10"/>
                <w:szCs w:val="10"/>
                <w:color w:val="auto"/>
              </w:rPr>
            </w:pPr>
          </w:p>
        </w:tc>
        <w:tc>
          <w:tcPr>
            <w:tcW w:w="5420" w:type="dxa"/>
            <w:vAlign w:val="bottom"/>
            <w:vMerge w:val="continue"/>
          </w:tcPr>
          <w:p>
            <w:pPr>
              <w:spacing w:after="0"/>
              <w:rPr>
                <w:sz w:val="10"/>
                <w:szCs w:val="10"/>
                <w:color w:val="auto"/>
              </w:rPr>
            </w:pPr>
          </w:p>
        </w:tc>
        <w:tc>
          <w:tcPr>
            <w:tcW w:w="660" w:type="dxa"/>
            <w:vAlign w:val="bottom"/>
          </w:tcPr>
          <w:p>
            <w:pPr>
              <w:spacing w:after="0"/>
              <w:rPr>
                <w:sz w:val="10"/>
                <w:szCs w:val="10"/>
                <w:color w:val="auto"/>
              </w:rPr>
            </w:pPr>
          </w:p>
        </w:tc>
        <w:tc>
          <w:tcPr>
            <w:tcW w:w="1280" w:type="dxa"/>
            <w:vAlign w:val="bottom"/>
          </w:tcPr>
          <w:p>
            <w:pPr>
              <w:ind w:left="140"/>
              <w:spacing w:after="0" w:line="120" w:lineRule="exact"/>
              <w:rPr>
                <w:sz w:val="20"/>
                <w:szCs w:val="20"/>
                <w:color w:val="auto"/>
              </w:rPr>
            </w:pPr>
            <w:r>
              <w:rPr>
                <w:rFonts w:ascii="Arial" w:cs="Arial" w:eastAsia="Arial" w:hAnsi="Arial"/>
                <w:sz w:val="12"/>
                <w:szCs w:val="12"/>
                <w:color w:val="FFFFFF"/>
              </w:rPr>
              <w:t>Discussion and</w:t>
            </w: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6"/>
        </w:trPr>
        <w:tc>
          <w:tcPr>
            <w:tcW w:w="2460" w:type="dxa"/>
            <w:vAlign w:val="bottom"/>
          </w:tcPr>
          <w:p>
            <w:pPr>
              <w:spacing w:after="0"/>
              <w:rPr>
                <w:sz w:val="14"/>
                <w:szCs w:val="14"/>
                <w:color w:val="auto"/>
              </w:rPr>
            </w:pPr>
          </w:p>
        </w:tc>
        <w:tc>
          <w:tcPr>
            <w:tcW w:w="5420" w:type="dxa"/>
            <w:vAlign w:val="bottom"/>
          </w:tcPr>
          <w:p>
            <w:pPr>
              <w:ind w:left="140"/>
              <w:spacing w:after="0" w:line="167" w:lineRule="exact"/>
              <w:rPr>
                <w:sz w:val="20"/>
                <w:szCs w:val="20"/>
                <w:color w:val="auto"/>
              </w:rPr>
            </w:pPr>
            <w:r>
              <w:rPr>
                <w:rFonts w:ascii="Arial" w:cs="Arial" w:eastAsia="Arial" w:hAnsi="Arial"/>
                <w:sz w:val="15"/>
                <w:szCs w:val="15"/>
                <w:color w:val="auto"/>
              </w:rPr>
              <w:t>president and chief operating officer of Scudder Investments, an asset</w:t>
            </w:r>
          </w:p>
        </w:tc>
        <w:tc>
          <w:tcPr>
            <w:tcW w:w="660" w:type="dxa"/>
            <w:vAlign w:val="bottom"/>
          </w:tcPr>
          <w:p>
            <w:pPr>
              <w:spacing w:after="0"/>
              <w:rPr>
                <w:sz w:val="14"/>
                <w:szCs w:val="14"/>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Analysis</w:t>
            </w: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2460" w:type="dxa"/>
            <w:vAlign w:val="bottom"/>
            <w:vMerge w:val="restart"/>
          </w:tcPr>
          <w:p>
            <w:pPr>
              <w:spacing w:after="0"/>
              <w:rPr>
                <w:sz w:val="20"/>
                <w:szCs w:val="20"/>
                <w:color w:val="auto"/>
              </w:rPr>
            </w:pPr>
            <w:r>
              <w:rPr>
                <w:rFonts w:ascii="Arial" w:cs="Arial" w:eastAsia="Arial" w:hAnsi="Arial"/>
                <w:sz w:val="19"/>
                <w:szCs w:val="19"/>
                <w:b w:val="1"/>
                <w:bCs w:val="1"/>
                <w:color w:val="B95827"/>
              </w:rPr>
              <w:t xml:space="preserve">AGE </w:t>
            </w:r>
            <w:r>
              <w:rPr>
                <w:rFonts w:ascii="Arial" w:cs="Arial" w:eastAsia="Arial" w:hAnsi="Arial"/>
                <w:sz w:val="15"/>
                <w:szCs w:val="15"/>
                <w:color w:val="000000"/>
              </w:rPr>
              <w:t>67</w:t>
            </w:r>
          </w:p>
        </w:tc>
        <w:tc>
          <w:tcPr>
            <w:tcW w:w="5420" w:type="dxa"/>
            <w:vAlign w:val="bottom"/>
          </w:tcPr>
          <w:p>
            <w:pPr>
              <w:ind w:left="140"/>
              <w:spacing w:after="0"/>
              <w:rPr>
                <w:sz w:val="20"/>
                <w:szCs w:val="20"/>
                <w:color w:val="auto"/>
              </w:rPr>
            </w:pPr>
            <w:r>
              <w:rPr>
                <w:rFonts w:ascii="Arial" w:cs="Arial" w:eastAsia="Arial" w:hAnsi="Arial"/>
                <w:sz w:val="15"/>
                <w:szCs w:val="15"/>
                <w:color w:val="auto"/>
              </w:rPr>
              <w:t>management firm, from 2000 to 2003. Mr. Glavin received his B.A. from the</w:t>
            </w:r>
          </w:p>
        </w:tc>
        <w:tc>
          <w:tcPr>
            <w:tcW w:w="660" w:type="dxa"/>
            <w:vAlign w:val="bottom"/>
          </w:tcPr>
          <w:p>
            <w:pPr>
              <w:spacing w:after="0"/>
              <w:rPr>
                <w:sz w:val="15"/>
                <w:szCs w:val="15"/>
                <w:color w:val="auto"/>
              </w:rPr>
            </w:pPr>
          </w:p>
        </w:tc>
        <w:tc>
          <w:tcPr>
            <w:tcW w:w="1280" w:type="dxa"/>
            <w:vAlign w:val="bottom"/>
            <w:vMerge w:val="restart"/>
          </w:tcPr>
          <w:p>
            <w:pPr>
              <w:ind w:left="140"/>
              <w:spacing w:after="0"/>
              <w:rPr>
                <w:sz w:val="20"/>
                <w:szCs w:val="20"/>
                <w:color w:val="auto"/>
              </w:rPr>
            </w:pPr>
            <w:r>
              <w:rPr>
                <w:rFonts w:ascii="Arial" w:cs="Arial" w:eastAsia="Arial" w:hAnsi="Arial"/>
                <w:sz w:val="12"/>
                <w:szCs w:val="12"/>
                <w:color w:val="FFFFFF"/>
              </w:rPr>
              <w:t>Report of the</w:t>
            </w: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4"/>
        </w:trPr>
        <w:tc>
          <w:tcPr>
            <w:tcW w:w="2460" w:type="dxa"/>
            <w:vAlign w:val="bottom"/>
            <w:vMerge w:val="continue"/>
          </w:tcPr>
          <w:p>
            <w:pPr>
              <w:spacing w:after="0"/>
              <w:rPr>
                <w:sz w:val="7"/>
                <w:szCs w:val="7"/>
                <w:color w:val="auto"/>
              </w:rPr>
            </w:pPr>
          </w:p>
        </w:tc>
        <w:tc>
          <w:tcPr>
            <w:tcW w:w="5420" w:type="dxa"/>
            <w:vAlign w:val="bottom"/>
            <w:vMerge w:val="restart"/>
          </w:tcPr>
          <w:p>
            <w:pPr>
              <w:ind w:left="140"/>
              <w:spacing w:after="0"/>
              <w:rPr>
                <w:sz w:val="20"/>
                <w:szCs w:val="20"/>
                <w:color w:val="auto"/>
              </w:rPr>
            </w:pPr>
            <w:r>
              <w:rPr>
                <w:rFonts w:ascii="Arial" w:cs="Arial" w:eastAsia="Arial" w:hAnsi="Arial"/>
                <w:sz w:val="15"/>
                <w:szCs w:val="15"/>
                <w:color w:val="auto"/>
              </w:rPr>
              <w:t>College of the Holy Cross.</w:t>
            </w:r>
          </w:p>
        </w:tc>
        <w:tc>
          <w:tcPr>
            <w:tcW w:w="660" w:type="dxa"/>
            <w:vAlign w:val="bottom"/>
          </w:tcPr>
          <w:p>
            <w:pPr>
              <w:spacing w:after="0"/>
              <w:rPr>
                <w:sz w:val="7"/>
                <w:szCs w:val="7"/>
                <w:color w:val="auto"/>
              </w:rPr>
            </w:pPr>
          </w:p>
        </w:tc>
        <w:tc>
          <w:tcPr>
            <w:tcW w:w="1280" w:type="dxa"/>
            <w:vAlign w:val="bottom"/>
            <w:vMerge w:val="continue"/>
          </w:tcPr>
          <w:p>
            <w:pPr>
              <w:spacing w:after="0"/>
              <w:rPr>
                <w:sz w:val="7"/>
                <w:szCs w:val="7"/>
                <w:color w:val="auto"/>
              </w:rPr>
            </w:pPr>
          </w:p>
        </w:tc>
        <w:tc>
          <w:tcPr>
            <w:tcW w:w="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8"/>
        </w:trPr>
        <w:tc>
          <w:tcPr>
            <w:tcW w:w="2460" w:type="dxa"/>
            <w:vAlign w:val="bottom"/>
            <w:vMerge w:val="continue"/>
          </w:tcPr>
          <w:p>
            <w:pPr>
              <w:spacing w:after="0"/>
              <w:rPr>
                <w:sz w:val="11"/>
                <w:szCs w:val="11"/>
                <w:color w:val="auto"/>
              </w:rPr>
            </w:pPr>
          </w:p>
        </w:tc>
        <w:tc>
          <w:tcPr>
            <w:tcW w:w="5420" w:type="dxa"/>
            <w:vAlign w:val="bottom"/>
            <w:vMerge w:val="continue"/>
          </w:tcPr>
          <w:p>
            <w:pPr>
              <w:spacing w:after="0"/>
              <w:rPr>
                <w:sz w:val="11"/>
                <w:szCs w:val="11"/>
                <w:color w:val="auto"/>
              </w:rPr>
            </w:pPr>
          </w:p>
        </w:tc>
        <w:tc>
          <w:tcPr>
            <w:tcW w:w="660" w:type="dxa"/>
            <w:vAlign w:val="bottom"/>
          </w:tcPr>
          <w:p>
            <w:pPr>
              <w:spacing w:after="0"/>
              <w:rPr>
                <w:sz w:val="11"/>
                <w:szCs w:val="11"/>
                <w:color w:val="auto"/>
              </w:rPr>
            </w:pPr>
          </w:p>
        </w:tc>
        <w:tc>
          <w:tcPr>
            <w:tcW w:w="1280" w:type="dxa"/>
            <w:vAlign w:val="bottom"/>
          </w:tcPr>
          <w:p>
            <w:pPr>
              <w:ind w:left="140"/>
              <w:spacing w:after="0" w:line="128" w:lineRule="exact"/>
              <w:rPr>
                <w:sz w:val="20"/>
                <w:szCs w:val="20"/>
                <w:color w:val="auto"/>
              </w:rPr>
            </w:pPr>
            <w:r>
              <w:rPr>
                <w:rFonts w:ascii="Arial" w:cs="Arial" w:eastAsia="Arial" w:hAnsi="Arial"/>
                <w:sz w:val="12"/>
                <w:szCs w:val="12"/>
                <w:color w:val="FFFFFF"/>
              </w:rPr>
              <w:t>Compensation</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460" w:type="dxa"/>
            <w:vAlign w:val="bottom"/>
            <w:vMerge w:val="restart"/>
          </w:tcPr>
          <w:p>
            <w:pPr>
              <w:spacing w:after="0"/>
              <w:rPr>
                <w:sz w:val="20"/>
                <w:szCs w:val="20"/>
                <w:color w:val="auto"/>
              </w:rPr>
            </w:pPr>
            <w:r>
              <w:rPr>
                <w:rFonts w:ascii="Arial" w:cs="Arial" w:eastAsia="Arial" w:hAnsi="Arial"/>
                <w:sz w:val="19"/>
                <w:szCs w:val="19"/>
                <w:b w:val="1"/>
                <w:bCs w:val="1"/>
                <w:color w:val="B95827"/>
              </w:rPr>
              <w:t xml:space="preserve">DIRECTOR SINCE </w:t>
            </w:r>
            <w:r>
              <w:rPr>
                <w:rFonts w:ascii="Arial" w:cs="Arial" w:eastAsia="Arial" w:hAnsi="Arial"/>
                <w:sz w:val="15"/>
                <w:szCs w:val="15"/>
                <w:color w:val="000000"/>
              </w:rPr>
              <w:t>2017</w:t>
            </w:r>
          </w:p>
        </w:tc>
        <w:tc>
          <w:tcPr>
            <w:tcW w:w="5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80" w:type="dxa"/>
            <w:vAlign w:val="bottom"/>
          </w:tcPr>
          <w:p>
            <w:pPr>
              <w:ind w:left="140"/>
              <w:spacing w:after="0" w:line="128" w:lineRule="exact"/>
              <w:rPr>
                <w:sz w:val="20"/>
                <w:szCs w:val="20"/>
                <w:color w:val="auto"/>
              </w:rPr>
            </w:pPr>
            <w:r>
              <w:rPr>
                <w:rFonts w:ascii="Arial" w:cs="Arial" w:eastAsia="Arial" w:hAnsi="Arial"/>
                <w:sz w:val="12"/>
                <w:szCs w:val="12"/>
                <w:color w:val="FFFFFF"/>
              </w:rPr>
              <w:t>and Human</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460" w:type="dxa"/>
            <w:vAlign w:val="bottom"/>
            <w:vMerge w:val="continue"/>
          </w:tcPr>
          <w:p>
            <w:pPr>
              <w:spacing w:after="0"/>
              <w:rPr>
                <w:sz w:val="11"/>
                <w:szCs w:val="11"/>
                <w:color w:val="auto"/>
              </w:rPr>
            </w:pPr>
          </w:p>
        </w:tc>
        <w:tc>
          <w:tcPr>
            <w:tcW w:w="5420" w:type="dxa"/>
            <w:vAlign w:val="bottom"/>
            <w:vMerge w:val="restart"/>
          </w:tcPr>
          <w:p>
            <w:pPr>
              <w:ind w:left="140"/>
              <w:spacing w:after="0"/>
              <w:rPr>
                <w:sz w:val="20"/>
                <w:szCs w:val="20"/>
                <w:color w:val="auto"/>
              </w:rPr>
            </w:pPr>
            <w:r>
              <w:rPr>
                <w:rFonts w:ascii="Arial" w:cs="Arial" w:eastAsia="Arial" w:hAnsi="Arial"/>
                <w:sz w:val="19"/>
                <w:szCs w:val="19"/>
                <w:b w:val="1"/>
                <w:bCs w:val="1"/>
                <w:color w:val="B95827"/>
              </w:rPr>
              <w:t>QUALIFICATIONS</w:t>
            </w:r>
          </w:p>
        </w:tc>
        <w:tc>
          <w:tcPr>
            <w:tcW w:w="660" w:type="dxa"/>
            <w:vAlign w:val="bottom"/>
          </w:tcPr>
          <w:p>
            <w:pPr>
              <w:spacing w:after="0"/>
              <w:rPr>
                <w:sz w:val="11"/>
                <w:szCs w:val="11"/>
                <w:color w:val="auto"/>
              </w:rPr>
            </w:pPr>
          </w:p>
        </w:tc>
        <w:tc>
          <w:tcPr>
            <w:tcW w:w="1280" w:type="dxa"/>
            <w:vAlign w:val="bottom"/>
          </w:tcPr>
          <w:p>
            <w:pPr>
              <w:ind w:left="140"/>
              <w:spacing w:after="0" w:line="128" w:lineRule="exact"/>
              <w:rPr>
                <w:sz w:val="20"/>
                <w:szCs w:val="20"/>
                <w:color w:val="auto"/>
              </w:rPr>
            </w:pPr>
            <w:r>
              <w:rPr>
                <w:rFonts w:ascii="Arial" w:cs="Arial" w:eastAsia="Arial" w:hAnsi="Arial"/>
                <w:sz w:val="12"/>
                <w:szCs w:val="12"/>
                <w:color w:val="FFFFFF"/>
              </w:rPr>
              <w:t>Resources</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460" w:type="dxa"/>
            <w:vAlign w:val="bottom"/>
            <w:vMerge w:val="restart"/>
          </w:tcPr>
          <w:p>
            <w:pPr>
              <w:spacing w:after="0"/>
              <w:rPr>
                <w:sz w:val="20"/>
                <w:szCs w:val="20"/>
                <w:color w:val="auto"/>
              </w:rPr>
            </w:pPr>
            <w:r>
              <w:rPr>
                <w:rFonts w:ascii="Arial" w:cs="Arial" w:eastAsia="Arial" w:hAnsi="Arial"/>
                <w:sz w:val="19"/>
                <w:szCs w:val="19"/>
                <w:b w:val="1"/>
                <w:bCs w:val="1"/>
                <w:color w:val="B95827"/>
              </w:rPr>
              <w:t>INDEPENDENT</w:t>
            </w:r>
          </w:p>
        </w:tc>
        <w:tc>
          <w:tcPr>
            <w:tcW w:w="5420" w:type="dxa"/>
            <w:vAlign w:val="bottom"/>
            <w:vMerge w:val="continue"/>
          </w:tcPr>
          <w:p>
            <w:pPr>
              <w:spacing w:after="0"/>
              <w:rPr>
                <w:sz w:val="11"/>
                <w:szCs w:val="11"/>
                <w:color w:val="auto"/>
              </w:rPr>
            </w:pPr>
          </w:p>
        </w:tc>
        <w:tc>
          <w:tcPr>
            <w:tcW w:w="660" w:type="dxa"/>
            <w:vAlign w:val="bottom"/>
          </w:tcPr>
          <w:p>
            <w:pPr>
              <w:spacing w:after="0"/>
              <w:rPr>
                <w:sz w:val="11"/>
                <w:szCs w:val="11"/>
                <w:color w:val="auto"/>
              </w:rPr>
            </w:pPr>
          </w:p>
        </w:tc>
        <w:tc>
          <w:tcPr>
            <w:tcW w:w="1280" w:type="dxa"/>
            <w:vAlign w:val="bottom"/>
          </w:tcPr>
          <w:p>
            <w:pPr>
              <w:ind w:left="140"/>
              <w:spacing w:after="0" w:line="128" w:lineRule="exact"/>
              <w:rPr>
                <w:sz w:val="20"/>
                <w:szCs w:val="20"/>
                <w:color w:val="auto"/>
              </w:rPr>
            </w:pPr>
            <w:r>
              <w:rPr>
                <w:rFonts w:ascii="Arial" w:cs="Arial" w:eastAsia="Arial" w:hAnsi="Arial"/>
                <w:sz w:val="12"/>
                <w:szCs w:val="12"/>
                <w:color w:val="FFFFFF"/>
              </w:rPr>
              <w:t>Committee of the</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460" w:type="dxa"/>
            <w:vAlign w:val="bottom"/>
            <w:vMerge w:val="continue"/>
          </w:tcPr>
          <w:p>
            <w:pPr>
              <w:spacing w:after="0"/>
              <w:rPr>
                <w:sz w:val="13"/>
                <w:szCs w:val="13"/>
                <w:color w:val="auto"/>
              </w:rPr>
            </w:pPr>
          </w:p>
        </w:tc>
        <w:tc>
          <w:tcPr>
            <w:tcW w:w="5420" w:type="dxa"/>
            <w:vAlign w:val="bottom"/>
            <w:vMerge w:val="restart"/>
          </w:tcPr>
          <w:p>
            <w:pPr>
              <w:ind w:left="140"/>
              <w:spacing w:after="0"/>
              <w:rPr>
                <w:sz w:val="20"/>
                <w:szCs w:val="20"/>
                <w:color w:val="auto"/>
              </w:rPr>
            </w:pPr>
            <w:r>
              <w:rPr>
                <w:rFonts w:ascii="Arial" w:cs="Arial" w:eastAsia="Arial" w:hAnsi="Arial"/>
                <w:sz w:val="15"/>
                <w:szCs w:val="15"/>
                <w:color w:val="auto"/>
              </w:rPr>
              <w:t>Mr. Glavin’s pertinent qualifications include his experience over the course of</w:t>
            </w:r>
          </w:p>
        </w:tc>
        <w:tc>
          <w:tcPr>
            <w:tcW w:w="660" w:type="dxa"/>
            <w:vAlign w:val="bottom"/>
          </w:tcPr>
          <w:p>
            <w:pPr>
              <w:spacing w:after="0"/>
              <w:rPr>
                <w:sz w:val="13"/>
                <w:szCs w:val="13"/>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Board of Directors</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460" w:type="dxa"/>
            <w:vAlign w:val="bottom"/>
            <w:vMerge w:val="continue"/>
          </w:tcPr>
          <w:p>
            <w:pPr>
              <w:spacing w:after="0"/>
              <w:rPr>
                <w:sz w:val="3"/>
                <w:szCs w:val="3"/>
                <w:color w:val="auto"/>
              </w:rPr>
            </w:pPr>
          </w:p>
        </w:tc>
        <w:tc>
          <w:tcPr>
            <w:tcW w:w="5420" w:type="dxa"/>
            <w:vAlign w:val="bottom"/>
            <w:vMerge w:val="continue"/>
          </w:tcPr>
          <w:p>
            <w:pPr>
              <w:spacing w:after="0"/>
              <w:rPr>
                <w:sz w:val="3"/>
                <w:szCs w:val="3"/>
                <w:color w:val="auto"/>
              </w:rPr>
            </w:pPr>
          </w:p>
        </w:tc>
        <w:tc>
          <w:tcPr>
            <w:tcW w:w="660" w:type="dxa"/>
            <w:vAlign w:val="bottom"/>
          </w:tcPr>
          <w:p>
            <w:pPr>
              <w:spacing w:after="0"/>
              <w:rPr>
                <w:sz w:val="3"/>
                <w:szCs w:val="3"/>
                <w:color w:val="auto"/>
              </w:rPr>
            </w:pPr>
          </w:p>
        </w:tc>
        <w:tc>
          <w:tcPr>
            <w:tcW w:w="1280" w:type="dxa"/>
            <w:vAlign w:val="bottom"/>
          </w:tcPr>
          <w:p>
            <w:pPr>
              <w:spacing w:after="0"/>
              <w:rPr>
                <w:sz w:val="3"/>
                <w:szCs w:val="3"/>
                <w:color w:val="auto"/>
              </w:rPr>
            </w:pPr>
          </w:p>
        </w:tc>
        <w:tc>
          <w:tcPr>
            <w:tcW w:w="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9"/>
        </w:trPr>
        <w:tc>
          <w:tcPr>
            <w:tcW w:w="2460" w:type="dxa"/>
            <w:vAlign w:val="bottom"/>
            <w:vMerge w:val="restart"/>
          </w:tcPr>
          <w:p>
            <w:pPr>
              <w:spacing w:after="0"/>
              <w:rPr>
                <w:sz w:val="20"/>
                <w:szCs w:val="20"/>
                <w:color w:val="auto"/>
              </w:rPr>
            </w:pPr>
            <w:r>
              <w:rPr>
                <w:rFonts w:ascii="Arial" w:cs="Arial" w:eastAsia="Arial" w:hAnsi="Arial"/>
                <w:sz w:val="19"/>
                <w:szCs w:val="19"/>
                <w:b w:val="1"/>
                <w:bCs w:val="1"/>
                <w:color w:val="B95827"/>
              </w:rPr>
              <w:t>COMMITTEES:</w:t>
            </w:r>
          </w:p>
        </w:tc>
        <w:tc>
          <w:tcPr>
            <w:tcW w:w="5420" w:type="dxa"/>
            <w:vAlign w:val="bottom"/>
          </w:tcPr>
          <w:p>
            <w:pPr>
              <w:ind w:left="140"/>
              <w:spacing w:after="0"/>
              <w:rPr>
                <w:sz w:val="20"/>
                <w:szCs w:val="20"/>
                <w:color w:val="auto"/>
              </w:rPr>
            </w:pPr>
            <w:r>
              <w:rPr>
                <w:rFonts w:ascii="Arial" w:cs="Arial" w:eastAsia="Arial" w:hAnsi="Arial"/>
                <w:sz w:val="15"/>
                <w:szCs w:val="15"/>
                <w:color w:val="auto"/>
              </w:rPr>
              <w:t>a 25-year career in the financial services industry, including as a chief</w:t>
            </w:r>
          </w:p>
        </w:tc>
        <w:tc>
          <w:tcPr>
            <w:tcW w:w="660" w:type="dxa"/>
            <w:vAlign w:val="bottom"/>
          </w:tcPr>
          <w:p>
            <w:pPr>
              <w:spacing w:after="0"/>
              <w:rPr>
                <w:sz w:val="15"/>
                <w:szCs w:val="15"/>
                <w:color w:val="auto"/>
              </w:rPr>
            </w:pPr>
          </w:p>
        </w:tc>
        <w:tc>
          <w:tcPr>
            <w:tcW w:w="1280" w:type="dxa"/>
            <w:vAlign w:val="bottom"/>
            <w:vMerge w:val="restart"/>
          </w:tcPr>
          <w:p>
            <w:pPr>
              <w:ind w:left="140"/>
              <w:spacing w:after="0"/>
              <w:rPr>
                <w:sz w:val="20"/>
                <w:szCs w:val="20"/>
                <w:color w:val="auto"/>
              </w:rPr>
            </w:pPr>
            <w:r>
              <w:rPr>
                <w:rFonts w:ascii="Arial" w:cs="Arial" w:eastAsia="Arial" w:hAnsi="Arial"/>
                <w:sz w:val="12"/>
                <w:szCs w:val="12"/>
                <w:color w:val="FFFFFF"/>
              </w:rPr>
              <w:t>Compensation of</w:t>
            </w: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6"/>
        </w:trPr>
        <w:tc>
          <w:tcPr>
            <w:tcW w:w="2460" w:type="dxa"/>
            <w:vAlign w:val="bottom"/>
            <w:vMerge w:val="continue"/>
          </w:tcPr>
          <w:p>
            <w:pPr>
              <w:spacing w:after="0"/>
              <w:rPr>
                <w:sz w:val="3"/>
                <w:szCs w:val="3"/>
                <w:color w:val="auto"/>
              </w:rPr>
            </w:pPr>
          </w:p>
        </w:tc>
        <w:tc>
          <w:tcPr>
            <w:tcW w:w="5420" w:type="dxa"/>
            <w:vAlign w:val="bottom"/>
            <w:vMerge w:val="restart"/>
          </w:tcPr>
          <w:p>
            <w:pPr>
              <w:ind w:left="140"/>
              <w:spacing w:after="0" w:line="166" w:lineRule="exact"/>
              <w:rPr>
                <w:sz w:val="20"/>
                <w:szCs w:val="20"/>
                <w:color w:val="auto"/>
              </w:rPr>
            </w:pPr>
            <w:r>
              <w:rPr>
                <w:rFonts w:ascii="Arial" w:cs="Arial" w:eastAsia="Arial" w:hAnsi="Arial"/>
                <w:sz w:val="15"/>
                <w:szCs w:val="15"/>
                <w:color w:val="auto"/>
              </w:rPr>
              <w:t>executive officer and chief operating officer; extensive experience in strategic</w:t>
            </w:r>
          </w:p>
        </w:tc>
        <w:tc>
          <w:tcPr>
            <w:tcW w:w="66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20"/>
        </w:trPr>
        <w:tc>
          <w:tcPr>
            <w:tcW w:w="2460" w:type="dxa"/>
            <w:vAlign w:val="bottom"/>
            <w:vMerge w:val="continue"/>
          </w:tcPr>
          <w:p>
            <w:pPr>
              <w:spacing w:after="0"/>
              <w:rPr>
                <w:sz w:val="10"/>
                <w:szCs w:val="10"/>
                <w:color w:val="auto"/>
              </w:rPr>
            </w:pPr>
          </w:p>
        </w:tc>
        <w:tc>
          <w:tcPr>
            <w:tcW w:w="5420" w:type="dxa"/>
            <w:vAlign w:val="bottom"/>
            <w:vMerge w:val="continue"/>
          </w:tcPr>
          <w:p>
            <w:pPr>
              <w:spacing w:after="0"/>
              <w:rPr>
                <w:sz w:val="10"/>
                <w:szCs w:val="10"/>
                <w:color w:val="auto"/>
              </w:rPr>
            </w:pPr>
          </w:p>
        </w:tc>
        <w:tc>
          <w:tcPr>
            <w:tcW w:w="660" w:type="dxa"/>
            <w:vAlign w:val="bottom"/>
          </w:tcPr>
          <w:p>
            <w:pPr>
              <w:spacing w:after="0"/>
              <w:rPr>
                <w:sz w:val="10"/>
                <w:szCs w:val="10"/>
                <w:color w:val="auto"/>
              </w:rPr>
            </w:pPr>
          </w:p>
        </w:tc>
        <w:tc>
          <w:tcPr>
            <w:tcW w:w="1280" w:type="dxa"/>
            <w:vAlign w:val="bottom"/>
          </w:tcPr>
          <w:p>
            <w:pPr>
              <w:ind w:left="140"/>
              <w:spacing w:after="0" w:line="120" w:lineRule="exact"/>
              <w:rPr>
                <w:sz w:val="20"/>
                <w:szCs w:val="20"/>
                <w:color w:val="auto"/>
              </w:rPr>
            </w:pPr>
            <w:r>
              <w:rPr>
                <w:rFonts w:ascii="Arial" w:cs="Arial" w:eastAsia="Arial" w:hAnsi="Arial"/>
                <w:sz w:val="12"/>
                <w:szCs w:val="12"/>
                <w:color w:val="FFFFFF"/>
              </w:rPr>
              <w:t>Named Executive</w:t>
            </w: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2460" w:type="dxa"/>
            <w:vAlign w:val="bottom"/>
          </w:tcPr>
          <w:p>
            <w:pPr>
              <w:spacing w:after="0" w:line="183" w:lineRule="exact"/>
              <w:rPr>
                <w:sz w:val="20"/>
                <w:szCs w:val="20"/>
                <w:color w:val="auto"/>
              </w:rPr>
            </w:pPr>
            <w:r>
              <w:rPr>
                <w:rFonts w:ascii="Arial" w:cs="Arial" w:eastAsia="Arial" w:hAnsi="Arial"/>
                <w:sz w:val="19"/>
                <w:szCs w:val="19"/>
                <w:color w:val="auto"/>
              </w:rPr>
              <w:t>• Compensation Committee</w:t>
            </w:r>
          </w:p>
        </w:tc>
        <w:tc>
          <w:tcPr>
            <w:tcW w:w="5420" w:type="dxa"/>
            <w:vAlign w:val="bottom"/>
          </w:tcPr>
          <w:p>
            <w:pPr>
              <w:ind w:left="140"/>
              <w:spacing w:after="0"/>
              <w:rPr>
                <w:sz w:val="20"/>
                <w:szCs w:val="20"/>
                <w:color w:val="auto"/>
              </w:rPr>
            </w:pPr>
            <w:r>
              <w:rPr>
                <w:rFonts w:ascii="Arial" w:cs="Arial" w:eastAsia="Arial" w:hAnsi="Arial"/>
                <w:sz w:val="15"/>
                <w:szCs w:val="15"/>
                <w:color w:val="auto"/>
              </w:rPr>
              <w:t>planning and talent management, in part based on his success in leading</w:t>
            </w:r>
          </w:p>
        </w:tc>
        <w:tc>
          <w:tcPr>
            <w:tcW w:w="660" w:type="dxa"/>
            <w:vAlign w:val="bottom"/>
          </w:tcPr>
          <w:p>
            <w:pPr>
              <w:spacing w:after="0"/>
              <w:rPr>
                <w:sz w:val="15"/>
                <w:szCs w:val="15"/>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Officers</w:t>
            </w: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460" w:type="dxa"/>
            <w:vAlign w:val="bottom"/>
          </w:tcPr>
          <w:p>
            <w:pPr>
              <w:spacing w:after="0" w:line="202" w:lineRule="exact"/>
              <w:rPr>
                <w:sz w:val="20"/>
                <w:szCs w:val="20"/>
                <w:color w:val="auto"/>
              </w:rPr>
            </w:pPr>
            <w:r>
              <w:rPr>
                <w:rFonts w:ascii="Arial" w:cs="Arial" w:eastAsia="Arial" w:hAnsi="Arial"/>
                <w:sz w:val="19"/>
                <w:szCs w:val="19"/>
                <w:color w:val="auto"/>
              </w:rPr>
              <w:t>• Nominating and</w:t>
            </w:r>
          </w:p>
        </w:tc>
        <w:tc>
          <w:tcPr>
            <w:tcW w:w="5420" w:type="dxa"/>
            <w:vAlign w:val="bottom"/>
          </w:tcPr>
          <w:p>
            <w:pPr>
              <w:ind w:left="140"/>
              <w:spacing w:after="0"/>
              <w:rPr>
                <w:sz w:val="20"/>
                <w:szCs w:val="20"/>
                <w:color w:val="auto"/>
              </w:rPr>
            </w:pPr>
            <w:r>
              <w:rPr>
                <w:rFonts w:ascii="Arial" w:cs="Arial" w:eastAsia="Arial" w:hAnsi="Arial"/>
                <w:sz w:val="15"/>
                <w:szCs w:val="15"/>
                <w:color w:val="auto"/>
              </w:rPr>
              <w:t>OppenheimerFunds through a period of significant market turbulence; a deep</w:t>
            </w:r>
          </w:p>
        </w:tc>
        <w:tc>
          <w:tcPr>
            <w:tcW w:w="660" w:type="dxa"/>
            <w:vAlign w:val="bottom"/>
          </w:tcPr>
          <w:p>
            <w:pPr>
              <w:spacing w:after="0"/>
              <w:rPr>
                <w:sz w:val="17"/>
                <w:szCs w:val="17"/>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Pay Versus</w:t>
            </w: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2460" w:type="dxa"/>
            <w:vAlign w:val="bottom"/>
          </w:tcPr>
          <w:p>
            <w:pPr>
              <w:ind w:left="160"/>
              <w:spacing w:after="0" w:line="190" w:lineRule="exact"/>
              <w:rPr>
                <w:sz w:val="20"/>
                <w:szCs w:val="20"/>
                <w:color w:val="auto"/>
              </w:rPr>
            </w:pPr>
            <w:r>
              <w:rPr>
                <w:rFonts w:ascii="Arial" w:cs="Arial" w:eastAsia="Arial" w:hAnsi="Arial"/>
                <w:sz w:val="19"/>
                <w:szCs w:val="19"/>
                <w:color w:val="auto"/>
              </w:rPr>
              <w:t>Governance Committee</w:t>
            </w:r>
          </w:p>
        </w:tc>
        <w:tc>
          <w:tcPr>
            <w:tcW w:w="5420" w:type="dxa"/>
            <w:vAlign w:val="bottom"/>
          </w:tcPr>
          <w:p>
            <w:pPr>
              <w:ind w:left="140"/>
              <w:spacing w:after="0"/>
              <w:rPr>
                <w:sz w:val="20"/>
                <w:szCs w:val="20"/>
                <w:color w:val="auto"/>
              </w:rPr>
            </w:pPr>
            <w:r>
              <w:rPr>
                <w:rFonts w:ascii="Arial" w:cs="Arial" w:eastAsia="Arial" w:hAnsi="Arial"/>
                <w:sz w:val="15"/>
                <w:szCs w:val="15"/>
                <w:color w:val="auto"/>
              </w:rPr>
              <w:t>understanding of financial product distribution, compliance and operations,</w:t>
            </w:r>
          </w:p>
        </w:tc>
        <w:tc>
          <w:tcPr>
            <w:tcW w:w="660" w:type="dxa"/>
            <w:vAlign w:val="bottom"/>
          </w:tcPr>
          <w:p>
            <w:pPr>
              <w:spacing w:after="0"/>
              <w:rPr>
                <w:sz w:val="16"/>
                <w:szCs w:val="16"/>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Performance</w:t>
            </w: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4"/>
        </w:trPr>
        <w:tc>
          <w:tcPr>
            <w:tcW w:w="2460" w:type="dxa"/>
            <w:vAlign w:val="bottom"/>
            <w:vMerge w:val="restart"/>
          </w:tcPr>
          <w:p>
            <w:pPr>
              <w:spacing w:after="0"/>
              <w:rPr>
                <w:sz w:val="20"/>
                <w:szCs w:val="20"/>
                <w:color w:val="auto"/>
              </w:rPr>
            </w:pPr>
            <w:r>
              <w:rPr>
                <w:rFonts w:ascii="Arial" w:cs="Arial" w:eastAsia="Arial" w:hAnsi="Arial"/>
                <w:sz w:val="19"/>
                <w:szCs w:val="19"/>
                <w:b w:val="1"/>
                <w:bCs w:val="1"/>
                <w:color w:val="B95827"/>
              </w:rPr>
              <w:t>OTHER PUBLIC</w:t>
            </w:r>
          </w:p>
        </w:tc>
        <w:tc>
          <w:tcPr>
            <w:tcW w:w="5420" w:type="dxa"/>
            <w:vAlign w:val="bottom"/>
          </w:tcPr>
          <w:p>
            <w:pPr>
              <w:ind w:left="140"/>
              <w:spacing w:after="0" w:line="154" w:lineRule="exact"/>
              <w:rPr>
                <w:sz w:val="20"/>
                <w:szCs w:val="20"/>
                <w:color w:val="auto"/>
              </w:rPr>
            </w:pPr>
            <w:r>
              <w:rPr>
                <w:rFonts w:ascii="Arial" w:cs="Arial" w:eastAsia="Arial" w:hAnsi="Arial"/>
                <w:sz w:val="15"/>
                <w:szCs w:val="15"/>
                <w:color w:val="auto"/>
              </w:rPr>
              <w:t>including technology demands in the financial services industry; and</w:t>
            </w:r>
          </w:p>
        </w:tc>
        <w:tc>
          <w:tcPr>
            <w:tcW w:w="660" w:type="dxa"/>
            <w:vAlign w:val="bottom"/>
          </w:tcPr>
          <w:p>
            <w:pPr>
              <w:spacing w:after="0"/>
              <w:rPr>
                <w:sz w:val="13"/>
                <w:szCs w:val="13"/>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Disclosure</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2460" w:type="dxa"/>
            <w:vAlign w:val="bottom"/>
            <w:vMerge w:val="continue"/>
          </w:tcPr>
          <w:p>
            <w:pPr>
              <w:spacing w:after="0"/>
              <w:rPr>
                <w:sz w:val="15"/>
                <w:szCs w:val="15"/>
                <w:color w:val="auto"/>
              </w:rPr>
            </w:pPr>
          </w:p>
        </w:tc>
        <w:tc>
          <w:tcPr>
            <w:tcW w:w="5420" w:type="dxa"/>
            <w:vAlign w:val="bottom"/>
          </w:tcPr>
          <w:p>
            <w:pPr>
              <w:ind w:left="140"/>
              <w:spacing w:after="0"/>
              <w:rPr>
                <w:sz w:val="20"/>
                <w:szCs w:val="20"/>
                <w:color w:val="auto"/>
              </w:rPr>
            </w:pPr>
            <w:r>
              <w:rPr>
                <w:rFonts w:ascii="Arial" w:cs="Arial" w:eastAsia="Arial" w:hAnsi="Arial"/>
                <w:sz w:val="15"/>
                <w:szCs w:val="15"/>
                <w:color w:val="auto"/>
              </w:rPr>
              <w:t>experience overseeing broker-dealers, including MassMutual’s broker-dealer</w:t>
            </w:r>
          </w:p>
        </w:tc>
        <w:tc>
          <w:tcPr>
            <w:tcW w:w="660" w:type="dxa"/>
            <w:vAlign w:val="bottom"/>
          </w:tcPr>
          <w:p>
            <w:pPr>
              <w:spacing w:after="0"/>
              <w:rPr>
                <w:sz w:val="15"/>
                <w:szCs w:val="15"/>
                <w:color w:val="auto"/>
              </w:rPr>
            </w:pPr>
          </w:p>
        </w:tc>
        <w:tc>
          <w:tcPr>
            <w:tcW w:w="1280" w:type="dxa"/>
            <w:vAlign w:val="bottom"/>
            <w:vMerge w:val="restart"/>
          </w:tcPr>
          <w:p>
            <w:pPr>
              <w:ind w:left="140"/>
              <w:spacing w:after="0"/>
              <w:rPr>
                <w:sz w:val="20"/>
                <w:szCs w:val="20"/>
                <w:color w:val="auto"/>
              </w:rPr>
            </w:pPr>
            <w:r>
              <w:rPr>
                <w:rFonts w:ascii="Arial" w:cs="Arial" w:eastAsia="Arial" w:hAnsi="Arial"/>
                <w:sz w:val="12"/>
                <w:szCs w:val="12"/>
                <w:color w:val="FFFFFF"/>
              </w:rPr>
              <w:t>Security</w:t>
            </w: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1"/>
        </w:trPr>
        <w:tc>
          <w:tcPr>
            <w:tcW w:w="2460" w:type="dxa"/>
            <w:vAlign w:val="bottom"/>
            <w:vMerge w:val="restart"/>
          </w:tcPr>
          <w:p>
            <w:pPr>
              <w:spacing w:after="0" w:line="199" w:lineRule="exact"/>
              <w:rPr>
                <w:sz w:val="20"/>
                <w:szCs w:val="20"/>
                <w:color w:val="auto"/>
              </w:rPr>
            </w:pPr>
            <w:r>
              <w:rPr>
                <w:rFonts w:ascii="Arial" w:cs="Arial" w:eastAsia="Arial" w:hAnsi="Arial"/>
                <w:sz w:val="19"/>
                <w:szCs w:val="19"/>
                <w:b w:val="1"/>
                <w:bCs w:val="1"/>
                <w:color w:val="B95827"/>
              </w:rPr>
              <w:t>COMPANY BOARDS</w:t>
            </w:r>
          </w:p>
        </w:tc>
        <w:tc>
          <w:tcPr>
            <w:tcW w:w="5420" w:type="dxa"/>
            <w:vAlign w:val="bottom"/>
            <w:vMerge w:val="restart"/>
          </w:tcPr>
          <w:p>
            <w:pPr>
              <w:ind w:left="140"/>
              <w:spacing w:after="0"/>
              <w:rPr>
                <w:sz w:val="20"/>
                <w:szCs w:val="20"/>
                <w:color w:val="auto"/>
              </w:rPr>
            </w:pPr>
            <w:r>
              <w:rPr>
                <w:rFonts w:ascii="Arial" w:cs="Arial" w:eastAsia="Arial" w:hAnsi="Arial"/>
                <w:sz w:val="15"/>
                <w:szCs w:val="15"/>
                <w:color w:val="auto"/>
              </w:rPr>
              <w:t>MML Investor Services, LLC.</w:t>
            </w:r>
          </w:p>
        </w:tc>
        <w:tc>
          <w:tcPr>
            <w:tcW w:w="66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8"/>
        </w:trPr>
        <w:tc>
          <w:tcPr>
            <w:tcW w:w="2460" w:type="dxa"/>
            <w:vAlign w:val="bottom"/>
            <w:vMerge w:val="continue"/>
          </w:tcPr>
          <w:p>
            <w:pPr>
              <w:spacing w:after="0"/>
              <w:rPr>
                <w:sz w:val="11"/>
                <w:szCs w:val="11"/>
                <w:color w:val="auto"/>
              </w:rPr>
            </w:pPr>
          </w:p>
        </w:tc>
        <w:tc>
          <w:tcPr>
            <w:tcW w:w="5420" w:type="dxa"/>
            <w:vAlign w:val="bottom"/>
            <w:vMerge w:val="continue"/>
          </w:tcPr>
          <w:p>
            <w:pPr>
              <w:spacing w:after="0"/>
              <w:rPr>
                <w:sz w:val="11"/>
                <w:szCs w:val="11"/>
                <w:color w:val="auto"/>
              </w:rPr>
            </w:pPr>
          </w:p>
        </w:tc>
        <w:tc>
          <w:tcPr>
            <w:tcW w:w="660" w:type="dxa"/>
            <w:vAlign w:val="bottom"/>
          </w:tcPr>
          <w:p>
            <w:pPr>
              <w:spacing w:after="0"/>
              <w:rPr>
                <w:sz w:val="11"/>
                <w:szCs w:val="11"/>
                <w:color w:val="auto"/>
              </w:rPr>
            </w:pPr>
          </w:p>
        </w:tc>
        <w:tc>
          <w:tcPr>
            <w:tcW w:w="1280" w:type="dxa"/>
            <w:vAlign w:val="bottom"/>
          </w:tcPr>
          <w:p>
            <w:pPr>
              <w:ind w:left="140"/>
              <w:spacing w:after="0" w:line="128" w:lineRule="exact"/>
              <w:rPr>
                <w:sz w:val="20"/>
                <w:szCs w:val="20"/>
                <w:color w:val="auto"/>
              </w:rPr>
            </w:pPr>
            <w:r>
              <w:rPr>
                <w:rFonts w:ascii="Arial" w:cs="Arial" w:eastAsia="Arial" w:hAnsi="Arial"/>
                <w:sz w:val="12"/>
                <w:szCs w:val="12"/>
                <w:color w:val="FFFFFF"/>
              </w:rPr>
              <w:t>Ownership of</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460" w:type="dxa"/>
            <w:vAlign w:val="bottom"/>
            <w:vMerge w:val="restart"/>
          </w:tcPr>
          <w:p>
            <w:pPr>
              <w:spacing w:after="0"/>
              <w:rPr>
                <w:sz w:val="20"/>
                <w:szCs w:val="20"/>
                <w:color w:val="auto"/>
              </w:rPr>
            </w:pPr>
            <w:r>
              <w:rPr>
                <w:rFonts w:ascii="Arial" w:cs="Arial" w:eastAsia="Arial" w:hAnsi="Arial"/>
                <w:sz w:val="15"/>
                <w:szCs w:val="15"/>
                <w:b w:val="1"/>
                <w:bCs w:val="1"/>
                <w:color w:val="auto"/>
              </w:rPr>
              <w:t>Current</w:t>
            </w:r>
          </w:p>
        </w:tc>
        <w:tc>
          <w:tcPr>
            <w:tcW w:w="5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80" w:type="dxa"/>
            <w:vAlign w:val="bottom"/>
          </w:tcPr>
          <w:p>
            <w:pPr>
              <w:ind w:left="140"/>
              <w:spacing w:after="0" w:line="128" w:lineRule="exact"/>
              <w:rPr>
                <w:sz w:val="20"/>
                <w:szCs w:val="20"/>
                <w:color w:val="auto"/>
              </w:rPr>
            </w:pPr>
            <w:r>
              <w:rPr>
                <w:rFonts w:ascii="Arial" w:cs="Arial" w:eastAsia="Arial" w:hAnsi="Arial"/>
                <w:sz w:val="12"/>
                <w:szCs w:val="12"/>
                <w:color w:val="FFFFFF"/>
              </w:rPr>
              <w:t>Certain Beneficial</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460" w:type="dxa"/>
            <w:vAlign w:val="bottom"/>
            <w:vMerge w:val="continue"/>
          </w:tcPr>
          <w:p>
            <w:pPr>
              <w:spacing w:after="0"/>
              <w:rPr>
                <w:sz w:val="13"/>
                <w:szCs w:val="13"/>
                <w:color w:val="auto"/>
              </w:rPr>
            </w:pPr>
          </w:p>
        </w:tc>
        <w:tc>
          <w:tcPr>
            <w:tcW w:w="54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Owners and</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460" w:type="dxa"/>
            <w:vAlign w:val="bottom"/>
            <w:vMerge w:val="restart"/>
          </w:tcPr>
          <w:p>
            <w:pPr>
              <w:spacing w:after="0"/>
              <w:rPr>
                <w:sz w:val="20"/>
                <w:szCs w:val="20"/>
                <w:color w:val="auto"/>
              </w:rPr>
            </w:pPr>
            <w:r>
              <w:rPr>
                <w:rFonts w:ascii="Arial" w:cs="Arial" w:eastAsia="Arial" w:hAnsi="Arial"/>
                <w:sz w:val="19"/>
                <w:szCs w:val="19"/>
                <w:color w:val="auto"/>
              </w:rPr>
              <w:t>• Invesco Ltd.</w:t>
            </w:r>
          </w:p>
        </w:tc>
        <w:tc>
          <w:tcPr>
            <w:tcW w:w="54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Management</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2460" w:type="dxa"/>
            <w:vAlign w:val="bottom"/>
            <w:vMerge w:val="continue"/>
          </w:tcPr>
          <w:p>
            <w:pPr>
              <w:spacing w:after="0"/>
              <w:rPr>
                <w:sz w:val="9"/>
                <w:szCs w:val="9"/>
                <w:color w:val="auto"/>
              </w:rPr>
            </w:pPr>
          </w:p>
        </w:tc>
        <w:tc>
          <w:tcPr>
            <w:tcW w:w="54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80" w:type="dxa"/>
            <w:vAlign w:val="bottom"/>
            <w:vMerge w:val="restart"/>
          </w:tcPr>
          <w:p>
            <w:pPr>
              <w:ind w:left="140"/>
              <w:spacing w:after="0"/>
              <w:rPr>
                <w:sz w:val="20"/>
                <w:szCs w:val="20"/>
                <w:color w:val="auto"/>
              </w:rPr>
            </w:pPr>
            <w:r>
              <w:rPr>
                <w:rFonts w:ascii="Arial" w:cs="Arial" w:eastAsia="Arial" w:hAnsi="Arial"/>
                <w:sz w:val="12"/>
                <w:szCs w:val="12"/>
                <w:color w:val="FFFFFF"/>
              </w:rPr>
              <w:t>Certain</w:t>
            </w: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7"/>
        </w:trPr>
        <w:tc>
          <w:tcPr>
            <w:tcW w:w="2460" w:type="dxa"/>
            <w:vAlign w:val="bottom"/>
            <w:vMerge w:val="restart"/>
          </w:tcPr>
          <w:p>
            <w:pPr>
              <w:spacing w:after="0"/>
              <w:rPr>
                <w:sz w:val="20"/>
                <w:szCs w:val="20"/>
                <w:color w:val="auto"/>
              </w:rPr>
            </w:pPr>
            <w:r>
              <w:rPr>
                <w:rFonts w:ascii="Arial" w:cs="Arial" w:eastAsia="Arial" w:hAnsi="Arial"/>
                <w:sz w:val="15"/>
                <w:szCs w:val="15"/>
                <w:b w:val="1"/>
                <w:bCs w:val="1"/>
                <w:color w:val="auto"/>
              </w:rPr>
              <w:t>Past 5 Years</w:t>
            </w:r>
          </w:p>
        </w:tc>
        <w:tc>
          <w:tcPr>
            <w:tcW w:w="5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80" w:type="dxa"/>
            <w:vAlign w:val="bottom"/>
            <w:vMerge w:val="continue"/>
          </w:tcPr>
          <w:p>
            <w:pPr>
              <w:spacing w:after="0"/>
              <w:rPr>
                <w:sz w:val="11"/>
                <w:szCs w:val="11"/>
                <w:color w:val="auto"/>
              </w:rPr>
            </w:pP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460" w:type="dxa"/>
            <w:vAlign w:val="bottom"/>
            <w:vMerge w:val="continue"/>
          </w:tcPr>
          <w:p>
            <w:pPr>
              <w:spacing w:after="0"/>
              <w:rPr>
                <w:sz w:val="12"/>
                <w:szCs w:val="12"/>
                <w:color w:val="auto"/>
              </w:rPr>
            </w:pPr>
          </w:p>
        </w:tc>
        <w:tc>
          <w:tcPr>
            <w:tcW w:w="54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Relationships and</w:t>
            </w: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341630</wp:posOffset>
            </wp:positionH>
            <wp:positionV relativeFrom="paragraph">
              <wp:posOffset>-3650615</wp:posOffset>
            </wp:positionV>
            <wp:extent cx="1499235" cy="157226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499235" cy="1572260"/>
                    </a:xfrm>
                    <a:prstGeom prst="rect">
                      <a:avLst/>
                    </a:prstGeom>
                    <a:noFill/>
                  </pic:spPr>
                </pic:pic>
              </a:graphicData>
            </a:graphic>
          </wp:anchor>
        </w:drawing>
      </w:r>
    </w:p>
    <w:tbl>
      <w:tblPr>
        <w:tblLayout w:type="fixed"/>
        <w:tblInd w:w="540" w:type="dxa"/>
        <w:tblCellMar>
          <w:top w:w="0" w:type="dxa"/>
          <w:left w:w="0" w:type="dxa"/>
          <w:bottom w:w="0" w:type="dxa"/>
          <w:right w:w="0" w:type="dxa"/>
        </w:tblCellMar>
      </w:tblPr>
      <w:tr>
        <w:trPr>
          <w:trHeight w:val="116"/>
        </w:trPr>
        <w:tc>
          <w:tcPr>
            <w:tcW w:w="4640" w:type="dxa"/>
            <w:vAlign w:val="bottom"/>
            <w:vMerge w:val="restart"/>
          </w:tcPr>
          <w:p>
            <w:pPr>
              <w:spacing w:after="0"/>
              <w:rPr>
                <w:sz w:val="20"/>
                <w:szCs w:val="20"/>
                <w:color w:val="auto"/>
              </w:rPr>
            </w:pPr>
            <w:r>
              <w:rPr>
                <w:rFonts w:ascii="Arial" w:cs="Arial" w:eastAsia="Arial" w:hAnsi="Arial"/>
                <w:sz w:val="19"/>
                <w:szCs w:val="19"/>
                <w:color w:val="auto"/>
              </w:rPr>
              <w:t>• None</w:t>
            </w:r>
          </w:p>
        </w:tc>
        <w:tc>
          <w:tcPr>
            <w:tcW w:w="5000" w:type="dxa"/>
            <w:vAlign w:val="bottom"/>
          </w:tcPr>
          <w:p>
            <w:pPr>
              <w:ind w:left="4040"/>
              <w:spacing w:after="0" w:line="116" w:lineRule="exact"/>
              <w:rPr>
                <w:sz w:val="20"/>
                <w:szCs w:val="20"/>
                <w:color w:val="auto"/>
              </w:rPr>
            </w:pPr>
            <w:r>
              <w:rPr>
                <w:rFonts w:ascii="Arial" w:cs="Arial" w:eastAsia="Arial" w:hAnsi="Arial"/>
                <w:sz w:val="12"/>
                <w:szCs w:val="12"/>
                <w:color w:val="FFFFFF"/>
              </w:rPr>
              <w:t>Related Party</w:t>
            </w:r>
          </w:p>
        </w:tc>
        <w:tc>
          <w:tcPr>
            <w:tcW w:w="0" w:type="dxa"/>
            <w:vAlign w:val="bottom"/>
          </w:tcPr>
          <w:p>
            <w:pPr>
              <w:spacing w:after="0"/>
              <w:rPr>
                <w:sz w:val="1"/>
                <w:szCs w:val="1"/>
                <w:color w:val="auto"/>
              </w:rPr>
            </w:pPr>
          </w:p>
        </w:tc>
      </w:tr>
      <w:tr>
        <w:trPr>
          <w:trHeight w:val="120"/>
        </w:trPr>
        <w:tc>
          <w:tcPr>
            <w:tcW w:w="4640" w:type="dxa"/>
            <w:vAlign w:val="bottom"/>
            <w:vMerge w:val="continue"/>
          </w:tcPr>
          <w:p>
            <w:pPr>
              <w:spacing w:after="0"/>
              <w:rPr>
                <w:sz w:val="10"/>
                <w:szCs w:val="10"/>
                <w:color w:val="auto"/>
              </w:rPr>
            </w:pPr>
          </w:p>
        </w:tc>
        <w:tc>
          <w:tcPr>
            <w:tcW w:w="5000" w:type="dxa"/>
            <w:vAlign w:val="bottom"/>
            <w:vMerge w:val="restart"/>
          </w:tcPr>
          <w:p>
            <w:pPr>
              <w:ind w:left="4040"/>
              <w:spacing w:after="0"/>
              <w:rPr>
                <w:sz w:val="20"/>
                <w:szCs w:val="20"/>
                <w:color w:val="auto"/>
              </w:rPr>
            </w:pPr>
            <w:r>
              <w:rPr>
                <w:rFonts w:ascii="Arial" w:cs="Arial" w:eastAsia="Arial" w:hAnsi="Arial"/>
                <w:sz w:val="12"/>
                <w:szCs w:val="12"/>
                <w:color w:val="FFFFFF"/>
              </w:rPr>
              <w:t>Transactions</w:t>
            </w:r>
          </w:p>
        </w:tc>
        <w:tc>
          <w:tcPr>
            <w:tcW w:w="0" w:type="dxa"/>
            <w:vAlign w:val="bottom"/>
          </w:tcPr>
          <w:p>
            <w:pPr>
              <w:spacing w:after="0"/>
              <w:rPr>
                <w:sz w:val="1"/>
                <w:szCs w:val="1"/>
                <w:color w:val="auto"/>
              </w:rPr>
            </w:pPr>
          </w:p>
        </w:tc>
      </w:tr>
      <w:tr>
        <w:trPr>
          <w:trHeight w:val="38"/>
        </w:trPr>
        <w:tc>
          <w:tcPr>
            <w:tcW w:w="4640" w:type="dxa"/>
            <w:vAlign w:val="bottom"/>
          </w:tcPr>
          <w:p>
            <w:pPr>
              <w:spacing w:after="0"/>
              <w:rPr>
                <w:sz w:val="3"/>
                <w:szCs w:val="3"/>
                <w:color w:val="auto"/>
              </w:rPr>
            </w:pPr>
          </w:p>
        </w:tc>
        <w:tc>
          <w:tcPr>
            <w:tcW w:w="50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94"/>
        </w:trPr>
        <w:tc>
          <w:tcPr>
            <w:tcW w:w="4640" w:type="dxa"/>
            <w:vAlign w:val="bottom"/>
          </w:tcPr>
          <w:p>
            <w:pPr>
              <w:spacing w:after="0"/>
              <w:rPr>
                <w:sz w:val="24"/>
                <w:szCs w:val="24"/>
                <w:color w:val="auto"/>
              </w:rPr>
            </w:pPr>
          </w:p>
        </w:tc>
        <w:tc>
          <w:tcPr>
            <w:tcW w:w="5000" w:type="dxa"/>
            <w:vAlign w:val="bottom"/>
          </w:tcPr>
          <w:p>
            <w:pPr>
              <w:ind w:left="4040"/>
              <w:spacing w:after="0"/>
              <w:rPr>
                <w:sz w:val="20"/>
                <w:szCs w:val="20"/>
                <w:color w:val="auto"/>
              </w:rPr>
            </w:pPr>
            <w:r>
              <w:rPr>
                <w:rFonts w:ascii="Arial" w:cs="Arial" w:eastAsia="Arial" w:hAnsi="Arial"/>
                <w:sz w:val="12"/>
                <w:szCs w:val="12"/>
                <w:color w:val="FFFFFF"/>
              </w:rPr>
              <w:t>Proposal 2</w:t>
            </w:r>
          </w:p>
        </w:tc>
        <w:tc>
          <w:tcPr>
            <w:tcW w:w="0" w:type="dxa"/>
            <w:vAlign w:val="bottom"/>
          </w:tcPr>
          <w:p>
            <w:pPr>
              <w:spacing w:after="0"/>
              <w:rPr>
                <w:sz w:val="1"/>
                <w:szCs w:val="1"/>
                <w:color w:val="auto"/>
              </w:rPr>
            </w:pPr>
          </w:p>
        </w:tc>
      </w:tr>
      <w:tr>
        <w:trPr>
          <w:trHeight w:val="263"/>
        </w:trPr>
        <w:tc>
          <w:tcPr>
            <w:tcW w:w="4640" w:type="dxa"/>
            <w:vAlign w:val="bottom"/>
          </w:tcPr>
          <w:p>
            <w:pPr>
              <w:spacing w:after="0"/>
              <w:rPr>
                <w:sz w:val="22"/>
                <w:szCs w:val="22"/>
                <w:color w:val="auto"/>
              </w:rPr>
            </w:pPr>
          </w:p>
        </w:tc>
        <w:tc>
          <w:tcPr>
            <w:tcW w:w="5000" w:type="dxa"/>
            <w:vAlign w:val="bottom"/>
          </w:tcPr>
          <w:p>
            <w:pPr>
              <w:ind w:left="4040"/>
              <w:spacing w:after="0"/>
              <w:rPr>
                <w:sz w:val="20"/>
                <w:szCs w:val="20"/>
                <w:color w:val="auto"/>
              </w:rPr>
            </w:pPr>
            <w:r>
              <w:rPr>
                <w:rFonts w:ascii="Arial" w:cs="Arial" w:eastAsia="Arial" w:hAnsi="Arial"/>
                <w:sz w:val="12"/>
                <w:szCs w:val="12"/>
                <w:color w:val="FFFFFF"/>
              </w:rPr>
              <w:t>Report of the</w:t>
            </w:r>
          </w:p>
        </w:tc>
        <w:tc>
          <w:tcPr>
            <w:tcW w:w="0" w:type="dxa"/>
            <w:vAlign w:val="bottom"/>
          </w:tcPr>
          <w:p>
            <w:pPr>
              <w:spacing w:after="0"/>
              <w:rPr>
                <w:sz w:val="1"/>
                <w:szCs w:val="1"/>
                <w:color w:val="auto"/>
              </w:rPr>
            </w:pPr>
          </w:p>
        </w:tc>
      </w:tr>
      <w:tr>
        <w:trPr>
          <w:trHeight w:val="128"/>
        </w:trPr>
        <w:tc>
          <w:tcPr>
            <w:tcW w:w="4640" w:type="dxa"/>
            <w:vAlign w:val="bottom"/>
          </w:tcPr>
          <w:p>
            <w:pPr>
              <w:spacing w:after="0"/>
              <w:rPr>
                <w:sz w:val="11"/>
                <w:szCs w:val="11"/>
                <w:color w:val="auto"/>
              </w:rPr>
            </w:pPr>
          </w:p>
        </w:tc>
        <w:tc>
          <w:tcPr>
            <w:tcW w:w="5000" w:type="dxa"/>
            <w:vAlign w:val="bottom"/>
          </w:tcPr>
          <w:p>
            <w:pPr>
              <w:ind w:left="4040"/>
              <w:spacing w:after="0" w:line="128" w:lineRule="exact"/>
              <w:rPr>
                <w:sz w:val="20"/>
                <w:szCs w:val="20"/>
                <w:color w:val="auto"/>
              </w:rPr>
            </w:pPr>
            <w:r>
              <w:rPr>
                <w:rFonts w:ascii="Arial" w:cs="Arial" w:eastAsia="Arial" w:hAnsi="Arial"/>
                <w:sz w:val="12"/>
                <w:szCs w:val="12"/>
                <w:color w:val="FFFFFF"/>
              </w:rPr>
              <w:t>Audit and Risk</w:t>
            </w:r>
          </w:p>
        </w:tc>
        <w:tc>
          <w:tcPr>
            <w:tcW w:w="0" w:type="dxa"/>
            <w:vAlign w:val="bottom"/>
          </w:tcPr>
          <w:p>
            <w:pPr>
              <w:spacing w:after="0"/>
              <w:rPr>
                <w:sz w:val="1"/>
                <w:szCs w:val="1"/>
                <w:color w:val="auto"/>
              </w:rPr>
            </w:pPr>
          </w:p>
        </w:tc>
      </w:tr>
      <w:tr>
        <w:trPr>
          <w:trHeight w:val="128"/>
        </w:trPr>
        <w:tc>
          <w:tcPr>
            <w:tcW w:w="4640" w:type="dxa"/>
            <w:vAlign w:val="bottom"/>
          </w:tcPr>
          <w:p>
            <w:pPr>
              <w:spacing w:after="0"/>
              <w:rPr>
                <w:sz w:val="11"/>
                <w:szCs w:val="11"/>
                <w:color w:val="auto"/>
              </w:rPr>
            </w:pPr>
          </w:p>
        </w:tc>
        <w:tc>
          <w:tcPr>
            <w:tcW w:w="5000" w:type="dxa"/>
            <w:vAlign w:val="bottom"/>
          </w:tcPr>
          <w:p>
            <w:pPr>
              <w:ind w:left="4040"/>
              <w:spacing w:after="0" w:line="128" w:lineRule="exact"/>
              <w:rPr>
                <w:sz w:val="20"/>
                <w:szCs w:val="20"/>
                <w:color w:val="auto"/>
              </w:rPr>
            </w:pPr>
            <w:r>
              <w:rPr>
                <w:rFonts w:ascii="Arial" w:cs="Arial" w:eastAsia="Arial" w:hAnsi="Arial"/>
                <w:sz w:val="12"/>
                <w:szCs w:val="12"/>
                <w:color w:val="FFFFFF"/>
              </w:rPr>
              <w:t>Committee of the</w:t>
            </w:r>
          </w:p>
        </w:tc>
        <w:tc>
          <w:tcPr>
            <w:tcW w:w="0" w:type="dxa"/>
            <w:vAlign w:val="bottom"/>
          </w:tcPr>
          <w:p>
            <w:pPr>
              <w:spacing w:after="0"/>
              <w:rPr>
                <w:sz w:val="1"/>
                <w:szCs w:val="1"/>
                <w:color w:val="auto"/>
              </w:rPr>
            </w:pPr>
          </w:p>
        </w:tc>
      </w:tr>
      <w:tr>
        <w:trPr>
          <w:trHeight w:val="158"/>
        </w:trPr>
        <w:tc>
          <w:tcPr>
            <w:tcW w:w="4640" w:type="dxa"/>
            <w:vAlign w:val="bottom"/>
          </w:tcPr>
          <w:p>
            <w:pPr>
              <w:spacing w:after="0"/>
              <w:rPr>
                <w:sz w:val="13"/>
                <w:szCs w:val="13"/>
                <w:color w:val="auto"/>
              </w:rPr>
            </w:pPr>
          </w:p>
        </w:tc>
        <w:tc>
          <w:tcPr>
            <w:tcW w:w="5000" w:type="dxa"/>
            <w:vAlign w:val="bottom"/>
          </w:tcPr>
          <w:p>
            <w:pPr>
              <w:ind w:left="4040"/>
              <w:spacing w:after="0"/>
              <w:rPr>
                <w:sz w:val="20"/>
                <w:szCs w:val="20"/>
                <w:color w:val="auto"/>
              </w:rPr>
            </w:pPr>
            <w:r>
              <w:rPr>
                <w:rFonts w:ascii="Arial" w:cs="Arial" w:eastAsia="Arial" w:hAnsi="Arial"/>
                <w:sz w:val="12"/>
                <w:szCs w:val="12"/>
                <w:color w:val="FFFFFF"/>
                <w:w w:val="97"/>
              </w:rPr>
              <w:t>Board of Directors</w:t>
            </w:r>
          </w:p>
        </w:tc>
        <w:tc>
          <w:tcPr>
            <w:tcW w:w="0" w:type="dxa"/>
            <w:vAlign w:val="bottom"/>
          </w:tcPr>
          <w:p>
            <w:pPr>
              <w:spacing w:after="0"/>
              <w:rPr>
                <w:sz w:val="1"/>
                <w:szCs w:val="1"/>
                <w:color w:val="auto"/>
              </w:rPr>
            </w:pPr>
          </w:p>
        </w:tc>
      </w:tr>
      <w:tr>
        <w:trPr>
          <w:trHeight w:val="294"/>
        </w:trPr>
        <w:tc>
          <w:tcPr>
            <w:tcW w:w="4640" w:type="dxa"/>
            <w:vAlign w:val="bottom"/>
          </w:tcPr>
          <w:p>
            <w:pPr>
              <w:spacing w:after="0"/>
              <w:rPr>
                <w:sz w:val="24"/>
                <w:szCs w:val="24"/>
                <w:color w:val="auto"/>
              </w:rPr>
            </w:pPr>
          </w:p>
        </w:tc>
        <w:tc>
          <w:tcPr>
            <w:tcW w:w="5000" w:type="dxa"/>
            <w:vAlign w:val="bottom"/>
          </w:tcPr>
          <w:p>
            <w:pPr>
              <w:ind w:left="4040"/>
              <w:spacing w:after="0"/>
              <w:rPr>
                <w:sz w:val="20"/>
                <w:szCs w:val="20"/>
                <w:color w:val="auto"/>
              </w:rPr>
            </w:pPr>
            <w:r>
              <w:rPr>
                <w:rFonts w:ascii="Arial" w:cs="Arial" w:eastAsia="Arial" w:hAnsi="Arial"/>
                <w:sz w:val="12"/>
                <w:szCs w:val="12"/>
                <w:color w:val="FFFFFF"/>
              </w:rPr>
              <w:t>Proposal 3</w:t>
            </w:r>
          </w:p>
        </w:tc>
        <w:tc>
          <w:tcPr>
            <w:tcW w:w="0" w:type="dxa"/>
            <w:vAlign w:val="bottom"/>
          </w:tcPr>
          <w:p>
            <w:pPr>
              <w:spacing w:after="0"/>
              <w:rPr>
                <w:sz w:val="1"/>
                <w:szCs w:val="1"/>
                <w:color w:val="auto"/>
              </w:rPr>
            </w:pPr>
          </w:p>
        </w:tc>
      </w:tr>
      <w:tr>
        <w:trPr>
          <w:trHeight w:val="294"/>
        </w:trPr>
        <w:tc>
          <w:tcPr>
            <w:tcW w:w="4640" w:type="dxa"/>
            <w:vAlign w:val="bottom"/>
          </w:tcPr>
          <w:p>
            <w:pPr>
              <w:spacing w:after="0"/>
              <w:rPr>
                <w:sz w:val="24"/>
                <w:szCs w:val="24"/>
                <w:color w:val="auto"/>
              </w:rPr>
            </w:pPr>
          </w:p>
        </w:tc>
        <w:tc>
          <w:tcPr>
            <w:tcW w:w="5000" w:type="dxa"/>
            <w:vAlign w:val="bottom"/>
          </w:tcPr>
          <w:p>
            <w:pPr>
              <w:ind w:left="4040"/>
              <w:spacing w:after="0"/>
              <w:rPr>
                <w:sz w:val="20"/>
                <w:szCs w:val="20"/>
                <w:color w:val="auto"/>
              </w:rPr>
            </w:pPr>
            <w:r>
              <w:rPr>
                <w:rFonts w:ascii="Arial" w:cs="Arial" w:eastAsia="Arial" w:hAnsi="Arial"/>
                <w:sz w:val="12"/>
                <w:szCs w:val="12"/>
                <w:color w:val="FFFFFF"/>
              </w:rPr>
              <w:t>Proposal 4</w:t>
            </w:r>
          </w:p>
        </w:tc>
        <w:tc>
          <w:tcPr>
            <w:tcW w:w="0" w:type="dxa"/>
            <w:vAlign w:val="bottom"/>
          </w:tcPr>
          <w:p>
            <w:pPr>
              <w:spacing w:after="0"/>
              <w:rPr>
                <w:sz w:val="1"/>
                <w:szCs w:val="1"/>
                <w:color w:val="auto"/>
              </w:rPr>
            </w:pPr>
          </w:p>
        </w:tc>
      </w:tr>
      <w:tr>
        <w:trPr>
          <w:trHeight w:val="294"/>
        </w:trPr>
        <w:tc>
          <w:tcPr>
            <w:tcW w:w="4640" w:type="dxa"/>
            <w:vAlign w:val="bottom"/>
          </w:tcPr>
          <w:p>
            <w:pPr>
              <w:spacing w:after="0"/>
              <w:rPr>
                <w:sz w:val="24"/>
                <w:szCs w:val="24"/>
                <w:color w:val="auto"/>
              </w:rPr>
            </w:pPr>
          </w:p>
        </w:tc>
        <w:tc>
          <w:tcPr>
            <w:tcW w:w="5000" w:type="dxa"/>
            <w:vAlign w:val="bottom"/>
          </w:tcPr>
          <w:p>
            <w:pPr>
              <w:ind w:left="4040"/>
              <w:spacing w:after="0"/>
              <w:rPr>
                <w:sz w:val="20"/>
                <w:szCs w:val="20"/>
                <w:color w:val="auto"/>
              </w:rPr>
            </w:pPr>
            <w:r>
              <w:rPr>
                <w:rFonts w:ascii="Arial" w:cs="Arial" w:eastAsia="Arial" w:hAnsi="Arial"/>
                <w:sz w:val="12"/>
                <w:szCs w:val="12"/>
                <w:color w:val="FFFFFF"/>
              </w:rPr>
              <w:t>Proposal 5</w:t>
            </w:r>
          </w:p>
        </w:tc>
        <w:tc>
          <w:tcPr>
            <w:tcW w:w="0" w:type="dxa"/>
            <w:vAlign w:val="bottom"/>
          </w:tcPr>
          <w:p>
            <w:pPr>
              <w:spacing w:after="0"/>
              <w:rPr>
                <w:sz w:val="1"/>
                <w:szCs w:val="1"/>
                <w:color w:val="auto"/>
              </w:rPr>
            </w:pPr>
          </w:p>
        </w:tc>
      </w:tr>
      <w:tr>
        <w:trPr>
          <w:trHeight w:val="294"/>
        </w:trPr>
        <w:tc>
          <w:tcPr>
            <w:tcW w:w="4640" w:type="dxa"/>
            <w:vAlign w:val="bottom"/>
          </w:tcPr>
          <w:p>
            <w:pPr>
              <w:spacing w:after="0"/>
              <w:rPr>
                <w:sz w:val="24"/>
                <w:szCs w:val="24"/>
                <w:color w:val="auto"/>
              </w:rPr>
            </w:pPr>
          </w:p>
        </w:tc>
        <w:tc>
          <w:tcPr>
            <w:tcW w:w="5000" w:type="dxa"/>
            <w:vAlign w:val="bottom"/>
          </w:tcPr>
          <w:p>
            <w:pPr>
              <w:ind w:left="4040"/>
              <w:spacing w:after="0"/>
              <w:rPr>
                <w:sz w:val="20"/>
                <w:szCs w:val="20"/>
                <w:color w:val="auto"/>
              </w:rPr>
            </w:pPr>
            <w:r>
              <w:rPr>
                <w:rFonts w:ascii="Arial" w:cs="Arial" w:eastAsia="Arial" w:hAnsi="Arial"/>
                <w:sz w:val="12"/>
                <w:szCs w:val="12"/>
                <w:color w:val="FFFFFF"/>
              </w:rPr>
              <w:t>Proposal 6</w:t>
            </w:r>
          </w:p>
        </w:tc>
        <w:tc>
          <w:tcPr>
            <w:tcW w:w="0" w:type="dxa"/>
            <w:vAlign w:val="bottom"/>
          </w:tcPr>
          <w:p>
            <w:pPr>
              <w:spacing w:after="0"/>
              <w:rPr>
                <w:sz w:val="1"/>
                <w:szCs w:val="1"/>
                <w:color w:val="auto"/>
              </w:rPr>
            </w:pPr>
          </w:p>
        </w:tc>
      </w:tr>
      <w:tr>
        <w:trPr>
          <w:trHeight w:val="263"/>
        </w:trPr>
        <w:tc>
          <w:tcPr>
            <w:tcW w:w="4640" w:type="dxa"/>
            <w:vAlign w:val="bottom"/>
          </w:tcPr>
          <w:p>
            <w:pPr>
              <w:spacing w:after="0"/>
              <w:rPr>
                <w:sz w:val="22"/>
                <w:szCs w:val="22"/>
                <w:color w:val="auto"/>
              </w:rPr>
            </w:pPr>
          </w:p>
        </w:tc>
        <w:tc>
          <w:tcPr>
            <w:tcW w:w="5000" w:type="dxa"/>
            <w:vAlign w:val="bottom"/>
          </w:tcPr>
          <w:p>
            <w:pPr>
              <w:ind w:left="4040"/>
              <w:spacing w:after="0"/>
              <w:rPr>
                <w:sz w:val="20"/>
                <w:szCs w:val="20"/>
                <w:color w:val="auto"/>
              </w:rPr>
            </w:pPr>
            <w:r>
              <w:rPr>
                <w:rFonts w:ascii="Arial" w:cs="Arial" w:eastAsia="Arial" w:hAnsi="Arial"/>
                <w:sz w:val="12"/>
                <w:szCs w:val="12"/>
                <w:color w:val="FFFFFF"/>
              </w:rPr>
              <w:t>Stockholder</w:t>
            </w:r>
          </w:p>
        </w:tc>
        <w:tc>
          <w:tcPr>
            <w:tcW w:w="0" w:type="dxa"/>
            <w:vAlign w:val="bottom"/>
          </w:tcPr>
          <w:p>
            <w:pPr>
              <w:spacing w:after="0"/>
              <w:rPr>
                <w:sz w:val="1"/>
                <w:szCs w:val="1"/>
                <w:color w:val="auto"/>
              </w:rPr>
            </w:pPr>
          </w:p>
        </w:tc>
      </w:tr>
      <w:tr>
        <w:trPr>
          <w:trHeight w:val="128"/>
        </w:trPr>
        <w:tc>
          <w:tcPr>
            <w:tcW w:w="4640" w:type="dxa"/>
            <w:vAlign w:val="bottom"/>
          </w:tcPr>
          <w:p>
            <w:pPr>
              <w:spacing w:after="0"/>
              <w:rPr>
                <w:sz w:val="11"/>
                <w:szCs w:val="11"/>
                <w:color w:val="auto"/>
              </w:rPr>
            </w:pPr>
          </w:p>
        </w:tc>
        <w:tc>
          <w:tcPr>
            <w:tcW w:w="5000" w:type="dxa"/>
            <w:vAlign w:val="bottom"/>
          </w:tcPr>
          <w:p>
            <w:pPr>
              <w:ind w:left="4040"/>
              <w:spacing w:after="0" w:line="128" w:lineRule="exact"/>
              <w:rPr>
                <w:sz w:val="20"/>
                <w:szCs w:val="20"/>
                <w:color w:val="auto"/>
              </w:rPr>
            </w:pPr>
            <w:r>
              <w:rPr>
                <w:rFonts w:ascii="Arial" w:cs="Arial" w:eastAsia="Arial" w:hAnsi="Arial"/>
                <w:sz w:val="12"/>
                <w:szCs w:val="12"/>
                <w:color w:val="FFFFFF"/>
              </w:rPr>
              <w:t>Proposals and</w:t>
            </w:r>
          </w:p>
        </w:tc>
        <w:tc>
          <w:tcPr>
            <w:tcW w:w="0" w:type="dxa"/>
            <w:vAlign w:val="bottom"/>
          </w:tcPr>
          <w:p>
            <w:pPr>
              <w:spacing w:after="0"/>
              <w:rPr>
                <w:sz w:val="1"/>
                <w:szCs w:val="1"/>
                <w:color w:val="auto"/>
              </w:rPr>
            </w:pPr>
          </w:p>
        </w:tc>
      </w:tr>
      <w:tr>
        <w:trPr>
          <w:trHeight w:val="158"/>
        </w:trPr>
        <w:tc>
          <w:tcPr>
            <w:tcW w:w="4640" w:type="dxa"/>
            <w:vAlign w:val="bottom"/>
          </w:tcPr>
          <w:p>
            <w:pPr>
              <w:spacing w:after="0"/>
              <w:rPr>
                <w:sz w:val="13"/>
                <w:szCs w:val="13"/>
                <w:color w:val="auto"/>
              </w:rPr>
            </w:pPr>
          </w:p>
        </w:tc>
        <w:tc>
          <w:tcPr>
            <w:tcW w:w="5000" w:type="dxa"/>
            <w:vAlign w:val="bottom"/>
          </w:tcPr>
          <w:p>
            <w:pPr>
              <w:ind w:left="4040"/>
              <w:spacing w:after="0"/>
              <w:rPr>
                <w:sz w:val="20"/>
                <w:szCs w:val="20"/>
                <w:color w:val="auto"/>
              </w:rPr>
            </w:pPr>
            <w:r>
              <w:rPr>
                <w:rFonts w:ascii="Arial" w:cs="Arial" w:eastAsia="Arial" w:hAnsi="Arial"/>
                <w:sz w:val="12"/>
                <w:szCs w:val="12"/>
                <w:color w:val="FFFFFF"/>
              </w:rPr>
              <w:t>Other Matters</w:t>
            </w:r>
          </w:p>
        </w:tc>
        <w:tc>
          <w:tcPr>
            <w:tcW w:w="0" w:type="dxa"/>
            <w:vAlign w:val="bottom"/>
          </w:tcPr>
          <w:p>
            <w:pPr>
              <w:spacing w:after="0"/>
              <w:rPr>
                <w:sz w:val="1"/>
                <w:szCs w:val="1"/>
                <w:color w:val="auto"/>
              </w:rPr>
            </w:pPr>
          </w:p>
        </w:tc>
      </w:tr>
      <w:tr>
        <w:trPr>
          <w:trHeight w:val="263"/>
        </w:trPr>
        <w:tc>
          <w:tcPr>
            <w:tcW w:w="4640" w:type="dxa"/>
            <w:vAlign w:val="bottom"/>
          </w:tcPr>
          <w:p>
            <w:pPr>
              <w:spacing w:after="0"/>
              <w:rPr>
                <w:sz w:val="22"/>
                <w:szCs w:val="22"/>
                <w:color w:val="auto"/>
              </w:rPr>
            </w:pPr>
          </w:p>
        </w:tc>
        <w:tc>
          <w:tcPr>
            <w:tcW w:w="5000" w:type="dxa"/>
            <w:vAlign w:val="bottom"/>
          </w:tcPr>
          <w:p>
            <w:pPr>
              <w:ind w:left="4040"/>
              <w:spacing w:after="0"/>
              <w:rPr>
                <w:sz w:val="20"/>
                <w:szCs w:val="20"/>
                <w:color w:val="auto"/>
              </w:rPr>
            </w:pPr>
            <w:r>
              <w:rPr>
                <w:rFonts w:ascii="Arial" w:cs="Arial" w:eastAsia="Arial" w:hAnsi="Arial"/>
                <w:sz w:val="12"/>
                <w:szCs w:val="12"/>
                <w:color w:val="FFFFFF"/>
              </w:rPr>
              <w:t>Delinquent</w:t>
            </w:r>
          </w:p>
        </w:tc>
        <w:tc>
          <w:tcPr>
            <w:tcW w:w="0" w:type="dxa"/>
            <w:vAlign w:val="bottom"/>
          </w:tcPr>
          <w:p>
            <w:pPr>
              <w:spacing w:after="0"/>
              <w:rPr>
                <w:sz w:val="1"/>
                <w:szCs w:val="1"/>
                <w:color w:val="auto"/>
              </w:rPr>
            </w:pPr>
          </w:p>
        </w:tc>
      </w:tr>
      <w:tr>
        <w:trPr>
          <w:trHeight w:val="128"/>
        </w:trPr>
        <w:tc>
          <w:tcPr>
            <w:tcW w:w="4640" w:type="dxa"/>
            <w:vAlign w:val="bottom"/>
          </w:tcPr>
          <w:p>
            <w:pPr>
              <w:spacing w:after="0"/>
              <w:rPr>
                <w:sz w:val="11"/>
                <w:szCs w:val="11"/>
                <w:color w:val="auto"/>
              </w:rPr>
            </w:pPr>
          </w:p>
        </w:tc>
        <w:tc>
          <w:tcPr>
            <w:tcW w:w="5000" w:type="dxa"/>
            <w:vAlign w:val="bottom"/>
          </w:tcPr>
          <w:p>
            <w:pPr>
              <w:ind w:left="4040"/>
              <w:spacing w:after="0" w:line="128" w:lineRule="exact"/>
              <w:rPr>
                <w:sz w:val="20"/>
                <w:szCs w:val="20"/>
                <w:color w:val="auto"/>
              </w:rPr>
            </w:pPr>
            <w:r>
              <w:rPr>
                <w:rFonts w:ascii="Arial" w:cs="Arial" w:eastAsia="Arial" w:hAnsi="Arial"/>
                <w:sz w:val="12"/>
                <w:szCs w:val="12"/>
                <w:color w:val="FFFFFF"/>
              </w:rPr>
              <w:t>Section 16(a)</w:t>
            </w:r>
          </w:p>
        </w:tc>
        <w:tc>
          <w:tcPr>
            <w:tcW w:w="0" w:type="dxa"/>
            <w:vAlign w:val="bottom"/>
          </w:tcPr>
          <w:p>
            <w:pPr>
              <w:spacing w:after="0"/>
              <w:rPr>
                <w:sz w:val="1"/>
                <w:szCs w:val="1"/>
                <w:color w:val="auto"/>
              </w:rPr>
            </w:pPr>
          </w:p>
        </w:tc>
      </w:tr>
      <w:tr>
        <w:trPr>
          <w:trHeight w:val="158"/>
        </w:trPr>
        <w:tc>
          <w:tcPr>
            <w:tcW w:w="4640" w:type="dxa"/>
            <w:vAlign w:val="bottom"/>
          </w:tcPr>
          <w:p>
            <w:pPr>
              <w:spacing w:after="0"/>
              <w:rPr>
                <w:sz w:val="13"/>
                <w:szCs w:val="13"/>
                <w:color w:val="auto"/>
              </w:rPr>
            </w:pPr>
          </w:p>
        </w:tc>
        <w:tc>
          <w:tcPr>
            <w:tcW w:w="5000" w:type="dxa"/>
            <w:vAlign w:val="bottom"/>
          </w:tcPr>
          <w:p>
            <w:pPr>
              <w:ind w:left="4040"/>
              <w:spacing w:after="0"/>
              <w:rPr>
                <w:sz w:val="20"/>
                <w:szCs w:val="20"/>
                <w:color w:val="auto"/>
              </w:rPr>
            </w:pPr>
            <w:r>
              <w:rPr>
                <w:rFonts w:ascii="Arial" w:cs="Arial" w:eastAsia="Arial" w:hAnsi="Arial"/>
                <w:sz w:val="12"/>
                <w:szCs w:val="12"/>
                <w:color w:val="FFFFFF"/>
              </w:rPr>
              <w:t>Reports</w:t>
            </w:r>
          </w:p>
        </w:tc>
        <w:tc>
          <w:tcPr>
            <w:tcW w:w="0" w:type="dxa"/>
            <w:vAlign w:val="bottom"/>
          </w:tcPr>
          <w:p>
            <w:pPr>
              <w:spacing w:after="0"/>
              <w:rPr>
                <w:sz w:val="1"/>
                <w:szCs w:val="1"/>
                <w:color w:val="auto"/>
              </w:rPr>
            </w:pPr>
          </w:p>
        </w:tc>
      </w:tr>
      <w:tr>
        <w:trPr>
          <w:trHeight w:val="263"/>
        </w:trPr>
        <w:tc>
          <w:tcPr>
            <w:tcW w:w="4640" w:type="dxa"/>
            <w:vAlign w:val="bottom"/>
          </w:tcPr>
          <w:p>
            <w:pPr>
              <w:spacing w:after="0"/>
              <w:rPr>
                <w:sz w:val="22"/>
                <w:szCs w:val="22"/>
                <w:color w:val="auto"/>
              </w:rPr>
            </w:pPr>
          </w:p>
        </w:tc>
        <w:tc>
          <w:tcPr>
            <w:tcW w:w="5000" w:type="dxa"/>
            <w:vAlign w:val="bottom"/>
          </w:tcPr>
          <w:p>
            <w:pPr>
              <w:ind w:left="4040"/>
              <w:spacing w:after="0"/>
              <w:rPr>
                <w:sz w:val="20"/>
                <w:szCs w:val="20"/>
                <w:color w:val="auto"/>
              </w:rPr>
            </w:pPr>
            <w:r>
              <w:rPr>
                <w:rFonts w:ascii="Arial" w:cs="Arial" w:eastAsia="Arial" w:hAnsi="Arial"/>
                <w:sz w:val="12"/>
                <w:szCs w:val="12"/>
                <w:color w:val="FFFFFF"/>
              </w:rPr>
              <w:t>Other</w:t>
            </w:r>
          </w:p>
        </w:tc>
        <w:tc>
          <w:tcPr>
            <w:tcW w:w="0" w:type="dxa"/>
            <w:vAlign w:val="bottom"/>
          </w:tcPr>
          <w:p>
            <w:pPr>
              <w:spacing w:after="0"/>
              <w:rPr>
                <w:sz w:val="1"/>
                <w:szCs w:val="1"/>
                <w:color w:val="auto"/>
              </w:rPr>
            </w:pPr>
          </w:p>
        </w:tc>
      </w:tr>
      <w:tr>
        <w:trPr>
          <w:trHeight w:val="158"/>
        </w:trPr>
        <w:tc>
          <w:tcPr>
            <w:tcW w:w="4640" w:type="dxa"/>
            <w:vAlign w:val="bottom"/>
          </w:tcPr>
          <w:p>
            <w:pPr>
              <w:spacing w:after="0"/>
              <w:rPr>
                <w:sz w:val="13"/>
                <w:szCs w:val="13"/>
                <w:color w:val="auto"/>
              </w:rPr>
            </w:pPr>
          </w:p>
        </w:tc>
        <w:tc>
          <w:tcPr>
            <w:tcW w:w="5000" w:type="dxa"/>
            <w:vAlign w:val="bottom"/>
          </w:tcPr>
          <w:p>
            <w:pPr>
              <w:ind w:left="4040"/>
              <w:spacing w:after="0"/>
              <w:rPr>
                <w:sz w:val="20"/>
                <w:szCs w:val="20"/>
                <w:color w:val="auto"/>
              </w:rPr>
            </w:pPr>
            <w:r>
              <w:rPr>
                <w:rFonts w:ascii="Arial" w:cs="Arial" w:eastAsia="Arial" w:hAnsi="Arial"/>
                <w:sz w:val="12"/>
                <w:szCs w:val="12"/>
                <w:color w:val="FFFFFF"/>
              </w:rPr>
              <w:t>Information</w:t>
            </w:r>
          </w:p>
        </w:tc>
        <w:tc>
          <w:tcPr>
            <w:tcW w:w="0" w:type="dxa"/>
            <w:vAlign w:val="bottom"/>
          </w:tcPr>
          <w:p>
            <w:pPr>
              <w:spacing w:after="0"/>
              <w:rPr>
                <w:sz w:val="1"/>
                <w:szCs w:val="1"/>
                <w:color w:val="auto"/>
              </w:rPr>
            </w:pPr>
          </w:p>
        </w:tc>
      </w:tr>
      <w:tr>
        <w:trPr>
          <w:trHeight w:val="294"/>
        </w:trPr>
        <w:tc>
          <w:tcPr>
            <w:tcW w:w="4640" w:type="dxa"/>
            <w:vAlign w:val="bottom"/>
          </w:tcPr>
          <w:p>
            <w:pPr>
              <w:spacing w:after="0"/>
              <w:rPr>
                <w:sz w:val="24"/>
                <w:szCs w:val="24"/>
                <w:color w:val="auto"/>
              </w:rPr>
            </w:pPr>
          </w:p>
        </w:tc>
        <w:tc>
          <w:tcPr>
            <w:tcW w:w="5000" w:type="dxa"/>
            <w:vAlign w:val="bottom"/>
          </w:tcPr>
          <w:p>
            <w:pPr>
              <w:ind w:left="4040"/>
              <w:spacing w:after="0"/>
              <w:rPr>
                <w:sz w:val="20"/>
                <w:szCs w:val="20"/>
                <w:color w:val="auto"/>
              </w:rPr>
            </w:pPr>
            <w:r>
              <w:rPr>
                <w:rFonts w:ascii="Arial" w:cs="Arial" w:eastAsia="Arial" w:hAnsi="Arial"/>
                <w:sz w:val="12"/>
                <w:szCs w:val="12"/>
                <w:color w:val="FFFFFF"/>
              </w:rPr>
              <w:t>Appendix A</w:t>
            </w:r>
          </w:p>
        </w:tc>
        <w:tc>
          <w:tcPr>
            <w:tcW w:w="0" w:type="dxa"/>
            <w:vAlign w:val="bottom"/>
          </w:tcPr>
          <w:p>
            <w:pPr>
              <w:spacing w:after="0"/>
              <w:rPr>
                <w:sz w:val="1"/>
                <w:szCs w:val="1"/>
                <w:color w:val="auto"/>
              </w:rPr>
            </w:pPr>
          </w:p>
        </w:tc>
      </w:tr>
      <w:tr>
        <w:trPr>
          <w:trHeight w:val="294"/>
        </w:trPr>
        <w:tc>
          <w:tcPr>
            <w:tcW w:w="4640" w:type="dxa"/>
            <w:vAlign w:val="bottom"/>
          </w:tcPr>
          <w:p>
            <w:pPr>
              <w:spacing w:after="0"/>
              <w:rPr>
                <w:sz w:val="24"/>
                <w:szCs w:val="24"/>
                <w:color w:val="auto"/>
              </w:rPr>
            </w:pPr>
          </w:p>
        </w:tc>
        <w:tc>
          <w:tcPr>
            <w:tcW w:w="5000" w:type="dxa"/>
            <w:vAlign w:val="bottom"/>
          </w:tcPr>
          <w:p>
            <w:pPr>
              <w:ind w:left="4040"/>
              <w:spacing w:after="0"/>
              <w:rPr>
                <w:sz w:val="20"/>
                <w:szCs w:val="20"/>
                <w:color w:val="auto"/>
              </w:rPr>
            </w:pPr>
            <w:r>
              <w:rPr>
                <w:rFonts w:ascii="Arial" w:cs="Arial" w:eastAsia="Arial" w:hAnsi="Arial"/>
                <w:sz w:val="12"/>
                <w:szCs w:val="12"/>
                <w:color w:val="FFFFFF"/>
              </w:rPr>
              <w:t>Appendix B</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6380"/>
        <w:spacing w:after="0"/>
        <w:tabs>
          <w:tab w:leader="none" w:pos="8500" w:val="left"/>
          <w:tab w:leader="none" w:pos="9960" w:val="left"/>
        </w:tabs>
        <w:rPr>
          <w:sz w:val="20"/>
          <w:szCs w:val="20"/>
          <w:color w:val="auto"/>
        </w:rPr>
      </w:pPr>
      <w:r>
        <w:rPr>
          <w:rFonts w:ascii="Arial" w:cs="Arial" w:eastAsia="Arial" w:hAnsi="Arial"/>
          <w:sz w:val="15"/>
          <w:szCs w:val="15"/>
          <w:b w:val="1"/>
          <w:bCs w:val="1"/>
          <w:color w:val="002B5F"/>
        </w:rPr>
        <w:t xml:space="preserve">2026 Proxy Statement  </w:t>
      </w:r>
      <w:r>
        <w:rPr>
          <w:rFonts w:ascii="Arial" w:cs="Arial" w:eastAsia="Arial" w:hAnsi="Arial"/>
          <w:sz w:val="20"/>
          <w:szCs w:val="20"/>
          <w:color w:val="002B5F"/>
        </w:rPr>
        <w:t>|</w:t>
      </w:r>
      <w:r>
        <w:rPr>
          <w:rFonts w:ascii="Arial" w:cs="Arial" w:eastAsia="Arial" w:hAnsi="Arial"/>
          <w:sz w:val="15"/>
          <w:szCs w:val="15"/>
          <w:b w:val="1"/>
          <w:bCs w:val="1"/>
          <w:color w:val="002B5F"/>
        </w:rPr>
        <w:t xml:space="preserve">  13</w:t>
      </w:r>
      <w:r>
        <w:rPr>
          <w:sz w:val="20"/>
          <w:szCs w:val="20"/>
          <w:color w:val="auto"/>
        </w:rPr>
        <w:tab/>
      </w:r>
      <w:r>
        <w:rPr>
          <w:rFonts w:ascii="Arial" w:cs="Arial" w:eastAsia="Arial" w:hAnsi="Arial"/>
          <w:sz w:val="17"/>
          <w:szCs w:val="17"/>
          <w:color w:val="auto"/>
        </w:rPr>
        <w:t xml:space="preserve">    </w:t>
      </w:r>
      <w:r>
        <w:rPr>
          <w:sz w:val="20"/>
          <w:szCs w:val="20"/>
          <w:color w:val="auto"/>
        </w:rPr>
        <w:tab/>
      </w:r>
      <w:r>
        <w:rPr>
          <w:rFonts w:ascii="Arial" w:cs="Arial" w:eastAsia="Arial" w:hAnsi="Arial"/>
          <w:sz w:val="17"/>
          <w:szCs w:val="17"/>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268605</wp:posOffset>
            </wp:positionH>
            <wp:positionV relativeFrom="paragraph">
              <wp:posOffset>-128905</wp:posOffset>
            </wp:positionV>
            <wp:extent cx="762000" cy="971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62000" cy="97155"/>
                    </a:xfrm>
                    <a:prstGeom prst="rect">
                      <a:avLst/>
                    </a:prstGeom>
                    <a:noFill/>
                  </pic:spPr>
                </pic:pic>
              </a:graphicData>
            </a:graphic>
          </wp:anchor>
        </w:drawing>
      </w:r>
    </w:p>
    <w:p>
      <w:pPr>
        <w:sectPr>
          <w:pgSz w:w="11900" w:h="16838" w:orient="portrait"/>
          <w:cols w:equalWidth="0" w:num="1">
            <w:col w:w="10800"/>
          </w:cols>
          <w:pgMar w:left="320" w:top="464" w:right="77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7"/>
          <w:szCs w:val="17"/>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268605</wp:posOffset>
            </wp:positionH>
            <wp:positionV relativeFrom="paragraph">
              <wp:posOffset>253365</wp:posOffset>
            </wp:positionV>
            <wp:extent cx="1183005" cy="745617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183005" cy="7456170"/>
                    </a:xfrm>
                    <a:prstGeom prst="rect">
                      <a:avLst/>
                    </a:prstGeom>
                    <a:noFill/>
                  </pic:spPr>
                </pic:pic>
              </a:graphicData>
            </a:graphic>
          </wp:anchor>
        </w:drawing>
      </w:r>
    </w:p>
    <w:p>
      <w:pPr>
        <w:spacing w:after="0" w:line="200" w:lineRule="exact"/>
        <w:rPr>
          <w:sz w:val="20"/>
          <w:szCs w:val="20"/>
          <w:color w:val="auto"/>
        </w:rPr>
      </w:pPr>
    </w:p>
    <w:p>
      <w:pPr>
        <w:spacing w:after="0" w:line="304" w:lineRule="exact"/>
        <w:rPr>
          <w:sz w:val="20"/>
          <w:szCs w:val="20"/>
          <w:color w:val="auto"/>
        </w:rPr>
      </w:pPr>
    </w:p>
    <w:p>
      <w:pPr>
        <w:ind w:left="1120" w:right="300" w:hanging="672"/>
        <w:spacing w:after="0" w:line="382" w:lineRule="auto"/>
        <w:tabs>
          <w:tab w:leader="none" w:pos="610" w:val="left"/>
        </w:tabs>
        <w:numPr>
          <w:ilvl w:val="0"/>
          <w:numId w:val="27"/>
        </w:numPr>
        <w:rPr>
          <w:rFonts w:ascii="Arial" w:cs="Arial" w:eastAsia="Arial" w:hAnsi="Arial"/>
          <w:sz w:val="24"/>
          <w:szCs w:val="24"/>
          <w:color w:val="auto"/>
          <w:vertAlign w:val="subscript"/>
        </w:rPr>
      </w:pPr>
      <w:r>
        <w:rPr>
          <w:rFonts w:ascii="Arial" w:cs="Arial" w:eastAsia="Arial" w:hAnsi="Arial"/>
          <w:sz w:val="24"/>
          <w:szCs w:val="24"/>
          <w:color w:val="000000"/>
          <w:vertAlign w:val="subscript"/>
        </w:rPr>
        <w:t xml:space="preserve">     </w:t>
      </w:r>
      <w:r>
        <w:rPr>
          <w:rFonts w:ascii="Arial" w:cs="Arial" w:eastAsia="Arial" w:hAnsi="Arial"/>
          <w:sz w:val="10"/>
          <w:szCs w:val="10"/>
          <w:color w:val="FFFFFF"/>
        </w:rPr>
        <w:t xml:space="preserve"> General Information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37"/>
          <w:szCs w:val="37"/>
          <w:color w:val="B95827"/>
        </w:rPr>
        <w:t>Somesh Khanna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-1737995</wp:posOffset>
            </wp:positionH>
            <wp:positionV relativeFrom="paragraph">
              <wp:posOffset>-882015</wp:posOffset>
            </wp:positionV>
            <wp:extent cx="7181215" cy="5334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81215" cy="5334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57150</wp:posOffset>
            </wp:positionV>
            <wp:extent cx="506539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065395" cy="8255"/>
                    </a:xfrm>
                    <a:prstGeom prst="rect">
                      <a:avLst/>
                    </a:prstGeom>
                    <a:noFill/>
                  </pic:spPr>
                </pic:pic>
              </a:graphicData>
            </a:graphic>
          </wp:anchor>
        </w:drawing>
      </w:r>
    </w:p>
    <w:p>
      <w:pPr>
        <w:spacing w:after="0" w:line="276" w:lineRule="exact"/>
        <w:rPr>
          <w:sz w:val="20"/>
          <w:szCs w:val="20"/>
          <w:color w:val="auto"/>
        </w:rPr>
      </w:pPr>
    </w:p>
    <w:p>
      <w:pPr>
        <w:sectPr>
          <w:pgSz w:w="11900" w:h="16838" w:orient="portrait"/>
          <w:cols w:equalWidth="0" w:num="2">
            <w:col w:w="2000" w:space="720"/>
            <w:col w:w="7980"/>
          </w:cols>
          <w:pgMar w:left="320" w:top="464" w:right="879" w:bottom="1440" w:gutter="0" w:footer="0" w:header="0"/>
        </w:sectPr>
      </w:pPr>
    </w:p>
    <w:p>
      <w:pPr>
        <w:ind w:left="1120"/>
        <w:spacing w:after="0"/>
        <w:rPr>
          <w:sz w:val="20"/>
          <w:szCs w:val="20"/>
          <w:color w:val="auto"/>
        </w:rPr>
      </w:pPr>
      <w:r>
        <w:rPr>
          <w:rFonts w:ascii="Arial" w:cs="Arial" w:eastAsia="Arial" w:hAnsi="Arial"/>
          <w:sz w:val="11"/>
          <w:szCs w:val="11"/>
          <w:color w:val="FFFFFF"/>
        </w:rPr>
        <w:t>General Information</w:t>
      </w:r>
    </w:p>
    <w:p>
      <w:pPr>
        <w:spacing w:after="0" w:line="3"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About Corporate</w:t>
      </w:r>
    </w:p>
    <w:p>
      <w:pPr>
        <w:ind w:left="1120"/>
        <w:spacing w:after="0" w:line="221" w:lineRule="auto"/>
        <w:rPr>
          <w:sz w:val="20"/>
          <w:szCs w:val="20"/>
          <w:color w:val="auto"/>
        </w:rPr>
      </w:pPr>
      <w:r>
        <w:rPr>
          <w:rFonts w:ascii="Arial" w:cs="Arial" w:eastAsia="Arial" w:hAnsi="Arial"/>
          <w:sz w:val="12"/>
          <w:szCs w:val="12"/>
          <w:color w:val="FFFFFF"/>
        </w:rPr>
        <w:t>Governance</w:t>
      </w:r>
    </w:p>
    <w:p>
      <w:pPr>
        <w:ind w:left="1120"/>
        <w:spacing w:after="0" w:line="222" w:lineRule="auto"/>
        <w:rPr>
          <w:sz w:val="20"/>
          <w:szCs w:val="20"/>
          <w:color w:val="auto"/>
        </w:rPr>
      </w:pPr>
      <w:r>
        <w:rPr>
          <w:rFonts w:ascii="Arial" w:cs="Arial" w:eastAsia="Arial" w:hAnsi="Arial"/>
          <w:sz w:val="12"/>
          <w:szCs w:val="12"/>
          <w:color w:val="FFFFFF"/>
        </w:rPr>
        <w:t>and the Board of</w:t>
      </w:r>
    </w:p>
    <w:p>
      <w:pPr>
        <w:spacing w:after="0" w:line="1"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Directors</w:t>
      </w:r>
    </w:p>
    <w:p>
      <w:pPr>
        <w:spacing w:after="0" w:line="141" w:lineRule="exact"/>
        <w:rPr>
          <w:sz w:val="20"/>
          <w:szCs w:val="20"/>
          <w:color w:val="auto"/>
        </w:rPr>
      </w:pPr>
    </w:p>
    <w:p>
      <w:pPr>
        <w:ind w:left="980"/>
        <w:spacing w:after="0"/>
        <w:rPr>
          <w:sz w:val="20"/>
          <w:szCs w:val="20"/>
          <w:color w:val="auto"/>
        </w:rPr>
      </w:pPr>
      <w:r>
        <w:rPr>
          <w:sz w:val="1"/>
          <w:szCs w:val="1"/>
          <w:color w:val="auto"/>
        </w:rPr>
        <w:drawing>
          <wp:inline distT="0" distB="0" distL="0" distR="0">
            <wp:extent cx="56515" cy="88900"/>
            <wp:effectExtent l="0" t="0" r="0" b="0"/>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6515" cy="88900"/>
                    </a:xfrm>
                    <a:prstGeom prst="rect">
                      <a:avLst/>
                    </a:prstGeom>
                    <a:noFill/>
                    <a:ln>
                      <a:noFill/>
                    </a:ln>
                  </pic:spPr>
                </pic:pic>
              </a:graphicData>
            </a:graphic>
          </wp:inline>
        </w:drawing>
      </w:r>
      <w:r>
        <w:rPr>
          <w:rFonts w:ascii="Arial" w:cs="Arial" w:eastAsia="Arial" w:hAnsi="Arial"/>
          <w:sz w:val="12"/>
          <w:szCs w:val="12"/>
          <w:b w:val="1"/>
          <w:bCs w:val="1"/>
          <w:color w:val="FFFFFF"/>
        </w:rPr>
        <w:t xml:space="preserve"> Proposal 1</w:t>
      </w:r>
    </w:p>
    <w:p>
      <w:pPr>
        <w:spacing w:after="0" w:line="130"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Information</w:t>
      </w:r>
    </w:p>
    <w:p>
      <w:pPr>
        <w:ind w:left="1120"/>
        <w:spacing w:after="0" w:line="224" w:lineRule="auto"/>
        <w:rPr>
          <w:sz w:val="20"/>
          <w:szCs w:val="20"/>
          <w:color w:val="auto"/>
        </w:rPr>
      </w:pPr>
      <w:r>
        <w:rPr>
          <w:rFonts w:ascii="Arial" w:cs="Arial" w:eastAsia="Arial" w:hAnsi="Arial"/>
          <w:sz w:val="12"/>
          <w:szCs w:val="12"/>
          <w:color w:val="FFFFFF"/>
        </w:rPr>
        <w:t>Regarding Board</w:t>
      </w:r>
    </w:p>
    <w:p>
      <w:pPr>
        <w:ind w:left="1120"/>
        <w:spacing w:after="0" w:line="222" w:lineRule="auto"/>
        <w:rPr>
          <w:sz w:val="20"/>
          <w:szCs w:val="20"/>
          <w:color w:val="auto"/>
        </w:rPr>
      </w:pPr>
      <w:r>
        <w:rPr>
          <w:rFonts w:ascii="Arial" w:cs="Arial" w:eastAsia="Arial" w:hAnsi="Arial"/>
          <w:sz w:val="12"/>
          <w:szCs w:val="12"/>
          <w:color w:val="FFFFFF"/>
        </w:rPr>
        <w:t>and Committee</w:t>
      </w:r>
    </w:p>
    <w:p>
      <w:pPr>
        <w:ind w:left="1120"/>
        <w:spacing w:after="0"/>
        <w:rPr>
          <w:sz w:val="20"/>
          <w:szCs w:val="20"/>
          <w:color w:val="auto"/>
        </w:rPr>
      </w:pPr>
      <w:r>
        <w:rPr>
          <w:rFonts w:ascii="Arial" w:cs="Arial" w:eastAsia="Arial" w:hAnsi="Arial"/>
          <w:sz w:val="12"/>
          <w:szCs w:val="12"/>
          <w:color w:val="FFFFFF"/>
        </w:rPr>
        <w:t>Structure</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Board of Directors</w:t>
      </w:r>
    </w:p>
    <w:p>
      <w:pPr>
        <w:spacing w:after="0" w:line="2"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Compensation</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Compensation</w:t>
      </w:r>
    </w:p>
    <w:p>
      <w:pPr>
        <w:ind w:left="1120"/>
        <w:spacing w:after="0" w:line="224" w:lineRule="auto"/>
        <w:rPr>
          <w:sz w:val="20"/>
          <w:szCs w:val="20"/>
          <w:color w:val="auto"/>
        </w:rPr>
      </w:pPr>
      <w:r>
        <w:rPr>
          <w:rFonts w:ascii="Arial" w:cs="Arial" w:eastAsia="Arial" w:hAnsi="Arial"/>
          <w:sz w:val="12"/>
          <w:szCs w:val="12"/>
          <w:color w:val="FFFFFF"/>
        </w:rPr>
        <w:t>Discussion and</w:t>
      </w:r>
    </w:p>
    <w:p>
      <w:pPr>
        <w:ind w:left="1120"/>
        <w:spacing w:after="0"/>
        <w:rPr>
          <w:sz w:val="20"/>
          <w:szCs w:val="20"/>
          <w:color w:val="auto"/>
        </w:rPr>
      </w:pPr>
      <w:r>
        <w:rPr>
          <w:rFonts w:ascii="Arial" w:cs="Arial" w:eastAsia="Arial" w:hAnsi="Arial"/>
          <w:sz w:val="12"/>
          <w:szCs w:val="12"/>
          <w:color w:val="FFFFFF"/>
        </w:rPr>
        <w:t>Analysis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Report of the</w:t>
      </w:r>
    </w:p>
    <w:p>
      <w:pPr>
        <w:ind w:left="1120"/>
        <w:spacing w:after="0" w:line="224" w:lineRule="auto"/>
        <w:rPr>
          <w:sz w:val="20"/>
          <w:szCs w:val="20"/>
          <w:color w:val="auto"/>
        </w:rPr>
      </w:pPr>
      <w:r>
        <w:rPr>
          <w:rFonts w:ascii="Arial" w:cs="Arial" w:eastAsia="Arial" w:hAnsi="Arial"/>
          <w:sz w:val="12"/>
          <w:szCs w:val="12"/>
          <w:color w:val="FFFFFF"/>
        </w:rPr>
        <w:t>Compensation</w:t>
      </w:r>
    </w:p>
    <w:p>
      <w:pPr>
        <w:ind w:left="1120"/>
        <w:spacing w:after="0" w:line="222" w:lineRule="auto"/>
        <w:rPr>
          <w:sz w:val="20"/>
          <w:szCs w:val="20"/>
          <w:color w:val="auto"/>
        </w:rPr>
      </w:pPr>
      <w:r>
        <w:rPr>
          <w:rFonts w:ascii="Arial" w:cs="Arial" w:eastAsia="Arial" w:hAnsi="Arial"/>
          <w:sz w:val="12"/>
          <w:szCs w:val="12"/>
          <w:color w:val="FFFFFF"/>
        </w:rPr>
        <w:t>and Human</w:t>
      </w:r>
    </w:p>
    <w:p>
      <w:pPr>
        <w:ind w:left="1120"/>
        <w:spacing w:after="0" w:line="222" w:lineRule="auto"/>
        <w:rPr>
          <w:sz w:val="20"/>
          <w:szCs w:val="20"/>
          <w:color w:val="auto"/>
        </w:rPr>
      </w:pPr>
      <w:r>
        <w:rPr>
          <w:rFonts w:ascii="Arial" w:cs="Arial" w:eastAsia="Arial" w:hAnsi="Arial"/>
          <w:sz w:val="12"/>
          <w:szCs w:val="12"/>
          <w:color w:val="FFFFFF"/>
        </w:rPr>
        <w:t>Resources</w:t>
      </w:r>
    </w:p>
    <w:p>
      <w:pPr>
        <w:ind w:left="1120"/>
        <w:spacing w:after="0" w:line="222" w:lineRule="auto"/>
        <w:rPr>
          <w:sz w:val="20"/>
          <w:szCs w:val="20"/>
          <w:color w:val="auto"/>
        </w:rPr>
      </w:pPr>
      <w:r>
        <w:rPr>
          <w:rFonts w:ascii="Arial" w:cs="Arial" w:eastAsia="Arial" w:hAnsi="Arial"/>
          <w:sz w:val="12"/>
          <w:szCs w:val="12"/>
          <w:color w:val="FFFFFF"/>
        </w:rPr>
        <w:t>Committee of the</w:t>
      </w:r>
    </w:p>
    <w:p>
      <w:pPr>
        <w:ind w:left="1120"/>
        <w:spacing w:after="0"/>
        <w:rPr>
          <w:sz w:val="20"/>
          <w:szCs w:val="20"/>
          <w:color w:val="auto"/>
        </w:rPr>
      </w:pPr>
      <w:r>
        <w:rPr>
          <w:rFonts w:ascii="Arial" w:cs="Arial" w:eastAsia="Arial" w:hAnsi="Arial"/>
          <w:sz w:val="12"/>
          <w:szCs w:val="12"/>
          <w:color w:val="FFFFFF"/>
        </w:rPr>
        <w:t>Board of Directors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Compensation of</w:t>
      </w:r>
    </w:p>
    <w:p>
      <w:pPr>
        <w:ind w:left="1120"/>
        <w:spacing w:after="0" w:line="224" w:lineRule="auto"/>
        <w:rPr>
          <w:sz w:val="20"/>
          <w:szCs w:val="20"/>
          <w:color w:val="auto"/>
        </w:rPr>
      </w:pPr>
      <w:r>
        <w:rPr>
          <w:rFonts w:ascii="Arial" w:cs="Arial" w:eastAsia="Arial" w:hAnsi="Arial"/>
          <w:sz w:val="12"/>
          <w:szCs w:val="12"/>
          <w:color w:val="FFFFFF"/>
        </w:rPr>
        <w:t>Named Executive</w:t>
      </w:r>
    </w:p>
    <w:p>
      <w:pPr>
        <w:ind w:left="1120"/>
        <w:spacing w:after="0"/>
        <w:rPr>
          <w:sz w:val="20"/>
          <w:szCs w:val="20"/>
          <w:color w:val="auto"/>
        </w:rPr>
      </w:pPr>
      <w:r>
        <w:rPr>
          <w:rFonts w:ascii="Arial" w:cs="Arial" w:eastAsia="Arial" w:hAnsi="Arial"/>
          <w:sz w:val="12"/>
          <w:szCs w:val="12"/>
          <w:color w:val="FFFFFF"/>
        </w:rPr>
        <w:t>Officers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Pay Versus</w:t>
      </w:r>
    </w:p>
    <w:p>
      <w:pPr>
        <w:ind w:left="1120"/>
        <w:spacing w:after="0" w:line="224" w:lineRule="auto"/>
        <w:rPr>
          <w:sz w:val="20"/>
          <w:szCs w:val="20"/>
          <w:color w:val="auto"/>
        </w:rPr>
      </w:pPr>
      <w:r>
        <w:rPr>
          <w:rFonts w:ascii="Arial" w:cs="Arial" w:eastAsia="Arial" w:hAnsi="Arial"/>
          <w:sz w:val="12"/>
          <w:szCs w:val="12"/>
          <w:color w:val="FFFFFF"/>
        </w:rPr>
        <w:t>Performance</w:t>
      </w:r>
    </w:p>
    <w:p>
      <w:pPr>
        <w:ind w:left="1120"/>
        <w:spacing w:after="0"/>
        <w:rPr>
          <w:sz w:val="20"/>
          <w:szCs w:val="20"/>
          <w:color w:val="auto"/>
        </w:rPr>
      </w:pPr>
      <w:r>
        <w:rPr>
          <w:rFonts w:ascii="Arial" w:cs="Arial" w:eastAsia="Arial" w:hAnsi="Arial"/>
          <w:sz w:val="12"/>
          <w:szCs w:val="12"/>
          <w:color w:val="FFFFFF"/>
        </w:rPr>
        <w:t>Disclosure</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Security</w:t>
      </w:r>
    </w:p>
    <w:p>
      <w:pPr>
        <w:ind w:left="1120"/>
        <w:spacing w:after="0" w:line="224" w:lineRule="auto"/>
        <w:rPr>
          <w:sz w:val="20"/>
          <w:szCs w:val="20"/>
          <w:color w:val="auto"/>
        </w:rPr>
      </w:pPr>
      <w:r>
        <w:rPr>
          <w:rFonts w:ascii="Arial" w:cs="Arial" w:eastAsia="Arial" w:hAnsi="Arial"/>
          <w:sz w:val="12"/>
          <w:szCs w:val="12"/>
          <w:color w:val="FFFFFF"/>
        </w:rPr>
        <w:t>Ownership of</w:t>
      </w:r>
    </w:p>
    <w:p>
      <w:pPr>
        <w:ind w:left="1120"/>
        <w:spacing w:after="0" w:line="222" w:lineRule="auto"/>
        <w:rPr>
          <w:sz w:val="20"/>
          <w:szCs w:val="20"/>
          <w:color w:val="auto"/>
        </w:rPr>
      </w:pPr>
      <w:r>
        <w:rPr>
          <w:rFonts w:ascii="Arial" w:cs="Arial" w:eastAsia="Arial" w:hAnsi="Arial"/>
          <w:sz w:val="12"/>
          <w:szCs w:val="12"/>
          <w:color w:val="FFFFFF"/>
        </w:rPr>
        <w:t>Certain Beneficial</w:t>
      </w:r>
    </w:p>
    <w:p>
      <w:pPr>
        <w:ind w:left="1120"/>
        <w:spacing w:after="0" w:line="222" w:lineRule="auto"/>
        <w:rPr>
          <w:sz w:val="20"/>
          <w:szCs w:val="20"/>
          <w:color w:val="auto"/>
        </w:rPr>
      </w:pPr>
      <w:r>
        <w:rPr>
          <w:rFonts w:ascii="Arial" w:cs="Arial" w:eastAsia="Arial" w:hAnsi="Arial"/>
          <w:sz w:val="12"/>
          <w:szCs w:val="12"/>
          <w:color w:val="FFFFFF"/>
        </w:rPr>
        <w:t>Owners and</w:t>
      </w:r>
    </w:p>
    <w:p>
      <w:pPr>
        <w:ind w:left="1120"/>
        <w:spacing w:after="0"/>
        <w:rPr>
          <w:sz w:val="20"/>
          <w:szCs w:val="20"/>
          <w:color w:val="auto"/>
        </w:rPr>
      </w:pPr>
      <w:r>
        <w:rPr>
          <w:rFonts w:ascii="Arial" w:cs="Arial" w:eastAsia="Arial" w:hAnsi="Arial"/>
          <w:sz w:val="12"/>
          <w:szCs w:val="12"/>
          <w:color w:val="FFFFFF"/>
        </w:rPr>
        <w:t>Management</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Certain</w:t>
      </w:r>
    </w:p>
    <w:p>
      <w:pPr>
        <w:ind w:left="1120"/>
        <w:spacing w:after="0" w:line="224" w:lineRule="auto"/>
        <w:rPr>
          <w:sz w:val="20"/>
          <w:szCs w:val="20"/>
          <w:color w:val="auto"/>
        </w:rPr>
      </w:pPr>
      <w:r>
        <w:rPr>
          <w:rFonts w:ascii="Arial" w:cs="Arial" w:eastAsia="Arial" w:hAnsi="Arial"/>
          <w:sz w:val="12"/>
          <w:szCs w:val="12"/>
          <w:color w:val="FFFFFF"/>
        </w:rPr>
        <w:t>Relationships and</w:t>
      </w:r>
    </w:p>
    <w:p>
      <w:pPr>
        <w:ind w:left="1120"/>
        <w:spacing w:after="0" w:line="222" w:lineRule="auto"/>
        <w:rPr>
          <w:sz w:val="20"/>
          <w:szCs w:val="20"/>
          <w:color w:val="auto"/>
        </w:rPr>
      </w:pPr>
      <w:r>
        <w:rPr>
          <w:rFonts w:ascii="Arial" w:cs="Arial" w:eastAsia="Arial" w:hAnsi="Arial"/>
          <w:sz w:val="12"/>
          <w:szCs w:val="12"/>
          <w:color w:val="FFFFFF"/>
        </w:rPr>
        <w:t>Related Party</w:t>
      </w:r>
    </w:p>
    <w:p>
      <w:pPr>
        <w:ind w:left="1120"/>
        <w:spacing w:after="0"/>
        <w:rPr>
          <w:sz w:val="20"/>
          <w:szCs w:val="20"/>
          <w:color w:val="auto"/>
        </w:rPr>
      </w:pPr>
      <w:r>
        <w:rPr>
          <w:rFonts w:ascii="Arial" w:cs="Arial" w:eastAsia="Arial" w:hAnsi="Arial"/>
          <w:sz w:val="12"/>
          <w:szCs w:val="12"/>
          <w:color w:val="FFFFFF"/>
        </w:rPr>
        <w:t>Transactions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Proposal 2</w:t>
      </w:r>
    </w:p>
    <w:p>
      <w:pPr>
        <w:spacing w:after="0" w:line="156"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Report of the</w:t>
      </w:r>
    </w:p>
    <w:p>
      <w:pPr>
        <w:ind w:left="1120"/>
        <w:spacing w:after="0" w:line="224" w:lineRule="auto"/>
        <w:rPr>
          <w:sz w:val="20"/>
          <w:szCs w:val="20"/>
          <w:color w:val="auto"/>
        </w:rPr>
      </w:pPr>
      <w:r>
        <w:rPr>
          <w:rFonts w:ascii="Arial" w:cs="Arial" w:eastAsia="Arial" w:hAnsi="Arial"/>
          <w:sz w:val="12"/>
          <w:szCs w:val="12"/>
          <w:color w:val="FFFFFF"/>
        </w:rPr>
        <w:t>Audit and Risk</w:t>
      </w:r>
    </w:p>
    <w:p>
      <w:pPr>
        <w:ind w:left="1120"/>
        <w:spacing w:after="0" w:line="222" w:lineRule="auto"/>
        <w:rPr>
          <w:sz w:val="20"/>
          <w:szCs w:val="20"/>
          <w:color w:val="auto"/>
        </w:rPr>
      </w:pPr>
      <w:r>
        <w:rPr>
          <w:rFonts w:ascii="Arial" w:cs="Arial" w:eastAsia="Arial" w:hAnsi="Arial"/>
          <w:sz w:val="12"/>
          <w:szCs w:val="12"/>
          <w:color w:val="FFFFFF"/>
        </w:rPr>
        <w:t>Committee of the</w:t>
      </w:r>
    </w:p>
    <w:p>
      <w:pPr>
        <w:ind w:left="1120"/>
        <w:spacing w:after="0"/>
        <w:rPr>
          <w:sz w:val="20"/>
          <w:szCs w:val="20"/>
          <w:color w:val="auto"/>
        </w:rPr>
      </w:pPr>
      <w:r>
        <w:rPr>
          <w:rFonts w:ascii="Arial" w:cs="Arial" w:eastAsia="Arial" w:hAnsi="Arial"/>
          <w:sz w:val="12"/>
          <w:szCs w:val="12"/>
          <w:color w:val="FFFFFF"/>
        </w:rPr>
        <w:t>Board of Directors</w:t>
      </w:r>
    </w:p>
    <w:p>
      <w:pPr>
        <w:spacing w:after="0" w:line="144" w:lineRule="exact"/>
        <w:rPr>
          <w:sz w:val="20"/>
          <w:szCs w:val="20"/>
          <w:color w:val="auto"/>
        </w:rPr>
      </w:pPr>
    </w:p>
    <w:p>
      <w:pPr>
        <w:jc w:val="center"/>
        <w:ind w:left="620"/>
        <w:spacing w:after="0"/>
        <w:rPr>
          <w:sz w:val="20"/>
          <w:szCs w:val="20"/>
          <w:color w:val="auto"/>
        </w:rPr>
      </w:pPr>
      <w:r>
        <w:rPr>
          <w:rFonts w:ascii="Arial" w:cs="Arial" w:eastAsia="Arial" w:hAnsi="Arial"/>
          <w:sz w:val="12"/>
          <w:szCs w:val="12"/>
          <w:color w:val="FFFFFF"/>
        </w:rPr>
        <w:t>Proposal 3</w:t>
      </w:r>
    </w:p>
    <w:p>
      <w:pPr>
        <w:spacing w:after="0" w:line="156" w:lineRule="exact"/>
        <w:rPr>
          <w:sz w:val="20"/>
          <w:szCs w:val="20"/>
          <w:color w:val="auto"/>
        </w:rPr>
      </w:pPr>
    </w:p>
    <w:p>
      <w:pPr>
        <w:jc w:val="center"/>
        <w:ind w:left="620"/>
        <w:spacing w:after="0"/>
        <w:rPr>
          <w:sz w:val="20"/>
          <w:szCs w:val="20"/>
          <w:color w:val="auto"/>
        </w:rPr>
      </w:pPr>
      <w:r>
        <w:rPr>
          <w:rFonts w:ascii="Arial" w:cs="Arial" w:eastAsia="Arial" w:hAnsi="Arial"/>
          <w:sz w:val="12"/>
          <w:szCs w:val="12"/>
          <w:color w:val="FFFFFF"/>
        </w:rPr>
        <w:t>Proposal 4</w:t>
      </w:r>
    </w:p>
    <w:p>
      <w:pPr>
        <w:spacing w:after="0" w:line="156" w:lineRule="exact"/>
        <w:rPr>
          <w:sz w:val="20"/>
          <w:szCs w:val="20"/>
          <w:color w:val="auto"/>
        </w:rPr>
      </w:pPr>
    </w:p>
    <w:p>
      <w:pPr>
        <w:jc w:val="center"/>
        <w:ind w:left="620"/>
        <w:spacing w:after="0"/>
        <w:rPr>
          <w:sz w:val="20"/>
          <w:szCs w:val="20"/>
          <w:color w:val="auto"/>
        </w:rPr>
      </w:pPr>
      <w:r>
        <w:rPr>
          <w:rFonts w:ascii="Arial" w:cs="Arial" w:eastAsia="Arial" w:hAnsi="Arial"/>
          <w:sz w:val="12"/>
          <w:szCs w:val="12"/>
          <w:color w:val="FFFFFF"/>
        </w:rPr>
        <w:t>Proposal 5</w:t>
      </w:r>
    </w:p>
    <w:p>
      <w:pPr>
        <w:spacing w:after="0" w:line="156"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Proposal 6</w:t>
      </w:r>
    </w:p>
    <w:p>
      <w:pPr>
        <w:spacing w:after="0" w:line="156"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Stockholder</w:t>
      </w:r>
    </w:p>
    <w:p>
      <w:pPr>
        <w:ind w:left="1120"/>
        <w:spacing w:after="0" w:line="224" w:lineRule="auto"/>
        <w:rPr>
          <w:sz w:val="20"/>
          <w:szCs w:val="20"/>
          <w:color w:val="auto"/>
        </w:rPr>
      </w:pPr>
      <w:r>
        <w:rPr>
          <w:rFonts w:ascii="Arial" w:cs="Arial" w:eastAsia="Arial" w:hAnsi="Arial"/>
          <w:sz w:val="12"/>
          <w:szCs w:val="12"/>
          <w:color w:val="FFFFFF"/>
        </w:rPr>
        <w:t>Proposals and</w:t>
      </w:r>
    </w:p>
    <w:p>
      <w:pPr>
        <w:ind w:left="1120"/>
        <w:spacing w:after="0"/>
        <w:rPr>
          <w:sz w:val="20"/>
          <w:szCs w:val="20"/>
          <w:color w:val="auto"/>
        </w:rPr>
      </w:pPr>
      <w:r>
        <w:rPr>
          <w:rFonts w:ascii="Arial" w:cs="Arial" w:eastAsia="Arial" w:hAnsi="Arial"/>
          <w:sz w:val="12"/>
          <w:szCs w:val="12"/>
          <w:color w:val="FFFFFF"/>
        </w:rPr>
        <w:t>Other Matters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Delinquent</w:t>
      </w:r>
    </w:p>
    <w:p>
      <w:pPr>
        <w:ind w:left="1120"/>
        <w:spacing w:after="0" w:line="224" w:lineRule="auto"/>
        <w:rPr>
          <w:sz w:val="20"/>
          <w:szCs w:val="20"/>
          <w:color w:val="auto"/>
        </w:rPr>
      </w:pPr>
      <w:r>
        <w:rPr>
          <w:rFonts w:ascii="Arial" w:cs="Arial" w:eastAsia="Arial" w:hAnsi="Arial"/>
          <w:sz w:val="12"/>
          <w:szCs w:val="12"/>
          <w:color w:val="FFFFFF"/>
        </w:rPr>
        <w:t>Section 16(a)</w:t>
      </w:r>
    </w:p>
    <w:p>
      <w:pPr>
        <w:ind w:left="1120"/>
        <w:spacing w:after="0"/>
        <w:rPr>
          <w:sz w:val="20"/>
          <w:szCs w:val="20"/>
          <w:color w:val="auto"/>
        </w:rPr>
      </w:pPr>
      <w:r>
        <w:rPr>
          <w:rFonts w:ascii="Arial" w:cs="Arial" w:eastAsia="Arial" w:hAnsi="Arial"/>
          <w:sz w:val="12"/>
          <w:szCs w:val="12"/>
          <w:color w:val="FFFFFF"/>
        </w:rPr>
        <w:t>Reports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Other</w:t>
      </w:r>
    </w:p>
    <w:p>
      <w:pPr>
        <w:spacing w:after="0" w:line="2"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Information</w:t>
      </w:r>
    </w:p>
    <w:p>
      <w:pPr>
        <w:spacing w:after="0" w:line="144" w:lineRule="exact"/>
        <w:rPr>
          <w:sz w:val="20"/>
          <w:szCs w:val="20"/>
          <w:color w:val="auto"/>
        </w:rPr>
      </w:pPr>
    </w:p>
    <w:p>
      <w:pPr>
        <w:jc w:val="center"/>
        <w:ind w:left="660"/>
        <w:spacing w:after="0"/>
        <w:rPr>
          <w:sz w:val="20"/>
          <w:szCs w:val="20"/>
          <w:color w:val="auto"/>
        </w:rPr>
      </w:pPr>
      <w:r>
        <w:rPr>
          <w:rFonts w:ascii="Arial" w:cs="Arial" w:eastAsia="Arial" w:hAnsi="Arial"/>
          <w:sz w:val="12"/>
          <w:szCs w:val="12"/>
          <w:color w:val="FFFFFF"/>
        </w:rPr>
        <w:t>Appendix A</w:t>
      </w:r>
    </w:p>
    <w:p>
      <w:pPr>
        <w:spacing w:after="0" w:line="156" w:lineRule="exact"/>
        <w:rPr>
          <w:sz w:val="20"/>
          <w:szCs w:val="20"/>
          <w:color w:val="auto"/>
        </w:rPr>
      </w:pPr>
    </w:p>
    <w:p>
      <w:pPr>
        <w:jc w:val="center"/>
        <w:ind w:left="660"/>
        <w:spacing w:after="0"/>
        <w:rPr>
          <w:sz w:val="20"/>
          <w:szCs w:val="20"/>
          <w:color w:val="auto"/>
        </w:rPr>
      </w:pPr>
      <w:r>
        <w:rPr>
          <w:rFonts w:ascii="Arial" w:cs="Arial" w:eastAsia="Arial" w:hAnsi="Arial"/>
          <w:sz w:val="12"/>
          <w:szCs w:val="12"/>
          <w:color w:val="FFFFFF"/>
        </w:rPr>
        <w:t>Appendix 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9"/>
          <w:szCs w:val="19"/>
          <w:b w:val="1"/>
          <w:bCs w:val="1"/>
          <w:color w:val="B95827"/>
        </w:rPr>
        <w:t xml:space="preserve">AGE </w:t>
      </w:r>
      <w:r>
        <w:rPr>
          <w:rFonts w:ascii="Arial" w:cs="Arial" w:eastAsia="Arial" w:hAnsi="Arial"/>
          <w:sz w:val="15"/>
          <w:szCs w:val="15"/>
          <w:color w:val="000000"/>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-1818005</wp:posOffset>
            </wp:positionV>
            <wp:extent cx="1499235" cy="157226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499235" cy="1572260"/>
                    </a:xfrm>
                    <a:prstGeom prst="rect">
                      <a:avLst/>
                    </a:prstGeom>
                    <a:noFill/>
                  </pic:spPr>
                </pic:pic>
              </a:graphicData>
            </a:graphic>
          </wp:anchor>
        </w:drawing>
      </w:r>
    </w:p>
    <w:p>
      <w:pPr>
        <w:spacing w:after="0" w:line="81" w:lineRule="exact"/>
        <w:rPr>
          <w:sz w:val="20"/>
          <w:szCs w:val="20"/>
          <w:color w:val="auto"/>
        </w:rPr>
      </w:pPr>
    </w:p>
    <w:p>
      <w:pPr>
        <w:spacing w:after="0"/>
        <w:rPr>
          <w:sz w:val="20"/>
          <w:szCs w:val="20"/>
          <w:color w:val="auto"/>
        </w:rPr>
      </w:pPr>
      <w:r>
        <w:rPr>
          <w:rFonts w:ascii="Arial" w:cs="Arial" w:eastAsia="Arial" w:hAnsi="Arial"/>
          <w:sz w:val="19"/>
          <w:szCs w:val="19"/>
          <w:b w:val="1"/>
          <w:bCs w:val="1"/>
          <w:color w:val="B95827"/>
        </w:rPr>
        <w:t xml:space="preserve">DIRECTOR SINCE </w:t>
      </w:r>
      <w:r>
        <w:rPr>
          <w:rFonts w:ascii="Arial" w:cs="Arial" w:eastAsia="Arial" w:hAnsi="Arial"/>
          <w:sz w:val="15"/>
          <w:szCs w:val="15"/>
          <w:color w:val="000000"/>
        </w:rPr>
        <w:t>2026</w:t>
      </w:r>
    </w:p>
    <w:p>
      <w:pPr>
        <w:spacing w:after="0" w:line="101" w:lineRule="exact"/>
        <w:rPr>
          <w:sz w:val="20"/>
          <w:szCs w:val="20"/>
          <w:color w:val="auto"/>
        </w:rPr>
      </w:pPr>
    </w:p>
    <w:p>
      <w:pPr>
        <w:spacing w:after="0"/>
        <w:rPr>
          <w:sz w:val="20"/>
          <w:szCs w:val="20"/>
          <w:color w:val="auto"/>
        </w:rPr>
      </w:pPr>
      <w:r>
        <w:rPr>
          <w:rFonts w:ascii="Arial" w:cs="Arial" w:eastAsia="Arial" w:hAnsi="Arial"/>
          <w:sz w:val="19"/>
          <w:szCs w:val="19"/>
          <w:b w:val="1"/>
          <w:bCs w:val="1"/>
          <w:color w:val="B95827"/>
        </w:rPr>
        <w:t>INDEPENDENT</w:t>
      </w:r>
    </w:p>
    <w:p>
      <w:pPr>
        <w:spacing w:after="0" w:line="101" w:lineRule="exact"/>
        <w:rPr>
          <w:sz w:val="20"/>
          <w:szCs w:val="20"/>
          <w:color w:val="auto"/>
        </w:rPr>
      </w:pPr>
    </w:p>
    <w:p>
      <w:pPr>
        <w:spacing w:after="0"/>
        <w:rPr>
          <w:sz w:val="20"/>
          <w:szCs w:val="20"/>
          <w:color w:val="auto"/>
        </w:rPr>
      </w:pPr>
      <w:r>
        <w:rPr>
          <w:rFonts w:ascii="Arial" w:cs="Arial" w:eastAsia="Arial" w:hAnsi="Arial"/>
          <w:sz w:val="19"/>
          <w:szCs w:val="19"/>
          <w:b w:val="1"/>
          <w:bCs w:val="1"/>
          <w:color w:val="B95827"/>
        </w:rPr>
        <w:t>COMMITTEES:</w:t>
      </w:r>
    </w:p>
    <w:p>
      <w:pPr>
        <w:spacing w:after="0" w:line="4" w:lineRule="exact"/>
        <w:rPr>
          <w:sz w:val="20"/>
          <w:szCs w:val="20"/>
          <w:color w:val="auto"/>
        </w:rPr>
      </w:pPr>
    </w:p>
    <w:p>
      <w:pPr>
        <w:ind w:left="160" w:hanging="151"/>
        <w:spacing w:after="0" w:line="262" w:lineRule="auto"/>
        <w:tabs>
          <w:tab w:leader="none" w:pos="1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Nominating and Governance Committee</w:t>
      </w:r>
    </w:p>
    <w:p>
      <w:pPr>
        <w:spacing w:after="0" w:line="53" w:lineRule="exact"/>
        <w:rPr>
          <w:sz w:val="20"/>
          <w:szCs w:val="20"/>
          <w:color w:val="auto"/>
        </w:rPr>
      </w:pPr>
    </w:p>
    <w:p>
      <w:pPr>
        <w:ind w:right="320"/>
        <w:spacing w:after="0" w:line="295" w:lineRule="auto"/>
        <w:rPr>
          <w:sz w:val="20"/>
          <w:szCs w:val="20"/>
          <w:color w:val="auto"/>
        </w:rPr>
      </w:pPr>
      <w:r>
        <w:rPr>
          <w:rFonts w:ascii="Arial" w:cs="Arial" w:eastAsia="Arial" w:hAnsi="Arial"/>
          <w:sz w:val="18"/>
          <w:szCs w:val="18"/>
          <w:b w:val="1"/>
          <w:bCs w:val="1"/>
          <w:color w:val="B95827"/>
        </w:rPr>
        <w:t>OTHER PUBLIC COMPANY BOARDS</w:t>
      </w:r>
    </w:p>
    <w:p>
      <w:pPr>
        <w:spacing w:after="0" w:line="2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Current</w:t>
      </w:r>
    </w:p>
    <w:p>
      <w:pPr>
        <w:spacing w:after="0" w:line="17" w:lineRule="exact"/>
        <w:rPr>
          <w:sz w:val="20"/>
          <w:szCs w:val="20"/>
          <w:color w:val="auto"/>
        </w:rPr>
      </w:pPr>
    </w:p>
    <w:p>
      <w:pPr>
        <w:spacing w:after="0"/>
        <w:rPr>
          <w:sz w:val="20"/>
          <w:szCs w:val="20"/>
          <w:color w:val="auto"/>
        </w:rPr>
      </w:pPr>
      <w:r>
        <w:rPr>
          <w:rFonts w:ascii="Arial" w:cs="Arial" w:eastAsia="Arial" w:hAnsi="Arial"/>
          <w:sz w:val="19"/>
          <w:szCs w:val="19"/>
          <w:color w:val="auto"/>
        </w:rPr>
        <w:t>• KeyCorp</w:t>
      </w:r>
    </w:p>
    <w:p>
      <w:pPr>
        <w:spacing w:after="0" w:line="9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Past 5 Years</w:t>
      </w:r>
    </w:p>
    <w:p>
      <w:pPr>
        <w:spacing w:after="0" w:line="17" w:lineRule="exact"/>
        <w:rPr>
          <w:sz w:val="20"/>
          <w:szCs w:val="20"/>
          <w:color w:val="auto"/>
        </w:rPr>
      </w:pPr>
    </w:p>
    <w:p>
      <w:pPr>
        <w:spacing w:after="0"/>
        <w:rPr>
          <w:sz w:val="20"/>
          <w:szCs w:val="20"/>
          <w:color w:val="auto"/>
        </w:rPr>
      </w:pPr>
      <w:r>
        <w:rPr>
          <w:rFonts w:ascii="Arial" w:cs="Arial" w:eastAsia="Arial" w:hAnsi="Arial"/>
          <w:sz w:val="19"/>
          <w:szCs w:val="19"/>
          <w:color w:val="auto"/>
        </w:rPr>
        <w:t>• None</w:t>
      </w:r>
    </w:p>
    <w:p>
      <w:pPr>
        <w:spacing w:after="0" w:line="20" w:lineRule="exact"/>
        <w:rPr>
          <w:sz w:val="20"/>
          <w:szCs w:val="20"/>
          <w:color w:val="auto"/>
        </w:rPr>
      </w:pPr>
      <w:r>
        <w:rPr>
          <w:sz w:val="20"/>
          <w:szCs w:val="20"/>
          <w:color w:val="auto"/>
        </w:rPr>
        <w:br w:type="column"/>
      </w:r>
    </w:p>
    <w:p>
      <w:pPr>
        <w:spacing w:after="0" w:line="53" w:lineRule="exact"/>
        <w:rPr>
          <w:sz w:val="20"/>
          <w:szCs w:val="20"/>
          <w:color w:val="auto"/>
        </w:rPr>
      </w:pPr>
    </w:p>
    <w:p>
      <w:pPr>
        <w:spacing w:after="0"/>
        <w:rPr>
          <w:sz w:val="20"/>
          <w:szCs w:val="20"/>
          <w:color w:val="auto"/>
        </w:rPr>
      </w:pPr>
      <w:r>
        <w:rPr>
          <w:rFonts w:ascii="Arial" w:cs="Arial" w:eastAsia="Arial" w:hAnsi="Arial"/>
          <w:sz w:val="19"/>
          <w:szCs w:val="19"/>
          <w:b w:val="1"/>
          <w:bCs w:val="1"/>
          <w:color w:val="B95827"/>
        </w:rPr>
        <w:t>BACKGROUND</w:t>
      </w:r>
    </w:p>
    <w:p>
      <w:pPr>
        <w:spacing w:after="0" w:line="9" w:lineRule="exact"/>
        <w:rPr>
          <w:sz w:val="20"/>
          <w:szCs w:val="20"/>
          <w:color w:val="auto"/>
        </w:rPr>
      </w:pPr>
    </w:p>
    <w:p>
      <w:pPr>
        <w:spacing w:after="0" w:line="250" w:lineRule="auto"/>
        <w:rPr>
          <w:sz w:val="20"/>
          <w:szCs w:val="20"/>
          <w:color w:val="auto"/>
        </w:rPr>
      </w:pPr>
      <w:r>
        <w:rPr>
          <w:rFonts w:ascii="Arial" w:cs="Arial" w:eastAsia="Arial" w:hAnsi="Arial"/>
          <w:sz w:val="15"/>
          <w:szCs w:val="15"/>
          <w:color w:val="auto"/>
        </w:rPr>
        <w:t>Mr. Khanna is a senior advisor at McKinsey &amp; Company and has served as the executive co-chair of Apexon, an AI, data and digital-first technology services firm that specializes in accelerating business transformation, since June 2024. Previously, Mr. Khanna was senior partner at McKinsey &amp; Company, which he joined in 1998. He co-led the Global Banking &amp; Securities Practice from 2018 until 2023, led McKinsey Digital for Financial Services globally from 2014 to 2018, led McKinsey’s New York office from 2011 to 2012, and led its Property &amp; Casualty Insurance Practice from 2009 to 2011. Prior to joining McKinsey &amp; Company, Mr. Khanna served as chief executive officer of a digital business at eCredit, focused on trade receivables securitization in partnership with J.P. Morgan.</w:t>
      </w:r>
    </w:p>
    <w:p>
      <w:pPr>
        <w:spacing w:after="0" w:line="205" w:lineRule="exact"/>
        <w:rPr>
          <w:sz w:val="20"/>
          <w:szCs w:val="20"/>
          <w:color w:val="auto"/>
        </w:rPr>
      </w:pPr>
    </w:p>
    <w:p>
      <w:pPr>
        <w:ind w:right="40"/>
        <w:spacing w:after="0" w:line="255" w:lineRule="auto"/>
        <w:rPr>
          <w:sz w:val="20"/>
          <w:szCs w:val="20"/>
          <w:color w:val="auto"/>
        </w:rPr>
      </w:pPr>
      <w:r>
        <w:rPr>
          <w:rFonts w:ascii="Arial" w:cs="Arial" w:eastAsia="Arial" w:hAnsi="Arial"/>
          <w:sz w:val="15"/>
          <w:szCs w:val="15"/>
          <w:color w:val="auto"/>
        </w:rPr>
        <w:t>Mr. Khanna serves on the board of directors of KeyCorp (NYSE: KEY). In addition, he currently serves on the boards of directors of Persado Inc., which provides an AI-powered marketing platform focused on driving compliant message performance, and ASAPP, which offers enterprise clients a customer experience platform that leverages AI agents to support customer service operations. He was previously on the board of Lincoln Center and SeriousFun Children’s Network.</w:t>
      </w:r>
    </w:p>
    <w:p>
      <w:pPr>
        <w:spacing w:after="0" w:line="198" w:lineRule="exact"/>
        <w:rPr>
          <w:sz w:val="20"/>
          <w:szCs w:val="20"/>
          <w:color w:val="auto"/>
        </w:rPr>
      </w:pPr>
    </w:p>
    <w:p>
      <w:pPr>
        <w:ind w:right="40"/>
        <w:spacing w:after="0" w:line="258" w:lineRule="auto"/>
        <w:rPr>
          <w:sz w:val="20"/>
          <w:szCs w:val="20"/>
          <w:color w:val="auto"/>
        </w:rPr>
      </w:pPr>
      <w:r>
        <w:rPr>
          <w:rFonts w:ascii="Arial" w:cs="Arial" w:eastAsia="Arial" w:hAnsi="Arial"/>
          <w:sz w:val="15"/>
          <w:szCs w:val="15"/>
          <w:color w:val="auto"/>
        </w:rPr>
        <w:t>Mr. Khanna holds a M.S. in management from the Kellogg Graduate School of Management at Northwestern University, a Post-Graduate Diploma in management from the Indian Institute of Management (IIM) Calcutta, and a Bachelor of Technology in chemical engineering from the Indian Institute of Technology (IIT) New Delhi.</w:t>
      </w:r>
    </w:p>
    <w:p>
      <w:pPr>
        <w:spacing w:after="0" w:line="187" w:lineRule="exact"/>
        <w:rPr>
          <w:sz w:val="20"/>
          <w:szCs w:val="20"/>
          <w:color w:val="auto"/>
        </w:rPr>
      </w:pPr>
    </w:p>
    <w:p>
      <w:pPr>
        <w:spacing w:after="0"/>
        <w:rPr>
          <w:sz w:val="20"/>
          <w:szCs w:val="20"/>
          <w:color w:val="auto"/>
        </w:rPr>
      </w:pPr>
      <w:r>
        <w:rPr>
          <w:rFonts w:ascii="Arial" w:cs="Arial" w:eastAsia="Arial" w:hAnsi="Arial"/>
          <w:sz w:val="19"/>
          <w:szCs w:val="19"/>
          <w:b w:val="1"/>
          <w:bCs w:val="1"/>
          <w:color w:val="B95827"/>
        </w:rPr>
        <w:t>QUALIFICATIONS</w:t>
      </w:r>
    </w:p>
    <w:p>
      <w:pPr>
        <w:spacing w:after="0" w:line="9" w:lineRule="exact"/>
        <w:rPr>
          <w:sz w:val="20"/>
          <w:szCs w:val="20"/>
          <w:color w:val="auto"/>
        </w:rPr>
      </w:pPr>
    </w:p>
    <w:p>
      <w:pPr>
        <w:ind w:right="80"/>
        <w:spacing w:after="0" w:line="251" w:lineRule="auto"/>
        <w:rPr>
          <w:sz w:val="20"/>
          <w:szCs w:val="20"/>
          <w:color w:val="auto"/>
        </w:rPr>
      </w:pPr>
      <w:r>
        <w:rPr>
          <w:rFonts w:ascii="Arial" w:cs="Arial" w:eastAsia="Arial" w:hAnsi="Arial"/>
          <w:sz w:val="15"/>
          <w:szCs w:val="15"/>
          <w:color w:val="auto"/>
        </w:rPr>
        <w:t>Mr. Khanna’s pertinent qualifications include over 30 years of leadership in consulting and financial services, with expertise in digital strategy and organizational transformation in banking and insurance, a proven track record in building and scaling digital capabilities and leading productivity-enhancing initiatives, deep experience in new digital ventures, and governance and non-profit leadership through board roles at a public company and at major arts and philanthropic organizations.</w:t>
      </w:r>
    </w:p>
    <w:p>
      <w:pPr>
        <w:spacing w:after="0" w:line="3982" w:lineRule="exact"/>
        <w:rPr>
          <w:sz w:val="20"/>
          <w:szCs w:val="20"/>
          <w:color w:val="auto"/>
        </w:rPr>
      </w:pPr>
    </w:p>
    <w:p>
      <w:pPr>
        <w:sectPr>
          <w:pgSz w:w="11900" w:h="16838" w:orient="portrait"/>
          <w:cols w:equalWidth="0" w:num="3">
            <w:col w:w="2160" w:space="560"/>
            <w:col w:w="2140" w:space="520"/>
            <w:col w:w="5320"/>
          </w:cols>
          <w:pgMar w:left="320" w:top="464" w:right="879" w:bottom="1440" w:gutter="0" w:footer="0" w:header="0"/>
          <w:type w:val="continuous"/>
        </w:sectPr>
      </w:pPr>
    </w:p>
    <w:p>
      <w:pPr>
        <w:spacing w:after="0" w:line="200" w:lineRule="exact"/>
        <w:rPr>
          <w:sz w:val="20"/>
          <w:szCs w:val="20"/>
          <w:color w:val="auto"/>
        </w:rPr>
      </w:pPr>
    </w:p>
    <w:p>
      <w:pPr>
        <w:spacing w:after="0" w:line="385" w:lineRule="exact"/>
        <w:rPr>
          <w:sz w:val="20"/>
          <w:szCs w:val="20"/>
          <w:color w:val="auto"/>
        </w:rPr>
      </w:pPr>
    </w:p>
    <w:p>
      <w:pPr>
        <w:ind w:left="420"/>
        <w:spacing w:after="0"/>
        <w:tabs>
          <w:tab w:leader="none" w:pos="2380" w:val="left"/>
          <w:tab w:leader="none" w:pos="2800" w:val="left"/>
        </w:tabs>
        <w:rPr>
          <w:sz w:val="20"/>
          <w:szCs w:val="20"/>
          <w:color w:val="auto"/>
        </w:rPr>
      </w:pPr>
      <w:r>
        <w:rPr>
          <w:rFonts w:ascii="Arial" w:cs="Arial" w:eastAsia="Arial" w:hAnsi="Arial"/>
          <w:sz w:val="30"/>
          <w:szCs w:val="30"/>
          <w:color w:val="000000"/>
          <w:vertAlign w:val="superscript"/>
        </w:rPr>
        <w:t xml:space="preserve">             </w:t>
      </w:r>
      <w:r>
        <w:rPr>
          <w:sz w:val="20"/>
          <w:szCs w:val="20"/>
          <w:color w:val="auto"/>
        </w:rPr>
        <w:tab/>
      </w:r>
      <w:r>
        <w:rPr>
          <w:rFonts w:ascii="Arial" w:cs="Arial" w:eastAsia="Arial" w:hAnsi="Arial"/>
          <w:sz w:val="31"/>
          <w:szCs w:val="31"/>
          <w:color w:val="auto"/>
          <w:vertAlign w:val="superscript"/>
        </w:rPr>
        <w:t xml:space="preserve">    </w:t>
      </w:r>
      <w:r>
        <w:rPr>
          <w:sz w:val="20"/>
          <w:szCs w:val="20"/>
          <w:color w:val="auto"/>
        </w:rPr>
        <w:tab/>
      </w:r>
      <w:r>
        <w:rPr>
          <w:rFonts w:ascii="Arial" w:cs="Arial" w:eastAsia="Arial" w:hAnsi="Arial"/>
          <w:sz w:val="15"/>
          <w:szCs w:val="15"/>
          <w:b w:val="1"/>
          <w:bCs w:val="1"/>
          <w:color w:val="002B5F"/>
        </w:rPr>
        <w:t xml:space="preserve">14  </w:t>
      </w:r>
      <w:r>
        <w:rPr>
          <w:rFonts w:ascii="Arial" w:cs="Arial" w:eastAsia="Arial" w:hAnsi="Arial"/>
          <w:sz w:val="20"/>
          <w:szCs w:val="20"/>
          <w:color w:val="002B5F"/>
        </w:rPr>
        <w:t>|</w:t>
      </w:r>
      <w:r>
        <w:rPr>
          <w:rFonts w:ascii="Arial" w:cs="Arial" w:eastAsia="Arial" w:hAnsi="Arial"/>
          <w:sz w:val="15"/>
          <w:szCs w:val="15"/>
          <w:b w:val="1"/>
          <w:bCs w:val="1"/>
          <w:color w:val="002B5F"/>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6111875</wp:posOffset>
            </wp:positionH>
            <wp:positionV relativeFrom="paragraph">
              <wp:posOffset>-208915</wp:posOffset>
            </wp:positionV>
            <wp:extent cx="769620" cy="971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69620" cy="97155"/>
                    </a:xfrm>
                    <a:prstGeom prst="rect">
                      <a:avLst/>
                    </a:prstGeom>
                    <a:noFill/>
                  </pic:spPr>
                </pic:pic>
              </a:graphicData>
            </a:graphic>
          </wp:anchor>
        </w:drawing>
      </w:r>
    </w:p>
    <w:p>
      <w:pPr>
        <w:sectPr>
          <w:pgSz w:w="11900" w:h="16838" w:orient="portrait"/>
          <w:cols w:equalWidth="0" w:num="1">
            <w:col w:w="10700"/>
          </w:cols>
          <w:pgMar w:left="320" w:top="464" w:right="879" w:bottom="144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5334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81215" cy="53340"/>
                    </a:xfrm>
                    <a:prstGeom prst="rect">
                      <a:avLst/>
                    </a:prstGeom>
                    <a:noFill/>
                  </pic:spPr>
                </pic:pic>
              </a:graphicData>
            </a:graphic>
          </wp:anchor>
        </w:drawing>
        <w:t>Table of Contents</w:t>
      </w:r>
    </w:p>
    <w:p>
      <w:pPr>
        <w:spacing w:after="0" w:line="399" w:lineRule="exact"/>
        <w:rPr>
          <w:sz w:val="20"/>
          <w:szCs w:val="20"/>
          <w:color w:val="auto"/>
        </w:rPr>
      </w:pPr>
    </w:p>
    <w:tbl>
      <w:tblPr>
        <w:tblLayout w:type="fixed"/>
        <w:tblInd w:w="540" w:type="dxa"/>
        <w:tblCellMar>
          <w:top w:w="0" w:type="dxa"/>
          <w:left w:w="0" w:type="dxa"/>
          <w:bottom w:w="0" w:type="dxa"/>
          <w:right w:w="0" w:type="dxa"/>
        </w:tblCellMar>
      </w:tblPr>
      <w:tr>
        <w:trPr>
          <w:trHeight w:val="467"/>
        </w:trPr>
        <w:tc>
          <w:tcPr>
            <w:tcW w:w="2460" w:type="dxa"/>
            <w:vAlign w:val="bottom"/>
          </w:tcPr>
          <w:p>
            <w:pPr>
              <w:spacing w:after="0"/>
              <w:rPr>
                <w:sz w:val="20"/>
                <w:szCs w:val="20"/>
                <w:color w:val="auto"/>
              </w:rPr>
            </w:pPr>
            <w:r>
              <w:rPr>
                <w:rFonts w:ascii="Times New Roman" w:cs="Times New Roman" w:eastAsia="Times New Roman" w:hAnsi="Times New Roman"/>
                <w:sz w:val="37"/>
                <w:szCs w:val="37"/>
                <w:color w:val="B95827"/>
              </w:rPr>
              <w:t>Albert J. Ko</w:t>
            </w:r>
          </w:p>
        </w:tc>
        <w:tc>
          <w:tcPr>
            <w:tcW w:w="5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shd w:val="clear" w:color="auto" w:fill="002B5F"/>
          </w:tcPr>
          <w:p>
            <w:pPr>
              <w:ind w:left="40"/>
              <w:spacing w:after="0"/>
              <w:rPr>
                <w:sz w:val="20"/>
                <w:szCs w:val="20"/>
                <w:color w:val="auto"/>
              </w:rPr>
            </w:pPr>
            <w:r>
              <w:rPr>
                <w:rFonts w:ascii="Arial" w:cs="Arial" w:eastAsia="Arial" w:hAnsi="Arial"/>
                <w:sz w:val="15"/>
                <w:szCs w:val="15"/>
                <w:color w:val="auto"/>
              </w:rPr>
              <w:t> </w:t>
            </w:r>
          </w:p>
        </w:tc>
        <w:tc>
          <w:tcPr>
            <w:tcW w:w="1280" w:type="dxa"/>
            <w:vAlign w:val="bottom"/>
            <w:shd w:val="clear" w:color="auto" w:fill="002B5F"/>
          </w:tcPr>
          <w:p>
            <w:pPr>
              <w:ind w:left="140"/>
              <w:spacing w:after="0"/>
              <w:rPr>
                <w:sz w:val="20"/>
                <w:szCs w:val="20"/>
                <w:color w:val="auto"/>
              </w:rPr>
            </w:pPr>
            <w:r>
              <w:rPr>
                <w:rFonts w:ascii="Arial" w:cs="Arial" w:eastAsia="Arial" w:hAnsi="Arial"/>
                <w:sz w:val="12"/>
                <w:szCs w:val="12"/>
                <w:color w:val="FFFFFF"/>
              </w:rPr>
              <w:t>General</w:t>
            </w:r>
          </w:p>
        </w:tc>
        <w:tc>
          <w:tcPr>
            <w:tcW w:w="460" w:type="dxa"/>
            <w:vAlign w:val="bottom"/>
            <w:shd w:val="clear" w:color="auto" w:fill="002B5F"/>
          </w:tcPr>
          <w:p>
            <w:pPr>
              <w:ind w:left="80"/>
              <w:spacing w:after="0"/>
              <w:rPr>
                <w:sz w:val="20"/>
                <w:szCs w:val="20"/>
                <w:color w:val="auto"/>
              </w:rPr>
            </w:pPr>
            <w:r>
              <w:rPr>
                <w:rFonts w:ascii="Arial" w:cs="Arial" w:eastAsia="Arial" w:hAnsi="Arial"/>
                <w:sz w:val="15"/>
                <w:szCs w:val="15"/>
                <w:color w:val="auto"/>
              </w:rPr>
              <w:t xml:space="preserve">       </w:t>
            </w:r>
          </w:p>
        </w:tc>
        <w:tc>
          <w:tcPr>
            <w:tcW w:w="0" w:type="dxa"/>
            <w:vAlign w:val="bottom"/>
          </w:tcPr>
          <w:p>
            <w:pPr>
              <w:spacing w:after="0"/>
              <w:rPr>
                <w:sz w:val="1"/>
                <w:szCs w:val="1"/>
                <w:color w:val="auto"/>
              </w:rPr>
            </w:pPr>
          </w:p>
        </w:tc>
      </w:tr>
      <w:tr>
        <w:trPr>
          <w:trHeight w:val="95"/>
        </w:trPr>
        <w:tc>
          <w:tcPr>
            <w:tcW w:w="2460" w:type="dxa"/>
            <w:vAlign w:val="bottom"/>
            <w:tcBorders>
              <w:bottom w:val="single" w:sz="8" w:color="auto"/>
            </w:tcBorders>
          </w:tcPr>
          <w:p>
            <w:pPr>
              <w:spacing w:after="0"/>
              <w:rPr>
                <w:sz w:val="8"/>
                <w:szCs w:val="8"/>
                <w:color w:val="auto"/>
              </w:rPr>
            </w:pPr>
          </w:p>
        </w:tc>
        <w:tc>
          <w:tcPr>
            <w:tcW w:w="542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Borders>
              <w:bottom w:val="single" w:sz="8" w:color="002B5F"/>
            </w:tcBorders>
            <w:shd w:val="clear" w:color="auto" w:fill="002B5F"/>
          </w:tcPr>
          <w:p>
            <w:pPr>
              <w:spacing w:after="0"/>
              <w:rPr>
                <w:sz w:val="8"/>
                <w:szCs w:val="8"/>
                <w:color w:val="auto"/>
              </w:rPr>
            </w:pPr>
          </w:p>
        </w:tc>
        <w:tc>
          <w:tcPr>
            <w:tcW w:w="1280" w:type="dxa"/>
            <w:vAlign w:val="bottom"/>
            <w:tcBorders>
              <w:bottom w:val="single" w:sz="8" w:color="002B5F"/>
            </w:tcBorders>
            <w:shd w:val="clear" w:color="auto" w:fill="002B5F"/>
          </w:tcPr>
          <w:p>
            <w:pPr>
              <w:ind w:left="140"/>
              <w:spacing w:after="0" w:line="88" w:lineRule="exact"/>
              <w:rPr>
                <w:sz w:val="20"/>
                <w:szCs w:val="20"/>
                <w:color w:val="auto"/>
              </w:rPr>
            </w:pPr>
            <w:r>
              <w:rPr>
                <w:rFonts w:ascii="Arial" w:cs="Arial" w:eastAsia="Arial" w:hAnsi="Arial"/>
                <w:sz w:val="10"/>
                <w:szCs w:val="10"/>
                <w:color w:val="FFFFFF"/>
              </w:rPr>
              <w:t>Information</w:t>
            </w:r>
          </w:p>
        </w:tc>
        <w:tc>
          <w:tcPr>
            <w:tcW w:w="460" w:type="dxa"/>
            <w:vAlign w:val="bottom"/>
            <w:tcBorders>
              <w:bottom w:val="single" w:sz="8" w:color="002B5F"/>
            </w:tcBorders>
            <w:shd w:val="clear" w:color="auto" w:fill="002B5F"/>
          </w:tcPr>
          <w:p>
            <w:pPr>
              <w:spacing w:after="0"/>
              <w:rPr>
                <w:sz w:val="8"/>
                <w:szCs w:val="8"/>
                <w:color w:val="auto"/>
              </w:rPr>
            </w:pPr>
          </w:p>
        </w:tc>
        <w:tc>
          <w:tcPr>
            <w:tcW w:w="0" w:type="dxa"/>
            <w:vAlign w:val="bottom"/>
          </w:tcPr>
          <w:p>
            <w:pPr>
              <w:spacing w:after="0"/>
              <w:rPr>
                <w:sz w:val="1"/>
                <w:szCs w:val="1"/>
                <w:color w:val="auto"/>
              </w:rPr>
            </w:pPr>
          </w:p>
        </w:tc>
      </w:tr>
      <w:tr>
        <w:trPr>
          <w:trHeight w:val="294"/>
        </w:trPr>
        <w:tc>
          <w:tcPr>
            <w:tcW w:w="2460" w:type="dxa"/>
            <w:vAlign w:val="bottom"/>
          </w:tcPr>
          <w:p>
            <w:pPr>
              <w:spacing w:after="0"/>
              <w:rPr>
                <w:sz w:val="24"/>
                <w:szCs w:val="24"/>
                <w:color w:val="auto"/>
              </w:rPr>
            </w:pPr>
          </w:p>
        </w:tc>
        <w:tc>
          <w:tcPr>
            <w:tcW w:w="5420" w:type="dxa"/>
            <w:vAlign w:val="bottom"/>
            <w:vMerge w:val="restart"/>
          </w:tcPr>
          <w:p>
            <w:pPr>
              <w:ind w:left="140"/>
              <w:spacing w:after="0"/>
              <w:rPr>
                <w:sz w:val="20"/>
                <w:szCs w:val="20"/>
                <w:color w:val="auto"/>
              </w:rPr>
            </w:pPr>
            <w:r>
              <w:rPr>
                <w:rFonts w:ascii="Arial" w:cs="Arial" w:eastAsia="Arial" w:hAnsi="Arial"/>
                <w:sz w:val="19"/>
                <w:szCs w:val="19"/>
                <w:b w:val="1"/>
                <w:bCs w:val="1"/>
                <w:color w:val="B95827"/>
              </w:rPr>
              <w:t>BACKGROUND</w:t>
            </w:r>
          </w:p>
        </w:tc>
        <w:tc>
          <w:tcPr>
            <w:tcW w:w="420" w:type="dxa"/>
            <w:vAlign w:val="bottom"/>
          </w:tcPr>
          <w:p>
            <w:pPr>
              <w:spacing w:after="0"/>
              <w:rPr>
                <w:sz w:val="24"/>
                <w:szCs w:val="24"/>
                <w:color w:val="auto"/>
              </w:rPr>
            </w:pPr>
          </w:p>
        </w:tc>
        <w:tc>
          <w:tcPr>
            <w:tcW w:w="240" w:type="dxa"/>
            <w:vAlign w:val="bottom"/>
            <w:shd w:val="clear" w:color="auto" w:fill="002B5F"/>
          </w:tcPr>
          <w:p>
            <w:pPr>
              <w:spacing w:after="0"/>
              <w:rPr>
                <w:sz w:val="24"/>
                <w:szCs w:val="24"/>
                <w:color w:val="auto"/>
              </w:rPr>
            </w:pPr>
          </w:p>
        </w:tc>
        <w:tc>
          <w:tcPr>
            <w:tcW w:w="1280" w:type="dxa"/>
            <w:vAlign w:val="bottom"/>
            <w:shd w:val="clear" w:color="auto" w:fill="002B5F"/>
          </w:tcPr>
          <w:p>
            <w:pPr>
              <w:ind w:left="140"/>
              <w:spacing w:after="0"/>
              <w:rPr>
                <w:sz w:val="20"/>
                <w:szCs w:val="20"/>
                <w:color w:val="auto"/>
              </w:rPr>
            </w:pPr>
            <w:r>
              <w:rPr>
                <w:rFonts w:ascii="Arial" w:cs="Arial" w:eastAsia="Arial" w:hAnsi="Arial"/>
                <w:sz w:val="12"/>
                <w:szCs w:val="12"/>
                <w:color w:val="FFFFFF"/>
              </w:rPr>
              <w:t>General Information</w:t>
            </w:r>
          </w:p>
        </w:tc>
        <w:tc>
          <w:tcPr>
            <w:tcW w:w="460" w:type="dxa"/>
            <w:vAlign w:val="bottom"/>
            <w:shd w:val="clear" w:color="auto" w:fill="002B5F"/>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2460" w:type="dxa"/>
            <w:vAlign w:val="bottom"/>
          </w:tcPr>
          <w:p>
            <w:pPr>
              <w:spacing w:after="0"/>
              <w:rPr>
                <w:sz w:val="11"/>
                <w:szCs w:val="11"/>
                <w:color w:val="auto"/>
              </w:rPr>
            </w:pPr>
          </w:p>
        </w:tc>
        <w:tc>
          <w:tcPr>
            <w:tcW w:w="5420" w:type="dxa"/>
            <w:vAlign w:val="bottom"/>
            <w:vMerge w:val="continue"/>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shd w:val="clear" w:color="auto" w:fill="002B5F"/>
          </w:tcPr>
          <w:p>
            <w:pPr>
              <w:spacing w:after="0"/>
              <w:rPr>
                <w:sz w:val="11"/>
                <w:szCs w:val="11"/>
                <w:color w:val="auto"/>
              </w:rPr>
            </w:pPr>
          </w:p>
        </w:tc>
        <w:tc>
          <w:tcPr>
            <w:tcW w:w="1280" w:type="dxa"/>
            <w:vAlign w:val="bottom"/>
            <w:shd w:val="clear" w:color="auto" w:fill="002B5F"/>
          </w:tcPr>
          <w:p>
            <w:pPr>
              <w:ind w:left="140"/>
              <w:spacing w:after="0" w:line="133" w:lineRule="exact"/>
              <w:rPr>
                <w:sz w:val="20"/>
                <w:szCs w:val="20"/>
                <w:color w:val="auto"/>
              </w:rPr>
            </w:pPr>
            <w:r>
              <w:rPr>
                <w:rFonts w:ascii="Arial" w:cs="Arial" w:eastAsia="Arial" w:hAnsi="Arial"/>
                <w:sz w:val="12"/>
                <w:szCs w:val="12"/>
                <w:color w:val="FFFFFF"/>
              </w:rPr>
              <w:t>About Corporate</w:t>
            </w:r>
          </w:p>
        </w:tc>
        <w:tc>
          <w:tcPr>
            <w:tcW w:w="460" w:type="dxa"/>
            <w:vAlign w:val="bottom"/>
            <w:shd w:val="clear" w:color="auto" w:fill="002B5F"/>
          </w:tcPr>
          <w:p>
            <w:pPr>
              <w:spacing w:after="0"/>
              <w:rPr>
                <w:sz w:val="11"/>
                <w:szCs w:val="11"/>
                <w:color w:val="auto"/>
              </w:rPr>
            </w:pPr>
          </w:p>
        </w:tc>
        <w:tc>
          <w:tcPr>
            <w:tcW w:w="0" w:type="dxa"/>
            <w:vAlign w:val="bottom"/>
          </w:tcPr>
          <w:p>
            <w:pPr>
              <w:spacing w:after="0"/>
              <w:rPr>
                <w:sz w:val="1"/>
                <w:szCs w:val="1"/>
                <w:color w:val="auto"/>
              </w:rPr>
            </w:pPr>
          </w:p>
        </w:tc>
      </w:tr>
      <w:tr>
        <w:trPr>
          <w:trHeight w:val="179"/>
        </w:trPr>
        <w:tc>
          <w:tcPr>
            <w:tcW w:w="2460" w:type="dxa"/>
            <w:vAlign w:val="bottom"/>
          </w:tcPr>
          <w:p>
            <w:pPr>
              <w:spacing w:after="0"/>
              <w:rPr>
                <w:sz w:val="15"/>
                <w:szCs w:val="15"/>
                <w:color w:val="auto"/>
              </w:rPr>
            </w:pPr>
          </w:p>
        </w:tc>
        <w:tc>
          <w:tcPr>
            <w:tcW w:w="5420" w:type="dxa"/>
            <w:vAlign w:val="bottom"/>
          </w:tcPr>
          <w:p>
            <w:pPr>
              <w:ind w:left="140"/>
              <w:spacing w:after="0"/>
              <w:rPr>
                <w:sz w:val="20"/>
                <w:szCs w:val="20"/>
                <w:color w:val="auto"/>
              </w:rPr>
            </w:pPr>
            <w:r>
              <w:rPr>
                <w:rFonts w:ascii="Arial" w:cs="Arial" w:eastAsia="Arial" w:hAnsi="Arial"/>
                <w:sz w:val="15"/>
                <w:szCs w:val="15"/>
                <w:color w:val="auto"/>
              </w:rPr>
              <w:t>Mr. Ko serves as the chief executive officer of Auctane, a global delivery</w:t>
            </w:r>
          </w:p>
        </w:tc>
        <w:tc>
          <w:tcPr>
            <w:tcW w:w="420" w:type="dxa"/>
            <w:vAlign w:val="bottom"/>
          </w:tcPr>
          <w:p>
            <w:pPr>
              <w:spacing w:after="0"/>
              <w:rPr>
                <w:sz w:val="15"/>
                <w:szCs w:val="15"/>
                <w:color w:val="auto"/>
              </w:rPr>
            </w:pPr>
          </w:p>
        </w:tc>
        <w:tc>
          <w:tcPr>
            <w:tcW w:w="240" w:type="dxa"/>
            <w:vAlign w:val="bottom"/>
            <w:shd w:val="clear" w:color="auto" w:fill="002B5F"/>
          </w:tcPr>
          <w:p>
            <w:pPr>
              <w:spacing w:after="0"/>
              <w:rPr>
                <w:sz w:val="15"/>
                <w:szCs w:val="15"/>
                <w:color w:val="auto"/>
              </w:rPr>
            </w:pPr>
          </w:p>
        </w:tc>
        <w:tc>
          <w:tcPr>
            <w:tcW w:w="1280" w:type="dxa"/>
            <w:vAlign w:val="bottom"/>
            <w:shd w:val="clear" w:color="auto" w:fill="002B5F"/>
          </w:tcPr>
          <w:p>
            <w:pPr>
              <w:ind w:left="140"/>
              <w:spacing w:after="0"/>
              <w:rPr>
                <w:sz w:val="20"/>
                <w:szCs w:val="20"/>
                <w:color w:val="auto"/>
              </w:rPr>
            </w:pPr>
            <w:r>
              <w:rPr>
                <w:rFonts w:ascii="Arial" w:cs="Arial" w:eastAsia="Arial" w:hAnsi="Arial"/>
                <w:sz w:val="12"/>
                <w:szCs w:val="12"/>
                <w:color w:val="FFFFFF"/>
              </w:rPr>
              <w:t>Governance</w:t>
            </w:r>
          </w:p>
        </w:tc>
        <w:tc>
          <w:tcPr>
            <w:tcW w:w="460" w:type="dxa"/>
            <w:vAlign w:val="bottom"/>
            <w:shd w:val="clear" w:color="auto" w:fill="002B5F"/>
          </w:tcPr>
          <w:p>
            <w:pPr>
              <w:spacing w:after="0"/>
              <w:rPr>
                <w:sz w:val="15"/>
                <w:szCs w:val="15"/>
                <w:color w:val="auto"/>
              </w:rPr>
            </w:pPr>
          </w:p>
        </w:tc>
        <w:tc>
          <w:tcPr>
            <w:tcW w:w="0" w:type="dxa"/>
            <w:vAlign w:val="bottom"/>
          </w:tcPr>
          <w:p>
            <w:pPr>
              <w:spacing w:after="0"/>
              <w:rPr>
                <w:sz w:val="1"/>
                <w:szCs w:val="1"/>
                <w:color w:val="auto"/>
              </w:rPr>
            </w:pPr>
          </w:p>
        </w:tc>
      </w:tr>
      <w:tr>
        <w:trPr>
          <w:trHeight w:val="72"/>
        </w:trPr>
        <w:tc>
          <w:tcPr>
            <w:tcW w:w="2460" w:type="dxa"/>
            <w:vAlign w:val="bottom"/>
          </w:tcPr>
          <w:p>
            <w:pPr>
              <w:spacing w:after="0"/>
              <w:rPr>
                <w:sz w:val="6"/>
                <w:szCs w:val="6"/>
                <w:color w:val="auto"/>
              </w:rPr>
            </w:pPr>
          </w:p>
        </w:tc>
        <w:tc>
          <w:tcPr>
            <w:tcW w:w="5420" w:type="dxa"/>
            <w:vAlign w:val="bottom"/>
            <w:vMerge w:val="restart"/>
          </w:tcPr>
          <w:p>
            <w:pPr>
              <w:ind w:left="140"/>
              <w:spacing w:after="0"/>
              <w:rPr>
                <w:sz w:val="20"/>
                <w:szCs w:val="20"/>
                <w:color w:val="auto"/>
              </w:rPr>
            </w:pPr>
            <w:r>
              <w:rPr>
                <w:rFonts w:ascii="Arial" w:cs="Arial" w:eastAsia="Arial" w:hAnsi="Arial"/>
                <w:sz w:val="15"/>
                <w:szCs w:val="15"/>
                <w:color w:val="auto"/>
              </w:rPr>
              <w:t>experience company that operates brands such as ShipStation, Stamps.com,</w:t>
            </w:r>
          </w:p>
        </w:tc>
        <w:tc>
          <w:tcPr>
            <w:tcW w:w="420" w:type="dxa"/>
            <w:vAlign w:val="bottom"/>
          </w:tcPr>
          <w:p>
            <w:pPr>
              <w:spacing w:after="0"/>
              <w:rPr>
                <w:sz w:val="6"/>
                <w:szCs w:val="6"/>
                <w:color w:val="auto"/>
              </w:rPr>
            </w:pPr>
          </w:p>
        </w:tc>
        <w:tc>
          <w:tcPr>
            <w:tcW w:w="240" w:type="dxa"/>
            <w:vAlign w:val="bottom"/>
            <w:shd w:val="clear" w:color="auto" w:fill="002B5F"/>
          </w:tcPr>
          <w:p>
            <w:pPr>
              <w:spacing w:after="0"/>
              <w:rPr>
                <w:sz w:val="6"/>
                <w:szCs w:val="6"/>
                <w:color w:val="auto"/>
              </w:rPr>
            </w:pPr>
          </w:p>
        </w:tc>
        <w:tc>
          <w:tcPr>
            <w:tcW w:w="1280" w:type="dxa"/>
            <w:vAlign w:val="bottom"/>
            <w:shd w:val="clear" w:color="auto" w:fill="002B5F"/>
          </w:tcPr>
          <w:p>
            <w:pPr>
              <w:ind w:left="140"/>
              <w:spacing w:after="0" w:line="72" w:lineRule="exact"/>
              <w:rPr>
                <w:sz w:val="20"/>
                <w:szCs w:val="20"/>
                <w:color w:val="auto"/>
              </w:rPr>
            </w:pPr>
            <w:r>
              <w:rPr>
                <w:rFonts w:ascii="Arial" w:cs="Arial" w:eastAsia="Arial" w:hAnsi="Arial"/>
                <w:sz w:val="8"/>
                <w:szCs w:val="8"/>
                <w:color w:val="FFFFFF"/>
              </w:rPr>
              <w:t>and the Board of</w:t>
            </w:r>
          </w:p>
        </w:tc>
        <w:tc>
          <w:tcPr>
            <w:tcW w:w="460" w:type="dxa"/>
            <w:vAlign w:val="bottom"/>
            <w:shd w:val="clear" w:color="auto" w:fill="002B5F"/>
          </w:tcPr>
          <w:p>
            <w:pPr>
              <w:spacing w:after="0"/>
              <w:rPr>
                <w:sz w:val="6"/>
                <w:szCs w:val="6"/>
                <w:color w:val="auto"/>
              </w:rPr>
            </w:pPr>
          </w:p>
        </w:tc>
        <w:tc>
          <w:tcPr>
            <w:tcW w:w="0" w:type="dxa"/>
            <w:vAlign w:val="bottom"/>
          </w:tcPr>
          <w:p>
            <w:pPr>
              <w:spacing w:after="0"/>
              <w:rPr>
                <w:sz w:val="1"/>
                <w:szCs w:val="1"/>
                <w:color w:val="auto"/>
              </w:rPr>
            </w:pPr>
          </w:p>
        </w:tc>
      </w:tr>
      <w:tr>
        <w:trPr>
          <w:trHeight w:val="133"/>
        </w:trPr>
        <w:tc>
          <w:tcPr>
            <w:tcW w:w="2460" w:type="dxa"/>
            <w:vAlign w:val="bottom"/>
          </w:tcPr>
          <w:p>
            <w:pPr>
              <w:spacing w:after="0"/>
              <w:rPr>
                <w:sz w:val="11"/>
                <w:szCs w:val="11"/>
                <w:color w:val="auto"/>
              </w:rPr>
            </w:pPr>
          </w:p>
        </w:tc>
        <w:tc>
          <w:tcPr>
            <w:tcW w:w="5420" w:type="dxa"/>
            <w:vAlign w:val="bottom"/>
            <w:vMerge w:val="continue"/>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shd w:val="clear" w:color="auto" w:fill="002B5F"/>
          </w:tcPr>
          <w:p>
            <w:pPr>
              <w:spacing w:after="0"/>
              <w:rPr>
                <w:sz w:val="11"/>
                <w:szCs w:val="11"/>
                <w:color w:val="auto"/>
              </w:rPr>
            </w:pPr>
          </w:p>
        </w:tc>
        <w:tc>
          <w:tcPr>
            <w:tcW w:w="1280" w:type="dxa"/>
            <w:vAlign w:val="bottom"/>
            <w:shd w:val="clear" w:color="auto" w:fill="002B5F"/>
          </w:tcPr>
          <w:p>
            <w:pPr>
              <w:ind w:left="140"/>
              <w:spacing w:after="0" w:line="133" w:lineRule="exact"/>
              <w:rPr>
                <w:sz w:val="20"/>
                <w:szCs w:val="20"/>
                <w:color w:val="auto"/>
              </w:rPr>
            </w:pPr>
            <w:r>
              <w:rPr>
                <w:rFonts w:ascii="Arial" w:cs="Arial" w:eastAsia="Arial" w:hAnsi="Arial"/>
                <w:sz w:val="12"/>
                <w:szCs w:val="12"/>
                <w:color w:val="FFFFFF"/>
              </w:rPr>
              <w:t>Directors</w:t>
            </w:r>
          </w:p>
        </w:tc>
        <w:tc>
          <w:tcPr>
            <w:tcW w:w="460" w:type="dxa"/>
            <w:vAlign w:val="bottom"/>
            <w:shd w:val="clear" w:color="auto" w:fill="002B5F"/>
          </w:tcPr>
          <w:p>
            <w:pPr>
              <w:spacing w:after="0"/>
              <w:rPr>
                <w:sz w:val="11"/>
                <w:szCs w:val="11"/>
                <w:color w:val="auto"/>
              </w:rPr>
            </w:pPr>
          </w:p>
        </w:tc>
        <w:tc>
          <w:tcPr>
            <w:tcW w:w="0" w:type="dxa"/>
            <w:vAlign w:val="bottom"/>
          </w:tcPr>
          <w:p>
            <w:pPr>
              <w:spacing w:after="0"/>
              <w:rPr>
                <w:sz w:val="1"/>
                <w:szCs w:val="1"/>
                <w:color w:val="auto"/>
              </w:rPr>
            </w:pPr>
          </w:p>
        </w:tc>
      </w:tr>
      <w:tr>
        <w:trPr>
          <w:trHeight w:val="179"/>
        </w:trPr>
        <w:tc>
          <w:tcPr>
            <w:tcW w:w="2460" w:type="dxa"/>
            <w:vAlign w:val="bottom"/>
          </w:tcPr>
          <w:p>
            <w:pPr>
              <w:spacing w:after="0"/>
              <w:rPr>
                <w:sz w:val="15"/>
                <w:szCs w:val="15"/>
                <w:color w:val="auto"/>
              </w:rPr>
            </w:pPr>
          </w:p>
        </w:tc>
        <w:tc>
          <w:tcPr>
            <w:tcW w:w="5420" w:type="dxa"/>
            <w:vAlign w:val="bottom"/>
          </w:tcPr>
          <w:p>
            <w:pPr>
              <w:ind w:left="140"/>
              <w:spacing w:after="0"/>
              <w:rPr>
                <w:sz w:val="20"/>
                <w:szCs w:val="20"/>
                <w:color w:val="auto"/>
              </w:rPr>
            </w:pPr>
            <w:r>
              <w:rPr>
                <w:rFonts w:ascii="Arial" w:cs="Arial" w:eastAsia="Arial" w:hAnsi="Arial"/>
                <w:sz w:val="15"/>
                <w:szCs w:val="15"/>
                <w:color w:val="auto"/>
              </w:rPr>
              <w:t>ShippingEasy, Ship Engine, Metapack and Packlink. Previously Mr. Ko</w:t>
            </w:r>
          </w:p>
        </w:tc>
        <w:tc>
          <w:tcPr>
            <w:tcW w:w="420" w:type="dxa"/>
            <w:vAlign w:val="bottom"/>
          </w:tcPr>
          <w:p>
            <w:pPr>
              <w:spacing w:after="0"/>
              <w:rPr>
                <w:sz w:val="15"/>
                <w:szCs w:val="15"/>
                <w:color w:val="auto"/>
              </w:rPr>
            </w:pPr>
          </w:p>
        </w:tc>
        <w:tc>
          <w:tcPr>
            <w:tcW w:w="240" w:type="dxa"/>
            <w:vAlign w:val="bottom"/>
            <w:shd w:val="clear" w:color="auto" w:fill="002B5F"/>
          </w:tcPr>
          <w:p>
            <w:pPr>
              <w:spacing w:after="0"/>
              <w:rPr>
                <w:sz w:val="15"/>
                <w:szCs w:val="15"/>
                <w:color w:val="auto"/>
              </w:rPr>
            </w:pPr>
          </w:p>
        </w:tc>
        <w:tc>
          <w:tcPr>
            <w:tcW w:w="1280" w:type="dxa"/>
            <w:vAlign w:val="bottom"/>
            <w:vMerge w:val="restart"/>
            <w:shd w:val="clear" w:color="auto" w:fill="002B5F"/>
          </w:tcPr>
          <w:p>
            <w:pPr>
              <w:ind w:left="140"/>
              <w:spacing w:after="0"/>
              <w:rPr>
                <w:sz w:val="20"/>
                <w:szCs w:val="20"/>
                <w:color w:val="auto"/>
              </w:rPr>
            </w:pPr>
            <w:r>
              <w:rPr>
                <w:rFonts w:ascii="Arial" w:cs="Arial" w:eastAsia="Arial" w:hAnsi="Arial"/>
                <w:sz w:val="12"/>
                <w:szCs w:val="12"/>
                <w:b w:val="1"/>
                <w:bCs w:val="1"/>
                <w:color w:val="FFFFFF"/>
              </w:rPr>
              <w:t>Proposal 1</w:t>
            </w:r>
          </w:p>
        </w:tc>
        <w:tc>
          <w:tcPr>
            <w:tcW w:w="460" w:type="dxa"/>
            <w:vAlign w:val="bottom"/>
            <w:shd w:val="clear" w:color="auto" w:fill="002B5F"/>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460" w:type="dxa"/>
            <w:vAlign w:val="bottom"/>
          </w:tcPr>
          <w:p>
            <w:pPr>
              <w:spacing w:after="0"/>
              <w:rPr>
                <w:sz w:val="15"/>
                <w:szCs w:val="15"/>
                <w:color w:val="auto"/>
              </w:rPr>
            </w:pPr>
          </w:p>
        </w:tc>
        <w:tc>
          <w:tcPr>
            <w:tcW w:w="5420" w:type="dxa"/>
            <w:vAlign w:val="bottom"/>
          </w:tcPr>
          <w:p>
            <w:pPr>
              <w:ind w:left="140"/>
              <w:spacing w:after="0"/>
              <w:rPr>
                <w:sz w:val="20"/>
                <w:szCs w:val="20"/>
                <w:color w:val="auto"/>
              </w:rPr>
            </w:pPr>
            <w:r>
              <w:rPr>
                <w:rFonts w:ascii="Arial" w:cs="Arial" w:eastAsia="Arial" w:hAnsi="Arial"/>
                <w:sz w:val="15"/>
                <w:szCs w:val="15"/>
                <w:color w:val="auto"/>
              </w:rPr>
              <w:t>served as chief executive officer of Early Warning Services, LLC, a bank-</w:t>
            </w:r>
          </w:p>
        </w:tc>
        <w:tc>
          <w:tcPr>
            <w:tcW w:w="420" w:type="dxa"/>
            <w:vAlign w:val="bottom"/>
          </w:tcPr>
          <w:p>
            <w:pPr>
              <w:spacing w:after="0"/>
              <w:rPr>
                <w:sz w:val="15"/>
                <w:szCs w:val="15"/>
                <w:color w:val="auto"/>
              </w:rPr>
            </w:pPr>
          </w:p>
        </w:tc>
        <w:tc>
          <w:tcPr>
            <w:tcW w:w="240" w:type="dxa"/>
            <w:vAlign w:val="bottom"/>
            <w:shd w:val="clear" w:color="auto" w:fill="002B5F"/>
          </w:tcPr>
          <w:p>
            <w:pPr>
              <w:spacing w:after="0"/>
              <w:rPr>
                <w:sz w:val="15"/>
                <w:szCs w:val="15"/>
                <w:color w:val="auto"/>
              </w:rPr>
            </w:pPr>
          </w:p>
        </w:tc>
        <w:tc>
          <w:tcPr>
            <w:tcW w:w="1280" w:type="dxa"/>
            <w:vAlign w:val="bottom"/>
            <w:vMerge w:val="continue"/>
            <w:shd w:val="clear" w:color="auto" w:fill="002B5F"/>
          </w:tcPr>
          <w:p>
            <w:pPr>
              <w:spacing w:after="0"/>
              <w:rPr>
                <w:sz w:val="15"/>
                <w:szCs w:val="15"/>
                <w:color w:val="auto"/>
              </w:rPr>
            </w:pPr>
          </w:p>
        </w:tc>
        <w:tc>
          <w:tcPr>
            <w:tcW w:w="460" w:type="dxa"/>
            <w:vAlign w:val="bottom"/>
            <w:shd w:val="clear" w:color="auto" w:fill="002B5F"/>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460" w:type="dxa"/>
            <w:vAlign w:val="bottom"/>
          </w:tcPr>
          <w:p>
            <w:pPr>
              <w:spacing w:after="0"/>
              <w:rPr>
                <w:sz w:val="15"/>
                <w:szCs w:val="15"/>
                <w:color w:val="auto"/>
              </w:rPr>
            </w:pPr>
          </w:p>
        </w:tc>
        <w:tc>
          <w:tcPr>
            <w:tcW w:w="5420" w:type="dxa"/>
            <w:vAlign w:val="bottom"/>
          </w:tcPr>
          <w:p>
            <w:pPr>
              <w:ind w:left="140"/>
              <w:spacing w:after="0" w:line="179" w:lineRule="exact"/>
              <w:rPr>
                <w:sz w:val="20"/>
                <w:szCs w:val="20"/>
                <w:color w:val="auto"/>
              </w:rPr>
            </w:pPr>
            <w:r>
              <w:rPr>
                <w:rFonts w:ascii="Arial" w:cs="Arial" w:eastAsia="Arial" w:hAnsi="Arial"/>
                <w:sz w:val="14"/>
                <w:szCs w:val="14"/>
                <w:color w:val="auto"/>
              </w:rPr>
              <w:t>owned financial technology company that operates the Zelle Network</w:t>
            </w:r>
            <w:r>
              <w:rPr>
                <w:rFonts w:ascii="Arial" w:cs="Arial" w:eastAsia="Arial" w:hAnsi="Arial"/>
                <w:sz w:val="20"/>
                <w:szCs w:val="20"/>
                <w:color w:val="auto"/>
                <w:vertAlign w:val="superscript"/>
              </w:rPr>
              <w:t>®</w:t>
            </w:r>
            <w:r>
              <w:rPr>
                <w:rFonts w:ascii="Arial" w:cs="Arial" w:eastAsia="Arial" w:hAnsi="Arial"/>
                <w:sz w:val="14"/>
                <w:szCs w:val="14"/>
                <w:color w:val="auto"/>
              </w:rPr>
              <w:t>, a</w:t>
            </w:r>
          </w:p>
        </w:tc>
        <w:tc>
          <w:tcPr>
            <w:tcW w:w="420" w:type="dxa"/>
            <w:vAlign w:val="bottom"/>
          </w:tcPr>
          <w:p>
            <w:pPr>
              <w:spacing w:after="0"/>
              <w:rPr>
                <w:sz w:val="15"/>
                <w:szCs w:val="15"/>
                <w:color w:val="auto"/>
              </w:rPr>
            </w:pPr>
          </w:p>
        </w:tc>
        <w:tc>
          <w:tcPr>
            <w:tcW w:w="240" w:type="dxa"/>
            <w:vAlign w:val="bottom"/>
            <w:shd w:val="clear" w:color="auto" w:fill="002B5F"/>
          </w:tcPr>
          <w:p>
            <w:pPr>
              <w:spacing w:after="0"/>
              <w:rPr>
                <w:sz w:val="15"/>
                <w:szCs w:val="15"/>
                <w:color w:val="auto"/>
              </w:rPr>
            </w:pPr>
          </w:p>
        </w:tc>
        <w:tc>
          <w:tcPr>
            <w:tcW w:w="1280" w:type="dxa"/>
            <w:vAlign w:val="bottom"/>
            <w:vMerge w:val="restart"/>
            <w:shd w:val="clear" w:color="auto" w:fill="002B5F"/>
          </w:tcPr>
          <w:p>
            <w:pPr>
              <w:ind w:left="140"/>
              <w:spacing w:after="0"/>
              <w:rPr>
                <w:sz w:val="20"/>
                <w:szCs w:val="20"/>
                <w:color w:val="auto"/>
              </w:rPr>
            </w:pPr>
            <w:r>
              <w:rPr>
                <w:rFonts w:ascii="Arial" w:cs="Arial" w:eastAsia="Arial" w:hAnsi="Arial"/>
                <w:sz w:val="12"/>
                <w:szCs w:val="12"/>
                <w:color w:val="FFFFFF"/>
              </w:rPr>
              <w:t>Information</w:t>
            </w:r>
          </w:p>
        </w:tc>
        <w:tc>
          <w:tcPr>
            <w:tcW w:w="460" w:type="dxa"/>
            <w:vAlign w:val="bottom"/>
            <w:shd w:val="clear" w:color="auto" w:fill="002B5F"/>
          </w:tcPr>
          <w:p>
            <w:pPr>
              <w:spacing w:after="0"/>
              <w:rPr>
                <w:sz w:val="15"/>
                <w:szCs w:val="15"/>
                <w:color w:val="auto"/>
              </w:rPr>
            </w:pPr>
          </w:p>
        </w:tc>
        <w:tc>
          <w:tcPr>
            <w:tcW w:w="0" w:type="dxa"/>
            <w:vAlign w:val="bottom"/>
          </w:tcPr>
          <w:p>
            <w:pPr>
              <w:spacing w:after="0"/>
              <w:rPr>
                <w:sz w:val="1"/>
                <w:szCs w:val="1"/>
                <w:color w:val="auto"/>
              </w:rPr>
            </w:pPr>
          </w:p>
        </w:tc>
      </w:tr>
      <w:tr>
        <w:trPr>
          <w:trHeight w:val="46"/>
        </w:trPr>
        <w:tc>
          <w:tcPr>
            <w:tcW w:w="2460" w:type="dxa"/>
            <w:vAlign w:val="bottom"/>
          </w:tcPr>
          <w:p>
            <w:pPr>
              <w:spacing w:after="0"/>
              <w:rPr>
                <w:sz w:val="3"/>
                <w:szCs w:val="3"/>
                <w:color w:val="auto"/>
              </w:rPr>
            </w:pPr>
          </w:p>
        </w:tc>
        <w:tc>
          <w:tcPr>
            <w:tcW w:w="5420" w:type="dxa"/>
            <w:vAlign w:val="bottom"/>
            <w:vMerge w:val="restart"/>
          </w:tcPr>
          <w:p>
            <w:pPr>
              <w:ind w:left="140"/>
              <w:spacing w:after="0"/>
              <w:rPr>
                <w:sz w:val="20"/>
                <w:szCs w:val="20"/>
                <w:color w:val="auto"/>
              </w:rPr>
            </w:pPr>
            <w:r>
              <w:rPr>
                <w:rFonts w:ascii="Arial" w:cs="Arial" w:eastAsia="Arial" w:hAnsi="Arial"/>
                <w:sz w:val="15"/>
                <w:szCs w:val="15"/>
                <w:color w:val="auto"/>
              </w:rPr>
              <w:t>digital payments network connecting financial institutions, enabling real-time</w:t>
            </w:r>
          </w:p>
        </w:tc>
        <w:tc>
          <w:tcPr>
            <w:tcW w:w="420" w:type="dxa"/>
            <w:vAlign w:val="bottom"/>
          </w:tcPr>
          <w:p>
            <w:pPr>
              <w:spacing w:after="0"/>
              <w:rPr>
                <w:sz w:val="3"/>
                <w:szCs w:val="3"/>
                <w:color w:val="auto"/>
              </w:rPr>
            </w:pPr>
          </w:p>
        </w:tc>
        <w:tc>
          <w:tcPr>
            <w:tcW w:w="240" w:type="dxa"/>
            <w:vAlign w:val="bottom"/>
            <w:shd w:val="clear" w:color="auto" w:fill="002B5F"/>
          </w:tcPr>
          <w:p>
            <w:pPr>
              <w:spacing w:after="0"/>
              <w:rPr>
                <w:sz w:val="3"/>
                <w:szCs w:val="3"/>
                <w:color w:val="auto"/>
              </w:rPr>
            </w:pPr>
          </w:p>
        </w:tc>
        <w:tc>
          <w:tcPr>
            <w:tcW w:w="1280" w:type="dxa"/>
            <w:vAlign w:val="bottom"/>
            <w:vMerge w:val="continue"/>
            <w:shd w:val="clear" w:color="auto" w:fill="002B5F"/>
          </w:tcPr>
          <w:p>
            <w:pPr>
              <w:spacing w:after="0"/>
              <w:rPr>
                <w:sz w:val="3"/>
                <w:szCs w:val="3"/>
                <w:color w:val="auto"/>
              </w:rPr>
            </w:pPr>
          </w:p>
        </w:tc>
        <w:tc>
          <w:tcPr>
            <w:tcW w:w="460" w:type="dxa"/>
            <w:vAlign w:val="bottom"/>
            <w:shd w:val="clear" w:color="auto" w:fill="002B5F"/>
          </w:tcPr>
          <w:p>
            <w:pPr>
              <w:spacing w:after="0"/>
              <w:rPr>
                <w:sz w:val="3"/>
                <w:szCs w:val="3"/>
                <w:color w:val="auto"/>
              </w:rPr>
            </w:pPr>
          </w:p>
        </w:tc>
        <w:tc>
          <w:tcPr>
            <w:tcW w:w="0" w:type="dxa"/>
            <w:vAlign w:val="bottom"/>
          </w:tcPr>
          <w:p>
            <w:pPr>
              <w:spacing w:after="0"/>
              <w:rPr>
                <w:sz w:val="1"/>
                <w:szCs w:val="1"/>
                <w:color w:val="auto"/>
              </w:rPr>
            </w:pPr>
          </w:p>
        </w:tc>
      </w:tr>
      <w:tr>
        <w:trPr>
          <w:trHeight w:val="128"/>
        </w:trPr>
        <w:tc>
          <w:tcPr>
            <w:tcW w:w="2460" w:type="dxa"/>
            <w:vAlign w:val="bottom"/>
          </w:tcPr>
          <w:p>
            <w:pPr>
              <w:spacing w:after="0"/>
              <w:rPr>
                <w:sz w:val="11"/>
                <w:szCs w:val="11"/>
                <w:color w:val="auto"/>
              </w:rPr>
            </w:pPr>
          </w:p>
        </w:tc>
        <w:tc>
          <w:tcPr>
            <w:tcW w:w="5420" w:type="dxa"/>
            <w:vAlign w:val="bottom"/>
            <w:vMerge w:val="continue"/>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shd w:val="clear" w:color="auto" w:fill="002B5F"/>
          </w:tcPr>
          <w:p>
            <w:pPr>
              <w:spacing w:after="0"/>
              <w:rPr>
                <w:sz w:val="11"/>
                <w:szCs w:val="11"/>
                <w:color w:val="auto"/>
              </w:rPr>
            </w:pPr>
          </w:p>
        </w:tc>
        <w:tc>
          <w:tcPr>
            <w:tcW w:w="1280" w:type="dxa"/>
            <w:vAlign w:val="bottom"/>
            <w:shd w:val="clear" w:color="auto" w:fill="002B5F"/>
          </w:tcPr>
          <w:p>
            <w:pPr>
              <w:ind w:left="140"/>
              <w:spacing w:after="0" w:line="128" w:lineRule="exact"/>
              <w:rPr>
                <w:sz w:val="20"/>
                <w:szCs w:val="20"/>
                <w:color w:val="auto"/>
              </w:rPr>
            </w:pPr>
            <w:r>
              <w:rPr>
                <w:rFonts w:ascii="Arial" w:cs="Arial" w:eastAsia="Arial" w:hAnsi="Arial"/>
                <w:sz w:val="12"/>
                <w:szCs w:val="12"/>
                <w:color w:val="FFFFFF"/>
              </w:rPr>
              <w:t>Regarding Board</w:t>
            </w:r>
          </w:p>
        </w:tc>
        <w:tc>
          <w:tcPr>
            <w:tcW w:w="460" w:type="dxa"/>
            <w:vAlign w:val="bottom"/>
            <w:shd w:val="clear" w:color="auto" w:fill="002B5F"/>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460" w:type="dxa"/>
            <w:vAlign w:val="bottom"/>
          </w:tcPr>
          <w:p>
            <w:pPr>
              <w:spacing w:after="0"/>
              <w:rPr>
                <w:sz w:val="13"/>
                <w:szCs w:val="13"/>
                <w:color w:val="auto"/>
              </w:rPr>
            </w:pPr>
          </w:p>
        </w:tc>
        <w:tc>
          <w:tcPr>
            <w:tcW w:w="5420" w:type="dxa"/>
            <w:vAlign w:val="bottom"/>
          </w:tcPr>
          <w:p>
            <w:pPr>
              <w:ind w:left="140"/>
              <w:spacing w:after="0" w:line="158" w:lineRule="exact"/>
              <w:rPr>
                <w:sz w:val="20"/>
                <w:szCs w:val="20"/>
                <w:color w:val="auto"/>
              </w:rPr>
            </w:pPr>
            <w:r>
              <w:rPr>
                <w:rFonts w:ascii="Arial" w:cs="Arial" w:eastAsia="Arial" w:hAnsi="Arial"/>
                <w:sz w:val="15"/>
                <w:szCs w:val="15"/>
                <w:color w:val="auto"/>
              </w:rPr>
              <w:t>money transfers and person-to-person payments. He held this position from</w:t>
            </w:r>
          </w:p>
        </w:tc>
        <w:tc>
          <w:tcPr>
            <w:tcW w:w="420" w:type="dxa"/>
            <w:vAlign w:val="bottom"/>
          </w:tcPr>
          <w:p>
            <w:pPr>
              <w:spacing w:after="0"/>
              <w:rPr>
                <w:sz w:val="13"/>
                <w:szCs w:val="13"/>
                <w:color w:val="auto"/>
              </w:rPr>
            </w:pPr>
          </w:p>
        </w:tc>
        <w:tc>
          <w:tcPr>
            <w:tcW w:w="240" w:type="dxa"/>
            <w:vAlign w:val="bottom"/>
            <w:shd w:val="clear" w:color="auto" w:fill="002B5F"/>
          </w:tcPr>
          <w:p>
            <w:pPr>
              <w:spacing w:after="0"/>
              <w:rPr>
                <w:sz w:val="13"/>
                <w:szCs w:val="13"/>
                <w:color w:val="auto"/>
              </w:rPr>
            </w:pPr>
          </w:p>
        </w:tc>
        <w:tc>
          <w:tcPr>
            <w:tcW w:w="1280" w:type="dxa"/>
            <w:vAlign w:val="bottom"/>
            <w:shd w:val="clear" w:color="auto" w:fill="002B5F"/>
          </w:tcPr>
          <w:p>
            <w:pPr>
              <w:ind w:left="140"/>
              <w:spacing w:after="0"/>
              <w:rPr>
                <w:sz w:val="20"/>
                <w:szCs w:val="20"/>
                <w:color w:val="auto"/>
              </w:rPr>
            </w:pPr>
            <w:r>
              <w:rPr>
                <w:rFonts w:ascii="Arial" w:cs="Arial" w:eastAsia="Arial" w:hAnsi="Arial"/>
                <w:sz w:val="12"/>
                <w:szCs w:val="12"/>
                <w:color w:val="FFFFFF"/>
              </w:rPr>
              <w:t>and Committee</w:t>
            </w:r>
          </w:p>
        </w:tc>
        <w:tc>
          <w:tcPr>
            <w:tcW w:w="460" w:type="dxa"/>
            <w:vAlign w:val="bottom"/>
            <w:shd w:val="clear" w:color="auto" w:fill="002B5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460" w:type="dxa"/>
            <w:vAlign w:val="bottom"/>
          </w:tcPr>
          <w:p>
            <w:pPr>
              <w:spacing w:after="0"/>
              <w:rPr>
                <w:sz w:val="13"/>
                <w:szCs w:val="13"/>
                <w:color w:val="auto"/>
              </w:rPr>
            </w:pPr>
          </w:p>
        </w:tc>
        <w:tc>
          <w:tcPr>
            <w:tcW w:w="5420" w:type="dxa"/>
            <w:vAlign w:val="bottom"/>
            <w:vMerge w:val="restart"/>
          </w:tcPr>
          <w:p>
            <w:pPr>
              <w:ind w:left="140"/>
              <w:spacing w:after="0"/>
              <w:rPr>
                <w:sz w:val="20"/>
                <w:szCs w:val="20"/>
                <w:color w:val="auto"/>
              </w:rPr>
            </w:pPr>
            <w:r>
              <w:rPr>
                <w:rFonts w:ascii="Arial" w:cs="Arial" w:eastAsia="Arial" w:hAnsi="Arial"/>
                <w:sz w:val="15"/>
                <w:szCs w:val="15"/>
                <w:color w:val="auto"/>
              </w:rPr>
              <w:t>May 2019 until June 2023. From February 2006 to May 2019, Mr. Ko held</w:t>
            </w:r>
          </w:p>
        </w:tc>
        <w:tc>
          <w:tcPr>
            <w:tcW w:w="420" w:type="dxa"/>
            <w:vAlign w:val="bottom"/>
          </w:tcPr>
          <w:p>
            <w:pPr>
              <w:spacing w:after="0"/>
              <w:rPr>
                <w:sz w:val="13"/>
                <w:szCs w:val="13"/>
                <w:color w:val="auto"/>
              </w:rPr>
            </w:pPr>
          </w:p>
        </w:tc>
        <w:tc>
          <w:tcPr>
            <w:tcW w:w="240" w:type="dxa"/>
            <w:vAlign w:val="bottom"/>
            <w:shd w:val="clear" w:color="auto" w:fill="002B5F"/>
          </w:tcPr>
          <w:p>
            <w:pPr>
              <w:spacing w:after="0"/>
              <w:rPr>
                <w:sz w:val="13"/>
                <w:szCs w:val="13"/>
                <w:color w:val="auto"/>
              </w:rPr>
            </w:pPr>
          </w:p>
        </w:tc>
        <w:tc>
          <w:tcPr>
            <w:tcW w:w="1280" w:type="dxa"/>
            <w:vAlign w:val="bottom"/>
            <w:shd w:val="clear" w:color="auto" w:fill="002B5F"/>
          </w:tcPr>
          <w:p>
            <w:pPr>
              <w:ind w:left="140"/>
              <w:spacing w:after="0"/>
              <w:rPr>
                <w:sz w:val="20"/>
                <w:szCs w:val="20"/>
                <w:color w:val="auto"/>
              </w:rPr>
            </w:pPr>
            <w:r>
              <w:rPr>
                <w:rFonts w:ascii="Arial" w:cs="Arial" w:eastAsia="Arial" w:hAnsi="Arial"/>
                <w:sz w:val="12"/>
                <w:szCs w:val="12"/>
                <w:color w:val="FFFFFF"/>
              </w:rPr>
              <w:t>Structure</w:t>
            </w:r>
          </w:p>
        </w:tc>
        <w:tc>
          <w:tcPr>
            <w:tcW w:w="460" w:type="dxa"/>
            <w:vAlign w:val="bottom"/>
            <w:shd w:val="clear" w:color="auto" w:fill="002B5F"/>
          </w:tcPr>
          <w:p>
            <w:pPr>
              <w:spacing w:after="0"/>
              <w:rPr>
                <w:sz w:val="13"/>
                <w:szCs w:val="13"/>
                <w:color w:val="auto"/>
              </w:rPr>
            </w:pPr>
          </w:p>
        </w:tc>
        <w:tc>
          <w:tcPr>
            <w:tcW w:w="0" w:type="dxa"/>
            <w:vAlign w:val="bottom"/>
          </w:tcPr>
          <w:p>
            <w:pPr>
              <w:spacing w:after="0"/>
              <w:rPr>
                <w:sz w:val="1"/>
                <w:szCs w:val="1"/>
                <w:color w:val="auto"/>
              </w:rPr>
            </w:pPr>
          </w:p>
        </w:tc>
      </w:tr>
      <w:tr>
        <w:trPr>
          <w:trHeight w:val="47"/>
        </w:trPr>
        <w:tc>
          <w:tcPr>
            <w:tcW w:w="2460" w:type="dxa"/>
            <w:vAlign w:val="bottom"/>
          </w:tcPr>
          <w:p>
            <w:pPr>
              <w:spacing w:after="0"/>
              <w:rPr>
                <w:sz w:val="4"/>
                <w:szCs w:val="4"/>
                <w:color w:val="auto"/>
              </w:rPr>
            </w:pPr>
          </w:p>
        </w:tc>
        <w:tc>
          <w:tcPr>
            <w:tcW w:w="5420" w:type="dxa"/>
            <w:vAlign w:val="bottom"/>
            <w:vMerge w:val="continue"/>
          </w:tcPr>
          <w:p>
            <w:pPr>
              <w:spacing w:after="0"/>
              <w:rPr>
                <w:sz w:val="4"/>
                <w:szCs w:val="4"/>
                <w:color w:val="auto"/>
              </w:rPr>
            </w:pPr>
          </w:p>
        </w:tc>
        <w:tc>
          <w:tcPr>
            <w:tcW w:w="420" w:type="dxa"/>
            <w:vAlign w:val="bottom"/>
          </w:tcPr>
          <w:p>
            <w:pPr>
              <w:spacing w:after="0"/>
              <w:rPr>
                <w:sz w:val="4"/>
                <w:szCs w:val="4"/>
                <w:color w:val="auto"/>
              </w:rPr>
            </w:pPr>
          </w:p>
        </w:tc>
        <w:tc>
          <w:tcPr>
            <w:tcW w:w="240" w:type="dxa"/>
            <w:vAlign w:val="bottom"/>
            <w:shd w:val="clear" w:color="auto" w:fill="002B5F"/>
          </w:tcPr>
          <w:p>
            <w:pPr>
              <w:spacing w:after="0"/>
              <w:rPr>
                <w:sz w:val="4"/>
                <w:szCs w:val="4"/>
                <w:color w:val="auto"/>
              </w:rPr>
            </w:pPr>
          </w:p>
        </w:tc>
        <w:tc>
          <w:tcPr>
            <w:tcW w:w="1280" w:type="dxa"/>
            <w:vAlign w:val="bottom"/>
            <w:shd w:val="clear" w:color="auto" w:fill="002B5F"/>
          </w:tcPr>
          <w:p>
            <w:pPr>
              <w:spacing w:after="0"/>
              <w:rPr>
                <w:sz w:val="4"/>
                <w:szCs w:val="4"/>
                <w:color w:val="auto"/>
              </w:rPr>
            </w:pPr>
          </w:p>
        </w:tc>
        <w:tc>
          <w:tcPr>
            <w:tcW w:w="460" w:type="dxa"/>
            <w:vAlign w:val="bottom"/>
            <w:shd w:val="clear" w:color="auto" w:fill="002B5F"/>
          </w:tcPr>
          <w:p>
            <w:pPr>
              <w:spacing w:after="0"/>
              <w:rPr>
                <w:sz w:val="4"/>
                <w:szCs w:val="4"/>
                <w:color w:val="auto"/>
              </w:rPr>
            </w:pPr>
          </w:p>
        </w:tc>
        <w:tc>
          <w:tcPr>
            <w:tcW w:w="0" w:type="dxa"/>
            <w:vAlign w:val="bottom"/>
          </w:tcPr>
          <w:p>
            <w:pPr>
              <w:spacing w:after="0"/>
              <w:rPr>
                <w:sz w:val="1"/>
                <w:szCs w:val="1"/>
                <w:color w:val="auto"/>
              </w:rPr>
            </w:pPr>
          </w:p>
        </w:tc>
      </w:tr>
      <w:tr>
        <w:trPr>
          <w:trHeight w:val="179"/>
        </w:trPr>
        <w:tc>
          <w:tcPr>
            <w:tcW w:w="2460" w:type="dxa"/>
            <w:vAlign w:val="bottom"/>
          </w:tcPr>
          <w:p>
            <w:pPr>
              <w:spacing w:after="0"/>
              <w:rPr>
                <w:sz w:val="15"/>
                <w:szCs w:val="15"/>
                <w:color w:val="auto"/>
              </w:rPr>
            </w:pPr>
          </w:p>
        </w:tc>
        <w:tc>
          <w:tcPr>
            <w:tcW w:w="5420" w:type="dxa"/>
            <w:vAlign w:val="bottom"/>
          </w:tcPr>
          <w:p>
            <w:pPr>
              <w:ind w:left="140"/>
              <w:spacing w:after="0"/>
              <w:rPr>
                <w:sz w:val="20"/>
                <w:szCs w:val="20"/>
                <w:color w:val="auto"/>
              </w:rPr>
            </w:pPr>
            <w:r>
              <w:rPr>
                <w:rFonts w:ascii="Arial" w:cs="Arial" w:eastAsia="Arial" w:hAnsi="Arial"/>
                <w:sz w:val="15"/>
                <w:szCs w:val="15"/>
                <w:color w:val="auto"/>
              </w:rPr>
              <w:t>senior executive roles at Intuit Inc., a business software company that</w:t>
            </w:r>
          </w:p>
        </w:tc>
        <w:tc>
          <w:tcPr>
            <w:tcW w:w="420" w:type="dxa"/>
            <w:vAlign w:val="bottom"/>
          </w:tcPr>
          <w:p>
            <w:pPr>
              <w:spacing w:after="0"/>
              <w:rPr>
                <w:sz w:val="15"/>
                <w:szCs w:val="15"/>
                <w:color w:val="auto"/>
              </w:rPr>
            </w:pPr>
          </w:p>
        </w:tc>
        <w:tc>
          <w:tcPr>
            <w:tcW w:w="240" w:type="dxa"/>
            <w:vAlign w:val="bottom"/>
            <w:shd w:val="clear" w:color="auto" w:fill="002B5F"/>
          </w:tcPr>
          <w:p>
            <w:pPr>
              <w:spacing w:after="0"/>
              <w:rPr>
                <w:sz w:val="15"/>
                <w:szCs w:val="15"/>
                <w:color w:val="auto"/>
              </w:rPr>
            </w:pPr>
          </w:p>
        </w:tc>
        <w:tc>
          <w:tcPr>
            <w:tcW w:w="1280" w:type="dxa"/>
            <w:vAlign w:val="bottom"/>
            <w:shd w:val="clear" w:color="auto" w:fill="002B5F"/>
          </w:tcPr>
          <w:p>
            <w:pPr>
              <w:ind w:left="140"/>
              <w:spacing w:after="0"/>
              <w:rPr>
                <w:sz w:val="20"/>
                <w:szCs w:val="20"/>
                <w:color w:val="auto"/>
              </w:rPr>
            </w:pPr>
            <w:r>
              <w:rPr>
                <w:rFonts w:ascii="Arial" w:cs="Arial" w:eastAsia="Arial" w:hAnsi="Arial"/>
                <w:sz w:val="12"/>
                <w:szCs w:val="12"/>
                <w:color w:val="FFFFFF"/>
              </w:rPr>
              <w:t>Board of Directors</w:t>
            </w:r>
          </w:p>
        </w:tc>
        <w:tc>
          <w:tcPr>
            <w:tcW w:w="460" w:type="dxa"/>
            <w:vAlign w:val="bottom"/>
            <w:shd w:val="clear" w:color="auto" w:fill="002B5F"/>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460" w:type="dxa"/>
            <w:vAlign w:val="bottom"/>
          </w:tcPr>
          <w:p>
            <w:pPr>
              <w:spacing w:after="0"/>
              <w:rPr>
                <w:sz w:val="15"/>
                <w:szCs w:val="15"/>
                <w:color w:val="auto"/>
              </w:rPr>
            </w:pPr>
          </w:p>
        </w:tc>
        <w:tc>
          <w:tcPr>
            <w:tcW w:w="5420" w:type="dxa"/>
            <w:vAlign w:val="bottom"/>
          </w:tcPr>
          <w:p>
            <w:pPr>
              <w:ind w:left="140"/>
              <w:spacing w:after="0"/>
              <w:rPr>
                <w:sz w:val="20"/>
                <w:szCs w:val="20"/>
                <w:color w:val="auto"/>
              </w:rPr>
            </w:pPr>
            <w:r>
              <w:rPr>
                <w:rFonts w:ascii="Arial" w:cs="Arial" w:eastAsia="Arial" w:hAnsi="Arial"/>
                <w:sz w:val="15"/>
                <w:szCs w:val="15"/>
                <w:color w:val="auto"/>
              </w:rPr>
              <w:t>specializes in financial software, including chief transformation officer, general</w:t>
            </w:r>
          </w:p>
        </w:tc>
        <w:tc>
          <w:tcPr>
            <w:tcW w:w="420" w:type="dxa"/>
            <w:vAlign w:val="bottom"/>
          </w:tcPr>
          <w:p>
            <w:pPr>
              <w:spacing w:after="0"/>
              <w:rPr>
                <w:sz w:val="15"/>
                <w:szCs w:val="15"/>
                <w:color w:val="auto"/>
              </w:rPr>
            </w:pPr>
          </w:p>
        </w:tc>
        <w:tc>
          <w:tcPr>
            <w:tcW w:w="240" w:type="dxa"/>
            <w:vAlign w:val="bottom"/>
            <w:shd w:val="clear" w:color="auto" w:fill="002B5F"/>
          </w:tcPr>
          <w:p>
            <w:pPr>
              <w:spacing w:after="0"/>
              <w:rPr>
                <w:sz w:val="15"/>
                <w:szCs w:val="15"/>
                <w:color w:val="auto"/>
              </w:rPr>
            </w:pPr>
          </w:p>
        </w:tc>
        <w:tc>
          <w:tcPr>
            <w:tcW w:w="1280" w:type="dxa"/>
            <w:vAlign w:val="bottom"/>
            <w:shd w:val="clear" w:color="auto" w:fill="002B5F"/>
          </w:tcPr>
          <w:p>
            <w:pPr>
              <w:ind w:left="140"/>
              <w:spacing w:after="0"/>
              <w:rPr>
                <w:sz w:val="20"/>
                <w:szCs w:val="20"/>
                <w:color w:val="auto"/>
              </w:rPr>
            </w:pPr>
            <w:r>
              <w:rPr>
                <w:rFonts w:ascii="Arial" w:cs="Arial" w:eastAsia="Arial" w:hAnsi="Arial"/>
                <w:sz w:val="12"/>
                <w:szCs w:val="12"/>
                <w:color w:val="FFFFFF"/>
              </w:rPr>
              <w:t>Compensation</w:t>
            </w:r>
          </w:p>
        </w:tc>
        <w:tc>
          <w:tcPr>
            <w:tcW w:w="460" w:type="dxa"/>
            <w:vAlign w:val="bottom"/>
            <w:shd w:val="clear" w:color="auto" w:fill="002B5F"/>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460" w:type="dxa"/>
            <w:vAlign w:val="bottom"/>
          </w:tcPr>
          <w:p>
            <w:pPr>
              <w:spacing w:after="0"/>
              <w:rPr>
                <w:sz w:val="15"/>
                <w:szCs w:val="15"/>
                <w:color w:val="auto"/>
              </w:rPr>
            </w:pPr>
          </w:p>
        </w:tc>
        <w:tc>
          <w:tcPr>
            <w:tcW w:w="5420" w:type="dxa"/>
            <w:vAlign w:val="bottom"/>
          </w:tcPr>
          <w:p>
            <w:pPr>
              <w:ind w:left="140"/>
              <w:spacing w:after="0"/>
              <w:rPr>
                <w:sz w:val="20"/>
                <w:szCs w:val="20"/>
                <w:color w:val="auto"/>
              </w:rPr>
            </w:pPr>
            <w:r>
              <w:rPr>
                <w:rFonts w:ascii="Arial" w:cs="Arial" w:eastAsia="Arial" w:hAnsi="Arial"/>
                <w:sz w:val="15"/>
                <w:szCs w:val="15"/>
                <w:color w:val="auto"/>
              </w:rPr>
              <w:t>manager of Mint, which is a personal financial management app, and head of</w:t>
            </w:r>
          </w:p>
        </w:tc>
        <w:tc>
          <w:tcPr>
            <w:tcW w:w="420" w:type="dxa"/>
            <w:vAlign w:val="bottom"/>
          </w:tcPr>
          <w:p>
            <w:pPr>
              <w:spacing w:after="0"/>
              <w:rPr>
                <w:sz w:val="15"/>
                <w:szCs w:val="15"/>
                <w:color w:val="auto"/>
              </w:rPr>
            </w:pPr>
          </w:p>
        </w:tc>
        <w:tc>
          <w:tcPr>
            <w:tcW w:w="240" w:type="dxa"/>
            <w:vAlign w:val="bottom"/>
            <w:shd w:val="clear" w:color="auto" w:fill="002B5F"/>
          </w:tcPr>
          <w:p>
            <w:pPr>
              <w:spacing w:after="0"/>
              <w:rPr>
                <w:sz w:val="15"/>
                <w:szCs w:val="15"/>
                <w:color w:val="auto"/>
              </w:rPr>
            </w:pPr>
          </w:p>
        </w:tc>
        <w:tc>
          <w:tcPr>
            <w:tcW w:w="1280" w:type="dxa"/>
            <w:vAlign w:val="bottom"/>
            <w:vMerge w:val="restart"/>
            <w:shd w:val="clear" w:color="auto" w:fill="002B5F"/>
          </w:tcPr>
          <w:p>
            <w:pPr>
              <w:ind w:left="140"/>
              <w:spacing w:after="0"/>
              <w:rPr>
                <w:sz w:val="20"/>
                <w:szCs w:val="20"/>
                <w:color w:val="auto"/>
              </w:rPr>
            </w:pPr>
            <w:r>
              <w:rPr>
                <w:rFonts w:ascii="Arial" w:cs="Arial" w:eastAsia="Arial" w:hAnsi="Arial"/>
                <w:sz w:val="12"/>
                <w:szCs w:val="12"/>
                <w:color w:val="FFFFFF"/>
              </w:rPr>
              <w:t>Compensation</w:t>
            </w:r>
          </w:p>
        </w:tc>
        <w:tc>
          <w:tcPr>
            <w:tcW w:w="460" w:type="dxa"/>
            <w:vAlign w:val="bottom"/>
            <w:shd w:val="clear" w:color="auto" w:fill="002B5F"/>
          </w:tcPr>
          <w:p>
            <w:pPr>
              <w:spacing w:after="0"/>
              <w:rPr>
                <w:sz w:val="15"/>
                <w:szCs w:val="15"/>
                <w:color w:val="auto"/>
              </w:rPr>
            </w:pPr>
          </w:p>
        </w:tc>
        <w:tc>
          <w:tcPr>
            <w:tcW w:w="0" w:type="dxa"/>
            <w:vAlign w:val="bottom"/>
          </w:tcPr>
          <w:p>
            <w:pPr>
              <w:spacing w:after="0"/>
              <w:rPr>
                <w:sz w:val="1"/>
                <w:szCs w:val="1"/>
                <w:color w:val="auto"/>
              </w:rPr>
            </w:pPr>
          </w:p>
        </w:tc>
      </w:tr>
      <w:tr>
        <w:trPr>
          <w:trHeight w:val="71"/>
        </w:trPr>
        <w:tc>
          <w:tcPr>
            <w:tcW w:w="2460" w:type="dxa"/>
            <w:vAlign w:val="bottom"/>
          </w:tcPr>
          <w:p>
            <w:pPr>
              <w:spacing w:after="0"/>
              <w:rPr>
                <w:sz w:val="6"/>
                <w:szCs w:val="6"/>
                <w:color w:val="auto"/>
              </w:rPr>
            </w:pPr>
          </w:p>
        </w:tc>
        <w:tc>
          <w:tcPr>
            <w:tcW w:w="5420" w:type="dxa"/>
            <w:vAlign w:val="bottom"/>
            <w:vMerge w:val="restart"/>
          </w:tcPr>
          <w:p>
            <w:pPr>
              <w:ind w:left="140"/>
              <w:spacing w:after="0"/>
              <w:rPr>
                <w:sz w:val="20"/>
                <w:szCs w:val="20"/>
                <w:color w:val="auto"/>
              </w:rPr>
            </w:pPr>
            <w:r>
              <w:rPr>
                <w:rFonts w:ascii="Arial" w:cs="Arial" w:eastAsia="Arial" w:hAnsi="Arial"/>
                <w:sz w:val="15"/>
                <w:szCs w:val="15"/>
                <w:color w:val="auto"/>
              </w:rPr>
              <w:t>product for Intuit’s Small Business Group. Prior to joining Intuit, Mr. Ko was a</w:t>
            </w:r>
          </w:p>
        </w:tc>
        <w:tc>
          <w:tcPr>
            <w:tcW w:w="420" w:type="dxa"/>
            <w:vAlign w:val="bottom"/>
          </w:tcPr>
          <w:p>
            <w:pPr>
              <w:spacing w:after="0"/>
              <w:rPr>
                <w:sz w:val="6"/>
                <w:szCs w:val="6"/>
                <w:color w:val="auto"/>
              </w:rPr>
            </w:pPr>
          </w:p>
        </w:tc>
        <w:tc>
          <w:tcPr>
            <w:tcW w:w="240" w:type="dxa"/>
            <w:vAlign w:val="bottom"/>
            <w:shd w:val="clear" w:color="auto" w:fill="002B5F"/>
          </w:tcPr>
          <w:p>
            <w:pPr>
              <w:spacing w:after="0"/>
              <w:rPr>
                <w:sz w:val="6"/>
                <w:szCs w:val="6"/>
                <w:color w:val="auto"/>
              </w:rPr>
            </w:pPr>
          </w:p>
        </w:tc>
        <w:tc>
          <w:tcPr>
            <w:tcW w:w="1280" w:type="dxa"/>
            <w:vAlign w:val="bottom"/>
            <w:vMerge w:val="continue"/>
            <w:shd w:val="clear" w:color="auto" w:fill="002B5F"/>
          </w:tcPr>
          <w:p>
            <w:pPr>
              <w:spacing w:after="0"/>
              <w:rPr>
                <w:sz w:val="6"/>
                <w:szCs w:val="6"/>
                <w:color w:val="auto"/>
              </w:rPr>
            </w:pPr>
          </w:p>
        </w:tc>
        <w:tc>
          <w:tcPr>
            <w:tcW w:w="460" w:type="dxa"/>
            <w:vAlign w:val="bottom"/>
            <w:shd w:val="clear" w:color="auto" w:fill="002B5F"/>
          </w:tcPr>
          <w:p>
            <w:pPr>
              <w:spacing w:after="0"/>
              <w:rPr>
                <w:sz w:val="6"/>
                <w:szCs w:val="6"/>
                <w:color w:val="auto"/>
              </w:rPr>
            </w:pPr>
          </w:p>
        </w:tc>
        <w:tc>
          <w:tcPr>
            <w:tcW w:w="0" w:type="dxa"/>
            <w:vAlign w:val="bottom"/>
          </w:tcPr>
          <w:p>
            <w:pPr>
              <w:spacing w:after="0"/>
              <w:rPr>
                <w:sz w:val="1"/>
                <w:szCs w:val="1"/>
                <w:color w:val="auto"/>
              </w:rPr>
            </w:pPr>
          </w:p>
        </w:tc>
      </w:tr>
      <w:tr>
        <w:trPr>
          <w:trHeight w:val="120"/>
        </w:trPr>
        <w:tc>
          <w:tcPr>
            <w:tcW w:w="2460" w:type="dxa"/>
            <w:vAlign w:val="bottom"/>
          </w:tcPr>
          <w:p>
            <w:pPr>
              <w:spacing w:after="0"/>
              <w:rPr>
                <w:sz w:val="10"/>
                <w:szCs w:val="10"/>
                <w:color w:val="auto"/>
              </w:rPr>
            </w:pPr>
          </w:p>
        </w:tc>
        <w:tc>
          <w:tcPr>
            <w:tcW w:w="5420" w:type="dxa"/>
            <w:vAlign w:val="bottom"/>
            <w:vMerge w:val="continue"/>
          </w:tcPr>
          <w:p>
            <w:pPr>
              <w:spacing w:after="0"/>
              <w:rPr>
                <w:sz w:val="10"/>
                <w:szCs w:val="10"/>
                <w:color w:val="auto"/>
              </w:rPr>
            </w:pPr>
          </w:p>
        </w:tc>
        <w:tc>
          <w:tcPr>
            <w:tcW w:w="420" w:type="dxa"/>
            <w:vAlign w:val="bottom"/>
          </w:tcPr>
          <w:p>
            <w:pPr>
              <w:spacing w:after="0"/>
              <w:rPr>
                <w:sz w:val="10"/>
                <w:szCs w:val="10"/>
                <w:color w:val="auto"/>
              </w:rPr>
            </w:pPr>
          </w:p>
        </w:tc>
        <w:tc>
          <w:tcPr>
            <w:tcW w:w="240" w:type="dxa"/>
            <w:vAlign w:val="bottom"/>
            <w:shd w:val="clear" w:color="auto" w:fill="002B5F"/>
          </w:tcPr>
          <w:p>
            <w:pPr>
              <w:spacing w:after="0"/>
              <w:rPr>
                <w:sz w:val="10"/>
                <w:szCs w:val="10"/>
                <w:color w:val="auto"/>
              </w:rPr>
            </w:pPr>
          </w:p>
        </w:tc>
        <w:tc>
          <w:tcPr>
            <w:tcW w:w="1280" w:type="dxa"/>
            <w:vAlign w:val="bottom"/>
            <w:shd w:val="clear" w:color="auto" w:fill="002B5F"/>
          </w:tcPr>
          <w:p>
            <w:pPr>
              <w:ind w:left="140"/>
              <w:spacing w:after="0" w:line="120" w:lineRule="exact"/>
              <w:rPr>
                <w:sz w:val="20"/>
                <w:szCs w:val="20"/>
                <w:color w:val="auto"/>
              </w:rPr>
            </w:pPr>
            <w:r>
              <w:rPr>
                <w:rFonts w:ascii="Arial" w:cs="Arial" w:eastAsia="Arial" w:hAnsi="Arial"/>
                <w:sz w:val="12"/>
                <w:szCs w:val="12"/>
                <w:color w:val="FFFFFF"/>
              </w:rPr>
              <w:t>Discussion and</w:t>
            </w:r>
          </w:p>
        </w:tc>
        <w:tc>
          <w:tcPr>
            <w:tcW w:w="460" w:type="dxa"/>
            <w:vAlign w:val="bottom"/>
            <w:shd w:val="clear" w:color="auto" w:fill="002B5F"/>
          </w:tcPr>
          <w:p>
            <w:pPr>
              <w:spacing w:after="0"/>
              <w:rPr>
                <w:sz w:val="10"/>
                <w:szCs w:val="10"/>
                <w:color w:val="auto"/>
              </w:rPr>
            </w:pPr>
          </w:p>
        </w:tc>
        <w:tc>
          <w:tcPr>
            <w:tcW w:w="0" w:type="dxa"/>
            <w:vAlign w:val="bottom"/>
          </w:tcPr>
          <w:p>
            <w:pPr>
              <w:spacing w:after="0"/>
              <w:rPr>
                <w:sz w:val="1"/>
                <w:szCs w:val="1"/>
                <w:color w:val="auto"/>
              </w:rPr>
            </w:pPr>
          </w:p>
        </w:tc>
      </w:tr>
      <w:tr>
        <w:trPr>
          <w:trHeight w:val="166"/>
        </w:trPr>
        <w:tc>
          <w:tcPr>
            <w:tcW w:w="2460" w:type="dxa"/>
            <w:vAlign w:val="bottom"/>
          </w:tcPr>
          <w:p>
            <w:pPr>
              <w:spacing w:after="0"/>
              <w:rPr>
                <w:sz w:val="14"/>
                <w:szCs w:val="14"/>
                <w:color w:val="auto"/>
              </w:rPr>
            </w:pPr>
          </w:p>
        </w:tc>
        <w:tc>
          <w:tcPr>
            <w:tcW w:w="5420" w:type="dxa"/>
            <w:vAlign w:val="bottom"/>
          </w:tcPr>
          <w:p>
            <w:pPr>
              <w:ind w:left="140"/>
              <w:spacing w:after="0" w:line="167" w:lineRule="exact"/>
              <w:rPr>
                <w:sz w:val="20"/>
                <w:szCs w:val="20"/>
                <w:color w:val="auto"/>
              </w:rPr>
            </w:pPr>
            <w:r>
              <w:rPr>
                <w:rFonts w:ascii="Arial" w:cs="Arial" w:eastAsia="Arial" w:hAnsi="Arial"/>
                <w:sz w:val="15"/>
                <w:szCs w:val="15"/>
                <w:color w:val="auto"/>
              </w:rPr>
              <w:t>management consultant at both the Boston Consulting Group, Inc. and</w:t>
            </w:r>
          </w:p>
        </w:tc>
        <w:tc>
          <w:tcPr>
            <w:tcW w:w="420" w:type="dxa"/>
            <w:vAlign w:val="bottom"/>
          </w:tcPr>
          <w:p>
            <w:pPr>
              <w:spacing w:after="0"/>
              <w:rPr>
                <w:sz w:val="14"/>
                <w:szCs w:val="14"/>
                <w:color w:val="auto"/>
              </w:rPr>
            </w:pPr>
          </w:p>
        </w:tc>
        <w:tc>
          <w:tcPr>
            <w:tcW w:w="240" w:type="dxa"/>
            <w:vAlign w:val="bottom"/>
            <w:shd w:val="clear" w:color="auto" w:fill="002B5F"/>
          </w:tcPr>
          <w:p>
            <w:pPr>
              <w:spacing w:after="0"/>
              <w:rPr>
                <w:sz w:val="14"/>
                <w:szCs w:val="14"/>
                <w:color w:val="auto"/>
              </w:rPr>
            </w:pPr>
          </w:p>
        </w:tc>
        <w:tc>
          <w:tcPr>
            <w:tcW w:w="1280" w:type="dxa"/>
            <w:vAlign w:val="bottom"/>
            <w:shd w:val="clear" w:color="auto" w:fill="002B5F"/>
          </w:tcPr>
          <w:p>
            <w:pPr>
              <w:ind w:left="140"/>
              <w:spacing w:after="0"/>
              <w:rPr>
                <w:sz w:val="20"/>
                <w:szCs w:val="20"/>
                <w:color w:val="auto"/>
              </w:rPr>
            </w:pPr>
            <w:r>
              <w:rPr>
                <w:rFonts w:ascii="Arial" w:cs="Arial" w:eastAsia="Arial" w:hAnsi="Arial"/>
                <w:sz w:val="12"/>
                <w:szCs w:val="12"/>
                <w:color w:val="FFFFFF"/>
              </w:rPr>
              <w:t>Analysis</w:t>
            </w:r>
          </w:p>
        </w:tc>
        <w:tc>
          <w:tcPr>
            <w:tcW w:w="460" w:type="dxa"/>
            <w:vAlign w:val="bottom"/>
            <w:shd w:val="clear" w:color="auto" w:fill="002B5F"/>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2460" w:type="dxa"/>
            <w:vAlign w:val="bottom"/>
            <w:vMerge w:val="restart"/>
          </w:tcPr>
          <w:p>
            <w:pPr>
              <w:spacing w:after="0"/>
              <w:rPr>
                <w:sz w:val="20"/>
                <w:szCs w:val="20"/>
                <w:color w:val="auto"/>
              </w:rPr>
            </w:pPr>
            <w:r>
              <w:rPr>
                <w:rFonts w:ascii="Arial" w:cs="Arial" w:eastAsia="Arial" w:hAnsi="Arial"/>
                <w:sz w:val="19"/>
                <w:szCs w:val="19"/>
                <w:b w:val="1"/>
                <w:bCs w:val="1"/>
                <w:color w:val="B95827"/>
              </w:rPr>
              <w:t xml:space="preserve">AGE </w:t>
            </w:r>
            <w:r>
              <w:rPr>
                <w:rFonts w:ascii="Arial" w:cs="Arial" w:eastAsia="Arial" w:hAnsi="Arial"/>
                <w:sz w:val="15"/>
                <w:szCs w:val="15"/>
                <w:color w:val="000000"/>
              </w:rPr>
              <w:t>51</w:t>
            </w:r>
          </w:p>
        </w:tc>
        <w:tc>
          <w:tcPr>
            <w:tcW w:w="5420" w:type="dxa"/>
            <w:vAlign w:val="bottom"/>
          </w:tcPr>
          <w:p>
            <w:pPr>
              <w:ind w:left="140"/>
              <w:spacing w:after="0"/>
              <w:rPr>
                <w:sz w:val="20"/>
                <w:szCs w:val="20"/>
                <w:color w:val="auto"/>
              </w:rPr>
            </w:pPr>
            <w:r>
              <w:rPr>
                <w:rFonts w:ascii="Arial" w:cs="Arial" w:eastAsia="Arial" w:hAnsi="Arial"/>
                <w:sz w:val="15"/>
                <w:szCs w:val="15"/>
                <w:color w:val="auto"/>
              </w:rPr>
              <w:t>McKinsey &amp; Company, where he advised technology and industrial clients.</w:t>
            </w:r>
          </w:p>
        </w:tc>
        <w:tc>
          <w:tcPr>
            <w:tcW w:w="420" w:type="dxa"/>
            <w:vAlign w:val="bottom"/>
          </w:tcPr>
          <w:p>
            <w:pPr>
              <w:spacing w:after="0"/>
              <w:rPr>
                <w:sz w:val="15"/>
                <w:szCs w:val="15"/>
                <w:color w:val="auto"/>
              </w:rPr>
            </w:pPr>
          </w:p>
        </w:tc>
        <w:tc>
          <w:tcPr>
            <w:tcW w:w="240" w:type="dxa"/>
            <w:vAlign w:val="bottom"/>
            <w:shd w:val="clear" w:color="auto" w:fill="002B5F"/>
          </w:tcPr>
          <w:p>
            <w:pPr>
              <w:spacing w:after="0"/>
              <w:rPr>
                <w:sz w:val="15"/>
                <w:szCs w:val="15"/>
                <w:color w:val="auto"/>
              </w:rPr>
            </w:pPr>
          </w:p>
        </w:tc>
        <w:tc>
          <w:tcPr>
            <w:tcW w:w="1280" w:type="dxa"/>
            <w:vAlign w:val="bottom"/>
            <w:vMerge w:val="restart"/>
            <w:shd w:val="clear" w:color="auto" w:fill="002B5F"/>
          </w:tcPr>
          <w:p>
            <w:pPr>
              <w:ind w:left="140"/>
              <w:spacing w:after="0"/>
              <w:rPr>
                <w:sz w:val="20"/>
                <w:szCs w:val="20"/>
                <w:color w:val="auto"/>
              </w:rPr>
            </w:pPr>
            <w:r>
              <w:rPr>
                <w:rFonts w:ascii="Arial" w:cs="Arial" w:eastAsia="Arial" w:hAnsi="Arial"/>
                <w:sz w:val="12"/>
                <w:szCs w:val="12"/>
                <w:color w:val="FFFFFF"/>
              </w:rPr>
              <w:t>Report of the</w:t>
            </w:r>
          </w:p>
        </w:tc>
        <w:tc>
          <w:tcPr>
            <w:tcW w:w="460" w:type="dxa"/>
            <w:vAlign w:val="bottom"/>
            <w:shd w:val="clear" w:color="auto" w:fill="002B5F"/>
          </w:tcPr>
          <w:p>
            <w:pPr>
              <w:spacing w:after="0"/>
              <w:rPr>
                <w:sz w:val="15"/>
                <w:szCs w:val="15"/>
                <w:color w:val="auto"/>
              </w:rPr>
            </w:pPr>
          </w:p>
        </w:tc>
        <w:tc>
          <w:tcPr>
            <w:tcW w:w="0" w:type="dxa"/>
            <w:vAlign w:val="bottom"/>
          </w:tcPr>
          <w:p>
            <w:pPr>
              <w:spacing w:after="0"/>
              <w:rPr>
                <w:sz w:val="1"/>
                <w:szCs w:val="1"/>
                <w:color w:val="auto"/>
              </w:rPr>
            </w:pPr>
          </w:p>
        </w:tc>
      </w:tr>
      <w:tr>
        <w:trPr>
          <w:trHeight w:val="84"/>
        </w:trPr>
        <w:tc>
          <w:tcPr>
            <w:tcW w:w="2460" w:type="dxa"/>
            <w:vAlign w:val="bottom"/>
            <w:vMerge w:val="continue"/>
          </w:tcPr>
          <w:p>
            <w:pPr>
              <w:spacing w:after="0"/>
              <w:rPr>
                <w:sz w:val="7"/>
                <w:szCs w:val="7"/>
                <w:color w:val="auto"/>
              </w:rPr>
            </w:pPr>
          </w:p>
        </w:tc>
        <w:tc>
          <w:tcPr>
            <w:tcW w:w="5420" w:type="dxa"/>
            <w:vAlign w:val="bottom"/>
            <w:vMerge w:val="restart"/>
          </w:tcPr>
          <w:p>
            <w:pPr>
              <w:ind w:left="140"/>
              <w:spacing w:after="0"/>
              <w:rPr>
                <w:sz w:val="20"/>
                <w:szCs w:val="20"/>
                <w:color w:val="auto"/>
              </w:rPr>
            </w:pPr>
            <w:r>
              <w:rPr>
                <w:rFonts w:ascii="Arial" w:cs="Arial" w:eastAsia="Arial" w:hAnsi="Arial"/>
                <w:sz w:val="15"/>
                <w:szCs w:val="15"/>
                <w:color w:val="auto"/>
              </w:rPr>
              <w:t>Mr. Ko received a B.A. from Yale University and a J.D. from Harvard Law</w:t>
            </w:r>
          </w:p>
        </w:tc>
        <w:tc>
          <w:tcPr>
            <w:tcW w:w="420" w:type="dxa"/>
            <w:vAlign w:val="bottom"/>
          </w:tcPr>
          <w:p>
            <w:pPr>
              <w:spacing w:after="0"/>
              <w:rPr>
                <w:sz w:val="7"/>
                <w:szCs w:val="7"/>
                <w:color w:val="auto"/>
              </w:rPr>
            </w:pPr>
          </w:p>
        </w:tc>
        <w:tc>
          <w:tcPr>
            <w:tcW w:w="240" w:type="dxa"/>
            <w:vAlign w:val="bottom"/>
            <w:shd w:val="clear" w:color="auto" w:fill="002B5F"/>
          </w:tcPr>
          <w:p>
            <w:pPr>
              <w:spacing w:after="0"/>
              <w:rPr>
                <w:sz w:val="7"/>
                <w:szCs w:val="7"/>
                <w:color w:val="auto"/>
              </w:rPr>
            </w:pPr>
          </w:p>
        </w:tc>
        <w:tc>
          <w:tcPr>
            <w:tcW w:w="1280" w:type="dxa"/>
            <w:vAlign w:val="bottom"/>
            <w:vMerge w:val="continue"/>
            <w:shd w:val="clear" w:color="auto" w:fill="002B5F"/>
          </w:tcPr>
          <w:p>
            <w:pPr>
              <w:spacing w:after="0"/>
              <w:rPr>
                <w:sz w:val="7"/>
                <w:szCs w:val="7"/>
                <w:color w:val="auto"/>
              </w:rPr>
            </w:pPr>
          </w:p>
        </w:tc>
        <w:tc>
          <w:tcPr>
            <w:tcW w:w="460" w:type="dxa"/>
            <w:vAlign w:val="bottom"/>
            <w:shd w:val="clear" w:color="auto" w:fill="002B5F"/>
          </w:tcPr>
          <w:p>
            <w:pPr>
              <w:spacing w:after="0"/>
              <w:rPr>
                <w:sz w:val="7"/>
                <w:szCs w:val="7"/>
                <w:color w:val="auto"/>
              </w:rPr>
            </w:pPr>
          </w:p>
        </w:tc>
        <w:tc>
          <w:tcPr>
            <w:tcW w:w="0" w:type="dxa"/>
            <w:vAlign w:val="bottom"/>
          </w:tcPr>
          <w:p>
            <w:pPr>
              <w:spacing w:after="0"/>
              <w:rPr>
                <w:sz w:val="1"/>
                <w:szCs w:val="1"/>
                <w:color w:val="auto"/>
              </w:rPr>
            </w:pPr>
          </w:p>
        </w:tc>
      </w:tr>
      <w:tr>
        <w:trPr>
          <w:trHeight w:val="120"/>
        </w:trPr>
        <w:tc>
          <w:tcPr>
            <w:tcW w:w="2460" w:type="dxa"/>
            <w:vAlign w:val="bottom"/>
            <w:vMerge w:val="continue"/>
          </w:tcPr>
          <w:p>
            <w:pPr>
              <w:spacing w:after="0"/>
              <w:rPr>
                <w:sz w:val="10"/>
                <w:szCs w:val="10"/>
                <w:color w:val="auto"/>
              </w:rPr>
            </w:pPr>
          </w:p>
        </w:tc>
        <w:tc>
          <w:tcPr>
            <w:tcW w:w="5420" w:type="dxa"/>
            <w:vAlign w:val="bottom"/>
            <w:vMerge w:val="continue"/>
          </w:tcPr>
          <w:p>
            <w:pPr>
              <w:spacing w:after="0"/>
              <w:rPr>
                <w:sz w:val="10"/>
                <w:szCs w:val="10"/>
                <w:color w:val="auto"/>
              </w:rPr>
            </w:pPr>
          </w:p>
        </w:tc>
        <w:tc>
          <w:tcPr>
            <w:tcW w:w="420" w:type="dxa"/>
            <w:vAlign w:val="bottom"/>
          </w:tcPr>
          <w:p>
            <w:pPr>
              <w:spacing w:after="0"/>
              <w:rPr>
                <w:sz w:val="10"/>
                <w:szCs w:val="10"/>
                <w:color w:val="auto"/>
              </w:rPr>
            </w:pPr>
          </w:p>
        </w:tc>
        <w:tc>
          <w:tcPr>
            <w:tcW w:w="240" w:type="dxa"/>
            <w:vAlign w:val="bottom"/>
            <w:shd w:val="clear" w:color="auto" w:fill="002B5F"/>
          </w:tcPr>
          <w:p>
            <w:pPr>
              <w:spacing w:after="0"/>
              <w:rPr>
                <w:sz w:val="10"/>
                <w:szCs w:val="10"/>
                <w:color w:val="auto"/>
              </w:rPr>
            </w:pPr>
          </w:p>
        </w:tc>
        <w:tc>
          <w:tcPr>
            <w:tcW w:w="1280" w:type="dxa"/>
            <w:vAlign w:val="bottom"/>
            <w:shd w:val="clear" w:color="auto" w:fill="002B5F"/>
          </w:tcPr>
          <w:p>
            <w:pPr>
              <w:ind w:left="140"/>
              <w:spacing w:after="0" w:line="120" w:lineRule="exact"/>
              <w:rPr>
                <w:sz w:val="20"/>
                <w:szCs w:val="20"/>
                <w:color w:val="auto"/>
              </w:rPr>
            </w:pPr>
            <w:r>
              <w:rPr>
                <w:rFonts w:ascii="Arial" w:cs="Arial" w:eastAsia="Arial" w:hAnsi="Arial"/>
                <w:sz w:val="12"/>
                <w:szCs w:val="12"/>
                <w:color w:val="FFFFFF"/>
              </w:rPr>
              <w:t>Compensation</w:t>
            </w:r>
          </w:p>
        </w:tc>
        <w:tc>
          <w:tcPr>
            <w:tcW w:w="460" w:type="dxa"/>
            <w:vAlign w:val="bottom"/>
            <w:shd w:val="clear" w:color="auto" w:fill="002B5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460" w:type="dxa"/>
            <w:vAlign w:val="bottom"/>
            <w:vMerge w:val="restart"/>
          </w:tcPr>
          <w:p>
            <w:pPr>
              <w:spacing w:after="0"/>
              <w:rPr>
                <w:sz w:val="20"/>
                <w:szCs w:val="20"/>
                <w:color w:val="auto"/>
              </w:rPr>
            </w:pPr>
            <w:r>
              <w:rPr>
                <w:rFonts w:ascii="Arial" w:cs="Arial" w:eastAsia="Arial" w:hAnsi="Arial"/>
                <w:sz w:val="19"/>
                <w:szCs w:val="19"/>
                <w:b w:val="1"/>
                <w:bCs w:val="1"/>
                <w:color w:val="B95827"/>
              </w:rPr>
              <w:t xml:space="preserve">DIRECTOR SINCE </w:t>
            </w:r>
            <w:r>
              <w:rPr>
                <w:rFonts w:ascii="Arial" w:cs="Arial" w:eastAsia="Arial" w:hAnsi="Arial"/>
                <w:sz w:val="15"/>
                <w:szCs w:val="15"/>
                <w:color w:val="000000"/>
              </w:rPr>
              <w:t>2023</w:t>
            </w:r>
          </w:p>
        </w:tc>
        <w:tc>
          <w:tcPr>
            <w:tcW w:w="5420" w:type="dxa"/>
            <w:vAlign w:val="bottom"/>
          </w:tcPr>
          <w:p>
            <w:pPr>
              <w:ind w:left="140"/>
              <w:spacing w:after="0" w:line="136" w:lineRule="exact"/>
              <w:rPr>
                <w:sz w:val="20"/>
                <w:szCs w:val="20"/>
                <w:color w:val="auto"/>
              </w:rPr>
            </w:pPr>
            <w:r>
              <w:rPr>
                <w:rFonts w:ascii="Arial" w:cs="Arial" w:eastAsia="Arial" w:hAnsi="Arial"/>
                <w:sz w:val="15"/>
                <w:szCs w:val="15"/>
                <w:color w:val="auto"/>
              </w:rPr>
              <w:t>School.</w:t>
            </w:r>
          </w:p>
        </w:tc>
        <w:tc>
          <w:tcPr>
            <w:tcW w:w="420" w:type="dxa"/>
            <w:vAlign w:val="bottom"/>
          </w:tcPr>
          <w:p>
            <w:pPr>
              <w:spacing w:after="0"/>
              <w:rPr>
                <w:sz w:val="11"/>
                <w:szCs w:val="11"/>
                <w:color w:val="auto"/>
              </w:rPr>
            </w:pPr>
          </w:p>
        </w:tc>
        <w:tc>
          <w:tcPr>
            <w:tcW w:w="240" w:type="dxa"/>
            <w:vAlign w:val="bottom"/>
            <w:shd w:val="clear" w:color="auto" w:fill="002B5F"/>
          </w:tcPr>
          <w:p>
            <w:pPr>
              <w:spacing w:after="0"/>
              <w:rPr>
                <w:sz w:val="11"/>
                <w:szCs w:val="11"/>
                <w:color w:val="auto"/>
              </w:rPr>
            </w:pPr>
          </w:p>
        </w:tc>
        <w:tc>
          <w:tcPr>
            <w:tcW w:w="1280" w:type="dxa"/>
            <w:vAlign w:val="bottom"/>
            <w:shd w:val="clear" w:color="auto" w:fill="002B5F"/>
          </w:tcPr>
          <w:p>
            <w:pPr>
              <w:ind w:left="140"/>
              <w:spacing w:after="0" w:line="136" w:lineRule="exact"/>
              <w:rPr>
                <w:sz w:val="20"/>
                <w:szCs w:val="20"/>
                <w:color w:val="auto"/>
              </w:rPr>
            </w:pPr>
            <w:r>
              <w:rPr>
                <w:rFonts w:ascii="Arial" w:cs="Arial" w:eastAsia="Arial" w:hAnsi="Arial"/>
                <w:sz w:val="12"/>
                <w:szCs w:val="12"/>
                <w:color w:val="FFFFFF"/>
              </w:rPr>
              <w:t>and Human</w:t>
            </w:r>
          </w:p>
        </w:tc>
        <w:tc>
          <w:tcPr>
            <w:tcW w:w="460" w:type="dxa"/>
            <w:vAlign w:val="bottom"/>
            <w:shd w:val="clear" w:color="auto" w:fill="002B5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460" w:type="dxa"/>
            <w:vAlign w:val="bottom"/>
            <w:vMerge w:val="continue"/>
          </w:tcPr>
          <w:p>
            <w:pPr>
              <w:spacing w:after="0"/>
              <w:rPr>
                <w:sz w:val="11"/>
                <w:szCs w:val="11"/>
                <w:color w:val="auto"/>
              </w:rPr>
            </w:pPr>
          </w:p>
        </w:tc>
        <w:tc>
          <w:tcPr>
            <w:tcW w:w="5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shd w:val="clear" w:color="auto" w:fill="002B5F"/>
          </w:tcPr>
          <w:p>
            <w:pPr>
              <w:spacing w:after="0"/>
              <w:rPr>
                <w:sz w:val="11"/>
                <w:szCs w:val="11"/>
                <w:color w:val="auto"/>
              </w:rPr>
            </w:pPr>
          </w:p>
        </w:tc>
        <w:tc>
          <w:tcPr>
            <w:tcW w:w="1280" w:type="dxa"/>
            <w:vAlign w:val="bottom"/>
            <w:shd w:val="clear" w:color="auto" w:fill="002B5F"/>
          </w:tcPr>
          <w:p>
            <w:pPr>
              <w:ind w:left="140"/>
              <w:spacing w:after="0" w:line="128" w:lineRule="exact"/>
              <w:rPr>
                <w:sz w:val="20"/>
                <w:szCs w:val="20"/>
                <w:color w:val="auto"/>
              </w:rPr>
            </w:pPr>
            <w:r>
              <w:rPr>
                <w:rFonts w:ascii="Arial" w:cs="Arial" w:eastAsia="Arial" w:hAnsi="Arial"/>
                <w:sz w:val="12"/>
                <w:szCs w:val="12"/>
                <w:color w:val="FFFFFF"/>
              </w:rPr>
              <w:t>Resources</w:t>
            </w:r>
          </w:p>
        </w:tc>
        <w:tc>
          <w:tcPr>
            <w:tcW w:w="460" w:type="dxa"/>
            <w:vAlign w:val="bottom"/>
            <w:shd w:val="clear" w:color="auto" w:fill="002B5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460" w:type="dxa"/>
            <w:vAlign w:val="bottom"/>
            <w:vMerge w:val="restart"/>
          </w:tcPr>
          <w:p>
            <w:pPr>
              <w:spacing w:after="0"/>
              <w:rPr>
                <w:sz w:val="20"/>
                <w:szCs w:val="20"/>
                <w:color w:val="auto"/>
              </w:rPr>
            </w:pPr>
            <w:r>
              <w:rPr>
                <w:rFonts w:ascii="Arial" w:cs="Arial" w:eastAsia="Arial" w:hAnsi="Arial"/>
                <w:sz w:val="19"/>
                <w:szCs w:val="19"/>
                <w:b w:val="1"/>
                <w:bCs w:val="1"/>
                <w:color w:val="B95827"/>
              </w:rPr>
              <w:t>INDEPENDENT</w:t>
            </w:r>
          </w:p>
        </w:tc>
        <w:tc>
          <w:tcPr>
            <w:tcW w:w="5420" w:type="dxa"/>
            <w:vAlign w:val="bottom"/>
            <w:vMerge w:val="restart"/>
          </w:tcPr>
          <w:p>
            <w:pPr>
              <w:ind w:left="140"/>
              <w:spacing w:after="0"/>
              <w:rPr>
                <w:sz w:val="20"/>
                <w:szCs w:val="20"/>
                <w:color w:val="auto"/>
              </w:rPr>
            </w:pPr>
            <w:r>
              <w:rPr>
                <w:rFonts w:ascii="Arial" w:cs="Arial" w:eastAsia="Arial" w:hAnsi="Arial"/>
                <w:sz w:val="19"/>
                <w:szCs w:val="19"/>
                <w:b w:val="1"/>
                <w:bCs w:val="1"/>
                <w:color w:val="B95827"/>
              </w:rPr>
              <w:t>QUALIFICATIONS</w:t>
            </w:r>
          </w:p>
        </w:tc>
        <w:tc>
          <w:tcPr>
            <w:tcW w:w="420" w:type="dxa"/>
            <w:vAlign w:val="bottom"/>
          </w:tcPr>
          <w:p>
            <w:pPr>
              <w:spacing w:after="0"/>
              <w:rPr>
                <w:sz w:val="11"/>
                <w:szCs w:val="11"/>
                <w:color w:val="auto"/>
              </w:rPr>
            </w:pPr>
          </w:p>
        </w:tc>
        <w:tc>
          <w:tcPr>
            <w:tcW w:w="240" w:type="dxa"/>
            <w:vAlign w:val="bottom"/>
            <w:shd w:val="clear" w:color="auto" w:fill="002B5F"/>
          </w:tcPr>
          <w:p>
            <w:pPr>
              <w:spacing w:after="0"/>
              <w:rPr>
                <w:sz w:val="11"/>
                <w:szCs w:val="11"/>
                <w:color w:val="auto"/>
              </w:rPr>
            </w:pPr>
          </w:p>
        </w:tc>
        <w:tc>
          <w:tcPr>
            <w:tcW w:w="1280" w:type="dxa"/>
            <w:vAlign w:val="bottom"/>
            <w:shd w:val="clear" w:color="auto" w:fill="002B5F"/>
          </w:tcPr>
          <w:p>
            <w:pPr>
              <w:ind w:left="140"/>
              <w:spacing w:after="0" w:line="128" w:lineRule="exact"/>
              <w:rPr>
                <w:sz w:val="20"/>
                <w:szCs w:val="20"/>
                <w:color w:val="auto"/>
              </w:rPr>
            </w:pPr>
            <w:r>
              <w:rPr>
                <w:rFonts w:ascii="Arial" w:cs="Arial" w:eastAsia="Arial" w:hAnsi="Arial"/>
                <w:sz w:val="12"/>
                <w:szCs w:val="12"/>
                <w:color w:val="FFFFFF"/>
              </w:rPr>
              <w:t>Committee of the</w:t>
            </w:r>
          </w:p>
        </w:tc>
        <w:tc>
          <w:tcPr>
            <w:tcW w:w="460" w:type="dxa"/>
            <w:vAlign w:val="bottom"/>
            <w:shd w:val="clear" w:color="auto" w:fill="002B5F"/>
          </w:tcPr>
          <w:p>
            <w:pPr>
              <w:spacing w:after="0"/>
              <w:rPr>
                <w:sz w:val="11"/>
                <w:szCs w:val="11"/>
                <w:color w:val="auto"/>
              </w:rPr>
            </w:pPr>
          </w:p>
        </w:tc>
        <w:tc>
          <w:tcPr>
            <w:tcW w:w="0" w:type="dxa"/>
            <w:vAlign w:val="bottom"/>
          </w:tcPr>
          <w:p>
            <w:pPr>
              <w:spacing w:after="0"/>
              <w:rPr>
                <w:sz w:val="1"/>
                <w:szCs w:val="1"/>
                <w:color w:val="auto"/>
              </w:rPr>
            </w:pPr>
          </w:p>
        </w:tc>
      </w:tr>
      <w:tr>
        <w:trPr>
          <w:trHeight w:val="197"/>
        </w:trPr>
        <w:tc>
          <w:tcPr>
            <w:tcW w:w="2460" w:type="dxa"/>
            <w:vAlign w:val="bottom"/>
            <w:vMerge w:val="continue"/>
          </w:tcPr>
          <w:p>
            <w:pPr>
              <w:spacing w:after="0"/>
              <w:rPr>
                <w:sz w:val="17"/>
                <w:szCs w:val="17"/>
                <w:color w:val="auto"/>
              </w:rPr>
            </w:pPr>
          </w:p>
        </w:tc>
        <w:tc>
          <w:tcPr>
            <w:tcW w:w="5420" w:type="dxa"/>
            <w:vAlign w:val="bottom"/>
            <w:vMerge w:val="continue"/>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shd w:val="clear" w:color="auto" w:fill="002B5F"/>
          </w:tcPr>
          <w:p>
            <w:pPr>
              <w:spacing w:after="0"/>
              <w:rPr>
                <w:sz w:val="17"/>
                <w:szCs w:val="17"/>
                <w:color w:val="auto"/>
              </w:rPr>
            </w:pPr>
          </w:p>
        </w:tc>
        <w:tc>
          <w:tcPr>
            <w:tcW w:w="1280" w:type="dxa"/>
            <w:vAlign w:val="bottom"/>
            <w:shd w:val="clear" w:color="auto" w:fill="002B5F"/>
          </w:tcPr>
          <w:p>
            <w:pPr>
              <w:ind w:left="140"/>
              <w:spacing w:after="0"/>
              <w:rPr>
                <w:sz w:val="20"/>
                <w:szCs w:val="20"/>
                <w:color w:val="auto"/>
              </w:rPr>
            </w:pPr>
            <w:r>
              <w:rPr>
                <w:rFonts w:ascii="Arial" w:cs="Arial" w:eastAsia="Arial" w:hAnsi="Arial"/>
                <w:sz w:val="12"/>
                <w:szCs w:val="12"/>
                <w:color w:val="FFFFFF"/>
              </w:rPr>
              <w:t>Board of Directors</w:t>
            </w:r>
          </w:p>
        </w:tc>
        <w:tc>
          <w:tcPr>
            <w:tcW w:w="460" w:type="dxa"/>
            <w:vAlign w:val="bottom"/>
            <w:shd w:val="clear" w:color="auto" w:fill="002B5F"/>
          </w:tcPr>
          <w:p>
            <w:pPr>
              <w:spacing w:after="0"/>
              <w:rPr>
                <w:sz w:val="17"/>
                <w:szCs w:val="17"/>
                <w:color w:val="auto"/>
              </w:rPr>
            </w:pPr>
          </w:p>
        </w:tc>
        <w:tc>
          <w:tcPr>
            <w:tcW w:w="0" w:type="dxa"/>
            <w:vAlign w:val="bottom"/>
          </w:tcPr>
          <w:p>
            <w:pPr>
              <w:spacing w:after="0"/>
              <w:rPr>
                <w:sz w:val="1"/>
                <w:szCs w:val="1"/>
                <w:color w:val="auto"/>
              </w:rPr>
            </w:pPr>
          </w:p>
        </w:tc>
      </w:tr>
      <w:tr>
        <w:trPr>
          <w:trHeight w:val="179"/>
        </w:trPr>
        <w:tc>
          <w:tcPr>
            <w:tcW w:w="2460" w:type="dxa"/>
            <w:vAlign w:val="bottom"/>
            <w:vMerge w:val="restart"/>
          </w:tcPr>
          <w:p>
            <w:pPr>
              <w:spacing w:after="0"/>
              <w:rPr>
                <w:sz w:val="20"/>
                <w:szCs w:val="20"/>
                <w:color w:val="auto"/>
              </w:rPr>
            </w:pPr>
            <w:r>
              <w:rPr>
                <w:rFonts w:ascii="Arial" w:cs="Arial" w:eastAsia="Arial" w:hAnsi="Arial"/>
                <w:sz w:val="19"/>
                <w:szCs w:val="19"/>
                <w:b w:val="1"/>
                <w:bCs w:val="1"/>
                <w:color w:val="B95827"/>
              </w:rPr>
              <w:t>COMMITTEES:</w:t>
            </w:r>
          </w:p>
        </w:tc>
        <w:tc>
          <w:tcPr>
            <w:tcW w:w="5420" w:type="dxa"/>
            <w:vAlign w:val="bottom"/>
          </w:tcPr>
          <w:p>
            <w:pPr>
              <w:ind w:left="140"/>
              <w:spacing w:after="0"/>
              <w:rPr>
                <w:sz w:val="20"/>
                <w:szCs w:val="20"/>
                <w:color w:val="auto"/>
              </w:rPr>
            </w:pPr>
            <w:r>
              <w:rPr>
                <w:rFonts w:ascii="Arial" w:cs="Arial" w:eastAsia="Arial" w:hAnsi="Arial"/>
                <w:sz w:val="15"/>
                <w:szCs w:val="15"/>
                <w:color w:val="auto"/>
              </w:rPr>
              <w:t>Mr. Ko’s pertinent qualifications include: his 20-year career experience</w:t>
            </w:r>
          </w:p>
        </w:tc>
        <w:tc>
          <w:tcPr>
            <w:tcW w:w="420" w:type="dxa"/>
            <w:vAlign w:val="bottom"/>
          </w:tcPr>
          <w:p>
            <w:pPr>
              <w:spacing w:after="0"/>
              <w:rPr>
                <w:sz w:val="15"/>
                <w:szCs w:val="15"/>
                <w:color w:val="auto"/>
              </w:rPr>
            </w:pPr>
          </w:p>
        </w:tc>
        <w:tc>
          <w:tcPr>
            <w:tcW w:w="240" w:type="dxa"/>
            <w:vAlign w:val="bottom"/>
            <w:shd w:val="clear" w:color="auto" w:fill="002B5F"/>
          </w:tcPr>
          <w:p>
            <w:pPr>
              <w:spacing w:after="0"/>
              <w:rPr>
                <w:sz w:val="15"/>
                <w:szCs w:val="15"/>
                <w:color w:val="auto"/>
              </w:rPr>
            </w:pPr>
          </w:p>
        </w:tc>
        <w:tc>
          <w:tcPr>
            <w:tcW w:w="1280" w:type="dxa"/>
            <w:vAlign w:val="bottom"/>
            <w:vMerge w:val="restart"/>
            <w:shd w:val="clear" w:color="auto" w:fill="002B5F"/>
          </w:tcPr>
          <w:p>
            <w:pPr>
              <w:ind w:left="140"/>
              <w:spacing w:after="0"/>
              <w:rPr>
                <w:sz w:val="20"/>
                <w:szCs w:val="20"/>
                <w:color w:val="auto"/>
              </w:rPr>
            </w:pPr>
            <w:r>
              <w:rPr>
                <w:rFonts w:ascii="Arial" w:cs="Arial" w:eastAsia="Arial" w:hAnsi="Arial"/>
                <w:sz w:val="12"/>
                <w:szCs w:val="12"/>
                <w:color w:val="FFFFFF"/>
              </w:rPr>
              <w:t>Compensation of</w:t>
            </w:r>
          </w:p>
        </w:tc>
        <w:tc>
          <w:tcPr>
            <w:tcW w:w="460" w:type="dxa"/>
            <w:vAlign w:val="bottom"/>
            <w:shd w:val="clear" w:color="auto" w:fill="002B5F"/>
          </w:tcPr>
          <w:p>
            <w:pPr>
              <w:spacing w:after="0"/>
              <w:rPr>
                <w:sz w:val="15"/>
                <w:szCs w:val="15"/>
                <w:color w:val="auto"/>
              </w:rPr>
            </w:pPr>
          </w:p>
        </w:tc>
        <w:tc>
          <w:tcPr>
            <w:tcW w:w="0" w:type="dxa"/>
            <w:vAlign w:val="bottom"/>
          </w:tcPr>
          <w:p>
            <w:pPr>
              <w:spacing w:after="0"/>
              <w:rPr>
                <w:sz w:val="1"/>
                <w:szCs w:val="1"/>
                <w:color w:val="auto"/>
              </w:rPr>
            </w:pPr>
          </w:p>
        </w:tc>
      </w:tr>
      <w:tr>
        <w:trPr>
          <w:trHeight w:val="46"/>
        </w:trPr>
        <w:tc>
          <w:tcPr>
            <w:tcW w:w="2460" w:type="dxa"/>
            <w:vAlign w:val="bottom"/>
            <w:vMerge w:val="continue"/>
          </w:tcPr>
          <w:p>
            <w:pPr>
              <w:spacing w:after="0"/>
              <w:rPr>
                <w:sz w:val="3"/>
                <w:szCs w:val="3"/>
                <w:color w:val="auto"/>
              </w:rPr>
            </w:pPr>
          </w:p>
        </w:tc>
        <w:tc>
          <w:tcPr>
            <w:tcW w:w="5420" w:type="dxa"/>
            <w:vAlign w:val="bottom"/>
            <w:vMerge w:val="restart"/>
          </w:tcPr>
          <w:p>
            <w:pPr>
              <w:ind w:left="140"/>
              <w:spacing w:after="0" w:line="166" w:lineRule="exact"/>
              <w:rPr>
                <w:sz w:val="20"/>
                <w:szCs w:val="20"/>
                <w:color w:val="auto"/>
              </w:rPr>
            </w:pPr>
            <w:r>
              <w:rPr>
                <w:rFonts w:ascii="Arial" w:cs="Arial" w:eastAsia="Arial" w:hAnsi="Arial"/>
                <w:sz w:val="15"/>
                <w:szCs w:val="15"/>
                <w:color w:val="auto"/>
              </w:rPr>
              <w:t>leading at-scale businesses and developing innovative product experiences</w:t>
            </w:r>
          </w:p>
        </w:tc>
        <w:tc>
          <w:tcPr>
            <w:tcW w:w="420" w:type="dxa"/>
            <w:vAlign w:val="bottom"/>
          </w:tcPr>
          <w:p>
            <w:pPr>
              <w:spacing w:after="0"/>
              <w:rPr>
                <w:sz w:val="3"/>
                <w:szCs w:val="3"/>
                <w:color w:val="auto"/>
              </w:rPr>
            </w:pPr>
          </w:p>
        </w:tc>
        <w:tc>
          <w:tcPr>
            <w:tcW w:w="240" w:type="dxa"/>
            <w:vAlign w:val="bottom"/>
            <w:shd w:val="clear" w:color="auto" w:fill="002B5F"/>
          </w:tcPr>
          <w:p>
            <w:pPr>
              <w:spacing w:after="0"/>
              <w:rPr>
                <w:sz w:val="3"/>
                <w:szCs w:val="3"/>
                <w:color w:val="auto"/>
              </w:rPr>
            </w:pPr>
          </w:p>
        </w:tc>
        <w:tc>
          <w:tcPr>
            <w:tcW w:w="1280" w:type="dxa"/>
            <w:vAlign w:val="bottom"/>
            <w:vMerge w:val="continue"/>
            <w:shd w:val="clear" w:color="auto" w:fill="002B5F"/>
          </w:tcPr>
          <w:p>
            <w:pPr>
              <w:spacing w:after="0"/>
              <w:rPr>
                <w:sz w:val="3"/>
                <w:szCs w:val="3"/>
                <w:color w:val="auto"/>
              </w:rPr>
            </w:pPr>
          </w:p>
        </w:tc>
        <w:tc>
          <w:tcPr>
            <w:tcW w:w="460" w:type="dxa"/>
            <w:vAlign w:val="bottom"/>
            <w:shd w:val="clear" w:color="auto" w:fill="002B5F"/>
          </w:tcPr>
          <w:p>
            <w:pPr>
              <w:spacing w:after="0"/>
              <w:rPr>
                <w:sz w:val="3"/>
                <w:szCs w:val="3"/>
                <w:color w:val="auto"/>
              </w:rPr>
            </w:pPr>
          </w:p>
        </w:tc>
        <w:tc>
          <w:tcPr>
            <w:tcW w:w="0" w:type="dxa"/>
            <w:vAlign w:val="bottom"/>
          </w:tcPr>
          <w:p>
            <w:pPr>
              <w:spacing w:after="0"/>
              <w:rPr>
                <w:sz w:val="1"/>
                <w:szCs w:val="1"/>
                <w:color w:val="auto"/>
              </w:rPr>
            </w:pPr>
          </w:p>
        </w:tc>
      </w:tr>
      <w:tr>
        <w:trPr>
          <w:trHeight w:val="120"/>
        </w:trPr>
        <w:tc>
          <w:tcPr>
            <w:tcW w:w="2460" w:type="dxa"/>
            <w:vAlign w:val="bottom"/>
            <w:vMerge w:val="continue"/>
          </w:tcPr>
          <w:p>
            <w:pPr>
              <w:spacing w:after="0"/>
              <w:rPr>
                <w:sz w:val="10"/>
                <w:szCs w:val="10"/>
                <w:color w:val="auto"/>
              </w:rPr>
            </w:pPr>
          </w:p>
        </w:tc>
        <w:tc>
          <w:tcPr>
            <w:tcW w:w="5420" w:type="dxa"/>
            <w:vAlign w:val="bottom"/>
            <w:vMerge w:val="continue"/>
          </w:tcPr>
          <w:p>
            <w:pPr>
              <w:spacing w:after="0"/>
              <w:rPr>
                <w:sz w:val="10"/>
                <w:szCs w:val="10"/>
                <w:color w:val="auto"/>
              </w:rPr>
            </w:pPr>
          </w:p>
        </w:tc>
        <w:tc>
          <w:tcPr>
            <w:tcW w:w="420" w:type="dxa"/>
            <w:vAlign w:val="bottom"/>
          </w:tcPr>
          <w:p>
            <w:pPr>
              <w:spacing w:after="0"/>
              <w:rPr>
                <w:sz w:val="10"/>
                <w:szCs w:val="10"/>
                <w:color w:val="auto"/>
              </w:rPr>
            </w:pPr>
          </w:p>
        </w:tc>
        <w:tc>
          <w:tcPr>
            <w:tcW w:w="240" w:type="dxa"/>
            <w:vAlign w:val="bottom"/>
            <w:shd w:val="clear" w:color="auto" w:fill="002B5F"/>
          </w:tcPr>
          <w:p>
            <w:pPr>
              <w:spacing w:after="0"/>
              <w:rPr>
                <w:sz w:val="10"/>
                <w:szCs w:val="10"/>
                <w:color w:val="auto"/>
              </w:rPr>
            </w:pPr>
          </w:p>
        </w:tc>
        <w:tc>
          <w:tcPr>
            <w:tcW w:w="1280" w:type="dxa"/>
            <w:vAlign w:val="bottom"/>
            <w:shd w:val="clear" w:color="auto" w:fill="002B5F"/>
          </w:tcPr>
          <w:p>
            <w:pPr>
              <w:ind w:left="140"/>
              <w:spacing w:after="0" w:line="120" w:lineRule="exact"/>
              <w:rPr>
                <w:sz w:val="20"/>
                <w:szCs w:val="20"/>
                <w:color w:val="auto"/>
              </w:rPr>
            </w:pPr>
            <w:r>
              <w:rPr>
                <w:rFonts w:ascii="Arial" w:cs="Arial" w:eastAsia="Arial" w:hAnsi="Arial"/>
                <w:sz w:val="12"/>
                <w:szCs w:val="12"/>
                <w:color w:val="FFFFFF"/>
              </w:rPr>
              <w:t>Named Executive</w:t>
            </w:r>
          </w:p>
        </w:tc>
        <w:tc>
          <w:tcPr>
            <w:tcW w:w="460" w:type="dxa"/>
            <w:vAlign w:val="bottom"/>
            <w:shd w:val="clear" w:color="auto" w:fill="002B5F"/>
          </w:tcPr>
          <w:p>
            <w:pPr>
              <w:spacing w:after="0"/>
              <w:rPr>
                <w:sz w:val="10"/>
                <w:szCs w:val="10"/>
                <w:color w:val="auto"/>
              </w:rPr>
            </w:pPr>
          </w:p>
        </w:tc>
        <w:tc>
          <w:tcPr>
            <w:tcW w:w="0" w:type="dxa"/>
            <w:vAlign w:val="bottom"/>
          </w:tcPr>
          <w:p>
            <w:pPr>
              <w:spacing w:after="0"/>
              <w:rPr>
                <w:sz w:val="1"/>
                <w:szCs w:val="1"/>
                <w:color w:val="auto"/>
              </w:rPr>
            </w:pPr>
          </w:p>
        </w:tc>
      </w:tr>
      <w:tr>
        <w:trPr>
          <w:trHeight w:val="192"/>
        </w:trPr>
        <w:tc>
          <w:tcPr>
            <w:tcW w:w="2460" w:type="dxa"/>
            <w:vAlign w:val="bottom"/>
          </w:tcPr>
          <w:p>
            <w:pPr>
              <w:spacing w:after="0" w:line="192" w:lineRule="exact"/>
              <w:rPr>
                <w:sz w:val="20"/>
                <w:szCs w:val="20"/>
                <w:color w:val="auto"/>
              </w:rPr>
            </w:pPr>
            <w:r>
              <w:rPr>
                <w:rFonts w:ascii="Arial" w:cs="Arial" w:eastAsia="Arial" w:hAnsi="Arial"/>
                <w:sz w:val="19"/>
                <w:szCs w:val="19"/>
                <w:color w:val="auto"/>
              </w:rPr>
              <w:t>• Audit and Risk Committee</w:t>
            </w:r>
          </w:p>
        </w:tc>
        <w:tc>
          <w:tcPr>
            <w:tcW w:w="5420" w:type="dxa"/>
            <w:vAlign w:val="bottom"/>
          </w:tcPr>
          <w:p>
            <w:pPr>
              <w:ind w:left="140"/>
              <w:spacing w:after="0"/>
              <w:rPr>
                <w:sz w:val="20"/>
                <w:szCs w:val="20"/>
                <w:color w:val="auto"/>
              </w:rPr>
            </w:pPr>
            <w:r>
              <w:rPr>
                <w:rFonts w:ascii="Arial" w:cs="Arial" w:eastAsia="Arial" w:hAnsi="Arial"/>
                <w:sz w:val="15"/>
                <w:szCs w:val="15"/>
                <w:color w:val="auto"/>
              </w:rPr>
              <w:t>in financial technology, payments, delivery and consumer and small business</w:t>
            </w:r>
          </w:p>
        </w:tc>
        <w:tc>
          <w:tcPr>
            <w:tcW w:w="420" w:type="dxa"/>
            <w:vAlign w:val="bottom"/>
          </w:tcPr>
          <w:p>
            <w:pPr>
              <w:spacing w:after="0"/>
              <w:rPr>
                <w:sz w:val="16"/>
                <w:szCs w:val="16"/>
                <w:color w:val="auto"/>
              </w:rPr>
            </w:pPr>
          </w:p>
        </w:tc>
        <w:tc>
          <w:tcPr>
            <w:tcW w:w="240" w:type="dxa"/>
            <w:vAlign w:val="bottom"/>
            <w:shd w:val="clear" w:color="auto" w:fill="002B5F"/>
          </w:tcPr>
          <w:p>
            <w:pPr>
              <w:spacing w:after="0"/>
              <w:rPr>
                <w:sz w:val="16"/>
                <w:szCs w:val="16"/>
                <w:color w:val="auto"/>
              </w:rPr>
            </w:pPr>
          </w:p>
        </w:tc>
        <w:tc>
          <w:tcPr>
            <w:tcW w:w="1280" w:type="dxa"/>
            <w:vAlign w:val="bottom"/>
            <w:shd w:val="clear" w:color="auto" w:fill="002B5F"/>
          </w:tcPr>
          <w:p>
            <w:pPr>
              <w:ind w:left="140"/>
              <w:spacing w:after="0"/>
              <w:rPr>
                <w:sz w:val="20"/>
                <w:szCs w:val="20"/>
                <w:color w:val="auto"/>
              </w:rPr>
            </w:pPr>
            <w:r>
              <w:rPr>
                <w:rFonts w:ascii="Arial" w:cs="Arial" w:eastAsia="Arial" w:hAnsi="Arial"/>
                <w:sz w:val="12"/>
                <w:szCs w:val="12"/>
                <w:color w:val="FFFFFF"/>
              </w:rPr>
              <w:t>Officers</w:t>
            </w:r>
          </w:p>
        </w:tc>
        <w:tc>
          <w:tcPr>
            <w:tcW w:w="460" w:type="dxa"/>
            <w:vAlign w:val="bottom"/>
            <w:shd w:val="clear" w:color="auto" w:fill="002B5F"/>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2460" w:type="dxa"/>
            <w:vAlign w:val="bottom"/>
            <w:vMerge w:val="restart"/>
          </w:tcPr>
          <w:p>
            <w:pPr>
              <w:spacing w:after="0"/>
              <w:rPr>
                <w:sz w:val="20"/>
                <w:szCs w:val="20"/>
                <w:color w:val="auto"/>
              </w:rPr>
            </w:pPr>
            <w:r>
              <w:rPr>
                <w:rFonts w:ascii="Arial" w:cs="Arial" w:eastAsia="Arial" w:hAnsi="Arial"/>
                <w:sz w:val="19"/>
                <w:szCs w:val="19"/>
                <w:b w:val="1"/>
                <w:bCs w:val="1"/>
                <w:color w:val="B95827"/>
              </w:rPr>
              <w:t>OTHER PUBLIC</w:t>
            </w:r>
          </w:p>
        </w:tc>
        <w:tc>
          <w:tcPr>
            <w:tcW w:w="5420" w:type="dxa"/>
            <w:vAlign w:val="bottom"/>
          </w:tcPr>
          <w:p>
            <w:pPr>
              <w:ind w:left="140"/>
              <w:spacing w:after="0"/>
              <w:rPr>
                <w:sz w:val="20"/>
                <w:szCs w:val="20"/>
                <w:color w:val="auto"/>
              </w:rPr>
            </w:pPr>
            <w:r>
              <w:rPr>
                <w:rFonts w:ascii="Arial" w:cs="Arial" w:eastAsia="Arial" w:hAnsi="Arial"/>
                <w:sz w:val="15"/>
                <w:szCs w:val="15"/>
                <w:color w:val="auto"/>
              </w:rPr>
              <w:t>management; consumer insights and entrepreneurial mindset developed in</w:t>
            </w:r>
          </w:p>
        </w:tc>
        <w:tc>
          <w:tcPr>
            <w:tcW w:w="420" w:type="dxa"/>
            <w:vAlign w:val="bottom"/>
          </w:tcPr>
          <w:p>
            <w:pPr>
              <w:spacing w:after="0"/>
              <w:rPr>
                <w:sz w:val="15"/>
                <w:szCs w:val="15"/>
                <w:color w:val="auto"/>
              </w:rPr>
            </w:pPr>
          </w:p>
        </w:tc>
        <w:tc>
          <w:tcPr>
            <w:tcW w:w="240" w:type="dxa"/>
            <w:vAlign w:val="bottom"/>
            <w:shd w:val="clear" w:color="auto" w:fill="002B5F"/>
          </w:tcPr>
          <w:p>
            <w:pPr>
              <w:spacing w:after="0"/>
              <w:rPr>
                <w:sz w:val="15"/>
                <w:szCs w:val="15"/>
                <w:color w:val="auto"/>
              </w:rPr>
            </w:pPr>
          </w:p>
        </w:tc>
        <w:tc>
          <w:tcPr>
            <w:tcW w:w="1280" w:type="dxa"/>
            <w:vAlign w:val="bottom"/>
            <w:vMerge w:val="restart"/>
            <w:shd w:val="clear" w:color="auto" w:fill="002B5F"/>
          </w:tcPr>
          <w:p>
            <w:pPr>
              <w:ind w:left="140"/>
              <w:spacing w:after="0"/>
              <w:rPr>
                <w:sz w:val="20"/>
                <w:szCs w:val="20"/>
                <w:color w:val="auto"/>
              </w:rPr>
            </w:pPr>
            <w:r>
              <w:rPr>
                <w:rFonts w:ascii="Arial" w:cs="Arial" w:eastAsia="Arial" w:hAnsi="Arial"/>
                <w:sz w:val="12"/>
                <w:szCs w:val="12"/>
                <w:color w:val="FFFFFF"/>
              </w:rPr>
              <w:t>Pay Versus</w:t>
            </w:r>
          </w:p>
        </w:tc>
        <w:tc>
          <w:tcPr>
            <w:tcW w:w="460" w:type="dxa"/>
            <w:vAlign w:val="bottom"/>
            <w:shd w:val="clear" w:color="auto" w:fill="002B5F"/>
          </w:tcPr>
          <w:p>
            <w:pPr>
              <w:spacing w:after="0"/>
              <w:rPr>
                <w:sz w:val="15"/>
                <w:szCs w:val="15"/>
                <w:color w:val="auto"/>
              </w:rPr>
            </w:pPr>
          </w:p>
        </w:tc>
        <w:tc>
          <w:tcPr>
            <w:tcW w:w="0" w:type="dxa"/>
            <w:vAlign w:val="bottom"/>
          </w:tcPr>
          <w:p>
            <w:pPr>
              <w:spacing w:after="0"/>
              <w:rPr>
                <w:sz w:val="1"/>
                <w:szCs w:val="1"/>
                <w:color w:val="auto"/>
              </w:rPr>
            </w:pPr>
          </w:p>
        </w:tc>
      </w:tr>
      <w:tr>
        <w:trPr>
          <w:trHeight w:val="58"/>
        </w:trPr>
        <w:tc>
          <w:tcPr>
            <w:tcW w:w="2460" w:type="dxa"/>
            <w:vAlign w:val="bottom"/>
            <w:vMerge w:val="continue"/>
          </w:tcPr>
          <w:p>
            <w:pPr>
              <w:spacing w:after="0"/>
              <w:rPr>
                <w:sz w:val="5"/>
                <w:szCs w:val="5"/>
                <w:color w:val="auto"/>
              </w:rPr>
            </w:pPr>
          </w:p>
        </w:tc>
        <w:tc>
          <w:tcPr>
            <w:tcW w:w="5420" w:type="dxa"/>
            <w:vAlign w:val="bottom"/>
            <w:vMerge w:val="restart"/>
          </w:tcPr>
          <w:p>
            <w:pPr>
              <w:ind w:left="140"/>
              <w:spacing w:after="0"/>
              <w:rPr>
                <w:sz w:val="20"/>
                <w:szCs w:val="20"/>
                <w:color w:val="auto"/>
              </w:rPr>
            </w:pPr>
            <w:r>
              <w:rPr>
                <w:rFonts w:ascii="Arial" w:cs="Arial" w:eastAsia="Arial" w:hAnsi="Arial"/>
                <w:sz w:val="15"/>
                <w:szCs w:val="15"/>
                <w:color w:val="auto"/>
              </w:rPr>
              <w:t>overseeing transformational change initiatives at Intuit focused on best</w:t>
            </w:r>
          </w:p>
        </w:tc>
        <w:tc>
          <w:tcPr>
            <w:tcW w:w="420" w:type="dxa"/>
            <w:vAlign w:val="bottom"/>
          </w:tcPr>
          <w:p>
            <w:pPr>
              <w:spacing w:after="0"/>
              <w:rPr>
                <w:sz w:val="5"/>
                <w:szCs w:val="5"/>
                <w:color w:val="auto"/>
              </w:rPr>
            </w:pPr>
          </w:p>
        </w:tc>
        <w:tc>
          <w:tcPr>
            <w:tcW w:w="240" w:type="dxa"/>
            <w:vAlign w:val="bottom"/>
            <w:shd w:val="clear" w:color="auto" w:fill="002B5F"/>
          </w:tcPr>
          <w:p>
            <w:pPr>
              <w:spacing w:after="0"/>
              <w:rPr>
                <w:sz w:val="5"/>
                <w:szCs w:val="5"/>
                <w:color w:val="auto"/>
              </w:rPr>
            </w:pPr>
          </w:p>
        </w:tc>
        <w:tc>
          <w:tcPr>
            <w:tcW w:w="1280" w:type="dxa"/>
            <w:vAlign w:val="bottom"/>
            <w:vMerge w:val="continue"/>
            <w:shd w:val="clear" w:color="auto" w:fill="002B5F"/>
          </w:tcPr>
          <w:p>
            <w:pPr>
              <w:spacing w:after="0"/>
              <w:rPr>
                <w:sz w:val="5"/>
                <w:szCs w:val="5"/>
                <w:color w:val="auto"/>
              </w:rPr>
            </w:pPr>
          </w:p>
        </w:tc>
        <w:tc>
          <w:tcPr>
            <w:tcW w:w="460" w:type="dxa"/>
            <w:vAlign w:val="bottom"/>
            <w:shd w:val="clear" w:color="auto" w:fill="002B5F"/>
          </w:tcPr>
          <w:p>
            <w:pPr>
              <w:spacing w:after="0"/>
              <w:rPr>
                <w:sz w:val="5"/>
                <w:szCs w:val="5"/>
                <w:color w:val="auto"/>
              </w:rPr>
            </w:pPr>
          </w:p>
        </w:tc>
        <w:tc>
          <w:tcPr>
            <w:tcW w:w="0" w:type="dxa"/>
            <w:vAlign w:val="bottom"/>
          </w:tcPr>
          <w:p>
            <w:pPr>
              <w:spacing w:after="0"/>
              <w:rPr>
                <w:sz w:val="1"/>
                <w:szCs w:val="1"/>
                <w:color w:val="auto"/>
              </w:rPr>
            </w:pPr>
          </w:p>
        </w:tc>
      </w:tr>
      <w:tr>
        <w:trPr>
          <w:trHeight w:val="120"/>
        </w:trPr>
        <w:tc>
          <w:tcPr>
            <w:tcW w:w="2460" w:type="dxa"/>
            <w:vAlign w:val="bottom"/>
            <w:vMerge w:val="continue"/>
          </w:tcPr>
          <w:p>
            <w:pPr>
              <w:spacing w:after="0"/>
              <w:rPr>
                <w:sz w:val="10"/>
                <w:szCs w:val="10"/>
                <w:color w:val="auto"/>
              </w:rPr>
            </w:pPr>
          </w:p>
        </w:tc>
        <w:tc>
          <w:tcPr>
            <w:tcW w:w="5420" w:type="dxa"/>
            <w:vAlign w:val="bottom"/>
            <w:vMerge w:val="continue"/>
          </w:tcPr>
          <w:p>
            <w:pPr>
              <w:spacing w:after="0"/>
              <w:rPr>
                <w:sz w:val="10"/>
                <w:szCs w:val="10"/>
                <w:color w:val="auto"/>
              </w:rPr>
            </w:pPr>
          </w:p>
        </w:tc>
        <w:tc>
          <w:tcPr>
            <w:tcW w:w="420" w:type="dxa"/>
            <w:vAlign w:val="bottom"/>
          </w:tcPr>
          <w:p>
            <w:pPr>
              <w:spacing w:after="0"/>
              <w:rPr>
                <w:sz w:val="10"/>
                <w:szCs w:val="10"/>
                <w:color w:val="auto"/>
              </w:rPr>
            </w:pPr>
          </w:p>
        </w:tc>
        <w:tc>
          <w:tcPr>
            <w:tcW w:w="240" w:type="dxa"/>
            <w:vAlign w:val="bottom"/>
            <w:shd w:val="clear" w:color="auto" w:fill="002B5F"/>
          </w:tcPr>
          <w:p>
            <w:pPr>
              <w:spacing w:after="0"/>
              <w:rPr>
                <w:sz w:val="10"/>
                <w:szCs w:val="10"/>
                <w:color w:val="auto"/>
              </w:rPr>
            </w:pPr>
          </w:p>
        </w:tc>
        <w:tc>
          <w:tcPr>
            <w:tcW w:w="1280" w:type="dxa"/>
            <w:vAlign w:val="bottom"/>
            <w:shd w:val="clear" w:color="auto" w:fill="002B5F"/>
          </w:tcPr>
          <w:p>
            <w:pPr>
              <w:ind w:left="140"/>
              <w:spacing w:after="0" w:line="120" w:lineRule="exact"/>
              <w:rPr>
                <w:sz w:val="20"/>
                <w:szCs w:val="20"/>
                <w:color w:val="auto"/>
              </w:rPr>
            </w:pPr>
            <w:r>
              <w:rPr>
                <w:rFonts w:ascii="Arial" w:cs="Arial" w:eastAsia="Arial" w:hAnsi="Arial"/>
                <w:sz w:val="12"/>
                <w:szCs w:val="12"/>
                <w:color w:val="FFFFFF"/>
              </w:rPr>
              <w:t>Performance</w:t>
            </w:r>
          </w:p>
        </w:tc>
        <w:tc>
          <w:tcPr>
            <w:tcW w:w="460" w:type="dxa"/>
            <w:vAlign w:val="bottom"/>
            <w:shd w:val="clear" w:color="auto" w:fill="002B5F"/>
          </w:tcPr>
          <w:p>
            <w:pPr>
              <w:spacing w:after="0"/>
              <w:rPr>
                <w:sz w:val="10"/>
                <w:szCs w:val="10"/>
                <w:color w:val="auto"/>
              </w:rPr>
            </w:pPr>
          </w:p>
        </w:tc>
        <w:tc>
          <w:tcPr>
            <w:tcW w:w="0" w:type="dxa"/>
            <w:vAlign w:val="bottom"/>
          </w:tcPr>
          <w:p>
            <w:pPr>
              <w:spacing w:after="0"/>
              <w:rPr>
                <w:sz w:val="1"/>
                <w:szCs w:val="1"/>
                <w:color w:val="auto"/>
              </w:rPr>
            </w:pPr>
          </w:p>
        </w:tc>
      </w:tr>
      <w:tr>
        <w:trPr>
          <w:trHeight w:val="179"/>
        </w:trPr>
        <w:tc>
          <w:tcPr>
            <w:tcW w:w="2460" w:type="dxa"/>
            <w:vAlign w:val="bottom"/>
          </w:tcPr>
          <w:p>
            <w:pPr>
              <w:spacing w:after="0" w:line="179" w:lineRule="exact"/>
              <w:rPr>
                <w:sz w:val="20"/>
                <w:szCs w:val="20"/>
                <w:color w:val="auto"/>
              </w:rPr>
            </w:pPr>
            <w:r>
              <w:rPr>
                <w:rFonts w:ascii="Arial" w:cs="Arial" w:eastAsia="Arial" w:hAnsi="Arial"/>
                <w:sz w:val="19"/>
                <w:szCs w:val="19"/>
                <w:b w:val="1"/>
                <w:bCs w:val="1"/>
                <w:color w:val="B95827"/>
              </w:rPr>
              <w:t>COMPANY BOARDS</w:t>
            </w:r>
          </w:p>
        </w:tc>
        <w:tc>
          <w:tcPr>
            <w:tcW w:w="5420" w:type="dxa"/>
            <w:vAlign w:val="bottom"/>
          </w:tcPr>
          <w:p>
            <w:pPr>
              <w:ind w:left="140"/>
              <w:spacing w:after="0"/>
              <w:rPr>
                <w:sz w:val="20"/>
                <w:szCs w:val="20"/>
                <w:color w:val="auto"/>
              </w:rPr>
            </w:pPr>
            <w:r>
              <w:rPr>
                <w:rFonts w:ascii="Arial" w:cs="Arial" w:eastAsia="Arial" w:hAnsi="Arial"/>
                <w:sz w:val="15"/>
                <w:szCs w:val="15"/>
                <w:color w:val="auto"/>
              </w:rPr>
              <w:t>serving its customers; expertise in strategic planning and organizational</w:t>
            </w:r>
          </w:p>
        </w:tc>
        <w:tc>
          <w:tcPr>
            <w:tcW w:w="420" w:type="dxa"/>
            <w:vAlign w:val="bottom"/>
          </w:tcPr>
          <w:p>
            <w:pPr>
              <w:spacing w:after="0"/>
              <w:rPr>
                <w:sz w:val="15"/>
                <w:szCs w:val="15"/>
                <w:color w:val="auto"/>
              </w:rPr>
            </w:pPr>
          </w:p>
        </w:tc>
        <w:tc>
          <w:tcPr>
            <w:tcW w:w="240" w:type="dxa"/>
            <w:vAlign w:val="bottom"/>
            <w:shd w:val="clear" w:color="auto" w:fill="002B5F"/>
          </w:tcPr>
          <w:p>
            <w:pPr>
              <w:spacing w:after="0"/>
              <w:rPr>
                <w:sz w:val="15"/>
                <w:szCs w:val="15"/>
                <w:color w:val="auto"/>
              </w:rPr>
            </w:pPr>
          </w:p>
        </w:tc>
        <w:tc>
          <w:tcPr>
            <w:tcW w:w="1280" w:type="dxa"/>
            <w:vAlign w:val="bottom"/>
            <w:shd w:val="clear" w:color="auto" w:fill="002B5F"/>
          </w:tcPr>
          <w:p>
            <w:pPr>
              <w:ind w:left="140"/>
              <w:spacing w:after="0"/>
              <w:rPr>
                <w:sz w:val="20"/>
                <w:szCs w:val="20"/>
                <w:color w:val="auto"/>
              </w:rPr>
            </w:pPr>
            <w:r>
              <w:rPr>
                <w:rFonts w:ascii="Arial" w:cs="Arial" w:eastAsia="Arial" w:hAnsi="Arial"/>
                <w:sz w:val="12"/>
                <w:szCs w:val="12"/>
                <w:color w:val="FFFFFF"/>
              </w:rPr>
              <w:t>Disclosure</w:t>
            </w:r>
          </w:p>
        </w:tc>
        <w:tc>
          <w:tcPr>
            <w:tcW w:w="460" w:type="dxa"/>
            <w:vAlign w:val="bottom"/>
            <w:shd w:val="clear" w:color="auto" w:fill="002B5F"/>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460" w:type="dxa"/>
            <w:vAlign w:val="bottom"/>
            <w:vMerge w:val="restart"/>
          </w:tcPr>
          <w:p>
            <w:pPr>
              <w:spacing w:after="0"/>
              <w:rPr>
                <w:sz w:val="20"/>
                <w:szCs w:val="20"/>
                <w:color w:val="auto"/>
              </w:rPr>
            </w:pPr>
            <w:r>
              <w:rPr>
                <w:rFonts w:ascii="Arial" w:cs="Arial" w:eastAsia="Arial" w:hAnsi="Arial"/>
                <w:sz w:val="15"/>
                <w:szCs w:val="15"/>
                <w:b w:val="1"/>
                <w:bCs w:val="1"/>
                <w:color w:val="auto"/>
              </w:rPr>
              <w:t>Current</w:t>
            </w:r>
          </w:p>
        </w:tc>
        <w:tc>
          <w:tcPr>
            <w:tcW w:w="5420" w:type="dxa"/>
            <w:vAlign w:val="bottom"/>
          </w:tcPr>
          <w:p>
            <w:pPr>
              <w:ind w:left="140"/>
              <w:spacing w:after="0"/>
              <w:rPr>
                <w:sz w:val="20"/>
                <w:szCs w:val="20"/>
                <w:color w:val="auto"/>
              </w:rPr>
            </w:pPr>
            <w:r>
              <w:rPr>
                <w:rFonts w:ascii="Arial" w:cs="Arial" w:eastAsia="Arial" w:hAnsi="Arial"/>
                <w:sz w:val="15"/>
                <w:szCs w:val="15"/>
                <w:color w:val="auto"/>
              </w:rPr>
              <w:t>effectiveness gained from his experience as a management consultant; and a</w:t>
            </w:r>
          </w:p>
        </w:tc>
        <w:tc>
          <w:tcPr>
            <w:tcW w:w="420" w:type="dxa"/>
            <w:vAlign w:val="bottom"/>
          </w:tcPr>
          <w:p>
            <w:pPr>
              <w:spacing w:after="0"/>
              <w:rPr>
                <w:sz w:val="15"/>
                <w:szCs w:val="15"/>
                <w:color w:val="auto"/>
              </w:rPr>
            </w:pPr>
          </w:p>
        </w:tc>
        <w:tc>
          <w:tcPr>
            <w:tcW w:w="240" w:type="dxa"/>
            <w:vAlign w:val="bottom"/>
            <w:shd w:val="clear" w:color="auto" w:fill="002B5F"/>
          </w:tcPr>
          <w:p>
            <w:pPr>
              <w:spacing w:after="0"/>
              <w:rPr>
                <w:sz w:val="15"/>
                <w:szCs w:val="15"/>
                <w:color w:val="auto"/>
              </w:rPr>
            </w:pPr>
          </w:p>
        </w:tc>
        <w:tc>
          <w:tcPr>
            <w:tcW w:w="1280" w:type="dxa"/>
            <w:vAlign w:val="bottom"/>
            <w:vMerge w:val="restart"/>
            <w:shd w:val="clear" w:color="auto" w:fill="002B5F"/>
          </w:tcPr>
          <w:p>
            <w:pPr>
              <w:ind w:left="140"/>
              <w:spacing w:after="0"/>
              <w:rPr>
                <w:sz w:val="20"/>
                <w:szCs w:val="20"/>
                <w:color w:val="auto"/>
              </w:rPr>
            </w:pPr>
            <w:r>
              <w:rPr>
                <w:rFonts w:ascii="Arial" w:cs="Arial" w:eastAsia="Arial" w:hAnsi="Arial"/>
                <w:sz w:val="12"/>
                <w:szCs w:val="12"/>
                <w:color w:val="FFFFFF"/>
              </w:rPr>
              <w:t>Security</w:t>
            </w:r>
          </w:p>
        </w:tc>
        <w:tc>
          <w:tcPr>
            <w:tcW w:w="460" w:type="dxa"/>
            <w:vAlign w:val="bottom"/>
            <w:shd w:val="clear" w:color="auto" w:fill="002B5F"/>
          </w:tcPr>
          <w:p>
            <w:pPr>
              <w:spacing w:after="0"/>
              <w:rPr>
                <w:sz w:val="15"/>
                <w:szCs w:val="15"/>
                <w:color w:val="auto"/>
              </w:rPr>
            </w:pPr>
          </w:p>
        </w:tc>
        <w:tc>
          <w:tcPr>
            <w:tcW w:w="0" w:type="dxa"/>
            <w:vAlign w:val="bottom"/>
          </w:tcPr>
          <w:p>
            <w:pPr>
              <w:spacing w:after="0"/>
              <w:rPr>
                <w:sz w:val="1"/>
                <w:szCs w:val="1"/>
                <w:color w:val="auto"/>
              </w:rPr>
            </w:pPr>
          </w:p>
        </w:tc>
      </w:tr>
      <w:tr>
        <w:trPr>
          <w:trHeight w:val="76"/>
        </w:trPr>
        <w:tc>
          <w:tcPr>
            <w:tcW w:w="2460" w:type="dxa"/>
            <w:vAlign w:val="bottom"/>
            <w:vMerge w:val="continue"/>
          </w:tcPr>
          <w:p>
            <w:pPr>
              <w:spacing w:after="0"/>
              <w:rPr>
                <w:sz w:val="6"/>
                <w:szCs w:val="6"/>
                <w:color w:val="auto"/>
              </w:rPr>
            </w:pPr>
          </w:p>
        </w:tc>
        <w:tc>
          <w:tcPr>
            <w:tcW w:w="5420" w:type="dxa"/>
            <w:vAlign w:val="bottom"/>
            <w:vMerge w:val="restart"/>
          </w:tcPr>
          <w:p>
            <w:pPr>
              <w:ind w:left="140"/>
              <w:spacing w:after="0"/>
              <w:rPr>
                <w:sz w:val="20"/>
                <w:szCs w:val="20"/>
                <w:color w:val="auto"/>
              </w:rPr>
            </w:pPr>
            <w:r>
              <w:rPr>
                <w:rFonts w:ascii="Arial" w:cs="Arial" w:eastAsia="Arial" w:hAnsi="Arial"/>
                <w:sz w:val="15"/>
                <w:szCs w:val="15"/>
                <w:color w:val="auto"/>
              </w:rPr>
              <w:t>deep understanding of the financial services industry, including institutional</w:t>
            </w:r>
          </w:p>
        </w:tc>
        <w:tc>
          <w:tcPr>
            <w:tcW w:w="420" w:type="dxa"/>
            <w:vAlign w:val="bottom"/>
          </w:tcPr>
          <w:p>
            <w:pPr>
              <w:spacing w:after="0"/>
              <w:rPr>
                <w:sz w:val="6"/>
                <w:szCs w:val="6"/>
                <w:color w:val="auto"/>
              </w:rPr>
            </w:pPr>
          </w:p>
        </w:tc>
        <w:tc>
          <w:tcPr>
            <w:tcW w:w="240" w:type="dxa"/>
            <w:vAlign w:val="bottom"/>
            <w:shd w:val="clear" w:color="auto" w:fill="002B5F"/>
          </w:tcPr>
          <w:p>
            <w:pPr>
              <w:spacing w:after="0"/>
              <w:rPr>
                <w:sz w:val="6"/>
                <w:szCs w:val="6"/>
                <w:color w:val="auto"/>
              </w:rPr>
            </w:pPr>
          </w:p>
        </w:tc>
        <w:tc>
          <w:tcPr>
            <w:tcW w:w="1280" w:type="dxa"/>
            <w:vAlign w:val="bottom"/>
            <w:vMerge w:val="continue"/>
            <w:shd w:val="clear" w:color="auto" w:fill="002B5F"/>
          </w:tcPr>
          <w:p>
            <w:pPr>
              <w:spacing w:after="0"/>
              <w:rPr>
                <w:sz w:val="6"/>
                <w:szCs w:val="6"/>
                <w:color w:val="auto"/>
              </w:rPr>
            </w:pPr>
          </w:p>
        </w:tc>
        <w:tc>
          <w:tcPr>
            <w:tcW w:w="460" w:type="dxa"/>
            <w:vAlign w:val="bottom"/>
            <w:shd w:val="clear" w:color="auto" w:fill="002B5F"/>
          </w:tcPr>
          <w:p>
            <w:pPr>
              <w:spacing w:after="0"/>
              <w:rPr>
                <w:sz w:val="6"/>
                <w:szCs w:val="6"/>
                <w:color w:val="auto"/>
              </w:rPr>
            </w:pPr>
          </w:p>
        </w:tc>
        <w:tc>
          <w:tcPr>
            <w:tcW w:w="0" w:type="dxa"/>
            <w:vAlign w:val="bottom"/>
          </w:tcPr>
          <w:p>
            <w:pPr>
              <w:spacing w:after="0"/>
              <w:rPr>
                <w:sz w:val="1"/>
                <w:szCs w:val="1"/>
                <w:color w:val="auto"/>
              </w:rPr>
            </w:pPr>
          </w:p>
        </w:tc>
      </w:tr>
      <w:tr>
        <w:trPr>
          <w:trHeight w:val="115"/>
        </w:trPr>
        <w:tc>
          <w:tcPr>
            <w:tcW w:w="2460" w:type="dxa"/>
            <w:vAlign w:val="bottom"/>
            <w:vMerge w:val="restart"/>
          </w:tcPr>
          <w:p>
            <w:pPr>
              <w:spacing w:after="0"/>
              <w:rPr>
                <w:sz w:val="20"/>
                <w:szCs w:val="20"/>
                <w:color w:val="auto"/>
              </w:rPr>
            </w:pPr>
            <w:r>
              <w:rPr>
                <w:rFonts w:ascii="Arial" w:cs="Arial" w:eastAsia="Arial" w:hAnsi="Arial"/>
                <w:sz w:val="19"/>
                <w:szCs w:val="19"/>
                <w:color w:val="auto"/>
              </w:rPr>
              <w:t>• None</w:t>
            </w:r>
          </w:p>
        </w:tc>
        <w:tc>
          <w:tcPr>
            <w:tcW w:w="5420" w:type="dxa"/>
            <w:vAlign w:val="bottom"/>
            <w:vMerge w:val="continue"/>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shd w:val="clear" w:color="auto" w:fill="002B5F"/>
          </w:tcPr>
          <w:p>
            <w:pPr>
              <w:spacing w:after="0"/>
              <w:rPr>
                <w:sz w:val="9"/>
                <w:szCs w:val="9"/>
                <w:color w:val="auto"/>
              </w:rPr>
            </w:pPr>
          </w:p>
        </w:tc>
        <w:tc>
          <w:tcPr>
            <w:tcW w:w="1280" w:type="dxa"/>
            <w:vAlign w:val="bottom"/>
            <w:shd w:val="clear" w:color="auto" w:fill="002B5F"/>
          </w:tcPr>
          <w:p>
            <w:pPr>
              <w:ind w:left="140"/>
              <w:spacing w:after="0" w:line="115" w:lineRule="exact"/>
              <w:rPr>
                <w:sz w:val="20"/>
                <w:szCs w:val="20"/>
                <w:color w:val="auto"/>
              </w:rPr>
            </w:pPr>
            <w:r>
              <w:rPr>
                <w:rFonts w:ascii="Arial" w:cs="Arial" w:eastAsia="Arial" w:hAnsi="Arial"/>
                <w:sz w:val="12"/>
                <w:szCs w:val="12"/>
                <w:color w:val="FFFFFF"/>
              </w:rPr>
              <w:t>Ownership of</w:t>
            </w:r>
          </w:p>
        </w:tc>
        <w:tc>
          <w:tcPr>
            <w:tcW w:w="460" w:type="dxa"/>
            <w:vAlign w:val="bottom"/>
            <w:shd w:val="clear" w:color="auto" w:fill="002B5F"/>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2460" w:type="dxa"/>
            <w:vAlign w:val="bottom"/>
            <w:vMerge w:val="continue"/>
          </w:tcPr>
          <w:p>
            <w:pPr>
              <w:spacing w:after="0"/>
              <w:rPr>
                <w:sz w:val="12"/>
                <w:szCs w:val="12"/>
                <w:color w:val="auto"/>
              </w:rPr>
            </w:pPr>
          </w:p>
        </w:tc>
        <w:tc>
          <w:tcPr>
            <w:tcW w:w="5420" w:type="dxa"/>
            <w:vAlign w:val="bottom"/>
          </w:tcPr>
          <w:p>
            <w:pPr>
              <w:ind w:left="140"/>
              <w:spacing w:after="0" w:line="141" w:lineRule="exact"/>
              <w:rPr>
                <w:sz w:val="20"/>
                <w:szCs w:val="20"/>
                <w:color w:val="auto"/>
              </w:rPr>
            </w:pPr>
            <w:r>
              <w:rPr>
                <w:rFonts w:ascii="Arial" w:cs="Arial" w:eastAsia="Arial" w:hAnsi="Arial"/>
                <w:sz w:val="15"/>
                <w:szCs w:val="15"/>
                <w:color w:val="auto"/>
              </w:rPr>
              <w:t>risk management, from serving as chief executive officer of a fintech</w:t>
            </w:r>
          </w:p>
        </w:tc>
        <w:tc>
          <w:tcPr>
            <w:tcW w:w="420" w:type="dxa"/>
            <w:vAlign w:val="bottom"/>
          </w:tcPr>
          <w:p>
            <w:pPr>
              <w:spacing w:after="0"/>
              <w:rPr>
                <w:sz w:val="12"/>
                <w:szCs w:val="12"/>
                <w:color w:val="auto"/>
              </w:rPr>
            </w:pPr>
          </w:p>
        </w:tc>
        <w:tc>
          <w:tcPr>
            <w:tcW w:w="240" w:type="dxa"/>
            <w:vAlign w:val="bottom"/>
            <w:shd w:val="clear" w:color="auto" w:fill="002B5F"/>
          </w:tcPr>
          <w:p>
            <w:pPr>
              <w:spacing w:after="0"/>
              <w:rPr>
                <w:sz w:val="12"/>
                <w:szCs w:val="12"/>
                <w:color w:val="auto"/>
              </w:rPr>
            </w:pPr>
          </w:p>
        </w:tc>
        <w:tc>
          <w:tcPr>
            <w:tcW w:w="1280" w:type="dxa"/>
            <w:vAlign w:val="bottom"/>
            <w:shd w:val="clear" w:color="auto" w:fill="002B5F"/>
          </w:tcPr>
          <w:p>
            <w:pPr>
              <w:ind w:left="140"/>
              <w:spacing w:after="0"/>
              <w:rPr>
                <w:sz w:val="20"/>
                <w:szCs w:val="20"/>
                <w:color w:val="auto"/>
              </w:rPr>
            </w:pPr>
            <w:r>
              <w:rPr>
                <w:rFonts w:ascii="Arial" w:cs="Arial" w:eastAsia="Arial" w:hAnsi="Arial"/>
                <w:sz w:val="12"/>
                <w:szCs w:val="12"/>
                <w:color w:val="FFFFFF"/>
              </w:rPr>
              <w:t>Certain Beneficial</w:t>
            </w:r>
          </w:p>
        </w:tc>
        <w:tc>
          <w:tcPr>
            <w:tcW w:w="460" w:type="dxa"/>
            <w:vAlign w:val="bottom"/>
            <w:shd w:val="clear" w:color="auto" w:fill="002B5F"/>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2460" w:type="dxa"/>
            <w:vAlign w:val="bottom"/>
            <w:vMerge w:val="restart"/>
          </w:tcPr>
          <w:p>
            <w:pPr>
              <w:spacing w:after="0"/>
              <w:rPr>
                <w:sz w:val="20"/>
                <w:szCs w:val="20"/>
                <w:color w:val="auto"/>
              </w:rPr>
            </w:pPr>
            <w:r>
              <w:rPr>
                <w:rFonts w:ascii="Arial" w:cs="Arial" w:eastAsia="Arial" w:hAnsi="Arial"/>
                <w:sz w:val="15"/>
                <w:szCs w:val="15"/>
                <w:b w:val="1"/>
                <w:bCs w:val="1"/>
                <w:color w:val="auto"/>
              </w:rPr>
              <w:t>Past 5 Years</w:t>
            </w:r>
          </w:p>
        </w:tc>
        <w:tc>
          <w:tcPr>
            <w:tcW w:w="5420" w:type="dxa"/>
            <w:vAlign w:val="bottom"/>
          </w:tcPr>
          <w:p>
            <w:pPr>
              <w:ind w:left="140"/>
              <w:spacing w:after="0"/>
              <w:rPr>
                <w:sz w:val="20"/>
                <w:szCs w:val="20"/>
                <w:color w:val="auto"/>
              </w:rPr>
            </w:pPr>
            <w:r>
              <w:rPr>
                <w:rFonts w:ascii="Arial" w:cs="Arial" w:eastAsia="Arial" w:hAnsi="Arial"/>
                <w:sz w:val="15"/>
                <w:szCs w:val="15"/>
                <w:color w:val="auto"/>
              </w:rPr>
              <w:t>company owned by seven of the country’s leading banks.</w:t>
            </w:r>
          </w:p>
        </w:tc>
        <w:tc>
          <w:tcPr>
            <w:tcW w:w="420" w:type="dxa"/>
            <w:vAlign w:val="bottom"/>
          </w:tcPr>
          <w:p>
            <w:pPr>
              <w:spacing w:after="0"/>
              <w:rPr>
                <w:sz w:val="15"/>
                <w:szCs w:val="15"/>
                <w:color w:val="auto"/>
              </w:rPr>
            </w:pPr>
          </w:p>
        </w:tc>
        <w:tc>
          <w:tcPr>
            <w:tcW w:w="240" w:type="dxa"/>
            <w:vAlign w:val="bottom"/>
            <w:shd w:val="clear" w:color="auto" w:fill="002B5F"/>
          </w:tcPr>
          <w:p>
            <w:pPr>
              <w:spacing w:after="0"/>
              <w:rPr>
                <w:sz w:val="15"/>
                <w:szCs w:val="15"/>
                <w:color w:val="auto"/>
              </w:rPr>
            </w:pPr>
          </w:p>
        </w:tc>
        <w:tc>
          <w:tcPr>
            <w:tcW w:w="1280" w:type="dxa"/>
            <w:vAlign w:val="bottom"/>
            <w:shd w:val="clear" w:color="auto" w:fill="002B5F"/>
          </w:tcPr>
          <w:p>
            <w:pPr>
              <w:ind w:left="140"/>
              <w:spacing w:after="0"/>
              <w:rPr>
                <w:sz w:val="20"/>
                <w:szCs w:val="20"/>
                <w:color w:val="auto"/>
              </w:rPr>
            </w:pPr>
            <w:r>
              <w:rPr>
                <w:rFonts w:ascii="Arial" w:cs="Arial" w:eastAsia="Arial" w:hAnsi="Arial"/>
                <w:sz w:val="12"/>
                <w:szCs w:val="12"/>
                <w:color w:val="FFFFFF"/>
              </w:rPr>
              <w:t>Owners and</w:t>
            </w:r>
          </w:p>
        </w:tc>
        <w:tc>
          <w:tcPr>
            <w:tcW w:w="460" w:type="dxa"/>
            <w:vAlign w:val="bottom"/>
            <w:shd w:val="clear" w:color="auto" w:fill="002B5F"/>
          </w:tcPr>
          <w:p>
            <w:pPr>
              <w:spacing w:after="0"/>
              <w:rPr>
                <w:sz w:val="15"/>
                <w:szCs w:val="15"/>
                <w:color w:val="auto"/>
              </w:rPr>
            </w:pPr>
          </w:p>
        </w:tc>
        <w:tc>
          <w:tcPr>
            <w:tcW w:w="0" w:type="dxa"/>
            <w:vAlign w:val="bottom"/>
          </w:tcPr>
          <w:p>
            <w:pPr>
              <w:spacing w:after="0"/>
              <w:rPr>
                <w:sz w:val="1"/>
                <w:szCs w:val="1"/>
                <w:color w:val="auto"/>
              </w:rPr>
            </w:pPr>
          </w:p>
        </w:tc>
      </w:tr>
      <w:tr>
        <w:trPr>
          <w:trHeight w:val="81"/>
        </w:trPr>
        <w:tc>
          <w:tcPr>
            <w:tcW w:w="2460" w:type="dxa"/>
            <w:vAlign w:val="bottom"/>
            <w:vMerge w:val="continue"/>
          </w:tcPr>
          <w:p>
            <w:pPr>
              <w:spacing w:after="0"/>
              <w:rPr>
                <w:sz w:val="7"/>
                <w:szCs w:val="7"/>
                <w:color w:val="auto"/>
              </w:rPr>
            </w:pPr>
          </w:p>
        </w:tc>
        <w:tc>
          <w:tcPr>
            <w:tcW w:w="5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240" w:type="dxa"/>
            <w:vAlign w:val="bottom"/>
            <w:shd w:val="clear" w:color="auto" w:fill="002B5F"/>
          </w:tcPr>
          <w:p>
            <w:pPr>
              <w:spacing w:after="0"/>
              <w:rPr>
                <w:sz w:val="7"/>
                <w:szCs w:val="7"/>
                <w:color w:val="auto"/>
              </w:rPr>
            </w:pPr>
          </w:p>
        </w:tc>
        <w:tc>
          <w:tcPr>
            <w:tcW w:w="1280" w:type="dxa"/>
            <w:vAlign w:val="bottom"/>
            <w:shd w:val="clear" w:color="auto" w:fill="002B5F"/>
          </w:tcPr>
          <w:p>
            <w:pPr>
              <w:ind w:left="140"/>
              <w:spacing w:after="0" w:line="81" w:lineRule="exact"/>
              <w:rPr>
                <w:sz w:val="20"/>
                <w:szCs w:val="20"/>
                <w:color w:val="auto"/>
              </w:rPr>
            </w:pPr>
            <w:r>
              <w:rPr>
                <w:rFonts w:ascii="Arial" w:cs="Arial" w:eastAsia="Arial" w:hAnsi="Arial"/>
                <w:sz w:val="8"/>
                <w:szCs w:val="8"/>
                <w:color w:val="FFFFFF"/>
              </w:rPr>
              <w:t>Management</w:t>
            </w:r>
          </w:p>
        </w:tc>
        <w:tc>
          <w:tcPr>
            <w:tcW w:w="460" w:type="dxa"/>
            <w:vAlign w:val="bottom"/>
            <w:shd w:val="clear" w:color="auto" w:fill="002B5F"/>
          </w:tcPr>
          <w:p>
            <w:pPr>
              <w:spacing w:after="0"/>
              <w:rPr>
                <w:sz w:val="7"/>
                <w:szCs w:val="7"/>
                <w:color w:val="auto"/>
              </w:rPr>
            </w:pPr>
          </w:p>
        </w:tc>
        <w:tc>
          <w:tcPr>
            <w:tcW w:w="0" w:type="dxa"/>
            <w:vAlign w:val="bottom"/>
          </w:tcPr>
          <w:p>
            <w:pPr>
              <w:spacing w:after="0"/>
              <w:rPr>
                <w:sz w:val="1"/>
                <w:szCs w:val="1"/>
                <w:color w:val="auto"/>
              </w:rPr>
            </w:pPr>
          </w:p>
        </w:tc>
      </w:tr>
      <w:tr>
        <w:trPr>
          <w:trHeight w:val="247"/>
        </w:trPr>
        <w:tc>
          <w:tcPr>
            <w:tcW w:w="2460" w:type="dxa"/>
            <w:vAlign w:val="bottom"/>
          </w:tcPr>
          <w:p>
            <w:pPr>
              <w:spacing w:after="0"/>
              <w:rPr>
                <w:sz w:val="20"/>
                <w:szCs w:val="20"/>
                <w:color w:val="auto"/>
              </w:rPr>
            </w:pPr>
            <w:r>
              <w:rPr>
                <w:rFonts w:ascii="Arial" w:cs="Arial" w:eastAsia="Arial" w:hAnsi="Arial"/>
                <w:sz w:val="19"/>
                <w:szCs w:val="19"/>
                <w:color w:val="auto"/>
              </w:rPr>
              <w:t>• None</w:t>
            </w:r>
          </w:p>
        </w:tc>
        <w:tc>
          <w:tcPr>
            <w:tcW w:w="54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40" w:type="dxa"/>
            <w:vAlign w:val="bottom"/>
            <w:shd w:val="clear" w:color="auto" w:fill="002B5F"/>
          </w:tcPr>
          <w:p>
            <w:pPr>
              <w:spacing w:after="0"/>
              <w:rPr>
                <w:sz w:val="21"/>
                <w:szCs w:val="21"/>
                <w:color w:val="auto"/>
              </w:rPr>
            </w:pPr>
          </w:p>
        </w:tc>
        <w:tc>
          <w:tcPr>
            <w:tcW w:w="1280" w:type="dxa"/>
            <w:vAlign w:val="bottom"/>
            <w:vMerge w:val="restart"/>
            <w:shd w:val="clear" w:color="auto" w:fill="002B5F"/>
          </w:tcPr>
          <w:p>
            <w:pPr>
              <w:ind w:left="140"/>
              <w:spacing w:after="0"/>
              <w:rPr>
                <w:sz w:val="20"/>
                <w:szCs w:val="20"/>
                <w:color w:val="auto"/>
              </w:rPr>
            </w:pPr>
            <w:r>
              <w:rPr>
                <w:rFonts w:ascii="Arial" w:cs="Arial" w:eastAsia="Arial" w:hAnsi="Arial"/>
                <w:sz w:val="12"/>
                <w:szCs w:val="12"/>
                <w:color w:val="FFFFFF"/>
              </w:rPr>
              <w:t>Certain</w:t>
            </w:r>
          </w:p>
        </w:tc>
        <w:tc>
          <w:tcPr>
            <w:tcW w:w="460" w:type="dxa"/>
            <w:vAlign w:val="bottom"/>
            <w:shd w:val="clear" w:color="auto" w:fill="002B5F"/>
          </w:tcPr>
          <w:p>
            <w:pPr>
              <w:spacing w:after="0"/>
              <w:rPr>
                <w:sz w:val="21"/>
                <w:szCs w:val="21"/>
                <w:color w:val="auto"/>
              </w:rPr>
            </w:pPr>
          </w:p>
        </w:tc>
        <w:tc>
          <w:tcPr>
            <w:tcW w:w="0" w:type="dxa"/>
            <w:vAlign w:val="bottom"/>
          </w:tcPr>
          <w:p>
            <w:pPr>
              <w:spacing w:after="0"/>
              <w:rPr>
                <w:sz w:val="1"/>
                <w:szCs w:val="1"/>
                <w:color w:val="auto"/>
              </w:rPr>
            </w:pPr>
          </w:p>
        </w:tc>
      </w:tr>
      <w:tr>
        <w:trPr>
          <w:trHeight w:val="37"/>
        </w:trPr>
        <w:tc>
          <w:tcPr>
            <w:tcW w:w="2460" w:type="dxa"/>
            <w:vAlign w:val="bottom"/>
          </w:tcPr>
          <w:p>
            <w:pPr>
              <w:spacing w:after="0"/>
              <w:rPr>
                <w:sz w:val="3"/>
                <w:szCs w:val="3"/>
                <w:color w:val="auto"/>
              </w:rPr>
            </w:pPr>
          </w:p>
        </w:tc>
        <w:tc>
          <w:tcPr>
            <w:tcW w:w="5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shd w:val="clear" w:color="auto" w:fill="002B5F"/>
          </w:tcPr>
          <w:p>
            <w:pPr>
              <w:spacing w:after="0"/>
              <w:rPr>
                <w:sz w:val="3"/>
                <w:szCs w:val="3"/>
                <w:color w:val="auto"/>
              </w:rPr>
            </w:pPr>
          </w:p>
        </w:tc>
        <w:tc>
          <w:tcPr>
            <w:tcW w:w="1280" w:type="dxa"/>
            <w:vAlign w:val="bottom"/>
            <w:vMerge w:val="continue"/>
            <w:shd w:val="clear" w:color="auto" w:fill="002B5F"/>
          </w:tcPr>
          <w:p>
            <w:pPr>
              <w:spacing w:after="0"/>
              <w:rPr>
                <w:sz w:val="3"/>
                <w:szCs w:val="3"/>
                <w:color w:val="auto"/>
              </w:rPr>
            </w:pPr>
          </w:p>
        </w:tc>
        <w:tc>
          <w:tcPr>
            <w:tcW w:w="460" w:type="dxa"/>
            <w:vAlign w:val="bottom"/>
            <w:shd w:val="clear" w:color="auto" w:fill="002B5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460" w:type="dxa"/>
            <w:vAlign w:val="bottom"/>
          </w:tcPr>
          <w:p>
            <w:pPr>
              <w:spacing w:after="0"/>
              <w:rPr>
                <w:sz w:val="11"/>
                <w:szCs w:val="11"/>
                <w:color w:val="auto"/>
              </w:rPr>
            </w:pPr>
          </w:p>
        </w:tc>
        <w:tc>
          <w:tcPr>
            <w:tcW w:w="5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shd w:val="clear" w:color="auto" w:fill="002B5F"/>
          </w:tcPr>
          <w:p>
            <w:pPr>
              <w:spacing w:after="0"/>
              <w:rPr>
                <w:sz w:val="11"/>
                <w:szCs w:val="11"/>
                <w:color w:val="auto"/>
              </w:rPr>
            </w:pPr>
          </w:p>
        </w:tc>
        <w:tc>
          <w:tcPr>
            <w:tcW w:w="1280" w:type="dxa"/>
            <w:vAlign w:val="bottom"/>
            <w:shd w:val="clear" w:color="auto" w:fill="002B5F"/>
          </w:tcPr>
          <w:p>
            <w:pPr>
              <w:ind w:left="140"/>
              <w:spacing w:after="0" w:line="128" w:lineRule="exact"/>
              <w:rPr>
                <w:sz w:val="20"/>
                <w:szCs w:val="20"/>
                <w:color w:val="auto"/>
              </w:rPr>
            </w:pPr>
            <w:r>
              <w:rPr>
                <w:rFonts w:ascii="Arial" w:cs="Arial" w:eastAsia="Arial" w:hAnsi="Arial"/>
                <w:sz w:val="12"/>
                <w:szCs w:val="12"/>
                <w:color w:val="FFFFFF"/>
              </w:rPr>
              <w:t>Relationships and</w:t>
            </w:r>
          </w:p>
        </w:tc>
        <w:tc>
          <w:tcPr>
            <w:tcW w:w="460" w:type="dxa"/>
            <w:vAlign w:val="bottom"/>
            <w:shd w:val="clear" w:color="auto" w:fill="002B5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460" w:type="dxa"/>
            <w:vAlign w:val="bottom"/>
          </w:tcPr>
          <w:p>
            <w:pPr>
              <w:spacing w:after="0"/>
              <w:rPr>
                <w:sz w:val="11"/>
                <w:szCs w:val="11"/>
                <w:color w:val="auto"/>
              </w:rPr>
            </w:pPr>
          </w:p>
        </w:tc>
        <w:tc>
          <w:tcPr>
            <w:tcW w:w="5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shd w:val="clear" w:color="auto" w:fill="002B5F"/>
          </w:tcPr>
          <w:p>
            <w:pPr>
              <w:spacing w:after="0"/>
              <w:rPr>
                <w:sz w:val="11"/>
                <w:szCs w:val="11"/>
                <w:color w:val="auto"/>
              </w:rPr>
            </w:pPr>
          </w:p>
        </w:tc>
        <w:tc>
          <w:tcPr>
            <w:tcW w:w="1280" w:type="dxa"/>
            <w:vAlign w:val="bottom"/>
            <w:shd w:val="clear" w:color="auto" w:fill="002B5F"/>
          </w:tcPr>
          <w:p>
            <w:pPr>
              <w:ind w:left="140"/>
              <w:spacing w:after="0" w:line="128" w:lineRule="exact"/>
              <w:rPr>
                <w:sz w:val="20"/>
                <w:szCs w:val="20"/>
                <w:color w:val="auto"/>
              </w:rPr>
            </w:pPr>
            <w:r>
              <w:rPr>
                <w:rFonts w:ascii="Arial" w:cs="Arial" w:eastAsia="Arial" w:hAnsi="Arial"/>
                <w:sz w:val="12"/>
                <w:szCs w:val="12"/>
                <w:color w:val="FFFFFF"/>
              </w:rPr>
              <w:t>Related Party</w:t>
            </w:r>
          </w:p>
        </w:tc>
        <w:tc>
          <w:tcPr>
            <w:tcW w:w="460" w:type="dxa"/>
            <w:vAlign w:val="bottom"/>
            <w:shd w:val="clear" w:color="auto" w:fill="002B5F"/>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460" w:type="dxa"/>
            <w:vAlign w:val="bottom"/>
          </w:tcPr>
          <w:p>
            <w:pPr>
              <w:spacing w:after="0"/>
              <w:rPr>
                <w:sz w:val="13"/>
                <w:szCs w:val="13"/>
                <w:color w:val="auto"/>
              </w:rPr>
            </w:pPr>
          </w:p>
        </w:tc>
        <w:tc>
          <w:tcPr>
            <w:tcW w:w="5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shd w:val="clear" w:color="auto" w:fill="002B5F"/>
          </w:tcPr>
          <w:p>
            <w:pPr>
              <w:spacing w:after="0"/>
              <w:rPr>
                <w:sz w:val="13"/>
                <w:szCs w:val="13"/>
                <w:color w:val="auto"/>
              </w:rPr>
            </w:pPr>
          </w:p>
        </w:tc>
        <w:tc>
          <w:tcPr>
            <w:tcW w:w="1280" w:type="dxa"/>
            <w:vAlign w:val="bottom"/>
            <w:shd w:val="clear" w:color="auto" w:fill="002B5F"/>
          </w:tcPr>
          <w:p>
            <w:pPr>
              <w:ind w:left="140"/>
              <w:spacing w:after="0"/>
              <w:rPr>
                <w:sz w:val="20"/>
                <w:szCs w:val="20"/>
                <w:color w:val="auto"/>
              </w:rPr>
            </w:pPr>
            <w:r>
              <w:rPr>
                <w:rFonts w:ascii="Arial" w:cs="Arial" w:eastAsia="Arial" w:hAnsi="Arial"/>
                <w:sz w:val="12"/>
                <w:szCs w:val="12"/>
                <w:color w:val="FFFFFF"/>
              </w:rPr>
              <w:t>Transactions</w:t>
            </w:r>
          </w:p>
        </w:tc>
        <w:tc>
          <w:tcPr>
            <w:tcW w:w="460" w:type="dxa"/>
            <w:vAlign w:val="bottom"/>
            <w:shd w:val="clear" w:color="auto" w:fill="002B5F"/>
          </w:tcPr>
          <w:p>
            <w:pPr>
              <w:spacing w:after="0"/>
              <w:rPr>
                <w:sz w:val="13"/>
                <w:szCs w:val="13"/>
                <w:color w:val="auto"/>
              </w:rPr>
            </w:pPr>
          </w:p>
        </w:tc>
        <w:tc>
          <w:tcPr>
            <w:tcW w:w="0" w:type="dxa"/>
            <w:vAlign w:val="bottom"/>
          </w:tcPr>
          <w:p>
            <w:pPr>
              <w:spacing w:after="0"/>
              <w:rPr>
                <w:sz w:val="1"/>
                <w:szCs w:val="1"/>
                <w:color w:val="auto"/>
              </w:rPr>
            </w:pPr>
          </w:p>
        </w:tc>
      </w:tr>
      <w:tr>
        <w:trPr>
          <w:trHeight w:val="294"/>
        </w:trPr>
        <w:tc>
          <w:tcPr>
            <w:tcW w:w="2460" w:type="dxa"/>
            <w:vAlign w:val="bottom"/>
          </w:tcPr>
          <w:p>
            <w:pPr>
              <w:spacing w:after="0"/>
              <w:rPr>
                <w:sz w:val="24"/>
                <w:szCs w:val="24"/>
                <w:color w:val="auto"/>
              </w:rPr>
            </w:pPr>
          </w:p>
        </w:tc>
        <w:tc>
          <w:tcPr>
            <w:tcW w:w="5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shd w:val="clear" w:color="auto" w:fill="002B5F"/>
          </w:tcPr>
          <w:p>
            <w:pPr>
              <w:spacing w:after="0"/>
              <w:rPr>
                <w:sz w:val="24"/>
                <w:szCs w:val="24"/>
                <w:color w:val="auto"/>
              </w:rPr>
            </w:pPr>
          </w:p>
        </w:tc>
        <w:tc>
          <w:tcPr>
            <w:tcW w:w="1280" w:type="dxa"/>
            <w:vAlign w:val="bottom"/>
            <w:shd w:val="clear" w:color="auto" w:fill="002B5F"/>
          </w:tcPr>
          <w:p>
            <w:pPr>
              <w:ind w:left="140"/>
              <w:spacing w:after="0"/>
              <w:rPr>
                <w:sz w:val="20"/>
                <w:szCs w:val="20"/>
                <w:color w:val="auto"/>
              </w:rPr>
            </w:pPr>
            <w:r>
              <w:rPr>
                <w:rFonts w:ascii="Arial" w:cs="Arial" w:eastAsia="Arial" w:hAnsi="Arial"/>
                <w:sz w:val="12"/>
                <w:szCs w:val="12"/>
                <w:color w:val="FFFFFF"/>
              </w:rPr>
              <w:t>Proposal 2</w:t>
            </w:r>
          </w:p>
        </w:tc>
        <w:tc>
          <w:tcPr>
            <w:tcW w:w="460" w:type="dxa"/>
            <w:vAlign w:val="bottom"/>
            <w:shd w:val="clear" w:color="auto" w:fill="002B5F"/>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2460" w:type="dxa"/>
            <w:vAlign w:val="bottom"/>
          </w:tcPr>
          <w:p>
            <w:pPr>
              <w:spacing w:after="0"/>
              <w:rPr>
                <w:sz w:val="22"/>
                <w:szCs w:val="22"/>
                <w:color w:val="auto"/>
              </w:rPr>
            </w:pPr>
          </w:p>
        </w:tc>
        <w:tc>
          <w:tcPr>
            <w:tcW w:w="54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40" w:type="dxa"/>
            <w:vAlign w:val="bottom"/>
            <w:shd w:val="clear" w:color="auto" w:fill="002B5F"/>
          </w:tcPr>
          <w:p>
            <w:pPr>
              <w:spacing w:after="0"/>
              <w:rPr>
                <w:sz w:val="22"/>
                <w:szCs w:val="22"/>
                <w:color w:val="auto"/>
              </w:rPr>
            </w:pPr>
          </w:p>
        </w:tc>
        <w:tc>
          <w:tcPr>
            <w:tcW w:w="1280" w:type="dxa"/>
            <w:vAlign w:val="bottom"/>
            <w:shd w:val="clear" w:color="auto" w:fill="002B5F"/>
          </w:tcPr>
          <w:p>
            <w:pPr>
              <w:ind w:left="140"/>
              <w:spacing w:after="0"/>
              <w:rPr>
                <w:sz w:val="20"/>
                <w:szCs w:val="20"/>
                <w:color w:val="auto"/>
              </w:rPr>
            </w:pPr>
            <w:r>
              <w:rPr>
                <w:rFonts w:ascii="Arial" w:cs="Arial" w:eastAsia="Arial" w:hAnsi="Arial"/>
                <w:sz w:val="12"/>
                <w:szCs w:val="12"/>
                <w:color w:val="FFFFFF"/>
              </w:rPr>
              <w:t>Report of the</w:t>
            </w:r>
          </w:p>
        </w:tc>
        <w:tc>
          <w:tcPr>
            <w:tcW w:w="460" w:type="dxa"/>
            <w:vAlign w:val="bottom"/>
            <w:shd w:val="clear" w:color="auto" w:fill="002B5F"/>
          </w:tcPr>
          <w:p>
            <w:pPr>
              <w:spacing w:after="0"/>
              <w:rPr>
                <w:sz w:val="22"/>
                <w:szCs w:val="22"/>
                <w:color w:val="auto"/>
              </w:rPr>
            </w:pPr>
          </w:p>
        </w:tc>
        <w:tc>
          <w:tcPr>
            <w:tcW w:w="0" w:type="dxa"/>
            <w:vAlign w:val="bottom"/>
          </w:tcPr>
          <w:p>
            <w:pPr>
              <w:spacing w:after="0"/>
              <w:rPr>
                <w:sz w:val="1"/>
                <w:szCs w:val="1"/>
                <w:color w:val="auto"/>
              </w:rPr>
            </w:pPr>
          </w:p>
        </w:tc>
      </w:tr>
      <w:tr>
        <w:trPr>
          <w:trHeight w:val="128"/>
        </w:trPr>
        <w:tc>
          <w:tcPr>
            <w:tcW w:w="2460" w:type="dxa"/>
            <w:vAlign w:val="bottom"/>
          </w:tcPr>
          <w:p>
            <w:pPr>
              <w:spacing w:after="0"/>
              <w:rPr>
                <w:sz w:val="11"/>
                <w:szCs w:val="11"/>
                <w:color w:val="auto"/>
              </w:rPr>
            </w:pPr>
          </w:p>
        </w:tc>
        <w:tc>
          <w:tcPr>
            <w:tcW w:w="5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shd w:val="clear" w:color="auto" w:fill="002B5F"/>
          </w:tcPr>
          <w:p>
            <w:pPr>
              <w:spacing w:after="0"/>
              <w:rPr>
                <w:sz w:val="11"/>
                <w:szCs w:val="11"/>
                <w:color w:val="auto"/>
              </w:rPr>
            </w:pPr>
          </w:p>
        </w:tc>
        <w:tc>
          <w:tcPr>
            <w:tcW w:w="1280" w:type="dxa"/>
            <w:vAlign w:val="bottom"/>
            <w:shd w:val="clear" w:color="auto" w:fill="002B5F"/>
          </w:tcPr>
          <w:p>
            <w:pPr>
              <w:ind w:left="140"/>
              <w:spacing w:after="0" w:line="128" w:lineRule="exact"/>
              <w:rPr>
                <w:sz w:val="20"/>
                <w:szCs w:val="20"/>
                <w:color w:val="auto"/>
              </w:rPr>
            </w:pPr>
            <w:r>
              <w:rPr>
                <w:rFonts w:ascii="Arial" w:cs="Arial" w:eastAsia="Arial" w:hAnsi="Arial"/>
                <w:sz w:val="12"/>
                <w:szCs w:val="12"/>
                <w:color w:val="FFFFFF"/>
              </w:rPr>
              <w:t>Audit and Risk</w:t>
            </w:r>
          </w:p>
        </w:tc>
        <w:tc>
          <w:tcPr>
            <w:tcW w:w="460" w:type="dxa"/>
            <w:vAlign w:val="bottom"/>
            <w:shd w:val="clear" w:color="auto" w:fill="002B5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460" w:type="dxa"/>
            <w:vAlign w:val="bottom"/>
          </w:tcPr>
          <w:p>
            <w:pPr>
              <w:spacing w:after="0"/>
              <w:rPr>
                <w:sz w:val="11"/>
                <w:szCs w:val="11"/>
                <w:color w:val="auto"/>
              </w:rPr>
            </w:pPr>
          </w:p>
        </w:tc>
        <w:tc>
          <w:tcPr>
            <w:tcW w:w="5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shd w:val="clear" w:color="auto" w:fill="002B5F"/>
          </w:tcPr>
          <w:p>
            <w:pPr>
              <w:spacing w:after="0"/>
              <w:rPr>
                <w:sz w:val="11"/>
                <w:szCs w:val="11"/>
                <w:color w:val="auto"/>
              </w:rPr>
            </w:pPr>
          </w:p>
        </w:tc>
        <w:tc>
          <w:tcPr>
            <w:tcW w:w="1280" w:type="dxa"/>
            <w:vAlign w:val="bottom"/>
            <w:shd w:val="clear" w:color="auto" w:fill="002B5F"/>
          </w:tcPr>
          <w:p>
            <w:pPr>
              <w:ind w:left="140"/>
              <w:spacing w:after="0" w:line="128" w:lineRule="exact"/>
              <w:rPr>
                <w:sz w:val="20"/>
                <w:szCs w:val="20"/>
                <w:color w:val="auto"/>
              </w:rPr>
            </w:pPr>
            <w:r>
              <w:rPr>
                <w:rFonts w:ascii="Arial" w:cs="Arial" w:eastAsia="Arial" w:hAnsi="Arial"/>
                <w:sz w:val="12"/>
                <w:szCs w:val="12"/>
                <w:color w:val="FFFFFF"/>
              </w:rPr>
              <w:t>Committee of the</w:t>
            </w:r>
          </w:p>
        </w:tc>
        <w:tc>
          <w:tcPr>
            <w:tcW w:w="460" w:type="dxa"/>
            <w:vAlign w:val="bottom"/>
            <w:shd w:val="clear" w:color="auto" w:fill="002B5F"/>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460" w:type="dxa"/>
            <w:vAlign w:val="bottom"/>
          </w:tcPr>
          <w:p>
            <w:pPr>
              <w:spacing w:after="0"/>
              <w:rPr>
                <w:sz w:val="13"/>
                <w:szCs w:val="13"/>
                <w:color w:val="auto"/>
              </w:rPr>
            </w:pPr>
          </w:p>
        </w:tc>
        <w:tc>
          <w:tcPr>
            <w:tcW w:w="5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shd w:val="clear" w:color="auto" w:fill="002B5F"/>
          </w:tcPr>
          <w:p>
            <w:pPr>
              <w:spacing w:after="0"/>
              <w:rPr>
                <w:sz w:val="13"/>
                <w:szCs w:val="13"/>
                <w:color w:val="auto"/>
              </w:rPr>
            </w:pPr>
          </w:p>
        </w:tc>
        <w:tc>
          <w:tcPr>
            <w:tcW w:w="1280" w:type="dxa"/>
            <w:vAlign w:val="bottom"/>
            <w:shd w:val="clear" w:color="auto" w:fill="002B5F"/>
          </w:tcPr>
          <w:p>
            <w:pPr>
              <w:ind w:left="140"/>
              <w:spacing w:after="0"/>
              <w:rPr>
                <w:sz w:val="20"/>
                <w:szCs w:val="20"/>
                <w:color w:val="auto"/>
              </w:rPr>
            </w:pPr>
            <w:r>
              <w:rPr>
                <w:rFonts w:ascii="Arial" w:cs="Arial" w:eastAsia="Arial" w:hAnsi="Arial"/>
                <w:sz w:val="12"/>
                <w:szCs w:val="12"/>
                <w:color w:val="FFFFFF"/>
              </w:rPr>
              <w:t>Board of Directors</w:t>
            </w:r>
          </w:p>
        </w:tc>
        <w:tc>
          <w:tcPr>
            <w:tcW w:w="460" w:type="dxa"/>
            <w:vAlign w:val="bottom"/>
            <w:shd w:val="clear" w:color="auto" w:fill="002B5F"/>
          </w:tcPr>
          <w:p>
            <w:pPr>
              <w:spacing w:after="0"/>
              <w:rPr>
                <w:sz w:val="13"/>
                <w:szCs w:val="13"/>
                <w:color w:val="auto"/>
              </w:rPr>
            </w:pPr>
          </w:p>
        </w:tc>
        <w:tc>
          <w:tcPr>
            <w:tcW w:w="0" w:type="dxa"/>
            <w:vAlign w:val="bottom"/>
          </w:tcPr>
          <w:p>
            <w:pPr>
              <w:spacing w:after="0"/>
              <w:rPr>
                <w:sz w:val="1"/>
                <w:szCs w:val="1"/>
                <w:color w:val="auto"/>
              </w:rPr>
            </w:pPr>
          </w:p>
        </w:tc>
      </w:tr>
      <w:tr>
        <w:trPr>
          <w:trHeight w:val="294"/>
        </w:trPr>
        <w:tc>
          <w:tcPr>
            <w:tcW w:w="2460" w:type="dxa"/>
            <w:vAlign w:val="bottom"/>
          </w:tcPr>
          <w:p>
            <w:pPr>
              <w:spacing w:after="0"/>
              <w:rPr>
                <w:sz w:val="24"/>
                <w:szCs w:val="24"/>
                <w:color w:val="auto"/>
              </w:rPr>
            </w:pPr>
          </w:p>
        </w:tc>
        <w:tc>
          <w:tcPr>
            <w:tcW w:w="5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shd w:val="clear" w:color="auto" w:fill="002B5F"/>
          </w:tcPr>
          <w:p>
            <w:pPr>
              <w:spacing w:after="0"/>
              <w:rPr>
                <w:sz w:val="24"/>
                <w:szCs w:val="24"/>
                <w:color w:val="auto"/>
              </w:rPr>
            </w:pPr>
          </w:p>
        </w:tc>
        <w:tc>
          <w:tcPr>
            <w:tcW w:w="1280" w:type="dxa"/>
            <w:vAlign w:val="bottom"/>
            <w:shd w:val="clear" w:color="auto" w:fill="002B5F"/>
          </w:tcPr>
          <w:p>
            <w:pPr>
              <w:ind w:left="140"/>
              <w:spacing w:after="0"/>
              <w:rPr>
                <w:sz w:val="20"/>
                <w:szCs w:val="20"/>
                <w:color w:val="auto"/>
              </w:rPr>
            </w:pPr>
            <w:r>
              <w:rPr>
                <w:rFonts w:ascii="Arial" w:cs="Arial" w:eastAsia="Arial" w:hAnsi="Arial"/>
                <w:sz w:val="12"/>
                <w:szCs w:val="12"/>
                <w:color w:val="FFFFFF"/>
              </w:rPr>
              <w:t>Proposal 3</w:t>
            </w:r>
          </w:p>
        </w:tc>
        <w:tc>
          <w:tcPr>
            <w:tcW w:w="460" w:type="dxa"/>
            <w:vAlign w:val="bottom"/>
            <w:shd w:val="clear" w:color="auto" w:fill="002B5F"/>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2460" w:type="dxa"/>
            <w:vAlign w:val="bottom"/>
          </w:tcPr>
          <w:p>
            <w:pPr>
              <w:spacing w:after="0"/>
              <w:rPr>
                <w:sz w:val="24"/>
                <w:szCs w:val="24"/>
                <w:color w:val="auto"/>
              </w:rPr>
            </w:pPr>
          </w:p>
        </w:tc>
        <w:tc>
          <w:tcPr>
            <w:tcW w:w="5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shd w:val="clear" w:color="auto" w:fill="002B5F"/>
          </w:tcPr>
          <w:p>
            <w:pPr>
              <w:spacing w:after="0"/>
              <w:rPr>
                <w:sz w:val="24"/>
                <w:szCs w:val="24"/>
                <w:color w:val="auto"/>
              </w:rPr>
            </w:pPr>
          </w:p>
        </w:tc>
        <w:tc>
          <w:tcPr>
            <w:tcW w:w="1280" w:type="dxa"/>
            <w:vAlign w:val="bottom"/>
            <w:shd w:val="clear" w:color="auto" w:fill="002B5F"/>
          </w:tcPr>
          <w:p>
            <w:pPr>
              <w:ind w:left="140"/>
              <w:spacing w:after="0"/>
              <w:rPr>
                <w:sz w:val="20"/>
                <w:szCs w:val="20"/>
                <w:color w:val="auto"/>
              </w:rPr>
            </w:pPr>
            <w:r>
              <w:rPr>
                <w:rFonts w:ascii="Arial" w:cs="Arial" w:eastAsia="Arial" w:hAnsi="Arial"/>
                <w:sz w:val="12"/>
                <w:szCs w:val="12"/>
                <w:color w:val="FFFFFF"/>
              </w:rPr>
              <w:t>Proposal 4</w:t>
            </w:r>
          </w:p>
        </w:tc>
        <w:tc>
          <w:tcPr>
            <w:tcW w:w="460" w:type="dxa"/>
            <w:vAlign w:val="bottom"/>
            <w:shd w:val="clear" w:color="auto" w:fill="002B5F"/>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2460" w:type="dxa"/>
            <w:vAlign w:val="bottom"/>
          </w:tcPr>
          <w:p>
            <w:pPr>
              <w:spacing w:after="0"/>
              <w:rPr>
                <w:sz w:val="24"/>
                <w:szCs w:val="24"/>
                <w:color w:val="auto"/>
              </w:rPr>
            </w:pPr>
          </w:p>
        </w:tc>
        <w:tc>
          <w:tcPr>
            <w:tcW w:w="5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shd w:val="clear" w:color="auto" w:fill="002B5F"/>
          </w:tcPr>
          <w:p>
            <w:pPr>
              <w:spacing w:after="0"/>
              <w:rPr>
                <w:sz w:val="24"/>
                <w:szCs w:val="24"/>
                <w:color w:val="auto"/>
              </w:rPr>
            </w:pPr>
          </w:p>
        </w:tc>
        <w:tc>
          <w:tcPr>
            <w:tcW w:w="1280" w:type="dxa"/>
            <w:vAlign w:val="bottom"/>
            <w:shd w:val="clear" w:color="auto" w:fill="002B5F"/>
          </w:tcPr>
          <w:p>
            <w:pPr>
              <w:ind w:left="140"/>
              <w:spacing w:after="0"/>
              <w:rPr>
                <w:sz w:val="20"/>
                <w:szCs w:val="20"/>
                <w:color w:val="auto"/>
              </w:rPr>
            </w:pPr>
            <w:r>
              <w:rPr>
                <w:rFonts w:ascii="Arial" w:cs="Arial" w:eastAsia="Arial" w:hAnsi="Arial"/>
                <w:sz w:val="12"/>
                <w:szCs w:val="12"/>
                <w:color w:val="FFFFFF"/>
              </w:rPr>
              <w:t>Proposal 5</w:t>
            </w:r>
          </w:p>
        </w:tc>
        <w:tc>
          <w:tcPr>
            <w:tcW w:w="460" w:type="dxa"/>
            <w:vAlign w:val="bottom"/>
            <w:shd w:val="clear" w:color="auto" w:fill="002B5F"/>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2460" w:type="dxa"/>
            <w:vAlign w:val="bottom"/>
          </w:tcPr>
          <w:p>
            <w:pPr>
              <w:spacing w:after="0"/>
              <w:rPr>
                <w:sz w:val="24"/>
                <w:szCs w:val="24"/>
                <w:color w:val="auto"/>
              </w:rPr>
            </w:pPr>
          </w:p>
        </w:tc>
        <w:tc>
          <w:tcPr>
            <w:tcW w:w="5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shd w:val="clear" w:color="auto" w:fill="002B5F"/>
          </w:tcPr>
          <w:p>
            <w:pPr>
              <w:spacing w:after="0"/>
              <w:rPr>
                <w:sz w:val="24"/>
                <w:szCs w:val="24"/>
                <w:color w:val="auto"/>
              </w:rPr>
            </w:pPr>
          </w:p>
        </w:tc>
        <w:tc>
          <w:tcPr>
            <w:tcW w:w="1280" w:type="dxa"/>
            <w:vAlign w:val="bottom"/>
            <w:shd w:val="clear" w:color="auto" w:fill="002B5F"/>
          </w:tcPr>
          <w:p>
            <w:pPr>
              <w:ind w:left="140"/>
              <w:spacing w:after="0"/>
              <w:rPr>
                <w:sz w:val="20"/>
                <w:szCs w:val="20"/>
                <w:color w:val="auto"/>
              </w:rPr>
            </w:pPr>
            <w:r>
              <w:rPr>
                <w:rFonts w:ascii="Arial" w:cs="Arial" w:eastAsia="Arial" w:hAnsi="Arial"/>
                <w:sz w:val="12"/>
                <w:szCs w:val="12"/>
                <w:color w:val="FFFFFF"/>
              </w:rPr>
              <w:t>Proposal 6</w:t>
            </w:r>
          </w:p>
        </w:tc>
        <w:tc>
          <w:tcPr>
            <w:tcW w:w="460" w:type="dxa"/>
            <w:vAlign w:val="bottom"/>
            <w:shd w:val="clear" w:color="auto" w:fill="002B5F"/>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2460" w:type="dxa"/>
            <w:vAlign w:val="bottom"/>
          </w:tcPr>
          <w:p>
            <w:pPr>
              <w:spacing w:after="0"/>
              <w:rPr>
                <w:sz w:val="22"/>
                <w:szCs w:val="22"/>
                <w:color w:val="auto"/>
              </w:rPr>
            </w:pPr>
          </w:p>
        </w:tc>
        <w:tc>
          <w:tcPr>
            <w:tcW w:w="54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40" w:type="dxa"/>
            <w:vAlign w:val="bottom"/>
            <w:shd w:val="clear" w:color="auto" w:fill="002B5F"/>
          </w:tcPr>
          <w:p>
            <w:pPr>
              <w:spacing w:after="0"/>
              <w:rPr>
                <w:sz w:val="22"/>
                <w:szCs w:val="22"/>
                <w:color w:val="auto"/>
              </w:rPr>
            </w:pPr>
          </w:p>
        </w:tc>
        <w:tc>
          <w:tcPr>
            <w:tcW w:w="1280" w:type="dxa"/>
            <w:vAlign w:val="bottom"/>
            <w:shd w:val="clear" w:color="auto" w:fill="002B5F"/>
          </w:tcPr>
          <w:p>
            <w:pPr>
              <w:ind w:left="140"/>
              <w:spacing w:after="0"/>
              <w:rPr>
                <w:sz w:val="20"/>
                <w:szCs w:val="20"/>
                <w:color w:val="auto"/>
              </w:rPr>
            </w:pPr>
            <w:r>
              <w:rPr>
                <w:rFonts w:ascii="Arial" w:cs="Arial" w:eastAsia="Arial" w:hAnsi="Arial"/>
                <w:sz w:val="12"/>
                <w:szCs w:val="12"/>
                <w:color w:val="FFFFFF"/>
              </w:rPr>
              <w:t>Stockholder</w:t>
            </w:r>
          </w:p>
        </w:tc>
        <w:tc>
          <w:tcPr>
            <w:tcW w:w="460" w:type="dxa"/>
            <w:vAlign w:val="bottom"/>
            <w:shd w:val="clear" w:color="auto" w:fill="002B5F"/>
          </w:tcPr>
          <w:p>
            <w:pPr>
              <w:spacing w:after="0"/>
              <w:rPr>
                <w:sz w:val="22"/>
                <w:szCs w:val="22"/>
                <w:color w:val="auto"/>
              </w:rPr>
            </w:pPr>
          </w:p>
        </w:tc>
        <w:tc>
          <w:tcPr>
            <w:tcW w:w="0" w:type="dxa"/>
            <w:vAlign w:val="bottom"/>
          </w:tcPr>
          <w:p>
            <w:pPr>
              <w:spacing w:after="0"/>
              <w:rPr>
                <w:sz w:val="1"/>
                <w:szCs w:val="1"/>
                <w:color w:val="auto"/>
              </w:rPr>
            </w:pPr>
          </w:p>
        </w:tc>
      </w:tr>
      <w:tr>
        <w:trPr>
          <w:trHeight w:val="128"/>
        </w:trPr>
        <w:tc>
          <w:tcPr>
            <w:tcW w:w="2460" w:type="dxa"/>
            <w:vAlign w:val="bottom"/>
          </w:tcPr>
          <w:p>
            <w:pPr>
              <w:spacing w:after="0"/>
              <w:rPr>
                <w:sz w:val="11"/>
                <w:szCs w:val="11"/>
                <w:color w:val="auto"/>
              </w:rPr>
            </w:pPr>
          </w:p>
        </w:tc>
        <w:tc>
          <w:tcPr>
            <w:tcW w:w="5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shd w:val="clear" w:color="auto" w:fill="002B5F"/>
          </w:tcPr>
          <w:p>
            <w:pPr>
              <w:spacing w:after="0"/>
              <w:rPr>
                <w:sz w:val="11"/>
                <w:szCs w:val="11"/>
                <w:color w:val="auto"/>
              </w:rPr>
            </w:pPr>
          </w:p>
        </w:tc>
        <w:tc>
          <w:tcPr>
            <w:tcW w:w="1280" w:type="dxa"/>
            <w:vAlign w:val="bottom"/>
            <w:shd w:val="clear" w:color="auto" w:fill="002B5F"/>
          </w:tcPr>
          <w:p>
            <w:pPr>
              <w:ind w:left="140"/>
              <w:spacing w:after="0" w:line="128" w:lineRule="exact"/>
              <w:rPr>
                <w:sz w:val="20"/>
                <w:szCs w:val="20"/>
                <w:color w:val="auto"/>
              </w:rPr>
            </w:pPr>
            <w:r>
              <w:rPr>
                <w:rFonts w:ascii="Arial" w:cs="Arial" w:eastAsia="Arial" w:hAnsi="Arial"/>
                <w:sz w:val="12"/>
                <w:szCs w:val="12"/>
                <w:color w:val="FFFFFF"/>
              </w:rPr>
              <w:t>Proposals and</w:t>
            </w:r>
          </w:p>
        </w:tc>
        <w:tc>
          <w:tcPr>
            <w:tcW w:w="460" w:type="dxa"/>
            <w:vAlign w:val="bottom"/>
            <w:shd w:val="clear" w:color="auto" w:fill="002B5F"/>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460" w:type="dxa"/>
            <w:vAlign w:val="bottom"/>
          </w:tcPr>
          <w:p>
            <w:pPr>
              <w:spacing w:after="0"/>
              <w:rPr>
                <w:sz w:val="13"/>
                <w:szCs w:val="13"/>
                <w:color w:val="auto"/>
              </w:rPr>
            </w:pPr>
          </w:p>
        </w:tc>
        <w:tc>
          <w:tcPr>
            <w:tcW w:w="5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shd w:val="clear" w:color="auto" w:fill="002B5F"/>
          </w:tcPr>
          <w:p>
            <w:pPr>
              <w:spacing w:after="0"/>
              <w:rPr>
                <w:sz w:val="13"/>
                <w:szCs w:val="13"/>
                <w:color w:val="auto"/>
              </w:rPr>
            </w:pPr>
          </w:p>
        </w:tc>
        <w:tc>
          <w:tcPr>
            <w:tcW w:w="1280" w:type="dxa"/>
            <w:vAlign w:val="bottom"/>
            <w:shd w:val="clear" w:color="auto" w:fill="002B5F"/>
          </w:tcPr>
          <w:p>
            <w:pPr>
              <w:ind w:left="140"/>
              <w:spacing w:after="0"/>
              <w:rPr>
                <w:sz w:val="20"/>
                <w:szCs w:val="20"/>
                <w:color w:val="auto"/>
              </w:rPr>
            </w:pPr>
            <w:r>
              <w:rPr>
                <w:rFonts w:ascii="Arial" w:cs="Arial" w:eastAsia="Arial" w:hAnsi="Arial"/>
                <w:sz w:val="12"/>
                <w:szCs w:val="12"/>
                <w:color w:val="FFFFFF"/>
              </w:rPr>
              <w:t>Other Matters</w:t>
            </w:r>
          </w:p>
        </w:tc>
        <w:tc>
          <w:tcPr>
            <w:tcW w:w="460" w:type="dxa"/>
            <w:vAlign w:val="bottom"/>
            <w:shd w:val="clear" w:color="auto" w:fill="002B5F"/>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2460" w:type="dxa"/>
            <w:vAlign w:val="bottom"/>
          </w:tcPr>
          <w:p>
            <w:pPr>
              <w:spacing w:after="0"/>
              <w:rPr>
                <w:sz w:val="22"/>
                <w:szCs w:val="22"/>
                <w:color w:val="auto"/>
              </w:rPr>
            </w:pPr>
          </w:p>
        </w:tc>
        <w:tc>
          <w:tcPr>
            <w:tcW w:w="54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40" w:type="dxa"/>
            <w:vAlign w:val="bottom"/>
            <w:shd w:val="clear" w:color="auto" w:fill="002B5F"/>
          </w:tcPr>
          <w:p>
            <w:pPr>
              <w:spacing w:after="0"/>
              <w:rPr>
                <w:sz w:val="22"/>
                <w:szCs w:val="22"/>
                <w:color w:val="auto"/>
              </w:rPr>
            </w:pPr>
          </w:p>
        </w:tc>
        <w:tc>
          <w:tcPr>
            <w:tcW w:w="1280" w:type="dxa"/>
            <w:vAlign w:val="bottom"/>
            <w:shd w:val="clear" w:color="auto" w:fill="002B5F"/>
          </w:tcPr>
          <w:p>
            <w:pPr>
              <w:ind w:left="140"/>
              <w:spacing w:after="0"/>
              <w:rPr>
                <w:sz w:val="20"/>
                <w:szCs w:val="20"/>
                <w:color w:val="auto"/>
              </w:rPr>
            </w:pPr>
            <w:r>
              <w:rPr>
                <w:rFonts w:ascii="Arial" w:cs="Arial" w:eastAsia="Arial" w:hAnsi="Arial"/>
                <w:sz w:val="12"/>
                <w:szCs w:val="12"/>
                <w:color w:val="FFFFFF"/>
              </w:rPr>
              <w:t>Delinquent</w:t>
            </w:r>
          </w:p>
        </w:tc>
        <w:tc>
          <w:tcPr>
            <w:tcW w:w="460" w:type="dxa"/>
            <w:vAlign w:val="bottom"/>
            <w:shd w:val="clear" w:color="auto" w:fill="002B5F"/>
          </w:tcPr>
          <w:p>
            <w:pPr>
              <w:spacing w:after="0"/>
              <w:rPr>
                <w:sz w:val="22"/>
                <w:szCs w:val="22"/>
                <w:color w:val="auto"/>
              </w:rPr>
            </w:pPr>
          </w:p>
        </w:tc>
        <w:tc>
          <w:tcPr>
            <w:tcW w:w="0" w:type="dxa"/>
            <w:vAlign w:val="bottom"/>
          </w:tcPr>
          <w:p>
            <w:pPr>
              <w:spacing w:after="0"/>
              <w:rPr>
                <w:sz w:val="1"/>
                <w:szCs w:val="1"/>
                <w:color w:val="auto"/>
              </w:rPr>
            </w:pPr>
          </w:p>
        </w:tc>
      </w:tr>
      <w:tr>
        <w:trPr>
          <w:trHeight w:val="128"/>
        </w:trPr>
        <w:tc>
          <w:tcPr>
            <w:tcW w:w="2460" w:type="dxa"/>
            <w:vAlign w:val="bottom"/>
          </w:tcPr>
          <w:p>
            <w:pPr>
              <w:spacing w:after="0"/>
              <w:rPr>
                <w:sz w:val="11"/>
                <w:szCs w:val="11"/>
                <w:color w:val="auto"/>
              </w:rPr>
            </w:pPr>
          </w:p>
        </w:tc>
        <w:tc>
          <w:tcPr>
            <w:tcW w:w="5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shd w:val="clear" w:color="auto" w:fill="002B5F"/>
          </w:tcPr>
          <w:p>
            <w:pPr>
              <w:spacing w:after="0"/>
              <w:rPr>
                <w:sz w:val="11"/>
                <w:szCs w:val="11"/>
                <w:color w:val="auto"/>
              </w:rPr>
            </w:pPr>
          </w:p>
        </w:tc>
        <w:tc>
          <w:tcPr>
            <w:tcW w:w="1280" w:type="dxa"/>
            <w:vAlign w:val="bottom"/>
            <w:shd w:val="clear" w:color="auto" w:fill="002B5F"/>
          </w:tcPr>
          <w:p>
            <w:pPr>
              <w:ind w:left="140"/>
              <w:spacing w:after="0" w:line="128" w:lineRule="exact"/>
              <w:rPr>
                <w:sz w:val="20"/>
                <w:szCs w:val="20"/>
                <w:color w:val="auto"/>
              </w:rPr>
            </w:pPr>
            <w:r>
              <w:rPr>
                <w:rFonts w:ascii="Arial" w:cs="Arial" w:eastAsia="Arial" w:hAnsi="Arial"/>
                <w:sz w:val="12"/>
                <w:szCs w:val="12"/>
                <w:color w:val="FFFFFF"/>
              </w:rPr>
              <w:t>Section 16(a)</w:t>
            </w:r>
          </w:p>
        </w:tc>
        <w:tc>
          <w:tcPr>
            <w:tcW w:w="460" w:type="dxa"/>
            <w:vAlign w:val="bottom"/>
            <w:shd w:val="clear" w:color="auto" w:fill="002B5F"/>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460" w:type="dxa"/>
            <w:vAlign w:val="bottom"/>
          </w:tcPr>
          <w:p>
            <w:pPr>
              <w:spacing w:after="0"/>
              <w:rPr>
                <w:sz w:val="13"/>
                <w:szCs w:val="13"/>
                <w:color w:val="auto"/>
              </w:rPr>
            </w:pPr>
          </w:p>
        </w:tc>
        <w:tc>
          <w:tcPr>
            <w:tcW w:w="5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shd w:val="clear" w:color="auto" w:fill="002B5F"/>
          </w:tcPr>
          <w:p>
            <w:pPr>
              <w:spacing w:after="0"/>
              <w:rPr>
                <w:sz w:val="13"/>
                <w:szCs w:val="13"/>
                <w:color w:val="auto"/>
              </w:rPr>
            </w:pPr>
          </w:p>
        </w:tc>
        <w:tc>
          <w:tcPr>
            <w:tcW w:w="1280" w:type="dxa"/>
            <w:vAlign w:val="bottom"/>
            <w:shd w:val="clear" w:color="auto" w:fill="002B5F"/>
          </w:tcPr>
          <w:p>
            <w:pPr>
              <w:ind w:left="140"/>
              <w:spacing w:after="0"/>
              <w:rPr>
                <w:sz w:val="20"/>
                <w:szCs w:val="20"/>
                <w:color w:val="auto"/>
              </w:rPr>
            </w:pPr>
            <w:r>
              <w:rPr>
                <w:rFonts w:ascii="Arial" w:cs="Arial" w:eastAsia="Arial" w:hAnsi="Arial"/>
                <w:sz w:val="12"/>
                <w:szCs w:val="12"/>
                <w:color w:val="FFFFFF"/>
              </w:rPr>
              <w:t>Reports</w:t>
            </w:r>
          </w:p>
        </w:tc>
        <w:tc>
          <w:tcPr>
            <w:tcW w:w="460" w:type="dxa"/>
            <w:vAlign w:val="bottom"/>
            <w:shd w:val="clear" w:color="auto" w:fill="002B5F"/>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2460" w:type="dxa"/>
            <w:vAlign w:val="bottom"/>
          </w:tcPr>
          <w:p>
            <w:pPr>
              <w:spacing w:after="0"/>
              <w:rPr>
                <w:sz w:val="22"/>
                <w:szCs w:val="22"/>
                <w:color w:val="auto"/>
              </w:rPr>
            </w:pPr>
          </w:p>
        </w:tc>
        <w:tc>
          <w:tcPr>
            <w:tcW w:w="54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40" w:type="dxa"/>
            <w:vAlign w:val="bottom"/>
            <w:shd w:val="clear" w:color="auto" w:fill="002B5F"/>
          </w:tcPr>
          <w:p>
            <w:pPr>
              <w:spacing w:after="0"/>
              <w:rPr>
                <w:sz w:val="22"/>
                <w:szCs w:val="22"/>
                <w:color w:val="auto"/>
              </w:rPr>
            </w:pPr>
          </w:p>
        </w:tc>
        <w:tc>
          <w:tcPr>
            <w:tcW w:w="1280" w:type="dxa"/>
            <w:vAlign w:val="bottom"/>
            <w:shd w:val="clear" w:color="auto" w:fill="002B5F"/>
          </w:tcPr>
          <w:p>
            <w:pPr>
              <w:ind w:left="140"/>
              <w:spacing w:after="0"/>
              <w:rPr>
                <w:sz w:val="20"/>
                <w:szCs w:val="20"/>
                <w:color w:val="auto"/>
              </w:rPr>
            </w:pPr>
            <w:r>
              <w:rPr>
                <w:rFonts w:ascii="Arial" w:cs="Arial" w:eastAsia="Arial" w:hAnsi="Arial"/>
                <w:sz w:val="12"/>
                <w:szCs w:val="12"/>
                <w:color w:val="FFFFFF"/>
              </w:rPr>
              <w:t>Other</w:t>
            </w:r>
          </w:p>
        </w:tc>
        <w:tc>
          <w:tcPr>
            <w:tcW w:w="460" w:type="dxa"/>
            <w:vAlign w:val="bottom"/>
            <w:shd w:val="clear" w:color="auto" w:fill="002B5F"/>
          </w:tcPr>
          <w:p>
            <w:pPr>
              <w:spacing w:after="0"/>
              <w:rPr>
                <w:sz w:val="22"/>
                <w:szCs w:val="22"/>
                <w:color w:val="auto"/>
              </w:rPr>
            </w:pPr>
          </w:p>
        </w:tc>
        <w:tc>
          <w:tcPr>
            <w:tcW w:w="0" w:type="dxa"/>
            <w:vAlign w:val="bottom"/>
          </w:tcPr>
          <w:p>
            <w:pPr>
              <w:spacing w:after="0"/>
              <w:rPr>
                <w:sz w:val="1"/>
                <w:szCs w:val="1"/>
                <w:color w:val="auto"/>
              </w:rPr>
            </w:pPr>
          </w:p>
        </w:tc>
      </w:tr>
      <w:tr>
        <w:trPr>
          <w:trHeight w:val="158"/>
        </w:trPr>
        <w:tc>
          <w:tcPr>
            <w:tcW w:w="2460" w:type="dxa"/>
            <w:vAlign w:val="bottom"/>
          </w:tcPr>
          <w:p>
            <w:pPr>
              <w:spacing w:after="0"/>
              <w:rPr>
                <w:sz w:val="13"/>
                <w:szCs w:val="13"/>
                <w:color w:val="auto"/>
              </w:rPr>
            </w:pPr>
          </w:p>
        </w:tc>
        <w:tc>
          <w:tcPr>
            <w:tcW w:w="5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shd w:val="clear" w:color="auto" w:fill="002B5F"/>
          </w:tcPr>
          <w:p>
            <w:pPr>
              <w:spacing w:after="0"/>
              <w:rPr>
                <w:sz w:val="13"/>
                <w:szCs w:val="13"/>
                <w:color w:val="auto"/>
              </w:rPr>
            </w:pPr>
          </w:p>
        </w:tc>
        <w:tc>
          <w:tcPr>
            <w:tcW w:w="1280" w:type="dxa"/>
            <w:vAlign w:val="bottom"/>
            <w:shd w:val="clear" w:color="auto" w:fill="002B5F"/>
          </w:tcPr>
          <w:p>
            <w:pPr>
              <w:ind w:left="140"/>
              <w:spacing w:after="0"/>
              <w:rPr>
                <w:sz w:val="20"/>
                <w:szCs w:val="20"/>
                <w:color w:val="auto"/>
              </w:rPr>
            </w:pPr>
            <w:r>
              <w:rPr>
                <w:rFonts w:ascii="Arial" w:cs="Arial" w:eastAsia="Arial" w:hAnsi="Arial"/>
                <w:sz w:val="12"/>
                <w:szCs w:val="12"/>
                <w:color w:val="FFFFFF"/>
              </w:rPr>
              <w:t>Information</w:t>
            </w:r>
          </w:p>
        </w:tc>
        <w:tc>
          <w:tcPr>
            <w:tcW w:w="460" w:type="dxa"/>
            <w:vAlign w:val="bottom"/>
            <w:shd w:val="clear" w:color="auto" w:fill="002B5F"/>
          </w:tcPr>
          <w:p>
            <w:pPr>
              <w:spacing w:after="0"/>
              <w:rPr>
                <w:sz w:val="13"/>
                <w:szCs w:val="13"/>
                <w:color w:val="auto"/>
              </w:rPr>
            </w:pPr>
          </w:p>
        </w:tc>
        <w:tc>
          <w:tcPr>
            <w:tcW w:w="0" w:type="dxa"/>
            <w:vAlign w:val="bottom"/>
          </w:tcPr>
          <w:p>
            <w:pPr>
              <w:spacing w:after="0"/>
              <w:rPr>
                <w:sz w:val="1"/>
                <w:szCs w:val="1"/>
                <w:color w:val="auto"/>
              </w:rPr>
            </w:pPr>
          </w:p>
        </w:tc>
      </w:tr>
      <w:tr>
        <w:trPr>
          <w:trHeight w:val="294"/>
        </w:trPr>
        <w:tc>
          <w:tcPr>
            <w:tcW w:w="2460" w:type="dxa"/>
            <w:vAlign w:val="bottom"/>
          </w:tcPr>
          <w:p>
            <w:pPr>
              <w:spacing w:after="0"/>
              <w:rPr>
                <w:sz w:val="24"/>
                <w:szCs w:val="24"/>
                <w:color w:val="auto"/>
              </w:rPr>
            </w:pPr>
          </w:p>
        </w:tc>
        <w:tc>
          <w:tcPr>
            <w:tcW w:w="5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shd w:val="clear" w:color="auto" w:fill="002B5F"/>
          </w:tcPr>
          <w:p>
            <w:pPr>
              <w:spacing w:after="0"/>
              <w:rPr>
                <w:sz w:val="24"/>
                <w:szCs w:val="24"/>
                <w:color w:val="auto"/>
              </w:rPr>
            </w:pPr>
          </w:p>
        </w:tc>
        <w:tc>
          <w:tcPr>
            <w:tcW w:w="1280" w:type="dxa"/>
            <w:vAlign w:val="bottom"/>
            <w:shd w:val="clear" w:color="auto" w:fill="002B5F"/>
          </w:tcPr>
          <w:p>
            <w:pPr>
              <w:ind w:left="140"/>
              <w:spacing w:after="0"/>
              <w:rPr>
                <w:sz w:val="20"/>
                <w:szCs w:val="20"/>
                <w:color w:val="auto"/>
              </w:rPr>
            </w:pPr>
            <w:r>
              <w:rPr>
                <w:rFonts w:ascii="Arial" w:cs="Arial" w:eastAsia="Arial" w:hAnsi="Arial"/>
                <w:sz w:val="12"/>
                <w:szCs w:val="12"/>
                <w:color w:val="FFFFFF"/>
              </w:rPr>
              <w:t>Appendix A</w:t>
            </w:r>
          </w:p>
        </w:tc>
        <w:tc>
          <w:tcPr>
            <w:tcW w:w="460" w:type="dxa"/>
            <w:vAlign w:val="bottom"/>
            <w:shd w:val="clear" w:color="auto" w:fill="002B5F"/>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2460" w:type="dxa"/>
            <w:vAlign w:val="bottom"/>
          </w:tcPr>
          <w:p>
            <w:pPr>
              <w:spacing w:after="0"/>
              <w:rPr>
                <w:sz w:val="24"/>
                <w:szCs w:val="24"/>
                <w:color w:val="auto"/>
              </w:rPr>
            </w:pPr>
          </w:p>
        </w:tc>
        <w:tc>
          <w:tcPr>
            <w:tcW w:w="5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shd w:val="clear" w:color="auto" w:fill="002B5F"/>
          </w:tcPr>
          <w:p>
            <w:pPr>
              <w:spacing w:after="0"/>
              <w:rPr>
                <w:sz w:val="24"/>
                <w:szCs w:val="24"/>
                <w:color w:val="auto"/>
              </w:rPr>
            </w:pPr>
          </w:p>
        </w:tc>
        <w:tc>
          <w:tcPr>
            <w:tcW w:w="1280" w:type="dxa"/>
            <w:vAlign w:val="bottom"/>
            <w:shd w:val="clear" w:color="auto" w:fill="002B5F"/>
          </w:tcPr>
          <w:p>
            <w:pPr>
              <w:ind w:left="140"/>
              <w:spacing w:after="0"/>
              <w:rPr>
                <w:sz w:val="20"/>
                <w:szCs w:val="20"/>
                <w:color w:val="auto"/>
              </w:rPr>
            </w:pPr>
            <w:r>
              <w:rPr>
                <w:rFonts w:ascii="Arial" w:cs="Arial" w:eastAsia="Arial" w:hAnsi="Arial"/>
                <w:sz w:val="12"/>
                <w:szCs w:val="12"/>
                <w:color w:val="FFFFFF"/>
              </w:rPr>
              <w:t>Appendix B</w:t>
            </w:r>
          </w:p>
        </w:tc>
        <w:tc>
          <w:tcPr>
            <w:tcW w:w="460" w:type="dxa"/>
            <w:vAlign w:val="bottom"/>
            <w:shd w:val="clear" w:color="auto" w:fill="002B5F"/>
          </w:tcPr>
          <w:p>
            <w:pPr>
              <w:spacing w:after="0"/>
              <w:rPr>
                <w:sz w:val="24"/>
                <w:szCs w:val="24"/>
                <w:color w:val="auto"/>
              </w:rPr>
            </w:pPr>
          </w:p>
        </w:tc>
        <w:tc>
          <w:tcPr>
            <w:tcW w:w="0" w:type="dxa"/>
            <w:vAlign w:val="bottom"/>
          </w:tcPr>
          <w:p>
            <w:pPr>
              <w:spacing w:after="0"/>
              <w:rPr>
                <w:sz w:val="1"/>
                <w:szCs w:val="1"/>
                <w:color w:val="auto"/>
              </w:rPr>
            </w:pPr>
          </w:p>
        </w:tc>
      </w:tr>
      <w:tr>
        <w:trPr>
          <w:trHeight w:val="651"/>
        </w:trPr>
        <w:tc>
          <w:tcPr>
            <w:tcW w:w="2460" w:type="dxa"/>
            <w:vAlign w:val="bottom"/>
          </w:tcPr>
          <w:p>
            <w:pPr>
              <w:spacing w:after="0"/>
              <w:rPr>
                <w:sz w:val="24"/>
                <w:szCs w:val="24"/>
                <w:color w:val="auto"/>
              </w:rPr>
            </w:pPr>
          </w:p>
        </w:tc>
        <w:tc>
          <w:tcPr>
            <w:tcW w:w="5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shd w:val="clear" w:color="auto" w:fill="002B5F"/>
          </w:tcPr>
          <w:p>
            <w:pPr>
              <w:spacing w:after="0"/>
              <w:rPr>
                <w:sz w:val="24"/>
                <w:szCs w:val="24"/>
                <w:color w:val="auto"/>
              </w:rPr>
            </w:pPr>
          </w:p>
        </w:tc>
        <w:tc>
          <w:tcPr>
            <w:tcW w:w="1280" w:type="dxa"/>
            <w:vAlign w:val="bottom"/>
            <w:shd w:val="clear" w:color="auto" w:fill="002B5F"/>
          </w:tcPr>
          <w:p>
            <w:pPr>
              <w:spacing w:after="0"/>
              <w:rPr>
                <w:sz w:val="24"/>
                <w:szCs w:val="24"/>
                <w:color w:val="auto"/>
              </w:rPr>
            </w:pPr>
          </w:p>
        </w:tc>
        <w:tc>
          <w:tcPr>
            <w:tcW w:w="460" w:type="dxa"/>
            <w:vAlign w:val="bottom"/>
            <w:shd w:val="clear" w:color="auto" w:fill="002B5F"/>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341630</wp:posOffset>
            </wp:positionH>
            <wp:positionV relativeFrom="paragraph">
              <wp:posOffset>-6936740</wp:posOffset>
            </wp:positionV>
            <wp:extent cx="1499235" cy="157226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499235" cy="1572260"/>
                    </a:xfrm>
                    <a:prstGeom prst="rect">
                      <a:avLst/>
                    </a:prstGeom>
                    <a:noFill/>
                  </pic:spPr>
                </pic:pic>
              </a:graphicData>
            </a:graphic>
          </wp:anchor>
        </w:drawing>
        <w:drawing>
          <wp:anchor simplePos="0" relativeHeight="251657728" behindDoc="1" locked="0" layoutInCell="0" allowOverlap="1">
            <wp:simplePos x="0" y="0"/>
            <wp:positionH relativeFrom="column">
              <wp:posOffset>5771515</wp:posOffset>
            </wp:positionH>
            <wp:positionV relativeFrom="paragraph">
              <wp:posOffset>-6474460</wp:posOffset>
            </wp:positionV>
            <wp:extent cx="56515" cy="889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6515" cy="88900"/>
                    </a:xfrm>
                    <a:prstGeom prst="rect">
                      <a:avLst/>
                    </a:prstGeom>
                    <a:noFill/>
                  </pic:spPr>
                </pic:pic>
              </a:graphicData>
            </a:graphic>
          </wp:anchor>
        </w:drawing>
      </w:r>
    </w:p>
    <w:p>
      <w:pPr>
        <w:spacing w:after="0" w:line="235" w:lineRule="exact"/>
        <w:rPr>
          <w:sz w:val="20"/>
          <w:szCs w:val="20"/>
          <w:color w:val="auto"/>
        </w:rPr>
      </w:pPr>
    </w:p>
    <w:p>
      <w:pPr>
        <w:ind w:left="6380"/>
        <w:spacing w:after="0"/>
        <w:tabs>
          <w:tab w:leader="none" w:pos="8500" w:val="left"/>
          <w:tab w:leader="none" w:pos="9960" w:val="left"/>
        </w:tabs>
        <w:rPr>
          <w:sz w:val="20"/>
          <w:szCs w:val="20"/>
          <w:color w:val="auto"/>
        </w:rPr>
      </w:pPr>
      <w:r>
        <w:rPr>
          <w:rFonts w:ascii="Arial" w:cs="Arial" w:eastAsia="Arial" w:hAnsi="Arial"/>
          <w:sz w:val="15"/>
          <w:szCs w:val="15"/>
          <w:b w:val="1"/>
          <w:bCs w:val="1"/>
          <w:color w:val="002B5F"/>
        </w:rPr>
        <w:t xml:space="preserve">2026 Proxy Statement  </w:t>
      </w:r>
      <w:r>
        <w:rPr>
          <w:rFonts w:ascii="Arial" w:cs="Arial" w:eastAsia="Arial" w:hAnsi="Arial"/>
          <w:sz w:val="20"/>
          <w:szCs w:val="20"/>
          <w:color w:val="002B5F"/>
        </w:rPr>
        <w:t>|</w:t>
      </w:r>
      <w:r>
        <w:rPr>
          <w:rFonts w:ascii="Arial" w:cs="Arial" w:eastAsia="Arial" w:hAnsi="Arial"/>
          <w:sz w:val="15"/>
          <w:szCs w:val="15"/>
          <w:b w:val="1"/>
          <w:bCs w:val="1"/>
          <w:color w:val="002B5F"/>
        </w:rPr>
        <w:t xml:space="preserve">  15</w:t>
      </w:r>
      <w:r>
        <w:rPr>
          <w:sz w:val="20"/>
          <w:szCs w:val="20"/>
          <w:color w:val="auto"/>
        </w:rPr>
        <w:tab/>
      </w:r>
      <w:r>
        <w:rPr>
          <w:rFonts w:ascii="Arial" w:cs="Arial" w:eastAsia="Arial" w:hAnsi="Arial"/>
          <w:sz w:val="17"/>
          <w:szCs w:val="17"/>
          <w:color w:val="auto"/>
        </w:rPr>
        <w:t xml:space="preserve">    </w:t>
      </w:r>
      <w:r>
        <w:rPr>
          <w:sz w:val="20"/>
          <w:szCs w:val="20"/>
          <w:color w:val="auto"/>
        </w:rPr>
        <w:tab/>
      </w:r>
      <w:r>
        <w:rPr>
          <w:rFonts w:ascii="Arial" w:cs="Arial" w:eastAsia="Arial" w:hAnsi="Arial"/>
          <w:sz w:val="17"/>
          <w:szCs w:val="17"/>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268605</wp:posOffset>
            </wp:positionH>
            <wp:positionV relativeFrom="paragraph">
              <wp:posOffset>-128905</wp:posOffset>
            </wp:positionV>
            <wp:extent cx="762000" cy="971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62000" cy="97155"/>
                    </a:xfrm>
                    <a:prstGeom prst="rect">
                      <a:avLst/>
                    </a:prstGeom>
                    <a:noFill/>
                  </pic:spPr>
                </pic:pic>
              </a:graphicData>
            </a:graphic>
          </wp:anchor>
        </w:drawing>
      </w:r>
    </w:p>
    <w:p>
      <w:pPr>
        <w:sectPr>
          <w:pgSz w:w="11900" w:h="16838" w:orient="portrait"/>
          <w:cols w:equalWidth="0" w:num="1">
            <w:col w:w="10820"/>
          </w:cols>
          <w:pgMar w:left="320" w:top="464" w:right="7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7"/>
          <w:szCs w:val="17"/>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268605</wp:posOffset>
            </wp:positionH>
            <wp:positionV relativeFrom="paragraph">
              <wp:posOffset>253365</wp:posOffset>
            </wp:positionV>
            <wp:extent cx="1183005" cy="745617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183005" cy="7456170"/>
                    </a:xfrm>
                    <a:prstGeom prst="rect">
                      <a:avLst/>
                    </a:prstGeom>
                    <a:noFill/>
                  </pic:spPr>
                </pic:pic>
              </a:graphicData>
            </a:graphic>
          </wp:anchor>
        </w:drawing>
      </w:r>
    </w:p>
    <w:p>
      <w:pPr>
        <w:spacing w:after="0" w:line="200" w:lineRule="exact"/>
        <w:rPr>
          <w:sz w:val="20"/>
          <w:szCs w:val="20"/>
          <w:color w:val="auto"/>
        </w:rPr>
      </w:pPr>
    </w:p>
    <w:p>
      <w:pPr>
        <w:spacing w:after="0" w:line="304" w:lineRule="exact"/>
        <w:rPr>
          <w:sz w:val="20"/>
          <w:szCs w:val="20"/>
          <w:color w:val="auto"/>
        </w:rPr>
      </w:pPr>
    </w:p>
    <w:p>
      <w:pPr>
        <w:ind w:left="1120" w:right="300" w:hanging="672"/>
        <w:spacing w:after="0" w:line="382" w:lineRule="auto"/>
        <w:tabs>
          <w:tab w:leader="none" w:pos="610" w:val="left"/>
        </w:tabs>
        <w:numPr>
          <w:ilvl w:val="0"/>
          <w:numId w:val="29"/>
        </w:numPr>
        <w:rPr>
          <w:rFonts w:ascii="Arial" w:cs="Arial" w:eastAsia="Arial" w:hAnsi="Arial"/>
          <w:sz w:val="24"/>
          <w:szCs w:val="24"/>
          <w:color w:val="auto"/>
          <w:vertAlign w:val="subscript"/>
        </w:rPr>
      </w:pPr>
      <w:r>
        <w:rPr>
          <w:rFonts w:ascii="Arial" w:cs="Arial" w:eastAsia="Arial" w:hAnsi="Arial"/>
          <w:sz w:val="24"/>
          <w:szCs w:val="24"/>
          <w:color w:val="000000"/>
          <w:vertAlign w:val="subscript"/>
        </w:rPr>
        <w:t xml:space="preserve">     </w:t>
      </w:r>
      <w:r>
        <w:rPr>
          <w:rFonts w:ascii="Arial" w:cs="Arial" w:eastAsia="Arial" w:hAnsi="Arial"/>
          <w:sz w:val="10"/>
          <w:szCs w:val="10"/>
          <w:color w:val="FFFFFF"/>
        </w:rPr>
        <w:t xml:space="preserve"> General Information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37"/>
          <w:szCs w:val="37"/>
          <w:color w:val="B95827"/>
        </w:rPr>
        <w:t>Allison H. Mnookin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-1737995</wp:posOffset>
            </wp:positionH>
            <wp:positionV relativeFrom="paragraph">
              <wp:posOffset>-882015</wp:posOffset>
            </wp:positionV>
            <wp:extent cx="7181215" cy="5334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81215" cy="5334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57150</wp:posOffset>
            </wp:positionV>
            <wp:extent cx="506539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065395" cy="8255"/>
                    </a:xfrm>
                    <a:prstGeom prst="rect">
                      <a:avLst/>
                    </a:prstGeom>
                    <a:noFill/>
                  </pic:spPr>
                </pic:pic>
              </a:graphicData>
            </a:graphic>
          </wp:anchor>
        </w:drawing>
      </w:r>
    </w:p>
    <w:p>
      <w:pPr>
        <w:spacing w:after="0" w:line="276" w:lineRule="exact"/>
        <w:rPr>
          <w:sz w:val="20"/>
          <w:szCs w:val="20"/>
          <w:color w:val="auto"/>
        </w:rPr>
      </w:pPr>
    </w:p>
    <w:p>
      <w:pPr>
        <w:sectPr>
          <w:pgSz w:w="11900" w:h="16838" w:orient="portrait"/>
          <w:cols w:equalWidth="0" w:num="2">
            <w:col w:w="2000" w:space="720"/>
            <w:col w:w="7920"/>
          </w:cols>
          <w:pgMar w:left="320" w:top="464" w:right="939" w:bottom="1440" w:gutter="0" w:footer="0" w:header="0"/>
        </w:sectPr>
      </w:pPr>
    </w:p>
    <w:p>
      <w:pPr>
        <w:ind w:left="1120"/>
        <w:spacing w:after="0"/>
        <w:rPr>
          <w:sz w:val="20"/>
          <w:szCs w:val="20"/>
          <w:color w:val="auto"/>
        </w:rPr>
      </w:pPr>
      <w:r>
        <w:rPr>
          <w:rFonts w:ascii="Arial" w:cs="Arial" w:eastAsia="Arial" w:hAnsi="Arial"/>
          <w:sz w:val="11"/>
          <w:szCs w:val="11"/>
          <w:color w:val="FFFFFF"/>
        </w:rPr>
        <w:t>General Information</w:t>
      </w:r>
    </w:p>
    <w:p>
      <w:pPr>
        <w:spacing w:after="0" w:line="3"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About Corporate</w:t>
      </w:r>
    </w:p>
    <w:p>
      <w:pPr>
        <w:ind w:left="1120"/>
        <w:spacing w:after="0" w:line="221" w:lineRule="auto"/>
        <w:rPr>
          <w:sz w:val="20"/>
          <w:szCs w:val="20"/>
          <w:color w:val="auto"/>
        </w:rPr>
      </w:pPr>
      <w:r>
        <w:rPr>
          <w:rFonts w:ascii="Arial" w:cs="Arial" w:eastAsia="Arial" w:hAnsi="Arial"/>
          <w:sz w:val="12"/>
          <w:szCs w:val="12"/>
          <w:color w:val="FFFFFF"/>
        </w:rPr>
        <w:t>Governance</w:t>
      </w:r>
    </w:p>
    <w:p>
      <w:pPr>
        <w:ind w:left="1120"/>
        <w:spacing w:after="0" w:line="222" w:lineRule="auto"/>
        <w:rPr>
          <w:sz w:val="20"/>
          <w:szCs w:val="20"/>
          <w:color w:val="auto"/>
        </w:rPr>
      </w:pPr>
      <w:r>
        <w:rPr>
          <w:rFonts w:ascii="Arial" w:cs="Arial" w:eastAsia="Arial" w:hAnsi="Arial"/>
          <w:sz w:val="12"/>
          <w:szCs w:val="12"/>
          <w:color w:val="FFFFFF"/>
        </w:rPr>
        <w:t>and the Board of</w:t>
      </w:r>
    </w:p>
    <w:p>
      <w:pPr>
        <w:spacing w:after="0" w:line="1"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Directors</w:t>
      </w:r>
    </w:p>
    <w:p>
      <w:pPr>
        <w:spacing w:after="0" w:line="141" w:lineRule="exact"/>
        <w:rPr>
          <w:sz w:val="20"/>
          <w:szCs w:val="20"/>
          <w:color w:val="auto"/>
        </w:rPr>
      </w:pPr>
    </w:p>
    <w:p>
      <w:pPr>
        <w:ind w:left="980"/>
        <w:spacing w:after="0"/>
        <w:rPr>
          <w:sz w:val="20"/>
          <w:szCs w:val="20"/>
          <w:color w:val="auto"/>
        </w:rPr>
      </w:pPr>
      <w:r>
        <w:rPr>
          <w:sz w:val="1"/>
          <w:szCs w:val="1"/>
          <w:color w:val="auto"/>
        </w:rPr>
        <w:drawing>
          <wp:inline distT="0" distB="0" distL="0" distR="0">
            <wp:extent cx="56515" cy="88900"/>
            <wp:effectExtent l="0" t="0" r="0" b="0"/>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6515" cy="88900"/>
                    </a:xfrm>
                    <a:prstGeom prst="rect">
                      <a:avLst/>
                    </a:prstGeom>
                    <a:noFill/>
                    <a:ln>
                      <a:noFill/>
                    </a:ln>
                  </pic:spPr>
                </pic:pic>
              </a:graphicData>
            </a:graphic>
          </wp:inline>
        </w:drawing>
      </w:r>
      <w:r>
        <w:rPr>
          <w:rFonts w:ascii="Arial" w:cs="Arial" w:eastAsia="Arial" w:hAnsi="Arial"/>
          <w:sz w:val="12"/>
          <w:szCs w:val="12"/>
          <w:b w:val="1"/>
          <w:bCs w:val="1"/>
          <w:color w:val="FFFFFF"/>
        </w:rPr>
        <w:t xml:space="preserve"> Proposal 1</w:t>
      </w:r>
    </w:p>
    <w:p>
      <w:pPr>
        <w:spacing w:after="0" w:line="130"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Information</w:t>
      </w:r>
    </w:p>
    <w:p>
      <w:pPr>
        <w:ind w:left="1120"/>
        <w:spacing w:after="0" w:line="224" w:lineRule="auto"/>
        <w:rPr>
          <w:sz w:val="20"/>
          <w:szCs w:val="20"/>
          <w:color w:val="auto"/>
        </w:rPr>
      </w:pPr>
      <w:r>
        <w:rPr>
          <w:rFonts w:ascii="Arial" w:cs="Arial" w:eastAsia="Arial" w:hAnsi="Arial"/>
          <w:sz w:val="12"/>
          <w:szCs w:val="12"/>
          <w:color w:val="FFFFFF"/>
        </w:rPr>
        <w:t>Regarding Board</w:t>
      </w:r>
    </w:p>
    <w:p>
      <w:pPr>
        <w:ind w:left="1120"/>
        <w:spacing w:after="0" w:line="222" w:lineRule="auto"/>
        <w:rPr>
          <w:sz w:val="20"/>
          <w:szCs w:val="20"/>
          <w:color w:val="auto"/>
        </w:rPr>
      </w:pPr>
      <w:r>
        <w:rPr>
          <w:rFonts w:ascii="Arial" w:cs="Arial" w:eastAsia="Arial" w:hAnsi="Arial"/>
          <w:sz w:val="12"/>
          <w:szCs w:val="12"/>
          <w:color w:val="FFFFFF"/>
        </w:rPr>
        <w:t>and Committee</w:t>
      </w:r>
    </w:p>
    <w:p>
      <w:pPr>
        <w:ind w:left="1120"/>
        <w:spacing w:after="0"/>
        <w:rPr>
          <w:sz w:val="20"/>
          <w:szCs w:val="20"/>
          <w:color w:val="auto"/>
        </w:rPr>
      </w:pPr>
      <w:r>
        <w:rPr>
          <w:rFonts w:ascii="Arial" w:cs="Arial" w:eastAsia="Arial" w:hAnsi="Arial"/>
          <w:sz w:val="12"/>
          <w:szCs w:val="12"/>
          <w:color w:val="FFFFFF"/>
        </w:rPr>
        <w:t>Structure</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Board of Directors</w:t>
      </w:r>
    </w:p>
    <w:p>
      <w:pPr>
        <w:spacing w:after="0" w:line="2"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Compensation</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Compensation</w:t>
      </w:r>
    </w:p>
    <w:p>
      <w:pPr>
        <w:ind w:left="1120"/>
        <w:spacing w:after="0" w:line="224" w:lineRule="auto"/>
        <w:rPr>
          <w:sz w:val="20"/>
          <w:szCs w:val="20"/>
          <w:color w:val="auto"/>
        </w:rPr>
      </w:pPr>
      <w:r>
        <w:rPr>
          <w:rFonts w:ascii="Arial" w:cs="Arial" w:eastAsia="Arial" w:hAnsi="Arial"/>
          <w:sz w:val="12"/>
          <w:szCs w:val="12"/>
          <w:color w:val="FFFFFF"/>
        </w:rPr>
        <w:t>Discussion and</w:t>
      </w:r>
    </w:p>
    <w:p>
      <w:pPr>
        <w:ind w:left="1120"/>
        <w:spacing w:after="0"/>
        <w:rPr>
          <w:sz w:val="20"/>
          <w:szCs w:val="20"/>
          <w:color w:val="auto"/>
        </w:rPr>
      </w:pPr>
      <w:r>
        <w:rPr>
          <w:rFonts w:ascii="Arial" w:cs="Arial" w:eastAsia="Arial" w:hAnsi="Arial"/>
          <w:sz w:val="12"/>
          <w:szCs w:val="12"/>
          <w:color w:val="FFFFFF"/>
        </w:rPr>
        <w:t>Analysis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Report of the</w:t>
      </w:r>
    </w:p>
    <w:p>
      <w:pPr>
        <w:ind w:left="1120"/>
        <w:spacing w:after="0" w:line="224" w:lineRule="auto"/>
        <w:rPr>
          <w:sz w:val="20"/>
          <w:szCs w:val="20"/>
          <w:color w:val="auto"/>
        </w:rPr>
      </w:pPr>
      <w:r>
        <w:rPr>
          <w:rFonts w:ascii="Arial" w:cs="Arial" w:eastAsia="Arial" w:hAnsi="Arial"/>
          <w:sz w:val="12"/>
          <w:szCs w:val="12"/>
          <w:color w:val="FFFFFF"/>
        </w:rPr>
        <w:t>Compensation</w:t>
      </w:r>
    </w:p>
    <w:p>
      <w:pPr>
        <w:ind w:left="1120"/>
        <w:spacing w:after="0" w:line="222" w:lineRule="auto"/>
        <w:rPr>
          <w:sz w:val="20"/>
          <w:szCs w:val="20"/>
          <w:color w:val="auto"/>
        </w:rPr>
      </w:pPr>
      <w:r>
        <w:rPr>
          <w:rFonts w:ascii="Arial" w:cs="Arial" w:eastAsia="Arial" w:hAnsi="Arial"/>
          <w:sz w:val="12"/>
          <w:szCs w:val="12"/>
          <w:color w:val="FFFFFF"/>
        </w:rPr>
        <w:t>and Human</w:t>
      </w:r>
    </w:p>
    <w:p>
      <w:pPr>
        <w:ind w:left="1120"/>
        <w:spacing w:after="0" w:line="222" w:lineRule="auto"/>
        <w:rPr>
          <w:sz w:val="20"/>
          <w:szCs w:val="20"/>
          <w:color w:val="auto"/>
        </w:rPr>
      </w:pPr>
      <w:r>
        <w:rPr>
          <w:rFonts w:ascii="Arial" w:cs="Arial" w:eastAsia="Arial" w:hAnsi="Arial"/>
          <w:sz w:val="12"/>
          <w:szCs w:val="12"/>
          <w:color w:val="FFFFFF"/>
        </w:rPr>
        <w:t>Resources</w:t>
      </w:r>
    </w:p>
    <w:p>
      <w:pPr>
        <w:ind w:left="1120"/>
        <w:spacing w:after="0" w:line="222" w:lineRule="auto"/>
        <w:rPr>
          <w:sz w:val="20"/>
          <w:szCs w:val="20"/>
          <w:color w:val="auto"/>
        </w:rPr>
      </w:pPr>
      <w:r>
        <w:rPr>
          <w:rFonts w:ascii="Arial" w:cs="Arial" w:eastAsia="Arial" w:hAnsi="Arial"/>
          <w:sz w:val="12"/>
          <w:szCs w:val="12"/>
          <w:color w:val="FFFFFF"/>
        </w:rPr>
        <w:t>Committee of the</w:t>
      </w:r>
    </w:p>
    <w:p>
      <w:pPr>
        <w:ind w:left="1120"/>
        <w:spacing w:after="0"/>
        <w:rPr>
          <w:sz w:val="20"/>
          <w:szCs w:val="20"/>
          <w:color w:val="auto"/>
        </w:rPr>
      </w:pPr>
      <w:r>
        <w:rPr>
          <w:rFonts w:ascii="Arial" w:cs="Arial" w:eastAsia="Arial" w:hAnsi="Arial"/>
          <w:sz w:val="12"/>
          <w:szCs w:val="12"/>
          <w:color w:val="FFFFFF"/>
        </w:rPr>
        <w:t>Board of Directors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Compensation of</w:t>
      </w:r>
    </w:p>
    <w:p>
      <w:pPr>
        <w:ind w:left="1120"/>
        <w:spacing w:after="0" w:line="224" w:lineRule="auto"/>
        <w:rPr>
          <w:sz w:val="20"/>
          <w:szCs w:val="20"/>
          <w:color w:val="auto"/>
        </w:rPr>
      </w:pPr>
      <w:r>
        <w:rPr>
          <w:rFonts w:ascii="Arial" w:cs="Arial" w:eastAsia="Arial" w:hAnsi="Arial"/>
          <w:sz w:val="12"/>
          <w:szCs w:val="12"/>
          <w:color w:val="FFFFFF"/>
        </w:rPr>
        <w:t>Named Executive</w:t>
      </w:r>
    </w:p>
    <w:p>
      <w:pPr>
        <w:ind w:left="1120"/>
        <w:spacing w:after="0"/>
        <w:rPr>
          <w:sz w:val="20"/>
          <w:szCs w:val="20"/>
          <w:color w:val="auto"/>
        </w:rPr>
      </w:pPr>
      <w:r>
        <w:rPr>
          <w:rFonts w:ascii="Arial" w:cs="Arial" w:eastAsia="Arial" w:hAnsi="Arial"/>
          <w:sz w:val="12"/>
          <w:szCs w:val="12"/>
          <w:color w:val="FFFFFF"/>
        </w:rPr>
        <w:t>Officers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Pay Versus</w:t>
      </w:r>
    </w:p>
    <w:p>
      <w:pPr>
        <w:ind w:left="1120"/>
        <w:spacing w:after="0" w:line="224" w:lineRule="auto"/>
        <w:rPr>
          <w:sz w:val="20"/>
          <w:szCs w:val="20"/>
          <w:color w:val="auto"/>
        </w:rPr>
      </w:pPr>
      <w:r>
        <w:rPr>
          <w:rFonts w:ascii="Arial" w:cs="Arial" w:eastAsia="Arial" w:hAnsi="Arial"/>
          <w:sz w:val="12"/>
          <w:szCs w:val="12"/>
          <w:color w:val="FFFFFF"/>
        </w:rPr>
        <w:t>Performance</w:t>
      </w:r>
    </w:p>
    <w:p>
      <w:pPr>
        <w:ind w:left="1120"/>
        <w:spacing w:after="0"/>
        <w:rPr>
          <w:sz w:val="20"/>
          <w:szCs w:val="20"/>
          <w:color w:val="auto"/>
        </w:rPr>
      </w:pPr>
      <w:r>
        <w:rPr>
          <w:rFonts w:ascii="Arial" w:cs="Arial" w:eastAsia="Arial" w:hAnsi="Arial"/>
          <w:sz w:val="12"/>
          <w:szCs w:val="12"/>
          <w:color w:val="FFFFFF"/>
        </w:rPr>
        <w:t>Disclosure</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Security</w:t>
      </w:r>
    </w:p>
    <w:p>
      <w:pPr>
        <w:ind w:left="1120"/>
        <w:spacing w:after="0" w:line="224" w:lineRule="auto"/>
        <w:rPr>
          <w:sz w:val="20"/>
          <w:szCs w:val="20"/>
          <w:color w:val="auto"/>
        </w:rPr>
      </w:pPr>
      <w:r>
        <w:rPr>
          <w:rFonts w:ascii="Arial" w:cs="Arial" w:eastAsia="Arial" w:hAnsi="Arial"/>
          <w:sz w:val="12"/>
          <w:szCs w:val="12"/>
          <w:color w:val="FFFFFF"/>
        </w:rPr>
        <w:t>Ownership of</w:t>
      </w:r>
    </w:p>
    <w:p>
      <w:pPr>
        <w:ind w:left="1120"/>
        <w:spacing w:after="0" w:line="222" w:lineRule="auto"/>
        <w:rPr>
          <w:sz w:val="20"/>
          <w:szCs w:val="20"/>
          <w:color w:val="auto"/>
        </w:rPr>
      </w:pPr>
      <w:r>
        <w:rPr>
          <w:rFonts w:ascii="Arial" w:cs="Arial" w:eastAsia="Arial" w:hAnsi="Arial"/>
          <w:sz w:val="12"/>
          <w:szCs w:val="12"/>
          <w:color w:val="FFFFFF"/>
        </w:rPr>
        <w:t>Certain Beneficial</w:t>
      </w:r>
    </w:p>
    <w:p>
      <w:pPr>
        <w:ind w:left="1120"/>
        <w:spacing w:after="0" w:line="222" w:lineRule="auto"/>
        <w:rPr>
          <w:sz w:val="20"/>
          <w:szCs w:val="20"/>
          <w:color w:val="auto"/>
        </w:rPr>
      </w:pPr>
      <w:r>
        <w:rPr>
          <w:rFonts w:ascii="Arial" w:cs="Arial" w:eastAsia="Arial" w:hAnsi="Arial"/>
          <w:sz w:val="12"/>
          <w:szCs w:val="12"/>
          <w:color w:val="FFFFFF"/>
        </w:rPr>
        <w:t>Owners and</w:t>
      </w:r>
    </w:p>
    <w:p>
      <w:pPr>
        <w:ind w:left="1120"/>
        <w:spacing w:after="0"/>
        <w:rPr>
          <w:sz w:val="20"/>
          <w:szCs w:val="20"/>
          <w:color w:val="auto"/>
        </w:rPr>
      </w:pPr>
      <w:r>
        <w:rPr>
          <w:rFonts w:ascii="Arial" w:cs="Arial" w:eastAsia="Arial" w:hAnsi="Arial"/>
          <w:sz w:val="12"/>
          <w:szCs w:val="12"/>
          <w:color w:val="FFFFFF"/>
        </w:rPr>
        <w:t>Management</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Certain</w:t>
      </w:r>
    </w:p>
    <w:p>
      <w:pPr>
        <w:ind w:left="1120"/>
        <w:spacing w:after="0" w:line="224" w:lineRule="auto"/>
        <w:rPr>
          <w:sz w:val="20"/>
          <w:szCs w:val="20"/>
          <w:color w:val="auto"/>
        </w:rPr>
      </w:pPr>
      <w:r>
        <w:rPr>
          <w:rFonts w:ascii="Arial" w:cs="Arial" w:eastAsia="Arial" w:hAnsi="Arial"/>
          <w:sz w:val="12"/>
          <w:szCs w:val="12"/>
          <w:color w:val="FFFFFF"/>
        </w:rPr>
        <w:t>Relationships and</w:t>
      </w:r>
    </w:p>
    <w:p>
      <w:pPr>
        <w:ind w:left="1120"/>
        <w:spacing w:after="0" w:line="222" w:lineRule="auto"/>
        <w:rPr>
          <w:sz w:val="20"/>
          <w:szCs w:val="20"/>
          <w:color w:val="auto"/>
        </w:rPr>
      </w:pPr>
      <w:r>
        <w:rPr>
          <w:rFonts w:ascii="Arial" w:cs="Arial" w:eastAsia="Arial" w:hAnsi="Arial"/>
          <w:sz w:val="12"/>
          <w:szCs w:val="12"/>
          <w:color w:val="FFFFFF"/>
        </w:rPr>
        <w:t>Related Party</w:t>
      </w:r>
    </w:p>
    <w:p>
      <w:pPr>
        <w:ind w:left="1120"/>
        <w:spacing w:after="0"/>
        <w:rPr>
          <w:sz w:val="20"/>
          <w:szCs w:val="20"/>
          <w:color w:val="auto"/>
        </w:rPr>
      </w:pPr>
      <w:r>
        <w:rPr>
          <w:rFonts w:ascii="Arial" w:cs="Arial" w:eastAsia="Arial" w:hAnsi="Arial"/>
          <w:sz w:val="12"/>
          <w:szCs w:val="12"/>
          <w:color w:val="FFFFFF"/>
        </w:rPr>
        <w:t>Transactions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Proposal 2</w:t>
      </w:r>
    </w:p>
    <w:p>
      <w:pPr>
        <w:spacing w:after="0" w:line="156"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Report of the</w:t>
      </w:r>
    </w:p>
    <w:p>
      <w:pPr>
        <w:ind w:left="1120"/>
        <w:spacing w:after="0" w:line="224" w:lineRule="auto"/>
        <w:rPr>
          <w:sz w:val="20"/>
          <w:szCs w:val="20"/>
          <w:color w:val="auto"/>
        </w:rPr>
      </w:pPr>
      <w:r>
        <w:rPr>
          <w:rFonts w:ascii="Arial" w:cs="Arial" w:eastAsia="Arial" w:hAnsi="Arial"/>
          <w:sz w:val="12"/>
          <w:szCs w:val="12"/>
          <w:color w:val="FFFFFF"/>
        </w:rPr>
        <w:t>Audit and Risk</w:t>
      </w:r>
    </w:p>
    <w:p>
      <w:pPr>
        <w:ind w:left="1120"/>
        <w:spacing w:after="0" w:line="222" w:lineRule="auto"/>
        <w:rPr>
          <w:sz w:val="20"/>
          <w:szCs w:val="20"/>
          <w:color w:val="auto"/>
        </w:rPr>
      </w:pPr>
      <w:r>
        <w:rPr>
          <w:rFonts w:ascii="Arial" w:cs="Arial" w:eastAsia="Arial" w:hAnsi="Arial"/>
          <w:sz w:val="12"/>
          <w:szCs w:val="12"/>
          <w:color w:val="FFFFFF"/>
        </w:rPr>
        <w:t>Committee of the</w:t>
      </w:r>
    </w:p>
    <w:p>
      <w:pPr>
        <w:ind w:left="1120"/>
        <w:spacing w:after="0"/>
        <w:rPr>
          <w:sz w:val="20"/>
          <w:szCs w:val="20"/>
          <w:color w:val="auto"/>
        </w:rPr>
      </w:pPr>
      <w:r>
        <w:rPr>
          <w:rFonts w:ascii="Arial" w:cs="Arial" w:eastAsia="Arial" w:hAnsi="Arial"/>
          <w:sz w:val="12"/>
          <w:szCs w:val="12"/>
          <w:color w:val="FFFFFF"/>
        </w:rPr>
        <w:t>Board of Directors</w:t>
      </w:r>
    </w:p>
    <w:p>
      <w:pPr>
        <w:spacing w:after="0" w:line="144" w:lineRule="exact"/>
        <w:rPr>
          <w:sz w:val="20"/>
          <w:szCs w:val="20"/>
          <w:color w:val="auto"/>
        </w:rPr>
      </w:pPr>
    </w:p>
    <w:p>
      <w:pPr>
        <w:jc w:val="center"/>
        <w:ind w:left="620"/>
        <w:spacing w:after="0"/>
        <w:rPr>
          <w:sz w:val="20"/>
          <w:szCs w:val="20"/>
          <w:color w:val="auto"/>
        </w:rPr>
      </w:pPr>
      <w:r>
        <w:rPr>
          <w:rFonts w:ascii="Arial" w:cs="Arial" w:eastAsia="Arial" w:hAnsi="Arial"/>
          <w:sz w:val="12"/>
          <w:szCs w:val="12"/>
          <w:color w:val="FFFFFF"/>
        </w:rPr>
        <w:t>Proposal 3</w:t>
      </w:r>
    </w:p>
    <w:p>
      <w:pPr>
        <w:spacing w:after="0" w:line="156" w:lineRule="exact"/>
        <w:rPr>
          <w:sz w:val="20"/>
          <w:szCs w:val="20"/>
          <w:color w:val="auto"/>
        </w:rPr>
      </w:pPr>
    </w:p>
    <w:p>
      <w:pPr>
        <w:jc w:val="center"/>
        <w:ind w:left="620"/>
        <w:spacing w:after="0"/>
        <w:rPr>
          <w:sz w:val="20"/>
          <w:szCs w:val="20"/>
          <w:color w:val="auto"/>
        </w:rPr>
      </w:pPr>
      <w:r>
        <w:rPr>
          <w:rFonts w:ascii="Arial" w:cs="Arial" w:eastAsia="Arial" w:hAnsi="Arial"/>
          <w:sz w:val="12"/>
          <w:szCs w:val="12"/>
          <w:color w:val="FFFFFF"/>
        </w:rPr>
        <w:t>Proposal 4</w:t>
      </w:r>
    </w:p>
    <w:p>
      <w:pPr>
        <w:spacing w:after="0" w:line="156" w:lineRule="exact"/>
        <w:rPr>
          <w:sz w:val="20"/>
          <w:szCs w:val="20"/>
          <w:color w:val="auto"/>
        </w:rPr>
      </w:pPr>
    </w:p>
    <w:p>
      <w:pPr>
        <w:jc w:val="center"/>
        <w:ind w:left="620"/>
        <w:spacing w:after="0"/>
        <w:rPr>
          <w:sz w:val="20"/>
          <w:szCs w:val="20"/>
          <w:color w:val="auto"/>
        </w:rPr>
      </w:pPr>
      <w:r>
        <w:rPr>
          <w:rFonts w:ascii="Arial" w:cs="Arial" w:eastAsia="Arial" w:hAnsi="Arial"/>
          <w:sz w:val="12"/>
          <w:szCs w:val="12"/>
          <w:color w:val="FFFFFF"/>
        </w:rPr>
        <w:t>Proposal 5</w:t>
      </w:r>
    </w:p>
    <w:p>
      <w:pPr>
        <w:spacing w:after="0" w:line="156"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Proposal 6</w:t>
      </w:r>
    </w:p>
    <w:p>
      <w:pPr>
        <w:spacing w:after="0" w:line="156"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Stockholder</w:t>
      </w:r>
    </w:p>
    <w:p>
      <w:pPr>
        <w:ind w:left="1120"/>
        <w:spacing w:after="0" w:line="224" w:lineRule="auto"/>
        <w:rPr>
          <w:sz w:val="20"/>
          <w:szCs w:val="20"/>
          <w:color w:val="auto"/>
        </w:rPr>
      </w:pPr>
      <w:r>
        <w:rPr>
          <w:rFonts w:ascii="Arial" w:cs="Arial" w:eastAsia="Arial" w:hAnsi="Arial"/>
          <w:sz w:val="12"/>
          <w:szCs w:val="12"/>
          <w:color w:val="FFFFFF"/>
        </w:rPr>
        <w:t>Proposals and</w:t>
      </w:r>
    </w:p>
    <w:p>
      <w:pPr>
        <w:ind w:left="1120"/>
        <w:spacing w:after="0"/>
        <w:rPr>
          <w:sz w:val="20"/>
          <w:szCs w:val="20"/>
          <w:color w:val="auto"/>
        </w:rPr>
      </w:pPr>
      <w:r>
        <w:rPr>
          <w:rFonts w:ascii="Arial" w:cs="Arial" w:eastAsia="Arial" w:hAnsi="Arial"/>
          <w:sz w:val="12"/>
          <w:szCs w:val="12"/>
          <w:color w:val="FFFFFF"/>
        </w:rPr>
        <w:t>Other Matters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Delinquent</w:t>
      </w:r>
    </w:p>
    <w:p>
      <w:pPr>
        <w:ind w:left="1120"/>
        <w:spacing w:after="0" w:line="224" w:lineRule="auto"/>
        <w:rPr>
          <w:sz w:val="20"/>
          <w:szCs w:val="20"/>
          <w:color w:val="auto"/>
        </w:rPr>
      </w:pPr>
      <w:r>
        <w:rPr>
          <w:rFonts w:ascii="Arial" w:cs="Arial" w:eastAsia="Arial" w:hAnsi="Arial"/>
          <w:sz w:val="12"/>
          <w:szCs w:val="12"/>
          <w:color w:val="FFFFFF"/>
        </w:rPr>
        <w:t>Section 16(a)</w:t>
      </w:r>
    </w:p>
    <w:p>
      <w:pPr>
        <w:ind w:left="1120"/>
        <w:spacing w:after="0"/>
        <w:rPr>
          <w:sz w:val="20"/>
          <w:szCs w:val="20"/>
          <w:color w:val="auto"/>
        </w:rPr>
      </w:pPr>
      <w:r>
        <w:rPr>
          <w:rFonts w:ascii="Arial" w:cs="Arial" w:eastAsia="Arial" w:hAnsi="Arial"/>
          <w:sz w:val="12"/>
          <w:szCs w:val="12"/>
          <w:color w:val="FFFFFF"/>
        </w:rPr>
        <w:t>Reports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Other</w:t>
      </w:r>
    </w:p>
    <w:p>
      <w:pPr>
        <w:spacing w:after="0" w:line="2"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Information</w:t>
      </w:r>
    </w:p>
    <w:p>
      <w:pPr>
        <w:spacing w:after="0" w:line="144" w:lineRule="exact"/>
        <w:rPr>
          <w:sz w:val="20"/>
          <w:szCs w:val="20"/>
          <w:color w:val="auto"/>
        </w:rPr>
      </w:pPr>
    </w:p>
    <w:p>
      <w:pPr>
        <w:jc w:val="center"/>
        <w:ind w:left="660"/>
        <w:spacing w:after="0"/>
        <w:rPr>
          <w:sz w:val="20"/>
          <w:szCs w:val="20"/>
          <w:color w:val="auto"/>
        </w:rPr>
      </w:pPr>
      <w:r>
        <w:rPr>
          <w:rFonts w:ascii="Arial" w:cs="Arial" w:eastAsia="Arial" w:hAnsi="Arial"/>
          <w:sz w:val="12"/>
          <w:szCs w:val="12"/>
          <w:color w:val="FFFFFF"/>
        </w:rPr>
        <w:t>Appendix A</w:t>
      </w:r>
    </w:p>
    <w:p>
      <w:pPr>
        <w:spacing w:after="0" w:line="156" w:lineRule="exact"/>
        <w:rPr>
          <w:sz w:val="20"/>
          <w:szCs w:val="20"/>
          <w:color w:val="auto"/>
        </w:rPr>
      </w:pPr>
    </w:p>
    <w:p>
      <w:pPr>
        <w:jc w:val="center"/>
        <w:ind w:left="660"/>
        <w:spacing w:after="0"/>
        <w:rPr>
          <w:sz w:val="20"/>
          <w:szCs w:val="20"/>
          <w:color w:val="auto"/>
        </w:rPr>
      </w:pPr>
      <w:r>
        <w:rPr>
          <w:rFonts w:ascii="Arial" w:cs="Arial" w:eastAsia="Arial" w:hAnsi="Arial"/>
          <w:sz w:val="12"/>
          <w:szCs w:val="12"/>
          <w:color w:val="FFFFFF"/>
        </w:rPr>
        <w:t>Appendix 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9"/>
          <w:szCs w:val="19"/>
          <w:b w:val="1"/>
          <w:bCs w:val="1"/>
          <w:color w:val="B95827"/>
        </w:rPr>
        <w:t xml:space="preserve">AGE </w:t>
      </w:r>
      <w:r>
        <w:rPr>
          <w:rFonts w:ascii="Arial" w:cs="Arial" w:eastAsia="Arial" w:hAnsi="Arial"/>
          <w:sz w:val="15"/>
          <w:szCs w:val="15"/>
          <w:color w:val="000000"/>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-1818005</wp:posOffset>
            </wp:positionV>
            <wp:extent cx="1499235" cy="157226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499235" cy="1572260"/>
                    </a:xfrm>
                    <a:prstGeom prst="rect">
                      <a:avLst/>
                    </a:prstGeom>
                    <a:noFill/>
                  </pic:spPr>
                </pic:pic>
              </a:graphicData>
            </a:graphic>
          </wp:anchor>
        </w:drawing>
      </w:r>
    </w:p>
    <w:p>
      <w:pPr>
        <w:spacing w:after="0" w:line="81" w:lineRule="exact"/>
        <w:rPr>
          <w:sz w:val="20"/>
          <w:szCs w:val="20"/>
          <w:color w:val="auto"/>
        </w:rPr>
      </w:pPr>
    </w:p>
    <w:p>
      <w:pPr>
        <w:spacing w:after="0"/>
        <w:rPr>
          <w:sz w:val="20"/>
          <w:szCs w:val="20"/>
          <w:color w:val="auto"/>
        </w:rPr>
      </w:pPr>
      <w:r>
        <w:rPr>
          <w:rFonts w:ascii="Arial" w:cs="Arial" w:eastAsia="Arial" w:hAnsi="Arial"/>
          <w:sz w:val="19"/>
          <w:szCs w:val="19"/>
          <w:b w:val="1"/>
          <w:bCs w:val="1"/>
          <w:color w:val="B95827"/>
        </w:rPr>
        <w:t xml:space="preserve">DIRECTOR SINCE </w:t>
      </w:r>
      <w:r>
        <w:rPr>
          <w:rFonts w:ascii="Arial" w:cs="Arial" w:eastAsia="Arial" w:hAnsi="Arial"/>
          <w:sz w:val="15"/>
          <w:szCs w:val="15"/>
          <w:color w:val="000000"/>
        </w:rPr>
        <w:t>2018</w:t>
      </w:r>
    </w:p>
    <w:p>
      <w:pPr>
        <w:spacing w:after="0" w:line="101" w:lineRule="exact"/>
        <w:rPr>
          <w:sz w:val="20"/>
          <w:szCs w:val="20"/>
          <w:color w:val="auto"/>
        </w:rPr>
      </w:pPr>
    </w:p>
    <w:p>
      <w:pPr>
        <w:spacing w:after="0"/>
        <w:rPr>
          <w:sz w:val="20"/>
          <w:szCs w:val="20"/>
          <w:color w:val="auto"/>
        </w:rPr>
      </w:pPr>
      <w:r>
        <w:rPr>
          <w:rFonts w:ascii="Arial" w:cs="Arial" w:eastAsia="Arial" w:hAnsi="Arial"/>
          <w:sz w:val="19"/>
          <w:szCs w:val="19"/>
          <w:b w:val="1"/>
          <w:bCs w:val="1"/>
          <w:color w:val="B95827"/>
        </w:rPr>
        <w:t>INDEPENDENT</w:t>
      </w:r>
    </w:p>
    <w:p>
      <w:pPr>
        <w:spacing w:after="0" w:line="101" w:lineRule="exact"/>
        <w:rPr>
          <w:sz w:val="20"/>
          <w:szCs w:val="20"/>
          <w:color w:val="auto"/>
        </w:rPr>
      </w:pPr>
    </w:p>
    <w:p>
      <w:pPr>
        <w:spacing w:after="0"/>
        <w:rPr>
          <w:sz w:val="20"/>
          <w:szCs w:val="20"/>
          <w:color w:val="auto"/>
        </w:rPr>
      </w:pPr>
      <w:r>
        <w:rPr>
          <w:rFonts w:ascii="Arial" w:cs="Arial" w:eastAsia="Arial" w:hAnsi="Arial"/>
          <w:sz w:val="19"/>
          <w:szCs w:val="19"/>
          <w:b w:val="1"/>
          <w:bCs w:val="1"/>
          <w:color w:val="B95827"/>
        </w:rPr>
        <w:t>COMMITTEES:</w:t>
      </w:r>
    </w:p>
    <w:p>
      <w:pPr>
        <w:spacing w:after="0" w:line="4" w:lineRule="exact"/>
        <w:rPr>
          <w:sz w:val="20"/>
          <w:szCs w:val="20"/>
          <w:color w:val="auto"/>
        </w:rPr>
      </w:pPr>
    </w:p>
    <w:p>
      <w:pPr>
        <w:ind w:left="160" w:hanging="151"/>
        <w:spacing w:after="0" w:line="224" w:lineRule="auto"/>
        <w:tabs>
          <w:tab w:leader="none" w:pos="160" w:val="left"/>
        </w:tabs>
        <w:numPr>
          <w:ilvl w:val="0"/>
          <w:numId w:val="30"/>
        </w:numPr>
        <w:rPr>
          <w:rFonts w:ascii="Arial" w:cs="Arial" w:eastAsia="Arial" w:hAnsi="Arial"/>
          <w:sz w:val="19"/>
          <w:szCs w:val="19"/>
          <w:color w:val="auto"/>
        </w:rPr>
      </w:pPr>
      <w:r>
        <w:rPr>
          <w:rFonts w:ascii="Arial" w:cs="Arial" w:eastAsia="Arial" w:hAnsi="Arial"/>
          <w:sz w:val="19"/>
          <w:szCs w:val="19"/>
          <w:color w:val="auto"/>
        </w:rPr>
        <w:t>Compensation Committee (Chair)</w:t>
      </w:r>
    </w:p>
    <w:p>
      <w:pPr>
        <w:ind w:left="160" w:right="180" w:hanging="151"/>
        <w:spacing w:after="0" w:line="262" w:lineRule="auto"/>
        <w:tabs>
          <w:tab w:leader="none" w:pos="1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Nominating and Governance Committee</w:t>
      </w:r>
    </w:p>
    <w:p>
      <w:pPr>
        <w:spacing w:after="0" w:line="53" w:lineRule="exact"/>
        <w:rPr>
          <w:sz w:val="20"/>
          <w:szCs w:val="20"/>
          <w:color w:val="auto"/>
        </w:rPr>
      </w:pPr>
    </w:p>
    <w:p>
      <w:pPr>
        <w:ind w:right="500"/>
        <w:spacing w:after="0" w:line="295" w:lineRule="auto"/>
        <w:rPr>
          <w:sz w:val="20"/>
          <w:szCs w:val="20"/>
          <w:color w:val="auto"/>
        </w:rPr>
      </w:pPr>
      <w:r>
        <w:rPr>
          <w:rFonts w:ascii="Arial" w:cs="Arial" w:eastAsia="Arial" w:hAnsi="Arial"/>
          <w:sz w:val="18"/>
          <w:szCs w:val="18"/>
          <w:b w:val="1"/>
          <w:bCs w:val="1"/>
          <w:color w:val="B95827"/>
        </w:rPr>
        <w:t>OTHER PUBLIC COMPANY BOARDS</w:t>
      </w:r>
    </w:p>
    <w:p>
      <w:pPr>
        <w:spacing w:after="0" w:line="2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Current</w:t>
      </w:r>
    </w:p>
    <w:p>
      <w:pPr>
        <w:spacing w:after="0" w:line="17" w:lineRule="exact"/>
        <w:rPr>
          <w:sz w:val="20"/>
          <w:szCs w:val="20"/>
          <w:color w:val="auto"/>
        </w:rPr>
      </w:pPr>
    </w:p>
    <w:p>
      <w:pPr>
        <w:spacing w:after="0"/>
        <w:rPr>
          <w:sz w:val="20"/>
          <w:szCs w:val="20"/>
          <w:color w:val="auto"/>
        </w:rPr>
      </w:pPr>
      <w:r>
        <w:rPr>
          <w:rFonts w:ascii="Arial" w:cs="Arial" w:eastAsia="Arial" w:hAnsi="Arial"/>
          <w:sz w:val="19"/>
          <w:szCs w:val="19"/>
          <w:color w:val="auto"/>
        </w:rPr>
        <w:t>• Bill Holdings, Inc.</w:t>
      </w:r>
    </w:p>
    <w:p>
      <w:pPr>
        <w:spacing w:after="0" w:line="9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Past 5 Years</w:t>
      </w:r>
    </w:p>
    <w:p>
      <w:pPr>
        <w:spacing w:after="0" w:line="17" w:lineRule="exact"/>
        <w:rPr>
          <w:sz w:val="20"/>
          <w:szCs w:val="20"/>
          <w:color w:val="auto"/>
        </w:rPr>
      </w:pPr>
    </w:p>
    <w:p>
      <w:pPr>
        <w:spacing w:after="0"/>
        <w:rPr>
          <w:sz w:val="20"/>
          <w:szCs w:val="20"/>
          <w:color w:val="auto"/>
        </w:rPr>
      </w:pPr>
      <w:r>
        <w:rPr>
          <w:rFonts w:ascii="Arial" w:cs="Arial" w:eastAsia="Arial" w:hAnsi="Arial"/>
          <w:sz w:val="19"/>
          <w:szCs w:val="19"/>
          <w:color w:val="auto"/>
        </w:rPr>
        <w:t>• None</w:t>
      </w:r>
    </w:p>
    <w:p>
      <w:pPr>
        <w:spacing w:after="0" w:line="20" w:lineRule="exact"/>
        <w:rPr>
          <w:sz w:val="20"/>
          <w:szCs w:val="20"/>
          <w:color w:val="auto"/>
        </w:rPr>
      </w:pPr>
      <w:r>
        <w:rPr>
          <w:sz w:val="20"/>
          <w:szCs w:val="20"/>
          <w:color w:val="auto"/>
        </w:rPr>
        <w:br w:type="column"/>
      </w:r>
    </w:p>
    <w:p>
      <w:pPr>
        <w:spacing w:after="0" w:line="53" w:lineRule="exact"/>
        <w:rPr>
          <w:sz w:val="20"/>
          <w:szCs w:val="20"/>
          <w:color w:val="auto"/>
        </w:rPr>
      </w:pPr>
    </w:p>
    <w:p>
      <w:pPr>
        <w:spacing w:after="0"/>
        <w:rPr>
          <w:sz w:val="20"/>
          <w:szCs w:val="20"/>
          <w:color w:val="auto"/>
        </w:rPr>
      </w:pPr>
      <w:r>
        <w:rPr>
          <w:rFonts w:ascii="Arial" w:cs="Arial" w:eastAsia="Arial" w:hAnsi="Arial"/>
          <w:sz w:val="19"/>
          <w:szCs w:val="19"/>
          <w:b w:val="1"/>
          <w:bCs w:val="1"/>
          <w:color w:val="B95827"/>
        </w:rPr>
        <w:t>BACKGROUND</w:t>
      </w:r>
    </w:p>
    <w:p>
      <w:pPr>
        <w:spacing w:after="0" w:line="9" w:lineRule="exact"/>
        <w:rPr>
          <w:sz w:val="20"/>
          <w:szCs w:val="20"/>
          <w:color w:val="auto"/>
        </w:rPr>
      </w:pPr>
    </w:p>
    <w:p>
      <w:pPr>
        <w:ind w:right="100"/>
        <w:spacing w:after="0" w:line="250" w:lineRule="auto"/>
        <w:rPr>
          <w:sz w:val="20"/>
          <w:szCs w:val="20"/>
          <w:color w:val="auto"/>
        </w:rPr>
      </w:pPr>
      <w:r>
        <w:rPr>
          <w:rFonts w:ascii="Arial" w:cs="Arial" w:eastAsia="Arial" w:hAnsi="Arial"/>
          <w:sz w:val="15"/>
          <w:szCs w:val="15"/>
          <w:color w:val="auto"/>
        </w:rPr>
        <w:t>Ms. Mnookin has served since July 2017 as a senior lecturer of business administration in the technology and operations management unit at the Harvard Business School. From April 2016 to November 2016, Ms. Mnookin served as the chief executive officer of QuickBase, Inc. (“QuickBase”), a provider of online application software which was spun-off by Intuit, Inc., a business software company that specializes in financial software, in 2016. Ms. Mnookin was an employee of Intuit from 1998 to 2016 and held roles of increasing responsibility over time, including vice president and general manager of Intuit’s QuickBase business from July 2010 to March 2016. She previously served as a director of Quartz Holding Company, the holding company of QuickBase, from November 2016 until its sale in April 2019. In addition, she currently serves on the board of directors of Bill Holdings, Inc. Prior to joining Intuit, she held several sales and product marketing positions with Oracle Corporation. Ms. Mnookin received her A.B. with honors from Harvard College and her M.B.A. from the Harvard Business School.</w:t>
      </w:r>
    </w:p>
    <w:p>
      <w:pPr>
        <w:spacing w:after="0" w:line="192" w:lineRule="exact"/>
        <w:rPr>
          <w:sz w:val="20"/>
          <w:szCs w:val="20"/>
          <w:color w:val="auto"/>
        </w:rPr>
      </w:pPr>
    </w:p>
    <w:p>
      <w:pPr>
        <w:spacing w:after="0"/>
        <w:rPr>
          <w:sz w:val="20"/>
          <w:szCs w:val="20"/>
          <w:color w:val="auto"/>
        </w:rPr>
      </w:pPr>
      <w:r>
        <w:rPr>
          <w:rFonts w:ascii="Arial" w:cs="Arial" w:eastAsia="Arial" w:hAnsi="Arial"/>
          <w:sz w:val="19"/>
          <w:szCs w:val="19"/>
          <w:b w:val="1"/>
          <w:bCs w:val="1"/>
          <w:color w:val="B95827"/>
        </w:rPr>
        <w:t>QUALIFICATIONS</w:t>
      </w:r>
    </w:p>
    <w:p>
      <w:pPr>
        <w:spacing w:after="0" w:line="9" w:lineRule="exact"/>
        <w:rPr>
          <w:sz w:val="20"/>
          <w:szCs w:val="20"/>
          <w:color w:val="auto"/>
        </w:rPr>
      </w:pPr>
    </w:p>
    <w:p>
      <w:pPr>
        <w:spacing w:after="0" w:line="251" w:lineRule="auto"/>
        <w:rPr>
          <w:sz w:val="20"/>
          <w:szCs w:val="20"/>
          <w:color w:val="auto"/>
        </w:rPr>
      </w:pPr>
      <w:r>
        <w:rPr>
          <w:rFonts w:ascii="Arial" w:cs="Arial" w:eastAsia="Arial" w:hAnsi="Arial"/>
          <w:sz w:val="15"/>
          <w:szCs w:val="15"/>
          <w:color w:val="auto"/>
        </w:rPr>
        <w:t>Ms. Mnookin’s pertinent qualifications include her 20-year career in the technology industry, including executive leadership of high-growth cloud and business software companies, as well as service as a director of Bill Holdings, Inc., a public company that provides cloud-based software to simplify and automate back-office financial transactions for small- and mid-sized businesses. These experiences, including general management in Intuit’s small business division where she was responsible for leading a portfolio of Intuit’s business products, shaped her understanding of how businesses have transformed their technologies to increase strategic advantage.</w:t>
      </w:r>
    </w:p>
    <w:p>
      <w:pPr>
        <w:spacing w:after="0" w:line="5510" w:lineRule="exact"/>
        <w:rPr>
          <w:sz w:val="20"/>
          <w:szCs w:val="20"/>
          <w:color w:val="auto"/>
        </w:rPr>
      </w:pPr>
    </w:p>
    <w:p>
      <w:pPr>
        <w:sectPr>
          <w:pgSz w:w="11900" w:h="16838" w:orient="portrait"/>
          <w:cols w:equalWidth="0" w:num="3">
            <w:col w:w="2160" w:space="560"/>
            <w:col w:w="2320" w:space="340"/>
            <w:col w:w="5260"/>
          </w:cols>
          <w:pgMar w:left="320" w:top="464" w:right="939" w:bottom="1440" w:gutter="0" w:footer="0" w:header="0"/>
          <w:type w:val="continuous"/>
        </w:sectPr>
      </w:pPr>
    </w:p>
    <w:p>
      <w:pPr>
        <w:spacing w:after="0" w:line="200" w:lineRule="exact"/>
        <w:rPr>
          <w:sz w:val="20"/>
          <w:szCs w:val="20"/>
          <w:color w:val="auto"/>
        </w:rPr>
      </w:pPr>
    </w:p>
    <w:p>
      <w:pPr>
        <w:spacing w:after="0" w:line="385" w:lineRule="exact"/>
        <w:rPr>
          <w:sz w:val="20"/>
          <w:szCs w:val="20"/>
          <w:color w:val="auto"/>
        </w:rPr>
      </w:pPr>
    </w:p>
    <w:p>
      <w:pPr>
        <w:ind w:left="420"/>
        <w:spacing w:after="0"/>
        <w:tabs>
          <w:tab w:leader="none" w:pos="2380" w:val="left"/>
          <w:tab w:leader="none" w:pos="2800" w:val="left"/>
        </w:tabs>
        <w:rPr>
          <w:sz w:val="20"/>
          <w:szCs w:val="20"/>
          <w:color w:val="auto"/>
        </w:rPr>
      </w:pPr>
      <w:r>
        <w:rPr>
          <w:rFonts w:ascii="Arial" w:cs="Arial" w:eastAsia="Arial" w:hAnsi="Arial"/>
          <w:sz w:val="30"/>
          <w:szCs w:val="30"/>
          <w:color w:val="000000"/>
          <w:vertAlign w:val="superscript"/>
        </w:rPr>
        <w:t xml:space="preserve">             </w:t>
      </w:r>
      <w:r>
        <w:rPr>
          <w:sz w:val="20"/>
          <w:szCs w:val="20"/>
          <w:color w:val="auto"/>
        </w:rPr>
        <w:tab/>
      </w:r>
      <w:r>
        <w:rPr>
          <w:rFonts w:ascii="Arial" w:cs="Arial" w:eastAsia="Arial" w:hAnsi="Arial"/>
          <w:sz w:val="31"/>
          <w:szCs w:val="31"/>
          <w:color w:val="auto"/>
          <w:vertAlign w:val="superscript"/>
        </w:rPr>
        <w:t xml:space="preserve">    </w:t>
      </w:r>
      <w:r>
        <w:rPr>
          <w:sz w:val="20"/>
          <w:szCs w:val="20"/>
          <w:color w:val="auto"/>
        </w:rPr>
        <w:tab/>
      </w:r>
      <w:r>
        <w:rPr>
          <w:rFonts w:ascii="Arial" w:cs="Arial" w:eastAsia="Arial" w:hAnsi="Arial"/>
          <w:sz w:val="15"/>
          <w:szCs w:val="15"/>
          <w:b w:val="1"/>
          <w:bCs w:val="1"/>
          <w:color w:val="002B5F"/>
        </w:rPr>
        <w:t xml:space="preserve">16  </w:t>
      </w:r>
      <w:r>
        <w:rPr>
          <w:rFonts w:ascii="Arial" w:cs="Arial" w:eastAsia="Arial" w:hAnsi="Arial"/>
          <w:sz w:val="20"/>
          <w:szCs w:val="20"/>
          <w:color w:val="002B5F"/>
        </w:rPr>
        <w:t>|</w:t>
      </w:r>
      <w:r>
        <w:rPr>
          <w:rFonts w:ascii="Arial" w:cs="Arial" w:eastAsia="Arial" w:hAnsi="Arial"/>
          <w:sz w:val="15"/>
          <w:szCs w:val="15"/>
          <w:b w:val="1"/>
          <w:bCs w:val="1"/>
          <w:color w:val="002B5F"/>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6111875</wp:posOffset>
            </wp:positionH>
            <wp:positionV relativeFrom="paragraph">
              <wp:posOffset>-208915</wp:posOffset>
            </wp:positionV>
            <wp:extent cx="769620" cy="971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69620" cy="97155"/>
                    </a:xfrm>
                    <a:prstGeom prst="rect">
                      <a:avLst/>
                    </a:prstGeom>
                    <a:noFill/>
                  </pic:spPr>
                </pic:pic>
              </a:graphicData>
            </a:graphic>
          </wp:anchor>
        </w:drawing>
      </w:r>
    </w:p>
    <w:p>
      <w:pPr>
        <w:sectPr>
          <w:pgSz w:w="11900" w:h="16838" w:orient="portrait"/>
          <w:cols w:equalWidth="0" w:num="1">
            <w:col w:w="10640"/>
          </w:cols>
          <w:pgMar w:left="320" w:top="464" w:right="939" w:bottom="144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5334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81215" cy="5334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5617845</wp:posOffset>
            </wp:positionH>
            <wp:positionV relativeFrom="paragraph">
              <wp:posOffset>253365</wp:posOffset>
            </wp:positionV>
            <wp:extent cx="1256030" cy="74720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56030" cy="7472045"/>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tbl>
      <w:tblPr>
        <w:tblLayout w:type="fixed"/>
        <w:tblInd w:w="540" w:type="dxa"/>
        <w:tblCellMar>
          <w:top w:w="0" w:type="dxa"/>
          <w:left w:w="0" w:type="dxa"/>
          <w:bottom w:w="0" w:type="dxa"/>
          <w:right w:w="0" w:type="dxa"/>
        </w:tblCellMar>
      </w:tblPr>
      <w:tr>
        <w:trPr>
          <w:trHeight w:val="425"/>
        </w:trPr>
        <w:tc>
          <w:tcPr>
            <w:tcW w:w="7880" w:type="dxa"/>
            <w:vAlign w:val="bottom"/>
          </w:tcPr>
          <w:p>
            <w:pPr>
              <w:spacing w:after="0"/>
              <w:rPr>
                <w:sz w:val="20"/>
                <w:szCs w:val="20"/>
                <w:color w:val="auto"/>
              </w:rPr>
            </w:pPr>
            <w:r>
              <w:rPr>
                <w:rFonts w:ascii="Times New Roman" w:cs="Times New Roman" w:eastAsia="Times New Roman" w:hAnsi="Times New Roman"/>
                <w:sz w:val="37"/>
                <w:szCs w:val="37"/>
                <w:color w:val="B95827"/>
              </w:rPr>
              <w:t>Anne M. Mulcahy</w:t>
            </w:r>
          </w:p>
        </w:tc>
        <w:tc>
          <w:tcPr>
            <w:tcW w:w="660" w:type="dxa"/>
            <w:vAlign w:val="bottom"/>
          </w:tcPr>
          <w:p>
            <w:pPr>
              <w:ind w:left="460"/>
              <w:spacing w:after="0"/>
              <w:rPr>
                <w:sz w:val="20"/>
                <w:szCs w:val="20"/>
                <w:color w:val="auto"/>
              </w:rPr>
            </w:pPr>
            <w:r>
              <w:rPr>
                <w:rFonts w:ascii="Arial" w:cs="Arial" w:eastAsia="Arial" w:hAnsi="Arial"/>
                <w:sz w:val="15"/>
                <w:szCs w:val="15"/>
                <w:color w:val="auto"/>
              </w:rPr>
              <w:t> </w:t>
            </w:r>
          </w:p>
        </w:tc>
        <w:tc>
          <w:tcPr>
            <w:tcW w:w="1280" w:type="dxa"/>
            <w:vAlign w:val="bottom"/>
          </w:tcPr>
          <w:p>
            <w:pPr>
              <w:ind w:left="140"/>
              <w:spacing w:after="0"/>
              <w:rPr>
                <w:sz w:val="20"/>
                <w:szCs w:val="20"/>
                <w:color w:val="auto"/>
              </w:rPr>
            </w:pPr>
            <w:r>
              <w:rPr>
                <w:rFonts w:ascii="Arial" w:cs="Arial" w:eastAsia="Arial" w:hAnsi="Arial"/>
                <w:sz w:val="12"/>
                <w:szCs w:val="12"/>
                <w:color w:val="FFFFFF"/>
              </w:rPr>
              <w:t>General</w:t>
            </w:r>
          </w:p>
        </w:tc>
        <w:tc>
          <w:tcPr>
            <w:tcW w:w="440" w:type="dxa"/>
            <w:vAlign w:val="bottom"/>
          </w:tcPr>
          <w:p>
            <w:pPr>
              <w:ind w:left="80"/>
              <w:spacing w:after="0"/>
              <w:rPr>
                <w:sz w:val="20"/>
                <w:szCs w:val="20"/>
                <w:color w:val="auto"/>
              </w:rPr>
            </w:pPr>
            <w:r>
              <w:rPr>
                <w:rFonts w:ascii="Arial" w:cs="Arial" w:eastAsia="Arial" w:hAnsi="Arial"/>
                <w:sz w:val="15"/>
                <w:szCs w:val="15"/>
                <w:color w:val="auto"/>
              </w:rPr>
              <w:t xml:space="preserve">       </w:t>
            </w:r>
          </w:p>
        </w:tc>
        <w:tc>
          <w:tcPr>
            <w:tcW w:w="0" w:type="dxa"/>
            <w:vAlign w:val="bottom"/>
          </w:tcPr>
          <w:p>
            <w:pPr>
              <w:spacing w:after="0"/>
              <w:rPr>
                <w:sz w:val="1"/>
                <w:szCs w:val="1"/>
                <w:color w:val="auto"/>
              </w:rPr>
            </w:pPr>
          </w:p>
        </w:tc>
      </w:tr>
      <w:tr>
        <w:trPr>
          <w:trHeight w:val="95"/>
        </w:trPr>
        <w:tc>
          <w:tcPr>
            <w:tcW w:w="7880" w:type="dxa"/>
            <w:vAlign w:val="bottom"/>
            <w:tcBorders>
              <w:bottom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1280" w:type="dxa"/>
            <w:vAlign w:val="bottom"/>
          </w:tcPr>
          <w:p>
            <w:pPr>
              <w:ind w:left="140"/>
              <w:spacing w:after="0" w:line="88" w:lineRule="exact"/>
              <w:rPr>
                <w:sz w:val="20"/>
                <w:szCs w:val="20"/>
                <w:color w:val="auto"/>
              </w:rPr>
            </w:pPr>
            <w:r>
              <w:rPr>
                <w:rFonts w:ascii="Arial" w:cs="Arial" w:eastAsia="Arial" w:hAnsi="Arial"/>
                <w:sz w:val="10"/>
                <w:szCs w:val="10"/>
                <w:color w:val="FFFFFF"/>
              </w:rPr>
              <w:t>Information</w:t>
            </w: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4"/>
        </w:trPr>
        <w:tc>
          <w:tcPr>
            <w:tcW w:w="7880" w:type="dxa"/>
            <w:vAlign w:val="bottom"/>
            <w:vMerge w:val="restart"/>
          </w:tcPr>
          <w:p>
            <w:pPr>
              <w:ind w:left="2600"/>
              <w:spacing w:after="0"/>
              <w:rPr>
                <w:sz w:val="20"/>
                <w:szCs w:val="20"/>
                <w:color w:val="auto"/>
              </w:rPr>
            </w:pPr>
            <w:r>
              <w:rPr>
                <w:rFonts w:ascii="Arial" w:cs="Arial" w:eastAsia="Arial" w:hAnsi="Arial"/>
                <w:sz w:val="19"/>
                <w:szCs w:val="19"/>
                <w:b w:val="1"/>
                <w:bCs w:val="1"/>
                <w:color w:val="B95827"/>
              </w:rPr>
              <w:t>BACKGROUND</w:t>
            </w:r>
          </w:p>
        </w:tc>
        <w:tc>
          <w:tcPr>
            <w:tcW w:w="660" w:type="dxa"/>
            <w:vAlign w:val="bottom"/>
          </w:tcPr>
          <w:p>
            <w:pPr>
              <w:spacing w:after="0"/>
              <w:rPr>
                <w:sz w:val="24"/>
                <w:szCs w:val="24"/>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General Information</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7880" w:type="dxa"/>
            <w:vAlign w:val="bottom"/>
            <w:vMerge w:val="continue"/>
          </w:tcPr>
          <w:p>
            <w:pPr>
              <w:spacing w:after="0"/>
              <w:rPr>
                <w:sz w:val="11"/>
                <w:szCs w:val="11"/>
                <w:color w:val="auto"/>
              </w:rPr>
            </w:pPr>
          </w:p>
        </w:tc>
        <w:tc>
          <w:tcPr>
            <w:tcW w:w="660" w:type="dxa"/>
            <w:vAlign w:val="bottom"/>
          </w:tcPr>
          <w:p>
            <w:pPr>
              <w:spacing w:after="0"/>
              <w:rPr>
                <w:sz w:val="11"/>
                <w:szCs w:val="11"/>
                <w:color w:val="auto"/>
              </w:rPr>
            </w:pPr>
          </w:p>
        </w:tc>
        <w:tc>
          <w:tcPr>
            <w:tcW w:w="1280" w:type="dxa"/>
            <w:vAlign w:val="bottom"/>
          </w:tcPr>
          <w:p>
            <w:pPr>
              <w:ind w:left="140"/>
              <w:spacing w:after="0" w:line="133" w:lineRule="exact"/>
              <w:rPr>
                <w:sz w:val="20"/>
                <w:szCs w:val="20"/>
                <w:color w:val="auto"/>
              </w:rPr>
            </w:pPr>
            <w:r>
              <w:rPr>
                <w:rFonts w:ascii="Arial" w:cs="Arial" w:eastAsia="Arial" w:hAnsi="Arial"/>
                <w:sz w:val="12"/>
                <w:szCs w:val="12"/>
                <w:color w:val="FFFFFF"/>
              </w:rPr>
              <w:t>About Corporate</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9"/>
        </w:trPr>
        <w:tc>
          <w:tcPr>
            <w:tcW w:w="7880" w:type="dxa"/>
            <w:vAlign w:val="bottom"/>
          </w:tcPr>
          <w:p>
            <w:pPr>
              <w:ind w:left="2600"/>
              <w:spacing w:after="0"/>
              <w:rPr>
                <w:sz w:val="20"/>
                <w:szCs w:val="20"/>
                <w:color w:val="auto"/>
              </w:rPr>
            </w:pPr>
            <w:r>
              <w:rPr>
                <w:rFonts w:ascii="Arial" w:cs="Arial" w:eastAsia="Arial" w:hAnsi="Arial"/>
                <w:sz w:val="15"/>
                <w:szCs w:val="15"/>
                <w:color w:val="auto"/>
              </w:rPr>
              <w:t>Ms. Mulcahy served as chair of the board of trustees of Save The Children</w:t>
            </w:r>
          </w:p>
        </w:tc>
        <w:tc>
          <w:tcPr>
            <w:tcW w:w="660" w:type="dxa"/>
            <w:vAlign w:val="bottom"/>
          </w:tcPr>
          <w:p>
            <w:pPr>
              <w:spacing w:after="0"/>
              <w:rPr>
                <w:sz w:val="15"/>
                <w:szCs w:val="15"/>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Governance</w:t>
            </w: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2"/>
        </w:trPr>
        <w:tc>
          <w:tcPr>
            <w:tcW w:w="7880" w:type="dxa"/>
            <w:vAlign w:val="bottom"/>
            <w:vMerge w:val="restart"/>
          </w:tcPr>
          <w:p>
            <w:pPr>
              <w:ind w:left="2600"/>
              <w:spacing w:after="0"/>
              <w:rPr>
                <w:sz w:val="20"/>
                <w:szCs w:val="20"/>
                <w:color w:val="auto"/>
              </w:rPr>
            </w:pPr>
            <w:r>
              <w:rPr>
                <w:rFonts w:ascii="Arial" w:cs="Arial" w:eastAsia="Arial" w:hAnsi="Arial"/>
                <w:sz w:val="15"/>
                <w:szCs w:val="15"/>
                <w:color w:val="auto"/>
              </w:rPr>
              <w:t>Federation, Inc., a non-profit organization dedicated to creating lasting</w:t>
            </w:r>
          </w:p>
        </w:tc>
        <w:tc>
          <w:tcPr>
            <w:tcW w:w="660" w:type="dxa"/>
            <w:vAlign w:val="bottom"/>
          </w:tcPr>
          <w:p>
            <w:pPr>
              <w:spacing w:after="0"/>
              <w:rPr>
                <w:sz w:val="6"/>
                <w:szCs w:val="6"/>
                <w:color w:val="auto"/>
              </w:rPr>
            </w:pPr>
          </w:p>
        </w:tc>
        <w:tc>
          <w:tcPr>
            <w:tcW w:w="1280" w:type="dxa"/>
            <w:vAlign w:val="bottom"/>
          </w:tcPr>
          <w:p>
            <w:pPr>
              <w:ind w:left="140"/>
              <w:spacing w:after="0" w:line="72" w:lineRule="exact"/>
              <w:rPr>
                <w:sz w:val="20"/>
                <w:szCs w:val="20"/>
                <w:color w:val="auto"/>
              </w:rPr>
            </w:pPr>
            <w:r>
              <w:rPr>
                <w:rFonts w:ascii="Arial" w:cs="Arial" w:eastAsia="Arial" w:hAnsi="Arial"/>
                <w:sz w:val="8"/>
                <w:szCs w:val="8"/>
                <w:color w:val="FFFFFF"/>
              </w:rPr>
              <w:t>and the Board of</w:t>
            </w:r>
          </w:p>
        </w:tc>
        <w:tc>
          <w:tcPr>
            <w:tcW w:w="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3"/>
        </w:trPr>
        <w:tc>
          <w:tcPr>
            <w:tcW w:w="7880" w:type="dxa"/>
            <w:vAlign w:val="bottom"/>
            <w:vMerge w:val="continue"/>
          </w:tcPr>
          <w:p>
            <w:pPr>
              <w:spacing w:after="0"/>
              <w:rPr>
                <w:sz w:val="11"/>
                <w:szCs w:val="11"/>
                <w:color w:val="auto"/>
              </w:rPr>
            </w:pPr>
          </w:p>
        </w:tc>
        <w:tc>
          <w:tcPr>
            <w:tcW w:w="660" w:type="dxa"/>
            <w:vAlign w:val="bottom"/>
          </w:tcPr>
          <w:p>
            <w:pPr>
              <w:spacing w:after="0"/>
              <w:rPr>
                <w:sz w:val="11"/>
                <w:szCs w:val="11"/>
                <w:color w:val="auto"/>
              </w:rPr>
            </w:pPr>
          </w:p>
        </w:tc>
        <w:tc>
          <w:tcPr>
            <w:tcW w:w="1280" w:type="dxa"/>
            <w:vAlign w:val="bottom"/>
          </w:tcPr>
          <w:p>
            <w:pPr>
              <w:ind w:left="140"/>
              <w:spacing w:after="0" w:line="133" w:lineRule="exact"/>
              <w:rPr>
                <w:sz w:val="20"/>
                <w:szCs w:val="20"/>
                <w:color w:val="auto"/>
              </w:rPr>
            </w:pPr>
            <w:r>
              <w:rPr>
                <w:rFonts w:ascii="Arial" w:cs="Arial" w:eastAsia="Arial" w:hAnsi="Arial"/>
                <w:sz w:val="12"/>
                <w:szCs w:val="12"/>
                <w:color w:val="FFFFFF"/>
              </w:rPr>
              <w:t>Directors</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9"/>
        </w:trPr>
        <w:tc>
          <w:tcPr>
            <w:tcW w:w="7880" w:type="dxa"/>
            <w:vAlign w:val="bottom"/>
          </w:tcPr>
          <w:p>
            <w:pPr>
              <w:ind w:left="2600"/>
              <w:spacing w:after="0"/>
              <w:rPr>
                <w:sz w:val="20"/>
                <w:szCs w:val="20"/>
                <w:color w:val="auto"/>
              </w:rPr>
            </w:pPr>
            <w:r>
              <w:rPr>
                <w:rFonts w:ascii="Arial" w:cs="Arial" w:eastAsia="Arial" w:hAnsi="Arial"/>
                <w:sz w:val="15"/>
                <w:szCs w:val="15"/>
                <w:color w:val="auto"/>
              </w:rPr>
              <w:t>change in the lives of children throughout the world, from March 2010 to</w:t>
            </w:r>
          </w:p>
        </w:tc>
        <w:tc>
          <w:tcPr>
            <w:tcW w:w="660" w:type="dxa"/>
            <w:vAlign w:val="bottom"/>
          </w:tcPr>
          <w:p>
            <w:pPr>
              <w:spacing w:after="0"/>
              <w:rPr>
                <w:sz w:val="15"/>
                <w:szCs w:val="15"/>
                <w:color w:val="auto"/>
              </w:rPr>
            </w:pPr>
          </w:p>
        </w:tc>
        <w:tc>
          <w:tcPr>
            <w:tcW w:w="1280" w:type="dxa"/>
            <w:vAlign w:val="bottom"/>
            <w:vMerge w:val="restart"/>
          </w:tcPr>
          <w:p>
            <w:pPr>
              <w:ind w:left="140"/>
              <w:spacing w:after="0"/>
              <w:rPr>
                <w:sz w:val="20"/>
                <w:szCs w:val="20"/>
                <w:color w:val="auto"/>
              </w:rPr>
            </w:pPr>
            <w:r>
              <w:rPr>
                <w:rFonts w:ascii="Arial" w:cs="Arial" w:eastAsia="Arial" w:hAnsi="Arial"/>
                <w:sz w:val="12"/>
                <w:szCs w:val="12"/>
                <w:b w:val="1"/>
                <w:bCs w:val="1"/>
                <w:color w:val="FFFFFF"/>
              </w:rPr>
              <w:t>Proposal 1</w:t>
            </w: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7880" w:type="dxa"/>
            <w:vAlign w:val="bottom"/>
          </w:tcPr>
          <w:p>
            <w:pPr>
              <w:ind w:left="2600"/>
              <w:spacing w:after="0"/>
              <w:rPr>
                <w:sz w:val="20"/>
                <w:szCs w:val="20"/>
                <w:color w:val="auto"/>
              </w:rPr>
            </w:pPr>
            <w:r>
              <w:rPr>
                <w:rFonts w:ascii="Arial" w:cs="Arial" w:eastAsia="Arial" w:hAnsi="Arial"/>
                <w:sz w:val="15"/>
                <w:szCs w:val="15"/>
                <w:color w:val="auto"/>
              </w:rPr>
              <w:t>February 2017. She continues to serve as chairman emeritus of Save The</w:t>
            </w:r>
          </w:p>
        </w:tc>
        <w:tc>
          <w:tcPr>
            <w:tcW w:w="660" w:type="dxa"/>
            <w:vAlign w:val="bottom"/>
          </w:tcPr>
          <w:p>
            <w:pPr>
              <w:spacing w:after="0"/>
              <w:rPr>
                <w:sz w:val="15"/>
                <w:szCs w:val="15"/>
                <w:color w:val="auto"/>
              </w:rPr>
            </w:pPr>
          </w:p>
        </w:tc>
        <w:tc>
          <w:tcPr>
            <w:tcW w:w="1280" w:type="dxa"/>
            <w:vAlign w:val="bottom"/>
            <w:vMerge w:val="continue"/>
          </w:tcPr>
          <w:p>
            <w:pPr>
              <w:spacing w:after="0"/>
              <w:rPr>
                <w:sz w:val="15"/>
                <w:szCs w:val="15"/>
                <w:color w:val="auto"/>
              </w:rPr>
            </w:pP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7880" w:type="dxa"/>
            <w:vAlign w:val="bottom"/>
          </w:tcPr>
          <w:p>
            <w:pPr>
              <w:ind w:left="2600"/>
              <w:spacing w:after="0"/>
              <w:rPr>
                <w:sz w:val="20"/>
                <w:szCs w:val="20"/>
                <w:color w:val="auto"/>
              </w:rPr>
            </w:pPr>
            <w:r>
              <w:rPr>
                <w:rFonts w:ascii="Arial" w:cs="Arial" w:eastAsia="Arial" w:hAnsi="Arial"/>
                <w:sz w:val="15"/>
                <w:szCs w:val="15"/>
                <w:color w:val="auto"/>
              </w:rPr>
              <w:t>Children Federation, Inc., and is currently the chair of the Nature</w:t>
            </w:r>
          </w:p>
        </w:tc>
        <w:tc>
          <w:tcPr>
            <w:tcW w:w="660" w:type="dxa"/>
            <w:vAlign w:val="bottom"/>
          </w:tcPr>
          <w:p>
            <w:pPr>
              <w:spacing w:after="0"/>
              <w:rPr>
                <w:sz w:val="15"/>
                <w:szCs w:val="15"/>
                <w:color w:val="auto"/>
              </w:rPr>
            </w:pPr>
          </w:p>
        </w:tc>
        <w:tc>
          <w:tcPr>
            <w:tcW w:w="1280" w:type="dxa"/>
            <w:vAlign w:val="bottom"/>
            <w:vMerge w:val="restart"/>
          </w:tcPr>
          <w:p>
            <w:pPr>
              <w:ind w:left="140"/>
              <w:spacing w:after="0"/>
              <w:rPr>
                <w:sz w:val="20"/>
                <w:szCs w:val="20"/>
                <w:color w:val="auto"/>
              </w:rPr>
            </w:pPr>
            <w:r>
              <w:rPr>
                <w:rFonts w:ascii="Arial" w:cs="Arial" w:eastAsia="Arial" w:hAnsi="Arial"/>
                <w:sz w:val="12"/>
                <w:szCs w:val="12"/>
                <w:color w:val="FFFFFF"/>
              </w:rPr>
              <w:t>Information</w:t>
            </w: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6"/>
        </w:trPr>
        <w:tc>
          <w:tcPr>
            <w:tcW w:w="7880" w:type="dxa"/>
            <w:vAlign w:val="bottom"/>
            <w:vMerge w:val="restart"/>
          </w:tcPr>
          <w:p>
            <w:pPr>
              <w:ind w:left="2600"/>
              <w:spacing w:after="0"/>
              <w:rPr>
                <w:sz w:val="20"/>
                <w:szCs w:val="20"/>
                <w:color w:val="auto"/>
              </w:rPr>
            </w:pPr>
            <w:r>
              <w:rPr>
                <w:rFonts w:ascii="Arial" w:cs="Arial" w:eastAsia="Arial" w:hAnsi="Arial"/>
                <w:sz w:val="15"/>
                <w:szCs w:val="15"/>
                <w:color w:val="auto"/>
              </w:rPr>
              <w:t>Conservancy of Connecticut. She previously served as chair of the board of</w:t>
            </w:r>
          </w:p>
        </w:tc>
        <w:tc>
          <w:tcPr>
            <w:tcW w:w="66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28"/>
        </w:trPr>
        <w:tc>
          <w:tcPr>
            <w:tcW w:w="7880" w:type="dxa"/>
            <w:vAlign w:val="bottom"/>
            <w:vMerge w:val="continue"/>
          </w:tcPr>
          <w:p>
            <w:pPr>
              <w:spacing w:after="0"/>
              <w:rPr>
                <w:sz w:val="11"/>
                <w:szCs w:val="11"/>
                <w:color w:val="auto"/>
              </w:rPr>
            </w:pPr>
          </w:p>
        </w:tc>
        <w:tc>
          <w:tcPr>
            <w:tcW w:w="660" w:type="dxa"/>
            <w:vAlign w:val="bottom"/>
          </w:tcPr>
          <w:p>
            <w:pPr>
              <w:spacing w:after="0"/>
              <w:rPr>
                <w:sz w:val="11"/>
                <w:szCs w:val="11"/>
                <w:color w:val="auto"/>
              </w:rPr>
            </w:pPr>
          </w:p>
        </w:tc>
        <w:tc>
          <w:tcPr>
            <w:tcW w:w="1280" w:type="dxa"/>
            <w:vAlign w:val="bottom"/>
          </w:tcPr>
          <w:p>
            <w:pPr>
              <w:ind w:left="140"/>
              <w:spacing w:after="0" w:line="128" w:lineRule="exact"/>
              <w:rPr>
                <w:sz w:val="20"/>
                <w:szCs w:val="20"/>
                <w:color w:val="auto"/>
              </w:rPr>
            </w:pPr>
            <w:r>
              <w:rPr>
                <w:rFonts w:ascii="Arial" w:cs="Arial" w:eastAsia="Arial" w:hAnsi="Arial"/>
                <w:sz w:val="12"/>
                <w:szCs w:val="12"/>
                <w:color w:val="FFFFFF"/>
              </w:rPr>
              <w:t>Regarding Board</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7880" w:type="dxa"/>
            <w:vAlign w:val="bottom"/>
          </w:tcPr>
          <w:p>
            <w:pPr>
              <w:ind w:left="2600"/>
              <w:spacing w:after="0" w:line="158" w:lineRule="exact"/>
              <w:rPr>
                <w:sz w:val="20"/>
                <w:szCs w:val="20"/>
                <w:color w:val="auto"/>
              </w:rPr>
            </w:pPr>
            <w:r>
              <w:rPr>
                <w:rFonts w:ascii="Arial" w:cs="Arial" w:eastAsia="Arial" w:hAnsi="Arial"/>
                <w:sz w:val="15"/>
                <w:szCs w:val="15"/>
                <w:color w:val="auto"/>
              </w:rPr>
              <w:t>Xerox Corporation (“Xerox”), a global business services and document</w:t>
            </w:r>
          </w:p>
        </w:tc>
        <w:tc>
          <w:tcPr>
            <w:tcW w:w="660" w:type="dxa"/>
            <w:vAlign w:val="bottom"/>
          </w:tcPr>
          <w:p>
            <w:pPr>
              <w:spacing w:after="0"/>
              <w:rPr>
                <w:sz w:val="13"/>
                <w:szCs w:val="13"/>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and Committee</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7880" w:type="dxa"/>
            <w:vAlign w:val="bottom"/>
            <w:vMerge w:val="restart"/>
          </w:tcPr>
          <w:p>
            <w:pPr>
              <w:ind w:left="2600"/>
              <w:spacing w:after="0"/>
              <w:rPr>
                <w:sz w:val="20"/>
                <w:szCs w:val="20"/>
                <w:color w:val="auto"/>
              </w:rPr>
            </w:pPr>
            <w:r>
              <w:rPr>
                <w:rFonts w:ascii="Arial" w:cs="Arial" w:eastAsia="Arial" w:hAnsi="Arial"/>
                <w:sz w:val="15"/>
                <w:szCs w:val="15"/>
                <w:color w:val="auto"/>
              </w:rPr>
              <w:t>technology provider, from January 2002 to May 2010, and chief executive</w:t>
            </w:r>
          </w:p>
        </w:tc>
        <w:tc>
          <w:tcPr>
            <w:tcW w:w="660" w:type="dxa"/>
            <w:vAlign w:val="bottom"/>
          </w:tcPr>
          <w:p>
            <w:pPr>
              <w:spacing w:after="0"/>
              <w:rPr>
                <w:sz w:val="13"/>
                <w:szCs w:val="13"/>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Structure</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7"/>
        </w:trPr>
        <w:tc>
          <w:tcPr>
            <w:tcW w:w="7880" w:type="dxa"/>
            <w:vAlign w:val="bottom"/>
            <w:vMerge w:val="continue"/>
          </w:tcPr>
          <w:p>
            <w:pPr>
              <w:spacing w:after="0"/>
              <w:rPr>
                <w:sz w:val="4"/>
                <w:szCs w:val="4"/>
                <w:color w:val="auto"/>
              </w:rPr>
            </w:pPr>
          </w:p>
        </w:tc>
        <w:tc>
          <w:tcPr>
            <w:tcW w:w="660" w:type="dxa"/>
            <w:vAlign w:val="bottom"/>
          </w:tcPr>
          <w:p>
            <w:pPr>
              <w:spacing w:after="0"/>
              <w:rPr>
                <w:sz w:val="4"/>
                <w:szCs w:val="4"/>
                <w:color w:val="auto"/>
              </w:rPr>
            </w:pPr>
          </w:p>
        </w:tc>
        <w:tc>
          <w:tcPr>
            <w:tcW w:w="128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9"/>
        </w:trPr>
        <w:tc>
          <w:tcPr>
            <w:tcW w:w="7880" w:type="dxa"/>
            <w:vAlign w:val="bottom"/>
          </w:tcPr>
          <w:p>
            <w:pPr>
              <w:ind w:left="2600"/>
              <w:spacing w:after="0"/>
              <w:rPr>
                <w:sz w:val="20"/>
                <w:szCs w:val="20"/>
                <w:color w:val="auto"/>
              </w:rPr>
            </w:pPr>
            <w:r>
              <w:rPr>
                <w:rFonts w:ascii="Arial" w:cs="Arial" w:eastAsia="Arial" w:hAnsi="Arial"/>
                <w:sz w:val="15"/>
                <w:szCs w:val="15"/>
                <w:color w:val="auto"/>
              </w:rPr>
              <w:t>officer of Xerox from August 2001 to July 2009. Prior to serving as a chief</w:t>
            </w:r>
          </w:p>
        </w:tc>
        <w:tc>
          <w:tcPr>
            <w:tcW w:w="660" w:type="dxa"/>
            <w:vAlign w:val="bottom"/>
          </w:tcPr>
          <w:p>
            <w:pPr>
              <w:spacing w:after="0"/>
              <w:rPr>
                <w:sz w:val="15"/>
                <w:szCs w:val="15"/>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Board of Directors</w:t>
            </w: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7880" w:type="dxa"/>
            <w:vAlign w:val="bottom"/>
          </w:tcPr>
          <w:p>
            <w:pPr>
              <w:ind w:left="2600"/>
              <w:spacing w:after="0"/>
              <w:rPr>
                <w:sz w:val="20"/>
                <w:szCs w:val="20"/>
                <w:color w:val="auto"/>
              </w:rPr>
            </w:pPr>
            <w:r>
              <w:rPr>
                <w:rFonts w:ascii="Arial" w:cs="Arial" w:eastAsia="Arial" w:hAnsi="Arial"/>
                <w:sz w:val="15"/>
                <w:szCs w:val="15"/>
                <w:color w:val="auto"/>
              </w:rPr>
              <w:t>executive officer, Ms. Mulcahy was president and chief operating officer of</w:t>
            </w:r>
          </w:p>
        </w:tc>
        <w:tc>
          <w:tcPr>
            <w:tcW w:w="660" w:type="dxa"/>
            <w:vAlign w:val="bottom"/>
          </w:tcPr>
          <w:p>
            <w:pPr>
              <w:spacing w:after="0"/>
              <w:rPr>
                <w:sz w:val="15"/>
                <w:szCs w:val="15"/>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Compensation</w:t>
            </w: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7880" w:type="dxa"/>
            <w:vAlign w:val="bottom"/>
          </w:tcPr>
          <w:p>
            <w:pPr>
              <w:ind w:left="2600"/>
              <w:spacing w:after="0"/>
              <w:rPr>
                <w:sz w:val="20"/>
                <w:szCs w:val="20"/>
                <w:color w:val="auto"/>
              </w:rPr>
            </w:pPr>
            <w:r>
              <w:rPr>
                <w:rFonts w:ascii="Arial" w:cs="Arial" w:eastAsia="Arial" w:hAnsi="Arial"/>
                <w:sz w:val="15"/>
                <w:szCs w:val="15"/>
                <w:color w:val="auto"/>
              </w:rPr>
              <w:t>Xerox. Ms. Mulcahy received a B.A. from Marymount College of Fordham</w:t>
            </w:r>
          </w:p>
        </w:tc>
        <w:tc>
          <w:tcPr>
            <w:tcW w:w="660" w:type="dxa"/>
            <w:vAlign w:val="bottom"/>
          </w:tcPr>
          <w:p>
            <w:pPr>
              <w:spacing w:after="0"/>
              <w:rPr>
                <w:sz w:val="15"/>
                <w:szCs w:val="15"/>
                <w:color w:val="auto"/>
              </w:rPr>
            </w:pPr>
          </w:p>
        </w:tc>
        <w:tc>
          <w:tcPr>
            <w:tcW w:w="1280" w:type="dxa"/>
            <w:vAlign w:val="bottom"/>
            <w:vMerge w:val="restart"/>
          </w:tcPr>
          <w:p>
            <w:pPr>
              <w:ind w:left="140"/>
              <w:spacing w:after="0"/>
              <w:rPr>
                <w:sz w:val="20"/>
                <w:szCs w:val="20"/>
                <w:color w:val="auto"/>
              </w:rPr>
            </w:pPr>
            <w:r>
              <w:rPr>
                <w:rFonts w:ascii="Arial" w:cs="Arial" w:eastAsia="Arial" w:hAnsi="Arial"/>
                <w:sz w:val="12"/>
                <w:szCs w:val="12"/>
                <w:color w:val="FFFFFF"/>
              </w:rPr>
              <w:t>Compensation</w:t>
            </w: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1"/>
        </w:trPr>
        <w:tc>
          <w:tcPr>
            <w:tcW w:w="7880" w:type="dxa"/>
            <w:vAlign w:val="bottom"/>
            <w:vMerge w:val="restart"/>
          </w:tcPr>
          <w:p>
            <w:pPr>
              <w:ind w:left="2600"/>
              <w:spacing w:after="0"/>
              <w:rPr>
                <w:sz w:val="20"/>
                <w:szCs w:val="20"/>
                <w:color w:val="auto"/>
              </w:rPr>
            </w:pPr>
            <w:r>
              <w:rPr>
                <w:rFonts w:ascii="Arial" w:cs="Arial" w:eastAsia="Arial" w:hAnsi="Arial"/>
                <w:sz w:val="15"/>
                <w:szCs w:val="15"/>
                <w:color w:val="auto"/>
              </w:rPr>
              <w:t>University.</w:t>
            </w:r>
          </w:p>
        </w:tc>
        <w:tc>
          <w:tcPr>
            <w:tcW w:w="66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8"/>
        </w:trPr>
        <w:tc>
          <w:tcPr>
            <w:tcW w:w="7880" w:type="dxa"/>
            <w:vAlign w:val="bottom"/>
            <w:vMerge w:val="continue"/>
          </w:tcPr>
          <w:p>
            <w:pPr>
              <w:spacing w:after="0"/>
              <w:rPr>
                <w:sz w:val="11"/>
                <w:szCs w:val="11"/>
                <w:color w:val="auto"/>
              </w:rPr>
            </w:pPr>
          </w:p>
        </w:tc>
        <w:tc>
          <w:tcPr>
            <w:tcW w:w="660" w:type="dxa"/>
            <w:vAlign w:val="bottom"/>
          </w:tcPr>
          <w:p>
            <w:pPr>
              <w:spacing w:after="0"/>
              <w:rPr>
                <w:sz w:val="11"/>
                <w:szCs w:val="11"/>
                <w:color w:val="auto"/>
              </w:rPr>
            </w:pPr>
          </w:p>
        </w:tc>
        <w:tc>
          <w:tcPr>
            <w:tcW w:w="1280" w:type="dxa"/>
            <w:vAlign w:val="bottom"/>
          </w:tcPr>
          <w:p>
            <w:pPr>
              <w:ind w:left="140"/>
              <w:spacing w:after="0" w:line="128" w:lineRule="exact"/>
              <w:rPr>
                <w:sz w:val="20"/>
                <w:szCs w:val="20"/>
                <w:color w:val="auto"/>
              </w:rPr>
            </w:pPr>
            <w:r>
              <w:rPr>
                <w:rFonts w:ascii="Arial" w:cs="Arial" w:eastAsia="Arial" w:hAnsi="Arial"/>
                <w:sz w:val="12"/>
                <w:szCs w:val="12"/>
                <w:color w:val="FFFFFF"/>
              </w:rPr>
              <w:t>Discussion and</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78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Analysis</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341630</wp:posOffset>
            </wp:positionH>
            <wp:positionV relativeFrom="paragraph">
              <wp:posOffset>-1595755</wp:posOffset>
            </wp:positionV>
            <wp:extent cx="1499235" cy="157226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499235" cy="1572260"/>
                    </a:xfrm>
                    <a:prstGeom prst="rect">
                      <a:avLst/>
                    </a:prstGeom>
                    <a:noFill/>
                  </pic:spPr>
                </pic:pic>
              </a:graphicData>
            </a:graphic>
          </wp:anchor>
        </w:drawing>
      </w:r>
    </w:p>
    <w:p>
      <w:pPr>
        <w:sectPr>
          <w:pgSz w:w="11900" w:h="16838" w:orient="portrait"/>
          <w:cols w:equalWidth="0" w:num="1">
            <w:col w:w="10800"/>
          </w:cols>
          <w:pgMar w:left="320" w:top="464" w:right="779" w:bottom="1440" w:gutter="0" w:footer="0" w:header="0"/>
        </w:sectPr>
      </w:pPr>
    </w:p>
    <w:p>
      <w:pPr>
        <w:spacing w:after="0" w:line="132" w:lineRule="exact"/>
        <w:rPr>
          <w:sz w:val="20"/>
          <w:szCs w:val="20"/>
          <w:color w:val="auto"/>
        </w:rPr>
      </w:pPr>
    </w:p>
    <w:p>
      <w:pPr>
        <w:ind w:left="540"/>
        <w:spacing w:after="0"/>
        <w:rPr>
          <w:sz w:val="20"/>
          <w:szCs w:val="20"/>
          <w:color w:val="auto"/>
        </w:rPr>
      </w:pPr>
      <w:r>
        <w:rPr>
          <w:rFonts w:ascii="Arial" w:cs="Arial" w:eastAsia="Arial" w:hAnsi="Arial"/>
          <w:sz w:val="19"/>
          <w:szCs w:val="19"/>
          <w:b w:val="1"/>
          <w:bCs w:val="1"/>
          <w:color w:val="B95827"/>
        </w:rPr>
        <w:t xml:space="preserve">AGE </w:t>
      </w:r>
      <w:r>
        <w:rPr>
          <w:rFonts w:ascii="Arial" w:cs="Arial" w:eastAsia="Arial" w:hAnsi="Arial"/>
          <w:sz w:val="15"/>
          <w:szCs w:val="15"/>
          <w:color w:val="000000"/>
        </w:rPr>
        <w:t>73</w:t>
      </w:r>
    </w:p>
    <w:p>
      <w:pPr>
        <w:spacing w:after="0" w:line="101" w:lineRule="exact"/>
        <w:rPr>
          <w:sz w:val="20"/>
          <w:szCs w:val="20"/>
          <w:color w:val="auto"/>
        </w:rPr>
      </w:pPr>
    </w:p>
    <w:p>
      <w:pPr>
        <w:ind w:left="540"/>
        <w:spacing w:after="0"/>
        <w:rPr>
          <w:sz w:val="20"/>
          <w:szCs w:val="20"/>
          <w:color w:val="auto"/>
        </w:rPr>
      </w:pPr>
      <w:r>
        <w:rPr>
          <w:rFonts w:ascii="Arial" w:cs="Arial" w:eastAsia="Arial" w:hAnsi="Arial"/>
          <w:sz w:val="19"/>
          <w:szCs w:val="19"/>
          <w:b w:val="1"/>
          <w:bCs w:val="1"/>
          <w:color w:val="B95827"/>
        </w:rPr>
        <w:t xml:space="preserve">DIRECTOR SINCE </w:t>
      </w:r>
      <w:r>
        <w:rPr>
          <w:rFonts w:ascii="Arial" w:cs="Arial" w:eastAsia="Arial" w:hAnsi="Arial"/>
          <w:sz w:val="15"/>
          <w:szCs w:val="15"/>
          <w:color w:val="000000"/>
        </w:rPr>
        <w:t>2013</w:t>
      </w:r>
    </w:p>
    <w:p>
      <w:pPr>
        <w:spacing w:after="0" w:line="101" w:lineRule="exact"/>
        <w:rPr>
          <w:sz w:val="20"/>
          <w:szCs w:val="20"/>
          <w:color w:val="auto"/>
        </w:rPr>
      </w:pPr>
    </w:p>
    <w:p>
      <w:pPr>
        <w:ind w:left="540"/>
        <w:spacing w:after="0"/>
        <w:rPr>
          <w:sz w:val="20"/>
          <w:szCs w:val="20"/>
          <w:color w:val="auto"/>
        </w:rPr>
      </w:pPr>
      <w:r>
        <w:rPr>
          <w:rFonts w:ascii="Arial" w:cs="Arial" w:eastAsia="Arial" w:hAnsi="Arial"/>
          <w:sz w:val="19"/>
          <w:szCs w:val="19"/>
          <w:b w:val="1"/>
          <w:bCs w:val="1"/>
          <w:color w:val="B95827"/>
        </w:rPr>
        <w:t>INDEPENDENT</w:t>
      </w:r>
    </w:p>
    <w:p>
      <w:pPr>
        <w:spacing w:after="0" w:line="101" w:lineRule="exact"/>
        <w:rPr>
          <w:sz w:val="20"/>
          <w:szCs w:val="20"/>
          <w:color w:val="auto"/>
        </w:rPr>
      </w:pPr>
    </w:p>
    <w:p>
      <w:pPr>
        <w:ind w:left="540"/>
        <w:spacing w:after="0"/>
        <w:rPr>
          <w:sz w:val="20"/>
          <w:szCs w:val="20"/>
          <w:color w:val="auto"/>
        </w:rPr>
      </w:pPr>
      <w:r>
        <w:rPr>
          <w:rFonts w:ascii="Arial" w:cs="Arial" w:eastAsia="Arial" w:hAnsi="Arial"/>
          <w:sz w:val="19"/>
          <w:szCs w:val="19"/>
          <w:b w:val="1"/>
          <w:bCs w:val="1"/>
          <w:color w:val="B95827"/>
        </w:rPr>
        <w:t>COMMITTEES:</w:t>
      </w:r>
    </w:p>
    <w:p>
      <w:pPr>
        <w:spacing w:after="0" w:line="4" w:lineRule="exact"/>
        <w:rPr>
          <w:sz w:val="20"/>
          <w:szCs w:val="20"/>
          <w:color w:val="auto"/>
        </w:rPr>
      </w:pPr>
    </w:p>
    <w:p>
      <w:pPr>
        <w:ind w:left="700" w:hanging="159"/>
        <w:spacing w:after="0" w:line="233" w:lineRule="auto"/>
        <w:tabs>
          <w:tab w:leader="none" w:pos="700" w:val="left"/>
        </w:tabs>
        <w:numPr>
          <w:ilvl w:val="0"/>
          <w:numId w:val="31"/>
        </w:numPr>
        <w:rPr>
          <w:rFonts w:ascii="Arial" w:cs="Arial" w:eastAsia="Arial" w:hAnsi="Arial"/>
          <w:sz w:val="19"/>
          <w:szCs w:val="19"/>
          <w:color w:val="auto"/>
        </w:rPr>
      </w:pPr>
      <w:r>
        <w:rPr>
          <w:rFonts w:ascii="Arial" w:cs="Arial" w:eastAsia="Arial" w:hAnsi="Arial"/>
          <w:sz w:val="19"/>
          <w:szCs w:val="19"/>
          <w:color w:val="auto"/>
        </w:rPr>
        <w:t>Nominating and Governance Committee (Chair)</w:t>
      </w:r>
    </w:p>
    <w:p>
      <w:pPr>
        <w:spacing w:after="0" w:line="73" w:lineRule="exact"/>
        <w:rPr>
          <w:sz w:val="20"/>
          <w:szCs w:val="20"/>
          <w:color w:val="auto"/>
        </w:rPr>
      </w:pPr>
    </w:p>
    <w:p>
      <w:pPr>
        <w:ind w:left="540" w:right="320"/>
        <w:spacing w:after="0" w:line="295" w:lineRule="auto"/>
        <w:rPr>
          <w:sz w:val="20"/>
          <w:szCs w:val="20"/>
          <w:color w:val="auto"/>
        </w:rPr>
      </w:pPr>
      <w:r>
        <w:rPr>
          <w:rFonts w:ascii="Arial" w:cs="Arial" w:eastAsia="Arial" w:hAnsi="Arial"/>
          <w:sz w:val="18"/>
          <w:szCs w:val="18"/>
          <w:b w:val="1"/>
          <w:bCs w:val="1"/>
          <w:color w:val="B95827"/>
        </w:rPr>
        <w:t>OTHER PUBLIC COMPANY BOARDS</w:t>
      </w:r>
    </w:p>
    <w:p>
      <w:pPr>
        <w:spacing w:after="0" w:line="22" w:lineRule="exact"/>
        <w:rPr>
          <w:sz w:val="20"/>
          <w:szCs w:val="20"/>
          <w:color w:val="auto"/>
        </w:rPr>
      </w:pPr>
    </w:p>
    <w:p>
      <w:pPr>
        <w:ind w:left="540"/>
        <w:spacing w:after="0"/>
        <w:rPr>
          <w:sz w:val="20"/>
          <w:szCs w:val="20"/>
          <w:color w:val="auto"/>
        </w:rPr>
      </w:pPr>
      <w:r>
        <w:rPr>
          <w:rFonts w:ascii="Arial" w:cs="Arial" w:eastAsia="Arial" w:hAnsi="Arial"/>
          <w:sz w:val="15"/>
          <w:szCs w:val="15"/>
          <w:b w:val="1"/>
          <w:bCs w:val="1"/>
          <w:color w:val="auto"/>
        </w:rPr>
        <w:t>Current</w:t>
      </w:r>
    </w:p>
    <w:p>
      <w:pPr>
        <w:spacing w:after="0" w:line="17" w:lineRule="exact"/>
        <w:rPr>
          <w:sz w:val="20"/>
          <w:szCs w:val="20"/>
          <w:color w:val="auto"/>
        </w:rPr>
      </w:pPr>
    </w:p>
    <w:p>
      <w:pPr>
        <w:ind w:left="700" w:right="520" w:hanging="159"/>
        <w:spacing w:after="0" w:line="262" w:lineRule="auto"/>
        <w:tabs>
          <w:tab w:leader="none" w:pos="7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Graham Holdings Company</w:t>
      </w:r>
    </w:p>
    <w:p>
      <w:pPr>
        <w:spacing w:after="0" w:line="61" w:lineRule="exact"/>
        <w:rPr>
          <w:sz w:val="20"/>
          <w:szCs w:val="20"/>
          <w:color w:val="auto"/>
        </w:rPr>
      </w:pPr>
    </w:p>
    <w:p>
      <w:pPr>
        <w:ind w:left="540"/>
        <w:spacing w:after="0"/>
        <w:rPr>
          <w:sz w:val="20"/>
          <w:szCs w:val="20"/>
          <w:color w:val="auto"/>
        </w:rPr>
      </w:pPr>
      <w:r>
        <w:rPr>
          <w:rFonts w:ascii="Arial" w:cs="Arial" w:eastAsia="Arial" w:hAnsi="Arial"/>
          <w:sz w:val="15"/>
          <w:szCs w:val="15"/>
          <w:b w:val="1"/>
          <w:bCs w:val="1"/>
          <w:color w:val="auto"/>
        </w:rPr>
        <w:t>Past 5 Years</w:t>
      </w:r>
    </w:p>
    <w:p>
      <w:pPr>
        <w:spacing w:after="0" w:line="3" w:lineRule="exact"/>
        <w:rPr>
          <w:sz w:val="20"/>
          <w:szCs w:val="20"/>
          <w:color w:val="auto"/>
        </w:rPr>
      </w:pPr>
    </w:p>
    <w:p>
      <w:pPr>
        <w:ind w:left="700" w:hanging="159"/>
        <w:spacing w:after="0"/>
        <w:tabs>
          <w:tab w:leader="none" w:pos="700" w:val="left"/>
        </w:tabs>
        <w:numPr>
          <w:ilvl w:val="0"/>
          <w:numId w:val="33"/>
        </w:numPr>
        <w:rPr>
          <w:rFonts w:ascii="Arial" w:cs="Arial" w:eastAsia="Arial" w:hAnsi="Arial"/>
          <w:sz w:val="19"/>
          <w:szCs w:val="19"/>
          <w:color w:val="auto"/>
        </w:rPr>
      </w:pPr>
      <w:r>
        <w:rPr>
          <w:rFonts w:ascii="Arial" w:cs="Arial" w:eastAsia="Arial" w:hAnsi="Arial"/>
          <w:sz w:val="19"/>
          <w:szCs w:val="19"/>
          <w:color w:val="auto"/>
        </w:rPr>
        <w:t>Johnson &amp; Johnson</w:t>
      </w:r>
    </w:p>
    <w:p>
      <w:pPr>
        <w:ind w:left="700" w:hanging="159"/>
        <w:spacing w:after="0"/>
        <w:tabs>
          <w:tab w:leader="none" w:pos="700" w:val="left"/>
        </w:tabs>
        <w:numPr>
          <w:ilvl w:val="0"/>
          <w:numId w:val="33"/>
        </w:numPr>
        <w:rPr>
          <w:rFonts w:ascii="Arial" w:cs="Arial" w:eastAsia="Arial" w:hAnsi="Arial"/>
          <w:sz w:val="19"/>
          <w:szCs w:val="19"/>
          <w:color w:val="auto"/>
        </w:rPr>
      </w:pPr>
      <w:r>
        <w:rPr>
          <w:rFonts w:ascii="Arial" w:cs="Arial" w:eastAsia="Arial" w:hAnsi="Arial"/>
          <w:sz w:val="19"/>
          <w:szCs w:val="19"/>
          <w:color w:val="auto"/>
        </w:rPr>
        <w:t>Williams-Sonoma, Inc.</w:t>
      </w:r>
    </w:p>
    <w:p>
      <w:pPr>
        <w:spacing w:after="0" w:line="20" w:lineRule="exact"/>
        <w:rPr>
          <w:sz w:val="20"/>
          <w:szCs w:val="20"/>
          <w:color w:val="auto"/>
        </w:rPr>
      </w:pPr>
      <w:r>
        <w:rPr>
          <w:sz w:val="20"/>
          <w:szCs w:val="20"/>
          <w:color w:val="auto"/>
        </w:rPr>
        <w:br w:type="column"/>
      </w:r>
    </w:p>
    <w:p>
      <w:pPr>
        <w:spacing w:after="0" w:line="23" w:lineRule="exact"/>
        <w:rPr>
          <w:sz w:val="20"/>
          <w:szCs w:val="20"/>
          <w:color w:val="auto"/>
        </w:rPr>
      </w:pPr>
    </w:p>
    <w:p>
      <w:pPr>
        <w:spacing w:after="0"/>
        <w:rPr>
          <w:sz w:val="20"/>
          <w:szCs w:val="20"/>
          <w:color w:val="auto"/>
        </w:rPr>
      </w:pPr>
      <w:r>
        <w:rPr>
          <w:rFonts w:ascii="Arial" w:cs="Arial" w:eastAsia="Arial" w:hAnsi="Arial"/>
          <w:sz w:val="19"/>
          <w:szCs w:val="19"/>
          <w:b w:val="1"/>
          <w:bCs w:val="1"/>
          <w:color w:val="B95827"/>
        </w:rPr>
        <w:t>QUALIFICATIONS</w:t>
      </w:r>
    </w:p>
    <w:p>
      <w:pPr>
        <w:spacing w:after="0" w:line="9" w:lineRule="exact"/>
        <w:rPr>
          <w:sz w:val="20"/>
          <w:szCs w:val="20"/>
          <w:color w:val="auto"/>
        </w:rPr>
      </w:pPr>
    </w:p>
    <w:p>
      <w:pPr>
        <w:ind w:right="160"/>
        <w:spacing w:after="0" w:line="251" w:lineRule="auto"/>
        <w:rPr>
          <w:sz w:val="20"/>
          <w:szCs w:val="20"/>
          <w:color w:val="auto"/>
        </w:rPr>
      </w:pPr>
      <w:r>
        <w:rPr>
          <w:rFonts w:ascii="Arial" w:cs="Arial" w:eastAsia="Arial" w:hAnsi="Arial"/>
          <w:sz w:val="15"/>
          <w:szCs w:val="15"/>
          <w:color w:val="auto"/>
        </w:rPr>
        <w:t>Ms. Mulcahy’s pertinent qualifications include her extensive experience in all areas of business management and strategic execution as she led Xerox through a transformational turnaround; valuable insights into organizational and operational management issues, including business innovation, financial management and talent development; and leadership roles in business trade associations, public policy activities and other public companies, including as lead independent director of Johnson &amp; Johnson, which provide the Board with additional expertise in the area of organizational effectiveness.</w:t>
      </w:r>
    </w:p>
    <w:p>
      <w:pPr>
        <w:spacing w:after="0" w:line="20" w:lineRule="exact"/>
        <w:rPr>
          <w:sz w:val="20"/>
          <w:szCs w:val="20"/>
          <w:color w:val="auto"/>
        </w:rPr>
      </w:pPr>
      <w:r>
        <w:rPr>
          <w:sz w:val="20"/>
          <w:szCs w:val="20"/>
          <w:color w:val="auto"/>
        </w:rPr>
        <w:br w:type="column"/>
      </w:r>
    </w:p>
    <w:p>
      <w:pPr>
        <w:spacing w:after="0" w:line="116" w:lineRule="exact"/>
        <w:rPr>
          <w:sz w:val="20"/>
          <w:szCs w:val="20"/>
          <w:color w:val="auto"/>
        </w:rPr>
      </w:pPr>
    </w:p>
    <w:p>
      <w:pPr>
        <w:spacing w:after="0"/>
        <w:rPr>
          <w:sz w:val="20"/>
          <w:szCs w:val="20"/>
          <w:color w:val="auto"/>
        </w:rPr>
      </w:pPr>
      <w:r>
        <w:rPr>
          <w:rFonts w:ascii="Arial" w:cs="Arial" w:eastAsia="Arial" w:hAnsi="Arial"/>
          <w:sz w:val="12"/>
          <w:szCs w:val="12"/>
          <w:color w:val="FFFFFF"/>
        </w:rPr>
        <w:t>Report of the</w:t>
      </w:r>
    </w:p>
    <w:p>
      <w:pPr>
        <w:spacing w:after="0" w:line="224" w:lineRule="auto"/>
        <w:rPr>
          <w:sz w:val="20"/>
          <w:szCs w:val="20"/>
          <w:color w:val="auto"/>
        </w:rPr>
      </w:pPr>
      <w:r>
        <w:rPr>
          <w:rFonts w:ascii="Arial" w:cs="Arial" w:eastAsia="Arial" w:hAnsi="Arial"/>
          <w:sz w:val="12"/>
          <w:szCs w:val="12"/>
          <w:color w:val="FFFFFF"/>
        </w:rPr>
        <w:t>Compensation</w:t>
      </w:r>
    </w:p>
    <w:p>
      <w:pPr>
        <w:spacing w:after="0" w:line="222" w:lineRule="auto"/>
        <w:rPr>
          <w:sz w:val="20"/>
          <w:szCs w:val="20"/>
          <w:color w:val="auto"/>
        </w:rPr>
      </w:pPr>
      <w:r>
        <w:rPr>
          <w:rFonts w:ascii="Arial" w:cs="Arial" w:eastAsia="Arial" w:hAnsi="Arial"/>
          <w:sz w:val="12"/>
          <w:szCs w:val="12"/>
          <w:color w:val="FFFFFF"/>
        </w:rPr>
        <w:t>and Human</w:t>
      </w:r>
    </w:p>
    <w:p>
      <w:pPr>
        <w:spacing w:after="0" w:line="222" w:lineRule="auto"/>
        <w:rPr>
          <w:sz w:val="20"/>
          <w:szCs w:val="20"/>
          <w:color w:val="auto"/>
        </w:rPr>
      </w:pPr>
      <w:r>
        <w:rPr>
          <w:rFonts w:ascii="Arial" w:cs="Arial" w:eastAsia="Arial" w:hAnsi="Arial"/>
          <w:sz w:val="12"/>
          <w:szCs w:val="12"/>
          <w:color w:val="FFFFFF"/>
        </w:rPr>
        <w:t>Resources</w:t>
      </w:r>
    </w:p>
    <w:p>
      <w:pPr>
        <w:spacing w:after="0" w:line="222" w:lineRule="auto"/>
        <w:rPr>
          <w:sz w:val="20"/>
          <w:szCs w:val="20"/>
          <w:color w:val="auto"/>
        </w:rPr>
      </w:pPr>
      <w:r>
        <w:rPr>
          <w:rFonts w:ascii="Arial" w:cs="Arial" w:eastAsia="Arial" w:hAnsi="Arial"/>
          <w:sz w:val="12"/>
          <w:szCs w:val="12"/>
          <w:color w:val="FFFFFF"/>
        </w:rPr>
        <w:t>Committee of the</w:t>
      </w:r>
    </w:p>
    <w:p>
      <w:pPr>
        <w:spacing w:after="0"/>
        <w:rPr>
          <w:sz w:val="20"/>
          <w:szCs w:val="20"/>
          <w:color w:val="auto"/>
        </w:rPr>
      </w:pPr>
      <w:r>
        <w:rPr>
          <w:rFonts w:ascii="Arial" w:cs="Arial" w:eastAsia="Arial" w:hAnsi="Arial"/>
          <w:sz w:val="11"/>
          <w:szCs w:val="11"/>
          <w:color w:val="FFFFFF"/>
        </w:rPr>
        <w:t>Board of Directors</w:t>
      </w:r>
    </w:p>
    <w:p>
      <w:pPr>
        <w:spacing w:after="0" w:line="155" w:lineRule="exact"/>
        <w:rPr>
          <w:sz w:val="20"/>
          <w:szCs w:val="20"/>
          <w:color w:val="auto"/>
        </w:rPr>
      </w:pPr>
    </w:p>
    <w:p>
      <w:pPr>
        <w:spacing w:after="0"/>
        <w:rPr>
          <w:sz w:val="20"/>
          <w:szCs w:val="20"/>
          <w:color w:val="auto"/>
        </w:rPr>
      </w:pPr>
      <w:r>
        <w:rPr>
          <w:rFonts w:ascii="Arial" w:cs="Arial" w:eastAsia="Arial" w:hAnsi="Arial"/>
          <w:sz w:val="12"/>
          <w:szCs w:val="12"/>
          <w:color w:val="FFFFFF"/>
        </w:rPr>
        <w:t>Compensation of</w:t>
      </w:r>
    </w:p>
    <w:p>
      <w:pPr>
        <w:spacing w:after="0" w:line="224" w:lineRule="auto"/>
        <w:rPr>
          <w:sz w:val="20"/>
          <w:szCs w:val="20"/>
          <w:color w:val="auto"/>
        </w:rPr>
      </w:pPr>
      <w:r>
        <w:rPr>
          <w:rFonts w:ascii="Arial" w:cs="Arial" w:eastAsia="Arial" w:hAnsi="Arial"/>
          <w:sz w:val="12"/>
          <w:szCs w:val="12"/>
          <w:color w:val="FFFFFF"/>
        </w:rPr>
        <w:t>Named Executive</w:t>
      </w:r>
    </w:p>
    <w:p>
      <w:pPr>
        <w:spacing w:after="0"/>
        <w:rPr>
          <w:sz w:val="20"/>
          <w:szCs w:val="20"/>
          <w:color w:val="auto"/>
        </w:rPr>
      </w:pPr>
      <w:r>
        <w:rPr>
          <w:rFonts w:ascii="Arial" w:cs="Arial" w:eastAsia="Arial" w:hAnsi="Arial"/>
          <w:sz w:val="12"/>
          <w:szCs w:val="12"/>
          <w:color w:val="FFFFFF"/>
        </w:rPr>
        <w:t>Officers</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Pay Versus</w:t>
      </w:r>
    </w:p>
    <w:p>
      <w:pPr>
        <w:spacing w:after="0" w:line="224" w:lineRule="auto"/>
        <w:rPr>
          <w:sz w:val="20"/>
          <w:szCs w:val="20"/>
          <w:color w:val="auto"/>
        </w:rPr>
      </w:pPr>
      <w:r>
        <w:rPr>
          <w:rFonts w:ascii="Arial" w:cs="Arial" w:eastAsia="Arial" w:hAnsi="Arial"/>
          <w:sz w:val="12"/>
          <w:szCs w:val="12"/>
          <w:color w:val="FFFFFF"/>
        </w:rPr>
        <w:t>Performance</w:t>
      </w:r>
    </w:p>
    <w:p>
      <w:pPr>
        <w:spacing w:after="0"/>
        <w:rPr>
          <w:sz w:val="20"/>
          <w:szCs w:val="20"/>
          <w:color w:val="auto"/>
        </w:rPr>
      </w:pPr>
      <w:r>
        <w:rPr>
          <w:rFonts w:ascii="Arial" w:cs="Arial" w:eastAsia="Arial" w:hAnsi="Arial"/>
          <w:sz w:val="12"/>
          <w:szCs w:val="12"/>
          <w:color w:val="FFFFFF"/>
        </w:rPr>
        <w:t>Disclosure</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Security</w:t>
      </w:r>
    </w:p>
    <w:p>
      <w:pPr>
        <w:spacing w:after="0" w:line="224" w:lineRule="auto"/>
        <w:rPr>
          <w:sz w:val="20"/>
          <w:szCs w:val="20"/>
          <w:color w:val="auto"/>
        </w:rPr>
      </w:pPr>
      <w:r>
        <w:rPr>
          <w:rFonts w:ascii="Arial" w:cs="Arial" w:eastAsia="Arial" w:hAnsi="Arial"/>
          <w:sz w:val="12"/>
          <w:szCs w:val="12"/>
          <w:color w:val="FFFFFF"/>
        </w:rPr>
        <w:t>Ownership of</w:t>
      </w:r>
    </w:p>
    <w:p>
      <w:pPr>
        <w:spacing w:after="0" w:line="222" w:lineRule="auto"/>
        <w:rPr>
          <w:sz w:val="20"/>
          <w:szCs w:val="20"/>
          <w:color w:val="auto"/>
        </w:rPr>
      </w:pPr>
      <w:r>
        <w:rPr>
          <w:rFonts w:ascii="Arial" w:cs="Arial" w:eastAsia="Arial" w:hAnsi="Arial"/>
          <w:sz w:val="12"/>
          <w:szCs w:val="12"/>
          <w:color w:val="FFFFFF"/>
        </w:rPr>
        <w:t>Certain Beneficial</w:t>
      </w:r>
    </w:p>
    <w:p>
      <w:pPr>
        <w:spacing w:after="0" w:line="222" w:lineRule="auto"/>
        <w:rPr>
          <w:sz w:val="20"/>
          <w:szCs w:val="20"/>
          <w:color w:val="auto"/>
        </w:rPr>
      </w:pPr>
      <w:r>
        <w:rPr>
          <w:rFonts w:ascii="Arial" w:cs="Arial" w:eastAsia="Arial" w:hAnsi="Arial"/>
          <w:sz w:val="12"/>
          <w:szCs w:val="12"/>
          <w:color w:val="FFFFFF"/>
        </w:rPr>
        <w:t>Owners and</w:t>
      </w:r>
    </w:p>
    <w:p>
      <w:pPr>
        <w:spacing w:after="0"/>
        <w:rPr>
          <w:sz w:val="20"/>
          <w:szCs w:val="20"/>
          <w:color w:val="auto"/>
        </w:rPr>
      </w:pPr>
      <w:r>
        <w:rPr>
          <w:rFonts w:ascii="Arial" w:cs="Arial" w:eastAsia="Arial" w:hAnsi="Arial"/>
          <w:sz w:val="12"/>
          <w:szCs w:val="12"/>
          <w:color w:val="FFFFFF"/>
        </w:rPr>
        <w:t>Management</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Certain</w:t>
      </w:r>
    </w:p>
    <w:p>
      <w:pPr>
        <w:spacing w:after="0" w:line="224" w:lineRule="auto"/>
        <w:rPr>
          <w:sz w:val="20"/>
          <w:szCs w:val="20"/>
          <w:color w:val="auto"/>
        </w:rPr>
      </w:pPr>
      <w:r>
        <w:rPr>
          <w:rFonts w:ascii="Arial" w:cs="Arial" w:eastAsia="Arial" w:hAnsi="Arial"/>
          <w:sz w:val="12"/>
          <w:szCs w:val="12"/>
          <w:color w:val="FFFFFF"/>
        </w:rPr>
        <w:t>Relationships and</w:t>
      </w:r>
    </w:p>
    <w:p>
      <w:pPr>
        <w:spacing w:after="0" w:line="222" w:lineRule="auto"/>
        <w:rPr>
          <w:sz w:val="20"/>
          <w:szCs w:val="20"/>
          <w:color w:val="auto"/>
        </w:rPr>
      </w:pPr>
      <w:r>
        <w:rPr>
          <w:rFonts w:ascii="Arial" w:cs="Arial" w:eastAsia="Arial" w:hAnsi="Arial"/>
          <w:sz w:val="12"/>
          <w:szCs w:val="12"/>
          <w:color w:val="FFFFFF"/>
        </w:rPr>
        <w:t>Related Party</w:t>
      </w:r>
    </w:p>
    <w:p>
      <w:pPr>
        <w:spacing w:after="0"/>
        <w:rPr>
          <w:sz w:val="20"/>
          <w:szCs w:val="20"/>
          <w:color w:val="auto"/>
        </w:rPr>
      </w:pPr>
      <w:r>
        <w:rPr>
          <w:rFonts w:ascii="Arial" w:cs="Arial" w:eastAsia="Arial" w:hAnsi="Arial"/>
          <w:sz w:val="12"/>
          <w:szCs w:val="12"/>
          <w:color w:val="FFFFFF"/>
        </w:rPr>
        <w:t>Transactions</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Proposal 2</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FFFFFF"/>
        </w:rPr>
        <w:t>Report of the</w:t>
      </w:r>
    </w:p>
    <w:p>
      <w:pPr>
        <w:spacing w:after="0" w:line="224" w:lineRule="auto"/>
        <w:rPr>
          <w:sz w:val="20"/>
          <w:szCs w:val="20"/>
          <w:color w:val="auto"/>
        </w:rPr>
      </w:pPr>
      <w:r>
        <w:rPr>
          <w:rFonts w:ascii="Arial" w:cs="Arial" w:eastAsia="Arial" w:hAnsi="Arial"/>
          <w:sz w:val="12"/>
          <w:szCs w:val="12"/>
          <w:color w:val="FFFFFF"/>
        </w:rPr>
        <w:t>Audit and Risk</w:t>
      </w:r>
    </w:p>
    <w:p>
      <w:pPr>
        <w:spacing w:after="0" w:line="222" w:lineRule="auto"/>
        <w:rPr>
          <w:sz w:val="20"/>
          <w:szCs w:val="20"/>
          <w:color w:val="auto"/>
        </w:rPr>
      </w:pPr>
      <w:r>
        <w:rPr>
          <w:rFonts w:ascii="Arial" w:cs="Arial" w:eastAsia="Arial" w:hAnsi="Arial"/>
          <w:sz w:val="12"/>
          <w:szCs w:val="12"/>
          <w:color w:val="FFFFFF"/>
        </w:rPr>
        <w:t>Committee of the</w:t>
      </w:r>
    </w:p>
    <w:p>
      <w:pPr>
        <w:spacing w:after="0"/>
        <w:rPr>
          <w:sz w:val="20"/>
          <w:szCs w:val="20"/>
          <w:color w:val="auto"/>
        </w:rPr>
      </w:pPr>
      <w:r>
        <w:rPr>
          <w:rFonts w:ascii="Arial" w:cs="Arial" w:eastAsia="Arial" w:hAnsi="Arial"/>
          <w:sz w:val="11"/>
          <w:szCs w:val="11"/>
          <w:color w:val="FFFFFF"/>
        </w:rPr>
        <w:t>Board of Directors</w:t>
      </w:r>
    </w:p>
    <w:p>
      <w:pPr>
        <w:spacing w:after="0" w:line="155" w:lineRule="exact"/>
        <w:rPr>
          <w:sz w:val="20"/>
          <w:szCs w:val="20"/>
          <w:color w:val="auto"/>
        </w:rPr>
      </w:pPr>
    </w:p>
    <w:p>
      <w:pPr>
        <w:spacing w:after="0"/>
        <w:rPr>
          <w:sz w:val="20"/>
          <w:szCs w:val="20"/>
          <w:color w:val="auto"/>
        </w:rPr>
      </w:pPr>
      <w:r>
        <w:rPr>
          <w:rFonts w:ascii="Arial" w:cs="Arial" w:eastAsia="Arial" w:hAnsi="Arial"/>
          <w:sz w:val="12"/>
          <w:szCs w:val="12"/>
          <w:color w:val="FFFFFF"/>
        </w:rPr>
        <w:t>Proposal 3</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FFFFFF"/>
        </w:rPr>
        <w:t>Proposal 4</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FFFFFF"/>
        </w:rPr>
        <w:t>Proposal 5</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FFFFFF"/>
        </w:rPr>
        <w:t>Proposal 6</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FFFFFF"/>
        </w:rPr>
        <w:t>Stockholder</w:t>
      </w:r>
    </w:p>
    <w:p>
      <w:pPr>
        <w:spacing w:after="0" w:line="224" w:lineRule="auto"/>
        <w:rPr>
          <w:sz w:val="20"/>
          <w:szCs w:val="20"/>
          <w:color w:val="auto"/>
        </w:rPr>
      </w:pPr>
      <w:r>
        <w:rPr>
          <w:rFonts w:ascii="Arial" w:cs="Arial" w:eastAsia="Arial" w:hAnsi="Arial"/>
          <w:sz w:val="12"/>
          <w:szCs w:val="12"/>
          <w:color w:val="FFFFFF"/>
        </w:rPr>
        <w:t>Proposals and</w:t>
      </w:r>
    </w:p>
    <w:p>
      <w:pPr>
        <w:spacing w:after="0"/>
        <w:rPr>
          <w:sz w:val="20"/>
          <w:szCs w:val="20"/>
          <w:color w:val="auto"/>
        </w:rPr>
      </w:pPr>
      <w:r>
        <w:rPr>
          <w:rFonts w:ascii="Arial" w:cs="Arial" w:eastAsia="Arial" w:hAnsi="Arial"/>
          <w:sz w:val="12"/>
          <w:szCs w:val="12"/>
          <w:color w:val="FFFFFF"/>
        </w:rPr>
        <w:t>Other Matters</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Delinquent</w:t>
      </w:r>
    </w:p>
    <w:p>
      <w:pPr>
        <w:spacing w:after="0" w:line="224" w:lineRule="auto"/>
        <w:rPr>
          <w:sz w:val="20"/>
          <w:szCs w:val="20"/>
          <w:color w:val="auto"/>
        </w:rPr>
      </w:pPr>
      <w:r>
        <w:rPr>
          <w:rFonts w:ascii="Arial" w:cs="Arial" w:eastAsia="Arial" w:hAnsi="Arial"/>
          <w:sz w:val="12"/>
          <w:szCs w:val="12"/>
          <w:color w:val="FFFFFF"/>
        </w:rPr>
        <w:t>Section 16(a)</w:t>
      </w:r>
    </w:p>
    <w:p>
      <w:pPr>
        <w:spacing w:after="0"/>
        <w:rPr>
          <w:sz w:val="20"/>
          <w:szCs w:val="20"/>
          <w:color w:val="auto"/>
        </w:rPr>
      </w:pPr>
      <w:r>
        <w:rPr>
          <w:rFonts w:ascii="Arial" w:cs="Arial" w:eastAsia="Arial" w:hAnsi="Arial"/>
          <w:sz w:val="12"/>
          <w:szCs w:val="12"/>
          <w:color w:val="FFFFFF"/>
        </w:rPr>
        <w:t>Reports</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Other</w:t>
      </w:r>
    </w:p>
    <w:p>
      <w:pPr>
        <w:spacing w:after="0" w:line="2" w:lineRule="exact"/>
        <w:rPr>
          <w:sz w:val="20"/>
          <w:szCs w:val="20"/>
          <w:color w:val="auto"/>
        </w:rPr>
      </w:pPr>
    </w:p>
    <w:p>
      <w:pPr>
        <w:spacing w:after="0"/>
        <w:rPr>
          <w:sz w:val="20"/>
          <w:szCs w:val="20"/>
          <w:color w:val="auto"/>
        </w:rPr>
      </w:pPr>
      <w:r>
        <w:rPr>
          <w:rFonts w:ascii="Arial" w:cs="Arial" w:eastAsia="Arial" w:hAnsi="Arial"/>
          <w:sz w:val="12"/>
          <w:szCs w:val="12"/>
          <w:color w:val="FFFFFF"/>
        </w:rPr>
        <w:t>Information</w:t>
      </w:r>
    </w:p>
    <w:p>
      <w:pPr>
        <w:spacing w:after="0" w:line="144" w:lineRule="exact"/>
        <w:rPr>
          <w:sz w:val="20"/>
          <w:szCs w:val="20"/>
          <w:color w:val="auto"/>
        </w:rPr>
      </w:pPr>
    </w:p>
    <w:p>
      <w:pPr>
        <w:jc w:val="center"/>
        <w:ind w:right="960"/>
        <w:spacing w:after="0"/>
        <w:rPr>
          <w:sz w:val="20"/>
          <w:szCs w:val="20"/>
          <w:color w:val="auto"/>
        </w:rPr>
      </w:pPr>
      <w:r>
        <w:rPr>
          <w:rFonts w:ascii="Arial" w:cs="Arial" w:eastAsia="Arial" w:hAnsi="Arial"/>
          <w:sz w:val="12"/>
          <w:szCs w:val="12"/>
          <w:color w:val="FFFFFF"/>
        </w:rPr>
        <w:t>Appendix A</w:t>
      </w:r>
    </w:p>
    <w:p>
      <w:pPr>
        <w:spacing w:after="0" w:line="156" w:lineRule="exact"/>
        <w:rPr>
          <w:sz w:val="20"/>
          <w:szCs w:val="20"/>
          <w:color w:val="auto"/>
        </w:rPr>
      </w:pPr>
    </w:p>
    <w:p>
      <w:pPr>
        <w:jc w:val="center"/>
        <w:ind w:right="960"/>
        <w:spacing w:after="0"/>
        <w:rPr>
          <w:sz w:val="20"/>
          <w:szCs w:val="20"/>
          <w:color w:val="auto"/>
        </w:rPr>
      </w:pPr>
      <w:r>
        <w:rPr>
          <w:rFonts w:ascii="Arial" w:cs="Arial" w:eastAsia="Arial" w:hAnsi="Arial"/>
          <w:sz w:val="12"/>
          <w:szCs w:val="12"/>
          <w:color w:val="FFFFFF"/>
        </w:rPr>
        <w:t>Appendix B</w:t>
      </w:r>
    </w:p>
    <w:p>
      <w:pPr>
        <w:spacing w:after="0" w:line="200" w:lineRule="exact"/>
        <w:rPr>
          <w:sz w:val="20"/>
          <w:szCs w:val="20"/>
          <w:color w:val="auto"/>
        </w:rPr>
      </w:pPr>
    </w:p>
    <w:p>
      <w:pPr>
        <w:sectPr>
          <w:pgSz w:w="11900" w:h="16838" w:orient="portrait"/>
          <w:cols w:equalWidth="0" w:num="3">
            <w:col w:w="2660" w:space="480"/>
            <w:col w:w="5360" w:space="720"/>
            <w:col w:w="1580"/>
          </w:cols>
          <w:pgMar w:left="320" w:top="464" w:right="7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6380"/>
        <w:spacing w:after="0"/>
        <w:tabs>
          <w:tab w:leader="none" w:pos="8500" w:val="left"/>
          <w:tab w:leader="none" w:pos="9960" w:val="left"/>
        </w:tabs>
        <w:rPr>
          <w:sz w:val="20"/>
          <w:szCs w:val="20"/>
          <w:color w:val="auto"/>
        </w:rPr>
      </w:pPr>
      <w:r>
        <w:rPr>
          <w:rFonts w:ascii="Arial" w:cs="Arial" w:eastAsia="Arial" w:hAnsi="Arial"/>
          <w:sz w:val="15"/>
          <w:szCs w:val="15"/>
          <w:b w:val="1"/>
          <w:bCs w:val="1"/>
          <w:color w:val="002B5F"/>
        </w:rPr>
        <w:t xml:space="preserve">2026 Proxy Statement  </w:t>
      </w:r>
      <w:r>
        <w:rPr>
          <w:rFonts w:ascii="Arial" w:cs="Arial" w:eastAsia="Arial" w:hAnsi="Arial"/>
          <w:sz w:val="20"/>
          <w:szCs w:val="20"/>
          <w:color w:val="002B5F"/>
        </w:rPr>
        <w:t>|</w:t>
      </w:r>
      <w:r>
        <w:rPr>
          <w:rFonts w:ascii="Arial" w:cs="Arial" w:eastAsia="Arial" w:hAnsi="Arial"/>
          <w:sz w:val="15"/>
          <w:szCs w:val="15"/>
          <w:b w:val="1"/>
          <w:bCs w:val="1"/>
          <w:color w:val="002B5F"/>
        </w:rPr>
        <w:t xml:space="preserve">  17</w:t>
      </w:r>
      <w:r>
        <w:rPr>
          <w:sz w:val="20"/>
          <w:szCs w:val="20"/>
          <w:color w:val="auto"/>
        </w:rPr>
        <w:tab/>
      </w:r>
      <w:r>
        <w:rPr>
          <w:rFonts w:ascii="Arial" w:cs="Arial" w:eastAsia="Arial" w:hAnsi="Arial"/>
          <w:sz w:val="17"/>
          <w:szCs w:val="17"/>
          <w:color w:val="auto"/>
        </w:rPr>
        <w:t xml:space="preserve">    </w:t>
      </w:r>
      <w:r>
        <w:rPr>
          <w:sz w:val="20"/>
          <w:szCs w:val="20"/>
          <w:color w:val="auto"/>
        </w:rPr>
        <w:tab/>
      </w:r>
      <w:r>
        <w:rPr>
          <w:rFonts w:ascii="Arial" w:cs="Arial" w:eastAsia="Arial" w:hAnsi="Arial"/>
          <w:sz w:val="17"/>
          <w:szCs w:val="17"/>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268605</wp:posOffset>
            </wp:positionH>
            <wp:positionV relativeFrom="paragraph">
              <wp:posOffset>-128905</wp:posOffset>
            </wp:positionV>
            <wp:extent cx="762000" cy="971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62000" cy="97155"/>
                    </a:xfrm>
                    <a:prstGeom prst="rect">
                      <a:avLst/>
                    </a:prstGeom>
                    <a:noFill/>
                  </pic:spPr>
                </pic:pic>
              </a:graphicData>
            </a:graphic>
          </wp:anchor>
        </w:drawing>
      </w:r>
    </w:p>
    <w:p>
      <w:pPr>
        <w:sectPr>
          <w:pgSz w:w="11900" w:h="16838" w:orient="portrait"/>
          <w:cols w:equalWidth="0" w:num="1">
            <w:col w:w="10800"/>
          </w:cols>
          <w:pgMar w:left="320" w:top="464" w:right="779" w:bottom="144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17"/>
          <w:szCs w:val="17"/>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268605</wp:posOffset>
            </wp:positionH>
            <wp:positionV relativeFrom="paragraph">
              <wp:posOffset>253365</wp:posOffset>
            </wp:positionV>
            <wp:extent cx="1183005" cy="745617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183005" cy="7456170"/>
                    </a:xfrm>
                    <a:prstGeom prst="rect">
                      <a:avLst/>
                    </a:prstGeom>
                    <a:noFill/>
                  </pic:spPr>
                </pic:pic>
              </a:graphicData>
            </a:graphic>
          </wp:anchor>
        </w:drawing>
      </w:r>
    </w:p>
    <w:p>
      <w:pPr>
        <w:spacing w:after="0" w:line="200" w:lineRule="exact"/>
        <w:rPr>
          <w:sz w:val="20"/>
          <w:szCs w:val="20"/>
          <w:color w:val="auto"/>
        </w:rPr>
      </w:pPr>
    </w:p>
    <w:p>
      <w:pPr>
        <w:spacing w:after="0" w:line="304" w:lineRule="exact"/>
        <w:rPr>
          <w:sz w:val="20"/>
          <w:szCs w:val="20"/>
          <w:color w:val="auto"/>
        </w:rPr>
      </w:pPr>
    </w:p>
    <w:p>
      <w:pPr>
        <w:ind w:left="1120" w:right="460" w:hanging="672"/>
        <w:spacing w:after="0" w:line="382" w:lineRule="auto"/>
        <w:tabs>
          <w:tab w:leader="none" w:pos="610" w:val="left"/>
        </w:tabs>
        <w:numPr>
          <w:ilvl w:val="0"/>
          <w:numId w:val="34"/>
        </w:numPr>
        <w:rPr>
          <w:rFonts w:ascii="Arial" w:cs="Arial" w:eastAsia="Arial" w:hAnsi="Arial"/>
          <w:sz w:val="24"/>
          <w:szCs w:val="24"/>
          <w:color w:val="auto"/>
          <w:vertAlign w:val="subscript"/>
        </w:rPr>
      </w:pPr>
      <w:r>
        <w:rPr>
          <w:rFonts w:ascii="Arial" w:cs="Arial" w:eastAsia="Arial" w:hAnsi="Arial"/>
          <w:sz w:val="24"/>
          <w:szCs w:val="24"/>
          <w:color w:val="000000"/>
          <w:vertAlign w:val="subscript"/>
        </w:rPr>
        <w:t xml:space="preserve">     </w:t>
      </w:r>
      <w:r>
        <w:rPr>
          <w:rFonts w:ascii="Arial" w:cs="Arial" w:eastAsia="Arial" w:hAnsi="Arial"/>
          <w:sz w:val="10"/>
          <w:szCs w:val="10"/>
          <w:color w:val="FFFFFF"/>
        </w:rPr>
        <w:t xml:space="preserve"> General Information</w:t>
      </w:r>
    </w:p>
    <w:p>
      <w:pPr>
        <w:spacing w:after="0" w:line="1" w:lineRule="exact"/>
        <w:rPr>
          <w:sz w:val="20"/>
          <w:szCs w:val="20"/>
          <w:color w:val="auto"/>
        </w:rPr>
      </w:pPr>
    </w:p>
    <w:p>
      <w:pPr>
        <w:ind w:left="1120"/>
        <w:spacing w:after="0"/>
        <w:rPr>
          <w:sz w:val="20"/>
          <w:szCs w:val="20"/>
          <w:color w:val="auto"/>
        </w:rPr>
      </w:pPr>
      <w:r>
        <w:rPr>
          <w:rFonts w:ascii="Arial" w:cs="Arial" w:eastAsia="Arial" w:hAnsi="Arial"/>
          <w:sz w:val="11"/>
          <w:szCs w:val="11"/>
          <w:color w:val="FFFFFF"/>
        </w:rPr>
        <w:t>General Information</w:t>
      </w:r>
    </w:p>
    <w:p>
      <w:pPr>
        <w:spacing w:after="0" w:line="3"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About Corporate</w:t>
      </w:r>
    </w:p>
    <w:p>
      <w:pPr>
        <w:ind w:left="1120"/>
        <w:spacing w:after="0" w:line="221" w:lineRule="auto"/>
        <w:rPr>
          <w:sz w:val="20"/>
          <w:szCs w:val="20"/>
          <w:color w:val="auto"/>
        </w:rPr>
      </w:pPr>
      <w:r>
        <w:rPr>
          <w:rFonts w:ascii="Arial" w:cs="Arial" w:eastAsia="Arial" w:hAnsi="Arial"/>
          <w:sz w:val="12"/>
          <w:szCs w:val="12"/>
          <w:color w:val="FFFFFF"/>
        </w:rPr>
        <w:t>Governance</w:t>
      </w:r>
    </w:p>
    <w:p>
      <w:pPr>
        <w:ind w:left="1120"/>
        <w:spacing w:after="0" w:line="222" w:lineRule="auto"/>
        <w:rPr>
          <w:sz w:val="20"/>
          <w:szCs w:val="20"/>
          <w:color w:val="auto"/>
        </w:rPr>
      </w:pPr>
      <w:r>
        <w:rPr>
          <w:rFonts w:ascii="Arial" w:cs="Arial" w:eastAsia="Arial" w:hAnsi="Arial"/>
          <w:sz w:val="12"/>
          <w:szCs w:val="12"/>
          <w:color w:val="FFFFFF"/>
        </w:rPr>
        <w:t>and the Board of</w:t>
      </w:r>
    </w:p>
    <w:p>
      <w:pPr>
        <w:spacing w:after="0" w:line="1"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Directors</w:t>
      </w:r>
    </w:p>
    <w:p>
      <w:pPr>
        <w:spacing w:after="0" w:line="141" w:lineRule="exact"/>
        <w:rPr>
          <w:sz w:val="20"/>
          <w:szCs w:val="20"/>
          <w:color w:val="auto"/>
        </w:rPr>
      </w:pPr>
    </w:p>
    <w:p>
      <w:pPr>
        <w:ind w:left="980"/>
        <w:spacing w:after="0"/>
        <w:rPr>
          <w:sz w:val="20"/>
          <w:szCs w:val="20"/>
          <w:color w:val="auto"/>
        </w:rPr>
      </w:pPr>
      <w:r>
        <w:rPr>
          <w:sz w:val="1"/>
          <w:szCs w:val="1"/>
          <w:color w:val="auto"/>
        </w:rPr>
        <w:drawing>
          <wp:inline distT="0" distB="0" distL="0" distR="0">
            <wp:extent cx="56515" cy="88900"/>
            <wp:effectExtent l="0" t="0" r="0" b="0"/>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6515" cy="88900"/>
                    </a:xfrm>
                    <a:prstGeom prst="rect">
                      <a:avLst/>
                    </a:prstGeom>
                    <a:noFill/>
                    <a:ln>
                      <a:noFill/>
                    </a:ln>
                  </pic:spPr>
                </pic:pic>
              </a:graphicData>
            </a:graphic>
          </wp:inline>
        </w:drawing>
      </w:r>
      <w:r>
        <w:rPr>
          <w:rFonts w:ascii="Arial" w:cs="Arial" w:eastAsia="Arial" w:hAnsi="Arial"/>
          <w:sz w:val="12"/>
          <w:szCs w:val="12"/>
          <w:b w:val="1"/>
          <w:bCs w:val="1"/>
          <w:color w:val="FFFFFF"/>
        </w:rPr>
        <w:t xml:space="preserve"> Proposal 1</w:t>
      </w:r>
    </w:p>
    <w:p>
      <w:pPr>
        <w:spacing w:after="0" w:line="130"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Information</w:t>
      </w:r>
    </w:p>
    <w:p>
      <w:pPr>
        <w:ind w:left="1120"/>
        <w:spacing w:after="0" w:line="224" w:lineRule="auto"/>
        <w:rPr>
          <w:sz w:val="20"/>
          <w:szCs w:val="20"/>
          <w:color w:val="auto"/>
        </w:rPr>
      </w:pPr>
      <w:r>
        <w:rPr>
          <w:rFonts w:ascii="Arial" w:cs="Arial" w:eastAsia="Arial" w:hAnsi="Arial"/>
          <w:sz w:val="12"/>
          <w:szCs w:val="12"/>
          <w:color w:val="FFFFFF"/>
        </w:rPr>
        <w:t>Regarding Board</w:t>
      </w:r>
    </w:p>
    <w:p>
      <w:pPr>
        <w:ind w:left="1120"/>
        <w:spacing w:after="0" w:line="222" w:lineRule="auto"/>
        <w:rPr>
          <w:sz w:val="20"/>
          <w:szCs w:val="20"/>
          <w:color w:val="auto"/>
        </w:rPr>
      </w:pPr>
      <w:r>
        <w:rPr>
          <w:rFonts w:ascii="Arial" w:cs="Arial" w:eastAsia="Arial" w:hAnsi="Arial"/>
          <w:sz w:val="12"/>
          <w:szCs w:val="12"/>
          <w:color w:val="FFFFFF"/>
        </w:rPr>
        <w:t>and Committee</w:t>
      </w:r>
    </w:p>
    <w:p>
      <w:pPr>
        <w:ind w:left="1120"/>
        <w:spacing w:after="0"/>
        <w:rPr>
          <w:sz w:val="20"/>
          <w:szCs w:val="20"/>
          <w:color w:val="auto"/>
        </w:rPr>
      </w:pPr>
      <w:r>
        <w:rPr>
          <w:rFonts w:ascii="Arial" w:cs="Arial" w:eastAsia="Arial" w:hAnsi="Arial"/>
          <w:sz w:val="12"/>
          <w:szCs w:val="12"/>
          <w:color w:val="FFFFFF"/>
        </w:rPr>
        <w:t>Structure</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Board of Directors</w:t>
      </w:r>
    </w:p>
    <w:p>
      <w:pPr>
        <w:spacing w:after="0" w:line="2"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Compensation</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Compensation</w:t>
      </w:r>
    </w:p>
    <w:p>
      <w:pPr>
        <w:ind w:left="1120"/>
        <w:spacing w:after="0" w:line="224" w:lineRule="auto"/>
        <w:rPr>
          <w:sz w:val="20"/>
          <w:szCs w:val="20"/>
          <w:color w:val="auto"/>
        </w:rPr>
      </w:pPr>
      <w:r>
        <w:rPr>
          <w:rFonts w:ascii="Arial" w:cs="Arial" w:eastAsia="Arial" w:hAnsi="Arial"/>
          <w:sz w:val="12"/>
          <w:szCs w:val="12"/>
          <w:color w:val="FFFFFF"/>
        </w:rPr>
        <w:t>Discussion and</w:t>
      </w:r>
    </w:p>
    <w:p>
      <w:pPr>
        <w:ind w:left="1120"/>
        <w:spacing w:after="0"/>
        <w:rPr>
          <w:sz w:val="20"/>
          <w:szCs w:val="20"/>
          <w:color w:val="auto"/>
        </w:rPr>
      </w:pPr>
      <w:r>
        <w:rPr>
          <w:rFonts w:ascii="Arial" w:cs="Arial" w:eastAsia="Arial" w:hAnsi="Arial"/>
          <w:sz w:val="12"/>
          <w:szCs w:val="12"/>
          <w:color w:val="FFFFFF"/>
        </w:rPr>
        <w:t>Analysis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37"/>
          <w:szCs w:val="37"/>
          <w:color w:val="B95827"/>
        </w:rPr>
        <w:t>James S. Putnam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-1737995</wp:posOffset>
            </wp:positionH>
            <wp:positionV relativeFrom="paragraph">
              <wp:posOffset>-882015</wp:posOffset>
            </wp:positionV>
            <wp:extent cx="7181215" cy="5334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81215" cy="5334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57150</wp:posOffset>
            </wp:positionV>
            <wp:extent cx="506539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065395" cy="8255"/>
                    </a:xfrm>
                    <a:prstGeom prst="rect">
                      <a:avLst/>
                    </a:prstGeom>
                    <a:noFill/>
                  </pic:spPr>
                </pic:pic>
              </a:graphicData>
            </a:graphic>
          </wp:anchor>
        </w:drawing>
      </w:r>
    </w:p>
    <w:p>
      <w:pPr>
        <w:spacing w:after="0" w:line="330" w:lineRule="exact"/>
        <w:rPr>
          <w:sz w:val="20"/>
          <w:szCs w:val="20"/>
          <w:color w:val="auto"/>
        </w:rPr>
      </w:pPr>
    </w:p>
    <w:p>
      <w:pPr>
        <w:ind w:left="2660"/>
        <w:spacing w:after="0"/>
        <w:rPr>
          <w:sz w:val="20"/>
          <w:szCs w:val="20"/>
          <w:color w:val="auto"/>
        </w:rPr>
      </w:pPr>
      <w:r>
        <w:rPr>
          <w:rFonts w:ascii="Arial" w:cs="Arial" w:eastAsia="Arial" w:hAnsi="Arial"/>
          <w:sz w:val="19"/>
          <w:szCs w:val="19"/>
          <w:b w:val="1"/>
          <w:bCs w:val="1"/>
          <w:color w:val="B95827"/>
        </w:rPr>
        <w:t>BACKGROUND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-124460</wp:posOffset>
            </wp:positionV>
            <wp:extent cx="1499235" cy="157226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499235" cy="1572260"/>
                    </a:xfrm>
                    <a:prstGeom prst="rect">
                      <a:avLst/>
                    </a:prstGeom>
                    <a:noFill/>
                  </pic:spPr>
                </pic:pic>
              </a:graphicData>
            </a:graphic>
          </wp:anchor>
        </w:drawing>
      </w:r>
    </w:p>
    <w:p>
      <w:pPr>
        <w:ind w:left="2660"/>
        <w:spacing w:after="0" w:line="250" w:lineRule="auto"/>
        <w:rPr>
          <w:sz w:val="20"/>
          <w:szCs w:val="20"/>
          <w:color w:val="auto"/>
        </w:rPr>
      </w:pPr>
      <w:r>
        <w:rPr>
          <w:rFonts w:ascii="Arial" w:cs="Arial" w:eastAsia="Arial" w:hAnsi="Arial"/>
          <w:sz w:val="15"/>
          <w:szCs w:val="15"/>
          <w:color w:val="auto"/>
        </w:rPr>
        <w:t>Mr. Putnam has served as chair of the Board of Directors since March 2017, and he served as our lead director from June 2016 until March 2017. He was employed by LPL Financial from 1983 to 2005 and served as its managing director of national sales from 1987 to 2005. In that role, he was responsible for the recruitment, retention and management of LPL Financial advisors, as well as branch development, marketing and all product sales. Mr. Putnam also previously served as the chief executive officer of Global Portfolio Advisors (“GPA”), formerly a global brokerage clearing services provider that sold substantially all of its operations in 2014. GPA was under common ownership with LPL Financial until 2005, and Mr. Putnam served as chief executive officer of GPA from 2004 until 2014. He began his securities career as a retail representative with Dean Witter Reynolds in 1979. Mr. Putnam received a B.A. from Western Illinois University.</w:t>
      </w:r>
    </w:p>
    <w:p>
      <w:pPr>
        <w:spacing w:after="0" w:line="104" w:lineRule="exact"/>
        <w:rPr>
          <w:sz w:val="20"/>
          <w:szCs w:val="20"/>
          <w:color w:val="auto"/>
        </w:rPr>
      </w:pPr>
    </w:p>
    <w:p>
      <w:pPr>
        <w:sectPr>
          <w:pgSz w:w="11900" w:h="16838" w:orient="portrait"/>
          <w:cols w:equalWidth="0" w:num="2">
            <w:col w:w="2160" w:space="560"/>
            <w:col w:w="7980"/>
          </w:cols>
          <w:pgMar w:left="320" w:top="464" w:right="879" w:bottom="1440" w:gutter="0" w:footer="0" w:header="0"/>
        </w:sectPr>
      </w:pPr>
    </w:p>
    <w:p>
      <w:pPr>
        <w:spacing w:after="0" w:line="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Report of the</w:t>
      </w:r>
    </w:p>
    <w:p>
      <w:pPr>
        <w:ind w:left="1120"/>
        <w:spacing w:after="0" w:line="224" w:lineRule="auto"/>
        <w:rPr>
          <w:sz w:val="20"/>
          <w:szCs w:val="20"/>
          <w:color w:val="auto"/>
        </w:rPr>
      </w:pPr>
      <w:r>
        <w:rPr>
          <w:rFonts w:ascii="Arial" w:cs="Arial" w:eastAsia="Arial" w:hAnsi="Arial"/>
          <w:sz w:val="12"/>
          <w:szCs w:val="12"/>
          <w:color w:val="FFFFFF"/>
        </w:rPr>
        <w:t>Compensation</w:t>
      </w:r>
    </w:p>
    <w:p>
      <w:pPr>
        <w:ind w:left="1120"/>
        <w:spacing w:after="0" w:line="222" w:lineRule="auto"/>
        <w:rPr>
          <w:sz w:val="20"/>
          <w:szCs w:val="20"/>
          <w:color w:val="auto"/>
        </w:rPr>
      </w:pPr>
      <w:r>
        <w:rPr>
          <w:rFonts w:ascii="Arial" w:cs="Arial" w:eastAsia="Arial" w:hAnsi="Arial"/>
          <w:sz w:val="12"/>
          <w:szCs w:val="12"/>
          <w:color w:val="FFFFFF"/>
        </w:rPr>
        <w:t>and Human</w:t>
      </w:r>
    </w:p>
    <w:p>
      <w:pPr>
        <w:ind w:left="1120"/>
        <w:spacing w:after="0" w:line="222" w:lineRule="auto"/>
        <w:rPr>
          <w:sz w:val="20"/>
          <w:szCs w:val="20"/>
          <w:color w:val="auto"/>
        </w:rPr>
      </w:pPr>
      <w:r>
        <w:rPr>
          <w:rFonts w:ascii="Arial" w:cs="Arial" w:eastAsia="Arial" w:hAnsi="Arial"/>
          <w:sz w:val="12"/>
          <w:szCs w:val="12"/>
          <w:color w:val="FFFFFF"/>
        </w:rPr>
        <w:t>Resources</w:t>
      </w:r>
    </w:p>
    <w:p>
      <w:pPr>
        <w:ind w:left="1120"/>
        <w:spacing w:after="0" w:line="222" w:lineRule="auto"/>
        <w:rPr>
          <w:sz w:val="20"/>
          <w:szCs w:val="20"/>
          <w:color w:val="auto"/>
        </w:rPr>
      </w:pPr>
      <w:r>
        <w:rPr>
          <w:rFonts w:ascii="Arial" w:cs="Arial" w:eastAsia="Arial" w:hAnsi="Arial"/>
          <w:sz w:val="12"/>
          <w:szCs w:val="12"/>
          <w:color w:val="FFFFFF"/>
        </w:rPr>
        <w:t>Committee of the</w:t>
      </w:r>
    </w:p>
    <w:p>
      <w:pPr>
        <w:ind w:left="1120"/>
        <w:spacing w:after="0"/>
        <w:rPr>
          <w:sz w:val="20"/>
          <w:szCs w:val="20"/>
          <w:color w:val="auto"/>
        </w:rPr>
      </w:pPr>
      <w:r>
        <w:rPr>
          <w:rFonts w:ascii="Arial" w:cs="Arial" w:eastAsia="Arial" w:hAnsi="Arial"/>
          <w:sz w:val="11"/>
          <w:szCs w:val="11"/>
          <w:color w:val="FFFFFF"/>
        </w:rPr>
        <w:t>Board of Directors</w:t>
      </w:r>
    </w:p>
    <w:p>
      <w:pPr>
        <w:spacing w:after="0" w:line="155"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Compensation of</w:t>
      </w:r>
    </w:p>
    <w:p>
      <w:pPr>
        <w:ind w:left="1120"/>
        <w:spacing w:after="0" w:line="224" w:lineRule="auto"/>
        <w:rPr>
          <w:sz w:val="20"/>
          <w:szCs w:val="20"/>
          <w:color w:val="auto"/>
        </w:rPr>
      </w:pPr>
      <w:r>
        <w:rPr>
          <w:rFonts w:ascii="Arial" w:cs="Arial" w:eastAsia="Arial" w:hAnsi="Arial"/>
          <w:sz w:val="12"/>
          <w:szCs w:val="12"/>
          <w:color w:val="FFFFFF"/>
        </w:rPr>
        <w:t>Named Executive</w:t>
      </w:r>
    </w:p>
    <w:p>
      <w:pPr>
        <w:ind w:left="1120"/>
        <w:spacing w:after="0"/>
        <w:rPr>
          <w:sz w:val="20"/>
          <w:szCs w:val="20"/>
          <w:color w:val="auto"/>
        </w:rPr>
      </w:pPr>
      <w:r>
        <w:rPr>
          <w:rFonts w:ascii="Arial" w:cs="Arial" w:eastAsia="Arial" w:hAnsi="Arial"/>
          <w:sz w:val="12"/>
          <w:szCs w:val="12"/>
          <w:color w:val="FFFFFF"/>
        </w:rPr>
        <w:t>Officers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Pay Versus</w:t>
      </w:r>
    </w:p>
    <w:p>
      <w:pPr>
        <w:ind w:left="1120"/>
        <w:spacing w:after="0" w:line="224" w:lineRule="auto"/>
        <w:rPr>
          <w:sz w:val="20"/>
          <w:szCs w:val="20"/>
          <w:color w:val="auto"/>
        </w:rPr>
      </w:pPr>
      <w:r>
        <w:rPr>
          <w:rFonts w:ascii="Arial" w:cs="Arial" w:eastAsia="Arial" w:hAnsi="Arial"/>
          <w:sz w:val="12"/>
          <w:szCs w:val="12"/>
          <w:color w:val="FFFFFF"/>
        </w:rPr>
        <w:t>Performance</w:t>
      </w:r>
    </w:p>
    <w:p>
      <w:pPr>
        <w:ind w:left="1120"/>
        <w:spacing w:after="0"/>
        <w:rPr>
          <w:sz w:val="20"/>
          <w:szCs w:val="20"/>
          <w:color w:val="auto"/>
        </w:rPr>
      </w:pPr>
      <w:r>
        <w:rPr>
          <w:rFonts w:ascii="Arial" w:cs="Arial" w:eastAsia="Arial" w:hAnsi="Arial"/>
          <w:sz w:val="12"/>
          <w:szCs w:val="12"/>
          <w:color w:val="FFFFFF"/>
        </w:rPr>
        <w:t>Disclosure</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Security</w:t>
      </w:r>
    </w:p>
    <w:p>
      <w:pPr>
        <w:ind w:left="1120"/>
        <w:spacing w:after="0" w:line="224" w:lineRule="auto"/>
        <w:rPr>
          <w:sz w:val="20"/>
          <w:szCs w:val="20"/>
          <w:color w:val="auto"/>
        </w:rPr>
      </w:pPr>
      <w:r>
        <w:rPr>
          <w:rFonts w:ascii="Arial" w:cs="Arial" w:eastAsia="Arial" w:hAnsi="Arial"/>
          <w:sz w:val="12"/>
          <w:szCs w:val="12"/>
          <w:color w:val="FFFFFF"/>
        </w:rPr>
        <w:t>Ownership of</w:t>
      </w:r>
    </w:p>
    <w:p>
      <w:pPr>
        <w:ind w:left="1120"/>
        <w:spacing w:after="0" w:line="222" w:lineRule="auto"/>
        <w:rPr>
          <w:sz w:val="20"/>
          <w:szCs w:val="20"/>
          <w:color w:val="auto"/>
        </w:rPr>
      </w:pPr>
      <w:r>
        <w:rPr>
          <w:rFonts w:ascii="Arial" w:cs="Arial" w:eastAsia="Arial" w:hAnsi="Arial"/>
          <w:sz w:val="12"/>
          <w:szCs w:val="12"/>
          <w:color w:val="FFFFFF"/>
        </w:rPr>
        <w:t>Certain Beneficial</w:t>
      </w:r>
    </w:p>
    <w:p>
      <w:pPr>
        <w:ind w:left="1120"/>
        <w:spacing w:after="0" w:line="222" w:lineRule="auto"/>
        <w:rPr>
          <w:sz w:val="20"/>
          <w:szCs w:val="20"/>
          <w:color w:val="auto"/>
        </w:rPr>
      </w:pPr>
      <w:r>
        <w:rPr>
          <w:rFonts w:ascii="Arial" w:cs="Arial" w:eastAsia="Arial" w:hAnsi="Arial"/>
          <w:sz w:val="12"/>
          <w:szCs w:val="12"/>
          <w:color w:val="FFFFFF"/>
        </w:rPr>
        <w:t>Owners and</w:t>
      </w:r>
    </w:p>
    <w:p>
      <w:pPr>
        <w:ind w:left="1120"/>
        <w:spacing w:after="0"/>
        <w:rPr>
          <w:sz w:val="20"/>
          <w:szCs w:val="20"/>
          <w:color w:val="auto"/>
        </w:rPr>
      </w:pPr>
      <w:r>
        <w:rPr>
          <w:rFonts w:ascii="Arial" w:cs="Arial" w:eastAsia="Arial" w:hAnsi="Arial"/>
          <w:sz w:val="12"/>
          <w:szCs w:val="12"/>
          <w:color w:val="FFFFFF"/>
        </w:rPr>
        <w:t>Management</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Certain</w:t>
      </w:r>
    </w:p>
    <w:p>
      <w:pPr>
        <w:ind w:left="1120"/>
        <w:spacing w:after="0" w:line="224" w:lineRule="auto"/>
        <w:rPr>
          <w:sz w:val="20"/>
          <w:szCs w:val="20"/>
          <w:color w:val="auto"/>
        </w:rPr>
      </w:pPr>
      <w:r>
        <w:rPr>
          <w:rFonts w:ascii="Arial" w:cs="Arial" w:eastAsia="Arial" w:hAnsi="Arial"/>
          <w:sz w:val="12"/>
          <w:szCs w:val="12"/>
          <w:color w:val="FFFFFF"/>
        </w:rPr>
        <w:t>Relationships and</w:t>
      </w:r>
    </w:p>
    <w:p>
      <w:pPr>
        <w:ind w:left="1120"/>
        <w:spacing w:after="0" w:line="222" w:lineRule="auto"/>
        <w:rPr>
          <w:sz w:val="20"/>
          <w:szCs w:val="20"/>
          <w:color w:val="auto"/>
        </w:rPr>
      </w:pPr>
      <w:r>
        <w:rPr>
          <w:rFonts w:ascii="Arial" w:cs="Arial" w:eastAsia="Arial" w:hAnsi="Arial"/>
          <w:sz w:val="12"/>
          <w:szCs w:val="12"/>
          <w:color w:val="FFFFFF"/>
        </w:rPr>
        <w:t>Related Party</w:t>
      </w:r>
    </w:p>
    <w:p>
      <w:pPr>
        <w:ind w:left="1120"/>
        <w:spacing w:after="0"/>
        <w:rPr>
          <w:sz w:val="20"/>
          <w:szCs w:val="20"/>
          <w:color w:val="auto"/>
        </w:rPr>
      </w:pPr>
      <w:r>
        <w:rPr>
          <w:rFonts w:ascii="Arial" w:cs="Arial" w:eastAsia="Arial" w:hAnsi="Arial"/>
          <w:sz w:val="12"/>
          <w:szCs w:val="12"/>
          <w:color w:val="FFFFFF"/>
        </w:rPr>
        <w:t>Transactions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Proposal 2</w:t>
      </w:r>
    </w:p>
    <w:p>
      <w:pPr>
        <w:spacing w:after="0" w:line="156"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Report of the</w:t>
      </w:r>
    </w:p>
    <w:p>
      <w:pPr>
        <w:ind w:left="1120"/>
        <w:spacing w:after="0" w:line="224" w:lineRule="auto"/>
        <w:rPr>
          <w:sz w:val="20"/>
          <w:szCs w:val="20"/>
          <w:color w:val="auto"/>
        </w:rPr>
      </w:pPr>
      <w:r>
        <w:rPr>
          <w:rFonts w:ascii="Arial" w:cs="Arial" w:eastAsia="Arial" w:hAnsi="Arial"/>
          <w:sz w:val="12"/>
          <w:szCs w:val="12"/>
          <w:color w:val="FFFFFF"/>
        </w:rPr>
        <w:t>Audit and Risk</w:t>
      </w:r>
    </w:p>
    <w:p>
      <w:pPr>
        <w:ind w:left="1120"/>
        <w:spacing w:after="0" w:line="222" w:lineRule="auto"/>
        <w:rPr>
          <w:sz w:val="20"/>
          <w:szCs w:val="20"/>
          <w:color w:val="auto"/>
        </w:rPr>
      </w:pPr>
      <w:r>
        <w:rPr>
          <w:rFonts w:ascii="Arial" w:cs="Arial" w:eastAsia="Arial" w:hAnsi="Arial"/>
          <w:sz w:val="12"/>
          <w:szCs w:val="12"/>
          <w:color w:val="FFFFFF"/>
        </w:rPr>
        <w:t>Committee of the</w:t>
      </w:r>
    </w:p>
    <w:p>
      <w:pPr>
        <w:ind w:left="1120"/>
        <w:spacing w:after="0"/>
        <w:rPr>
          <w:sz w:val="20"/>
          <w:szCs w:val="20"/>
          <w:color w:val="auto"/>
        </w:rPr>
      </w:pPr>
      <w:r>
        <w:rPr>
          <w:rFonts w:ascii="Arial" w:cs="Arial" w:eastAsia="Arial" w:hAnsi="Arial"/>
          <w:sz w:val="11"/>
          <w:szCs w:val="11"/>
          <w:color w:val="FFFFFF"/>
        </w:rPr>
        <w:t>Board of Directors</w:t>
      </w:r>
    </w:p>
    <w:p>
      <w:pPr>
        <w:spacing w:after="0" w:line="155" w:lineRule="exact"/>
        <w:rPr>
          <w:sz w:val="20"/>
          <w:szCs w:val="20"/>
          <w:color w:val="auto"/>
        </w:rPr>
      </w:pPr>
    </w:p>
    <w:p>
      <w:pPr>
        <w:jc w:val="center"/>
        <w:ind w:left="720"/>
        <w:spacing w:after="0"/>
        <w:rPr>
          <w:sz w:val="20"/>
          <w:szCs w:val="20"/>
          <w:color w:val="auto"/>
        </w:rPr>
      </w:pPr>
      <w:r>
        <w:rPr>
          <w:rFonts w:ascii="Arial" w:cs="Arial" w:eastAsia="Arial" w:hAnsi="Arial"/>
          <w:sz w:val="11"/>
          <w:szCs w:val="11"/>
          <w:color w:val="FFFFFF"/>
        </w:rPr>
        <w:t>Proposal 3</w:t>
      </w:r>
    </w:p>
    <w:p>
      <w:pPr>
        <w:spacing w:after="0" w:line="167" w:lineRule="exact"/>
        <w:rPr>
          <w:sz w:val="20"/>
          <w:szCs w:val="20"/>
          <w:color w:val="auto"/>
        </w:rPr>
      </w:pPr>
    </w:p>
    <w:p>
      <w:pPr>
        <w:jc w:val="center"/>
        <w:ind w:left="720"/>
        <w:spacing w:after="0"/>
        <w:rPr>
          <w:sz w:val="20"/>
          <w:szCs w:val="20"/>
          <w:color w:val="auto"/>
        </w:rPr>
      </w:pPr>
      <w:r>
        <w:rPr>
          <w:rFonts w:ascii="Arial" w:cs="Arial" w:eastAsia="Arial" w:hAnsi="Arial"/>
          <w:sz w:val="11"/>
          <w:szCs w:val="11"/>
          <w:color w:val="FFFFFF"/>
        </w:rPr>
        <w:t>Proposal 4</w:t>
      </w:r>
    </w:p>
    <w:p>
      <w:pPr>
        <w:spacing w:after="0" w:line="167" w:lineRule="exact"/>
        <w:rPr>
          <w:sz w:val="20"/>
          <w:szCs w:val="20"/>
          <w:color w:val="auto"/>
        </w:rPr>
      </w:pPr>
    </w:p>
    <w:p>
      <w:pPr>
        <w:jc w:val="center"/>
        <w:ind w:left="720"/>
        <w:spacing w:after="0"/>
        <w:rPr>
          <w:sz w:val="20"/>
          <w:szCs w:val="20"/>
          <w:color w:val="auto"/>
        </w:rPr>
      </w:pPr>
      <w:r>
        <w:rPr>
          <w:rFonts w:ascii="Arial" w:cs="Arial" w:eastAsia="Arial" w:hAnsi="Arial"/>
          <w:sz w:val="11"/>
          <w:szCs w:val="11"/>
          <w:color w:val="FFFFFF"/>
        </w:rPr>
        <w:t>Proposal 5</w:t>
      </w:r>
    </w:p>
    <w:p>
      <w:pPr>
        <w:spacing w:after="0" w:line="167"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Proposal 6</w:t>
      </w:r>
    </w:p>
    <w:p>
      <w:pPr>
        <w:spacing w:after="0" w:line="156"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Stockholder</w:t>
      </w:r>
    </w:p>
    <w:p>
      <w:pPr>
        <w:ind w:left="1120"/>
        <w:spacing w:after="0" w:line="224" w:lineRule="auto"/>
        <w:rPr>
          <w:sz w:val="20"/>
          <w:szCs w:val="20"/>
          <w:color w:val="auto"/>
        </w:rPr>
      </w:pPr>
      <w:r>
        <w:rPr>
          <w:rFonts w:ascii="Arial" w:cs="Arial" w:eastAsia="Arial" w:hAnsi="Arial"/>
          <w:sz w:val="12"/>
          <w:szCs w:val="12"/>
          <w:color w:val="FFFFFF"/>
        </w:rPr>
        <w:t>Proposals and</w:t>
      </w:r>
    </w:p>
    <w:p>
      <w:pPr>
        <w:ind w:left="1120"/>
        <w:spacing w:after="0"/>
        <w:rPr>
          <w:sz w:val="20"/>
          <w:szCs w:val="20"/>
          <w:color w:val="auto"/>
        </w:rPr>
      </w:pPr>
      <w:r>
        <w:rPr>
          <w:rFonts w:ascii="Arial" w:cs="Arial" w:eastAsia="Arial" w:hAnsi="Arial"/>
          <w:sz w:val="12"/>
          <w:szCs w:val="12"/>
          <w:color w:val="FFFFFF"/>
        </w:rPr>
        <w:t>Other Matters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Delinquent</w:t>
      </w:r>
    </w:p>
    <w:p>
      <w:pPr>
        <w:ind w:left="1120"/>
        <w:spacing w:after="0" w:line="224" w:lineRule="auto"/>
        <w:rPr>
          <w:sz w:val="20"/>
          <w:szCs w:val="20"/>
          <w:color w:val="auto"/>
        </w:rPr>
      </w:pPr>
      <w:r>
        <w:rPr>
          <w:rFonts w:ascii="Arial" w:cs="Arial" w:eastAsia="Arial" w:hAnsi="Arial"/>
          <w:sz w:val="12"/>
          <w:szCs w:val="12"/>
          <w:color w:val="FFFFFF"/>
        </w:rPr>
        <w:t>Section 16(a)</w:t>
      </w:r>
    </w:p>
    <w:p>
      <w:pPr>
        <w:ind w:left="1120"/>
        <w:spacing w:after="0"/>
        <w:rPr>
          <w:sz w:val="20"/>
          <w:szCs w:val="20"/>
          <w:color w:val="auto"/>
        </w:rPr>
      </w:pPr>
      <w:r>
        <w:rPr>
          <w:rFonts w:ascii="Arial" w:cs="Arial" w:eastAsia="Arial" w:hAnsi="Arial"/>
          <w:sz w:val="12"/>
          <w:szCs w:val="12"/>
          <w:color w:val="FFFFFF"/>
        </w:rPr>
        <w:t>Reports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Other</w:t>
      </w:r>
    </w:p>
    <w:p>
      <w:pPr>
        <w:spacing w:after="0" w:line="2"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Information</w:t>
      </w:r>
    </w:p>
    <w:p>
      <w:pPr>
        <w:spacing w:after="0" w:line="144" w:lineRule="exact"/>
        <w:rPr>
          <w:sz w:val="20"/>
          <w:szCs w:val="20"/>
          <w:color w:val="auto"/>
        </w:rPr>
      </w:pPr>
    </w:p>
    <w:p>
      <w:pPr>
        <w:jc w:val="center"/>
        <w:ind w:left="760"/>
        <w:spacing w:after="0"/>
        <w:rPr>
          <w:sz w:val="20"/>
          <w:szCs w:val="20"/>
          <w:color w:val="auto"/>
        </w:rPr>
      </w:pPr>
      <w:r>
        <w:rPr>
          <w:rFonts w:ascii="Arial" w:cs="Arial" w:eastAsia="Arial" w:hAnsi="Arial"/>
          <w:sz w:val="11"/>
          <w:szCs w:val="11"/>
          <w:color w:val="FFFFFF"/>
        </w:rPr>
        <w:t>Appendix A</w:t>
      </w:r>
    </w:p>
    <w:p>
      <w:pPr>
        <w:spacing w:after="0" w:line="167" w:lineRule="exact"/>
        <w:rPr>
          <w:sz w:val="20"/>
          <w:szCs w:val="20"/>
          <w:color w:val="auto"/>
        </w:rPr>
      </w:pPr>
    </w:p>
    <w:p>
      <w:pPr>
        <w:jc w:val="center"/>
        <w:ind w:left="760"/>
        <w:spacing w:after="0"/>
        <w:rPr>
          <w:sz w:val="20"/>
          <w:szCs w:val="20"/>
          <w:color w:val="auto"/>
        </w:rPr>
      </w:pPr>
      <w:r>
        <w:rPr>
          <w:rFonts w:ascii="Arial" w:cs="Arial" w:eastAsia="Arial" w:hAnsi="Arial"/>
          <w:sz w:val="11"/>
          <w:szCs w:val="11"/>
          <w:color w:val="FFFFFF"/>
        </w:rPr>
        <w:t>Appendix B</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b w:val="1"/>
          <w:bCs w:val="1"/>
          <w:color w:val="B95827"/>
        </w:rPr>
        <w:t xml:space="preserve">AGE </w:t>
      </w:r>
      <w:r>
        <w:rPr>
          <w:rFonts w:ascii="Arial" w:cs="Arial" w:eastAsia="Arial" w:hAnsi="Arial"/>
          <w:sz w:val="15"/>
          <w:szCs w:val="15"/>
          <w:color w:val="000000"/>
        </w:rPr>
        <w:t>71</w:t>
      </w:r>
    </w:p>
    <w:p>
      <w:pPr>
        <w:spacing w:after="0" w:line="101" w:lineRule="exact"/>
        <w:rPr>
          <w:sz w:val="20"/>
          <w:szCs w:val="20"/>
          <w:color w:val="auto"/>
        </w:rPr>
      </w:pPr>
    </w:p>
    <w:p>
      <w:pPr>
        <w:spacing w:after="0"/>
        <w:rPr>
          <w:sz w:val="20"/>
          <w:szCs w:val="20"/>
          <w:color w:val="auto"/>
        </w:rPr>
      </w:pPr>
      <w:r>
        <w:rPr>
          <w:rFonts w:ascii="Arial" w:cs="Arial" w:eastAsia="Arial" w:hAnsi="Arial"/>
          <w:sz w:val="19"/>
          <w:szCs w:val="19"/>
          <w:b w:val="1"/>
          <w:bCs w:val="1"/>
          <w:color w:val="B95827"/>
        </w:rPr>
        <w:t xml:space="preserve">DIRECTOR SINCE </w:t>
      </w:r>
      <w:r>
        <w:rPr>
          <w:rFonts w:ascii="Arial" w:cs="Arial" w:eastAsia="Arial" w:hAnsi="Arial"/>
          <w:sz w:val="15"/>
          <w:szCs w:val="15"/>
          <w:color w:val="000000"/>
        </w:rPr>
        <w:t>2005</w:t>
      </w:r>
    </w:p>
    <w:p>
      <w:pPr>
        <w:spacing w:after="0" w:line="101" w:lineRule="exact"/>
        <w:rPr>
          <w:sz w:val="20"/>
          <w:szCs w:val="20"/>
          <w:color w:val="auto"/>
        </w:rPr>
      </w:pPr>
    </w:p>
    <w:p>
      <w:pPr>
        <w:spacing w:after="0"/>
        <w:rPr>
          <w:sz w:val="20"/>
          <w:szCs w:val="20"/>
          <w:color w:val="auto"/>
        </w:rPr>
      </w:pPr>
      <w:r>
        <w:rPr>
          <w:rFonts w:ascii="Arial" w:cs="Arial" w:eastAsia="Arial" w:hAnsi="Arial"/>
          <w:sz w:val="19"/>
          <w:szCs w:val="19"/>
          <w:b w:val="1"/>
          <w:bCs w:val="1"/>
          <w:color w:val="B95827"/>
        </w:rPr>
        <w:t>INDEPENDENT</w:t>
      </w:r>
    </w:p>
    <w:p>
      <w:pPr>
        <w:spacing w:after="0" w:line="101" w:lineRule="exact"/>
        <w:rPr>
          <w:sz w:val="20"/>
          <w:szCs w:val="20"/>
          <w:color w:val="auto"/>
        </w:rPr>
      </w:pPr>
    </w:p>
    <w:p>
      <w:pPr>
        <w:ind w:right="240"/>
        <w:spacing w:after="0" w:line="297" w:lineRule="auto"/>
        <w:rPr>
          <w:sz w:val="20"/>
          <w:szCs w:val="20"/>
          <w:color w:val="auto"/>
        </w:rPr>
      </w:pPr>
      <w:r>
        <w:rPr>
          <w:rFonts w:ascii="Arial" w:cs="Arial" w:eastAsia="Arial" w:hAnsi="Arial"/>
          <w:sz w:val="19"/>
          <w:szCs w:val="19"/>
          <w:b w:val="1"/>
          <w:bCs w:val="1"/>
          <w:color w:val="B95827"/>
        </w:rPr>
        <w:t>CHAIR OF THE BOARD COMMITTEES:</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 Compensation Committee</w:t>
      </w:r>
    </w:p>
    <w:p>
      <w:pPr>
        <w:spacing w:after="0" w:line="83" w:lineRule="exact"/>
        <w:rPr>
          <w:sz w:val="20"/>
          <w:szCs w:val="20"/>
          <w:color w:val="auto"/>
        </w:rPr>
      </w:pPr>
    </w:p>
    <w:p>
      <w:pPr>
        <w:ind w:right="500"/>
        <w:spacing w:after="0" w:line="295" w:lineRule="auto"/>
        <w:rPr>
          <w:sz w:val="20"/>
          <w:szCs w:val="20"/>
          <w:color w:val="auto"/>
        </w:rPr>
      </w:pPr>
      <w:r>
        <w:rPr>
          <w:rFonts w:ascii="Arial" w:cs="Arial" w:eastAsia="Arial" w:hAnsi="Arial"/>
          <w:sz w:val="18"/>
          <w:szCs w:val="18"/>
          <w:b w:val="1"/>
          <w:bCs w:val="1"/>
          <w:color w:val="B95827"/>
        </w:rPr>
        <w:t>OTHER PUBLIC COMPANY BOARDS</w:t>
      </w:r>
    </w:p>
    <w:p>
      <w:pPr>
        <w:spacing w:after="0" w:line="2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Current</w:t>
      </w:r>
    </w:p>
    <w:p>
      <w:pPr>
        <w:spacing w:after="0" w:line="17" w:lineRule="exact"/>
        <w:rPr>
          <w:sz w:val="20"/>
          <w:szCs w:val="20"/>
          <w:color w:val="auto"/>
        </w:rPr>
      </w:pPr>
    </w:p>
    <w:p>
      <w:pPr>
        <w:spacing w:after="0"/>
        <w:rPr>
          <w:sz w:val="20"/>
          <w:szCs w:val="20"/>
          <w:color w:val="auto"/>
        </w:rPr>
      </w:pPr>
      <w:r>
        <w:rPr>
          <w:rFonts w:ascii="Arial" w:cs="Arial" w:eastAsia="Arial" w:hAnsi="Arial"/>
          <w:sz w:val="19"/>
          <w:szCs w:val="19"/>
          <w:color w:val="auto"/>
        </w:rPr>
        <w:t>• None</w:t>
      </w:r>
    </w:p>
    <w:p>
      <w:pPr>
        <w:spacing w:after="0" w:line="9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Past 5 Years</w:t>
      </w:r>
    </w:p>
    <w:p>
      <w:pPr>
        <w:spacing w:after="0" w:line="17" w:lineRule="exact"/>
        <w:rPr>
          <w:sz w:val="20"/>
          <w:szCs w:val="20"/>
          <w:color w:val="auto"/>
        </w:rPr>
      </w:pPr>
    </w:p>
    <w:p>
      <w:pPr>
        <w:spacing w:after="0"/>
        <w:rPr>
          <w:sz w:val="20"/>
          <w:szCs w:val="20"/>
          <w:color w:val="auto"/>
        </w:rPr>
      </w:pPr>
      <w:r>
        <w:rPr>
          <w:rFonts w:ascii="Arial" w:cs="Arial" w:eastAsia="Arial" w:hAnsi="Arial"/>
          <w:sz w:val="19"/>
          <w:szCs w:val="19"/>
          <w:color w:val="auto"/>
        </w:rPr>
        <w:t>• None</w:t>
      </w:r>
    </w:p>
    <w:p>
      <w:pPr>
        <w:spacing w:after="0" w:line="20" w:lineRule="exact"/>
        <w:rPr>
          <w:sz w:val="20"/>
          <w:szCs w:val="20"/>
          <w:color w:val="auto"/>
        </w:rPr>
      </w:pPr>
      <w:r>
        <w:rPr>
          <w:sz w:val="20"/>
          <w:szCs w:val="20"/>
          <w:color w:val="auto"/>
        </w:rPr>
        <w:br w:type="column"/>
      </w:r>
    </w:p>
    <w:p>
      <w:pPr>
        <w:spacing w:after="0" w:line="70" w:lineRule="exact"/>
        <w:rPr>
          <w:sz w:val="20"/>
          <w:szCs w:val="20"/>
          <w:color w:val="auto"/>
        </w:rPr>
      </w:pPr>
    </w:p>
    <w:p>
      <w:pPr>
        <w:spacing w:after="0"/>
        <w:rPr>
          <w:sz w:val="20"/>
          <w:szCs w:val="20"/>
          <w:color w:val="auto"/>
        </w:rPr>
      </w:pPr>
      <w:r>
        <w:rPr>
          <w:rFonts w:ascii="Arial" w:cs="Arial" w:eastAsia="Arial" w:hAnsi="Arial"/>
          <w:sz w:val="19"/>
          <w:szCs w:val="19"/>
          <w:b w:val="1"/>
          <w:bCs w:val="1"/>
          <w:color w:val="B95827"/>
        </w:rPr>
        <w:t>QUALIFICATIONS</w:t>
      </w:r>
    </w:p>
    <w:p>
      <w:pPr>
        <w:spacing w:after="0" w:line="9" w:lineRule="exact"/>
        <w:rPr>
          <w:sz w:val="20"/>
          <w:szCs w:val="20"/>
          <w:color w:val="auto"/>
        </w:rPr>
      </w:pPr>
    </w:p>
    <w:p>
      <w:pPr>
        <w:ind w:right="20"/>
        <w:spacing w:after="0" w:line="253" w:lineRule="auto"/>
        <w:rPr>
          <w:sz w:val="20"/>
          <w:szCs w:val="20"/>
          <w:color w:val="auto"/>
        </w:rPr>
      </w:pPr>
      <w:r>
        <w:rPr>
          <w:rFonts w:ascii="Arial" w:cs="Arial" w:eastAsia="Arial" w:hAnsi="Arial"/>
          <w:sz w:val="15"/>
          <w:szCs w:val="15"/>
          <w:color w:val="auto"/>
        </w:rPr>
        <w:t>Mr. Putnam’s pertinent qualifications include his unique historical perspective and insights into our operations as our former managing director of national sales; operating, business and management experience as the chief executive officer at GPA; and expertise in the financial industry and deep familiarity with our advisors.</w:t>
      </w:r>
    </w:p>
    <w:p>
      <w:pPr>
        <w:spacing w:after="0" w:line="6570" w:lineRule="exact"/>
        <w:rPr>
          <w:sz w:val="20"/>
          <w:szCs w:val="20"/>
          <w:color w:val="auto"/>
        </w:rPr>
      </w:pPr>
    </w:p>
    <w:p>
      <w:pPr>
        <w:sectPr>
          <w:pgSz w:w="11900" w:h="16838" w:orient="portrait"/>
          <w:cols w:equalWidth="0" w:num="3">
            <w:col w:w="2080" w:space="640"/>
            <w:col w:w="2320" w:space="340"/>
            <w:col w:w="5320"/>
          </w:cols>
          <w:pgMar w:left="320" w:top="464" w:right="879" w:bottom="1440" w:gutter="0" w:footer="0" w:header="0"/>
          <w:type w:val="continuous"/>
        </w:sectPr>
      </w:pPr>
    </w:p>
    <w:p>
      <w:pPr>
        <w:spacing w:after="0" w:line="200" w:lineRule="exact"/>
        <w:rPr>
          <w:sz w:val="20"/>
          <w:szCs w:val="20"/>
          <w:color w:val="auto"/>
        </w:rPr>
      </w:pPr>
    </w:p>
    <w:p>
      <w:pPr>
        <w:spacing w:after="0" w:line="397" w:lineRule="exact"/>
        <w:rPr>
          <w:sz w:val="20"/>
          <w:szCs w:val="20"/>
          <w:color w:val="auto"/>
        </w:rPr>
      </w:pPr>
    </w:p>
    <w:p>
      <w:pPr>
        <w:ind w:left="420"/>
        <w:spacing w:after="0"/>
        <w:tabs>
          <w:tab w:leader="none" w:pos="2380" w:val="left"/>
          <w:tab w:leader="none" w:pos="2800" w:val="left"/>
        </w:tabs>
        <w:rPr>
          <w:sz w:val="20"/>
          <w:szCs w:val="20"/>
          <w:color w:val="auto"/>
        </w:rPr>
      </w:pPr>
      <w:r>
        <w:rPr>
          <w:rFonts w:ascii="Arial" w:cs="Arial" w:eastAsia="Arial" w:hAnsi="Arial"/>
          <w:sz w:val="30"/>
          <w:szCs w:val="30"/>
          <w:color w:val="000000"/>
          <w:vertAlign w:val="superscript"/>
        </w:rPr>
        <w:t xml:space="preserve">             </w:t>
      </w:r>
      <w:r>
        <w:rPr>
          <w:sz w:val="20"/>
          <w:szCs w:val="20"/>
          <w:color w:val="auto"/>
        </w:rPr>
        <w:tab/>
      </w:r>
      <w:r>
        <w:rPr>
          <w:rFonts w:ascii="Arial" w:cs="Arial" w:eastAsia="Arial" w:hAnsi="Arial"/>
          <w:sz w:val="31"/>
          <w:szCs w:val="31"/>
          <w:color w:val="auto"/>
          <w:vertAlign w:val="superscript"/>
        </w:rPr>
        <w:t xml:space="preserve">    </w:t>
      </w:r>
      <w:r>
        <w:rPr>
          <w:sz w:val="20"/>
          <w:szCs w:val="20"/>
          <w:color w:val="auto"/>
        </w:rPr>
        <w:tab/>
      </w:r>
      <w:r>
        <w:rPr>
          <w:rFonts w:ascii="Arial" w:cs="Arial" w:eastAsia="Arial" w:hAnsi="Arial"/>
          <w:sz w:val="15"/>
          <w:szCs w:val="15"/>
          <w:b w:val="1"/>
          <w:bCs w:val="1"/>
          <w:color w:val="002B5F"/>
        </w:rPr>
        <w:t xml:space="preserve">18  </w:t>
      </w:r>
      <w:r>
        <w:rPr>
          <w:rFonts w:ascii="Arial" w:cs="Arial" w:eastAsia="Arial" w:hAnsi="Arial"/>
          <w:sz w:val="20"/>
          <w:szCs w:val="20"/>
          <w:color w:val="002B5F"/>
        </w:rPr>
        <w:t>|</w:t>
      </w:r>
      <w:r>
        <w:rPr>
          <w:rFonts w:ascii="Arial" w:cs="Arial" w:eastAsia="Arial" w:hAnsi="Arial"/>
          <w:sz w:val="15"/>
          <w:szCs w:val="15"/>
          <w:b w:val="1"/>
          <w:bCs w:val="1"/>
          <w:color w:val="002B5F"/>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6111875</wp:posOffset>
            </wp:positionH>
            <wp:positionV relativeFrom="paragraph">
              <wp:posOffset>-208915</wp:posOffset>
            </wp:positionV>
            <wp:extent cx="769620" cy="971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69620" cy="97155"/>
                    </a:xfrm>
                    <a:prstGeom prst="rect">
                      <a:avLst/>
                    </a:prstGeom>
                    <a:noFill/>
                  </pic:spPr>
                </pic:pic>
              </a:graphicData>
            </a:graphic>
          </wp:anchor>
        </w:drawing>
      </w:r>
    </w:p>
    <w:p>
      <w:pPr>
        <w:sectPr>
          <w:pgSz w:w="11900" w:h="16838" w:orient="portrait"/>
          <w:cols w:equalWidth="0" w:num="1">
            <w:col w:w="10700"/>
          </w:cols>
          <w:pgMar w:left="320" w:top="464" w:right="879" w:bottom="144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5334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81215" cy="5334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5617845</wp:posOffset>
            </wp:positionH>
            <wp:positionV relativeFrom="paragraph">
              <wp:posOffset>253365</wp:posOffset>
            </wp:positionV>
            <wp:extent cx="1256030" cy="74720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56030" cy="7472045"/>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tbl>
      <w:tblPr>
        <w:tblLayout w:type="fixed"/>
        <w:tblInd w:w="540" w:type="dxa"/>
        <w:tblCellMar>
          <w:top w:w="0" w:type="dxa"/>
          <w:left w:w="0" w:type="dxa"/>
          <w:bottom w:w="0" w:type="dxa"/>
          <w:right w:w="0" w:type="dxa"/>
        </w:tblCellMar>
      </w:tblPr>
      <w:tr>
        <w:trPr>
          <w:trHeight w:val="425"/>
        </w:trPr>
        <w:tc>
          <w:tcPr>
            <w:tcW w:w="8100" w:type="dxa"/>
            <w:vAlign w:val="bottom"/>
            <w:gridSpan w:val="2"/>
          </w:tcPr>
          <w:p>
            <w:pPr>
              <w:spacing w:after="0"/>
              <w:rPr>
                <w:sz w:val="20"/>
                <w:szCs w:val="20"/>
                <w:color w:val="auto"/>
              </w:rPr>
            </w:pPr>
            <w:r>
              <w:rPr>
                <w:rFonts w:ascii="Times New Roman" w:cs="Times New Roman" w:eastAsia="Times New Roman" w:hAnsi="Times New Roman"/>
                <w:sz w:val="37"/>
                <w:szCs w:val="37"/>
                <w:color w:val="B95827"/>
              </w:rPr>
              <w:t>Richard P. Schifter</w:t>
            </w:r>
          </w:p>
        </w:tc>
        <w:tc>
          <w:tcPr>
            <w:tcW w:w="440" w:type="dxa"/>
            <w:vAlign w:val="bottom"/>
          </w:tcPr>
          <w:p>
            <w:pPr>
              <w:ind w:left="240"/>
              <w:spacing w:after="0"/>
              <w:rPr>
                <w:sz w:val="20"/>
                <w:szCs w:val="20"/>
                <w:color w:val="auto"/>
              </w:rPr>
            </w:pPr>
            <w:r>
              <w:rPr>
                <w:rFonts w:ascii="Arial" w:cs="Arial" w:eastAsia="Arial" w:hAnsi="Arial"/>
                <w:sz w:val="15"/>
                <w:szCs w:val="15"/>
                <w:color w:val="auto"/>
              </w:rPr>
              <w:t> </w:t>
            </w:r>
          </w:p>
        </w:tc>
        <w:tc>
          <w:tcPr>
            <w:tcW w:w="1280" w:type="dxa"/>
            <w:vAlign w:val="bottom"/>
          </w:tcPr>
          <w:p>
            <w:pPr>
              <w:ind w:left="140"/>
              <w:spacing w:after="0"/>
              <w:rPr>
                <w:sz w:val="20"/>
                <w:szCs w:val="20"/>
                <w:color w:val="auto"/>
              </w:rPr>
            </w:pPr>
            <w:r>
              <w:rPr>
                <w:rFonts w:ascii="Arial" w:cs="Arial" w:eastAsia="Arial" w:hAnsi="Arial"/>
                <w:sz w:val="12"/>
                <w:szCs w:val="12"/>
                <w:color w:val="FFFFFF"/>
              </w:rPr>
              <w:t>General</w:t>
            </w:r>
          </w:p>
        </w:tc>
        <w:tc>
          <w:tcPr>
            <w:tcW w:w="440" w:type="dxa"/>
            <w:vAlign w:val="bottom"/>
          </w:tcPr>
          <w:p>
            <w:pPr>
              <w:ind w:left="80"/>
              <w:spacing w:after="0"/>
              <w:rPr>
                <w:sz w:val="20"/>
                <w:szCs w:val="20"/>
                <w:color w:val="auto"/>
              </w:rPr>
            </w:pPr>
            <w:r>
              <w:rPr>
                <w:rFonts w:ascii="Arial" w:cs="Arial" w:eastAsia="Arial" w:hAnsi="Arial"/>
                <w:sz w:val="15"/>
                <w:szCs w:val="15"/>
                <w:color w:val="auto"/>
              </w:rPr>
              <w:t xml:space="preserve">       </w:t>
            </w:r>
          </w:p>
        </w:tc>
        <w:tc>
          <w:tcPr>
            <w:tcW w:w="0" w:type="dxa"/>
            <w:vAlign w:val="bottom"/>
          </w:tcPr>
          <w:p>
            <w:pPr>
              <w:spacing w:after="0"/>
              <w:rPr>
                <w:sz w:val="1"/>
                <w:szCs w:val="1"/>
                <w:color w:val="auto"/>
              </w:rPr>
            </w:pPr>
          </w:p>
        </w:tc>
      </w:tr>
      <w:tr>
        <w:trPr>
          <w:trHeight w:val="95"/>
        </w:trPr>
        <w:tc>
          <w:tcPr>
            <w:tcW w:w="78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80" w:type="dxa"/>
            <w:vAlign w:val="bottom"/>
          </w:tcPr>
          <w:p>
            <w:pPr>
              <w:ind w:left="140"/>
              <w:spacing w:after="0" w:line="88" w:lineRule="exact"/>
              <w:rPr>
                <w:sz w:val="20"/>
                <w:szCs w:val="20"/>
                <w:color w:val="auto"/>
              </w:rPr>
            </w:pPr>
            <w:r>
              <w:rPr>
                <w:rFonts w:ascii="Arial" w:cs="Arial" w:eastAsia="Arial" w:hAnsi="Arial"/>
                <w:sz w:val="10"/>
                <w:szCs w:val="10"/>
                <w:color w:val="FFFFFF"/>
              </w:rPr>
              <w:t>Information</w:t>
            </w: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4"/>
        </w:trPr>
        <w:tc>
          <w:tcPr>
            <w:tcW w:w="8100" w:type="dxa"/>
            <w:vAlign w:val="bottom"/>
            <w:gridSpan w:val="2"/>
            <w:vMerge w:val="restart"/>
          </w:tcPr>
          <w:p>
            <w:pPr>
              <w:ind w:left="2600"/>
              <w:spacing w:after="0"/>
              <w:rPr>
                <w:sz w:val="20"/>
                <w:szCs w:val="20"/>
                <w:color w:val="auto"/>
              </w:rPr>
            </w:pPr>
            <w:r>
              <w:rPr>
                <w:rFonts w:ascii="Arial" w:cs="Arial" w:eastAsia="Arial" w:hAnsi="Arial"/>
                <w:sz w:val="19"/>
                <w:szCs w:val="19"/>
                <w:b w:val="1"/>
                <w:bCs w:val="1"/>
                <w:color w:val="B95827"/>
              </w:rPr>
              <w:t>BACKGROUND</w:t>
            </w:r>
          </w:p>
        </w:tc>
        <w:tc>
          <w:tcPr>
            <w:tcW w:w="440" w:type="dxa"/>
            <w:vAlign w:val="bottom"/>
          </w:tcPr>
          <w:p>
            <w:pPr>
              <w:spacing w:after="0"/>
              <w:rPr>
                <w:sz w:val="24"/>
                <w:szCs w:val="24"/>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General Information</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8100" w:type="dxa"/>
            <w:vAlign w:val="bottom"/>
            <w:gridSpan w:val="2"/>
            <w:vMerge w:val="continue"/>
          </w:tcPr>
          <w:p>
            <w:pPr>
              <w:spacing w:after="0"/>
              <w:rPr>
                <w:sz w:val="11"/>
                <w:szCs w:val="11"/>
                <w:color w:val="auto"/>
              </w:rPr>
            </w:pPr>
          </w:p>
        </w:tc>
        <w:tc>
          <w:tcPr>
            <w:tcW w:w="440" w:type="dxa"/>
            <w:vAlign w:val="bottom"/>
          </w:tcPr>
          <w:p>
            <w:pPr>
              <w:spacing w:after="0"/>
              <w:rPr>
                <w:sz w:val="11"/>
                <w:szCs w:val="11"/>
                <w:color w:val="auto"/>
              </w:rPr>
            </w:pPr>
          </w:p>
        </w:tc>
        <w:tc>
          <w:tcPr>
            <w:tcW w:w="1280" w:type="dxa"/>
            <w:vAlign w:val="bottom"/>
          </w:tcPr>
          <w:p>
            <w:pPr>
              <w:ind w:left="140"/>
              <w:spacing w:after="0" w:line="133" w:lineRule="exact"/>
              <w:rPr>
                <w:sz w:val="20"/>
                <w:szCs w:val="20"/>
                <w:color w:val="auto"/>
              </w:rPr>
            </w:pPr>
            <w:r>
              <w:rPr>
                <w:rFonts w:ascii="Arial" w:cs="Arial" w:eastAsia="Arial" w:hAnsi="Arial"/>
                <w:sz w:val="12"/>
                <w:szCs w:val="12"/>
                <w:color w:val="FFFFFF"/>
              </w:rPr>
              <w:t>About Corporate</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9"/>
        </w:trPr>
        <w:tc>
          <w:tcPr>
            <w:tcW w:w="8100" w:type="dxa"/>
            <w:vAlign w:val="bottom"/>
            <w:gridSpan w:val="2"/>
          </w:tcPr>
          <w:p>
            <w:pPr>
              <w:ind w:left="2600"/>
              <w:spacing w:after="0"/>
              <w:rPr>
                <w:sz w:val="20"/>
                <w:szCs w:val="20"/>
                <w:color w:val="auto"/>
              </w:rPr>
            </w:pPr>
            <w:r>
              <w:rPr>
                <w:rFonts w:ascii="Arial" w:cs="Arial" w:eastAsia="Arial" w:hAnsi="Arial"/>
                <w:sz w:val="15"/>
                <w:szCs w:val="15"/>
                <w:color w:val="auto"/>
              </w:rPr>
              <w:t>Mr. Schifter is a senior advisor of TPG, a leading global private investment</w:t>
            </w:r>
          </w:p>
        </w:tc>
        <w:tc>
          <w:tcPr>
            <w:tcW w:w="440" w:type="dxa"/>
            <w:vAlign w:val="bottom"/>
          </w:tcPr>
          <w:p>
            <w:pPr>
              <w:spacing w:after="0"/>
              <w:rPr>
                <w:sz w:val="15"/>
                <w:szCs w:val="15"/>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Governance</w:t>
            </w: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2"/>
        </w:trPr>
        <w:tc>
          <w:tcPr>
            <w:tcW w:w="8100" w:type="dxa"/>
            <w:vAlign w:val="bottom"/>
            <w:gridSpan w:val="2"/>
            <w:vMerge w:val="restart"/>
          </w:tcPr>
          <w:p>
            <w:pPr>
              <w:ind w:left="2600"/>
              <w:spacing w:after="0"/>
              <w:rPr>
                <w:sz w:val="20"/>
                <w:szCs w:val="20"/>
                <w:color w:val="auto"/>
              </w:rPr>
            </w:pPr>
            <w:r>
              <w:rPr>
                <w:rFonts w:ascii="Arial" w:cs="Arial" w:eastAsia="Arial" w:hAnsi="Arial"/>
                <w:sz w:val="15"/>
                <w:szCs w:val="15"/>
                <w:color w:val="auto"/>
              </w:rPr>
              <w:t>firm. He was a partner at TPG from 1994 through 2013. Prior to joining TPG,</w:t>
            </w:r>
          </w:p>
        </w:tc>
        <w:tc>
          <w:tcPr>
            <w:tcW w:w="440" w:type="dxa"/>
            <w:vAlign w:val="bottom"/>
          </w:tcPr>
          <w:p>
            <w:pPr>
              <w:spacing w:after="0"/>
              <w:rPr>
                <w:sz w:val="6"/>
                <w:szCs w:val="6"/>
                <w:color w:val="auto"/>
              </w:rPr>
            </w:pPr>
          </w:p>
        </w:tc>
        <w:tc>
          <w:tcPr>
            <w:tcW w:w="1280" w:type="dxa"/>
            <w:vAlign w:val="bottom"/>
          </w:tcPr>
          <w:p>
            <w:pPr>
              <w:ind w:left="140"/>
              <w:spacing w:after="0" w:line="72" w:lineRule="exact"/>
              <w:rPr>
                <w:sz w:val="20"/>
                <w:szCs w:val="20"/>
                <w:color w:val="auto"/>
              </w:rPr>
            </w:pPr>
            <w:r>
              <w:rPr>
                <w:rFonts w:ascii="Arial" w:cs="Arial" w:eastAsia="Arial" w:hAnsi="Arial"/>
                <w:sz w:val="8"/>
                <w:szCs w:val="8"/>
                <w:color w:val="FFFFFF"/>
              </w:rPr>
              <w:t>and the Board of</w:t>
            </w:r>
          </w:p>
        </w:tc>
        <w:tc>
          <w:tcPr>
            <w:tcW w:w="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3"/>
        </w:trPr>
        <w:tc>
          <w:tcPr>
            <w:tcW w:w="8100" w:type="dxa"/>
            <w:vAlign w:val="bottom"/>
            <w:gridSpan w:val="2"/>
            <w:vMerge w:val="continue"/>
          </w:tcPr>
          <w:p>
            <w:pPr>
              <w:spacing w:after="0"/>
              <w:rPr>
                <w:sz w:val="11"/>
                <w:szCs w:val="11"/>
                <w:color w:val="auto"/>
              </w:rPr>
            </w:pPr>
          </w:p>
        </w:tc>
        <w:tc>
          <w:tcPr>
            <w:tcW w:w="440" w:type="dxa"/>
            <w:vAlign w:val="bottom"/>
          </w:tcPr>
          <w:p>
            <w:pPr>
              <w:spacing w:after="0"/>
              <w:rPr>
                <w:sz w:val="11"/>
                <w:szCs w:val="11"/>
                <w:color w:val="auto"/>
              </w:rPr>
            </w:pPr>
          </w:p>
        </w:tc>
        <w:tc>
          <w:tcPr>
            <w:tcW w:w="1280" w:type="dxa"/>
            <w:vAlign w:val="bottom"/>
          </w:tcPr>
          <w:p>
            <w:pPr>
              <w:ind w:left="140"/>
              <w:spacing w:after="0" w:line="133" w:lineRule="exact"/>
              <w:rPr>
                <w:sz w:val="20"/>
                <w:szCs w:val="20"/>
                <w:color w:val="auto"/>
              </w:rPr>
            </w:pPr>
            <w:r>
              <w:rPr>
                <w:rFonts w:ascii="Arial" w:cs="Arial" w:eastAsia="Arial" w:hAnsi="Arial"/>
                <w:sz w:val="12"/>
                <w:szCs w:val="12"/>
                <w:color w:val="FFFFFF"/>
              </w:rPr>
              <w:t>Directors</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9"/>
        </w:trPr>
        <w:tc>
          <w:tcPr>
            <w:tcW w:w="8100" w:type="dxa"/>
            <w:vAlign w:val="bottom"/>
            <w:gridSpan w:val="2"/>
          </w:tcPr>
          <w:p>
            <w:pPr>
              <w:ind w:left="2600"/>
              <w:spacing w:after="0"/>
              <w:rPr>
                <w:sz w:val="20"/>
                <w:szCs w:val="20"/>
                <w:color w:val="auto"/>
              </w:rPr>
            </w:pPr>
            <w:r>
              <w:rPr>
                <w:rFonts w:ascii="Arial" w:cs="Arial" w:eastAsia="Arial" w:hAnsi="Arial"/>
                <w:sz w:val="15"/>
                <w:szCs w:val="15"/>
                <w:color w:val="auto"/>
              </w:rPr>
              <w:t>Mr. Schifter was a partner at the law firm of Arnold &amp; Porter in Washington,</w:t>
            </w:r>
          </w:p>
        </w:tc>
        <w:tc>
          <w:tcPr>
            <w:tcW w:w="440" w:type="dxa"/>
            <w:vAlign w:val="bottom"/>
          </w:tcPr>
          <w:p>
            <w:pPr>
              <w:spacing w:after="0"/>
              <w:rPr>
                <w:sz w:val="15"/>
                <w:szCs w:val="15"/>
                <w:color w:val="auto"/>
              </w:rPr>
            </w:pPr>
          </w:p>
        </w:tc>
        <w:tc>
          <w:tcPr>
            <w:tcW w:w="1280" w:type="dxa"/>
            <w:vAlign w:val="bottom"/>
            <w:vMerge w:val="restart"/>
          </w:tcPr>
          <w:p>
            <w:pPr>
              <w:ind w:left="140"/>
              <w:spacing w:after="0"/>
              <w:rPr>
                <w:sz w:val="20"/>
                <w:szCs w:val="20"/>
                <w:color w:val="auto"/>
              </w:rPr>
            </w:pPr>
            <w:r>
              <w:rPr>
                <w:rFonts w:ascii="Arial" w:cs="Arial" w:eastAsia="Arial" w:hAnsi="Arial"/>
                <w:sz w:val="12"/>
                <w:szCs w:val="12"/>
                <w:b w:val="1"/>
                <w:bCs w:val="1"/>
                <w:color w:val="FFFFFF"/>
              </w:rPr>
              <w:t>Proposal 1</w:t>
            </w: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8100" w:type="dxa"/>
            <w:vAlign w:val="bottom"/>
            <w:gridSpan w:val="2"/>
          </w:tcPr>
          <w:p>
            <w:pPr>
              <w:ind w:left="2600"/>
              <w:spacing w:after="0"/>
              <w:rPr>
                <w:sz w:val="20"/>
                <w:szCs w:val="20"/>
                <w:color w:val="auto"/>
              </w:rPr>
            </w:pPr>
            <w:r>
              <w:rPr>
                <w:rFonts w:ascii="Arial" w:cs="Arial" w:eastAsia="Arial" w:hAnsi="Arial"/>
                <w:sz w:val="15"/>
                <w:szCs w:val="15"/>
                <w:color w:val="auto"/>
              </w:rPr>
              <w:t>D.C. where he specialized in bankruptcy law and corporate restructuring. He</w:t>
            </w:r>
          </w:p>
        </w:tc>
        <w:tc>
          <w:tcPr>
            <w:tcW w:w="440" w:type="dxa"/>
            <w:vAlign w:val="bottom"/>
          </w:tcPr>
          <w:p>
            <w:pPr>
              <w:spacing w:after="0"/>
              <w:rPr>
                <w:sz w:val="15"/>
                <w:szCs w:val="15"/>
                <w:color w:val="auto"/>
              </w:rPr>
            </w:pPr>
          </w:p>
        </w:tc>
        <w:tc>
          <w:tcPr>
            <w:tcW w:w="1280" w:type="dxa"/>
            <w:vAlign w:val="bottom"/>
            <w:vMerge w:val="continue"/>
          </w:tcPr>
          <w:p>
            <w:pPr>
              <w:spacing w:after="0"/>
              <w:rPr>
                <w:sz w:val="15"/>
                <w:szCs w:val="15"/>
                <w:color w:val="auto"/>
              </w:rPr>
            </w:pP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8100" w:type="dxa"/>
            <w:vAlign w:val="bottom"/>
            <w:gridSpan w:val="2"/>
          </w:tcPr>
          <w:p>
            <w:pPr>
              <w:ind w:left="2600"/>
              <w:spacing w:after="0"/>
              <w:rPr>
                <w:sz w:val="20"/>
                <w:szCs w:val="20"/>
                <w:color w:val="auto"/>
              </w:rPr>
            </w:pPr>
            <w:r>
              <w:rPr>
                <w:rFonts w:ascii="Arial" w:cs="Arial" w:eastAsia="Arial" w:hAnsi="Arial"/>
                <w:sz w:val="15"/>
                <w:szCs w:val="15"/>
                <w:color w:val="auto"/>
              </w:rPr>
              <w:t>joined Arnold &amp; Porter in 1979 and was a partner from 1986 through 1994. He</w:t>
            </w:r>
          </w:p>
        </w:tc>
        <w:tc>
          <w:tcPr>
            <w:tcW w:w="440" w:type="dxa"/>
            <w:vAlign w:val="bottom"/>
          </w:tcPr>
          <w:p>
            <w:pPr>
              <w:spacing w:after="0"/>
              <w:rPr>
                <w:sz w:val="15"/>
                <w:szCs w:val="15"/>
                <w:color w:val="auto"/>
              </w:rPr>
            </w:pPr>
          </w:p>
        </w:tc>
        <w:tc>
          <w:tcPr>
            <w:tcW w:w="1280" w:type="dxa"/>
            <w:vAlign w:val="bottom"/>
            <w:vMerge w:val="restart"/>
          </w:tcPr>
          <w:p>
            <w:pPr>
              <w:ind w:left="140"/>
              <w:spacing w:after="0"/>
              <w:rPr>
                <w:sz w:val="20"/>
                <w:szCs w:val="20"/>
                <w:color w:val="auto"/>
              </w:rPr>
            </w:pPr>
            <w:r>
              <w:rPr>
                <w:rFonts w:ascii="Arial" w:cs="Arial" w:eastAsia="Arial" w:hAnsi="Arial"/>
                <w:sz w:val="12"/>
                <w:szCs w:val="12"/>
                <w:color w:val="FFFFFF"/>
              </w:rPr>
              <w:t>Information</w:t>
            </w: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6"/>
        </w:trPr>
        <w:tc>
          <w:tcPr>
            <w:tcW w:w="8100" w:type="dxa"/>
            <w:vAlign w:val="bottom"/>
            <w:gridSpan w:val="2"/>
            <w:vMerge w:val="restart"/>
          </w:tcPr>
          <w:p>
            <w:pPr>
              <w:ind w:left="2600"/>
              <w:spacing w:after="0"/>
              <w:rPr>
                <w:sz w:val="20"/>
                <w:szCs w:val="20"/>
                <w:color w:val="auto"/>
              </w:rPr>
            </w:pPr>
            <w:r>
              <w:rPr>
                <w:rFonts w:ascii="Arial" w:cs="Arial" w:eastAsia="Arial" w:hAnsi="Arial"/>
                <w:sz w:val="15"/>
                <w:szCs w:val="15"/>
                <w:color w:val="auto"/>
              </w:rPr>
              <w:t>received a B.A. with distinction from George Washington University and a</w:t>
            </w:r>
          </w:p>
        </w:tc>
        <w:tc>
          <w:tcPr>
            <w:tcW w:w="4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28"/>
        </w:trPr>
        <w:tc>
          <w:tcPr>
            <w:tcW w:w="8100" w:type="dxa"/>
            <w:vAlign w:val="bottom"/>
            <w:gridSpan w:val="2"/>
            <w:vMerge w:val="continue"/>
          </w:tcPr>
          <w:p>
            <w:pPr>
              <w:spacing w:after="0"/>
              <w:rPr>
                <w:sz w:val="11"/>
                <w:szCs w:val="11"/>
                <w:color w:val="auto"/>
              </w:rPr>
            </w:pPr>
          </w:p>
        </w:tc>
        <w:tc>
          <w:tcPr>
            <w:tcW w:w="440" w:type="dxa"/>
            <w:vAlign w:val="bottom"/>
          </w:tcPr>
          <w:p>
            <w:pPr>
              <w:spacing w:after="0"/>
              <w:rPr>
                <w:sz w:val="11"/>
                <w:szCs w:val="11"/>
                <w:color w:val="auto"/>
              </w:rPr>
            </w:pPr>
          </w:p>
        </w:tc>
        <w:tc>
          <w:tcPr>
            <w:tcW w:w="1280" w:type="dxa"/>
            <w:vAlign w:val="bottom"/>
          </w:tcPr>
          <w:p>
            <w:pPr>
              <w:ind w:left="140"/>
              <w:spacing w:after="0" w:line="128" w:lineRule="exact"/>
              <w:rPr>
                <w:sz w:val="20"/>
                <w:szCs w:val="20"/>
                <w:color w:val="auto"/>
              </w:rPr>
            </w:pPr>
            <w:r>
              <w:rPr>
                <w:rFonts w:ascii="Arial" w:cs="Arial" w:eastAsia="Arial" w:hAnsi="Arial"/>
                <w:sz w:val="12"/>
                <w:szCs w:val="12"/>
                <w:color w:val="FFFFFF"/>
              </w:rPr>
              <w:t>Regarding Board</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8100" w:type="dxa"/>
            <w:vAlign w:val="bottom"/>
            <w:gridSpan w:val="2"/>
          </w:tcPr>
          <w:p>
            <w:pPr>
              <w:ind w:left="2600"/>
              <w:spacing w:after="0" w:line="158" w:lineRule="exact"/>
              <w:rPr>
                <w:sz w:val="20"/>
                <w:szCs w:val="20"/>
                <w:color w:val="auto"/>
              </w:rPr>
            </w:pPr>
            <w:r>
              <w:rPr>
                <w:rFonts w:ascii="Arial" w:cs="Arial" w:eastAsia="Arial" w:hAnsi="Arial"/>
                <w:sz w:val="15"/>
                <w:szCs w:val="15"/>
                <w:color w:val="auto"/>
              </w:rPr>
              <w:t>J.D. cum laude from the University of Pennsylvania Law School. He is</w:t>
            </w:r>
          </w:p>
        </w:tc>
        <w:tc>
          <w:tcPr>
            <w:tcW w:w="440" w:type="dxa"/>
            <w:vAlign w:val="bottom"/>
          </w:tcPr>
          <w:p>
            <w:pPr>
              <w:spacing w:after="0"/>
              <w:rPr>
                <w:sz w:val="13"/>
                <w:szCs w:val="13"/>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and Committee</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8100" w:type="dxa"/>
            <w:vAlign w:val="bottom"/>
            <w:gridSpan w:val="2"/>
            <w:vMerge w:val="restart"/>
          </w:tcPr>
          <w:p>
            <w:pPr>
              <w:ind w:left="2600"/>
              <w:spacing w:after="0"/>
              <w:rPr>
                <w:sz w:val="20"/>
                <w:szCs w:val="20"/>
                <w:color w:val="auto"/>
              </w:rPr>
            </w:pPr>
            <w:r>
              <w:rPr>
                <w:rFonts w:ascii="Arial" w:cs="Arial" w:eastAsia="Arial" w:hAnsi="Arial"/>
                <w:sz w:val="15"/>
                <w:szCs w:val="15"/>
                <w:color w:val="auto"/>
              </w:rPr>
              <w:t>currently an adjunct professor of law at the New York University School of</w:t>
            </w:r>
          </w:p>
        </w:tc>
        <w:tc>
          <w:tcPr>
            <w:tcW w:w="440" w:type="dxa"/>
            <w:vAlign w:val="bottom"/>
          </w:tcPr>
          <w:p>
            <w:pPr>
              <w:spacing w:after="0"/>
              <w:rPr>
                <w:sz w:val="13"/>
                <w:szCs w:val="13"/>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Structure</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7"/>
        </w:trPr>
        <w:tc>
          <w:tcPr>
            <w:tcW w:w="8100" w:type="dxa"/>
            <w:vAlign w:val="bottom"/>
            <w:gridSpan w:val="2"/>
            <w:vMerge w:val="continue"/>
          </w:tcPr>
          <w:p>
            <w:pPr>
              <w:spacing w:after="0"/>
              <w:rPr>
                <w:sz w:val="4"/>
                <w:szCs w:val="4"/>
                <w:color w:val="auto"/>
              </w:rPr>
            </w:pPr>
          </w:p>
        </w:tc>
        <w:tc>
          <w:tcPr>
            <w:tcW w:w="440" w:type="dxa"/>
            <w:vAlign w:val="bottom"/>
          </w:tcPr>
          <w:p>
            <w:pPr>
              <w:spacing w:after="0"/>
              <w:rPr>
                <w:sz w:val="4"/>
                <w:szCs w:val="4"/>
                <w:color w:val="auto"/>
              </w:rPr>
            </w:pPr>
          </w:p>
        </w:tc>
        <w:tc>
          <w:tcPr>
            <w:tcW w:w="128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8100" w:type="dxa"/>
            <w:vAlign w:val="bottom"/>
            <w:gridSpan w:val="2"/>
          </w:tcPr>
          <w:p>
            <w:pPr>
              <w:ind w:left="2600"/>
              <w:spacing w:after="0"/>
              <w:rPr>
                <w:sz w:val="20"/>
                <w:szCs w:val="20"/>
                <w:color w:val="auto"/>
              </w:rPr>
            </w:pPr>
            <w:r>
              <w:rPr>
                <w:rFonts w:ascii="Arial" w:cs="Arial" w:eastAsia="Arial" w:hAnsi="Arial"/>
                <w:sz w:val="15"/>
                <w:szCs w:val="15"/>
                <w:color w:val="auto"/>
              </w:rPr>
              <w:t>Law.</w:t>
            </w:r>
          </w:p>
        </w:tc>
        <w:tc>
          <w:tcPr>
            <w:tcW w:w="440" w:type="dxa"/>
            <w:vAlign w:val="bottom"/>
          </w:tcPr>
          <w:p>
            <w:pPr>
              <w:spacing w:after="0"/>
              <w:rPr>
                <w:sz w:val="16"/>
                <w:szCs w:val="16"/>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Board of Directors</w:t>
            </w: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7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Compensation</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341630</wp:posOffset>
            </wp:positionH>
            <wp:positionV relativeFrom="paragraph">
              <wp:posOffset>-1247140</wp:posOffset>
            </wp:positionV>
            <wp:extent cx="1499235" cy="157226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499235" cy="1572260"/>
                    </a:xfrm>
                    <a:prstGeom prst="rect">
                      <a:avLst/>
                    </a:prstGeom>
                    <a:noFill/>
                  </pic:spPr>
                </pic:pic>
              </a:graphicData>
            </a:graphic>
          </wp:anchor>
        </w:drawing>
      </w:r>
    </w:p>
    <w:p>
      <w:pPr>
        <w:sectPr>
          <w:pgSz w:w="11900" w:h="16838" w:orient="portrait"/>
          <w:cols w:equalWidth="0" w:num="1">
            <w:col w:w="10800"/>
          </w:cols>
          <w:pgMar w:left="320" w:top="464" w:right="7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540"/>
        <w:spacing w:after="0"/>
        <w:rPr>
          <w:sz w:val="20"/>
          <w:szCs w:val="20"/>
          <w:color w:val="auto"/>
        </w:rPr>
      </w:pPr>
      <w:r>
        <w:rPr>
          <w:rFonts w:ascii="Arial" w:cs="Arial" w:eastAsia="Arial" w:hAnsi="Arial"/>
          <w:sz w:val="19"/>
          <w:szCs w:val="19"/>
          <w:b w:val="1"/>
          <w:bCs w:val="1"/>
          <w:color w:val="B95827"/>
        </w:rPr>
        <w:t xml:space="preserve">AGE </w:t>
      </w:r>
      <w:r>
        <w:rPr>
          <w:rFonts w:ascii="Arial" w:cs="Arial" w:eastAsia="Arial" w:hAnsi="Arial"/>
          <w:sz w:val="15"/>
          <w:szCs w:val="15"/>
          <w:color w:val="000000"/>
        </w:rPr>
        <w:t>73</w:t>
      </w:r>
    </w:p>
    <w:p>
      <w:pPr>
        <w:spacing w:after="0" w:line="101" w:lineRule="exact"/>
        <w:rPr>
          <w:sz w:val="20"/>
          <w:szCs w:val="20"/>
          <w:color w:val="auto"/>
        </w:rPr>
      </w:pPr>
    </w:p>
    <w:p>
      <w:pPr>
        <w:ind w:left="540"/>
        <w:spacing w:after="0"/>
        <w:rPr>
          <w:sz w:val="20"/>
          <w:szCs w:val="20"/>
          <w:color w:val="auto"/>
        </w:rPr>
      </w:pPr>
      <w:r>
        <w:rPr>
          <w:rFonts w:ascii="Arial" w:cs="Arial" w:eastAsia="Arial" w:hAnsi="Arial"/>
          <w:sz w:val="19"/>
          <w:szCs w:val="19"/>
          <w:b w:val="1"/>
          <w:bCs w:val="1"/>
          <w:color w:val="B95827"/>
        </w:rPr>
        <w:t xml:space="preserve">DIRECTOR SINCE </w:t>
      </w:r>
      <w:r>
        <w:rPr>
          <w:rFonts w:ascii="Arial" w:cs="Arial" w:eastAsia="Arial" w:hAnsi="Arial"/>
          <w:sz w:val="15"/>
          <w:szCs w:val="15"/>
          <w:color w:val="000000"/>
        </w:rPr>
        <w:t>2005</w:t>
      </w:r>
    </w:p>
    <w:p>
      <w:pPr>
        <w:spacing w:after="0" w:line="101" w:lineRule="exact"/>
        <w:rPr>
          <w:sz w:val="20"/>
          <w:szCs w:val="20"/>
          <w:color w:val="auto"/>
        </w:rPr>
      </w:pPr>
    </w:p>
    <w:p>
      <w:pPr>
        <w:ind w:left="540"/>
        <w:spacing w:after="0"/>
        <w:rPr>
          <w:sz w:val="20"/>
          <w:szCs w:val="20"/>
          <w:color w:val="auto"/>
        </w:rPr>
      </w:pPr>
      <w:r>
        <w:rPr>
          <w:rFonts w:ascii="Arial" w:cs="Arial" w:eastAsia="Arial" w:hAnsi="Arial"/>
          <w:sz w:val="19"/>
          <w:szCs w:val="19"/>
          <w:b w:val="1"/>
          <w:bCs w:val="1"/>
          <w:color w:val="B95827"/>
        </w:rPr>
        <w:t>INDEPENDENT</w:t>
      </w:r>
    </w:p>
    <w:p>
      <w:pPr>
        <w:spacing w:after="0" w:line="101" w:lineRule="exact"/>
        <w:rPr>
          <w:sz w:val="20"/>
          <w:szCs w:val="20"/>
          <w:color w:val="auto"/>
        </w:rPr>
      </w:pPr>
    </w:p>
    <w:p>
      <w:pPr>
        <w:ind w:left="540"/>
        <w:spacing w:after="0"/>
        <w:rPr>
          <w:sz w:val="20"/>
          <w:szCs w:val="20"/>
          <w:color w:val="auto"/>
        </w:rPr>
      </w:pPr>
      <w:r>
        <w:rPr>
          <w:rFonts w:ascii="Arial" w:cs="Arial" w:eastAsia="Arial" w:hAnsi="Arial"/>
          <w:sz w:val="19"/>
          <w:szCs w:val="19"/>
          <w:b w:val="1"/>
          <w:bCs w:val="1"/>
          <w:color w:val="B95827"/>
        </w:rPr>
        <w:t>COMMITTEES:</w:t>
      </w:r>
    </w:p>
    <w:p>
      <w:pPr>
        <w:spacing w:after="0" w:line="4" w:lineRule="exact"/>
        <w:rPr>
          <w:sz w:val="20"/>
          <w:szCs w:val="20"/>
          <w:color w:val="auto"/>
        </w:rPr>
      </w:pPr>
    </w:p>
    <w:p>
      <w:pPr>
        <w:ind w:left="540"/>
        <w:spacing w:after="0"/>
        <w:rPr>
          <w:sz w:val="20"/>
          <w:szCs w:val="20"/>
          <w:color w:val="auto"/>
        </w:rPr>
      </w:pPr>
      <w:r>
        <w:rPr>
          <w:rFonts w:ascii="Arial" w:cs="Arial" w:eastAsia="Arial" w:hAnsi="Arial"/>
          <w:sz w:val="19"/>
          <w:szCs w:val="19"/>
          <w:color w:val="auto"/>
        </w:rPr>
        <w:t>• Audit and Risk Committee</w:t>
      </w:r>
    </w:p>
    <w:p>
      <w:pPr>
        <w:spacing w:after="0" w:line="83" w:lineRule="exact"/>
        <w:rPr>
          <w:sz w:val="20"/>
          <w:szCs w:val="20"/>
          <w:color w:val="auto"/>
        </w:rPr>
      </w:pPr>
    </w:p>
    <w:p>
      <w:pPr>
        <w:ind w:left="540" w:right="520"/>
        <w:spacing w:after="0" w:line="295" w:lineRule="auto"/>
        <w:rPr>
          <w:sz w:val="20"/>
          <w:szCs w:val="20"/>
          <w:color w:val="auto"/>
        </w:rPr>
      </w:pPr>
      <w:r>
        <w:rPr>
          <w:rFonts w:ascii="Arial" w:cs="Arial" w:eastAsia="Arial" w:hAnsi="Arial"/>
          <w:sz w:val="18"/>
          <w:szCs w:val="18"/>
          <w:b w:val="1"/>
          <w:bCs w:val="1"/>
          <w:color w:val="B95827"/>
        </w:rPr>
        <w:t>OTHER PUBLIC COMPANY BOARDS</w:t>
      </w:r>
    </w:p>
    <w:p>
      <w:pPr>
        <w:spacing w:after="0" w:line="22" w:lineRule="exact"/>
        <w:rPr>
          <w:sz w:val="20"/>
          <w:szCs w:val="20"/>
          <w:color w:val="auto"/>
        </w:rPr>
      </w:pPr>
    </w:p>
    <w:p>
      <w:pPr>
        <w:ind w:left="540"/>
        <w:spacing w:after="0"/>
        <w:rPr>
          <w:sz w:val="20"/>
          <w:szCs w:val="20"/>
          <w:color w:val="auto"/>
        </w:rPr>
      </w:pPr>
      <w:r>
        <w:rPr>
          <w:rFonts w:ascii="Arial" w:cs="Arial" w:eastAsia="Arial" w:hAnsi="Arial"/>
          <w:sz w:val="15"/>
          <w:szCs w:val="15"/>
          <w:b w:val="1"/>
          <w:bCs w:val="1"/>
          <w:color w:val="auto"/>
        </w:rPr>
        <w:t>Current</w:t>
      </w:r>
    </w:p>
    <w:p>
      <w:pPr>
        <w:spacing w:after="0" w:line="17" w:lineRule="exact"/>
        <w:rPr>
          <w:sz w:val="20"/>
          <w:szCs w:val="20"/>
          <w:color w:val="auto"/>
        </w:rPr>
      </w:pPr>
    </w:p>
    <w:p>
      <w:pPr>
        <w:ind w:left="540"/>
        <w:spacing w:after="0"/>
        <w:rPr>
          <w:sz w:val="20"/>
          <w:szCs w:val="20"/>
          <w:color w:val="auto"/>
        </w:rPr>
      </w:pPr>
      <w:r>
        <w:rPr>
          <w:rFonts w:ascii="Arial" w:cs="Arial" w:eastAsia="Arial" w:hAnsi="Arial"/>
          <w:sz w:val="19"/>
          <w:szCs w:val="19"/>
          <w:color w:val="auto"/>
        </w:rPr>
        <w:t>• None</w:t>
      </w:r>
    </w:p>
    <w:p>
      <w:pPr>
        <w:spacing w:after="0" w:line="90" w:lineRule="exact"/>
        <w:rPr>
          <w:sz w:val="20"/>
          <w:szCs w:val="20"/>
          <w:color w:val="auto"/>
        </w:rPr>
      </w:pPr>
    </w:p>
    <w:p>
      <w:pPr>
        <w:ind w:left="540"/>
        <w:spacing w:after="0"/>
        <w:rPr>
          <w:sz w:val="20"/>
          <w:szCs w:val="20"/>
          <w:color w:val="auto"/>
        </w:rPr>
      </w:pPr>
      <w:r>
        <w:rPr>
          <w:rFonts w:ascii="Arial" w:cs="Arial" w:eastAsia="Arial" w:hAnsi="Arial"/>
          <w:sz w:val="15"/>
          <w:szCs w:val="15"/>
          <w:b w:val="1"/>
          <w:bCs w:val="1"/>
          <w:color w:val="auto"/>
        </w:rPr>
        <w:t>Past 5 Years</w:t>
      </w:r>
    </w:p>
    <w:p>
      <w:pPr>
        <w:spacing w:after="0" w:line="17" w:lineRule="exact"/>
        <w:rPr>
          <w:sz w:val="20"/>
          <w:szCs w:val="20"/>
          <w:color w:val="auto"/>
        </w:rPr>
      </w:pPr>
    </w:p>
    <w:p>
      <w:pPr>
        <w:jc w:val="center"/>
        <w:ind w:left="320"/>
        <w:spacing w:after="0"/>
        <w:rPr>
          <w:sz w:val="20"/>
          <w:szCs w:val="20"/>
          <w:color w:val="auto"/>
        </w:rPr>
      </w:pPr>
      <w:r>
        <w:rPr>
          <w:rFonts w:ascii="Arial" w:cs="Arial" w:eastAsia="Arial" w:hAnsi="Arial"/>
          <w:sz w:val="19"/>
          <w:szCs w:val="19"/>
          <w:color w:val="auto"/>
        </w:rPr>
        <w:t>• EnLink Midstream, LLC</w:t>
      </w:r>
    </w:p>
    <w:p>
      <w:pPr>
        <w:spacing w:after="0" w:line="20" w:lineRule="exact"/>
        <w:rPr>
          <w:sz w:val="20"/>
          <w:szCs w:val="20"/>
          <w:color w:val="auto"/>
        </w:rPr>
      </w:pPr>
      <w:r>
        <w:rPr>
          <w:sz w:val="20"/>
          <w:szCs w:val="20"/>
          <w:color w:val="auto"/>
        </w:rPr>
        <w:br w:type="column"/>
      </w:r>
    </w:p>
    <w:p>
      <w:pPr>
        <w:spacing w:after="0" w:line="35" w:lineRule="exact"/>
        <w:rPr>
          <w:sz w:val="20"/>
          <w:szCs w:val="20"/>
          <w:color w:val="auto"/>
        </w:rPr>
      </w:pPr>
    </w:p>
    <w:p>
      <w:pPr>
        <w:spacing w:after="0"/>
        <w:rPr>
          <w:sz w:val="20"/>
          <w:szCs w:val="20"/>
          <w:color w:val="auto"/>
        </w:rPr>
      </w:pPr>
      <w:r>
        <w:rPr>
          <w:rFonts w:ascii="Arial" w:cs="Arial" w:eastAsia="Arial" w:hAnsi="Arial"/>
          <w:sz w:val="19"/>
          <w:szCs w:val="19"/>
          <w:b w:val="1"/>
          <w:bCs w:val="1"/>
          <w:color w:val="B95827"/>
        </w:rPr>
        <w:t>QUALIFICATIONS</w:t>
      </w:r>
    </w:p>
    <w:p>
      <w:pPr>
        <w:spacing w:after="0" w:line="9" w:lineRule="exact"/>
        <w:rPr>
          <w:sz w:val="20"/>
          <w:szCs w:val="20"/>
          <w:color w:val="auto"/>
        </w:rPr>
      </w:pPr>
    </w:p>
    <w:p>
      <w:pPr>
        <w:ind w:right="140"/>
        <w:spacing w:after="0" w:line="254" w:lineRule="auto"/>
        <w:rPr>
          <w:sz w:val="20"/>
          <w:szCs w:val="20"/>
          <w:color w:val="auto"/>
        </w:rPr>
      </w:pPr>
      <w:r>
        <w:rPr>
          <w:rFonts w:ascii="Arial" w:cs="Arial" w:eastAsia="Arial" w:hAnsi="Arial"/>
          <w:sz w:val="15"/>
          <w:szCs w:val="15"/>
          <w:color w:val="auto"/>
        </w:rPr>
        <w:t>Mr. Schifter’s pertinent qualifications include his high level of financial literacy gained through his investment experience as a TPG partner; experience on other company boards and board committees; and nearly 15 years of experience as a corporate attorney with an internationally-recognized law firm.</w:t>
      </w:r>
    </w:p>
    <w:p>
      <w:pPr>
        <w:spacing w:after="0" w:line="20" w:lineRule="exact"/>
        <w:rPr>
          <w:sz w:val="20"/>
          <w:szCs w:val="20"/>
          <w:color w:val="auto"/>
        </w:rPr>
      </w:pPr>
      <w:r>
        <w:rPr>
          <w:sz w:val="20"/>
          <w:szCs w:val="20"/>
          <w:color w:val="auto"/>
        </w:rPr>
        <w:br w:type="column"/>
      </w:r>
    </w:p>
    <w:p>
      <w:pPr>
        <w:spacing w:after="0" w:line="116" w:lineRule="exact"/>
        <w:rPr>
          <w:sz w:val="20"/>
          <w:szCs w:val="20"/>
          <w:color w:val="auto"/>
        </w:rPr>
      </w:pPr>
    </w:p>
    <w:p>
      <w:pPr>
        <w:spacing w:after="0"/>
        <w:rPr>
          <w:sz w:val="20"/>
          <w:szCs w:val="20"/>
          <w:color w:val="auto"/>
        </w:rPr>
      </w:pPr>
      <w:r>
        <w:rPr>
          <w:rFonts w:ascii="Arial" w:cs="Arial" w:eastAsia="Arial" w:hAnsi="Arial"/>
          <w:sz w:val="12"/>
          <w:szCs w:val="12"/>
          <w:color w:val="FFFFFF"/>
        </w:rPr>
        <w:t>Compensation</w:t>
      </w:r>
    </w:p>
    <w:p>
      <w:pPr>
        <w:spacing w:after="0" w:line="224" w:lineRule="auto"/>
        <w:rPr>
          <w:sz w:val="20"/>
          <w:szCs w:val="20"/>
          <w:color w:val="auto"/>
        </w:rPr>
      </w:pPr>
      <w:r>
        <w:rPr>
          <w:rFonts w:ascii="Arial" w:cs="Arial" w:eastAsia="Arial" w:hAnsi="Arial"/>
          <w:sz w:val="12"/>
          <w:szCs w:val="12"/>
          <w:color w:val="FFFFFF"/>
        </w:rPr>
        <w:t>Discussion and</w:t>
      </w:r>
    </w:p>
    <w:p>
      <w:pPr>
        <w:spacing w:after="0"/>
        <w:rPr>
          <w:sz w:val="20"/>
          <w:szCs w:val="20"/>
          <w:color w:val="auto"/>
        </w:rPr>
      </w:pPr>
      <w:r>
        <w:rPr>
          <w:rFonts w:ascii="Arial" w:cs="Arial" w:eastAsia="Arial" w:hAnsi="Arial"/>
          <w:sz w:val="12"/>
          <w:szCs w:val="12"/>
          <w:color w:val="FFFFFF"/>
        </w:rPr>
        <w:t>Analysis</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Report of the</w:t>
      </w:r>
    </w:p>
    <w:p>
      <w:pPr>
        <w:spacing w:after="0" w:line="224" w:lineRule="auto"/>
        <w:rPr>
          <w:sz w:val="20"/>
          <w:szCs w:val="20"/>
          <w:color w:val="auto"/>
        </w:rPr>
      </w:pPr>
      <w:r>
        <w:rPr>
          <w:rFonts w:ascii="Arial" w:cs="Arial" w:eastAsia="Arial" w:hAnsi="Arial"/>
          <w:sz w:val="12"/>
          <w:szCs w:val="12"/>
          <w:color w:val="FFFFFF"/>
        </w:rPr>
        <w:t>Compensation</w:t>
      </w:r>
    </w:p>
    <w:p>
      <w:pPr>
        <w:spacing w:after="0" w:line="222" w:lineRule="auto"/>
        <w:rPr>
          <w:sz w:val="20"/>
          <w:szCs w:val="20"/>
          <w:color w:val="auto"/>
        </w:rPr>
      </w:pPr>
      <w:r>
        <w:rPr>
          <w:rFonts w:ascii="Arial" w:cs="Arial" w:eastAsia="Arial" w:hAnsi="Arial"/>
          <w:sz w:val="12"/>
          <w:szCs w:val="12"/>
          <w:color w:val="FFFFFF"/>
        </w:rPr>
        <w:t>and Human</w:t>
      </w:r>
    </w:p>
    <w:p>
      <w:pPr>
        <w:spacing w:after="0" w:line="222" w:lineRule="auto"/>
        <w:rPr>
          <w:sz w:val="20"/>
          <w:szCs w:val="20"/>
          <w:color w:val="auto"/>
        </w:rPr>
      </w:pPr>
      <w:r>
        <w:rPr>
          <w:rFonts w:ascii="Arial" w:cs="Arial" w:eastAsia="Arial" w:hAnsi="Arial"/>
          <w:sz w:val="12"/>
          <w:szCs w:val="12"/>
          <w:color w:val="FFFFFF"/>
        </w:rPr>
        <w:t>Resources</w:t>
      </w:r>
    </w:p>
    <w:p>
      <w:pPr>
        <w:spacing w:after="0" w:line="222" w:lineRule="auto"/>
        <w:rPr>
          <w:sz w:val="20"/>
          <w:szCs w:val="20"/>
          <w:color w:val="auto"/>
        </w:rPr>
      </w:pPr>
      <w:r>
        <w:rPr>
          <w:rFonts w:ascii="Arial" w:cs="Arial" w:eastAsia="Arial" w:hAnsi="Arial"/>
          <w:sz w:val="12"/>
          <w:szCs w:val="12"/>
          <w:color w:val="FFFFFF"/>
        </w:rPr>
        <w:t>Committee of the</w:t>
      </w:r>
    </w:p>
    <w:p>
      <w:pPr>
        <w:spacing w:after="0"/>
        <w:rPr>
          <w:sz w:val="20"/>
          <w:szCs w:val="20"/>
          <w:color w:val="auto"/>
        </w:rPr>
      </w:pPr>
      <w:r>
        <w:rPr>
          <w:rFonts w:ascii="Arial" w:cs="Arial" w:eastAsia="Arial" w:hAnsi="Arial"/>
          <w:sz w:val="11"/>
          <w:szCs w:val="11"/>
          <w:color w:val="FFFFFF"/>
        </w:rPr>
        <w:t>Board of Directors</w:t>
      </w:r>
    </w:p>
    <w:p>
      <w:pPr>
        <w:spacing w:after="0" w:line="155" w:lineRule="exact"/>
        <w:rPr>
          <w:sz w:val="20"/>
          <w:szCs w:val="20"/>
          <w:color w:val="auto"/>
        </w:rPr>
      </w:pPr>
    </w:p>
    <w:p>
      <w:pPr>
        <w:spacing w:after="0"/>
        <w:rPr>
          <w:sz w:val="20"/>
          <w:szCs w:val="20"/>
          <w:color w:val="auto"/>
        </w:rPr>
      </w:pPr>
      <w:r>
        <w:rPr>
          <w:rFonts w:ascii="Arial" w:cs="Arial" w:eastAsia="Arial" w:hAnsi="Arial"/>
          <w:sz w:val="12"/>
          <w:szCs w:val="12"/>
          <w:color w:val="FFFFFF"/>
        </w:rPr>
        <w:t>Compensation of</w:t>
      </w:r>
    </w:p>
    <w:p>
      <w:pPr>
        <w:spacing w:after="0" w:line="224" w:lineRule="auto"/>
        <w:rPr>
          <w:sz w:val="20"/>
          <w:szCs w:val="20"/>
          <w:color w:val="auto"/>
        </w:rPr>
      </w:pPr>
      <w:r>
        <w:rPr>
          <w:rFonts w:ascii="Arial" w:cs="Arial" w:eastAsia="Arial" w:hAnsi="Arial"/>
          <w:sz w:val="12"/>
          <w:szCs w:val="12"/>
          <w:color w:val="FFFFFF"/>
        </w:rPr>
        <w:t>Named Executive</w:t>
      </w:r>
    </w:p>
    <w:p>
      <w:pPr>
        <w:spacing w:after="0"/>
        <w:rPr>
          <w:sz w:val="20"/>
          <w:szCs w:val="20"/>
          <w:color w:val="auto"/>
        </w:rPr>
      </w:pPr>
      <w:r>
        <w:rPr>
          <w:rFonts w:ascii="Arial" w:cs="Arial" w:eastAsia="Arial" w:hAnsi="Arial"/>
          <w:sz w:val="12"/>
          <w:szCs w:val="12"/>
          <w:color w:val="FFFFFF"/>
        </w:rPr>
        <w:t>Officers</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Pay Versus</w:t>
      </w:r>
    </w:p>
    <w:p>
      <w:pPr>
        <w:spacing w:after="0" w:line="224" w:lineRule="auto"/>
        <w:rPr>
          <w:sz w:val="20"/>
          <w:szCs w:val="20"/>
          <w:color w:val="auto"/>
        </w:rPr>
      </w:pPr>
      <w:r>
        <w:rPr>
          <w:rFonts w:ascii="Arial" w:cs="Arial" w:eastAsia="Arial" w:hAnsi="Arial"/>
          <w:sz w:val="12"/>
          <w:szCs w:val="12"/>
          <w:color w:val="FFFFFF"/>
        </w:rPr>
        <w:t>Performance</w:t>
      </w:r>
    </w:p>
    <w:p>
      <w:pPr>
        <w:spacing w:after="0"/>
        <w:rPr>
          <w:sz w:val="20"/>
          <w:szCs w:val="20"/>
          <w:color w:val="auto"/>
        </w:rPr>
      </w:pPr>
      <w:r>
        <w:rPr>
          <w:rFonts w:ascii="Arial" w:cs="Arial" w:eastAsia="Arial" w:hAnsi="Arial"/>
          <w:sz w:val="12"/>
          <w:szCs w:val="12"/>
          <w:color w:val="FFFFFF"/>
        </w:rPr>
        <w:t>Disclosure</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Security</w:t>
      </w:r>
    </w:p>
    <w:p>
      <w:pPr>
        <w:spacing w:after="0" w:line="224" w:lineRule="auto"/>
        <w:rPr>
          <w:sz w:val="20"/>
          <w:szCs w:val="20"/>
          <w:color w:val="auto"/>
        </w:rPr>
      </w:pPr>
      <w:r>
        <w:rPr>
          <w:rFonts w:ascii="Arial" w:cs="Arial" w:eastAsia="Arial" w:hAnsi="Arial"/>
          <w:sz w:val="12"/>
          <w:szCs w:val="12"/>
          <w:color w:val="FFFFFF"/>
        </w:rPr>
        <w:t>Ownership of</w:t>
      </w:r>
    </w:p>
    <w:p>
      <w:pPr>
        <w:spacing w:after="0" w:line="222" w:lineRule="auto"/>
        <w:rPr>
          <w:sz w:val="20"/>
          <w:szCs w:val="20"/>
          <w:color w:val="auto"/>
        </w:rPr>
      </w:pPr>
      <w:r>
        <w:rPr>
          <w:rFonts w:ascii="Arial" w:cs="Arial" w:eastAsia="Arial" w:hAnsi="Arial"/>
          <w:sz w:val="12"/>
          <w:szCs w:val="12"/>
          <w:color w:val="FFFFFF"/>
        </w:rPr>
        <w:t>Certain Beneficial</w:t>
      </w:r>
    </w:p>
    <w:p>
      <w:pPr>
        <w:spacing w:after="0" w:line="222" w:lineRule="auto"/>
        <w:rPr>
          <w:sz w:val="20"/>
          <w:szCs w:val="20"/>
          <w:color w:val="auto"/>
        </w:rPr>
      </w:pPr>
      <w:r>
        <w:rPr>
          <w:rFonts w:ascii="Arial" w:cs="Arial" w:eastAsia="Arial" w:hAnsi="Arial"/>
          <w:sz w:val="12"/>
          <w:szCs w:val="12"/>
          <w:color w:val="FFFFFF"/>
        </w:rPr>
        <w:t>Owners and</w:t>
      </w:r>
    </w:p>
    <w:p>
      <w:pPr>
        <w:spacing w:after="0"/>
        <w:rPr>
          <w:sz w:val="20"/>
          <w:szCs w:val="20"/>
          <w:color w:val="auto"/>
        </w:rPr>
      </w:pPr>
      <w:r>
        <w:rPr>
          <w:rFonts w:ascii="Arial" w:cs="Arial" w:eastAsia="Arial" w:hAnsi="Arial"/>
          <w:sz w:val="12"/>
          <w:szCs w:val="12"/>
          <w:color w:val="FFFFFF"/>
        </w:rPr>
        <w:t>Management</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Certain</w:t>
      </w:r>
    </w:p>
    <w:p>
      <w:pPr>
        <w:spacing w:after="0" w:line="224" w:lineRule="auto"/>
        <w:rPr>
          <w:sz w:val="20"/>
          <w:szCs w:val="20"/>
          <w:color w:val="auto"/>
        </w:rPr>
      </w:pPr>
      <w:r>
        <w:rPr>
          <w:rFonts w:ascii="Arial" w:cs="Arial" w:eastAsia="Arial" w:hAnsi="Arial"/>
          <w:sz w:val="12"/>
          <w:szCs w:val="12"/>
          <w:color w:val="FFFFFF"/>
        </w:rPr>
        <w:t>Relationships and</w:t>
      </w:r>
    </w:p>
    <w:p>
      <w:pPr>
        <w:spacing w:after="0" w:line="222" w:lineRule="auto"/>
        <w:rPr>
          <w:sz w:val="20"/>
          <w:szCs w:val="20"/>
          <w:color w:val="auto"/>
        </w:rPr>
      </w:pPr>
      <w:r>
        <w:rPr>
          <w:rFonts w:ascii="Arial" w:cs="Arial" w:eastAsia="Arial" w:hAnsi="Arial"/>
          <w:sz w:val="12"/>
          <w:szCs w:val="12"/>
          <w:color w:val="FFFFFF"/>
        </w:rPr>
        <w:t>Related Party</w:t>
      </w:r>
    </w:p>
    <w:p>
      <w:pPr>
        <w:spacing w:after="0"/>
        <w:rPr>
          <w:sz w:val="20"/>
          <w:szCs w:val="20"/>
          <w:color w:val="auto"/>
        </w:rPr>
      </w:pPr>
      <w:r>
        <w:rPr>
          <w:rFonts w:ascii="Arial" w:cs="Arial" w:eastAsia="Arial" w:hAnsi="Arial"/>
          <w:sz w:val="12"/>
          <w:szCs w:val="12"/>
          <w:color w:val="FFFFFF"/>
        </w:rPr>
        <w:t>Transactions</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Proposal 2</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FFFFFF"/>
        </w:rPr>
        <w:t>Report of the</w:t>
      </w:r>
    </w:p>
    <w:p>
      <w:pPr>
        <w:spacing w:after="0" w:line="224" w:lineRule="auto"/>
        <w:rPr>
          <w:sz w:val="20"/>
          <w:szCs w:val="20"/>
          <w:color w:val="auto"/>
        </w:rPr>
      </w:pPr>
      <w:r>
        <w:rPr>
          <w:rFonts w:ascii="Arial" w:cs="Arial" w:eastAsia="Arial" w:hAnsi="Arial"/>
          <w:sz w:val="12"/>
          <w:szCs w:val="12"/>
          <w:color w:val="FFFFFF"/>
        </w:rPr>
        <w:t>Audit and Risk</w:t>
      </w:r>
    </w:p>
    <w:p>
      <w:pPr>
        <w:spacing w:after="0" w:line="222" w:lineRule="auto"/>
        <w:rPr>
          <w:sz w:val="20"/>
          <w:szCs w:val="20"/>
          <w:color w:val="auto"/>
        </w:rPr>
      </w:pPr>
      <w:r>
        <w:rPr>
          <w:rFonts w:ascii="Arial" w:cs="Arial" w:eastAsia="Arial" w:hAnsi="Arial"/>
          <w:sz w:val="12"/>
          <w:szCs w:val="12"/>
          <w:color w:val="FFFFFF"/>
        </w:rPr>
        <w:t>Committee of the</w:t>
      </w:r>
    </w:p>
    <w:p>
      <w:pPr>
        <w:spacing w:after="0"/>
        <w:rPr>
          <w:sz w:val="20"/>
          <w:szCs w:val="20"/>
          <w:color w:val="auto"/>
        </w:rPr>
      </w:pPr>
      <w:r>
        <w:rPr>
          <w:rFonts w:ascii="Arial" w:cs="Arial" w:eastAsia="Arial" w:hAnsi="Arial"/>
          <w:sz w:val="11"/>
          <w:szCs w:val="11"/>
          <w:color w:val="FFFFFF"/>
        </w:rPr>
        <w:t>Board of Directors</w:t>
      </w:r>
    </w:p>
    <w:p>
      <w:pPr>
        <w:spacing w:after="0" w:line="155" w:lineRule="exact"/>
        <w:rPr>
          <w:sz w:val="20"/>
          <w:szCs w:val="20"/>
          <w:color w:val="auto"/>
        </w:rPr>
      </w:pPr>
    </w:p>
    <w:p>
      <w:pPr>
        <w:spacing w:after="0"/>
        <w:rPr>
          <w:sz w:val="20"/>
          <w:szCs w:val="20"/>
          <w:color w:val="auto"/>
        </w:rPr>
      </w:pPr>
      <w:r>
        <w:rPr>
          <w:rFonts w:ascii="Arial" w:cs="Arial" w:eastAsia="Arial" w:hAnsi="Arial"/>
          <w:sz w:val="12"/>
          <w:szCs w:val="12"/>
          <w:color w:val="FFFFFF"/>
        </w:rPr>
        <w:t>Proposal 3</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FFFFFF"/>
        </w:rPr>
        <w:t>Proposal 4</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FFFFFF"/>
        </w:rPr>
        <w:t>Proposal 5</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FFFFFF"/>
        </w:rPr>
        <w:t>Proposal 6</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FFFFFF"/>
        </w:rPr>
        <w:t>Stockholder</w:t>
      </w:r>
    </w:p>
    <w:p>
      <w:pPr>
        <w:spacing w:after="0" w:line="224" w:lineRule="auto"/>
        <w:rPr>
          <w:sz w:val="20"/>
          <w:szCs w:val="20"/>
          <w:color w:val="auto"/>
        </w:rPr>
      </w:pPr>
      <w:r>
        <w:rPr>
          <w:rFonts w:ascii="Arial" w:cs="Arial" w:eastAsia="Arial" w:hAnsi="Arial"/>
          <w:sz w:val="12"/>
          <w:szCs w:val="12"/>
          <w:color w:val="FFFFFF"/>
        </w:rPr>
        <w:t>Proposals and</w:t>
      </w:r>
    </w:p>
    <w:p>
      <w:pPr>
        <w:spacing w:after="0"/>
        <w:rPr>
          <w:sz w:val="20"/>
          <w:szCs w:val="20"/>
          <w:color w:val="auto"/>
        </w:rPr>
      </w:pPr>
      <w:r>
        <w:rPr>
          <w:rFonts w:ascii="Arial" w:cs="Arial" w:eastAsia="Arial" w:hAnsi="Arial"/>
          <w:sz w:val="12"/>
          <w:szCs w:val="12"/>
          <w:color w:val="FFFFFF"/>
        </w:rPr>
        <w:t>Other Matters</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Delinquent</w:t>
      </w:r>
    </w:p>
    <w:p>
      <w:pPr>
        <w:spacing w:after="0" w:line="224" w:lineRule="auto"/>
        <w:rPr>
          <w:sz w:val="20"/>
          <w:szCs w:val="20"/>
          <w:color w:val="auto"/>
        </w:rPr>
      </w:pPr>
      <w:r>
        <w:rPr>
          <w:rFonts w:ascii="Arial" w:cs="Arial" w:eastAsia="Arial" w:hAnsi="Arial"/>
          <w:sz w:val="12"/>
          <w:szCs w:val="12"/>
          <w:color w:val="FFFFFF"/>
        </w:rPr>
        <w:t>Section 16(a)</w:t>
      </w:r>
    </w:p>
    <w:p>
      <w:pPr>
        <w:spacing w:after="0"/>
        <w:rPr>
          <w:sz w:val="20"/>
          <w:szCs w:val="20"/>
          <w:color w:val="auto"/>
        </w:rPr>
      </w:pPr>
      <w:r>
        <w:rPr>
          <w:rFonts w:ascii="Arial" w:cs="Arial" w:eastAsia="Arial" w:hAnsi="Arial"/>
          <w:sz w:val="12"/>
          <w:szCs w:val="12"/>
          <w:color w:val="FFFFFF"/>
        </w:rPr>
        <w:t>Reports</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Other</w:t>
      </w:r>
    </w:p>
    <w:p>
      <w:pPr>
        <w:spacing w:after="0" w:line="2" w:lineRule="exact"/>
        <w:rPr>
          <w:sz w:val="20"/>
          <w:szCs w:val="20"/>
          <w:color w:val="auto"/>
        </w:rPr>
      </w:pPr>
    </w:p>
    <w:p>
      <w:pPr>
        <w:spacing w:after="0"/>
        <w:rPr>
          <w:sz w:val="20"/>
          <w:szCs w:val="20"/>
          <w:color w:val="auto"/>
        </w:rPr>
      </w:pPr>
      <w:r>
        <w:rPr>
          <w:rFonts w:ascii="Arial" w:cs="Arial" w:eastAsia="Arial" w:hAnsi="Arial"/>
          <w:sz w:val="12"/>
          <w:szCs w:val="12"/>
          <w:color w:val="FFFFFF"/>
        </w:rPr>
        <w:t>Information</w:t>
      </w:r>
    </w:p>
    <w:p>
      <w:pPr>
        <w:spacing w:after="0" w:line="144" w:lineRule="exact"/>
        <w:rPr>
          <w:sz w:val="20"/>
          <w:szCs w:val="20"/>
          <w:color w:val="auto"/>
        </w:rPr>
      </w:pPr>
    </w:p>
    <w:p>
      <w:pPr>
        <w:jc w:val="center"/>
        <w:ind w:right="960"/>
        <w:spacing w:after="0"/>
        <w:rPr>
          <w:sz w:val="20"/>
          <w:szCs w:val="20"/>
          <w:color w:val="auto"/>
        </w:rPr>
      </w:pPr>
      <w:r>
        <w:rPr>
          <w:rFonts w:ascii="Arial" w:cs="Arial" w:eastAsia="Arial" w:hAnsi="Arial"/>
          <w:sz w:val="12"/>
          <w:szCs w:val="12"/>
          <w:color w:val="FFFFFF"/>
        </w:rPr>
        <w:t>Appendix A</w:t>
      </w:r>
    </w:p>
    <w:p>
      <w:pPr>
        <w:spacing w:after="0" w:line="156" w:lineRule="exact"/>
        <w:rPr>
          <w:sz w:val="20"/>
          <w:szCs w:val="20"/>
          <w:color w:val="auto"/>
        </w:rPr>
      </w:pPr>
    </w:p>
    <w:p>
      <w:pPr>
        <w:jc w:val="center"/>
        <w:ind w:right="960"/>
        <w:spacing w:after="0"/>
        <w:rPr>
          <w:sz w:val="20"/>
          <w:szCs w:val="20"/>
          <w:color w:val="auto"/>
        </w:rPr>
      </w:pPr>
      <w:r>
        <w:rPr>
          <w:rFonts w:ascii="Arial" w:cs="Arial" w:eastAsia="Arial" w:hAnsi="Arial"/>
          <w:sz w:val="12"/>
          <w:szCs w:val="12"/>
          <w:color w:val="FFFFFF"/>
        </w:rPr>
        <w:t>Appendix B</w:t>
      </w:r>
    </w:p>
    <w:p>
      <w:pPr>
        <w:spacing w:after="0" w:line="200" w:lineRule="exact"/>
        <w:rPr>
          <w:sz w:val="20"/>
          <w:szCs w:val="20"/>
          <w:color w:val="auto"/>
        </w:rPr>
      </w:pPr>
    </w:p>
    <w:p>
      <w:pPr>
        <w:sectPr>
          <w:pgSz w:w="11900" w:h="16838" w:orient="portrait"/>
          <w:cols w:equalWidth="0" w:num="3">
            <w:col w:w="2860" w:space="280"/>
            <w:col w:w="5360" w:space="720"/>
            <w:col w:w="1580"/>
          </w:cols>
          <w:pgMar w:left="320" w:top="464" w:right="7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6380"/>
        <w:spacing w:after="0"/>
        <w:tabs>
          <w:tab w:leader="none" w:pos="8500" w:val="left"/>
          <w:tab w:leader="none" w:pos="9960" w:val="left"/>
        </w:tabs>
        <w:rPr>
          <w:sz w:val="20"/>
          <w:szCs w:val="20"/>
          <w:color w:val="auto"/>
        </w:rPr>
      </w:pPr>
      <w:r>
        <w:rPr>
          <w:rFonts w:ascii="Arial" w:cs="Arial" w:eastAsia="Arial" w:hAnsi="Arial"/>
          <w:sz w:val="15"/>
          <w:szCs w:val="15"/>
          <w:b w:val="1"/>
          <w:bCs w:val="1"/>
          <w:color w:val="002B5F"/>
        </w:rPr>
        <w:t xml:space="preserve">2026 Proxy Statement  </w:t>
      </w:r>
      <w:r>
        <w:rPr>
          <w:rFonts w:ascii="Arial" w:cs="Arial" w:eastAsia="Arial" w:hAnsi="Arial"/>
          <w:sz w:val="20"/>
          <w:szCs w:val="20"/>
          <w:color w:val="002B5F"/>
        </w:rPr>
        <w:t>|</w:t>
      </w:r>
      <w:r>
        <w:rPr>
          <w:rFonts w:ascii="Arial" w:cs="Arial" w:eastAsia="Arial" w:hAnsi="Arial"/>
          <w:sz w:val="15"/>
          <w:szCs w:val="15"/>
          <w:b w:val="1"/>
          <w:bCs w:val="1"/>
          <w:color w:val="002B5F"/>
        </w:rPr>
        <w:t xml:space="preserve">  19</w:t>
      </w:r>
      <w:r>
        <w:rPr>
          <w:sz w:val="20"/>
          <w:szCs w:val="20"/>
          <w:color w:val="auto"/>
        </w:rPr>
        <w:tab/>
      </w:r>
      <w:r>
        <w:rPr>
          <w:rFonts w:ascii="Arial" w:cs="Arial" w:eastAsia="Arial" w:hAnsi="Arial"/>
          <w:sz w:val="17"/>
          <w:szCs w:val="17"/>
          <w:color w:val="auto"/>
        </w:rPr>
        <w:t xml:space="preserve">    </w:t>
      </w:r>
      <w:r>
        <w:rPr>
          <w:sz w:val="20"/>
          <w:szCs w:val="20"/>
          <w:color w:val="auto"/>
        </w:rPr>
        <w:tab/>
      </w:r>
      <w:r>
        <w:rPr>
          <w:rFonts w:ascii="Arial" w:cs="Arial" w:eastAsia="Arial" w:hAnsi="Arial"/>
          <w:sz w:val="17"/>
          <w:szCs w:val="17"/>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268605</wp:posOffset>
            </wp:positionH>
            <wp:positionV relativeFrom="paragraph">
              <wp:posOffset>-128905</wp:posOffset>
            </wp:positionV>
            <wp:extent cx="762000" cy="971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62000" cy="97155"/>
                    </a:xfrm>
                    <a:prstGeom prst="rect">
                      <a:avLst/>
                    </a:prstGeom>
                    <a:noFill/>
                  </pic:spPr>
                </pic:pic>
              </a:graphicData>
            </a:graphic>
          </wp:anchor>
        </w:drawing>
      </w:r>
    </w:p>
    <w:p>
      <w:pPr>
        <w:sectPr>
          <w:pgSz w:w="11900" w:h="16838" w:orient="portrait"/>
          <w:cols w:equalWidth="0" w:num="1">
            <w:col w:w="10800"/>
          </w:cols>
          <w:pgMar w:left="320" w:top="464" w:right="779" w:bottom="144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17"/>
          <w:szCs w:val="17"/>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268605</wp:posOffset>
            </wp:positionH>
            <wp:positionV relativeFrom="paragraph">
              <wp:posOffset>253365</wp:posOffset>
            </wp:positionV>
            <wp:extent cx="1183005" cy="745617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183005" cy="7456170"/>
                    </a:xfrm>
                    <a:prstGeom prst="rect">
                      <a:avLst/>
                    </a:prstGeom>
                    <a:noFill/>
                  </pic:spPr>
                </pic:pic>
              </a:graphicData>
            </a:graphic>
          </wp:anchor>
        </w:drawing>
      </w:r>
    </w:p>
    <w:p>
      <w:pPr>
        <w:spacing w:after="0" w:line="200" w:lineRule="exact"/>
        <w:rPr>
          <w:sz w:val="20"/>
          <w:szCs w:val="20"/>
          <w:color w:val="auto"/>
        </w:rPr>
      </w:pPr>
    </w:p>
    <w:p>
      <w:pPr>
        <w:spacing w:after="0" w:line="304" w:lineRule="exact"/>
        <w:rPr>
          <w:sz w:val="20"/>
          <w:szCs w:val="20"/>
          <w:color w:val="auto"/>
        </w:rPr>
      </w:pPr>
    </w:p>
    <w:p>
      <w:pPr>
        <w:ind w:left="1120" w:right="300" w:hanging="672"/>
        <w:spacing w:after="0" w:line="382" w:lineRule="auto"/>
        <w:tabs>
          <w:tab w:leader="none" w:pos="610" w:val="left"/>
        </w:tabs>
        <w:numPr>
          <w:ilvl w:val="0"/>
          <w:numId w:val="35"/>
        </w:numPr>
        <w:rPr>
          <w:rFonts w:ascii="Arial" w:cs="Arial" w:eastAsia="Arial" w:hAnsi="Arial"/>
          <w:sz w:val="24"/>
          <w:szCs w:val="24"/>
          <w:color w:val="auto"/>
          <w:vertAlign w:val="subscript"/>
        </w:rPr>
      </w:pPr>
      <w:r>
        <w:rPr>
          <w:rFonts w:ascii="Arial" w:cs="Arial" w:eastAsia="Arial" w:hAnsi="Arial"/>
          <w:sz w:val="24"/>
          <w:szCs w:val="24"/>
          <w:color w:val="000000"/>
          <w:vertAlign w:val="subscript"/>
        </w:rPr>
        <w:t xml:space="preserve">     </w:t>
      </w:r>
      <w:r>
        <w:rPr>
          <w:rFonts w:ascii="Arial" w:cs="Arial" w:eastAsia="Arial" w:hAnsi="Arial"/>
          <w:sz w:val="10"/>
          <w:szCs w:val="10"/>
          <w:color w:val="FFFFFF"/>
        </w:rPr>
        <w:t xml:space="preserve"> General Information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37"/>
          <w:szCs w:val="37"/>
          <w:color w:val="B95827"/>
        </w:rPr>
        <w:t>Richard Steinmeier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-1737995</wp:posOffset>
            </wp:positionH>
            <wp:positionV relativeFrom="paragraph">
              <wp:posOffset>-882015</wp:posOffset>
            </wp:positionV>
            <wp:extent cx="7181215" cy="5334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81215" cy="5334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57150</wp:posOffset>
            </wp:positionV>
            <wp:extent cx="506539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065395" cy="8255"/>
                    </a:xfrm>
                    <a:prstGeom prst="rect">
                      <a:avLst/>
                    </a:prstGeom>
                    <a:noFill/>
                  </pic:spPr>
                </pic:pic>
              </a:graphicData>
            </a:graphic>
          </wp:anchor>
        </w:drawing>
      </w:r>
    </w:p>
    <w:p>
      <w:pPr>
        <w:spacing w:after="0" w:line="276" w:lineRule="exact"/>
        <w:rPr>
          <w:sz w:val="20"/>
          <w:szCs w:val="20"/>
          <w:color w:val="auto"/>
        </w:rPr>
      </w:pPr>
    </w:p>
    <w:p>
      <w:pPr>
        <w:sectPr>
          <w:pgSz w:w="11900" w:h="16838" w:orient="portrait"/>
          <w:cols w:equalWidth="0" w:num="2">
            <w:col w:w="2000" w:space="720"/>
            <w:col w:w="7980"/>
          </w:cols>
          <w:pgMar w:left="320" w:top="464" w:right="879" w:bottom="1440" w:gutter="0" w:footer="0" w:header="0"/>
        </w:sectPr>
      </w:pPr>
    </w:p>
    <w:p>
      <w:pPr>
        <w:ind w:left="1120"/>
        <w:spacing w:after="0"/>
        <w:rPr>
          <w:sz w:val="20"/>
          <w:szCs w:val="20"/>
          <w:color w:val="auto"/>
        </w:rPr>
      </w:pPr>
      <w:r>
        <w:rPr>
          <w:rFonts w:ascii="Arial" w:cs="Arial" w:eastAsia="Arial" w:hAnsi="Arial"/>
          <w:sz w:val="11"/>
          <w:szCs w:val="11"/>
          <w:color w:val="FFFFFF"/>
        </w:rPr>
        <w:t>General Information</w:t>
      </w:r>
    </w:p>
    <w:p>
      <w:pPr>
        <w:spacing w:after="0" w:line="3"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About Corporate</w:t>
      </w:r>
    </w:p>
    <w:p>
      <w:pPr>
        <w:ind w:left="1120"/>
        <w:spacing w:after="0" w:line="221" w:lineRule="auto"/>
        <w:rPr>
          <w:sz w:val="20"/>
          <w:szCs w:val="20"/>
          <w:color w:val="auto"/>
        </w:rPr>
      </w:pPr>
      <w:r>
        <w:rPr>
          <w:rFonts w:ascii="Arial" w:cs="Arial" w:eastAsia="Arial" w:hAnsi="Arial"/>
          <w:sz w:val="12"/>
          <w:szCs w:val="12"/>
          <w:color w:val="FFFFFF"/>
        </w:rPr>
        <w:t>Governance</w:t>
      </w:r>
    </w:p>
    <w:p>
      <w:pPr>
        <w:ind w:left="1120"/>
        <w:spacing w:after="0" w:line="222" w:lineRule="auto"/>
        <w:rPr>
          <w:sz w:val="20"/>
          <w:szCs w:val="20"/>
          <w:color w:val="auto"/>
        </w:rPr>
      </w:pPr>
      <w:r>
        <w:rPr>
          <w:rFonts w:ascii="Arial" w:cs="Arial" w:eastAsia="Arial" w:hAnsi="Arial"/>
          <w:sz w:val="12"/>
          <w:szCs w:val="12"/>
          <w:color w:val="FFFFFF"/>
        </w:rPr>
        <w:t>and the Board of</w:t>
      </w:r>
    </w:p>
    <w:p>
      <w:pPr>
        <w:spacing w:after="0" w:line="1"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Directors</w:t>
      </w:r>
    </w:p>
    <w:p>
      <w:pPr>
        <w:spacing w:after="0" w:line="141" w:lineRule="exact"/>
        <w:rPr>
          <w:sz w:val="20"/>
          <w:szCs w:val="20"/>
          <w:color w:val="auto"/>
        </w:rPr>
      </w:pPr>
    </w:p>
    <w:p>
      <w:pPr>
        <w:ind w:left="980"/>
        <w:spacing w:after="0"/>
        <w:rPr>
          <w:sz w:val="20"/>
          <w:szCs w:val="20"/>
          <w:color w:val="auto"/>
        </w:rPr>
      </w:pPr>
      <w:r>
        <w:rPr>
          <w:sz w:val="1"/>
          <w:szCs w:val="1"/>
          <w:color w:val="auto"/>
        </w:rPr>
        <w:drawing>
          <wp:inline distT="0" distB="0" distL="0" distR="0">
            <wp:extent cx="56515" cy="88900"/>
            <wp:effectExtent l="0" t="0" r="0" b="0"/>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6515" cy="88900"/>
                    </a:xfrm>
                    <a:prstGeom prst="rect">
                      <a:avLst/>
                    </a:prstGeom>
                    <a:noFill/>
                    <a:ln>
                      <a:noFill/>
                    </a:ln>
                  </pic:spPr>
                </pic:pic>
              </a:graphicData>
            </a:graphic>
          </wp:inline>
        </w:drawing>
      </w:r>
      <w:r>
        <w:rPr>
          <w:rFonts w:ascii="Arial" w:cs="Arial" w:eastAsia="Arial" w:hAnsi="Arial"/>
          <w:sz w:val="12"/>
          <w:szCs w:val="12"/>
          <w:b w:val="1"/>
          <w:bCs w:val="1"/>
          <w:color w:val="FFFFFF"/>
        </w:rPr>
        <w:t xml:space="preserve"> Proposal 1</w:t>
      </w:r>
    </w:p>
    <w:p>
      <w:pPr>
        <w:spacing w:after="0" w:line="130"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Information</w:t>
      </w:r>
    </w:p>
    <w:p>
      <w:pPr>
        <w:ind w:left="1120"/>
        <w:spacing w:after="0" w:line="224" w:lineRule="auto"/>
        <w:rPr>
          <w:sz w:val="20"/>
          <w:szCs w:val="20"/>
          <w:color w:val="auto"/>
        </w:rPr>
      </w:pPr>
      <w:r>
        <w:rPr>
          <w:rFonts w:ascii="Arial" w:cs="Arial" w:eastAsia="Arial" w:hAnsi="Arial"/>
          <w:sz w:val="12"/>
          <w:szCs w:val="12"/>
          <w:color w:val="FFFFFF"/>
        </w:rPr>
        <w:t>Regarding Board</w:t>
      </w:r>
    </w:p>
    <w:p>
      <w:pPr>
        <w:ind w:left="1120"/>
        <w:spacing w:after="0" w:line="222" w:lineRule="auto"/>
        <w:rPr>
          <w:sz w:val="20"/>
          <w:szCs w:val="20"/>
          <w:color w:val="auto"/>
        </w:rPr>
      </w:pPr>
      <w:r>
        <w:rPr>
          <w:rFonts w:ascii="Arial" w:cs="Arial" w:eastAsia="Arial" w:hAnsi="Arial"/>
          <w:sz w:val="12"/>
          <w:szCs w:val="12"/>
          <w:color w:val="FFFFFF"/>
        </w:rPr>
        <w:t>and Committee</w:t>
      </w:r>
    </w:p>
    <w:p>
      <w:pPr>
        <w:ind w:left="1120"/>
        <w:spacing w:after="0"/>
        <w:rPr>
          <w:sz w:val="20"/>
          <w:szCs w:val="20"/>
          <w:color w:val="auto"/>
        </w:rPr>
      </w:pPr>
      <w:r>
        <w:rPr>
          <w:rFonts w:ascii="Arial" w:cs="Arial" w:eastAsia="Arial" w:hAnsi="Arial"/>
          <w:sz w:val="12"/>
          <w:szCs w:val="12"/>
          <w:color w:val="FFFFFF"/>
        </w:rPr>
        <w:t>Structure</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Board of Directors</w:t>
      </w:r>
    </w:p>
    <w:p>
      <w:pPr>
        <w:spacing w:after="0" w:line="2"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Compensation</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Compensation</w:t>
      </w:r>
    </w:p>
    <w:p>
      <w:pPr>
        <w:ind w:left="1120"/>
        <w:spacing w:after="0" w:line="224" w:lineRule="auto"/>
        <w:rPr>
          <w:sz w:val="20"/>
          <w:szCs w:val="20"/>
          <w:color w:val="auto"/>
        </w:rPr>
      </w:pPr>
      <w:r>
        <w:rPr>
          <w:rFonts w:ascii="Arial" w:cs="Arial" w:eastAsia="Arial" w:hAnsi="Arial"/>
          <w:sz w:val="12"/>
          <w:szCs w:val="12"/>
          <w:color w:val="FFFFFF"/>
        </w:rPr>
        <w:t>Discussion and</w:t>
      </w:r>
    </w:p>
    <w:p>
      <w:pPr>
        <w:ind w:left="1120"/>
        <w:spacing w:after="0"/>
        <w:rPr>
          <w:sz w:val="20"/>
          <w:szCs w:val="20"/>
          <w:color w:val="auto"/>
        </w:rPr>
      </w:pPr>
      <w:r>
        <w:rPr>
          <w:rFonts w:ascii="Arial" w:cs="Arial" w:eastAsia="Arial" w:hAnsi="Arial"/>
          <w:sz w:val="12"/>
          <w:szCs w:val="12"/>
          <w:color w:val="FFFFFF"/>
        </w:rPr>
        <w:t>Analysis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Report of the</w:t>
      </w:r>
    </w:p>
    <w:p>
      <w:pPr>
        <w:ind w:left="1120"/>
        <w:spacing w:after="0" w:line="224" w:lineRule="auto"/>
        <w:rPr>
          <w:sz w:val="20"/>
          <w:szCs w:val="20"/>
          <w:color w:val="auto"/>
        </w:rPr>
      </w:pPr>
      <w:r>
        <w:rPr>
          <w:rFonts w:ascii="Arial" w:cs="Arial" w:eastAsia="Arial" w:hAnsi="Arial"/>
          <w:sz w:val="12"/>
          <w:szCs w:val="12"/>
          <w:color w:val="FFFFFF"/>
        </w:rPr>
        <w:t>Compensation</w:t>
      </w:r>
    </w:p>
    <w:p>
      <w:pPr>
        <w:ind w:left="1120"/>
        <w:spacing w:after="0" w:line="222" w:lineRule="auto"/>
        <w:rPr>
          <w:sz w:val="20"/>
          <w:szCs w:val="20"/>
          <w:color w:val="auto"/>
        </w:rPr>
      </w:pPr>
      <w:r>
        <w:rPr>
          <w:rFonts w:ascii="Arial" w:cs="Arial" w:eastAsia="Arial" w:hAnsi="Arial"/>
          <w:sz w:val="12"/>
          <w:szCs w:val="12"/>
          <w:color w:val="FFFFFF"/>
        </w:rPr>
        <w:t>and Human</w:t>
      </w:r>
    </w:p>
    <w:p>
      <w:pPr>
        <w:ind w:left="1120"/>
        <w:spacing w:after="0" w:line="222" w:lineRule="auto"/>
        <w:rPr>
          <w:sz w:val="20"/>
          <w:szCs w:val="20"/>
          <w:color w:val="auto"/>
        </w:rPr>
      </w:pPr>
      <w:r>
        <w:rPr>
          <w:rFonts w:ascii="Arial" w:cs="Arial" w:eastAsia="Arial" w:hAnsi="Arial"/>
          <w:sz w:val="12"/>
          <w:szCs w:val="12"/>
          <w:color w:val="FFFFFF"/>
        </w:rPr>
        <w:t>Resources</w:t>
      </w:r>
    </w:p>
    <w:p>
      <w:pPr>
        <w:ind w:left="1120"/>
        <w:spacing w:after="0" w:line="222" w:lineRule="auto"/>
        <w:rPr>
          <w:sz w:val="20"/>
          <w:szCs w:val="20"/>
          <w:color w:val="auto"/>
        </w:rPr>
      </w:pPr>
      <w:r>
        <w:rPr>
          <w:rFonts w:ascii="Arial" w:cs="Arial" w:eastAsia="Arial" w:hAnsi="Arial"/>
          <w:sz w:val="12"/>
          <w:szCs w:val="12"/>
          <w:color w:val="FFFFFF"/>
        </w:rPr>
        <w:t>Committee of the</w:t>
      </w:r>
    </w:p>
    <w:p>
      <w:pPr>
        <w:ind w:left="1120"/>
        <w:spacing w:after="0"/>
        <w:rPr>
          <w:sz w:val="20"/>
          <w:szCs w:val="20"/>
          <w:color w:val="auto"/>
        </w:rPr>
      </w:pPr>
      <w:r>
        <w:rPr>
          <w:rFonts w:ascii="Arial" w:cs="Arial" w:eastAsia="Arial" w:hAnsi="Arial"/>
          <w:sz w:val="12"/>
          <w:szCs w:val="12"/>
          <w:color w:val="FFFFFF"/>
        </w:rPr>
        <w:t>Board of Directors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Compensation of</w:t>
      </w:r>
    </w:p>
    <w:p>
      <w:pPr>
        <w:ind w:left="1120"/>
        <w:spacing w:after="0" w:line="224" w:lineRule="auto"/>
        <w:rPr>
          <w:sz w:val="20"/>
          <w:szCs w:val="20"/>
          <w:color w:val="auto"/>
        </w:rPr>
      </w:pPr>
      <w:r>
        <w:rPr>
          <w:rFonts w:ascii="Arial" w:cs="Arial" w:eastAsia="Arial" w:hAnsi="Arial"/>
          <w:sz w:val="12"/>
          <w:szCs w:val="12"/>
          <w:color w:val="FFFFFF"/>
        </w:rPr>
        <w:t>Named Executive</w:t>
      </w:r>
    </w:p>
    <w:p>
      <w:pPr>
        <w:ind w:left="1120"/>
        <w:spacing w:after="0"/>
        <w:rPr>
          <w:sz w:val="20"/>
          <w:szCs w:val="20"/>
          <w:color w:val="auto"/>
        </w:rPr>
      </w:pPr>
      <w:r>
        <w:rPr>
          <w:rFonts w:ascii="Arial" w:cs="Arial" w:eastAsia="Arial" w:hAnsi="Arial"/>
          <w:sz w:val="12"/>
          <w:szCs w:val="12"/>
          <w:color w:val="FFFFFF"/>
        </w:rPr>
        <w:t>Officers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Pay Versus</w:t>
      </w:r>
    </w:p>
    <w:p>
      <w:pPr>
        <w:ind w:left="1120"/>
        <w:spacing w:after="0" w:line="224" w:lineRule="auto"/>
        <w:rPr>
          <w:sz w:val="20"/>
          <w:szCs w:val="20"/>
          <w:color w:val="auto"/>
        </w:rPr>
      </w:pPr>
      <w:r>
        <w:rPr>
          <w:rFonts w:ascii="Arial" w:cs="Arial" w:eastAsia="Arial" w:hAnsi="Arial"/>
          <w:sz w:val="12"/>
          <w:szCs w:val="12"/>
          <w:color w:val="FFFFFF"/>
        </w:rPr>
        <w:t>Performance</w:t>
      </w:r>
    </w:p>
    <w:p>
      <w:pPr>
        <w:ind w:left="1120"/>
        <w:spacing w:after="0"/>
        <w:rPr>
          <w:sz w:val="20"/>
          <w:szCs w:val="20"/>
          <w:color w:val="auto"/>
        </w:rPr>
      </w:pPr>
      <w:r>
        <w:rPr>
          <w:rFonts w:ascii="Arial" w:cs="Arial" w:eastAsia="Arial" w:hAnsi="Arial"/>
          <w:sz w:val="12"/>
          <w:szCs w:val="12"/>
          <w:color w:val="FFFFFF"/>
        </w:rPr>
        <w:t>Disclosure</w:t>
      </w:r>
    </w:p>
    <w:p>
      <w:pPr>
        <w:spacing w:after="0" w:line="127" w:lineRule="exact"/>
        <w:rPr>
          <w:sz w:val="20"/>
          <w:szCs w:val="20"/>
          <w:color w:val="auto"/>
        </w:rPr>
      </w:pPr>
    </w:p>
    <w:p>
      <w:pPr>
        <w:jc w:val="center"/>
        <w:ind w:left="480"/>
        <w:spacing w:after="0"/>
        <w:rPr>
          <w:sz w:val="20"/>
          <w:szCs w:val="20"/>
          <w:color w:val="auto"/>
        </w:rPr>
      </w:pPr>
      <w:r>
        <w:rPr>
          <w:rFonts w:ascii="Arial" w:cs="Arial" w:eastAsia="Arial" w:hAnsi="Arial"/>
          <w:sz w:val="12"/>
          <w:szCs w:val="12"/>
          <w:color w:val="FFFFFF"/>
        </w:rPr>
        <w:t>Security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9"/>
          <w:szCs w:val="19"/>
          <w:b w:val="1"/>
          <w:bCs w:val="1"/>
          <w:color w:val="B95827"/>
        </w:rPr>
        <w:t xml:space="preserve">AGE </w:t>
      </w:r>
      <w:r>
        <w:rPr>
          <w:rFonts w:ascii="Arial" w:cs="Arial" w:eastAsia="Arial" w:hAnsi="Arial"/>
          <w:sz w:val="15"/>
          <w:szCs w:val="15"/>
          <w:color w:val="000000"/>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-1818005</wp:posOffset>
            </wp:positionV>
            <wp:extent cx="1499235" cy="157226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499235" cy="1572260"/>
                    </a:xfrm>
                    <a:prstGeom prst="rect">
                      <a:avLst/>
                    </a:prstGeom>
                    <a:noFill/>
                  </pic:spPr>
                </pic:pic>
              </a:graphicData>
            </a:graphic>
          </wp:anchor>
        </w:drawing>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B95827"/>
        </w:rPr>
        <w:t xml:space="preserve">DIRECTOR SINCE </w:t>
      </w:r>
      <w:r>
        <w:rPr>
          <w:rFonts w:ascii="Arial" w:cs="Arial" w:eastAsia="Arial" w:hAnsi="Arial"/>
          <w:sz w:val="14"/>
          <w:szCs w:val="14"/>
          <w:color w:val="000000"/>
        </w:rPr>
        <w:t>2024</w:t>
      </w:r>
    </w:p>
    <w:p>
      <w:pPr>
        <w:spacing w:after="0" w:line="112" w:lineRule="exact"/>
        <w:rPr>
          <w:sz w:val="20"/>
          <w:szCs w:val="20"/>
          <w:color w:val="auto"/>
        </w:rPr>
      </w:pPr>
    </w:p>
    <w:p>
      <w:pPr>
        <w:ind w:right="180"/>
        <w:spacing w:after="0" w:line="295" w:lineRule="auto"/>
        <w:rPr>
          <w:sz w:val="20"/>
          <w:szCs w:val="20"/>
          <w:color w:val="auto"/>
        </w:rPr>
      </w:pPr>
      <w:r>
        <w:rPr>
          <w:rFonts w:ascii="Arial" w:cs="Arial" w:eastAsia="Arial" w:hAnsi="Arial"/>
          <w:sz w:val="18"/>
          <w:szCs w:val="18"/>
          <w:b w:val="1"/>
          <w:bCs w:val="1"/>
          <w:color w:val="B95827"/>
        </w:rPr>
        <w:t>OTHER PUBLIC COMPANY BOARDS</w:t>
      </w:r>
    </w:p>
    <w:p>
      <w:pPr>
        <w:spacing w:after="0" w:line="2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Current</w:t>
      </w:r>
    </w:p>
    <w:p>
      <w:pPr>
        <w:spacing w:after="0" w:line="17" w:lineRule="exact"/>
        <w:rPr>
          <w:sz w:val="20"/>
          <w:szCs w:val="20"/>
          <w:color w:val="auto"/>
        </w:rPr>
      </w:pPr>
    </w:p>
    <w:p>
      <w:pPr>
        <w:spacing w:after="0"/>
        <w:rPr>
          <w:sz w:val="20"/>
          <w:szCs w:val="20"/>
          <w:color w:val="auto"/>
        </w:rPr>
      </w:pPr>
      <w:r>
        <w:rPr>
          <w:rFonts w:ascii="Arial" w:cs="Arial" w:eastAsia="Arial" w:hAnsi="Arial"/>
          <w:sz w:val="19"/>
          <w:szCs w:val="19"/>
          <w:color w:val="auto"/>
        </w:rPr>
        <w:t>• None</w:t>
      </w:r>
    </w:p>
    <w:p>
      <w:pPr>
        <w:spacing w:after="0" w:line="9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Past 5 Years</w:t>
      </w:r>
    </w:p>
    <w:p>
      <w:pPr>
        <w:spacing w:after="0" w:line="17" w:lineRule="exact"/>
        <w:rPr>
          <w:sz w:val="20"/>
          <w:szCs w:val="20"/>
          <w:color w:val="auto"/>
        </w:rPr>
      </w:pPr>
    </w:p>
    <w:p>
      <w:pPr>
        <w:spacing w:after="0"/>
        <w:rPr>
          <w:sz w:val="20"/>
          <w:szCs w:val="20"/>
          <w:color w:val="auto"/>
        </w:rPr>
      </w:pPr>
      <w:r>
        <w:rPr>
          <w:rFonts w:ascii="Arial" w:cs="Arial" w:eastAsia="Arial" w:hAnsi="Arial"/>
          <w:sz w:val="19"/>
          <w:szCs w:val="19"/>
          <w:color w:val="auto"/>
        </w:rPr>
        <w:t>• None</w:t>
      </w:r>
    </w:p>
    <w:p>
      <w:pPr>
        <w:spacing w:after="0" w:line="20" w:lineRule="exact"/>
        <w:rPr>
          <w:sz w:val="20"/>
          <w:szCs w:val="20"/>
          <w:color w:val="auto"/>
        </w:rPr>
      </w:pPr>
      <w:r>
        <w:rPr>
          <w:sz w:val="20"/>
          <w:szCs w:val="20"/>
          <w:color w:val="auto"/>
        </w:rPr>
        <w:br w:type="column"/>
      </w:r>
    </w:p>
    <w:p>
      <w:pPr>
        <w:spacing w:after="0" w:line="53" w:lineRule="exact"/>
        <w:rPr>
          <w:sz w:val="20"/>
          <w:szCs w:val="20"/>
          <w:color w:val="auto"/>
        </w:rPr>
      </w:pPr>
    </w:p>
    <w:p>
      <w:pPr>
        <w:spacing w:after="0"/>
        <w:rPr>
          <w:sz w:val="20"/>
          <w:szCs w:val="20"/>
          <w:color w:val="auto"/>
        </w:rPr>
      </w:pPr>
      <w:r>
        <w:rPr>
          <w:rFonts w:ascii="Arial" w:cs="Arial" w:eastAsia="Arial" w:hAnsi="Arial"/>
          <w:sz w:val="19"/>
          <w:szCs w:val="19"/>
          <w:b w:val="1"/>
          <w:bCs w:val="1"/>
          <w:color w:val="B95827"/>
        </w:rPr>
        <w:t>BACKGROUND</w:t>
      </w:r>
    </w:p>
    <w:p>
      <w:pPr>
        <w:spacing w:after="0" w:line="9" w:lineRule="exact"/>
        <w:rPr>
          <w:sz w:val="20"/>
          <w:szCs w:val="20"/>
          <w:color w:val="auto"/>
        </w:rPr>
      </w:pPr>
    </w:p>
    <w:p>
      <w:pPr>
        <w:ind w:right="40"/>
        <w:spacing w:after="0" w:line="250" w:lineRule="auto"/>
        <w:rPr>
          <w:sz w:val="20"/>
          <w:szCs w:val="20"/>
          <w:color w:val="auto"/>
        </w:rPr>
      </w:pPr>
      <w:r>
        <w:rPr>
          <w:rFonts w:ascii="Arial" w:cs="Arial" w:eastAsia="Arial" w:hAnsi="Arial"/>
          <w:sz w:val="15"/>
          <w:szCs w:val="15"/>
          <w:color w:val="auto"/>
        </w:rPr>
        <w:t>Mr. Steinmeier has served as our chief executive officer since October 2024. Prior to being appointed as our chief executive officer, Mr. Steinmeier served as managing director, chief growth officer from May 2024 to October 2024, as managing director and divisional president, business strategy and growth from November 2023 to May 2024 and as managing director and divisional president, business development from August 2018 to November 2023. As chief growth officer, he led teams responsible for shaping corporate and business line strategy, recruiting new financial advisors and institutions, leading the field management of LPL employee advisors, creating and deploying capital solutions to LPL clients, and leading the marketing and communications functions.</w:t>
      </w:r>
    </w:p>
    <w:p>
      <w:pPr>
        <w:spacing w:after="0" w:line="205" w:lineRule="exact"/>
        <w:rPr>
          <w:sz w:val="20"/>
          <w:szCs w:val="20"/>
          <w:color w:val="auto"/>
        </w:rPr>
      </w:pPr>
    </w:p>
    <w:p>
      <w:pPr>
        <w:ind w:right="100"/>
        <w:spacing w:after="0" w:line="252" w:lineRule="auto"/>
        <w:rPr>
          <w:sz w:val="20"/>
          <w:szCs w:val="20"/>
          <w:color w:val="auto"/>
        </w:rPr>
      </w:pPr>
      <w:r>
        <w:rPr>
          <w:rFonts w:ascii="Arial" w:cs="Arial" w:eastAsia="Arial" w:hAnsi="Arial"/>
          <w:sz w:val="15"/>
          <w:szCs w:val="15"/>
          <w:color w:val="auto"/>
        </w:rPr>
        <w:t>Prior to joining LPL Financial, Mr. Steinmeier served as managing director, head of digital strategy and platforms for UBS Wealth Management Americas from September 2017 to August 2018 and as managing director, head of the Emerging Affluent Segment and Wealth Advice Center from August 2012 to September 2017. Prior to UBS, Mr. Steinmeier held a variety of leadership roles at Merrill Lynch, most recently as managing director of the Merrill Edge Advisory Center from February 2009 to August 2012. Prior to joining Merrill Lynch, he served as an engagement manager at McKinsey &amp; Company from 2002 to 2006. Mr. Steinmeier earned a B.S. in economics from the Wharton School at the University of Pennsylvania and an M.B.A. from Stanford University.</w:t>
      </w:r>
    </w:p>
    <w:p>
      <w:pPr>
        <w:spacing w:after="0" w:line="194" w:lineRule="exact"/>
        <w:rPr>
          <w:sz w:val="20"/>
          <w:szCs w:val="20"/>
          <w:color w:val="auto"/>
        </w:rPr>
      </w:pPr>
    </w:p>
    <w:p>
      <w:pPr>
        <w:spacing w:after="0"/>
        <w:rPr>
          <w:sz w:val="20"/>
          <w:szCs w:val="20"/>
          <w:color w:val="auto"/>
        </w:rPr>
      </w:pPr>
      <w:r>
        <w:rPr>
          <w:rFonts w:ascii="Arial" w:cs="Arial" w:eastAsia="Arial" w:hAnsi="Arial"/>
          <w:sz w:val="19"/>
          <w:szCs w:val="19"/>
          <w:b w:val="1"/>
          <w:bCs w:val="1"/>
          <w:color w:val="B95827"/>
        </w:rPr>
        <w:t>QUALIFICATIONS</w:t>
      </w:r>
    </w:p>
    <w:p>
      <w:pPr>
        <w:spacing w:after="0" w:line="9" w:lineRule="exact"/>
        <w:rPr>
          <w:sz w:val="20"/>
          <w:szCs w:val="20"/>
          <w:color w:val="auto"/>
        </w:rPr>
      </w:pPr>
    </w:p>
    <w:p>
      <w:pPr>
        <w:sectPr>
          <w:pgSz w:w="11900" w:h="16838" w:orient="portrait"/>
          <w:cols w:equalWidth="0" w:num="3">
            <w:col w:w="2160" w:space="560"/>
            <w:col w:w="2000" w:space="660"/>
            <w:col w:w="5320"/>
          </w:cols>
          <w:pgMar w:left="320" w:top="464" w:right="879" w:bottom="1440" w:gutter="0" w:footer="0" w:header="0"/>
          <w:type w:val="continuous"/>
        </w:sectPr>
      </w:pPr>
    </w:p>
    <w:p>
      <w:pPr>
        <w:spacing w:after="0" w:line="5"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Ownership of</w:t>
      </w:r>
    </w:p>
    <w:p>
      <w:pPr>
        <w:ind w:left="1120"/>
        <w:spacing w:after="0" w:line="224" w:lineRule="auto"/>
        <w:rPr>
          <w:sz w:val="20"/>
          <w:szCs w:val="20"/>
          <w:color w:val="auto"/>
        </w:rPr>
      </w:pPr>
      <w:r>
        <w:rPr>
          <w:rFonts w:ascii="Arial" w:cs="Arial" w:eastAsia="Arial" w:hAnsi="Arial"/>
          <w:sz w:val="12"/>
          <w:szCs w:val="12"/>
          <w:color w:val="FFFFFF"/>
        </w:rPr>
        <w:t>Certain Beneficial</w:t>
      </w:r>
    </w:p>
    <w:p>
      <w:pPr>
        <w:ind w:left="1120"/>
        <w:spacing w:after="0" w:line="222" w:lineRule="auto"/>
        <w:rPr>
          <w:sz w:val="20"/>
          <w:szCs w:val="20"/>
          <w:color w:val="auto"/>
        </w:rPr>
      </w:pPr>
      <w:r>
        <w:rPr>
          <w:rFonts w:ascii="Arial" w:cs="Arial" w:eastAsia="Arial" w:hAnsi="Arial"/>
          <w:sz w:val="12"/>
          <w:szCs w:val="12"/>
          <w:color w:val="FFFFFF"/>
        </w:rPr>
        <w:t>Owners and</w:t>
      </w:r>
    </w:p>
    <w:p>
      <w:pPr>
        <w:ind w:left="1120"/>
        <w:spacing w:after="0"/>
        <w:rPr>
          <w:sz w:val="20"/>
          <w:szCs w:val="20"/>
          <w:color w:val="auto"/>
        </w:rPr>
      </w:pPr>
      <w:r>
        <w:rPr>
          <w:rFonts w:ascii="Arial" w:cs="Arial" w:eastAsia="Arial" w:hAnsi="Arial"/>
          <w:sz w:val="12"/>
          <w:szCs w:val="12"/>
          <w:color w:val="FFFFFF"/>
        </w:rPr>
        <w:t>Management</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Certain</w:t>
      </w:r>
    </w:p>
    <w:p>
      <w:pPr>
        <w:ind w:left="1120"/>
        <w:spacing w:after="0" w:line="224" w:lineRule="auto"/>
        <w:rPr>
          <w:sz w:val="20"/>
          <w:szCs w:val="20"/>
          <w:color w:val="auto"/>
        </w:rPr>
      </w:pPr>
      <w:r>
        <w:rPr>
          <w:rFonts w:ascii="Arial" w:cs="Arial" w:eastAsia="Arial" w:hAnsi="Arial"/>
          <w:sz w:val="12"/>
          <w:szCs w:val="12"/>
          <w:color w:val="FFFFFF"/>
        </w:rPr>
        <w:t>Relationships and</w:t>
      </w:r>
    </w:p>
    <w:p>
      <w:pPr>
        <w:ind w:left="1120"/>
        <w:spacing w:after="0" w:line="222" w:lineRule="auto"/>
        <w:rPr>
          <w:sz w:val="20"/>
          <w:szCs w:val="20"/>
          <w:color w:val="auto"/>
        </w:rPr>
      </w:pPr>
      <w:r>
        <w:rPr>
          <w:rFonts w:ascii="Arial" w:cs="Arial" w:eastAsia="Arial" w:hAnsi="Arial"/>
          <w:sz w:val="12"/>
          <w:szCs w:val="12"/>
          <w:color w:val="FFFFFF"/>
        </w:rPr>
        <w:t>Related Party</w:t>
      </w:r>
    </w:p>
    <w:p>
      <w:pPr>
        <w:ind w:left="1120"/>
        <w:spacing w:after="0"/>
        <w:rPr>
          <w:sz w:val="20"/>
          <w:szCs w:val="20"/>
          <w:color w:val="auto"/>
        </w:rPr>
      </w:pPr>
      <w:r>
        <w:rPr>
          <w:rFonts w:ascii="Arial" w:cs="Arial" w:eastAsia="Arial" w:hAnsi="Arial"/>
          <w:sz w:val="12"/>
          <w:szCs w:val="12"/>
          <w:color w:val="FFFFFF"/>
        </w:rPr>
        <w:t>Transactions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Proposal 2</w:t>
      </w:r>
    </w:p>
    <w:p>
      <w:pPr>
        <w:spacing w:after="0" w:line="156"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Report of the</w:t>
      </w:r>
    </w:p>
    <w:p>
      <w:pPr>
        <w:ind w:left="1120"/>
        <w:spacing w:after="0" w:line="224" w:lineRule="auto"/>
        <w:rPr>
          <w:sz w:val="20"/>
          <w:szCs w:val="20"/>
          <w:color w:val="auto"/>
        </w:rPr>
      </w:pPr>
      <w:r>
        <w:rPr>
          <w:rFonts w:ascii="Arial" w:cs="Arial" w:eastAsia="Arial" w:hAnsi="Arial"/>
          <w:sz w:val="12"/>
          <w:szCs w:val="12"/>
          <w:color w:val="FFFFFF"/>
        </w:rPr>
        <w:t>Audit and Risk</w:t>
      </w:r>
    </w:p>
    <w:p>
      <w:pPr>
        <w:ind w:left="1120"/>
        <w:spacing w:after="0" w:line="222" w:lineRule="auto"/>
        <w:rPr>
          <w:sz w:val="20"/>
          <w:szCs w:val="20"/>
          <w:color w:val="auto"/>
        </w:rPr>
      </w:pPr>
      <w:r>
        <w:rPr>
          <w:rFonts w:ascii="Arial" w:cs="Arial" w:eastAsia="Arial" w:hAnsi="Arial"/>
          <w:sz w:val="12"/>
          <w:szCs w:val="12"/>
          <w:color w:val="FFFFFF"/>
        </w:rPr>
        <w:t>Committee of the</w:t>
      </w:r>
    </w:p>
    <w:p>
      <w:pPr>
        <w:ind w:left="1120"/>
        <w:spacing w:after="0"/>
        <w:rPr>
          <w:sz w:val="20"/>
          <w:szCs w:val="20"/>
          <w:color w:val="auto"/>
        </w:rPr>
      </w:pPr>
      <w:r>
        <w:rPr>
          <w:rFonts w:ascii="Arial" w:cs="Arial" w:eastAsia="Arial" w:hAnsi="Arial"/>
          <w:sz w:val="11"/>
          <w:szCs w:val="11"/>
          <w:color w:val="FFFFFF"/>
        </w:rPr>
        <w:t>Board of Directors</w:t>
      </w:r>
    </w:p>
    <w:p>
      <w:pPr>
        <w:spacing w:after="0" w:line="155"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Proposal 3</w:t>
      </w:r>
    </w:p>
    <w:p>
      <w:pPr>
        <w:spacing w:after="0" w:line="156"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Proposal 4</w:t>
      </w:r>
    </w:p>
    <w:p>
      <w:pPr>
        <w:spacing w:after="0" w:line="156"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Proposal 5</w:t>
      </w:r>
    </w:p>
    <w:p>
      <w:pPr>
        <w:spacing w:after="0" w:line="156"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Proposal 6</w:t>
      </w:r>
    </w:p>
    <w:p>
      <w:pPr>
        <w:spacing w:after="0" w:line="156"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Stockholder</w:t>
      </w:r>
    </w:p>
    <w:p>
      <w:pPr>
        <w:ind w:left="1120"/>
        <w:spacing w:after="0" w:line="224" w:lineRule="auto"/>
        <w:rPr>
          <w:sz w:val="20"/>
          <w:szCs w:val="20"/>
          <w:color w:val="auto"/>
        </w:rPr>
      </w:pPr>
      <w:r>
        <w:rPr>
          <w:rFonts w:ascii="Arial" w:cs="Arial" w:eastAsia="Arial" w:hAnsi="Arial"/>
          <w:sz w:val="12"/>
          <w:szCs w:val="12"/>
          <w:color w:val="FFFFFF"/>
        </w:rPr>
        <w:t>Proposals and</w:t>
      </w:r>
    </w:p>
    <w:p>
      <w:pPr>
        <w:ind w:left="1120"/>
        <w:spacing w:after="0"/>
        <w:rPr>
          <w:sz w:val="20"/>
          <w:szCs w:val="20"/>
          <w:color w:val="auto"/>
        </w:rPr>
      </w:pPr>
      <w:r>
        <w:rPr>
          <w:rFonts w:ascii="Arial" w:cs="Arial" w:eastAsia="Arial" w:hAnsi="Arial"/>
          <w:sz w:val="12"/>
          <w:szCs w:val="12"/>
          <w:color w:val="FFFFFF"/>
        </w:rPr>
        <w:t>Other Matters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Delinquent</w:t>
      </w:r>
    </w:p>
    <w:p>
      <w:pPr>
        <w:ind w:left="1120"/>
        <w:spacing w:after="0" w:line="224" w:lineRule="auto"/>
        <w:rPr>
          <w:sz w:val="20"/>
          <w:szCs w:val="20"/>
          <w:color w:val="auto"/>
        </w:rPr>
      </w:pPr>
      <w:r>
        <w:rPr>
          <w:rFonts w:ascii="Arial" w:cs="Arial" w:eastAsia="Arial" w:hAnsi="Arial"/>
          <w:sz w:val="12"/>
          <w:szCs w:val="12"/>
          <w:color w:val="FFFFFF"/>
        </w:rPr>
        <w:t>Section 16(a)</w:t>
      </w:r>
    </w:p>
    <w:p>
      <w:pPr>
        <w:ind w:left="1120"/>
        <w:spacing w:after="0"/>
        <w:rPr>
          <w:sz w:val="20"/>
          <w:szCs w:val="20"/>
          <w:color w:val="auto"/>
        </w:rPr>
      </w:pPr>
      <w:r>
        <w:rPr>
          <w:rFonts w:ascii="Arial" w:cs="Arial" w:eastAsia="Arial" w:hAnsi="Arial"/>
          <w:sz w:val="12"/>
          <w:szCs w:val="12"/>
          <w:color w:val="FFFFFF"/>
        </w:rPr>
        <w:t>Reports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Other</w:t>
      </w:r>
    </w:p>
    <w:p>
      <w:pPr>
        <w:spacing w:after="0" w:line="2"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Information</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Appendix A</w:t>
      </w:r>
    </w:p>
    <w:p>
      <w:pPr>
        <w:spacing w:after="0" w:line="156"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Appendix B</w:t>
      </w:r>
    </w:p>
    <w:p>
      <w:pPr>
        <w:spacing w:after="0" w:line="20" w:lineRule="exact"/>
        <w:rPr>
          <w:sz w:val="20"/>
          <w:szCs w:val="20"/>
          <w:color w:val="auto"/>
        </w:rPr>
      </w:pPr>
      <w:r>
        <w:rPr>
          <w:sz w:val="20"/>
          <w:szCs w:val="20"/>
          <w:color w:val="auto"/>
        </w:rPr>
        <w:br w:type="column"/>
      </w:r>
    </w:p>
    <w:p>
      <w:pPr>
        <w:spacing w:after="0" w:line="250" w:lineRule="auto"/>
        <w:rPr>
          <w:sz w:val="20"/>
          <w:szCs w:val="20"/>
          <w:color w:val="auto"/>
        </w:rPr>
      </w:pPr>
      <w:r>
        <w:rPr>
          <w:rFonts w:ascii="Arial" w:cs="Arial" w:eastAsia="Arial" w:hAnsi="Arial"/>
          <w:sz w:val="15"/>
          <w:szCs w:val="15"/>
          <w:color w:val="auto"/>
        </w:rPr>
        <w:t>Mr. Steinmeier’s pertinent qualifications include his unique perspective and insights into our operations as our current chief executive officer, including knowledge of our business relationships, competitive and financial positioning, senior leadership, and strategic opportunities and challenges; his deep understanding of competitive dynamics in the wealth management industry developed leading the teams responsible for shaping corporate and business line strategy and recruiting new financial advisors and institutions; the trusted relationships he has established with clients and employees; and his operating, business and management experience as the managing director responsible for growth and strategy, and now chief executive officer, of a public company.</w:t>
      </w:r>
    </w:p>
    <w:p>
      <w:pPr>
        <w:spacing w:after="0" w:line="3856" w:lineRule="exact"/>
        <w:rPr>
          <w:sz w:val="20"/>
          <w:szCs w:val="20"/>
          <w:color w:val="auto"/>
        </w:rPr>
      </w:pPr>
    </w:p>
    <w:p>
      <w:pPr>
        <w:sectPr>
          <w:pgSz w:w="11900" w:h="16838" w:orient="portrait"/>
          <w:cols w:equalWidth="0" w:num="2">
            <w:col w:w="4660" w:space="720"/>
            <w:col w:w="5320"/>
          </w:cols>
          <w:pgMar w:left="320" w:top="464" w:right="879" w:bottom="1440" w:gutter="0" w:footer="0" w:header="0"/>
          <w:type w:val="continuous"/>
        </w:sectPr>
      </w:pPr>
    </w:p>
    <w:p>
      <w:pPr>
        <w:spacing w:after="0" w:line="200" w:lineRule="exact"/>
        <w:rPr>
          <w:sz w:val="20"/>
          <w:szCs w:val="20"/>
          <w:color w:val="auto"/>
        </w:rPr>
      </w:pPr>
    </w:p>
    <w:p>
      <w:pPr>
        <w:spacing w:after="0" w:line="385" w:lineRule="exact"/>
        <w:rPr>
          <w:sz w:val="20"/>
          <w:szCs w:val="20"/>
          <w:color w:val="auto"/>
        </w:rPr>
      </w:pPr>
    </w:p>
    <w:p>
      <w:pPr>
        <w:ind w:left="420"/>
        <w:spacing w:after="0"/>
        <w:tabs>
          <w:tab w:leader="none" w:pos="2380" w:val="left"/>
          <w:tab w:leader="none" w:pos="2800" w:val="left"/>
        </w:tabs>
        <w:rPr>
          <w:sz w:val="20"/>
          <w:szCs w:val="20"/>
          <w:color w:val="auto"/>
        </w:rPr>
      </w:pPr>
      <w:r>
        <w:rPr>
          <w:rFonts w:ascii="Arial" w:cs="Arial" w:eastAsia="Arial" w:hAnsi="Arial"/>
          <w:sz w:val="30"/>
          <w:szCs w:val="30"/>
          <w:color w:val="000000"/>
          <w:vertAlign w:val="superscript"/>
        </w:rPr>
        <w:t xml:space="preserve">             </w:t>
      </w:r>
      <w:r>
        <w:rPr>
          <w:sz w:val="20"/>
          <w:szCs w:val="20"/>
          <w:color w:val="auto"/>
        </w:rPr>
        <w:tab/>
      </w:r>
      <w:r>
        <w:rPr>
          <w:rFonts w:ascii="Arial" w:cs="Arial" w:eastAsia="Arial" w:hAnsi="Arial"/>
          <w:sz w:val="31"/>
          <w:szCs w:val="31"/>
          <w:color w:val="auto"/>
          <w:vertAlign w:val="superscript"/>
        </w:rPr>
        <w:t xml:space="preserve">    </w:t>
      </w:r>
      <w:r>
        <w:rPr>
          <w:sz w:val="20"/>
          <w:szCs w:val="20"/>
          <w:color w:val="auto"/>
        </w:rPr>
        <w:tab/>
      </w:r>
      <w:r>
        <w:rPr>
          <w:rFonts w:ascii="Arial" w:cs="Arial" w:eastAsia="Arial" w:hAnsi="Arial"/>
          <w:sz w:val="15"/>
          <w:szCs w:val="15"/>
          <w:b w:val="1"/>
          <w:bCs w:val="1"/>
          <w:color w:val="002B5F"/>
        </w:rPr>
        <w:t xml:space="preserve">20  </w:t>
      </w:r>
      <w:r>
        <w:rPr>
          <w:rFonts w:ascii="Arial" w:cs="Arial" w:eastAsia="Arial" w:hAnsi="Arial"/>
          <w:sz w:val="20"/>
          <w:szCs w:val="20"/>
          <w:color w:val="002B5F"/>
        </w:rPr>
        <w:t>|</w:t>
      </w:r>
      <w:r>
        <w:rPr>
          <w:rFonts w:ascii="Arial" w:cs="Arial" w:eastAsia="Arial" w:hAnsi="Arial"/>
          <w:sz w:val="15"/>
          <w:szCs w:val="15"/>
          <w:b w:val="1"/>
          <w:bCs w:val="1"/>
          <w:color w:val="002B5F"/>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6111875</wp:posOffset>
            </wp:positionH>
            <wp:positionV relativeFrom="paragraph">
              <wp:posOffset>-208915</wp:posOffset>
            </wp:positionV>
            <wp:extent cx="769620" cy="971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69620" cy="97155"/>
                    </a:xfrm>
                    <a:prstGeom prst="rect">
                      <a:avLst/>
                    </a:prstGeom>
                    <a:noFill/>
                  </pic:spPr>
                </pic:pic>
              </a:graphicData>
            </a:graphic>
          </wp:anchor>
        </w:drawing>
      </w:r>
    </w:p>
    <w:p>
      <w:pPr>
        <w:sectPr>
          <w:pgSz w:w="11900" w:h="16838" w:orient="portrait"/>
          <w:cols w:equalWidth="0" w:num="1">
            <w:col w:w="10700"/>
          </w:cols>
          <w:pgMar w:left="320" w:top="464" w:right="879" w:bottom="1440"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5334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81215" cy="5334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5617845</wp:posOffset>
            </wp:positionH>
            <wp:positionV relativeFrom="paragraph">
              <wp:posOffset>253365</wp:posOffset>
            </wp:positionV>
            <wp:extent cx="1256030" cy="74720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256030" cy="7472045"/>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tbl>
      <w:tblPr>
        <w:tblLayout w:type="fixed"/>
        <w:tblInd w:w="540" w:type="dxa"/>
        <w:tblCellMar>
          <w:top w:w="0" w:type="dxa"/>
          <w:left w:w="0" w:type="dxa"/>
          <w:bottom w:w="0" w:type="dxa"/>
          <w:right w:w="0" w:type="dxa"/>
        </w:tblCellMar>
      </w:tblPr>
      <w:tr>
        <w:trPr>
          <w:trHeight w:val="425"/>
        </w:trPr>
        <w:tc>
          <w:tcPr>
            <w:tcW w:w="7880" w:type="dxa"/>
            <w:vAlign w:val="bottom"/>
            <w:gridSpan w:val="2"/>
          </w:tcPr>
          <w:p>
            <w:pPr>
              <w:spacing w:after="0"/>
              <w:rPr>
                <w:sz w:val="20"/>
                <w:szCs w:val="20"/>
                <w:color w:val="auto"/>
              </w:rPr>
            </w:pPr>
            <w:r>
              <w:rPr>
                <w:rFonts w:ascii="Times New Roman" w:cs="Times New Roman" w:eastAsia="Times New Roman" w:hAnsi="Times New Roman"/>
                <w:sz w:val="37"/>
                <w:szCs w:val="37"/>
                <w:color w:val="B95827"/>
              </w:rPr>
              <w:t>Corey E. Thomas</w:t>
            </w:r>
          </w:p>
        </w:tc>
        <w:tc>
          <w:tcPr>
            <w:tcW w:w="660" w:type="dxa"/>
            <w:vAlign w:val="bottom"/>
          </w:tcPr>
          <w:p>
            <w:pPr>
              <w:ind w:left="460"/>
              <w:spacing w:after="0"/>
              <w:rPr>
                <w:sz w:val="20"/>
                <w:szCs w:val="20"/>
                <w:color w:val="auto"/>
              </w:rPr>
            </w:pPr>
            <w:r>
              <w:rPr>
                <w:rFonts w:ascii="Arial" w:cs="Arial" w:eastAsia="Arial" w:hAnsi="Arial"/>
                <w:sz w:val="15"/>
                <w:szCs w:val="15"/>
                <w:color w:val="auto"/>
              </w:rPr>
              <w:t> </w:t>
            </w:r>
          </w:p>
        </w:tc>
        <w:tc>
          <w:tcPr>
            <w:tcW w:w="1280" w:type="dxa"/>
            <w:vAlign w:val="bottom"/>
          </w:tcPr>
          <w:p>
            <w:pPr>
              <w:ind w:left="140"/>
              <w:spacing w:after="0"/>
              <w:rPr>
                <w:sz w:val="20"/>
                <w:szCs w:val="20"/>
                <w:color w:val="auto"/>
              </w:rPr>
            </w:pPr>
            <w:r>
              <w:rPr>
                <w:rFonts w:ascii="Arial" w:cs="Arial" w:eastAsia="Arial" w:hAnsi="Arial"/>
                <w:sz w:val="12"/>
                <w:szCs w:val="12"/>
                <w:color w:val="FFFFFF"/>
              </w:rPr>
              <w:t>General</w:t>
            </w:r>
          </w:p>
        </w:tc>
        <w:tc>
          <w:tcPr>
            <w:tcW w:w="440" w:type="dxa"/>
            <w:vAlign w:val="bottom"/>
          </w:tcPr>
          <w:p>
            <w:pPr>
              <w:ind w:left="80"/>
              <w:spacing w:after="0"/>
              <w:rPr>
                <w:sz w:val="20"/>
                <w:szCs w:val="20"/>
                <w:color w:val="auto"/>
              </w:rPr>
            </w:pPr>
            <w:r>
              <w:rPr>
                <w:rFonts w:ascii="Arial" w:cs="Arial" w:eastAsia="Arial" w:hAnsi="Arial"/>
                <w:sz w:val="15"/>
                <w:szCs w:val="15"/>
                <w:color w:val="auto"/>
              </w:rPr>
              <w:t xml:space="preserve">       </w:t>
            </w:r>
          </w:p>
        </w:tc>
        <w:tc>
          <w:tcPr>
            <w:tcW w:w="0" w:type="dxa"/>
            <w:vAlign w:val="bottom"/>
          </w:tcPr>
          <w:p>
            <w:pPr>
              <w:spacing w:after="0"/>
              <w:rPr>
                <w:sz w:val="1"/>
                <w:szCs w:val="1"/>
                <w:color w:val="auto"/>
              </w:rPr>
            </w:pPr>
          </w:p>
        </w:tc>
      </w:tr>
      <w:tr>
        <w:trPr>
          <w:trHeight w:val="95"/>
        </w:trPr>
        <w:tc>
          <w:tcPr>
            <w:tcW w:w="2460" w:type="dxa"/>
            <w:vAlign w:val="bottom"/>
            <w:tcBorders>
              <w:bottom w:val="single" w:sz="8" w:color="auto"/>
            </w:tcBorders>
          </w:tcPr>
          <w:p>
            <w:pPr>
              <w:spacing w:after="0"/>
              <w:rPr>
                <w:sz w:val="8"/>
                <w:szCs w:val="8"/>
                <w:color w:val="auto"/>
              </w:rPr>
            </w:pPr>
          </w:p>
        </w:tc>
        <w:tc>
          <w:tcPr>
            <w:tcW w:w="5420" w:type="dxa"/>
            <w:vAlign w:val="bottom"/>
            <w:tcBorders>
              <w:bottom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1280" w:type="dxa"/>
            <w:vAlign w:val="bottom"/>
          </w:tcPr>
          <w:p>
            <w:pPr>
              <w:ind w:left="140"/>
              <w:spacing w:after="0" w:line="88" w:lineRule="exact"/>
              <w:rPr>
                <w:sz w:val="20"/>
                <w:szCs w:val="20"/>
                <w:color w:val="auto"/>
              </w:rPr>
            </w:pPr>
            <w:r>
              <w:rPr>
                <w:rFonts w:ascii="Arial" w:cs="Arial" w:eastAsia="Arial" w:hAnsi="Arial"/>
                <w:sz w:val="10"/>
                <w:szCs w:val="10"/>
                <w:color w:val="FFFFFF"/>
              </w:rPr>
              <w:t>Information</w:t>
            </w: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4"/>
        </w:trPr>
        <w:tc>
          <w:tcPr>
            <w:tcW w:w="2460" w:type="dxa"/>
            <w:vAlign w:val="bottom"/>
          </w:tcPr>
          <w:p>
            <w:pPr>
              <w:spacing w:after="0"/>
              <w:rPr>
                <w:sz w:val="24"/>
                <w:szCs w:val="24"/>
                <w:color w:val="auto"/>
              </w:rPr>
            </w:pPr>
          </w:p>
        </w:tc>
        <w:tc>
          <w:tcPr>
            <w:tcW w:w="5420" w:type="dxa"/>
            <w:vAlign w:val="bottom"/>
            <w:vMerge w:val="restart"/>
          </w:tcPr>
          <w:p>
            <w:pPr>
              <w:ind w:left="140"/>
              <w:spacing w:after="0"/>
              <w:rPr>
                <w:sz w:val="20"/>
                <w:szCs w:val="20"/>
                <w:color w:val="auto"/>
              </w:rPr>
            </w:pPr>
            <w:r>
              <w:rPr>
                <w:rFonts w:ascii="Arial" w:cs="Arial" w:eastAsia="Arial" w:hAnsi="Arial"/>
                <w:sz w:val="19"/>
                <w:szCs w:val="19"/>
                <w:b w:val="1"/>
                <w:bCs w:val="1"/>
                <w:color w:val="B95827"/>
              </w:rPr>
              <w:t>BACKGROUND</w:t>
            </w:r>
          </w:p>
        </w:tc>
        <w:tc>
          <w:tcPr>
            <w:tcW w:w="660" w:type="dxa"/>
            <w:vAlign w:val="bottom"/>
          </w:tcPr>
          <w:p>
            <w:pPr>
              <w:spacing w:after="0"/>
              <w:rPr>
                <w:sz w:val="24"/>
                <w:szCs w:val="24"/>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General Information</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2460" w:type="dxa"/>
            <w:vAlign w:val="bottom"/>
          </w:tcPr>
          <w:p>
            <w:pPr>
              <w:spacing w:after="0"/>
              <w:rPr>
                <w:sz w:val="11"/>
                <w:szCs w:val="11"/>
                <w:color w:val="auto"/>
              </w:rPr>
            </w:pPr>
          </w:p>
        </w:tc>
        <w:tc>
          <w:tcPr>
            <w:tcW w:w="5420" w:type="dxa"/>
            <w:vAlign w:val="bottom"/>
            <w:vMerge w:val="continue"/>
          </w:tcPr>
          <w:p>
            <w:pPr>
              <w:spacing w:after="0"/>
              <w:rPr>
                <w:sz w:val="11"/>
                <w:szCs w:val="11"/>
                <w:color w:val="auto"/>
              </w:rPr>
            </w:pPr>
          </w:p>
        </w:tc>
        <w:tc>
          <w:tcPr>
            <w:tcW w:w="660" w:type="dxa"/>
            <w:vAlign w:val="bottom"/>
          </w:tcPr>
          <w:p>
            <w:pPr>
              <w:spacing w:after="0"/>
              <w:rPr>
                <w:sz w:val="11"/>
                <w:szCs w:val="11"/>
                <w:color w:val="auto"/>
              </w:rPr>
            </w:pPr>
          </w:p>
        </w:tc>
        <w:tc>
          <w:tcPr>
            <w:tcW w:w="1280" w:type="dxa"/>
            <w:vAlign w:val="bottom"/>
          </w:tcPr>
          <w:p>
            <w:pPr>
              <w:ind w:left="140"/>
              <w:spacing w:after="0" w:line="133" w:lineRule="exact"/>
              <w:rPr>
                <w:sz w:val="20"/>
                <w:szCs w:val="20"/>
                <w:color w:val="auto"/>
              </w:rPr>
            </w:pPr>
            <w:r>
              <w:rPr>
                <w:rFonts w:ascii="Arial" w:cs="Arial" w:eastAsia="Arial" w:hAnsi="Arial"/>
                <w:sz w:val="12"/>
                <w:szCs w:val="12"/>
                <w:color w:val="FFFFFF"/>
              </w:rPr>
              <w:t>About Corporate</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9"/>
        </w:trPr>
        <w:tc>
          <w:tcPr>
            <w:tcW w:w="2460" w:type="dxa"/>
            <w:vAlign w:val="bottom"/>
          </w:tcPr>
          <w:p>
            <w:pPr>
              <w:spacing w:after="0"/>
              <w:rPr>
                <w:sz w:val="15"/>
                <w:szCs w:val="15"/>
                <w:color w:val="auto"/>
              </w:rPr>
            </w:pPr>
          </w:p>
        </w:tc>
        <w:tc>
          <w:tcPr>
            <w:tcW w:w="5420" w:type="dxa"/>
            <w:vAlign w:val="bottom"/>
          </w:tcPr>
          <w:p>
            <w:pPr>
              <w:ind w:left="140"/>
              <w:spacing w:after="0"/>
              <w:rPr>
                <w:sz w:val="20"/>
                <w:szCs w:val="20"/>
                <w:color w:val="auto"/>
              </w:rPr>
            </w:pPr>
            <w:r>
              <w:rPr>
                <w:rFonts w:ascii="Arial" w:cs="Arial" w:eastAsia="Arial" w:hAnsi="Arial"/>
                <w:sz w:val="15"/>
                <w:szCs w:val="15"/>
                <w:color w:val="auto"/>
              </w:rPr>
              <w:t>Mr. Thomas serves as chief executive officer of Rapid7, Inc. (“Rapid7”), a</w:t>
            </w:r>
          </w:p>
        </w:tc>
        <w:tc>
          <w:tcPr>
            <w:tcW w:w="660" w:type="dxa"/>
            <w:vAlign w:val="bottom"/>
          </w:tcPr>
          <w:p>
            <w:pPr>
              <w:spacing w:after="0"/>
              <w:rPr>
                <w:sz w:val="15"/>
                <w:szCs w:val="15"/>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Governance</w:t>
            </w: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2"/>
        </w:trPr>
        <w:tc>
          <w:tcPr>
            <w:tcW w:w="2460" w:type="dxa"/>
            <w:vAlign w:val="bottom"/>
          </w:tcPr>
          <w:p>
            <w:pPr>
              <w:spacing w:after="0"/>
              <w:rPr>
                <w:sz w:val="6"/>
                <w:szCs w:val="6"/>
                <w:color w:val="auto"/>
              </w:rPr>
            </w:pPr>
          </w:p>
        </w:tc>
        <w:tc>
          <w:tcPr>
            <w:tcW w:w="5420" w:type="dxa"/>
            <w:vAlign w:val="bottom"/>
            <w:vMerge w:val="restart"/>
          </w:tcPr>
          <w:p>
            <w:pPr>
              <w:ind w:left="140"/>
              <w:spacing w:after="0"/>
              <w:rPr>
                <w:sz w:val="20"/>
                <w:szCs w:val="20"/>
                <w:color w:val="auto"/>
              </w:rPr>
            </w:pPr>
            <w:r>
              <w:rPr>
                <w:rFonts w:ascii="Arial" w:cs="Arial" w:eastAsia="Arial" w:hAnsi="Arial"/>
                <w:sz w:val="15"/>
                <w:szCs w:val="15"/>
                <w:color w:val="auto"/>
              </w:rPr>
              <w:t>public company that provides analytics for security and information</w:t>
            </w:r>
          </w:p>
        </w:tc>
        <w:tc>
          <w:tcPr>
            <w:tcW w:w="660" w:type="dxa"/>
            <w:vAlign w:val="bottom"/>
          </w:tcPr>
          <w:p>
            <w:pPr>
              <w:spacing w:after="0"/>
              <w:rPr>
                <w:sz w:val="6"/>
                <w:szCs w:val="6"/>
                <w:color w:val="auto"/>
              </w:rPr>
            </w:pPr>
          </w:p>
        </w:tc>
        <w:tc>
          <w:tcPr>
            <w:tcW w:w="1280" w:type="dxa"/>
            <w:vAlign w:val="bottom"/>
          </w:tcPr>
          <w:p>
            <w:pPr>
              <w:ind w:left="140"/>
              <w:spacing w:after="0" w:line="72" w:lineRule="exact"/>
              <w:rPr>
                <w:sz w:val="20"/>
                <w:szCs w:val="20"/>
                <w:color w:val="auto"/>
              </w:rPr>
            </w:pPr>
            <w:r>
              <w:rPr>
                <w:rFonts w:ascii="Arial" w:cs="Arial" w:eastAsia="Arial" w:hAnsi="Arial"/>
                <w:sz w:val="8"/>
                <w:szCs w:val="8"/>
                <w:color w:val="FFFFFF"/>
              </w:rPr>
              <w:t>and the Board of</w:t>
            </w:r>
          </w:p>
        </w:tc>
        <w:tc>
          <w:tcPr>
            <w:tcW w:w="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3"/>
        </w:trPr>
        <w:tc>
          <w:tcPr>
            <w:tcW w:w="2460" w:type="dxa"/>
            <w:vAlign w:val="bottom"/>
          </w:tcPr>
          <w:p>
            <w:pPr>
              <w:spacing w:after="0"/>
              <w:rPr>
                <w:sz w:val="11"/>
                <w:szCs w:val="11"/>
                <w:color w:val="auto"/>
              </w:rPr>
            </w:pPr>
          </w:p>
        </w:tc>
        <w:tc>
          <w:tcPr>
            <w:tcW w:w="5420" w:type="dxa"/>
            <w:vAlign w:val="bottom"/>
            <w:vMerge w:val="continue"/>
          </w:tcPr>
          <w:p>
            <w:pPr>
              <w:spacing w:after="0"/>
              <w:rPr>
                <w:sz w:val="11"/>
                <w:szCs w:val="11"/>
                <w:color w:val="auto"/>
              </w:rPr>
            </w:pPr>
          </w:p>
        </w:tc>
        <w:tc>
          <w:tcPr>
            <w:tcW w:w="660" w:type="dxa"/>
            <w:vAlign w:val="bottom"/>
          </w:tcPr>
          <w:p>
            <w:pPr>
              <w:spacing w:after="0"/>
              <w:rPr>
                <w:sz w:val="11"/>
                <w:szCs w:val="11"/>
                <w:color w:val="auto"/>
              </w:rPr>
            </w:pPr>
          </w:p>
        </w:tc>
        <w:tc>
          <w:tcPr>
            <w:tcW w:w="1280" w:type="dxa"/>
            <w:vAlign w:val="bottom"/>
          </w:tcPr>
          <w:p>
            <w:pPr>
              <w:ind w:left="140"/>
              <w:spacing w:after="0" w:line="133" w:lineRule="exact"/>
              <w:rPr>
                <w:sz w:val="20"/>
                <w:szCs w:val="20"/>
                <w:color w:val="auto"/>
              </w:rPr>
            </w:pPr>
            <w:r>
              <w:rPr>
                <w:rFonts w:ascii="Arial" w:cs="Arial" w:eastAsia="Arial" w:hAnsi="Arial"/>
                <w:sz w:val="12"/>
                <w:szCs w:val="12"/>
                <w:color w:val="FFFFFF"/>
              </w:rPr>
              <w:t>Directors</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9"/>
        </w:trPr>
        <w:tc>
          <w:tcPr>
            <w:tcW w:w="2460" w:type="dxa"/>
            <w:vAlign w:val="bottom"/>
          </w:tcPr>
          <w:p>
            <w:pPr>
              <w:spacing w:after="0"/>
              <w:rPr>
                <w:sz w:val="15"/>
                <w:szCs w:val="15"/>
                <w:color w:val="auto"/>
              </w:rPr>
            </w:pPr>
          </w:p>
        </w:tc>
        <w:tc>
          <w:tcPr>
            <w:tcW w:w="5420" w:type="dxa"/>
            <w:vAlign w:val="bottom"/>
          </w:tcPr>
          <w:p>
            <w:pPr>
              <w:ind w:left="140"/>
              <w:spacing w:after="0"/>
              <w:rPr>
                <w:sz w:val="20"/>
                <w:szCs w:val="20"/>
                <w:color w:val="auto"/>
              </w:rPr>
            </w:pPr>
            <w:r>
              <w:rPr>
                <w:rFonts w:ascii="Arial" w:cs="Arial" w:eastAsia="Arial" w:hAnsi="Arial"/>
                <w:sz w:val="15"/>
                <w:szCs w:val="15"/>
                <w:color w:val="auto"/>
              </w:rPr>
              <w:t>technology operations. Mr. Thomas has been chief executive officer and a</w:t>
            </w:r>
          </w:p>
        </w:tc>
        <w:tc>
          <w:tcPr>
            <w:tcW w:w="660" w:type="dxa"/>
            <w:vAlign w:val="bottom"/>
          </w:tcPr>
          <w:p>
            <w:pPr>
              <w:spacing w:after="0"/>
              <w:rPr>
                <w:sz w:val="15"/>
                <w:szCs w:val="15"/>
                <w:color w:val="auto"/>
              </w:rPr>
            </w:pPr>
          </w:p>
        </w:tc>
        <w:tc>
          <w:tcPr>
            <w:tcW w:w="1280" w:type="dxa"/>
            <w:vAlign w:val="bottom"/>
            <w:vMerge w:val="restart"/>
          </w:tcPr>
          <w:p>
            <w:pPr>
              <w:ind w:left="140"/>
              <w:spacing w:after="0"/>
              <w:rPr>
                <w:sz w:val="20"/>
                <w:szCs w:val="20"/>
                <w:color w:val="auto"/>
              </w:rPr>
            </w:pPr>
            <w:r>
              <w:rPr>
                <w:rFonts w:ascii="Arial" w:cs="Arial" w:eastAsia="Arial" w:hAnsi="Arial"/>
                <w:sz w:val="12"/>
                <w:szCs w:val="12"/>
                <w:b w:val="1"/>
                <w:bCs w:val="1"/>
                <w:color w:val="FFFFFF"/>
              </w:rPr>
              <w:t>Proposal 1</w:t>
            </w: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460" w:type="dxa"/>
            <w:vAlign w:val="bottom"/>
          </w:tcPr>
          <w:p>
            <w:pPr>
              <w:spacing w:after="0"/>
              <w:rPr>
                <w:sz w:val="15"/>
                <w:szCs w:val="15"/>
                <w:color w:val="auto"/>
              </w:rPr>
            </w:pPr>
          </w:p>
        </w:tc>
        <w:tc>
          <w:tcPr>
            <w:tcW w:w="5420" w:type="dxa"/>
            <w:vAlign w:val="bottom"/>
          </w:tcPr>
          <w:p>
            <w:pPr>
              <w:ind w:left="140"/>
              <w:spacing w:after="0"/>
              <w:rPr>
                <w:sz w:val="20"/>
                <w:szCs w:val="20"/>
                <w:color w:val="auto"/>
              </w:rPr>
            </w:pPr>
            <w:r>
              <w:rPr>
                <w:rFonts w:ascii="Arial" w:cs="Arial" w:eastAsia="Arial" w:hAnsi="Arial"/>
                <w:sz w:val="15"/>
                <w:szCs w:val="15"/>
                <w:color w:val="auto"/>
              </w:rPr>
              <w:t>director since October 2012. From November 2008 to September 2012,</w:t>
            </w:r>
          </w:p>
        </w:tc>
        <w:tc>
          <w:tcPr>
            <w:tcW w:w="660" w:type="dxa"/>
            <w:vAlign w:val="bottom"/>
          </w:tcPr>
          <w:p>
            <w:pPr>
              <w:spacing w:after="0"/>
              <w:rPr>
                <w:sz w:val="15"/>
                <w:szCs w:val="15"/>
                <w:color w:val="auto"/>
              </w:rPr>
            </w:pPr>
          </w:p>
        </w:tc>
        <w:tc>
          <w:tcPr>
            <w:tcW w:w="1280" w:type="dxa"/>
            <w:vAlign w:val="bottom"/>
            <w:vMerge w:val="continue"/>
          </w:tcPr>
          <w:p>
            <w:pPr>
              <w:spacing w:after="0"/>
              <w:rPr>
                <w:sz w:val="15"/>
                <w:szCs w:val="15"/>
                <w:color w:val="auto"/>
              </w:rPr>
            </w:pP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460" w:type="dxa"/>
            <w:vAlign w:val="bottom"/>
          </w:tcPr>
          <w:p>
            <w:pPr>
              <w:spacing w:after="0"/>
              <w:rPr>
                <w:sz w:val="15"/>
                <w:szCs w:val="15"/>
                <w:color w:val="auto"/>
              </w:rPr>
            </w:pPr>
          </w:p>
        </w:tc>
        <w:tc>
          <w:tcPr>
            <w:tcW w:w="5420" w:type="dxa"/>
            <w:vAlign w:val="bottom"/>
          </w:tcPr>
          <w:p>
            <w:pPr>
              <w:ind w:left="140"/>
              <w:spacing w:after="0"/>
              <w:rPr>
                <w:sz w:val="20"/>
                <w:szCs w:val="20"/>
                <w:color w:val="auto"/>
              </w:rPr>
            </w:pPr>
            <w:r>
              <w:rPr>
                <w:rFonts w:ascii="Arial" w:cs="Arial" w:eastAsia="Arial" w:hAnsi="Arial"/>
                <w:sz w:val="15"/>
                <w:szCs w:val="15"/>
                <w:color w:val="auto"/>
              </w:rPr>
              <w:t>Mr. Thomas held various other roles at Rapid7, including serving as chief</w:t>
            </w:r>
          </w:p>
        </w:tc>
        <w:tc>
          <w:tcPr>
            <w:tcW w:w="660" w:type="dxa"/>
            <w:vAlign w:val="bottom"/>
          </w:tcPr>
          <w:p>
            <w:pPr>
              <w:spacing w:after="0"/>
              <w:rPr>
                <w:sz w:val="15"/>
                <w:szCs w:val="15"/>
                <w:color w:val="auto"/>
              </w:rPr>
            </w:pPr>
          </w:p>
        </w:tc>
        <w:tc>
          <w:tcPr>
            <w:tcW w:w="1280" w:type="dxa"/>
            <w:vAlign w:val="bottom"/>
            <w:vMerge w:val="restart"/>
          </w:tcPr>
          <w:p>
            <w:pPr>
              <w:ind w:left="140"/>
              <w:spacing w:after="0"/>
              <w:rPr>
                <w:sz w:val="20"/>
                <w:szCs w:val="20"/>
                <w:color w:val="auto"/>
              </w:rPr>
            </w:pPr>
            <w:r>
              <w:rPr>
                <w:rFonts w:ascii="Arial" w:cs="Arial" w:eastAsia="Arial" w:hAnsi="Arial"/>
                <w:sz w:val="12"/>
                <w:szCs w:val="12"/>
                <w:color w:val="FFFFFF"/>
              </w:rPr>
              <w:t>Information</w:t>
            </w: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6"/>
        </w:trPr>
        <w:tc>
          <w:tcPr>
            <w:tcW w:w="2460" w:type="dxa"/>
            <w:vAlign w:val="bottom"/>
          </w:tcPr>
          <w:p>
            <w:pPr>
              <w:spacing w:after="0"/>
              <w:rPr>
                <w:sz w:val="3"/>
                <w:szCs w:val="3"/>
                <w:color w:val="auto"/>
              </w:rPr>
            </w:pPr>
          </w:p>
        </w:tc>
        <w:tc>
          <w:tcPr>
            <w:tcW w:w="5420" w:type="dxa"/>
            <w:vAlign w:val="bottom"/>
            <w:vMerge w:val="restart"/>
          </w:tcPr>
          <w:p>
            <w:pPr>
              <w:ind w:left="140"/>
              <w:spacing w:after="0"/>
              <w:rPr>
                <w:sz w:val="20"/>
                <w:szCs w:val="20"/>
                <w:color w:val="auto"/>
              </w:rPr>
            </w:pPr>
            <w:r>
              <w:rPr>
                <w:rFonts w:ascii="Arial" w:cs="Arial" w:eastAsia="Arial" w:hAnsi="Arial"/>
                <w:sz w:val="15"/>
                <w:szCs w:val="15"/>
                <w:color w:val="auto"/>
              </w:rPr>
              <w:t>operating officer. He also currently serves as chair of the board of directors of</w:t>
            </w:r>
          </w:p>
        </w:tc>
        <w:tc>
          <w:tcPr>
            <w:tcW w:w="66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28"/>
        </w:trPr>
        <w:tc>
          <w:tcPr>
            <w:tcW w:w="2460" w:type="dxa"/>
            <w:vAlign w:val="bottom"/>
          </w:tcPr>
          <w:p>
            <w:pPr>
              <w:spacing w:after="0"/>
              <w:rPr>
                <w:sz w:val="11"/>
                <w:szCs w:val="11"/>
                <w:color w:val="auto"/>
              </w:rPr>
            </w:pPr>
          </w:p>
        </w:tc>
        <w:tc>
          <w:tcPr>
            <w:tcW w:w="5420" w:type="dxa"/>
            <w:vAlign w:val="bottom"/>
            <w:vMerge w:val="continue"/>
          </w:tcPr>
          <w:p>
            <w:pPr>
              <w:spacing w:after="0"/>
              <w:rPr>
                <w:sz w:val="11"/>
                <w:szCs w:val="11"/>
                <w:color w:val="auto"/>
              </w:rPr>
            </w:pPr>
          </w:p>
        </w:tc>
        <w:tc>
          <w:tcPr>
            <w:tcW w:w="660" w:type="dxa"/>
            <w:vAlign w:val="bottom"/>
          </w:tcPr>
          <w:p>
            <w:pPr>
              <w:spacing w:after="0"/>
              <w:rPr>
                <w:sz w:val="11"/>
                <w:szCs w:val="11"/>
                <w:color w:val="auto"/>
              </w:rPr>
            </w:pPr>
          </w:p>
        </w:tc>
        <w:tc>
          <w:tcPr>
            <w:tcW w:w="1280" w:type="dxa"/>
            <w:vAlign w:val="bottom"/>
          </w:tcPr>
          <w:p>
            <w:pPr>
              <w:ind w:left="140"/>
              <w:spacing w:after="0" w:line="128" w:lineRule="exact"/>
              <w:rPr>
                <w:sz w:val="20"/>
                <w:szCs w:val="20"/>
                <w:color w:val="auto"/>
              </w:rPr>
            </w:pPr>
            <w:r>
              <w:rPr>
                <w:rFonts w:ascii="Arial" w:cs="Arial" w:eastAsia="Arial" w:hAnsi="Arial"/>
                <w:sz w:val="12"/>
                <w:szCs w:val="12"/>
                <w:color w:val="FFFFFF"/>
              </w:rPr>
              <w:t>Regarding Board</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460" w:type="dxa"/>
            <w:vAlign w:val="bottom"/>
          </w:tcPr>
          <w:p>
            <w:pPr>
              <w:spacing w:after="0"/>
              <w:rPr>
                <w:sz w:val="13"/>
                <w:szCs w:val="13"/>
                <w:color w:val="auto"/>
              </w:rPr>
            </w:pPr>
          </w:p>
        </w:tc>
        <w:tc>
          <w:tcPr>
            <w:tcW w:w="5420" w:type="dxa"/>
            <w:vAlign w:val="bottom"/>
          </w:tcPr>
          <w:p>
            <w:pPr>
              <w:ind w:left="140"/>
              <w:spacing w:after="0" w:line="158" w:lineRule="exact"/>
              <w:rPr>
                <w:sz w:val="20"/>
                <w:szCs w:val="20"/>
                <w:color w:val="auto"/>
              </w:rPr>
            </w:pPr>
            <w:r>
              <w:rPr>
                <w:rFonts w:ascii="Arial" w:cs="Arial" w:eastAsia="Arial" w:hAnsi="Arial"/>
                <w:sz w:val="15"/>
                <w:szCs w:val="15"/>
                <w:color w:val="auto"/>
              </w:rPr>
              <w:t>Blue Cross Blue Shield of Massachusetts, a nonprofit private health</w:t>
            </w:r>
          </w:p>
        </w:tc>
        <w:tc>
          <w:tcPr>
            <w:tcW w:w="660" w:type="dxa"/>
            <w:vAlign w:val="bottom"/>
          </w:tcPr>
          <w:p>
            <w:pPr>
              <w:spacing w:after="0"/>
              <w:rPr>
                <w:sz w:val="13"/>
                <w:szCs w:val="13"/>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and Committee</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460" w:type="dxa"/>
            <w:vAlign w:val="bottom"/>
          </w:tcPr>
          <w:p>
            <w:pPr>
              <w:spacing w:after="0"/>
              <w:rPr>
                <w:sz w:val="13"/>
                <w:szCs w:val="13"/>
                <w:color w:val="auto"/>
              </w:rPr>
            </w:pPr>
          </w:p>
        </w:tc>
        <w:tc>
          <w:tcPr>
            <w:tcW w:w="5420" w:type="dxa"/>
            <w:vAlign w:val="bottom"/>
            <w:vMerge w:val="restart"/>
          </w:tcPr>
          <w:p>
            <w:pPr>
              <w:ind w:left="140"/>
              <w:spacing w:after="0"/>
              <w:rPr>
                <w:sz w:val="20"/>
                <w:szCs w:val="20"/>
                <w:color w:val="auto"/>
              </w:rPr>
            </w:pPr>
            <w:r>
              <w:rPr>
                <w:rFonts w:ascii="Arial" w:cs="Arial" w:eastAsia="Arial" w:hAnsi="Arial"/>
                <w:sz w:val="15"/>
                <w:szCs w:val="15"/>
                <w:color w:val="auto"/>
              </w:rPr>
              <w:t>insurance company, and as a director of the Federal Reserve Bank of Boston.</w:t>
            </w:r>
          </w:p>
        </w:tc>
        <w:tc>
          <w:tcPr>
            <w:tcW w:w="660" w:type="dxa"/>
            <w:vAlign w:val="bottom"/>
          </w:tcPr>
          <w:p>
            <w:pPr>
              <w:spacing w:after="0"/>
              <w:rPr>
                <w:sz w:val="13"/>
                <w:szCs w:val="13"/>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Structure</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7"/>
        </w:trPr>
        <w:tc>
          <w:tcPr>
            <w:tcW w:w="2460" w:type="dxa"/>
            <w:vAlign w:val="bottom"/>
          </w:tcPr>
          <w:p>
            <w:pPr>
              <w:spacing w:after="0"/>
              <w:rPr>
                <w:sz w:val="4"/>
                <w:szCs w:val="4"/>
                <w:color w:val="auto"/>
              </w:rPr>
            </w:pPr>
          </w:p>
        </w:tc>
        <w:tc>
          <w:tcPr>
            <w:tcW w:w="5420" w:type="dxa"/>
            <w:vAlign w:val="bottom"/>
            <w:vMerge w:val="continue"/>
          </w:tcPr>
          <w:p>
            <w:pPr>
              <w:spacing w:after="0"/>
              <w:rPr>
                <w:sz w:val="4"/>
                <w:szCs w:val="4"/>
                <w:color w:val="auto"/>
              </w:rPr>
            </w:pPr>
          </w:p>
        </w:tc>
        <w:tc>
          <w:tcPr>
            <w:tcW w:w="660" w:type="dxa"/>
            <w:vAlign w:val="bottom"/>
          </w:tcPr>
          <w:p>
            <w:pPr>
              <w:spacing w:after="0"/>
              <w:rPr>
                <w:sz w:val="4"/>
                <w:szCs w:val="4"/>
                <w:color w:val="auto"/>
              </w:rPr>
            </w:pPr>
          </w:p>
        </w:tc>
        <w:tc>
          <w:tcPr>
            <w:tcW w:w="128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9"/>
        </w:trPr>
        <w:tc>
          <w:tcPr>
            <w:tcW w:w="2460" w:type="dxa"/>
            <w:vAlign w:val="bottom"/>
          </w:tcPr>
          <w:p>
            <w:pPr>
              <w:spacing w:after="0"/>
              <w:rPr>
                <w:sz w:val="15"/>
                <w:szCs w:val="15"/>
                <w:color w:val="auto"/>
              </w:rPr>
            </w:pPr>
          </w:p>
        </w:tc>
        <w:tc>
          <w:tcPr>
            <w:tcW w:w="5420" w:type="dxa"/>
            <w:vAlign w:val="bottom"/>
          </w:tcPr>
          <w:p>
            <w:pPr>
              <w:ind w:left="140"/>
              <w:spacing w:after="0"/>
              <w:rPr>
                <w:sz w:val="20"/>
                <w:szCs w:val="20"/>
                <w:color w:val="auto"/>
              </w:rPr>
            </w:pPr>
            <w:r>
              <w:rPr>
                <w:rFonts w:ascii="Arial" w:cs="Arial" w:eastAsia="Arial" w:hAnsi="Arial"/>
                <w:sz w:val="15"/>
                <w:szCs w:val="15"/>
                <w:color w:val="auto"/>
              </w:rPr>
              <w:t>Mr. Thomas received a B.E. from Vanderbilt University and an M.B.A. from</w:t>
            </w:r>
          </w:p>
        </w:tc>
        <w:tc>
          <w:tcPr>
            <w:tcW w:w="660" w:type="dxa"/>
            <w:vAlign w:val="bottom"/>
          </w:tcPr>
          <w:p>
            <w:pPr>
              <w:spacing w:after="0"/>
              <w:rPr>
                <w:sz w:val="15"/>
                <w:szCs w:val="15"/>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Board of Directors</w:t>
            </w: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2460" w:type="dxa"/>
            <w:vAlign w:val="bottom"/>
          </w:tcPr>
          <w:p>
            <w:pPr>
              <w:spacing w:after="0"/>
              <w:rPr>
                <w:sz w:val="17"/>
                <w:szCs w:val="17"/>
                <w:color w:val="auto"/>
              </w:rPr>
            </w:pPr>
          </w:p>
        </w:tc>
        <w:tc>
          <w:tcPr>
            <w:tcW w:w="5420" w:type="dxa"/>
            <w:vAlign w:val="bottom"/>
          </w:tcPr>
          <w:p>
            <w:pPr>
              <w:ind w:left="140"/>
              <w:spacing w:after="0"/>
              <w:rPr>
                <w:sz w:val="20"/>
                <w:szCs w:val="20"/>
                <w:color w:val="auto"/>
              </w:rPr>
            </w:pPr>
            <w:r>
              <w:rPr>
                <w:rFonts w:ascii="Arial" w:cs="Arial" w:eastAsia="Arial" w:hAnsi="Arial"/>
                <w:sz w:val="15"/>
                <w:szCs w:val="15"/>
                <w:color w:val="auto"/>
              </w:rPr>
              <w:t>the Harvard Business School.</w:t>
            </w:r>
          </w:p>
        </w:tc>
        <w:tc>
          <w:tcPr>
            <w:tcW w:w="660" w:type="dxa"/>
            <w:vAlign w:val="bottom"/>
          </w:tcPr>
          <w:p>
            <w:pPr>
              <w:spacing w:after="0"/>
              <w:rPr>
                <w:sz w:val="17"/>
                <w:szCs w:val="17"/>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Compensation</w:t>
            </w: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460" w:type="dxa"/>
            <w:vAlign w:val="bottom"/>
          </w:tcPr>
          <w:p>
            <w:pPr>
              <w:spacing w:after="0"/>
              <w:rPr>
                <w:sz w:val="19"/>
                <w:szCs w:val="19"/>
                <w:color w:val="auto"/>
              </w:rPr>
            </w:pPr>
          </w:p>
        </w:tc>
        <w:tc>
          <w:tcPr>
            <w:tcW w:w="5420" w:type="dxa"/>
            <w:vAlign w:val="bottom"/>
            <w:vMerge w:val="restart"/>
          </w:tcPr>
          <w:p>
            <w:pPr>
              <w:ind w:left="140"/>
              <w:spacing w:after="0"/>
              <w:rPr>
                <w:sz w:val="20"/>
                <w:szCs w:val="20"/>
                <w:color w:val="auto"/>
              </w:rPr>
            </w:pPr>
            <w:r>
              <w:rPr>
                <w:rFonts w:ascii="Arial" w:cs="Arial" w:eastAsia="Arial" w:hAnsi="Arial"/>
                <w:sz w:val="19"/>
                <w:szCs w:val="19"/>
                <w:b w:val="1"/>
                <w:bCs w:val="1"/>
                <w:color w:val="B95827"/>
              </w:rPr>
              <w:t>QUALIFICATIONS</w:t>
            </w:r>
          </w:p>
        </w:tc>
        <w:tc>
          <w:tcPr>
            <w:tcW w:w="660" w:type="dxa"/>
            <w:vAlign w:val="bottom"/>
          </w:tcPr>
          <w:p>
            <w:pPr>
              <w:spacing w:after="0"/>
              <w:rPr>
                <w:sz w:val="19"/>
                <w:szCs w:val="19"/>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Compensation</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8"/>
        </w:trPr>
        <w:tc>
          <w:tcPr>
            <w:tcW w:w="2460" w:type="dxa"/>
            <w:vAlign w:val="bottom"/>
          </w:tcPr>
          <w:p>
            <w:pPr>
              <w:spacing w:after="0"/>
              <w:rPr>
                <w:sz w:val="13"/>
                <w:szCs w:val="13"/>
                <w:color w:val="auto"/>
              </w:rPr>
            </w:pPr>
          </w:p>
        </w:tc>
        <w:tc>
          <w:tcPr>
            <w:tcW w:w="5420" w:type="dxa"/>
            <w:vAlign w:val="bottom"/>
            <w:vMerge w:val="continue"/>
          </w:tcPr>
          <w:p>
            <w:pPr>
              <w:spacing w:after="0"/>
              <w:rPr>
                <w:sz w:val="13"/>
                <w:szCs w:val="13"/>
                <w:color w:val="auto"/>
              </w:rPr>
            </w:pPr>
          </w:p>
        </w:tc>
        <w:tc>
          <w:tcPr>
            <w:tcW w:w="660" w:type="dxa"/>
            <w:vAlign w:val="bottom"/>
          </w:tcPr>
          <w:p>
            <w:pPr>
              <w:spacing w:after="0"/>
              <w:rPr>
                <w:sz w:val="13"/>
                <w:szCs w:val="13"/>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Discussion and</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460" w:type="dxa"/>
            <w:vAlign w:val="bottom"/>
          </w:tcPr>
          <w:p>
            <w:pPr>
              <w:spacing w:after="0"/>
              <w:rPr>
                <w:sz w:val="13"/>
                <w:szCs w:val="13"/>
                <w:color w:val="auto"/>
              </w:rPr>
            </w:pPr>
          </w:p>
        </w:tc>
        <w:tc>
          <w:tcPr>
            <w:tcW w:w="5420" w:type="dxa"/>
            <w:vAlign w:val="bottom"/>
            <w:vMerge w:val="restart"/>
          </w:tcPr>
          <w:p>
            <w:pPr>
              <w:ind w:left="140"/>
              <w:spacing w:after="0"/>
              <w:rPr>
                <w:sz w:val="20"/>
                <w:szCs w:val="20"/>
                <w:color w:val="auto"/>
              </w:rPr>
            </w:pPr>
            <w:r>
              <w:rPr>
                <w:rFonts w:ascii="Arial" w:cs="Arial" w:eastAsia="Arial" w:hAnsi="Arial"/>
                <w:sz w:val="15"/>
                <w:szCs w:val="15"/>
                <w:color w:val="auto"/>
              </w:rPr>
              <w:t>Mr. Thomas’s pertinent qualifications include his general management</w:t>
            </w:r>
          </w:p>
        </w:tc>
        <w:tc>
          <w:tcPr>
            <w:tcW w:w="660" w:type="dxa"/>
            <w:vAlign w:val="bottom"/>
          </w:tcPr>
          <w:p>
            <w:pPr>
              <w:spacing w:after="0"/>
              <w:rPr>
                <w:sz w:val="13"/>
                <w:szCs w:val="13"/>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Analysis</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7"/>
        </w:trPr>
        <w:tc>
          <w:tcPr>
            <w:tcW w:w="2460" w:type="dxa"/>
            <w:vAlign w:val="bottom"/>
          </w:tcPr>
          <w:p>
            <w:pPr>
              <w:spacing w:after="0"/>
              <w:rPr>
                <w:sz w:val="4"/>
                <w:szCs w:val="4"/>
                <w:color w:val="auto"/>
              </w:rPr>
            </w:pPr>
          </w:p>
        </w:tc>
        <w:tc>
          <w:tcPr>
            <w:tcW w:w="5420" w:type="dxa"/>
            <w:vAlign w:val="bottom"/>
            <w:vMerge w:val="continue"/>
          </w:tcPr>
          <w:p>
            <w:pPr>
              <w:spacing w:after="0"/>
              <w:rPr>
                <w:sz w:val="4"/>
                <w:szCs w:val="4"/>
                <w:color w:val="auto"/>
              </w:rPr>
            </w:pPr>
          </w:p>
        </w:tc>
        <w:tc>
          <w:tcPr>
            <w:tcW w:w="660" w:type="dxa"/>
            <w:vAlign w:val="bottom"/>
          </w:tcPr>
          <w:p>
            <w:pPr>
              <w:spacing w:after="0"/>
              <w:rPr>
                <w:sz w:val="4"/>
                <w:szCs w:val="4"/>
                <w:color w:val="auto"/>
              </w:rPr>
            </w:pPr>
          </w:p>
        </w:tc>
        <w:tc>
          <w:tcPr>
            <w:tcW w:w="128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9"/>
        </w:trPr>
        <w:tc>
          <w:tcPr>
            <w:tcW w:w="2460" w:type="dxa"/>
            <w:vAlign w:val="bottom"/>
            <w:vMerge w:val="restart"/>
          </w:tcPr>
          <w:p>
            <w:pPr>
              <w:spacing w:after="0"/>
              <w:rPr>
                <w:sz w:val="20"/>
                <w:szCs w:val="20"/>
                <w:color w:val="auto"/>
              </w:rPr>
            </w:pPr>
            <w:r>
              <w:rPr>
                <w:rFonts w:ascii="Arial" w:cs="Arial" w:eastAsia="Arial" w:hAnsi="Arial"/>
                <w:sz w:val="19"/>
                <w:szCs w:val="19"/>
                <w:b w:val="1"/>
                <w:bCs w:val="1"/>
                <w:color w:val="B95827"/>
              </w:rPr>
              <w:t xml:space="preserve">AGE </w:t>
            </w:r>
            <w:r>
              <w:rPr>
                <w:rFonts w:ascii="Arial" w:cs="Arial" w:eastAsia="Arial" w:hAnsi="Arial"/>
                <w:sz w:val="15"/>
                <w:szCs w:val="15"/>
                <w:color w:val="000000"/>
              </w:rPr>
              <w:t>49</w:t>
            </w:r>
          </w:p>
        </w:tc>
        <w:tc>
          <w:tcPr>
            <w:tcW w:w="5420" w:type="dxa"/>
            <w:vAlign w:val="bottom"/>
          </w:tcPr>
          <w:p>
            <w:pPr>
              <w:ind w:left="140"/>
              <w:spacing w:after="0"/>
              <w:rPr>
                <w:sz w:val="20"/>
                <w:szCs w:val="20"/>
                <w:color w:val="auto"/>
              </w:rPr>
            </w:pPr>
            <w:r>
              <w:rPr>
                <w:rFonts w:ascii="Arial" w:cs="Arial" w:eastAsia="Arial" w:hAnsi="Arial"/>
                <w:sz w:val="15"/>
                <w:szCs w:val="15"/>
                <w:color w:val="auto"/>
              </w:rPr>
              <w:t>experience, including his top-level perspective on strategy and organization</w:t>
            </w:r>
          </w:p>
        </w:tc>
        <w:tc>
          <w:tcPr>
            <w:tcW w:w="660" w:type="dxa"/>
            <w:vAlign w:val="bottom"/>
          </w:tcPr>
          <w:p>
            <w:pPr>
              <w:spacing w:after="0"/>
              <w:rPr>
                <w:sz w:val="15"/>
                <w:szCs w:val="15"/>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Report of the</w:t>
            </w: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2460" w:type="dxa"/>
            <w:vAlign w:val="bottom"/>
            <w:vMerge w:val="continue"/>
          </w:tcPr>
          <w:p>
            <w:pPr>
              <w:spacing w:after="0"/>
              <w:rPr>
                <w:sz w:val="13"/>
                <w:szCs w:val="13"/>
                <w:color w:val="auto"/>
              </w:rPr>
            </w:pPr>
          </w:p>
        </w:tc>
        <w:tc>
          <w:tcPr>
            <w:tcW w:w="5420" w:type="dxa"/>
            <w:vAlign w:val="bottom"/>
          </w:tcPr>
          <w:p>
            <w:pPr>
              <w:ind w:left="140"/>
              <w:spacing w:after="0" w:line="153" w:lineRule="exact"/>
              <w:rPr>
                <w:sz w:val="20"/>
                <w:szCs w:val="20"/>
                <w:color w:val="auto"/>
              </w:rPr>
            </w:pPr>
            <w:r>
              <w:rPr>
                <w:rFonts w:ascii="Arial" w:cs="Arial" w:eastAsia="Arial" w:hAnsi="Arial"/>
                <w:sz w:val="15"/>
                <w:szCs w:val="15"/>
                <w:color w:val="auto"/>
              </w:rPr>
              <w:t>management as the chief executive officer of a public company; strategic</w:t>
            </w:r>
          </w:p>
        </w:tc>
        <w:tc>
          <w:tcPr>
            <w:tcW w:w="660" w:type="dxa"/>
            <w:vAlign w:val="bottom"/>
          </w:tcPr>
          <w:p>
            <w:pPr>
              <w:spacing w:after="0"/>
              <w:rPr>
                <w:sz w:val="13"/>
                <w:szCs w:val="13"/>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Compensation</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0"/>
        </w:trPr>
        <w:tc>
          <w:tcPr>
            <w:tcW w:w="2460" w:type="dxa"/>
            <w:vAlign w:val="bottom"/>
            <w:vMerge w:val="restart"/>
          </w:tcPr>
          <w:p>
            <w:pPr>
              <w:spacing w:after="0"/>
              <w:rPr>
                <w:sz w:val="20"/>
                <w:szCs w:val="20"/>
                <w:color w:val="auto"/>
              </w:rPr>
            </w:pPr>
            <w:r>
              <w:rPr>
                <w:rFonts w:ascii="Arial" w:cs="Arial" w:eastAsia="Arial" w:hAnsi="Arial"/>
                <w:sz w:val="19"/>
                <w:szCs w:val="19"/>
                <w:b w:val="1"/>
                <w:bCs w:val="1"/>
                <w:color w:val="B95827"/>
              </w:rPr>
              <w:t xml:space="preserve">DIRECTOR SINCE </w:t>
            </w:r>
            <w:r>
              <w:rPr>
                <w:rFonts w:ascii="Arial" w:cs="Arial" w:eastAsia="Arial" w:hAnsi="Arial"/>
                <w:sz w:val="15"/>
                <w:szCs w:val="15"/>
                <w:color w:val="000000"/>
              </w:rPr>
              <w:t>2019</w:t>
            </w:r>
          </w:p>
        </w:tc>
        <w:tc>
          <w:tcPr>
            <w:tcW w:w="5420" w:type="dxa"/>
            <w:vAlign w:val="bottom"/>
            <w:vMerge w:val="restart"/>
          </w:tcPr>
          <w:p>
            <w:pPr>
              <w:ind w:left="140"/>
              <w:spacing w:after="0"/>
              <w:rPr>
                <w:sz w:val="20"/>
                <w:szCs w:val="20"/>
                <w:color w:val="auto"/>
              </w:rPr>
            </w:pPr>
            <w:r>
              <w:rPr>
                <w:rFonts w:ascii="Arial" w:cs="Arial" w:eastAsia="Arial" w:hAnsi="Arial"/>
                <w:sz w:val="15"/>
                <w:szCs w:val="15"/>
                <w:color w:val="auto"/>
              </w:rPr>
              <w:t>insights with regard to information technology, cybersecurity and global sales</w:t>
            </w:r>
          </w:p>
        </w:tc>
        <w:tc>
          <w:tcPr>
            <w:tcW w:w="660" w:type="dxa"/>
            <w:vAlign w:val="bottom"/>
          </w:tcPr>
          <w:p>
            <w:pPr>
              <w:spacing w:after="0"/>
              <w:rPr>
                <w:sz w:val="9"/>
                <w:szCs w:val="9"/>
                <w:color w:val="auto"/>
              </w:rPr>
            </w:pPr>
          </w:p>
        </w:tc>
        <w:tc>
          <w:tcPr>
            <w:tcW w:w="1280" w:type="dxa"/>
            <w:vAlign w:val="bottom"/>
          </w:tcPr>
          <w:p>
            <w:pPr>
              <w:ind w:left="140"/>
              <w:spacing w:after="0" w:line="110" w:lineRule="exact"/>
              <w:rPr>
                <w:sz w:val="20"/>
                <w:szCs w:val="20"/>
                <w:color w:val="auto"/>
              </w:rPr>
            </w:pPr>
            <w:r>
              <w:rPr>
                <w:rFonts w:ascii="Arial" w:cs="Arial" w:eastAsia="Arial" w:hAnsi="Arial"/>
                <w:sz w:val="12"/>
                <w:szCs w:val="12"/>
                <w:color w:val="FFFFFF"/>
              </w:rPr>
              <w:t>and Human</w:t>
            </w: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2460" w:type="dxa"/>
            <w:vAlign w:val="bottom"/>
            <w:vMerge w:val="continue"/>
          </w:tcPr>
          <w:p>
            <w:pPr>
              <w:spacing w:after="0"/>
              <w:rPr>
                <w:sz w:val="10"/>
                <w:szCs w:val="10"/>
                <w:color w:val="auto"/>
              </w:rPr>
            </w:pPr>
          </w:p>
        </w:tc>
        <w:tc>
          <w:tcPr>
            <w:tcW w:w="5420" w:type="dxa"/>
            <w:vAlign w:val="bottom"/>
            <w:vMerge w:val="continue"/>
          </w:tcPr>
          <w:p>
            <w:pPr>
              <w:spacing w:after="0"/>
              <w:rPr>
                <w:sz w:val="10"/>
                <w:szCs w:val="10"/>
                <w:color w:val="auto"/>
              </w:rPr>
            </w:pPr>
          </w:p>
        </w:tc>
        <w:tc>
          <w:tcPr>
            <w:tcW w:w="660" w:type="dxa"/>
            <w:vAlign w:val="bottom"/>
          </w:tcPr>
          <w:p>
            <w:pPr>
              <w:spacing w:after="0"/>
              <w:rPr>
                <w:sz w:val="10"/>
                <w:szCs w:val="10"/>
                <w:color w:val="auto"/>
              </w:rPr>
            </w:pPr>
          </w:p>
        </w:tc>
        <w:tc>
          <w:tcPr>
            <w:tcW w:w="1280" w:type="dxa"/>
            <w:vAlign w:val="bottom"/>
          </w:tcPr>
          <w:p>
            <w:pPr>
              <w:ind w:left="140"/>
              <w:spacing w:after="0" w:line="120" w:lineRule="exact"/>
              <w:rPr>
                <w:sz w:val="20"/>
                <w:szCs w:val="20"/>
                <w:color w:val="auto"/>
              </w:rPr>
            </w:pPr>
            <w:r>
              <w:rPr>
                <w:rFonts w:ascii="Arial" w:cs="Arial" w:eastAsia="Arial" w:hAnsi="Arial"/>
                <w:sz w:val="12"/>
                <w:szCs w:val="12"/>
                <w:color w:val="FFFFFF"/>
              </w:rPr>
              <w:t>Resources</w:t>
            </w: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460" w:type="dxa"/>
            <w:vAlign w:val="bottom"/>
            <w:vMerge w:val="restart"/>
          </w:tcPr>
          <w:p>
            <w:pPr>
              <w:spacing w:after="0"/>
              <w:rPr>
                <w:sz w:val="20"/>
                <w:szCs w:val="20"/>
                <w:color w:val="auto"/>
              </w:rPr>
            </w:pPr>
            <w:r>
              <w:rPr>
                <w:rFonts w:ascii="Arial" w:cs="Arial" w:eastAsia="Arial" w:hAnsi="Arial"/>
                <w:sz w:val="19"/>
                <w:szCs w:val="19"/>
                <w:b w:val="1"/>
                <w:bCs w:val="1"/>
                <w:color w:val="B95827"/>
              </w:rPr>
              <w:t>INDEPENDENT</w:t>
            </w:r>
          </w:p>
        </w:tc>
        <w:tc>
          <w:tcPr>
            <w:tcW w:w="5420" w:type="dxa"/>
            <w:vAlign w:val="bottom"/>
          </w:tcPr>
          <w:p>
            <w:pPr>
              <w:ind w:left="140"/>
              <w:spacing w:after="0" w:line="136" w:lineRule="exact"/>
              <w:rPr>
                <w:sz w:val="20"/>
                <w:szCs w:val="20"/>
                <w:color w:val="auto"/>
              </w:rPr>
            </w:pPr>
            <w:r>
              <w:rPr>
                <w:rFonts w:ascii="Arial" w:cs="Arial" w:eastAsia="Arial" w:hAnsi="Arial"/>
                <w:sz w:val="15"/>
                <w:szCs w:val="15"/>
                <w:color w:val="auto"/>
              </w:rPr>
              <w:t>and marketing gained through his career in the technology industry; an</w:t>
            </w:r>
          </w:p>
        </w:tc>
        <w:tc>
          <w:tcPr>
            <w:tcW w:w="660" w:type="dxa"/>
            <w:vAlign w:val="bottom"/>
          </w:tcPr>
          <w:p>
            <w:pPr>
              <w:spacing w:after="0"/>
              <w:rPr>
                <w:sz w:val="11"/>
                <w:szCs w:val="11"/>
                <w:color w:val="auto"/>
              </w:rPr>
            </w:pPr>
          </w:p>
        </w:tc>
        <w:tc>
          <w:tcPr>
            <w:tcW w:w="1280" w:type="dxa"/>
            <w:vAlign w:val="bottom"/>
          </w:tcPr>
          <w:p>
            <w:pPr>
              <w:ind w:left="140"/>
              <w:spacing w:after="0" w:line="136" w:lineRule="exact"/>
              <w:rPr>
                <w:sz w:val="20"/>
                <w:szCs w:val="20"/>
                <w:color w:val="auto"/>
              </w:rPr>
            </w:pPr>
            <w:r>
              <w:rPr>
                <w:rFonts w:ascii="Arial" w:cs="Arial" w:eastAsia="Arial" w:hAnsi="Arial"/>
                <w:sz w:val="12"/>
                <w:szCs w:val="12"/>
                <w:color w:val="FFFFFF"/>
              </w:rPr>
              <w:t>Committee of the</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460" w:type="dxa"/>
            <w:vAlign w:val="bottom"/>
            <w:vMerge w:val="continue"/>
          </w:tcPr>
          <w:p>
            <w:pPr>
              <w:spacing w:after="0"/>
              <w:rPr>
                <w:sz w:val="13"/>
                <w:szCs w:val="13"/>
                <w:color w:val="auto"/>
              </w:rPr>
            </w:pPr>
          </w:p>
        </w:tc>
        <w:tc>
          <w:tcPr>
            <w:tcW w:w="5420" w:type="dxa"/>
            <w:vAlign w:val="bottom"/>
            <w:vMerge w:val="restart"/>
          </w:tcPr>
          <w:p>
            <w:pPr>
              <w:ind w:left="140"/>
              <w:spacing w:after="0"/>
              <w:rPr>
                <w:sz w:val="20"/>
                <w:szCs w:val="20"/>
                <w:color w:val="auto"/>
              </w:rPr>
            </w:pPr>
            <w:r>
              <w:rPr>
                <w:rFonts w:ascii="Arial" w:cs="Arial" w:eastAsia="Arial" w:hAnsi="Arial"/>
                <w:sz w:val="15"/>
                <w:szCs w:val="15"/>
                <w:color w:val="auto"/>
              </w:rPr>
              <w:t>entrepreneurial mindset focused on solving the needs of clients ranging</w:t>
            </w:r>
          </w:p>
        </w:tc>
        <w:tc>
          <w:tcPr>
            <w:tcW w:w="660" w:type="dxa"/>
            <w:vAlign w:val="bottom"/>
          </w:tcPr>
          <w:p>
            <w:pPr>
              <w:spacing w:after="0"/>
              <w:rPr>
                <w:sz w:val="13"/>
                <w:szCs w:val="13"/>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Board of Directors</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460" w:type="dxa"/>
            <w:vAlign w:val="bottom"/>
            <w:vMerge w:val="continue"/>
          </w:tcPr>
          <w:p>
            <w:pPr>
              <w:spacing w:after="0"/>
              <w:rPr>
                <w:sz w:val="3"/>
                <w:szCs w:val="3"/>
                <w:color w:val="auto"/>
              </w:rPr>
            </w:pPr>
          </w:p>
        </w:tc>
        <w:tc>
          <w:tcPr>
            <w:tcW w:w="5420" w:type="dxa"/>
            <w:vAlign w:val="bottom"/>
            <w:vMerge w:val="continue"/>
          </w:tcPr>
          <w:p>
            <w:pPr>
              <w:spacing w:after="0"/>
              <w:rPr>
                <w:sz w:val="3"/>
                <w:szCs w:val="3"/>
                <w:color w:val="auto"/>
              </w:rPr>
            </w:pPr>
          </w:p>
        </w:tc>
        <w:tc>
          <w:tcPr>
            <w:tcW w:w="660" w:type="dxa"/>
            <w:vAlign w:val="bottom"/>
          </w:tcPr>
          <w:p>
            <w:pPr>
              <w:spacing w:after="0"/>
              <w:rPr>
                <w:sz w:val="3"/>
                <w:szCs w:val="3"/>
                <w:color w:val="auto"/>
              </w:rPr>
            </w:pPr>
          </w:p>
        </w:tc>
        <w:tc>
          <w:tcPr>
            <w:tcW w:w="1280" w:type="dxa"/>
            <w:vAlign w:val="bottom"/>
          </w:tcPr>
          <w:p>
            <w:pPr>
              <w:spacing w:after="0"/>
              <w:rPr>
                <w:sz w:val="3"/>
                <w:szCs w:val="3"/>
                <w:color w:val="auto"/>
              </w:rPr>
            </w:pPr>
          </w:p>
        </w:tc>
        <w:tc>
          <w:tcPr>
            <w:tcW w:w="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9"/>
        </w:trPr>
        <w:tc>
          <w:tcPr>
            <w:tcW w:w="2460" w:type="dxa"/>
            <w:vAlign w:val="bottom"/>
            <w:vMerge w:val="restart"/>
          </w:tcPr>
          <w:p>
            <w:pPr>
              <w:spacing w:after="0"/>
              <w:rPr>
                <w:sz w:val="20"/>
                <w:szCs w:val="20"/>
                <w:color w:val="auto"/>
              </w:rPr>
            </w:pPr>
            <w:r>
              <w:rPr>
                <w:rFonts w:ascii="Arial" w:cs="Arial" w:eastAsia="Arial" w:hAnsi="Arial"/>
                <w:sz w:val="19"/>
                <w:szCs w:val="19"/>
                <w:b w:val="1"/>
                <w:bCs w:val="1"/>
                <w:color w:val="B95827"/>
              </w:rPr>
              <w:t>COMMITTEES:</w:t>
            </w:r>
          </w:p>
        </w:tc>
        <w:tc>
          <w:tcPr>
            <w:tcW w:w="5420" w:type="dxa"/>
            <w:vAlign w:val="bottom"/>
          </w:tcPr>
          <w:p>
            <w:pPr>
              <w:ind w:left="140"/>
              <w:spacing w:after="0"/>
              <w:rPr>
                <w:sz w:val="20"/>
                <w:szCs w:val="20"/>
                <w:color w:val="auto"/>
              </w:rPr>
            </w:pPr>
            <w:r>
              <w:rPr>
                <w:rFonts w:ascii="Arial" w:cs="Arial" w:eastAsia="Arial" w:hAnsi="Arial"/>
                <w:sz w:val="15"/>
                <w:szCs w:val="15"/>
                <w:color w:val="auto"/>
              </w:rPr>
              <w:t>widely in size and industry; and experience leading operations involving</w:t>
            </w:r>
          </w:p>
        </w:tc>
        <w:tc>
          <w:tcPr>
            <w:tcW w:w="660" w:type="dxa"/>
            <w:vAlign w:val="bottom"/>
          </w:tcPr>
          <w:p>
            <w:pPr>
              <w:spacing w:after="0"/>
              <w:rPr>
                <w:sz w:val="15"/>
                <w:szCs w:val="15"/>
                <w:color w:val="auto"/>
              </w:rPr>
            </w:pPr>
          </w:p>
        </w:tc>
        <w:tc>
          <w:tcPr>
            <w:tcW w:w="1280" w:type="dxa"/>
            <w:vAlign w:val="bottom"/>
            <w:vMerge w:val="restart"/>
          </w:tcPr>
          <w:p>
            <w:pPr>
              <w:ind w:left="140"/>
              <w:spacing w:after="0"/>
              <w:rPr>
                <w:sz w:val="20"/>
                <w:szCs w:val="20"/>
                <w:color w:val="auto"/>
              </w:rPr>
            </w:pPr>
            <w:r>
              <w:rPr>
                <w:rFonts w:ascii="Arial" w:cs="Arial" w:eastAsia="Arial" w:hAnsi="Arial"/>
                <w:sz w:val="12"/>
                <w:szCs w:val="12"/>
                <w:color w:val="FFFFFF"/>
              </w:rPr>
              <w:t>Compensation of</w:t>
            </w: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6"/>
        </w:trPr>
        <w:tc>
          <w:tcPr>
            <w:tcW w:w="2460" w:type="dxa"/>
            <w:vAlign w:val="bottom"/>
            <w:vMerge w:val="continue"/>
          </w:tcPr>
          <w:p>
            <w:pPr>
              <w:spacing w:after="0"/>
              <w:rPr>
                <w:sz w:val="3"/>
                <w:szCs w:val="3"/>
                <w:color w:val="auto"/>
              </w:rPr>
            </w:pPr>
          </w:p>
        </w:tc>
        <w:tc>
          <w:tcPr>
            <w:tcW w:w="5420" w:type="dxa"/>
            <w:vAlign w:val="bottom"/>
            <w:vMerge w:val="restart"/>
          </w:tcPr>
          <w:p>
            <w:pPr>
              <w:ind w:left="140"/>
              <w:spacing w:after="0" w:line="166" w:lineRule="exact"/>
              <w:rPr>
                <w:sz w:val="20"/>
                <w:szCs w:val="20"/>
                <w:color w:val="auto"/>
              </w:rPr>
            </w:pPr>
            <w:r>
              <w:rPr>
                <w:rFonts w:ascii="Arial" w:cs="Arial" w:eastAsia="Arial" w:hAnsi="Arial"/>
                <w:sz w:val="15"/>
                <w:szCs w:val="15"/>
                <w:color w:val="auto"/>
              </w:rPr>
              <w:t>multiple product delivery models, including his past role as a chief operating</w:t>
            </w:r>
          </w:p>
        </w:tc>
        <w:tc>
          <w:tcPr>
            <w:tcW w:w="66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20"/>
        </w:trPr>
        <w:tc>
          <w:tcPr>
            <w:tcW w:w="2460" w:type="dxa"/>
            <w:vAlign w:val="bottom"/>
            <w:vMerge w:val="continue"/>
          </w:tcPr>
          <w:p>
            <w:pPr>
              <w:spacing w:after="0"/>
              <w:rPr>
                <w:sz w:val="10"/>
                <w:szCs w:val="10"/>
                <w:color w:val="auto"/>
              </w:rPr>
            </w:pPr>
          </w:p>
        </w:tc>
        <w:tc>
          <w:tcPr>
            <w:tcW w:w="5420" w:type="dxa"/>
            <w:vAlign w:val="bottom"/>
            <w:vMerge w:val="continue"/>
          </w:tcPr>
          <w:p>
            <w:pPr>
              <w:spacing w:after="0"/>
              <w:rPr>
                <w:sz w:val="10"/>
                <w:szCs w:val="10"/>
                <w:color w:val="auto"/>
              </w:rPr>
            </w:pPr>
          </w:p>
        </w:tc>
        <w:tc>
          <w:tcPr>
            <w:tcW w:w="660" w:type="dxa"/>
            <w:vAlign w:val="bottom"/>
          </w:tcPr>
          <w:p>
            <w:pPr>
              <w:spacing w:after="0"/>
              <w:rPr>
                <w:sz w:val="10"/>
                <w:szCs w:val="10"/>
                <w:color w:val="auto"/>
              </w:rPr>
            </w:pPr>
          </w:p>
        </w:tc>
        <w:tc>
          <w:tcPr>
            <w:tcW w:w="1280" w:type="dxa"/>
            <w:vAlign w:val="bottom"/>
          </w:tcPr>
          <w:p>
            <w:pPr>
              <w:ind w:left="140"/>
              <w:spacing w:after="0" w:line="120" w:lineRule="exact"/>
              <w:rPr>
                <w:sz w:val="20"/>
                <w:szCs w:val="20"/>
                <w:color w:val="auto"/>
              </w:rPr>
            </w:pPr>
            <w:r>
              <w:rPr>
                <w:rFonts w:ascii="Arial" w:cs="Arial" w:eastAsia="Arial" w:hAnsi="Arial"/>
                <w:sz w:val="12"/>
                <w:szCs w:val="12"/>
                <w:color w:val="FFFFFF"/>
              </w:rPr>
              <w:t>Named Executive</w:t>
            </w: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2460" w:type="dxa"/>
            <w:vAlign w:val="bottom"/>
          </w:tcPr>
          <w:p>
            <w:pPr>
              <w:spacing w:after="0" w:line="183" w:lineRule="exact"/>
              <w:rPr>
                <w:sz w:val="20"/>
                <w:szCs w:val="20"/>
                <w:color w:val="auto"/>
              </w:rPr>
            </w:pPr>
            <w:r>
              <w:rPr>
                <w:rFonts w:ascii="Arial" w:cs="Arial" w:eastAsia="Arial" w:hAnsi="Arial"/>
                <w:sz w:val="19"/>
                <w:szCs w:val="19"/>
                <w:color w:val="auto"/>
              </w:rPr>
              <w:t>• Audit and Risk Committee</w:t>
            </w:r>
          </w:p>
        </w:tc>
        <w:tc>
          <w:tcPr>
            <w:tcW w:w="5420" w:type="dxa"/>
            <w:vAlign w:val="bottom"/>
          </w:tcPr>
          <w:p>
            <w:pPr>
              <w:ind w:left="140"/>
              <w:spacing w:after="0"/>
              <w:rPr>
                <w:sz w:val="20"/>
                <w:szCs w:val="20"/>
                <w:color w:val="auto"/>
              </w:rPr>
            </w:pPr>
            <w:r>
              <w:rPr>
                <w:rFonts w:ascii="Arial" w:cs="Arial" w:eastAsia="Arial" w:hAnsi="Arial"/>
                <w:sz w:val="15"/>
                <w:szCs w:val="15"/>
                <w:color w:val="auto"/>
              </w:rPr>
              <w:t>officer.</w:t>
            </w:r>
          </w:p>
        </w:tc>
        <w:tc>
          <w:tcPr>
            <w:tcW w:w="660" w:type="dxa"/>
            <w:vAlign w:val="bottom"/>
          </w:tcPr>
          <w:p>
            <w:pPr>
              <w:spacing w:after="0"/>
              <w:rPr>
                <w:sz w:val="15"/>
                <w:szCs w:val="15"/>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Officers</w:t>
            </w: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2460" w:type="dxa"/>
            <w:vAlign w:val="bottom"/>
          </w:tcPr>
          <w:p>
            <w:pPr>
              <w:spacing w:after="0"/>
              <w:rPr>
                <w:sz w:val="20"/>
                <w:szCs w:val="20"/>
                <w:color w:val="auto"/>
              </w:rPr>
            </w:pPr>
            <w:r>
              <w:rPr>
                <w:rFonts w:ascii="Arial" w:cs="Arial" w:eastAsia="Arial" w:hAnsi="Arial"/>
                <w:sz w:val="19"/>
                <w:szCs w:val="19"/>
                <w:color w:val="auto"/>
              </w:rPr>
              <w:t>• Nominating and</w:t>
            </w:r>
          </w:p>
        </w:tc>
        <w:tc>
          <w:tcPr>
            <w:tcW w:w="54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Pay Versus</w:t>
            </w: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3"/>
        </w:trPr>
        <w:tc>
          <w:tcPr>
            <w:tcW w:w="2460" w:type="dxa"/>
            <w:vAlign w:val="bottom"/>
          </w:tcPr>
          <w:p>
            <w:pPr>
              <w:ind w:left="160"/>
              <w:spacing w:after="0" w:line="154" w:lineRule="exact"/>
              <w:rPr>
                <w:sz w:val="20"/>
                <w:szCs w:val="20"/>
                <w:color w:val="auto"/>
              </w:rPr>
            </w:pPr>
            <w:r>
              <w:rPr>
                <w:rFonts w:ascii="Arial" w:cs="Arial" w:eastAsia="Arial" w:hAnsi="Arial"/>
                <w:sz w:val="17"/>
                <w:szCs w:val="17"/>
                <w:color w:val="auto"/>
              </w:rPr>
              <w:t>Governance Committee</w:t>
            </w:r>
          </w:p>
        </w:tc>
        <w:tc>
          <w:tcPr>
            <w:tcW w:w="54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Performance</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460" w:type="dxa"/>
            <w:vAlign w:val="bottom"/>
            <w:vMerge w:val="restart"/>
          </w:tcPr>
          <w:p>
            <w:pPr>
              <w:spacing w:after="0"/>
              <w:rPr>
                <w:sz w:val="20"/>
                <w:szCs w:val="20"/>
                <w:color w:val="auto"/>
              </w:rPr>
            </w:pPr>
            <w:r>
              <w:rPr>
                <w:rFonts w:ascii="Arial" w:cs="Arial" w:eastAsia="Arial" w:hAnsi="Arial"/>
                <w:sz w:val="19"/>
                <w:szCs w:val="19"/>
                <w:b w:val="1"/>
                <w:bCs w:val="1"/>
                <w:color w:val="B95827"/>
              </w:rPr>
              <w:t>OTHER PUBLIC</w:t>
            </w:r>
          </w:p>
        </w:tc>
        <w:tc>
          <w:tcPr>
            <w:tcW w:w="54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Disclosure</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8"/>
        </w:trPr>
        <w:tc>
          <w:tcPr>
            <w:tcW w:w="2460" w:type="dxa"/>
            <w:vAlign w:val="bottom"/>
            <w:vMerge w:val="continue"/>
          </w:tcPr>
          <w:p>
            <w:pPr>
              <w:spacing w:after="0"/>
              <w:rPr>
                <w:sz w:val="20"/>
                <w:szCs w:val="20"/>
                <w:color w:val="auto"/>
              </w:rPr>
            </w:pPr>
          </w:p>
        </w:tc>
        <w:tc>
          <w:tcPr>
            <w:tcW w:w="54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Security</w:t>
            </w: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5"/>
        </w:trPr>
        <w:tc>
          <w:tcPr>
            <w:tcW w:w="2460" w:type="dxa"/>
            <w:vAlign w:val="bottom"/>
          </w:tcPr>
          <w:p>
            <w:pPr>
              <w:spacing w:after="0" w:line="136" w:lineRule="exact"/>
              <w:rPr>
                <w:sz w:val="20"/>
                <w:szCs w:val="20"/>
                <w:color w:val="auto"/>
              </w:rPr>
            </w:pPr>
            <w:r>
              <w:rPr>
                <w:rFonts w:ascii="Arial" w:cs="Arial" w:eastAsia="Arial" w:hAnsi="Arial"/>
                <w:sz w:val="15"/>
                <w:szCs w:val="15"/>
                <w:b w:val="1"/>
                <w:bCs w:val="1"/>
                <w:color w:val="B95827"/>
              </w:rPr>
              <w:t>COMPANY BOARDS</w:t>
            </w:r>
          </w:p>
        </w:tc>
        <w:tc>
          <w:tcPr>
            <w:tcW w:w="5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80" w:type="dxa"/>
            <w:vAlign w:val="bottom"/>
          </w:tcPr>
          <w:p>
            <w:pPr>
              <w:ind w:left="140"/>
              <w:spacing w:after="0" w:line="136" w:lineRule="exact"/>
              <w:rPr>
                <w:sz w:val="20"/>
                <w:szCs w:val="20"/>
                <w:color w:val="auto"/>
              </w:rPr>
            </w:pPr>
            <w:r>
              <w:rPr>
                <w:rFonts w:ascii="Arial" w:cs="Arial" w:eastAsia="Arial" w:hAnsi="Arial"/>
                <w:sz w:val="12"/>
                <w:szCs w:val="12"/>
                <w:color w:val="FFFFFF"/>
              </w:rPr>
              <w:t>Ownership of</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460" w:type="dxa"/>
            <w:vAlign w:val="bottom"/>
            <w:vMerge w:val="restart"/>
          </w:tcPr>
          <w:p>
            <w:pPr>
              <w:spacing w:after="0"/>
              <w:rPr>
                <w:sz w:val="20"/>
                <w:szCs w:val="20"/>
                <w:color w:val="auto"/>
              </w:rPr>
            </w:pPr>
            <w:r>
              <w:rPr>
                <w:rFonts w:ascii="Arial" w:cs="Arial" w:eastAsia="Arial" w:hAnsi="Arial"/>
                <w:sz w:val="15"/>
                <w:szCs w:val="15"/>
                <w:b w:val="1"/>
                <w:bCs w:val="1"/>
                <w:color w:val="auto"/>
              </w:rPr>
              <w:t>Current</w:t>
            </w:r>
          </w:p>
        </w:tc>
        <w:tc>
          <w:tcPr>
            <w:tcW w:w="5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80" w:type="dxa"/>
            <w:vAlign w:val="bottom"/>
          </w:tcPr>
          <w:p>
            <w:pPr>
              <w:ind w:left="140"/>
              <w:spacing w:after="0" w:line="128" w:lineRule="exact"/>
              <w:rPr>
                <w:sz w:val="20"/>
                <w:szCs w:val="20"/>
                <w:color w:val="auto"/>
              </w:rPr>
            </w:pPr>
            <w:r>
              <w:rPr>
                <w:rFonts w:ascii="Arial" w:cs="Arial" w:eastAsia="Arial" w:hAnsi="Arial"/>
                <w:sz w:val="12"/>
                <w:szCs w:val="12"/>
                <w:color w:val="FFFFFF"/>
              </w:rPr>
              <w:t>Certain Beneficial</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460" w:type="dxa"/>
            <w:vAlign w:val="bottom"/>
            <w:vMerge w:val="continue"/>
          </w:tcPr>
          <w:p>
            <w:pPr>
              <w:spacing w:after="0"/>
              <w:rPr>
                <w:sz w:val="13"/>
                <w:szCs w:val="13"/>
                <w:color w:val="auto"/>
              </w:rPr>
            </w:pPr>
          </w:p>
        </w:tc>
        <w:tc>
          <w:tcPr>
            <w:tcW w:w="54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Owners and</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460" w:type="dxa"/>
            <w:vAlign w:val="bottom"/>
            <w:vMerge w:val="restart"/>
          </w:tcPr>
          <w:p>
            <w:pPr>
              <w:spacing w:after="0"/>
              <w:rPr>
                <w:sz w:val="20"/>
                <w:szCs w:val="20"/>
                <w:color w:val="auto"/>
              </w:rPr>
            </w:pPr>
            <w:r>
              <w:rPr>
                <w:rFonts w:ascii="Arial" w:cs="Arial" w:eastAsia="Arial" w:hAnsi="Arial"/>
                <w:sz w:val="19"/>
                <w:szCs w:val="19"/>
                <w:color w:val="auto"/>
              </w:rPr>
              <w:t>• Rapid7, Inc.</w:t>
            </w:r>
          </w:p>
        </w:tc>
        <w:tc>
          <w:tcPr>
            <w:tcW w:w="54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Management</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2460" w:type="dxa"/>
            <w:vAlign w:val="bottom"/>
            <w:vMerge w:val="continue"/>
          </w:tcPr>
          <w:p>
            <w:pPr>
              <w:spacing w:after="0"/>
              <w:rPr>
                <w:sz w:val="9"/>
                <w:szCs w:val="9"/>
                <w:color w:val="auto"/>
              </w:rPr>
            </w:pPr>
          </w:p>
        </w:tc>
        <w:tc>
          <w:tcPr>
            <w:tcW w:w="54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80" w:type="dxa"/>
            <w:vAlign w:val="bottom"/>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341630</wp:posOffset>
            </wp:positionH>
            <wp:positionV relativeFrom="paragraph">
              <wp:posOffset>-3481705</wp:posOffset>
            </wp:positionV>
            <wp:extent cx="1499235" cy="157226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499235" cy="1572260"/>
                    </a:xfrm>
                    <a:prstGeom prst="rect">
                      <a:avLst/>
                    </a:prstGeom>
                    <a:noFill/>
                  </pic:spPr>
                </pic:pic>
              </a:graphicData>
            </a:graphic>
          </wp:anchor>
        </w:drawing>
      </w:r>
    </w:p>
    <w:p>
      <w:pPr>
        <w:sectPr>
          <w:pgSz w:w="11900" w:h="16838" w:orient="portrait"/>
          <w:cols w:equalWidth="0" w:num="1">
            <w:col w:w="10800"/>
          </w:cols>
          <w:pgMar w:left="320" w:top="464" w:right="779" w:bottom="1440" w:gutter="0" w:footer="0" w:header="0"/>
        </w:sectPr>
      </w:pPr>
    </w:p>
    <w:p>
      <w:pPr>
        <w:spacing w:after="0" w:line="79" w:lineRule="exact"/>
        <w:rPr>
          <w:sz w:val="20"/>
          <w:szCs w:val="20"/>
          <w:color w:val="auto"/>
        </w:rPr>
      </w:pPr>
    </w:p>
    <w:p>
      <w:pPr>
        <w:ind w:left="540"/>
        <w:spacing w:after="0"/>
        <w:rPr>
          <w:sz w:val="20"/>
          <w:szCs w:val="20"/>
          <w:color w:val="auto"/>
        </w:rPr>
      </w:pPr>
      <w:r>
        <w:rPr>
          <w:rFonts w:ascii="Arial" w:cs="Arial" w:eastAsia="Arial" w:hAnsi="Arial"/>
          <w:sz w:val="15"/>
          <w:szCs w:val="15"/>
          <w:b w:val="1"/>
          <w:bCs w:val="1"/>
          <w:color w:val="auto"/>
        </w:rPr>
        <w:t>Past 5 Years</w:t>
      </w:r>
    </w:p>
    <w:p>
      <w:pPr>
        <w:spacing w:after="0" w:line="17" w:lineRule="exact"/>
        <w:rPr>
          <w:sz w:val="20"/>
          <w:szCs w:val="20"/>
          <w:color w:val="auto"/>
        </w:rPr>
      </w:pPr>
    </w:p>
    <w:p>
      <w:pPr>
        <w:jc w:val="both"/>
        <w:ind w:left="700" w:right="6380" w:hanging="159"/>
        <w:spacing w:after="0" w:line="262" w:lineRule="auto"/>
        <w:tabs>
          <w:tab w:leader="none" w:pos="7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Catalyst Partners Acquisition Corp.</w:t>
      </w:r>
    </w:p>
    <w:p>
      <w:pPr>
        <w:spacing w:after="0" w:line="305" w:lineRule="exact"/>
        <w:rPr>
          <w:sz w:val="20"/>
          <w:szCs w:val="20"/>
          <w:color w:val="auto"/>
        </w:rPr>
      </w:pPr>
    </w:p>
    <w:p>
      <w:pPr>
        <w:ind w:left="540"/>
        <w:spacing w:after="0"/>
        <w:rPr>
          <w:sz w:val="20"/>
          <w:szCs w:val="20"/>
          <w:color w:val="auto"/>
        </w:rPr>
      </w:pPr>
      <w:r>
        <w:rPr>
          <w:rFonts w:ascii="Arial" w:cs="Arial" w:eastAsia="Arial" w:hAnsi="Arial"/>
          <w:sz w:val="15"/>
          <w:szCs w:val="15"/>
          <w:color w:val="auto"/>
        </w:rPr>
        <w:t>In the vote on the election of the director nominees, stockholders may:</w:t>
      </w:r>
    </w:p>
    <w:p>
      <w:pPr>
        <w:spacing w:after="0" w:line="20" w:lineRule="exact"/>
        <w:rPr>
          <w:sz w:val="20"/>
          <w:szCs w:val="20"/>
          <w:color w:val="auto"/>
        </w:rPr>
      </w:pPr>
    </w:p>
    <w:p>
      <w:pPr>
        <w:ind w:left="800" w:hanging="261"/>
        <w:spacing w:after="0"/>
        <w:tabs>
          <w:tab w:leader="none" w:pos="800" w:val="left"/>
        </w:tabs>
        <w:numPr>
          <w:ilvl w:val="0"/>
          <w:numId w:val="37"/>
        </w:numPr>
        <w:rPr>
          <w:rFonts w:ascii="Arial" w:cs="Arial" w:eastAsia="Arial" w:hAnsi="Arial"/>
          <w:sz w:val="15"/>
          <w:szCs w:val="15"/>
          <w:color w:val="auto"/>
        </w:rPr>
      </w:pPr>
      <w:r>
        <w:rPr>
          <w:rFonts w:ascii="Arial" w:cs="Arial" w:eastAsia="Arial" w:hAnsi="Arial"/>
          <w:sz w:val="15"/>
          <w:szCs w:val="15"/>
          <w:color w:val="auto"/>
        </w:rPr>
        <w:t xml:space="preserve">Vote </w:t>
      </w:r>
      <w:r>
        <w:rPr>
          <w:rFonts w:ascii="Arial" w:cs="Arial" w:eastAsia="Arial" w:hAnsi="Arial"/>
          <w:sz w:val="15"/>
          <w:szCs w:val="15"/>
          <w:b w:val="1"/>
          <w:bCs w:val="1"/>
          <w:color w:val="B95827"/>
        </w:rPr>
        <w:t>FOR</w:t>
      </w:r>
      <w:r>
        <w:rPr>
          <w:rFonts w:ascii="Arial" w:cs="Arial" w:eastAsia="Arial" w:hAnsi="Arial"/>
          <w:sz w:val="15"/>
          <w:szCs w:val="15"/>
          <w:color w:val="auto"/>
        </w:rPr>
        <w:t xml:space="preserve"> any of the nominees;</w:t>
      </w:r>
    </w:p>
    <w:p>
      <w:pPr>
        <w:spacing w:after="0" w:line="6" w:lineRule="exact"/>
        <w:rPr>
          <w:rFonts w:ascii="Arial" w:cs="Arial" w:eastAsia="Arial" w:hAnsi="Arial"/>
          <w:sz w:val="15"/>
          <w:szCs w:val="15"/>
          <w:color w:val="auto"/>
        </w:rPr>
      </w:pPr>
    </w:p>
    <w:p>
      <w:pPr>
        <w:ind w:left="800" w:hanging="261"/>
        <w:spacing w:after="0"/>
        <w:tabs>
          <w:tab w:leader="none" w:pos="800" w:val="left"/>
        </w:tabs>
        <w:numPr>
          <w:ilvl w:val="0"/>
          <w:numId w:val="37"/>
        </w:numPr>
        <w:rPr>
          <w:rFonts w:ascii="Arial" w:cs="Arial" w:eastAsia="Arial" w:hAnsi="Arial"/>
          <w:sz w:val="15"/>
          <w:szCs w:val="15"/>
          <w:color w:val="auto"/>
        </w:rPr>
      </w:pPr>
      <w:r>
        <w:rPr>
          <w:rFonts w:ascii="Arial" w:cs="Arial" w:eastAsia="Arial" w:hAnsi="Arial"/>
          <w:sz w:val="15"/>
          <w:szCs w:val="15"/>
          <w:color w:val="auto"/>
        </w:rPr>
        <w:t xml:space="preserve">Vote </w:t>
      </w:r>
      <w:r>
        <w:rPr>
          <w:rFonts w:ascii="Arial" w:cs="Arial" w:eastAsia="Arial" w:hAnsi="Arial"/>
          <w:sz w:val="15"/>
          <w:szCs w:val="15"/>
          <w:b w:val="1"/>
          <w:bCs w:val="1"/>
          <w:color w:val="B95827"/>
        </w:rPr>
        <w:t>AGAINST</w:t>
      </w:r>
      <w:r>
        <w:rPr>
          <w:rFonts w:ascii="Arial" w:cs="Arial" w:eastAsia="Arial" w:hAnsi="Arial"/>
          <w:sz w:val="15"/>
          <w:szCs w:val="15"/>
          <w:color w:val="auto"/>
        </w:rPr>
        <w:t xml:space="preserve"> any of the nominees; or</w:t>
      </w:r>
    </w:p>
    <w:p>
      <w:pPr>
        <w:spacing w:after="0" w:line="6" w:lineRule="exact"/>
        <w:rPr>
          <w:rFonts w:ascii="Arial" w:cs="Arial" w:eastAsia="Arial" w:hAnsi="Arial"/>
          <w:sz w:val="15"/>
          <w:szCs w:val="15"/>
          <w:color w:val="auto"/>
        </w:rPr>
      </w:pPr>
    </w:p>
    <w:p>
      <w:pPr>
        <w:ind w:left="800" w:hanging="261"/>
        <w:spacing w:after="0"/>
        <w:tabs>
          <w:tab w:leader="none" w:pos="800" w:val="left"/>
        </w:tabs>
        <w:numPr>
          <w:ilvl w:val="0"/>
          <w:numId w:val="37"/>
        </w:numPr>
        <w:rPr>
          <w:rFonts w:ascii="Arial" w:cs="Arial" w:eastAsia="Arial" w:hAnsi="Arial"/>
          <w:sz w:val="15"/>
          <w:szCs w:val="15"/>
          <w:color w:val="auto"/>
        </w:rPr>
      </w:pPr>
      <w:r>
        <w:rPr>
          <w:rFonts w:ascii="Arial" w:cs="Arial" w:eastAsia="Arial" w:hAnsi="Arial"/>
          <w:sz w:val="15"/>
          <w:szCs w:val="15"/>
          <w:b w:val="1"/>
          <w:bCs w:val="1"/>
          <w:color w:val="B95827"/>
        </w:rPr>
        <w:t xml:space="preserve">ABSTAIN </w:t>
      </w:r>
      <w:r>
        <w:rPr>
          <w:rFonts w:ascii="Arial" w:cs="Arial" w:eastAsia="Arial" w:hAnsi="Arial"/>
          <w:sz w:val="15"/>
          <w:szCs w:val="15"/>
          <w:color w:val="000000"/>
        </w:rPr>
        <w:t>from voting as to any of the nominees.</w:t>
      </w:r>
    </w:p>
    <w:p>
      <w:pPr>
        <w:spacing w:after="0" w:line="285" w:lineRule="exact"/>
        <w:rPr>
          <w:sz w:val="20"/>
          <w:szCs w:val="20"/>
          <w:color w:val="auto"/>
        </w:rPr>
      </w:pPr>
    </w:p>
    <w:p>
      <w:pPr>
        <w:jc w:val="center"/>
        <w:ind w:left="539" w:right="79"/>
        <w:spacing w:after="0" w:line="263" w:lineRule="auto"/>
        <w:rPr>
          <w:sz w:val="20"/>
          <w:szCs w:val="20"/>
          <w:color w:val="auto"/>
        </w:rPr>
      </w:pPr>
      <w:r>
        <w:rPr>
          <w:rFonts w:ascii="Arial" w:cs="Arial" w:eastAsia="Arial" w:hAnsi="Arial"/>
          <w:sz w:val="20"/>
          <w:szCs w:val="20"/>
          <w:b w:val="1"/>
          <w:bCs w:val="1"/>
          <w:color w:val="B95827"/>
        </w:rPr>
        <w:t>THE BOARD OF DIRECTORS RECOMMENDS A VOTE “FOR” THE ELECTION OF EACH OF THE ABOVE-NAMED NOMINEES AS A DIRECTOR.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FFFFFF"/>
        </w:rPr>
        <w:t>Certain</w:t>
      </w:r>
    </w:p>
    <w:p>
      <w:pPr>
        <w:spacing w:after="0" w:line="222" w:lineRule="auto"/>
        <w:rPr>
          <w:sz w:val="20"/>
          <w:szCs w:val="20"/>
          <w:color w:val="auto"/>
        </w:rPr>
      </w:pPr>
      <w:r>
        <w:rPr>
          <w:rFonts w:ascii="Arial" w:cs="Arial" w:eastAsia="Arial" w:hAnsi="Arial"/>
          <w:sz w:val="12"/>
          <w:szCs w:val="12"/>
          <w:color w:val="FFFFFF"/>
        </w:rPr>
        <w:t>Relationships and</w:t>
      </w:r>
    </w:p>
    <w:p>
      <w:pPr>
        <w:spacing w:after="0" w:line="222" w:lineRule="auto"/>
        <w:rPr>
          <w:sz w:val="20"/>
          <w:szCs w:val="20"/>
          <w:color w:val="auto"/>
        </w:rPr>
      </w:pPr>
      <w:r>
        <w:rPr>
          <w:rFonts w:ascii="Arial" w:cs="Arial" w:eastAsia="Arial" w:hAnsi="Arial"/>
          <w:sz w:val="12"/>
          <w:szCs w:val="12"/>
          <w:color w:val="FFFFFF"/>
        </w:rPr>
        <w:t>Related Party</w:t>
      </w:r>
    </w:p>
    <w:p>
      <w:pPr>
        <w:spacing w:after="0" w:line="1" w:lineRule="exact"/>
        <w:rPr>
          <w:sz w:val="20"/>
          <w:szCs w:val="20"/>
          <w:color w:val="auto"/>
        </w:rPr>
      </w:pPr>
    </w:p>
    <w:p>
      <w:pPr>
        <w:spacing w:after="0"/>
        <w:rPr>
          <w:sz w:val="20"/>
          <w:szCs w:val="20"/>
          <w:color w:val="auto"/>
        </w:rPr>
      </w:pPr>
      <w:r>
        <w:rPr>
          <w:rFonts w:ascii="Arial" w:cs="Arial" w:eastAsia="Arial" w:hAnsi="Arial"/>
          <w:sz w:val="12"/>
          <w:szCs w:val="12"/>
          <w:color w:val="FFFFFF"/>
        </w:rPr>
        <w:t>Transactions</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Proposal 2</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FFFFFF"/>
        </w:rPr>
        <w:t>Report of the</w:t>
      </w:r>
    </w:p>
    <w:p>
      <w:pPr>
        <w:spacing w:after="0" w:line="224" w:lineRule="auto"/>
        <w:rPr>
          <w:sz w:val="20"/>
          <w:szCs w:val="20"/>
          <w:color w:val="auto"/>
        </w:rPr>
      </w:pPr>
      <w:r>
        <w:rPr>
          <w:rFonts w:ascii="Arial" w:cs="Arial" w:eastAsia="Arial" w:hAnsi="Arial"/>
          <w:sz w:val="12"/>
          <w:szCs w:val="12"/>
          <w:color w:val="FFFFFF"/>
        </w:rPr>
        <w:t>Audit and Risk</w:t>
      </w:r>
    </w:p>
    <w:p>
      <w:pPr>
        <w:spacing w:after="0" w:line="222" w:lineRule="auto"/>
        <w:rPr>
          <w:sz w:val="20"/>
          <w:szCs w:val="20"/>
          <w:color w:val="auto"/>
        </w:rPr>
      </w:pPr>
      <w:r>
        <w:rPr>
          <w:rFonts w:ascii="Arial" w:cs="Arial" w:eastAsia="Arial" w:hAnsi="Arial"/>
          <w:sz w:val="12"/>
          <w:szCs w:val="12"/>
          <w:color w:val="FFFFFF"/>
        </w:rPr>
        <w:t>Committee of the</w:t>
      </w:r>
    </w:p>
    <w:p>
      <w:pPr>
        <w:spacing w:after="0"/>
        <w:rPr>
          <w:sz w:val="20"/>
          <w:szCs w:val="20"/>
          <w:color w:val="auto"/>
        </w:rPr>
      </w:pPr>
      <w:r>
        <w:rPr>
          <w:rFonts w:ascii="Arial" w:cs="Arial" w:eastAsia="Arial" w:hAnsi="Arial"/>
          <w:sz w:val="11"/>
          <w:szCs w:val="11"/>
          <w:color w:val="FFFFFF"/>
        </w:rPr>
        <w:t>Board of Directors</w:t>
      </w:r>
    </w:p>
    <w:p>
      <w:pPr>
        <w:spacing w:after="0" w:line="155" w:lineRule="exact"/>
        <w:rPr>
          <w:sz w:val="20"/>
          <w:szCs w:val="20"/>
          <w:color w:val="auto"/>
        </w:rPr>
      </w:pPr>
    </w:p>
    <w:p>
      <w:pPr>
        <w:spacing w:after="0"/>
        <w:rPr>
          <w:sz w:val="20"/>
          <w:szCs w:val="20"/>
          <w:color w:val="auto"/>
        </w:rPr>
      </w:pPr>
      <w:r>
        <w:rPr>
          <w:rFonts w:ascii="Arial" w:cs="Arial" w:eastAsia="Arial" w:hAnsi="Arial"/>
          <w:sz w:val="12"/>
          <w:szCs w:val="12"/>
          <w:color w:val="FFFFFF"/>
        </w:rPr>
        <w:t>Proposal 3</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FFFFFF"/>
        </w:rPr>
        <w:t>Proposal 4</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FFFFFF"/>
        </w:rPr>
        <w:t>Proposal 5</w:t>
      </w:r>
    </w:p>
    <w:p>
      <w:pPr>
        <w:spacing w:after="0" w:line="167" w:lineRule="exact"/>
        <w:rPr>
          <w:sz w:val="20"/>
          <w:szCs w:val="20"/>
          <w:color w:val="auto"/>
        </w:rPr>
      </w:pPr>
    </w:p>
    <w:p>
      <w:pPr>
        <w:sectPr>
          <w:pgSz w:w="11900" w:h="16838" w:orient="portrait"/>
          <w:cols w:equalWidth="0" w:num="2">
            <w:col w:w="8500" w:space="720"/>
            <w:col w:w="1580"/>
          </w:cols>
          <w:pgMar w:left="320" w:top="464" w:right="779" w:bottom="1440" w:gutter="0" w:footer="0" w:header="0"/>
          <w:type w:val="continuous"/>
        </w:sectPr>
      </w:pPr>
    </w:p>
    <w:p>
      <w:pPr>
        <w:ind w:left="9220"/>
        <w:spacing w:after="0"/>
        <w:rPr>
          <w:sz w:val="20"/>
          <w:szCs w:val="20"/>
          <w:color w:val="auto"/>
        </w:rPr>
      </w:pPr>
      <w:r>
        <w:rPr>
          <w:rFonts w:ascii="Arial" w:cs="Arial" w:eastAsia="Arial" w:hAnsi="Arial"/>
          <w:sz w:val="12"/>
          <w:szCs w:val="12"/>
          <w:color w:val="FFFFFF"/>
        </w:rPr>
        <w:t>Proposal 6</w:t>
      </w:r>
    </w:p>
    <w:p>
      <w:pPr>
        <w:spacing w:after="0" w:line="144" w:lineRule="exact"/>
        <w:rPr>
          <w:sz w:val="20"/>
          <w:szCs w:val="20"/>
          <w:color w:val="auto"/>
        </w:rPr>
      </w:pPr>
    </w:p>
    <w:p>
      <w:pPr>
        <w:ind w:left="9220"/>
        <w:spacing w:after="0"/>
        <w:rPr>
          <w:sz w:val="20"/>
          <w:szCs w:val="20"/>
          <w:color w:val="auto"/>
        </w:rPr>
      </w:pPr>
      <w:r>
        <w:rPr>
          <w:rFonts w:ascii="Arial" w:cs="Arial" w:eastAsia="Arial" w:hAnsi="Arial"/>
          <w:sz w:val="12"/>
          <w:szCs w:val="12"/>
          <w:color w:val="FFFFFF"/>
        </w:rPr>
        <w:t>Stockholder</w:t>
      </w:r>
    </w:p>
    <w:p>
      <w:pPr>
        <w:ind w:left="9220"/>
        <w:spacing w:after="0" w:line="224" w:lineRule="auto"/>
        <w:rPr>
          <w:sz w:val="20"/>
          <w:szCs w:val="20"/>
          <w:color w:val="auto"/>
        </w:rPr>
      </w:pPr>
      <w:r>
        <w:rPr>
          <w:rFonts w:ascii="Arial" w:cs="Arial" w:eastAsia="Arial" w:hAnsi="Arial"/>
          <w:sz w:val="12"/>
          <w:szCs w:val="12"/>
          <w:color w:val="FFFFFF"/>
        </w:rPr>
        <w:t>Proposals and</w:t>
      </w:r>
    </w:p>
    <w:p>
      <w:pPr>
        <w:ind w:left="9220"/>
        <w:spacing w:after="0"/>
        <w:rPr>
          <w:sz w:val="20"/>
          <w:szCs w:val="20"/>
          <w:color w:val="auto"/>
        </w:rPr>
      </w:pPr>
      <w:r>
        <w:rPr>
          <w:rFonts w:ascii="Arial" w:cs="Arial" w:eastAsia="Arial" w:hAnsi="Arial"/>
          <w:sz w:val="12"/>
          <w:szCs w:val="12"/>
          <w:color w:val="FFFFFF"/>
        </w:rPr>
        <w:t>Other Matters</w:t>
      </w:r>
    </w:p>
    <w:p>
      <w:pPr>
        <w:spacing w:after="0" w:line="144" w:lineRule="exact"/>
        <w:rPr>
          <w:sz w:val="20"/>
          <w:szCs w:val="20"/>
          <w:color w:val="auto"/>
        </w:rPr>
      </w:pPr>
    </w:p>
    <w:p>
      <w:pPr>
        <w:ind w:left="9220"/>
        <w:spacing w:after="0"/>
        <w:rPr>
          <w:sz w:val="20"/>
          <w:szCs w:val="20"/>
          <w:color w:val="auto"/>
        </w:rPr>
      </w:pPr>
      <w:r>
        <w:rPr>
          <w:rFonts w:ascii="Arial" w:cs="Arial" w:eastAsia="Arial" w:hAnsi="Arial"/>
          <w:sz w:val="12"/>
          <w:szCs w:val="12"/>
          <w:color w:val="FFFFFF"/>
        </w:rPr>
        <w:t>Delinquent</w:t>
      </w:r>
    </w:p>
    <w:p>
      <w:pPr>
        <w:ind w:left="9220"/>
        <w:spacing w:after="0" w:line="224" w:lineRule="auto"/>
        <w:rPr>
          <w:sz w:val="20"/>
          <w:szCs w:val="20"/>
          <w:color w:val="auto"/>
        </w:rPr>
      </w:pPr>
      <w:r>
        <w:rPr>
          <w:rFonts w:ascii="Arial" w:cs="Arial" w:eastAsia="Arial" w:hAnsi="Arial"/>
          <w:sz w:val="12"/>
          <w:szCs w:val="12"/>
          <w:color w:val="FFFFFF"/>
        </w:rPr>
        <w:t>Section 16(a)</w:t>
      </w:r>
    </w:p>
    <w:p>
      <w:pPr>
        <w:ind w:left="9220"/>
        <w:spacing w:after="0"/>
        <w:rPr>
          <w:sz w:val="20"/>
          <w:szCs w:val="20"/>
          <w:color w:val="auto"/>
        </w:rPr>
      </w:pPr>
      <w:r>
        <w:rPr>
          <w:rFonts w:ascii="Arial" w:cs="Arial" w:eastAsia="Arial" w:hAnsi="Arial"/>
          <w:sz w:val="12"/>
          <w:szCs w:val="12"/>
          <w:color w:val="FFFFFF"/>
        </w:rPr>
        <w:t>Reports</w:t>
      </w:r>
    </w:p>
    <w:p>
      <w:pPr>
        <w:spacing w:after="0" w:line="144" w:lineRule="exact"/>
        <w:rPr>
          <w:sz w:val="20"/>
          <w:szCs w:val="20"/>
          <w:color w:val="auto"/>
        </w:rPr>
      </w:pPr>
    </w:p>
    <w:p>
      <w:pPr>
        <w:ind w:left="9220"/>
        <w:spacing w:after="0"/>
        <w:rPr>
          <w:sz w:val="20"/>
          <w:szCs w:val="20"/>
          <w:color w:val="auto"/>
        </w:rPr>
      </w:pPr>
      <w:r>
        <w:rPr>
          <w:rFonts w:ascii="Arial" w:cs="Arial" w:eastAsia="Arial" w:hAnsi="Arial"/>
          <w:sz w:val="12"/>
          <w:szCs w:val="12"/>
          <w:color w:val="FFFFFF"/>
        </w:rPr>
        <w:t>Other</w:t>
      </w:r>
    </w:p>
    <w:p>
      <w:pPr>
        <w:spacing w:after="0" w:line="2" w:lineRule="exact"/>
        <w:rPr>
          <w:sz w:val="20"/>
          <w:szCs w:val="20"/>
          <w:color w:val="auto"/>
        </w:rPr>
      </w:pPr>
    </w:p>
    <w:p>
      <w:pPr>
        <w:ind w:left="9220"/>
        <w:spacing w:after="0"/>
        <w:rPr>
          <w:sz w:val="20"/>
          <w:szCs w:val="20"/>
          <w:color w:val="auto"/>
        </w:rPr>
      </w:pPr>
      <w:r>
        <w:rPr>
          <w:rFonts w:ascii="Arial" w:cs="Arial" w:eastAsia="Arial" w:hAnsi="Arial"/>
          <w:sz w:val="12"/>
          <w:szCs w:val="12"/>
          <w:color w:val="FFFFFF"/>
        </w:rPr>
        <w:t>Information</w:t>
      </w:r>
    </w:p>
    <w:p>
      <w:pPr>
        <w:spacing w:after="0" w:line="144" w:lineRule="exact"/>
        <w:rPr>
          <w:sz w:val="20"/>
          <w:szCs w:val="20"/>
          <w:color w:val="auto"/>
        </w:rPr>
      </w:pPr>
    </w:p>
    <w:p>
      <w:pPr>
        <w:ind w:left="9220"/>
        <w:spacing w:after="0"/>
        <w:rPr>
          <w:sz w:val="20"/>
          <w:szCs w:val="20"/>
          <w:color w:val="auto"/>
        </w:rPr>
      </w:pPr>
      <w:r>
        <w:rPr>
          <w:rFonts w:ascii="Arial" w:cs="Arial" w:eastAsia="Arial" w:hAnsi="Arial"/>
          <w:sz w:val="12"/>
          <w:szCs w:val="12"/>
          <w:color w:val="FFFFFF"/>
        </w:rPr>
        <w:t>Appendix A</w:t>
      </w:r>
    </w:p>
    <w:p>
      <w:pPr>
        <w:spacing w:after="0" w:line="156" w:lineRule="exact"/>
        <w:rPr>
          <w:sz w:val="20"/>
          <w:szCs w:val="20"/>
          <w:color w:val="auto"/>
        </w:rPr>
      </w:pPr>
    </w:p>
    <w:p>
      <w:pPr>
        <w:ind w:left="9220"/>
        <w:spacing w:after="0"/>
        <w:rPr>
          <w:sz w:val="20"/>
          <w:szCs w:val="20"/>
          <w:color w:val="auto"/>
        </w:rPr>
      </w:pPr>
      <w:r>
        <w:rPr>
          <w:rFonts w:ascii="Arial" w:cs="Arial" w:eastAsia="Arial" w:hAnsi="Arial"/>
          <w:sz w:val="12"/>
          <w:szCs w:val="12"/>
          <w:color w:val="FFFFFF"/>
        </w:rPr>
        <w:t>Appendix 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6380"/>
        <w:spacing w:after="0"/>
        <w:tabs>
          <w:tab w:leader="none" w:pos="8500" w:val="left"/>
          <w:tab w:leader="none" w:pos="9960" w:val="left"/>
        </w:tabs>
        <w:rPr>
          <w:sz w:val="20"/>
          <w:szCs w:val="20"/>
          <w:color w:val="auto"/>
        </w:rPr>
      </w:pPr>
      <w:r>
        <w:rPr>
          <w:rFonts w:ascii="Arial" w:cs="Arial" w:eastAsia="Arial" w:hAnsi="Arial"/>
          <w:sz w:val="15"/>
          <w:szCs w:val="15"/>
          <w:b w:val="1"/>
          <w:bCs w:val="1"/>
          <w:color w:val="002B5F"/>
        </w:rPr>
        <w:t xml:space="preserve">2026 Proxy Statement  </w:t>
      </w:r>
      <w:r>
        <w:rPr>
          <w:rFonts w:ascii="Arial" w:cs="Arial" w:eastAsia="Arial" w:hAnsi="Arial"/>
          <w:sz w:val="20"/>
          <w:szCs w:val="20"/>
          <w:color w:val="002B5F"/>
        </w:rPr>
        <w:t>|</w:t>
      </w:r>
      <w:r>
        <w:rPr>
          <w:rFonts w:ascii="Arial" w:cs="Arial" w:eastAsia="Arial" w:hAnsi="Arial"/>
          <w:sz w:val="15"/>
          <w:szCs w:val="15"/>
          <w:b w:val="1"/>
          <w:bCs w:val="1"/>
          <w:color w:val="002B5F"/>
        </w:rPr>
        <w:t xml:space="preserve">  21</w:t>
      </w:r>
      <w:r>
        <w:rPr>
          <w:sz w:val="20"/>
          <w:szCs w:val="20"/>
          <w:color w:val="auto"/>
        </w:rPr>
        <w:tab/>
      </w:r>
      <w:r>
        <w:rPr>
          <w:rFonts w:ascii="Arial" w:cs="Arial" w:eastAsia="Arial" w:hAnsi="Arial"/>
          <w:sz w:val="17"/>
          <w:szCs w:val="17"/>
          <w:color w:val="auto"/>
        </w:rPr>
        <w:t xml:space="preserve">    </w:t>
      </w:r>
      <w:r>
        <w:rPr>
          <w:sz w:val="20"/>
          <w:szCs w:val="20"/>
          <w:color w:val="auto"/>
        </w:rPr>
        <w:tab/>
      </w:r>
      <w:r>
        <w:rPr>
          <w:rFonts w:ascii="Arial" w:cs="Arial" w:eastAsia="Arial" w:hAnsi="Arial"/>
          <w:sz w:val="17"/>
          <w:szCs w:val="17"/>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268605</wp:posOffset>
            </wp:positionH>
            <wp:positionV relativeFrom="paragraph">
              <wp:posOffset>-128905</wp:posOffset>
            </wp:positionV>
            <wp:extent cx="762000" cy="971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62000" cy="97155"/>
                    </a:xfrm>
                    <a:prstGeom prst="rect">
                      <a:avLst/>
                    </a:prstGeom>
                    <a:noFill/>
                  </pic:spPr>
                </pic:pic>
              </a:graphicData>
            </a:graphic>
          </wp:anchor>
        </w:drawing>
      </w:r>
    </w:p>
    <w:p>
      <w:pPr>
        <w:sectPr>
          <w:pgSz w:w="11900" w:h="16838" w:orient="portrait"/>
          <w:cols w:equalWidth="0" w:num="1">
            <w:col w:w="10800"/>
          </w:cols>
          <w:pgMar w:left="320" w:top="464" w:right="779" w:bottom="1440" w:gutter="0" w:footer="0" w:header="0"/>
          <w:type w:val="continuous"/>
        </w:sectPr>
      </w:pPr>
    </w:p>
    <w:bookmarkStart w:id="29" w:name="page30"/>
    <w:bookmarkEnd w:id="29"/>
    <w:p>
      <w:pPr>
        <w:spacing w:after="0"/>
        <w:rPr>
          <w:sz w:val="20"/>
          <w:szCs w:val="20"/>
          <w:color w:val="auto"/>
        </w:rPr>
      </w:pPr>
      <w:r>
        <w:rPr>
          <w:rFonts w:ascii="Times New Roman" w:cs="Times New Roman" w:eastAsia="Times New Roman" w:hAnsi="Times New Roman"/>
          <w:sz w:val="17"/>
          <w:szCs w:val="17"/>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268605</wp:posOffset>
            </wp:positionH>
            <wp:positionV relativeFrom="paragraph">
              <wp:posOffset>253365</wp:posOffset>
            </wp:positionV>
            <wp:extent cx="1183005" cy="745617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183005" cy="7456170"/>
                    </a:xfrm>
                    <a:prstGeom prst="rect">
                      <a:avLst/>
                    </a:prstGeom>
                    <a:noFill/>
                  </pic:spPr>
                </pic:pic>
              </a:graphicData>
            </a:graphic>
          </wp:anchor>
        </w:drawing>
      </w:r>
    </w:p>
    <w:p>
      <w:pPr>
        <w:spacing w:after="0" w:line="200" w:lineRule="exact"/>
        <w:rPr>
          <w:sz w:val="20"/>
          <w:szCs w:val="20"/>
          <w:color w:val="auto"/>
        </w:rPr>
      </w:pPr>
    </w:p>
    <w:p>
      <w:pPr>
        <w:spacing w:after="0" w:line="304" w:lineRule="exact"/>
        <w:rPr>
          <w:sz w:val="20"/>
          <w:szCs w:val="20"/>
          <w:color w:val="auto"/>
        </w:rPr>
      </w:pPr>
    </w:p>
    <w:p>
      <w:pPr>
        <w:ind w:left="1120" w:right="460" w:hanging="672"/>
        <w:spacing w:after="0" w:line="382" w:lineRule="auto"/>
        <w:tabs>
          <w:tab w:leader="none" w:pos="610" w:val="left"/>
        </w:tabs>
        <w:numPr>
          <w:ilvl w:val="0"/>
          <w:numId w:val="38"/>
        </w:numPr>
        <w:rPr>
          <w:rFonts w:ascii="Arial" w:cs="Arial" w:eastAsia="Arial" w:hAnsi="Arial"/>
          <w:sz w:val="24"/>
          <w:szCs w:val="24"/>
          <w:color w:val="auto"/>
          <w:vertAlign w:val="subscript"/>
        </w:rPr>
      </w:pPr>
      <w:r>
        <w:rPr>
          <w:rFonts w:ascii="Arial" w:cs="Arial" w:eastAsia="Arial" w:hAnsi="Arial"/>
          <w:sz w:val="24"/>
          <w:szCs w:val="24"/>
          <w:color w:val="000000"/>
          <w:vertAlign w:val="subscript"/>
        </w:rPr>
        <w:t xml:space="preserve">     </w:t>
      </w:r>
      <w:r>
        <w:rPr>
          <w:rFonts w:ascii="Arial" w:cs="Arial" w:eastAsia="Arial" w:hAnsi="Arial"/>
          <w:sz w:val="10"/>
          <w:szCs w:val="10"/>
          <w:color w:val="FFFFFF"/>
        </w:rPr>
        <w:t xml:space="preserve"> General Information</w:t>
      </w:r>
    </w:p>
    <w:p>
      <w:pPr>
        <w:spacing w:after="0" w:line="1" w:lineRule="exact"/>
        <w:rPr>
          <w:sz w:val="20"/>
          <w:szCs w:val="20"/>
          <w:color w:val="auto"/>
        </w:rPr>
      </w:pPr>
    </w:p>
    <w:p>
      <w:pPr>
        <w:ind w:left="1120"/>
        <w:spacing w:after="0"/>
        <w:rPr>
          <w:sz w:val="20"/>
          <w:szCs w:val="20"/>
          <w:color w:val="auto"/>
        </w:rPr>
      </w:pPr>
      <w:r>
        <w:rPr>
          <w:rFonts w:ascii="Arial" w:cs="Arial" w:eastAsia="Arial" w:hAnsi="Arial"/>
          <w:sz w:val="11"/>
          <w:szCs w:val="11"/>
          <w:color w:val="FFFFFF"/>
        </w:rPr>
        <w:t>General Information</w:t>
      </w:r>
    </w:p>
    <w:p>
      <w:pPr>
        <w:spacing w:after="0" w:line="3"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About Corporate</w:t>
      </w:r>
    </w:p>
    <w:p>
      <w:pPr>
        <w:ind w:left="1120"/>
        <w:spacing w:after="0" w:line="221" w:lineRule="auto"/>
        <w:rPr>
          <w:sz w:val="20"/>
          <w:szCs w:val="20"/>
          <w:color w:val="auto"/>
        </w:rPr>
      </w:pPr>
      <w:r>
        <w:rPr>
          <w:rFonts w:ascii="Arial" w:cs="Arial" w:eastAsia="Arial" w:hAnsi="Arial"/>
          <w:sz w:val="12"/>
          <w:szCs w:val="12"/>
          <w:color w:val="FFFFFF"/>
        </w:rPr>
        <w:t>Governance</w:t>
      </w:r>
    </w:p>
    <w:p>
      <w:pPr>
        <w:ind w:left="1120"/>
        <w:spacing w:after="0" w:line="222" w:lineRule="auto"/>
        <w:rPr>
          <w:sz w:val="20"/>
          <w:szCs w:val="20"/>
          <w:color w:val="auto"/>
        </w:rPr>
      </w:pPr>
      <w:r>
        <w:rPr>
          <w:rFonts w:ascii="Arial" w:cs="Arial" w:eastAsia="Arial" w:hAnsi="Arial"/>
          <w:sz w:val="12"/>
          <w:szCs w:val="12"/>
          <w:color w:val="FFFFFF"/>
        </w:rPr>
        <w:t>and the Board of</w:t>
      </w:r>
    </w:p>
    <w:p>
      <w:pPr>
        <w:spacing w:after="0" w:line="1"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Directors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Proposal 1</w:t>
      </w:r>
    </w:p>
    <w:p>
      <w:pPr>
        <w:spacing w:after="0" w:line="156" w:lineRule="exact"/>
        <w:rPr>
          <w:sz w:val="20"/>
          <w:szCs w:val="20"/>
          <w:color w:val="auto"/>
        </w:rPr>
      </w:pPr>
    </w:p>
    <w:p>
      <w:pPr>
        <w:ind w:left="1120" w:right="80"/>
        <w:spacing w:after="0" w:line="265" w:lineRule="auto"/>
        <w:rPr>
          <w:sz w:val="20"/>
          <w:szCs w:val="20"/>
          <w:color w:val="auto"/>
        </w:rPr>
      </w:pPr>
      <w:r>
        <w:rPr>
          <w:rFonts w:ascii="Arial" w:cs="Arial" w:eastAsia="Arial" w:hAnsi="Arial"/>
          <w:sz w:val="11"/>
          <w:szCs w:val="11"/>
          <w:b w:val="1"/>
          <w:bCs w:val="1"/>
          <w:color w:val="FFFFFF"/>
        </w:rPr>
        <w:t>Information Regarding Board and Committee Structure</w:t>
      </w:r>
    </w:p>
    <w:p>
      <w:pPr>
        <w:spacing w:after="0" w:line="118"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Board of Directors</w:t>
      </w:r>
    </w:p>
    <w:p>
      <w:pPr>
        <w:spacing w:after="0" w:line="2"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Compensation</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Compensation</w:t>
      </w:r>
    </w:p>
    <w:p>
      <w:pPr>
        <w:ind w:left="1120"/>
        <w:spacing w:after="0" w:line="224" w:lineRule="auto"/>
        <w:rPr>
          <w:sz w:val="20"/>
          <w:szCs w:val="20"/>
          <w:color w:val="auto"/>
        </w:rPr>
      </w:pPr>
      <w:r>
        <w:rPr>
          <w:rFonts w:ascii="Arial" w:cs="Arial" w:eastAsia="Arial" w:hAnsi="Arial"/>
          <w:sz w:val="12"/>
          <w:szCs w:val="12"/>
          <w:color w:val="FFFFFF"/>
        </w:rPr>
        <w:t>Discussion and</w:t>
      </w:r>
    </w:p>
    <w:p>
      <w:pPr>
        <w:ind w:left="1120"/>
        <w:spacing w:after="0"/>
        <w:rPr>
          <w:sz w:val="20"/>
          <w:szCs w:val="20"/>
          <w:color w:val="auto"/>
        </w:rPr>
      </w:pPr>
      <w:r>
        <w:rPr>
          <w:rFonts w:ascii="Arial" w:cs="Arial" w:eastAsia="Arial" w:hAnsi="Arial"/>
          <w:sz w:val="12"/>
          <w:szCs w:val="12"/>
          <w:color w:val="FFFFFF"/>
        </w:rPr>
        <w:t>Analysis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Report of the</w:t>
      </w:r>
    </w:p>
    <w:p>
      <w:pPr>
        <w:ind w:left="1120"/>
        <w:spacing w:after="0" w:line="224" w:lineRule="auto"/>
        <w:rPr>
          <w:sz w:val="20"/>
          <w:szCs w:val="20"/>
          <w:color w:val="auto"/>
        </w:rPr>
      </w:pPr>
      <w:r>
        <w:rPr>
          <w:rFonts w:ascii="Arial" w:cs="Arial" w:eastAsia="Arial" w:hAnsi="Arial"/>
          <w:sz w:val="12"/>
          <w:szCs w:val="12"/>
          <w:color w:val="FFFFFF"/>
        </w:rPr>
        <w:t>Compensation</w:t>
      </w:r>
    </w:p>
    <w:p>
      <w:pPr>
        <w:ind w:left="1120"/>
        <w:spacing w:after="0" w:line="222" w:lineRule="auto"/>
        <w:rPr>
          <w:sz w:val="20"/>
          <w:szCs w:val="20"/>
          <w:color w:val="auto"/>
        </w:rPr>
      </w:pPr>
      <w:r>
        <w:rPr>
          <w:rFonts w:ascii="Arial" w:cs="Arial" w:eastAsia="Arial" w:hAnsi="Arial"/>
          <w:sz w:val="12"/>
          <w:szCs w:val="12"/>
          <w:color w:val="FFFFFF"/>
        </w:rPr>
        <w:t>and Human</w:t>
      </w:r>
    </w:p>
    <w:p>
      <w:pPr>
        <w:ind w:left="1120"/>
        <w:spacing w:after="0" w:line="222" w:lineRule="auto"/>
        <w:rPr>
          <w:sz w:val="20"/>
          <w:szCs w:val="20"/>
          <w:color w:val="auto"/>
        </w:rPr>
      </w:pPr>
      <w:r>
        <w:rPr>
          <w:rFonts w:ascii="Arial" w:cs="Arial" w:eastAsia="Arial" w:hAnsi="Arial"/>
          <w:sz w:val="12"/>
          <w:szCs w:val="12"/>
          <w:color w:val="FFFFFF"/>
        </w:rPr>
        <w:t>Resources</w:t>
      </w:r>
    </w:p>
    <w:p>
      <w:pPr>
        <w:ind w:left="1120"/>
        <w:spacing w:after="0" w:line="222" w:lineRule="auto"/>
        <w:rPr>
          <w:sz w:val="20"/>
          <w:szCs w:val="20"/>
          <w:color w:val="auto"/>
        </w:rPr>
      </w:pPr>
      <w:r>
        <w:rPr>
          <w:rFonts w:ascii="Arial" w:cs="Arial" w:eastAsia="Arial" w:hAnsi="Arial"/>
          <w:sz w:val="12"/>
          <w:szCs w:val="12"/>
          <w:color w:val="FFFFFF"/>
        </w:rPr>
        <w:t>Committee of the</w:t>
      </w:r>
    </w:p>
    <w:p>
      <w:pPr>
        <w:ind w:left="1120"/>
        <w:spacing w:after="0"/>
        <w:rPr>
          <w:sz w:val="20"/>
          <w:szCs w:val="20"/>
          <w:color w:val="auto"/>
        </w:rPr>
      </w:pPr>
      <w:r>
        <w:rPr>
          <w:rFonts w:ascii="Arial" w:cs="Arial" w:eastAsia="Arial" w:hAnsi="Arial"/>
          <w:sz w:val="12"/>
          <w:szCs w:val="12"/>
          <w:color w:val="FFFFFF"/>
        </w:rPr>
        <w:t>Board of Directors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Compensation of</w:t>
      </w:r>
    </w:p>
    <w:p>
      <w:pPr>
        <w:ind w:left="1120"/>
        <w:spacing w:after="0" w:line="224" w:lineRule="auto"/>
        <w:rPr>
          <w:sz w:val="20"/>
          <w:szCs w:val="20"/>
          <w:color w:val="auto"/>
        </w:rPr>
      </w:pPr>
      <w:r>
        <w:rPr>
          <w:rFonts w:ascii="Arial" w:cs="Arial" w:eastAsia="Arial" w:hAnsi="Arial"/>
          <w:sz w:val="12"/>
          <w:szCs w:val="12"/>
          <w:color w:val="FFFFFF"/>
        </w:rPr>
        <w:t>Named Executive</w:t>
      </w:r>
    </w:p>
    <w:p>
      <w:pPr>
        <w:ind w:left="1120"/>
        <w:spacing w:after="0"/>
        <w:rPr>
          <w:sz w:val="20"/>
          <w:szCs w:val="20"/>
          <w:color w:val="auto"/>
        </w:rPr>
      </w:pPr>
      <w:r>
        <w:rPr>
          <w:rFonts w:ascii="Arial" w:cs="Arial" w:eastAsia="Arial" w:hAnsi="Arial"/>
          <w:sz w:val="12"/>
          <w:szCs w:val="12"/>
          <w:color w:val="FFFFFF"/>
        </w:rPr>
        <w:t>Officers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Pay Versus</w:t>
      </w:r>
    </w:p>
    <w:p>
      <w:pPr>
        <w:ind w:left="1120"/>
        <w:spacing w:after="0" w:line="224" w:lineRule="auto"/>
        <w:rPr>
          <w:sz w:val="20"/>
          <w:szCs w:val="20"/>
          <w:color w:val="auto"/>
        </w:rPr>
      </w:pPr>
      <w:r>
        <w:rPr>
          <w:rFonts w:ascii="Arial" w:cs="Arial" w:eastAsia="Arial" w:hAnsi="Arial"/>
          <w:sz w:val="12"/>
          <w:szCs w:val="12"/>
          <w:color w:val="FFFFFF"/>
        </w:rPr>
        <w:t>Performance</w:t>
      </w:r>
    </w:p>
    <w:p>
      <w:pPr>
        <w:ind w:left="1120"/>
        <w:spacing w:after="0"/>
        <w:rPr>
          <w:sz w:val="20"/>
          <w:szCs w:val="20"/>
          <w:color w:val="auto"/>
        </w:rPr>
      </w:pPr>
      <w:r>
        <w:rPr>
          <w:rFonts w:ascii="Arial" w:cs="Arial" w:eastAsia="Arial" w:hAnsi="Arial"/>
          <w:sz w:val="12"/>
          <w:szCs w:val="12"/>
          <w:color w:val="FFFFFF"/>
        </w:rPr>
        <w:t>Disclosure</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Security</w:t>
      </w:r>
    </w:p>
    <w:p>
      <w:pPr>
        <w:ind w:left="1120"/>
        <w:spacing w:after="0" w:line="224" w:lineRule="auto"/>
        <w:rPr>
          <w:sz w:val="20"/>
          <w:szCs w:val="20"/>
          <w:color w:val="auto"/>
        </w:rPr>
      </w:pPr>
      <w:r>
        <w:rPr>
          <w:rFonts w:ascii="Arial" w:cs="Arial" w:eastAsia="Arial" w:hAnsi="Arial"/>
          <w:sz w:val="12"/>
          <w:szCs w:val="12"/>
          <w:color w:val="FFFFFF"/>
        </w:rPr>
        <w:t>Ownership of</w:t>
      </w:r>
    </w:p>
    <w:p>
      <w:pPr>
        <w:ind w:left="1120"/>
        <w:spacing w:after="0" w:line="222" w:lineRule="auto"/>
        <w:rPr>
          <w:sz w:val="20"/>
          <w:szCs w:val="20"/>
          <w:color w:val="auto"/>
        </w:rPr>
      </w:pPr>
      <w:r>
        <w:rPr>
          <w:rFonts w:ascii="Arial" w:cs="Arial" w:eastAsia="Arial" w:hAnsi="Arial"/>
          <w:sz w:val="12"/>
          <w:szCs w:val="12"/>
          <w:color w:val="FFFFFF"/>
        </w:rPr>
        <w:t>Certain Beneficial</w:t>
      </w:r>
    </w:p>
    <w:p>
      <w:pPr>
        <w:ind w:left="1120"/>
        <w:spacing w:after="0" w:line="222" w:lineRule="auto"/>
        <w:rPr>
          <w:sz w:val="20"/>
          <w:szCs w:val="20"/>
          <w:color w:val="auto"/>
        </w:rPr>
      </w:pPr>
      <w:r>
        <w:rPr>
          <w:rFonts w:ascii="Arial" w:cs="Arial" w:eastAsia="Arial" w:hAnsi="Arial"/>
          <w:sz w:val="12"/>
          <w:szCs w:val="12"/>
          <w:color w:val="FFFFFF"/>
        </w:rPr>
        <w:t>Owners and</w:t>
      </w:r>
    </w:p>
    <w:p>
      <w:pPr>
        <w:ind w:left="1120"/>
        <w:spacing w:after="0"/>
        <w:rPr>
          <w:sz w:val="20"/>
          <w:szCs w:val="20"/>
          <w:color w:val="auto"/>
        </w:rPr>
      </w:pPr>
      <w:r>
        <w:rPr>
          <w:rFonts w:ascii="Arial" w:cs="Arial" w:eastAsia="Arial" w:hAnsi="Arial"/>
          <w:sz w:val="12"/>
          <w:szCs w:val="12"/>
          <w:color w:val="FFFFFF"/>
        </w:rPr>
        <w:t>Management</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Certain</w:t>
      </w:r>
    </w:p>
    <w:p>
      <w:pPr>
        <w:ind w:left="1120"/>
        <w:spacing w:after="0" w:line="224" w:lineRule="auto"/>
        <w:rPr>
          <w:sz w:val="20"/>
          <w:szCs w:val="20"/>
          <w:color w:val="auto"/>
        </w:rPr>
      </w:pPr>
      <w:r>
        <w:rPr>
          <w:rFonts w:ascii="Arial" w:cs="Arial" w:eastAsia="Arial" w:hAnsi="Arial"/>
          <w:sz w:val="12"/>
          <w:szCs w:val="12"/>
          <w:color w:val="FFFFFF"/>
        </w:rPr>
        <w:t>Relationships and</w:t>
      </w:r>
    </w:p>
    <w:p>
      <w:pPr>
        <w:ind w:left="1120"/>
        <w:spacing w:after="0" w:line="222" w:lineRule="auto"/>
        <w:rPr>
          <w:sz w:val="20"/>
          <w:szCs w:val="20"/>
          <w:color w:val="auto"/>
        </w:rPr>
      </w:pPr>
      <w:r>
        <w:rPr>
          <w:rFonts w:ascii="Arial" w:cs="Arial" w:eastAsia="Arial" w:hAnsi="Arial"/>
          <w:sz w:val="12"/>
          <w:szCs w:val="12"/>
          <w:color w:val="FFFFFF"/>
        </w:rPr>
        <w:t>Related Party</w:t>
      </w:r>
    </w:p>
    <w:p>
      <w:pPr>
        <w:ind w:left="1120"/>
        <w:spacing w:after="0"/>
        <w:rPr>
          <w:sz w:val="20"/>
          <w:szCs w:val="20"/>
          <w:color w:val="auto"/>
        </w:rPr>
      </w:pPr>
      <w:r>
        <w:rPr>
          <w:rFonts w:ascii="Arial" w:cs="Arial" w:eastAsia="Arial" w:hAnsi="Arial"/>
          <w:sz w:val="12"/>
          <w:szCs w:val="12"/>
          <w:color w:val="FFFFFF"/>
        </w:rPr>
        <w:t>Transactions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Proposal 2</w:t>
      </w:r>
    </w:p>
    <w:p>
      <w:pPr>
        <w:spacing w:after="0" w:line="156"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Report of the</w:t>
      </w:r>
    </w:p>
    <w:p>
      <w:pPr>
        <w:ind w:left="1120"/>
        <w:spacing w:after="0" w:line="224" w:lineRule="auto"/>
        <w:rPr>
          <w:sz w:val="20"/>
          <w:szCs w:val="20"/>
          <w:color w:val="auto"/>
        </w:rPr>
      </w:pPr>
      <w:r>
        <w:rPr>
          <w:rFonts w:ascii="Arial" w:cs="Arial" w:eastAsia="Arial" w:hAnsi="Arial"/>
          <w:sz w:val="12"/>
          <w:szCs w:val="12"/>
          <w:color w:val="FFFFFF"/>
        </w:rPr>
        <w:t>Audit and Risk</w:t>
      </w:r>
    </w:p>
    <w:p>
      <w:pPr>
        <w:ind w:left="1120"/>
        <w:spacing w:after="0" w:line="222" w:lineRule="auto"/>
        <w:rPr>
          <w:sz w:val="20"/>
          <w:szCs w:val="20"/>
          <w:color w:val="auto"/>
        </w:rPr>
      </w:pPr>
      <w:r>
        <w:rPr>
          <w:rFonts w:ascii="Arial" w:cs="Arial" w:eastAsia="Arial" w:hAnsi="Arial"/>
          <w:sz w:val="12"/>
          <w:szCs w:val="12"/>
          <w:color w:val="FFFFFF"/>
        </w:rPr>
        <w:t>Committee of the</w:t>
      </w:r>
    </w:p>
    <w:p>
      <w:pPr>
        <w:ind w:left="1120"/>
        <w:spacing w:after="0"/>
        <w:rPr>
          <w:sz w:val="20"/>
          <w:szCs w:val="20"/>
          <w:color w:val="auto"/>
        </w:rPr>
      </w:pPr>
      <w:r>
        <w:rPr>
          <w:rFonts w:ascii="Arial" w:cs="Arial" w:eastAsia="Arial" w:hAnsi="Arial"/>
          <w:sz w:val="12"/>
          <w:szCs w:val="12"/>
          <w:color w:val="FFFFFF"/>
        </w:rPr>
        <w:t>Board of Directors</w:t>
      </w:r>
    </w:p>
    <w:p>
      <w:pPr>
        <w:spacing w:after="0" w:line="144" w:lineRule="exact"/>
        <w:rPr>
          <w:sz w:val="20"/>
          <w:szCs w:val="20"/>
          <w:color w:val="auto"/>
        </w:rPr>
      </w:pPr>
    </w:p>
    <w:p>
      <w:pPr>
        <w:jc w:val="center"/>
        <w:ind w:left="620"/>
        <w:spacing w:after="0"/>
        <w:rPr>
          <w:sz w:val="20"/>
          <w:szCs w:val="20"/>
          <w:color w:val="auto"/>
        </w:rPr>
      </w:pPr>
      <w:r>
        <w:rPr>
          <w:rFonts w:ascii="Arial" w:cs="Arial" w:eastAsia="Arial" w:hAnsi="Arial"/>
          <w:sz w:val="12"/>
          <w:szCs w:val="12"/>
          <w:color w:val="FFFFFF"/>
        </w:rPr>
        <w:t>Proposal 3</w:t>
      </w:r>
    </w:p>
    <w:p>
      <w:pPr>
        <w:spacing w:after="0" w:line="156" w:lineRule="exact"/>
        <w:rPr>
          <w:sz w:val="20"/>
          <w:szCs w:val="20"/>
          <w:color w:val="auto"/>
        </w:rPr>
      </w:pPr>
    </w:p>
    <w:p>
      <w:pPr>
        <w:jc w:val="center"/>
        <w:ind w:left="620"/>
        <w:spacing w:after="0"/>
        <w:rPr>
          <w:sz w:val="20"/>
          <w:szCs w:val="20"/>
          <w:color w:val="auto"/>
        </w:rPr>
      </w:pPr>
      <w:r>
        <w:rPr>
          <w:rFonts w:ascii="Arial" w:cs="Arial" w:eastAsia="Arial" w:hAnsi="Arial"/>
          <w:sz w:val="12"/>
          <w:szCs w:val="12"/>
          <w:color w:val="FFFFFF"/>
        </w:rPr>
        <w:t>Proposal 4</w:t>
      </w:r>
    </w:p>
    <w:p>
      <w:pPr>
        <w:spacing w:after="0" w:line="156" w:lineRule="exact"/>
        <w:rPr>
          <w:sz w:val="20"/>
          <w:szCs w:val="20"/>
          <w:color w:val="auto"/>
        </w:rPr>
      </w:pPr>
    </w:p>
    <w:p>
      <w:pPr>
        <w:jc w:val="center"/>
        <w:ind w:left="620"/>
        <w:spacing w:after="0"/>
        <w:rPr>
          <w:sz w:val="20"/>
          <w:szCs w:val="20"/>
          <w:color w:val="auto"/>
        </w:rPr>
      </w:pPr>
      <w:r>
        <w:rPr>
          <w:rFonts w:ascii="Arial" w:cs="Arial" w:eastAsia="Arial" w:hAnsi="Arial"/>
          <w:sz w:val="12"/>
          <w:szCs w:val="12"/>
          <w:color w:val="FFFFFF"/>
        </w:rPr>
        <w:t>Proposal 5</w:t>
      </w:r>
    </w:p>
    <w:p>
      <w:pPr>
        <w:spacing w:after="0" w:line="156"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Proposal 6</w:t>
      </w:r>
    </w:p>
    <w:p>
      <w:pPr>
        <w:spacing w:after="0" w:line="156"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Stockholder</w:t>
      </w:r>
    </w:p>
    <w:p>
      <w:pPr>
        <w:ind w:left="1120"/>
        <w:spacing w:after="0" w:line="224" w:lineRule="auto"/>
        <w:rPr>
          <w:sz w:val="20"/>
          <w:szCs w:val="20"/>
          <w:color w:val="auto"/>
        </w:rPr>
      </w:pPr>
      <w:r>
        <w:rPr>
          <w:rFonts w:ascii="Arial" w:cs="Arial" w:eastAsia="Arial" w:hAnsi="Arial"/>
          <w:sz w:val="12"/>
          <w:szCs w:val="12"/>
          <w:color w:val="FFFFFF"/>
        </w:rPr>
        <w:t>Proposals and</w:t>
      </w:r>
    </w:p>
    <w:p>
      <w:pPr>
        <w:ind w:left="1120"/>
        <w:spacing w:after="0"/>
        <w:rPr>
          <w:sz w:val="20"/>
          <w:szCs w:val="20"/>
          <w:color w:val="auto"/>
        </w:rPr>
      </w:pPr>
      <w:r>
        <w:rPr>
          <w:rFonts w:ascii="Arial" w:cs="Arial" w:eastAsia="Arial" w:hAnsi="Arial"/>
          <w:sz w:val="12"/>
          <w:szCs w:val="12"/>
          <w:color w:val="FFFFFF"/>
        </w:rPr>
        <w:t>Other Matters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Delinquent</w:t>
      </w:r>
    </w:p>
    <w:p>
      <w:pPr>
        <w:ind w:left="1120"/>
        <w:spacing w:after="0" w:line="224" w:lineRule="auto"/>
        <w:rPr>
          <w:sz w:val="20"/>
          <w:szCs w:val="20"/>
          <w:color w:val="auto"/>
        </w:rPr>
      </w:pPr>
      <w:r>
        <w:rPr>
          <w:rFonts w:ascii="Arial" w:cs="Arial" w:eastAsia="Arial" w:hAnsi="Arial"/>
          <w:sz w:val="12"/>
          <w:szCs w:val="12"/>
          <w:color w:val="FFFFFF"/>
        </w:rPr>
        <w:t>Section 16(a)</w:t>
      </w:r>
    </w:p>
    <w:p>
      <w:pPr>
        <w:ind w:left="1120"/>
        <w:spacing w:after="0"/>
        <w:rPr>
          <w:sz w:val="20"/>
          <w:szCs w:val="20"/>
          <w:color w:val="auto"/>
        </w:rPr>
      </w:pPr>
      <w:r>
        <w:rPr>
          <w:rFonts w:ascii="Arial" w:cs="Arial" w:eastAsia="Arial" w:hAnsi="Arial"/>
          <w:sz w:val="12"/>
          <w:szCs w:val="12"/>
          <w:color w:val="FFFFFF"/>
        </w:rPr>
        <w:t>Reports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Other</w:t>
      </w:r>
    </w:p>
    <w:p>
      <w:pPr>
        <w:spacing w:after="0" w:line="2"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Information</w:t>
      </w:r>
    </w:p>
    <w:p>
      <w:pPr>
        <w:spacing w:after="0" w:line="144" w:lineRule="exact"/>
        <w:rPr>
          <w:sz w:val="20"/>
          <w:szCs w:val="20"/>
          <w:color w:val="auto"/>
        </w:rPr>
      </w:pPr>
    </w:p>
    <w:p>
      <w:pPr>
        <w:jc w:val="center"/>
        <w:ind w:left="660"/>
        <w:spacing w:after="0"/>
        <w:rPr>
          <w:sz w:val="20"/>
          <w:szCs w:val="20"/>
          <w:color w:val="auto"/>
        </w:rPr>
      </w:pPr>
      <w:r>
        <w:rPr>
          <w:rFonts w:ascii="Arial" w:cs="Arial" w:eastAsia="Arial" w:hAnsi="Arial"/>
          <w:sz w:val="12"/>
          <w:szCs w:val="12"/>
          <w:color w:val="FFFFFF"/>
        </w:rPr>
        <w:t>Appendix A</w:t>
      </w:r>
    </w:p>
    <w:p>
      <w:pPr>
        <w:spacing w:after="0" w:line="156" w:lineRule="exact"/>
        <w:rPr>
          <w:sz w:val="20"/>
          <w:szCs w:val="20"/>
          <w:color w:val="auto"/>
        </w:rPr>
      </w:pPr>
    </w:p>
    <w:p>
      <w:pPr>
        <w:jc w:val="center"/>
        <w:ind w:left="660"/>
        <w:spacing w:after="0"/>
        <w:rPr>
          <w:sz w:val="20"/>
          <w:szCs w:val="20"/>
          <w:color w:val="auto"/>
        </w:rPr>
      </w:pPr>
      <w:r>
        <w:rPr>
          <w:rFonts w:ascii="Arial" w:cs="Arial" w:eastAsia="Arial" w:hAnsi="Arial"/>
          <w:sz w:val="12"/>
          <w:szCs w:val="12"/>
          <w:color w:val="FFFFFF"/>
        </w:rPr>
        <w:t>Appendix 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right="920"/>
        <w:spacing w:after="0" w:line="273" w:lineRule="auto"/>
        <w:rPr>
          <w:sz w:val="20"/>
          <w:szCs w:val="20"/>
          <w:color w:val="auto"/>
        </w:rPr>
      </w:pPr>
      <w:r>
        <w:rPr>
          <w:rFonts w:ascii="Times New Roman" w:cs="Times New Roman" w:eastAsia="Times New Roman" w:hAnsi="Times New Roman"/>
          <w:sz w:val="48"/>
          <w:szCs w:val="48"/>
          <w:b w:val="1"/>
          <w:bCs w:val="1"/>
          <w:color w:val="002B5F"/>
        </w:rPr>
        <w:t>Information Regarding Board and Committee 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-1737995</wp:posOffset>
            </wp:positionH>
            <wp:positionV relativeFrom="paragraph">
              <wp:posOffset>-1402080</wp:posOffset>
            </wp:positionV>
            <wp:extent cx="7181215" cy="5334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81215" cy="5334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39370</wp:posOffset>
            </wp:positionV>
            <wp:extent cx="506539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065395" cy="8255"/>
                    </a:xfrm>
                    <a:prstGeom prst="rect">
                      <a:avLst/>
                    </a:prstGeom>
                    <a:noFill/>
                  </pic:spPr>
                </pic:pic>
              </a:graphicData>
            </a:graphic>
          </wp:anchor>
        </w:drawing>
      </w:r>
    </w:p>
    <w:p>
      <w:pPr>
        <w:spacing w:after="0" w:line="145" w:lineRule="exact"/>
        <w:rPr>
          <w:sz w:val="20"/>
          <w:szCs w:val="20"/>
          <w:color w:val="auto"/>
        </w:rPr>
      </w:pPr>
    </w:p>
    <w:p>
      <w:pPr>
        <w:jc w:val="both"/>
        <w:ind w:right="300"/>
        <w:spacing w:after="0" w:line="268" w:lineRule="auto"/>
        <w:rPr>
          <w:sz w:val="20"/>
          <w:szCs w:val="20"/>
          <w:color w:val="auto"/>
        </w:rPr>
      </w:pPr>
      <w:r>
        <w:rPr>
          <w:rFonts w:ascii="Arial" w:cs="Arial" w:eastAsia="Arial" w:hAnsi="Arial"/>
          <w:sz w:val="15"/>
          <w:szCs w:val="15"/>
          <w:color w:val="auto"/>
        </w:rPr>
        <w:t>During 2025, the Board of Directors consisted of ten directors. In January 2026, Mr. Khanna was appointed to the Board of Directors. In 2025, the Board held seven meetings. Each of our directors attended, during the period for which they served as director, at least 75% of the aggregate of:</w:t>
      </w:r>
    </w:p>
    <w:p>
      <w:pPr>
        <w:spacing w:after="0" w:line="73" w:lineRule="exact"/>
        <w:rPr>
          <w:sz w:val="20"/>
          <w:szCs w:val="20"/>
          <w:color w:val="auto"/>
        </w:rPr>
      </w:pPr>
    </w:p>
    <w:p>
      <w:pPr>
        <w:ind w:left="280" w:hanging="273"/>
        <w:spacing w:after="0"/>
        <w:tabs>
          <w:tab w:leader="none" w:pos="280" w:val="left"/>
        </w:tabs>
        <w:numPr>
          <w:ilvl w:val="0"/>
          <w:numId w:val="39"/>
        </w:numPr>
        <w:rPr>
          <w:rFonts w:ascii="Arial" w:cs="Arial" w:eastAsia="Arial" w:hAnsi="Arial"/>
          <w:sz w:val="15"/>
          <w:szCs w:val="15"/>
          <w:color w:val="auto"/>
        </w:rPr>
      </w:pPr>
      <w:r>
        <w:rPr>
          <w:rFonts w:ascii="Arial" w:cs="Arial" w:eastAsia="Arial" w:hAnsi="Arial"/>
          <w:sz w:val="15"/>
          <w:szCs w:val="15"/>
          <w:color w:val="auto"/>
        </w:rPr>
        <w:t>the total number of meetings of the Board of Directors during 2025; and</w:t>
      </w:r>
    </w:p>
    <w:p>
      <w:pPr>
        <w:spacing w:after="0" w:line="121" w:lineRule="exact"/>
        <w:rPr>
          <w:rFonts w:ascii="Arial" w:cs="Arial" w:eastAsia="Arial" w:hAnsi="Arial"/>
          <w:sz w:val="15"/>
          <w:szCs w:val="15"/>
          <w:color w:val="auto"/>
        </w:rPr>
      </w:pPr>
    </w:p>
    <w:p>
      <w:pPr>
        <w:ind w:left="280" w:hanging="273"/>
        <w:spacing w:after="0"/>
        <w:tabs>
          <w:tab w:leader="none" w:pos="280" w:val="left"/>
        </w:tabs>
        <w:numPr>
          <w:ilvl w:val="0"/>
          <w:numId w:val="39"/>
        </w:numPr>
        <w:rPr>
          <w:rFonts w:ascii="Arial" w:cs="Arial" w:eastAsia="Arial" w:hAnsi="Arial"/>
          <w:sz w:val="15"/>
          <w:szCs w:val="15"/>
          <w:color w:val="auto"/>
        </w:rPr>
      </w:pPr>
      <w:r>
        <w:rPr>
          <w:rFonts w:ascii="Arial" w:cs="Arial" w:eastAsia="Arial" w:hAnsi="Arial"/>
          <w:sz w:val="15"/>
          <w:szCs w:val="15"/>
          <w:color w:val="auto"/>
        </w:rPr>
        <w:t>the total number of meetings held by all committees of the Board on which the director served during 2025.</w:t>
      </w:r>
    </w:p>
    <w:p>
      <w:pPr>
        <w:spacing w:after="0" w:line="108" w:lineRule="exact"/>
        <w:rPr>
          <w:sz w:val="20"/>
          <w:szCs w:val="20"/>
          <w:color w:val="auto"/>
        </w:rPr>
      </w:pPr>
    </w:p>
    <w:p>
      <w:pPr>
        <w:jc w:val="both"/>
        <w:ind w:right="40"/>
        <w:spacing w:after="0" w:line="268" w:lineRule="auto"/>
        <w:rPr>
          <w:sz w:val="20"/>
          <w:szCs w:val="20"/>
          <w:color w:val="auto"/>
        </w:rPr>
      </w:pPr>
      <w:r>
        <w:rPr>
          <w:rFonts w:ascii="Arial" w:cs="Arial" w:eastAsia="Arial" w:hAnsi="Arial"/>
          <w:sz w:val="15"/>
          <w:szCs w:val="15"/>
          <w:color w:val="auto"/>
        </w:rPr>
        <w:t>Our Corporate Governance Guidelines provide that each director who is nominated for election is expected to attend the Annual Meeting. Eight of the ten nominees for election at the 2025 annual meeting of stockholders attended such meeting.</w:t>
      </w:r>
    </w:p>
    <w:p>
      <w:pPr>
        <w:spacing w:after="0" w:line="152" w:lineRule="exact"/>
        <w:rPr>
          <w:sz w:val="20"/>
          <w:szCs w:val="20"/>
          <w:color w:val="auto"/>
        </w:rPr>
      </w:pPr>
    </w:p>
    <w:p>
      <w:pPr>
        <w:ind w:right="720"/>
        <w:spacing w:after="0" w:line="278" w:lineRule="auto"/>
        <w:rPr>
          <w:sz w:val="20"/>
          <w:szCs w:val="20"/>
          <w:color w:val="auto"/>
        </w:rPr>
      </w:pPr>
      <w:r>
        <w:rPr>
          <w:rFonts w:ascii="Arial" w:cs="Arial" w:eastAsia="Arial" w:hAnsi="Arial"/>
          <w:sz w:val="24"/>
          <w:szCs w:val="24"/>
          <w:color w:val="B95827"/>
        </w:rPr>
        <w:t>Corporate Governance Guidelines, Committee Charters and Code of Conduct</w:t>
      </w:r>
    </w:p>
    <w:p>
      <w:pPr>
        <w:spacing w:after="0" w:line="35" w:lineRule="exact"/>
        <w:rPr>
          <w:sz w:val="20"/>
          <w:szCs w:val="20"/>
          <w:color w:val="auto"/>
        </w:rPr>
      </w:pPr>
    </w:p>
    <w:p>
      <w:pPr>
        <w:ind w:right="140"/>
        <w:spacing w:after="0" w:line="287" w:lineRule="auto"/>
        <w:rPr>
          <w:sz w:val="20"/>
          <w:szCs w:val="20"/>
          <w:color w:val="auto"/>
        </w:rPr>
      </w:pPr>
      <w:r>
        <w:rPr>
          <w:rFonts w:ascii="Arial" w:cs="Arial" w:eastAsia="Arial" w:hAnsi="Arial"/>
          <w:sz w:val="15"/>
          <w:szCs w:val="15"/>
          <w:color w:val="auto"/>
        </w:rPr>
        <w:t>We believe that good corporate governance is important to ensure that we are managed for the long-term benefit of our stakeholders.</w:t>
      </w:r>
    </w:p>
    <w:p>
      <w:pPr>
        <w:spacing w:after="0" w:line="47" w:lineRule="exact"/>
        <w:rPr>
          <w:sz w:val="20"/>
          <w:szCs w:val="20"/>
          <w:color w:val="auto"/>
        </w:rPr>
      </w:pPr>
    </w:p>
    <w:p>
      <w:pPr>
        <w:spacing w:after="0" w:line="258" w:lineRule="auto"/>
        <w:rPr>
          <w:sz w:val="20"/>
          <w:szCs w:val="20"/>
          <w:color w:val="auto"/>
        </w:rPr>
      </w:pPr>
      <w:r>
        <w:rPr>
          <w:rFonts w:ascii="Arial" w:cs="Arial" w:eastAsia="Arial" w:hAnsi="Arial"/>
          <w:sz w:val="15"/>
          <w:szCs w:val="15"/>
          <w:color w:val="auto"/>
        </w:rPr>
        <w:t>Our Board of Directors has adopted our Corporate Governance Guidelines to set clear parameters for the operation of our Board. Our Board of Directors has also adopted charters for the Audit and Risk Committee, Nominating and Governance Committee, and Compensation Committee, as well as a code of conduct for our non-employee directors. We have also adopted a code of conduct that applies to, among others, our principal executive officer, principal financial officer and principal accounting officer or controller, or persons performing similar functions.</w:t>
      </w:r>
    </w:p>
    <w:p>
      <w:pPr>
        <w:spacing w:after="0" w:line="68" w:lineRule="exact"/>
        <w:rPr>
          <w:sz w:val="20"/>
          <w:szCs w:val="20"/>
          <w:color w:val="auto"/>
        </w:rPr>
      </w:pPr>
    </w:p>
    <w:p>
      <w:pPr>
        <w:ind w:right="460"/>
        <w:spacing w:after="0" w:line="287" w:lineRule="auto"/>
        <w:rPr>
          <w:sz w:val="20"/>
          <w:szCs w:val="20"/>
          <w:color w:val="auto"/>
        </w:rPr>
      </w:pPr>
      <w:r>
        <w:rPr>
          <w:rFonts w:ascii="Arial" w:cs="Arial" w:eastAsia="Arial" w:hAnsi="Arial"/>
          <w:sz w:val="15"/>
          <w:szCs w:val="15"/>
          <w:color w:val="auto"/>
        </w:rPr>
        <w:t>Copies of our Annual Report, committee charters, Corporate Governance Guidelines and codes of conduct are available, free of charge, by writing to us at the following address:</w:t>
      </w:r>
    </w:p>
    <w:p>
      <w:pPr>
        <w:spacing w:after="0" w:line="47" w:lineRule="exact"/>
        <w:rPr>
          <w:sz w:val="20"/>
          <w:szCs w:val="20"/>
          <w:color w:val="auto"/>
        </w:rPr>
      </w:pPr>
    </w:p>
    <w:p>
      <w:pPr>
        <w:spacing w:after="0"/>
        <w:rPr>
          <w:sz w:val="20"/>
          <w:szCs w:val="20"/>
          <w:color w:val="auto"/>
        </w:rPr>
      </w:pPr>
      <w:r>
        <w:rPr>
          <w:rFonts w:ascii="Arial" w:cs="Arial" w:eastAsia="Arial" w:hAnsi="Arial"/>
          <w:sz w:val="15"/>
          <w:szCs w:val="15"/>
          <w:color w:val="auto"/>
        </w:rPr>
        <w:t>LPL Financial Holdings Inc.</w:t>
      </w:r>
    </w:p>
    <w:p>
      <w:pPr>
        <w:spacing w:after="0" w:line="20" w:lineRule="exact"/>
        <w:rPr>
          <w:sz w:val="20"/>
          <w:szCs w:val="20"/>
          <w:color w:val="auto"/>
        </w:rPr>
      </w:pPr>
    </w:p>
    <w:p>
      <w:pPr>
        <w:spacing w:after="0"/>
        <w:rPr>
          <w:sz w:val="20"/>
          <w:szCs w:val="20"/>
          <w:color w:val="auto"/>
        </w:rPr>
      </w:pPr>
      <w:r>
        <w:rPr>
          <w:rFonts w:ascii="Arial" w:cs="Arial" w:eastAsia="Arial" w:hAnsi="Arial"/>
          <w:sz w:val="15"/>
          <w:szCs w:val="15"/>
          <w:color w:val="auto"/>
        </w:rPr>
        <w:t>1055 LPL Way</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Fort Mill, SC 29715</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Attn: Investor Relations</w:t>
      </w:r>
    </w:p>
    <w:p>
      <w:pPr>
        <w:spacing w:after="0" w:line="94" w:lineRule="exact"/>
        <w:rPr>
          <w:sz w:val="20"/>
          <w:szCs w:val="20"/>
          <w:color w:val="auto"/>
        </w:rPr>
      </w:pPr>
    </w:p>
    <w:p>
      <w:pPr>
        <w:ind w:right="140"/>
        <w:spacing w:after="0" w:line="261" w:lineRule="auto"/>
        <w:rPr>
          <w:sz w:val="20"/>
          <w:szCs w:val="20"/>
          <w:color w:val="auto"/>
        </w:rPr>
      </w:pPr>
      <w:r>
        <w:rPr>
          <w:rFonts w:ascii="Arial" w:cs="Arial" w:eastAsia="Arial" w:hAnsi="Arial"/>
          <w:sz w:val="15"/>
          <w:szCs w:val="15"/>
          <w:color w:val="auto"/>
        </w:rPr>
        <w:t>Our Annual Report, committee charters, Corporate Governance Guidelines and codes of conduct are also available on our website at www.lpl.com under the “Investor Relations” section. If we make substantive amendments to, or grant waivers from, the code of conduct for certain of our executive officers, we will disclose the nature of such amendment or waiver on our website or in a current report on Form 8-K.</w:t>
      </w:r>
    </w:p>
    <w:p>
      <w:pPr>
        <w:spacing w:after="0" w:line="3730" w:lineRule="exact"/>
        <w:rPr>
          <w:sz w:val="20"/>
          <w:szCs w:val="20"/>
          <w:color w:val="auto"/>
        </w:rPr>
      </w:pPr>
    </w:p>
    <w:p>
      <w:pPr>
        <w:sectPr>
          <w:pgSz w:w="11900" w:h="16838" w:orient="portrait"/>
          <w:cols w:equalWidth="0" w:num="2">
            <w:col w:w="2160" w:space="560"/>
            <w:col w:w="7960"/>
          </w:cols>
          <w:pgMar w:left="320" w:top="464" w:right="899" w:bottom="1440" w:gutter="0" w:footer="0" w:header="0"/>
        </w:sectPr>
      </w:pPr>
    </w:p>
    <w:p>
      <w:pPr>
        <w:spacing w:after="0" w:line="200" w:lineRule="exact"/>
        <w:rPr>
          <w:sz w:val="20"/>
          <w:szCs w:val="20"/>
          <w:color w:val="auto"/>
        </w:rPr>
      </w:pPr>
    </w:p>
    <w:p>
      <w:pPr>
        <w:spacing w:after="0" w:line="385" w:lineRule="exact"/>
        <w:rPr>
          <w:sz w:val="20"/>
          <w:szCs w:val="20"/>
          <w:color w:val="auto"/>
        </w:rPr>
      </w:pPr>
    </w:p>
    <w:p>
      <w:pPr>
        <w:ind w:left="420"/>
        <w:spacing w:after="0"/>
        <w:tabs>
          <w:tab w:leader="none" w:pos="2380" w:val="left"/>
          <w:tab w:leader="none" w:pos="2800" w:val="left"/>
        </w:tabs>
        <w:rPr>
          <w:sz w:val="20"/>
          <w:szCs w:val="20"/>
          <w:color w:val="auto"/>
        </w:rPr>
      </w:pPr>
      <w:r>
        <w:rPr>
          <w:rFonts w:ascii="Arial" w:cs="Arial" w:eastAsia="Arial" w:hAnsi="Arial"/>
          <w:sz w:val="30"/>
          <w:szCs w:val="30"/>
          <w:color w:val="000000"/>
          <w:vertAlign w:val="superscript"/>
        </w:rPr>
        <w:t xml:space="preserve">             </w:t>
      </w:r>
      <w:r>
        <w:rPr>
          <w:sz w:val="20"/>
          <w:szCs w:val="20"/>
          <w:color w:val="auto"/>
        </w:rPr>
        <w:tab/>
      </w:r>
      <w:r>
        <w:rPr>
          <w:rFonts w:ascii="Arial" w:cs="Arial" w:eastAsia="Arial" w:hAnsi="Arial"/>
          <w:sz w:val="31"/>
          <w:szCs w:val="31"/>
          <w:color w:val="auto"/>
          <w:vertAlign w:val="superscript"/>
        </w:rPr>
        <w:t xml:space="preserve">    </w:t>
      </w:r>
      <w:r>
        <w:rPr>
          <w:sz w:val="20"/>
          <w:szCs w:val="20"/>
          <w:color w:val="auto"/>
        </w:rPr>
        <w:tab/>
      </w:r>
      <w:r>
        <w:rPr>
          <w:rFonts w:ascii="Arial" w:cs="Arial" w:eastAsia="Arial" w:hAnsi="Arial"/>
          <w:sz w:val="15"/>
          <w:szCs w:val="15"/>
          <w:b w:val="1"/>
          <w:bCs w:val="1"/>
          <w:color w:val="002B5F"/>
        </w:rPr>
        <w:t xml:space="preserve">22  </w:t>
      </w:r>
      <w:r>
        <w:rPr>
          <w:rFonts w:ascii="Arial" w:cs="Arial" w:eastAsia="Arial" w:hAnsi="Arial"/>
          <w:sz w:val="20"/>
          <w:szCs w:val="20"/>
          <w:color w:val="002B5F"/>
        </w:rPr>
        <w:t>|</w:t>
      </w:r>
      <w:r>
        <w:rPr>
          <w:rFonts w:ascii="Arial" w:cs="Arial" w:eastAsia="Arial" w:hAnsi="Arial"/>
          <w:sz w:val="15"/>
          <w:szCs w:val="15"/>
          <w:b w:val="1"/>
          <w:bCs w:val="1"/>
          <w:color w:val="002B5F"/>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6111875</wp:posOffset>
            </wp:positionH>
            <wp:positionV relativeFrom="paragraph">
              <wp:posOffset>-208915</wp:posOffset>
            </wp:positionV>
            <wp:extent cx="769620" cy="971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69620" cy="97155"/>
                    </a:xfrm>
                    <a:prstGeom prst="rect">
                      <a:avLst/>
                    </a:prstGeom>
                    <a:noFill/>
                  </pic:spPr>
                </pic:pic>
              </a:graphicData>
            </a:graphic>
          </wp:anchor>
        </w:drawing>
      </w:r>
    </w:p>
    <w:p>
      <w:pPr>
        <w:sectPr>
          <w:pgSz w:w="11900" w:h="16838" w:orient="portrait"/>
          <w:cols w:equalWidth="0" w:num="1">
            <w:col w:w="10680"/>
          </w:cols>
          <w:pgMar w:left="320" w:top="464" w:right="899" w:bottom="1440"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5334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81215" cy="5334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341630</wp:posOffset>
            </wp:positionH>
            <wp:positionV relativeFrom="paragraph">
              <wp:posOffset>253365</wp:posOffset>
            </wp:positionV>
            <wp:extent cx="6532245" cy="74720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532245" cy="7472045"/>
                    </a:xfrm>
                    <a:prstGeom prst="rect">
                      <a:avLst/>
                    </a:prstGeom>
                    <a:noFill/>
                  </pic:spPr>
                </pic:pic>
              </a:graphicData>
            </a:graphic>
          </wp:anchor>
        </w:drawing>
      </w:r>
    </w:p>
    <w:p>
      <w:pPr>
        <w:spacing w:after="0" w:line="200" w:lineRule="exact"/>
        <w:rPr>
          <w:sz w:val="20"/>
          <w:szCs w:val="20"/>
          <w:color w:val="auto"/>
        </w:rPr>
      </w:pPr>
    </w:p>
    <w:p>
      <w:pPr>
        <w:spacing w:after="0" w:line="310" w:lineRule="exact"/>
        <w:rPr>
          <w:sz w:val="20"/>
          <w:szCs w:val="20"/>
          <w:color w:val="auto"/>
        </w:rPr>
      </w:pPr>
    </w:p>
    <w:tbl>
      <w:tblPr>
        <w:tblLayout w:type="fixed"/>
        <w:tblInd w:w="540" w:type="dxa"/>
        <w:tblCellMar>
          <w:top w:w="0" w:type="dxa"/>
          <w:left w:w="0" w:type="dxa"/>
          <w:bottom w:w="0" w:type="dxa"/>
          <w:right w:w="0" w:type="dxa"/>
        </w:tblCellMar>
      </w:tblPr>
      <w:tr>
        <w:trPr>
          <w:trHeight w:val="316"/>
        </w:trPr>
        <w:tc>
          <w:tcPr>
            <w:tcW w:w="7680" w:type="dxa"/>
            <w:vAlign w:val="bottom"/>
          </w:tcPr>
          <w:p>
            <w:pPr>
              <w:spacing w:after="0"/>
              <w:rPr>
                <w:sz w:val="20"/>
                <w:szCs w:val="20"/>
                <w:color w:val="auto"/>
              </w:rPr>
            </w:pPr>
            <w:r>
              <w:rPr>
                <w:rFonts w:ascii="Arial" w:cs="Arial" w:eastAsia="Arial" w:hAnsi="Arial"/>
                <w:sz w:val="24"/>
                <w:szCs w:val="24"/>
                <w:color w:val="B95827"/>
              </w:rPr>
              <w:t>  Corporate Governance Highlights</w:t>
            </w:r>
          </w:p>
        </w:tc>
        <w:tc>
          <w:tcPr>
            <w:tcW w:w="420" w:type="dxa"/>
            <w:vAlign w:val="bottom"/>
          </w:tcPr>
          <w:p>
            <w:pPr>
              <w:ind w:left="100"/>
              <w:spacing w:after="0"/>
              <w:rPr>
                <w:sz w:val="20"/>
                <w:szCs w:val="20"/>
                <w:color w:val="auto"/>
              </w:rPr>
            </w:pPr>
            <w:r>
              <w:rPr>
                <w:rFonts w:ascii="Arial" w:cs="Arial" w:eastAsia="Arial" w:hAnsi="Arial"/>
                <w:sz w:val="24"/>
                <w:szCs w:val="24"/>
                <w:color w:val="B95827"/>
              </w:rPr>
              <w:t> </w:t>
            </w:r>
          </w:p>
        </w:tc>
        <w:tc>
          <w:tcPr>
            <w:tcW w:w="440" w:type="dxa"/>
            <w:vAlign w:val="bottom"/>
            <w:vMerge w:val="restart"/>
          </w:tcPr>
          <w:p>
            <w:pPr>
              <w:ind w:left="240"/>
              <w:spacing w:after="0"/>
              <w:rPr>
                <w:sz w:val="20"/>
                <w:szCs w:val="20"/>
                <w:color w:val="auto"/>
              </w:rPr>
            </w:pPr>
            <w:r>
              <w:rPr>
                <w:rFonts w:ascii="Arial" w:cs="Arial" w:eastAsia="Arial" w:hAnsi="Arial"/>
                <w:sz w:val="15"/>
                <w:szCs w:val="15"/>
                <w:color w:val="auto"/>
              </w:rPr>
              <w:t> </w:t>
            </w:r>
          </w:p>
        </w:tc>
        <w:tc>
          <w:tcPr>
            <w:tcW w:w="1060" w:type="dxa"/>
            <w:vAlign w:val="bottom"/>
            <w:vMerge w:val="restart"/>
          </w:tcPr>
          <w:p>
            <w:pPr>
              <w:ind w:left="140"/>
              <w:spacing w:after="0"/>
              <w:rPr>
                <w:sz w:val="20"/>
                <w:szCs w:val="20"/>
                <w:color w:val="auto"/>
              </w:rPr>
            </w:pPr>
            <w:r>
              <w:rPr>
                <w:rFonts w:ascii="Arial" w:cs="Arial" w:eastAsia="Arial" w:hAnsi="Arial"/>
                <w:sz w:val="12"/>
                <w:szCs w:val="12"/>
                <w:color w:val="FFFFFF"/>
              </w:rPr>
              <w:t>General</w:t>
            </w:r>
          </w:p>
        </w:tc>
        <w:tc>
          <w:tcPr>
            <w:tcW w:w="660" w:type="dxa"/>
            <w:vAlign w:val="bottom"/>
            <w:vMerge w:val="restart"/>
          </w:tcPr>
          <w:p>
            <w:pPr>
              <w:ind w:left="300"/>
              <w:spacing w:after="0"/>
              <w:rPr>
                <w:sz w:val="20"/>
                <w:szCs w:val="20"/>
                <w:color w:val="auto"/>
              </w:rPr>
            </w:pPr>
            <w:r>
              <w:rPr>
                <w:rFonts w:ascii="Arial" w:cs="Arial" w:eastAsia="Arial" w:hAnsi="Arial"/>
                <w:sz w:val="15"/>
                <w:szCs w:val="15"/>
                <w:color w:val="auto"/>
              </w:rPr>
              <w:t xml:space="preserve">       </w:t>
            </w:r>
          </w:p>
        </w:tc>
        <w:tc>
          <w:tcPr>
            <w:tcW w:w="0" w:type="dxa"/>
            <w:vAlign w:val="bottom"/>
          </w:tcPr>
          <w:p>
            <w:pPr>
              <w:spacing w:after="0"/>
              <w:rPr>
                <w:sz w:val="1"/>
                <w:szCs w:val="1"/>
                <w:color w:val="auto"/>
              </w:rPr>
            </w:pPr>
          </w:p>
        </w:tc>
      </w:tr>
      <w:tr>
        <w:trPr>
          <w:trHeight w:val="39"/>
        </w:trPr>
        <w:tc>
          <w:tcPr>
            <w:tcW w:w="7680" w:type="dxa"/>
            <w:vAlign w:val="bottom"/>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vMerge w:val="continue"/>
          </w:tcPr>
          <w:p>
            <w:pPr>
              <w:spacing w:after="0"/>
              <w:rPr>
                <w:sz w:val="3"/>
                <w:szCs w:val="3"/>
                <w:color w:val="auto"/>
              </w:rPr>
            </w:pPr>
          </w:p>
        </w:tc>
        <w:tc>
          <w:tcPr>
            <w:tcW w:w="1060" w:type="dxa"/>
            <w:vAlign w:val="bottom"/>
            <w:vMerge w:val="continue"/>
          </w:tcPr>
          <w:p>
            <w:pPr>
              <w:spacing w:after="0"/>
              <w:rPr>
                <w:sz w:val="3"/>
                <w:szCs w:val="3"/>
                <w:color w:val="auto"/>
              </w:rPr>
            </w:pPr>
          </w:p>
        </w:tc>
        <w:tc>
          <w:tcPr>
            <w:tcW w:w="66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8"/>
        </w:trPr>
        <w:tc>
          <w:tcPr>
            <w:tcW w:w="7680" w:type="dxa"/>
            <w:vAlign w:val="bottom"/>
            <w:vMerge w:val="restart"/>
          </w:tcPr>
          <w:p>
            <w:pPr>
              <w:ind w:left="160"/>
              <w:spacing w:after="0"/>
              <w:rPr>
                <w:sz w:val="20"/>
                <w:szCs w:val="20"/>
                <w:color w:val="auto"/>
              </w:rPr>
            </w:pPr>
            <w:r>
              <w:rPr>
                <w:rFonts w:ascii="Arial" w:cs="Arial" w:eastAsia="Arial" w:hAnsi="Arial"/>
                <w:sz w:val="15"/>
                <w:szCs w:val="15"/>
                <w:color w:val="auto"/>
              </w:rPr>
              <w:t>We have implemented several important measures that are designed to promote long-term stakeholder value:</w:t>
            </w:r>
          </w:p>
        </w:tc>
        <w:tc>
          <w:tcPr>
            <w:tcW w:w="4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60" w:type="dxa"/>
            <w:vAlign w:val="bottom"/>
          </w:tcPr>
          <w:p>
            <w:pPr>
              <w:ind w:left="140"/>
              <w:spacing w:after="0"/>
              <w:rPr>
                <w:sz w:val="20"/>
                <w:szCs w:val="20"/>
                <w:color w:val="auto"/>
              </w:rPr>
            </w:pPr>
            <w:r>
              <w:rPr>
                <w:rFonts w:ascii="Arial" w:cs="Arial" w:eastAsia="Arial" w:hAnsi="Arial"/>
                <w:sz w:val="12"/>
                <w:szCs w:val="12"/>
                <w:color w:val="FFFFFF"/>
              </w:rPr>
              <w:t>Information</w:t>
            </w: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7680" w:type="dxa"/>
            <w:vAlign w:val="bottom"/>
            <w:vMerge w:val="continue"/>
          </w:tcPr>
          <w:p>
            <w:pPr>
              <w:spacing w:after="0"/>
              <w:rPr>
                <w:sz w:val="9"/>
                <w:szCs w:val="9"/>
                <w:color w:val="auto"/>
              </w:rPr>
            </w:pPr>
          </w:p>
        </w:tc>
        <w:tc>
          <w:tcPr>
            <w:tcW w:w="4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0800"/>
          </w:cols>
          <w:pgMar w:left="320" w:top="464" w:right="779" w:bottom="1440" w:gutter="0" w:footer="0" w:header="0"/>
        </w:sectPr>
      </w:pPr>
    </w:p>
    <w:p>
      <w:pPr>
        <w:spacing w:after="0" w:line="79" w:lineRule="exact"/>
        <w:rPr>
          <w:sz w:val="20"/>
          <w:szCs w:val="20"/>
          <w:color w:val="auto"/>
        </w:rPr>
      </w:pPr>
    </w:p>
    <w:p>
      <w:pPr>
        <w:ind w:left="900" w:right="500" w:hanging="206"/>
        <w:spacing w:after="0" w:line="268" w:lineRule="auto"/>
        <w:tabs>
          <w:tab w:leader="none" w:pos="900" w:val="left"/>
        </w:tabs>
        <w:numPr>
          <w:ilvl w:val="0"/>
          <w:numId w:val="40"/>
        </w:numPr>
        <w:rPr>
          <w:rFonts w:ascii="Arial" w:cs="Arial" w:eastAsia="Arial" w:hAnsi="Arial"/>
          <w:sz w:val="15"/>
          <w:szCs w:val="15"/>
          <w:color w:val="auto"/>
        </w:rPr>
      </w:pPr>
      <w:r>
        <w:rPr>
          <w:rFonts w:ascii="Arial" w:cs="Arial" w:eastAsia="Arial" w:hAnsi="Arial"/>
          <w:sz w:val="15"/>
          <w:szCs w:val="15"/>
          <w:color w:val="auto"/>
        </w:rPr>
        <w:t>Our Board consists of a single class of directors elected on an annual basis who may be removed with or without cause. Accordingly, our stockholders are able to register their views on the performance of all directors on an annual basis, enhancing the accountability of our Board to our stockholders.</w:t>
      </w:r>
    </w:p>
    <w:p>
      <w:pPr>
        <w:spacing w:after="0" w:line="60" w:lineRule="exact"/>
        <w:rPr>
          <w:rFonts w:ascii="Arial" w:cs="Arial" w:eastAsia="Arial" w:hAnsi="Arial"/>
          <w:sz w:val="15"/>
          <w:szCs w:val="15"/>
          <w:color w:val="auto"/>
        </w:rPr>
      </w:pPr>
    </w:p>
    <w:p>
      <w:pPr>
        <w:ind w:left="900" w:right="280" w:hanging="206"/>
        <w:spacing w:after="0" w:line="268" w:lineRule="auto"/>
        <w:tabs>
          <w:tab w:leader="none" w:pos="900" w:val="left"/>
        </w:tabs>
        <w:numPr>
          <w:ilvl w:val="0"/>
          <w:numId w:val="40"/>
        </w:numPr>
        <w:rPr>
          <w:rFonts w:ascii="Arial" w:cs="Arial" w:eastAsia="Arial" w:hAnsi="Arial"/>
          <w:sz w:val="15"/>
          <w:szCs w:val="15"/>
          <w:color w:val="auto"/>
        </w:rPr>
      </w:pPr>
      <w:r>
        <w:rPr>
          <w:rFonts w:ascii="Arial" w:cs="Arial" w:eastAsia="Arial" w:hAnsi="Arial"/>
          <w:sz w:val="15"/>
          <w:szCs w:val="15"/>
          <w:color w:val="auto"/>
        </w:rPr>
        <w:t>We currently separate the offices of the chair of the Board and chief executive officer of the Company, although the Board maintains the flexibility to select the chair of the Board and its leadership structure based on the criteria that it deems to be in the best interests of the Company and its stakeholders.</w:t>
      </w:r>
    </w:p>
    <w:p>
      <w:pPr>
        <w:spacing w:after="0" w:line="60" w:lineRule="exact"/>
        <w:rPr>
          <w:rFonts w:ascii="Arial" w:cs="Arial" w:eastAsia="Arial" w:hAnsi="Arial"/>
          <w:sz w:val="15"/>
          <w:szCs w:val="15"/>
          <w:color w:val="auto"/>
        </w:rPr>
      </w:pPr>
    </w:p>
    <w:p>
      <w:pPr>
        <w:ind w:left="900" w:right="300" w:hanging="206"/>
        <w:spacing w:after="0" w:line="258" w:lineRule="auto"/>
        <w:tabs>
          <w:tab w:leader="none" w:pos="900" w:val="left"/>
        </w:tabs>
        <w:numPr>
          <w:ilvl w:val="0"/>
          <w:numId w:val="40"/>
        </w:numPr>
        <w:rPr>
          <w:rFonts w:ascii="Arial" w:cs="Arial" w:eastAsia="Arial" w:hAnsi="Arial"/>
          <w:sz w:val="15"/>
          <w:szCs w:val="15"/>
          <w:color w:val="auto"/>
        </w:rPr>
      </w:pPr>
      <w:r>
        <w:rPr>
          <w:rFonts w:ascii="Arial" w:cs="Arial" w:eastAsia="Arial" w:hAnsi="Arial"/>
          <w:sz w:val="15"/>
          <w:szCs w:val="15"/>
          <w:color w:val="auto"/>
        </w:rPr>
        <w:t>Our bylaws provide for a majority voting standard in uncontested director elections. We also have adopted a director resignation policy in our Corporate Governance Guidelines pursuant to which a director who does not receive support from holders of a majority of shares voted in an uncontested election must tender his or her resignation and, if our Board accepts the resignation, step down from our Board. This makes director elections more meaningful for our stockholders and promotes accountability.</w:t>
      </w:r>
    </w:p>
    <w:p>
      <w:pPr>
        <w:spacing w:after="0" w:line="68" w:lineRule="exact"/>
        <w:rPr>
          <w:rFonts w:ascii="Arial" w:cs="Arial" w:eastAsia="Arial" w:hAnsi="Arial"/>
          <w:sz w:val="15"/>
          <w:szCs w:val="15"/>
          <w:color w:val="auto"/>
        </w:rPr>
      </w:pPr>
    </w:p>
    <w:p>
      <w:pPr>
        <w:ind w:left="900" w:right="260" w:hanging="206"/>
        <w:spacing w:after="0" w:line="261" w:lineRule="auto"/>
        <w:tabs>
          <w:tab w:leader="none" w:pos="900" w:val="left"/>
        </w:tabs>
        <w:numPr>
          <w:ilvl w:val="0"/>
          <w:numId w:val="40"/>
        </w:numPr>
        <w:rPr>
          <w:rFonts w:ascii="Arial" w:cs="Arial" w:eastAsia="Arial" w:hAnsi="Arial"/>
          <w:sz w:val="15"/>
          <w:szCs w:val="15"/>
          <w:color w:val="auto"/>
        </w:rPr>
      </w:pPr>
      <w:r>
        <w:rPr>
          <w:rFonts w:ascii="Arial" w:cs="Arial" w:eastAsia="Arial" w:hAnsi="Arial"/>
          <w:sz w:val="15"/>
          <w:szCs w:val="15"/>
          <w:color w:val="auto"/>
        </w:rPr>
        <w:t>Our bylaws provide for proxy access by permitting a stockholder, or a group of up to 20 stockholders, that has owned at least three percent of our Common Stock continuously for three years to nominate and include in the Company’s annual meeting proxy materials the greater of two directors or 20 percent of the Board, provided that the stockholders and nominees satisfy the requirements specified in the bylaws.</w:t>
      </w:r>
    </w:p>
    <w:p>
      <w:pPr>
        <w:spacing w:after="0" w:line="66" w:lineRule="exact"/>
        <w:rPr>
          <w:rFonts w:ascii="Arial" w:cs="Arial" w:eastAsia="Arial" w:hAnsi="Arial"/>
          <w:sz w:val="15"/>
          <w:szCs w:val="15"/>
          <w:color w:val="auto"/>
        </w:rPr>
      </w:pPr>
    </w:p>
    <w:p>
      <w:pPr>
        <w:ind w:left="900" w:right="400" w:hanging="206"/>
        <w:spacing w:after="0" w:line="268" w:lineRule="auto"/>
        <w:tabs>
          <w:tab w:leader="none" w:pos="900" w:val="left"/>
        </w:tabs>
        <w:numPr>
          <w:ilvl w:val="0"/>
          <w:numId w:val="40"/>
        </w:numPr>
        <w:rPr>
          <w:rFonts w:ascii="Arial" w:cs="Arial" w:eastAsia="Arial" w:hAnsi="Arial"/>
          <w:sz w:val="15"/>
          <w:szCs w:val="15"/>
          <w:color w:val="auto"/>
        </w:rPr>
      </w:pPr>
      <w:r>
        <w:rPr>
          <w:rFonts w:ascii="Arial" w:cs="Arial" w:eastAsia="Arial" w:hAnsi="Arial"/>
          <w:sz w:val="15"/>
          <w:szCs w:val="15"/>
          <w:color w:val="auto"/>
        </w:rPr>
        <w:t>To facilitate Board refreshment, we have adopted a director retirement policy in our Corporate Governance Guidelines pursuant to which any director who reaches the age of 75 while serving as a director will retire from the Board effective as of the end of his or her then-current term.</w:t>
      </w:r>
    </w:p>
    <w:p>
      <w:pPr>
        <w:spacing w:after="0" w:line="60" w:lineRule="exact"/>
        <w:rPr>
          <w:rFonts w:ascii="Arial" w:cs="Arial" w:eastAsia="Arial" w:hAnsi="Arial"/>
          <w:sz w:val="15"/>
          <w:szCs w:val="15"/>
          <w:color w:val="auto"/>
        </w:rPr>
      </w:pPr>
    </w:p>
    <w:p>
      <w:pPr>
        <w:ind w:left="900" w:right="260" w:hanging="206"/>
        <w:spacing w:after="0" w:line="287" w:lineRule="auto"/>
        <w:tabs>
          <w:tab w:leader="none" w:pos="900" w:val="left"/>
        </w:tabs>
        <w:numPr>
          <w:ilvl w:val="0"/>
          <w:numId w:val="40"/>
        </w:numPr>
        <w:rPr>
          <w:rFonts w:ascii="Arial" w:cs="Arial" w:eastAsia="Arial" w:hAnsi="Arial"/>
          <w:sz w:val="15"/>
          <w:szCs w:val="15"/>
          <w:color w:val="auto"/>
        </w:rPr>
      </w:pPr>
      <w:r>
        <w:rPr>
          <w:rFonts w:ascii="Arial" w:cs="Arial" w:eastAsia="Arial" w:hAnsi="Arial"/>
          <w:sz w:val="15"/>
          <w:szCs w:val="15"/>
          <w:color w:val="auto"/>
        </w:rPr>
        <w:t>We seek an advisory vote on the compensation of our named executive officers annually, which underscores the careful consideration we give to our stockholders’ views on our compensation practices.</w:t>
      </w:r>
    </w:p>
    <w:p>
      <w:pPr>
        <w:spacing w:after="0" w:line="46" w:lineRule="exact"/>
        <w:rPr>
          <w:rFonts w:ascii="Arial" w:cs="Arial" w:eastAsia="Arial" w:hAnsi="Arial"/>
          <w:sz w:val="15"/>
          <w:szCs w:val="15"/>
          <w:color w:val="auto"/>
        </w:rPr>
      </w:pPr>
    </w:p>
    <w:p>
      <w:pPr>
        <w:ind w:left="900" w:right="380" w:hanging="206"/>
        <w:spacing w:after="0" w:line="258" w:lineRule="auto"/>
        <w:tabs>
          <w:tab w:leader="none" w:pos="900" w:val="left"/>
        </w:tabs>
        <w:numPr>
          <w:ilvl w:val="0"/>
          <w:numId w:val="40"/>
        </w:numPr>
        <w:rPr>
          <w:rFonts w:ascii="Arial" w:cs="Arial" w:eastAsia="Arial" w:hAnsi="Arial"/>
          <w:sz w:val="15"/>
          <w:szCs w:val="15"/>
          <w:color w:val="auto"/>
        </w:rPr>
      </w:pPr>
      <w:r>
        <w:rPr>
          <w:rFonts w:ascii="Arial" w:cs="Arial" w:eastAsia="Arial" w:hAnsi="Arial"/>
          <w:sz w:val="15"/>
          <w:szCs w:val="15"/>
          <w:color w:val="auto"/>
        </w:rPr>
        <w:t>We have established a compensation clawback policy that, subject to limited exceptions, requires the Company to recoup cash and equity incentive-based compensation from executive officers in the event of certain financial restatements. In addition, we have adopted a supplemental compensation clawback policy that allows the Company to recoup cash and both time- and incentive-based equity compensation from executive officers in broader circumstances, including willful misconduct.</w:t>
      </w:r>
    </w:p>
    <w:p>
      <w:pPr>
        <w:spacing w:after="0" w:line="68" w:lineRule="exact"/>
        <w:rPr>
          <w:rFonts w:ascii="Arial" w:cs="Arial" w:eastAsia="Arial" w:hAnsi="Arial"/>
          <w:sz w:val="15"/>
          <w:szCs w:val="15"/>
          <w:color w:val="auto"/>
        </w:rPr>
      </w:pPr>
    </w:p>
    <w:p>
      <w:pPr>
        <w:ind w:left="900" w:right="360" w:hanging="206"/>
        <w:spacing w:after="0" w:line="268" w:lineRule="auto"/>
        <w:tabs>
          <w:tab w:leader="none" w:pos="900" w:val="left"/>
        </w:tabs>
        <w:numPr>
          <w:ilvl w:val="0"/>
          <w:numId w:val="40"/>
        </w:numPr>
        <w:rPr>
          <w:rFonts w:ascii="Arial" w:cs="Arial" w:eastAsia="Arial" w:hAnsi="Arial"/>
          <w:sz w:val="15"/>
          <w:szCs w:val="15"/>
          <w:color w:val="auto"/>
        </w:rPr>
      </w:pPr>
      <w:r>
        <w:rPr>
          <w:rFonts w:ascii="Arial" w:cs="Arial" w:eastAsia="Arial" w:hAnsi="Arial"/>
          <w:sz w:val="15"/>
          <w:szCs w:val="15"/>
          <w:color w:val="auto"/>
        </w:rPr>
        <w:t>Our executive officers are subject to equity ownership guidelines that set minimum ownership requirements based on a multiple of annual base salary, which aligns the interests of senior management with the interests of our stockholders.</w:t>
      </w:r>
    </w:p>
    <w:p>
      <w:pPr>
        <w:spacing w:after="0" w:line="60" w:lineRule="exact"/>
        <w:rPr>
          <w:rFonts w:ascii="Arial" w:cs="Arial" w:eastAsia="Arial" w:hAnsi="Arial"/>
          <w:sz w:val="15"/>
          <w:szCs w:val="15"/>
          <w:color w:val="auto"/>
        </w:rPr>
      </w:pPr>
    </w:p>
    <w:p>
      <w:pPr>
        <w:jc w:val="both"/>
        <w:ind w:left="900" w:right="1180" w:hanging="206"/>
        <w:spacing w:after="0" w:line="287" w:lineRule="auto"/>
        <w:tabs>
          <w:tab w:leader="none" w:pos="900" w:val="left"/>
        </w:tabs>
        <w:numPr>
          <w:ilvl w:val="0"/>
          <w:numId w:val="40"/>
        </w:numPr>
        <w:rPr>
          <w:rFonts w:ascii="Arial" w:cs="Arial" w:eastAsia="Arial" w:hAnsi="Arial"/>
          <w:sz w:val="15"/>
          <w:szCs w:val="15"/>
          <w:color w:val="auto"/>
        </w:rPr>
      </w:pPr>
      <w:r>
        <w:rPr>
          <w:rFonts w:ascii="Arial" w:cs="Arial" w:eastAsia="Arial" w:hAnsi="Arial"/>
          <w:sz w:val="15"/>
          <w:szCs w:val="15"/>
          <w:color w:val="auto"/>
        </w:rPr>
        <w:t>We have also adopted equity ownership guidelines for directors, which set minimum ownership requirements based on a multiple of the cash portion of the annual base retainer then in effect.</w:t>
      </w:r>
    </w:p>
    <w:p>
      <w:pPr>
        <w:spacing w:after="0" w:line="46" w:lineRule="exact"/>
        <w:rPr>
          <w:rFonts w:ascii="Arial" w:cs="Arial" w:eastAsia="Arial" w:hAnsi="Arial"/>
          <w:sz w:val="15"/>
          <w:szCs w:val="15"/>
          <w:color w:val="auto"/>
        </w:rPr>
      </w:pPr>
    </w:p>
    <w:p>
      <w:pPr>
        <w:ind w:left="900" w:right="480" w:hanging="206"/>
        <w:spacing w:after="0" w:line="268" w:lineRule="auto"/>
        <w:tabs>
          <w:tab w:leader="none" w:pos="900" w:val="left"/>
        </w:tabs>
        <w:numPr>
          <w:ilvl w:val="0"/>
          <w:numId w:val="40"/>
        </w:numPr>
        <w:rPr>
          <w:rFonts w:ascii="Arial" w:cs="Arial" w:eastAsia="Arial" w:hAnsi="Arial"/>
          <w:sz w:val="15"/>
          <w:szCs w:val="15"/>
          <w:color w:val="auto"/>
        </w:rPr>
      </w:pPr>
      <w:r>
        <w:rPr>
          <w:rFonts w:ascii="Arial" w:cs="Arial" w:eastAsia="Arial" w:hAnsi="Arial"/>
          <w:sz w:val="15"/>
          <w:szCs w:val="15"/>
          <w:color w:val="auto"/>
        </w:rPr>
        <w:t>Our Insider Trading Policy prohibits our executives and directors from pledging and hedging our Common Stock, in order to preserve the alignment with the interests of stockholders that our equity awards are designed to create.</w:t>
      </w:r>
    </w:p>
    <w:p>
      <w:pPr>
        <w:spacing w:after="0" w:line="280" w:lineRule="exact"/>
        <w:rPr>
          <w:sz w:val="20"/>
          <w:szCs w:val="20"/>
          <w:color w:val="auto"/>
        </w:rPr>
      </w:pPr>
    </w:p>
    <w:p>
      <w:pPr>
        <w:ind w:left="540"/>
        <w:spacing w:after="0"/>
        <w:rPr>
          <w:sz w:val="20"/>
          <w:szCs w:val="20"/>
          <w:color w:val="auto"/>
        </w:rPr>
      </w:pPr>
      <w:r>
        <w:rPr>
          <w:rFonts w:ascii="Arial" w:cs="Arial" w:eastAsia="Arial" w:hAnsi="Arial"/>
          <w:sz w:val="24"/>
          <w:szCs w:val="24"/>
          <w:color w:val="B95827"/>
        </w:rPr>
        <w:t>Director Independence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1"/>
          <w:szCs w:val="11"/>
          <w:color w:val="FFFFFF"/>
        </w:rPr>
        <w:t>General Information</w:t>
      </w:r>
    </w:p>
    <w:p>
      <w:pPr>
        <w:spacing w:after="0" w:line="1" w:lineRule="exact"/>
        <w:rPr>
          <w:sz w:val="20"/>
          <w:szCs w:val="20"/>
          <w:color w:val="auto"/>
        </w:rPr>
      </w:pPr>
    </w:p>
    <w:p>
      <w:pPr>
        <w:spacing w:after="0"/>
        <w:rPr>
          <w:sz w:val="20"/>
          <w:szCs w:val="20"/>
          <w:color w:val="auto"/>
        </w:rPr>
      </w:pPr>
      <w:r>
        <w:rPr>
          <w:rFonts w:ascii="Arial" w:cs="Arial" w:eastAsia="Arial" w:hAnsi="Arial"/>
          <w:sz w:val="12"/>
          <w:szCs w:val="12"/>
          <w:color w:val="FFFFFF"/>
        </w:rPr>
        <w:t>About Corporate</w:t>
      </w:r>
    </w:p>
    <w:p>
      <w:pPr>
        <w:spacing w:after="0" w:line="221" w:lineRule="auto"/>
        <w:rPr>
          <w:sz w:val="20"/>
          <w:szCs w:val="20"/>
          <w:color w:val="auto"/>
        </w:rPr>
      </w:pPr>
      <w:r>
        <w:rPr>
          <w:rFonts w:ascii="Arial" w:cs="Arial" w:eastAsia="Arial" w:hAnsi="Arial"/>
          <w:sz w:val="12"/>
          <w:szCs w:val="12"/>
          <w:color w:val="FFFFFF"/>
        </w:rPr>
        <w:t>Governance</w:t>
      </w:r>
    </w:p>
    <w:p>
      <w:pPr>
        <w:spacing w:after="0" w:line="222" w:lineRule="auto"/>
        <w:rPr>
          <w:sz w:val="20"/>
          <w:szCs w:val="20"/>
          <w:color w:val="auto"/>
        </w:rPr>
      </w:pPr>
      <w:r>
        <w:rPr>
          <w:rFonts w:ascii="Arial" w:cs="Arial" w:eastAsia="Arial" w:hAnsi="Arial"/>
          <w:sz w:val="12"/>
          <w:szCs w:val="12"/>
          <w:color w:val="FFFFFF"/>
        </w:rPr>
        <w:t>and the Board of</w:t>
      </w:r>
    </w:p>
    <w:p>
      <w:pPr>
        <w:spacing w:after="0" w:line="1" w:lineRule="exact"/>
        <w:rPr>
          <w:sz w:val="20"/>
          <w:szCs w:val="20"/>
          <w:color w:val="auto"/>
        </w:rPr>
      </w:pPr>
    </w:p>
    <w:p>
      <w:pPr>
        <w:spacing w:after="0"/>
        <w:rPr>
          <w:sz w:val="20"/>
          <w:szCs w:val="20"/>
          <w:color w:val="auto"/>
        </w:rPr>
      </w:pPr>
      <w:r>
        <w:rPr>
          <w:rFonts w:ascii="Arial" w:cs="Arial" w:eastAsia="Arial" w:hAnsi="Arial"/>
          <w:sz w:val="12"/>
          <w:szCs w:val="12"/>
          <w:color w:val="FFFFFF"/>
        </w:rPr>
        <w:t>Directors</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Proposal 1</w:t>
      </w:r>
    </w:p>
    <w:p>
      <w:pPr>
        <w:spacing w:after="0" w:line="156" w:lineRule="exact"/>
        <w:rPr>
          <w:sz w:val="20"/>
          <w:szCs w:val="20"/>
          <w:color w:val="auto"/>
        </w:rPr>
      </w:pPr>
    </w:p>
    <w:p>
      <w:pPr>
        <w:ind w:right="600"/>
        <w:spacing w:after="0" w:line="237" w:lineRule="auto"/>
        <w:rPr>
          <w:sz w:val="20"/>
          <w:szCs w:val="20"/>
          <w:color w:val="auto"/>
        </w:rPr>
      </w:pPr>
      <w:r>
        <w:rPr>
          <w:rFonts w:ascii="Arial" w:cs="Arial" w:eastAsia="Arial" w:hAnsi="Arial"/>
          <w:sz w:val="12"/>
          <w:szCs w:val="12"/>
          <w:b w:val="1"/>
          <w:bCs w:val="1"/>
          <w:color w:val="FFFFFF"/>
        </w:rPr>
        <w:t>Information Regarding Board and Committee Structure</w:t>
      </w:r>
    </w:p>
    <w:p>
      <w:pPr>
        <w:spacing w:after="0" w:line="131" w:lineRule="exact"/>
        <w:rPr>
          <w:sz w:val="20"/>
          <w:szCs w:val="20"/>
          <w:color w:val="auto"/>
        </w:rPr>
      </w:pPr>
    </w:p>
    <w:p>
      <w:pPr>
        <w:spacing w:after="0"/>
        <w:rPr>
          <w:sz w:val="20"/>
          <w:szCs w:val="20"/>
          <w:color w:val="auto"/>
        </w:rPr>
      </w:pPr>
      <w:r>
        <w:rPr>
          <w:rFonts w:ascii="Arial" w:cs="Arial" w:eastAsia="Arial" w:hAnsi="Arial"/>
          <w:sz w:val="12"/>
          <w:szCs w:val="12"/>
          <w:color w:val="FFFFFF"/>
        </w:rPr>
        <w:t>Board of Directors</w:t>
      </w:r>
    </w:p>
    <w:p>
      <w:pPr>
        <w:spacing w:after="0" w:line="2" w:lineRule="exact"/>
        <w:rPr>
          <w:sz w:val="20"/>
          <w:szCs w:val="20"/>
          <w:color w:val="auto"/>
        </w:rPr>
      </w:pPr>
    </w:p>
    <w:p>
      <w:pPr>
        <w:spacing w:after="0"/>
        <w:rPr>
          <w:sz w:val="20"/>
          <w:szCs w:val="20"/>
          <w:color w:val="auto"/>
        </w:rPr>
      </w:pPr>
      <w:r>
        <w:rPr>
          <w:rFonts w:ascii="Arial" w:cs="Arial" w:eastAsia="Arial" w:hAnsi="Arial"/>
          <w:sz w:val="12"/>
          <w:szCs w:val="12"/>
          <w:color w:val="FFFFFF"/>
        </w:rPr>
        <w:t>Compensation</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Compensation</w:t>
      </w:r>
    </w:p>
    <w:p>
      <w:pPr>
        <w:spacing w:after="0" w:line="224" w:lineRule="auto"/>
        <w:rPr>
          <w:sz w:val="20"/>
          <w:szCs w:val="20"/>
          <w:color w:val="auto"/>
        </w:rPr>
      </w:pPr>
      <w:r>
        <w:rPr>
          <w:rFonts w:ascii="Arial" w:cs="Arial" w:eastAsia="Arial" w:hAnsi="Arial"/>
          <w:sz w:val="12"/>
          <w:szCs w:val="12"/>
          <w:color w:val="FFFFFF"/>
        </w:rPr>
        <w:t>Discussion and</w:t>
      </w:r>
    </w:p>
    <w:p>
      <w:pPr>
        <w:spacing w:after="0"/>
        <w:rPr>
          <w:sz w:val="20"/>
          <w:szCs w:val="20"/>
          <w:color w:val="auto"/>
        </w:rPr>
      </w:pPr>
      <w:r>
        <w:rPr>
          <w:rFonts w:ascii="Arial" w:cs="Arial" w:eastAsia="Arial" w:hAnsi="Arial"/>
          <w:sz w:val="12"/>
          <w:szCs w:val="12"/>
          <w:color w:val="FFFFFF"/>
        </w:rPr>
        <w:t>Analysis</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Report of the</w:t>
      </w:r>
    </w:p>
    <w:p>
      <w:pPr>
        <w:spacing w:after="0" w:line="224" w:lineRule="auto"/>
        <w:rPr>
          <w:sz w:val="20"/>
          <w:szCs w:val="20"/>
          <w:color w:val="auto"/>
        </w:rPr>
      </w:pPr>
      <w:r>
        <w:rPr>
          <w:rFonts w:ascii="Arial" w:cs="Arial" w:eastAsia="Arial" w:hAnsi="Arial"/>
          <w:sz w:val="12"/>
          <w:szCs w:val="12"/>
          <w:color w:val="FFFFFF"/>
        </w:rPr>
        <w:t>Compensation</w:t>
      </w:r>
    </w:p>
    <w:p>
      <w:pPr>
        <w:spacing w:after="0" w:line="222" w:lineRule="auto"/>
        <w:rPr>
          <w:sz w:val="20"/>
          <w:szCs w:val="20"/>
          <w:color w:val="auto"/>
        </w:rPr>
      </w:pPr>
      <w:r>
        <w:rPr>
          <w:rFonts w:ascii="Arial" w:cs="Arial" w:eastAsia="Arial" w:hAnsi="Arial"/>
          <w:sz w:val="12"/>
          <w:szCs w:val="12"/>
          <w:color w:val="FFFFFF"/>
        </w:rPr>
        <w:t>and Human</w:t>
      </w:r>
    </w:p>
    <w:p>
      <w:pPr>
        <w:spacing w:after="0" w:line="222" w:lineRule="auto"/>
        <w:rPr>
          <w:sz w:val="20"/>
          <w:szCs w:val="20"/>
          <w:color w:val="auto"/>
        </w:rPr>
      </w:pPr>
      <w:r>
        <w:rPr>
          <w:rFonts w:ascii="Arial" w:cs="Arial" w:eastAsia="Arial" w:hAnsi="Arial"/>
          <w:sz w:val="12"/>
          <w:szCs w:val="12"/>
          <w:color w:val="FFFFFF"/>
        </w:rPr>
        <w:t>Resources</w:t>
      </w:r>
    </w:p>
    <w:p>
      <w:pPr>
        <w:spacing w:after="0" w:line="222" w:lineRule="auto"/>
        <w:rPr>
          <w:sz w:val="20"/>
          <w:szCs w:val="20"/>
          <w:color w:val="auto"/>
        </w:rPr>
      </w:pPr>
      <w:r>
        <w:rPr>
          <w:rFonts w:ascii="Arial" w:cs="Arial" w:eastAsia="Arial" w:hAnsi="Arial"/>
          <w:sz w:val="12"/>
          <w:szCs w:val="12"/>
          <w:color w:val="FFFFFF"/>
        </w:rPr>
        <w:t>Committee of the</w:t>
      </w:r>
    </w:p>
    <w:p>
      <w:pPr>
        <w:spacing w:after="0"/>
        <w:rPr>
          <w:sz w:val="20"/>
          <w:szCs w:val="20"/>
          <w:color w:val="auto"/>
        </w:rPr>
      </w:pPr>
      <w:r>
        <w:rPr>
          <w:rFonts w:ascii="Arial" w:cs="Arial" w:eastAsia="Arial" w:hAnsi="Arial"/>
          <w:sz w:val="12"/>
          <w:szCs w:val="12"/>
          <w:color w:val="FFFFFF"/>
        </w:rPr>
        <w:t>Board of Directors</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Compensation of</w:t>
      </w:r>
    </w:p>
    <w:p>
      <w:pPr>
        <w:spacing w:after="0" w:line="224" w:lineRule="auto"/>
        <w:rPr>
          <w:sz w:val="20"/>
          <w:szCs w:val="20"/>
          <w:color w:val="auto"/>
        </w:rPr>
      </w:pPr>
      <w:r>
        <w:rPr>
          <w:rFonts w:ascii="Arial" w:cs="Arial" w:eastAsia="Arial" w:hAnsi="Arial"/>
          <w:sz w:val="12"/>
          <w:szCs w:val="12"/>
          <w:color w:val="FFFFFF"/>
        </w:rPr>
        <w:t>Named Executive</w:t>
      </w:r>
    </w:p>
    <w:p>
      <w:pPr>
        <w:spacing w:after="0"/>
        <w:rPr>
          <w:sz w:val="20"/>
          <w:szCs w:val="20"/>
          <w:color w:val="auto"/>
        </w:rPr>
      </w:pPr>
      <w:r>
        <w:rPr>
          <w:rFonts w:ascii="Arial" w:cs="Arial" w:eastAsia="Arial" w:hAnsi="Arial"/>
          <w:sz w:val="12"/>
          <w:szCs w:val="12"/>
          <w:color w:val="FFFFFF"/>
        </w:rPr>
        <w:t>Officers</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Pay Versus</w:t>
      </w:r>
    </w:p>
    <w:p>
      <w:pPr>
        <w:spacing w:after="0" w:line="224" w:lineRule="auto"/>
        <w:rPr>
          <w:sz w:val="20"/>
          <w:szCs w:val="20"/>
          <w:color w:val="auto"/>
        </w:rPr>
      </w:pPr>
      <w:r>
        <w:rPr>
          <w:rFonts w:ascii="Arial" w:cs="Arial" w:eastAsia="Arial" w:hAnsi="Arial"/>
          <w:sz w:val="12"/>
          <w:szCs w:val="12"/>
          <w:color w:val="FFFFFF"/>
        </w:rPr>
        <w:t>Performance</w:t>
      </w:r>
    </w:p>
    <w:p>
      <w:pPr>
        <w:spacing w:after="0"/>
        <w:rPr>
          <w:sz w:val="20"/>
          <w:szCs w:val="20"/>
          <w:color w:val="auto"/>
        </w:rPr>
      </w:pPr>
      <w:r>
        <w:rPr>
          <w:rFonts w:ascii="Arial" w:cs="Arial" w:eastAsia="Arial" w:hAnsi="Arial"/>
          <w:sz w:val="12"/>
          <w:szCs w:val="12"/>
          <w:color w:val="FFFFFF"/>
        </w:rPr>
        <w:t>Disclosure</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Security</w:t>
      </w:r>
    </w:p>
    <w:p>
      <w:pPr>
        <w:spacing w:after="0" w:line="224" w:lineRule="auto"/>
        <w:rPr>
          <w:sz w:val="20"/>
          <w:szCs w:val="20"/>
          <w:color w:val="auto"/>
        </w:rPr>
      </w:pPr>
      <w:r>
        <w:rPr>
          <w:rFonts w:ascii="Arial" w:cs="Arial" w:eastAsia="Arial" w:hAnsi="Arial"/>
          <w:sz w:val="12"/>
          <w:szCs w:val="12"/>
          <w:color w:val="FFFFFF"/>
        </w:rPr>
        <w:t>Ownership of</w:t>
      </w:r>
    </w:p>
    <w:p>
      <w:pPr>
        <w:spacing w:after="0" w:line="222" w:lineRule="auto"/>
        <w:rPr>
          <w:sz w:val="20"/>
          <w:szCs w:val="20"/>
          <w:color w:val="auto"/>
        </w:rPr>
      </w:pPr>
      <w:r>
        <w:rPr>
          <w:rFonts w:ascii="Arial" w:cs="Arial" w:eastAsia="Arial" w:hAnsi="Arial"/>
          <w:sz w:val="12"/>
          <w:szCs w:val="12"/>
          <w:color w:val="FFFFFF"/>
        </w:rPr>
        <w:t>Certain Beneficial</w:t>
      </w:r>
    </w:p>
    <w:p>
      <w:pPr>
        <w:spacing w:after="0" w:line="222" w:lineRule="auto"/>
        <w:rPr>
          <w:sz w:val="20"/>
          <w:szCs w:val="20"/>
          <w:color w:val="auto"/>
        </w:rPr>
      </w:pPr>
      <w:r>
        <w:rPr>
          <w:rFonts w:ascii="Arial" w:cs="Arial" w:eastAsia="Arial" w:hAnsi="Arial"/>
          <w:sz w:val="12"/>
          <w:szCs w:val="12"/>
          <w:color w:val="FFFFFF"/>
        </w:rPr>
        <w:t>Owners and</w:t>
      </w:r>
    </w:p>
    <w:p>
      <w:pPr>
        <w:spacing w:after="0"/>
        <w:rPr>
          <w:sz w:val="20"/>
          <w:szCs w:val="20"/>
          <w:color w:val="auto"/>
        </w:rPr>
      </w:pPr>
      <w:r>
        <w:rPr>
          <w:rFonts w:ascii="Arial" w:cs="Arial" w:eastAsia="Arial" w:hAnsi="Arial"/>
          <w:sz w:val="12"/>
          <w:szCs w:val="12"/>
          <w:color w:val="FFFFFF"/>
        </w:rPr>
        <w:t>Management</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Certain</w:t>
      </w:r>
    </w:p>
    <w:p>
      <w:pPr>
        <w:spacing w:after="0" w:line="224" w:lineRule="auto"/>
        <w:rPr>
          <w:sz w:val="20"/>
          <w:szCs w:val="20"/>
          <w:color w:val="auto"/>
        </w:rPr>
      </w:pPr>
      <w:r>
        <w:rPr>
          <w:rFonts w:ascii="Arial" w:cs="Arial" w:eastAsia="Arial" w:hAnsi="Arial"/>
          <w:sz w:val="12"/>
          <w:szCs w:val="12"/>
          <w:color w:val="FFFFFF"/>
        </w:rPr>
        <w:t>Relationships and</w:t>
      </w:r>
    </w:p>
    <w:p>
      <w:pPr>
        <w:spacing w:after="0" w:line="222" w:lineRule="auto"/>
        <w:rPr>
          <w:sz w:val="20"/>
          <w:szCs w:val="20"/>
          <w:color w:val="auto"/>
        </w:rPr>
      </w:pPr>
      <w:r>
        <w:rPr>
          <w:rFonts w:ascii="Arial" w:cs="Arial" w:eastAsia="Arial" w:hAnsi="Arial"/>
          <w:sz w:val="12"/>
          <w:szCs w:val="12"/>
          <w:color w:val="FFFFFF"/>
        </w:rPr>
        <w:t>Related Party</w:t>
      </w:r>
    </w:p>
    <w:p>
      <w:pPr>
        <w:spacing w:after="0"/>
        <w:rPr>
          <w:sz w:val="20"/>
          <w:szCs w:val="20"/>
          <w:color w:val="auto"/>
        </w:rPr>
      </w:pPr>
      <w:r>
        <w:rPr>
          <w:rFonts w:ascii="Arial" w:cs="Arial" w:eastAsia="Arial" w:hAnsi="Arial"/>
          <w:sz w:val="12"/>
          <w:szCs w:val="12"/>
          <w:color w:val="FFFFFF"/>
        </w:rPr>
        <w:t>Transactions</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Proposal 2</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FFFFFF"/>
        </w:rPr>
        <w:t>Report of the</w:t>
      </w:r>
    </w:p>
    <w:p>
      <w:pPr>
        <w:spacing w:after="0" w:line="224" w:lineRule="auto"/>
        <w:rPr>
          <w:sz w:val="20"/>
          <w:szCs w:val="20"/>
          <w:color w:val="auto"/>
        </w:rPr>
      </w:pPr>
      <w:r>
        <w:rPr>
          <w:rFonts w:ascii="Arial" w:cs="Arial" w:eastAsia="Arial" w:hAnsi="Arial"/>
          <w:sz w:val="12"/>
          <w:szCs w:val="12"/>
          <w:color w:val="FFFFFF"/>
        </w:rPr>
        <w:t>Audit and Risk</w:t>
      </w:r>
    </w:p>
    <w:p>
      <w:pPr>
        <w:spacing w:after="0" w:line="222" w:lineRule="auto"/>
        <w:rPr>
          <w:sz w:val="20"/>
          <w:szCs w:val="20"/>
          <w:color w:val="auto"/>
        </w:rPr>
      </w:pPr>
      <w:r>
        <w:rPr>
          <w:rFonts w:ascii="Arial" w:cs="Arial" w:eastAsia="Arial" w:hAnsi="Arial"/>
          <w:sz w:val="12"/>
          <w:szCs w:val="12"/>
          <w:color w:val="FFFFFF"/>
        </w:rPr>
        <w:t>Committee of the</w:t>
      </w:r>
    </w:p>
    <w:p>
      <w:pPr>
        <w:spacing w:after="0"/>
        <w:rPr>
          <w:sz w:val="20"/>
          <w:szCs w:val="20"/>
          <w:color w:val="auto"/>
        </w:rPr>
      </w:pPr>
      <w:r>
        <w:rPr>
          <w:rFonts w:ascii="Arial" w:cs="Arial" w:eastAsia="Arial" w:hAnsi="Arial"/>
          <w:sz w:val="12"/>
          <w:szCs w:val="12"/>
          <w:color w:val="FFFFFF"/>
        </w:rPr>
        <w:t>Board of Directors</w:t>
      </w:r>
    </w:p>
    <w:p>
      <w:pPr>
        <w:spacing w:after="0" w:line="144" w:lineRule="exact"/>
        <w:rPr>
          <w:sz w:val="20"/>
          <w:szCs w:val="20"/>
          <w:color w:val="auto"/>
        </w:rPr>
      </w:pPr>
    </w:p>
    <w:p>
      <w:pPr>
        <w:jc w:val="center"/>
        <w:ind w:right="1000"/>
        <w:spacing w:after="0"/>
        <w:rPr>
          <w:sz w:val="20"/>
          <w:szCs w:val="20"/>
          <w:color w:val="auto"/>
        </w:rPr>
      </w:pPr>
      <w:r>
        <w:rPr>
          <w:rFonts w:ascii="Arial" w:cs="Arial" w:eastAsia="Arial" w:hAnsi="Arial"/>
          <w:sz w:val="12"/>
          <w:szCs w:val="12"/>
          <w:color w:val="FFFFFF"/>
        </w:rPr>
        <w:t>Proposal 3</w:t>
      </w:r>
    </w:p>
    <w:p>
      <w:pPr>
        <w:spacing w:after="0" w:line="167" w:lineRule="exact"/>
        <w:rPr>
          <w:sz w:val="20"/>
          <w:szCs w:val="20"/>
          <w:color w:val="auto"/>
        </w:rPr>
      </w:pPr>
    </w:p>
    <w:p>
      <w:pPr>
        <w:sectPr>
          <w:pgSz w:w="11900" w:h="16838" w:orient="portrait"/>
          <w:cols w:equalWidth="0" w:num="2">
            <w:col w:w="8500" w:space="720"/>
            <w:col w:w="1580"/>
          </w:cols>
          <w:pgMar w:left="320" w:top="464" w:right="779" w:bottom="1440" w:gutter="0" w:footer="0" w:header="0"/>
          <w:type w:val="continuous"/>
        </w:sectPr>
      </w:pPr>
    </w:p>
    <w:p>
      <w:pPr>
        <w:spacing w:after="0" w:line="83" w:lineRule="exact"/>
        <w:rPr>
          <w:sz w:val="20"/>
          <w:szCs w:val="20"/>
          <w:color w:val="auto"/>
        </w:rPr>
      </w:pPr>
    </w:p>
    <w:p>
      <w:pPr>
        <w:ind w:left="540" w:right="80"/>
        <w:spacing w:after="0" w:line="261" w:lineRule="auto"/>
        <w:rPr>
          <w:sz w:val="20"/>
          <w:szCs w:val="20"/>
          <w:color w:val="auto"/>
        </w:rPr>
      </w:pPr>
      <w:r>
        <w:rPr>
          <w:rFonts w:ascii="Arial" w:cs="Arial" w:eastAsia="Arial" w:hAnsi="Arial"/>
          <w:sz w:val="15"/>
          <w:szCs w:val="15"/>
          <w:color w:val="auto"/>
        </w:rPr>
        <w:t>The listing standards of the Nasdaq Global Select Market (“Nasdaq”) require that, subject to specified exceptions, each member of a listed company’s audit, nominating and governance, and compensation committees be independent. Nasdaq listing rules further provide that a director will only qualify as an “independent director” if, in the opinion of that company’s board of directors, that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FFFFFF"/>
        </w:rPr>
        <w:t>Proposal 4</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Proposal 5</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FFFFFF"/>
        </w:rPr>
        <w:t>Proposal 6</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FFFFFF"/>
        </w:rPr>
        <w:t>Stockholder</w:t>
      </w:r>
    </w:p>
    <w:p>
      <w:pPr>
        <w:spacing w:after="0" w:line="2" w:lineRule="exact"/>
        <w:rPr>
          <w:sz w:val="20"/>
          <w:szCs w:val="20"/>
          <w:color w:val="auto"/>
        </w:rPr>
      </w:pPr>
    </w:p>
    <w:p>
      <w:pPr>
        <w:spacing w:after="0"/>
        <w:rPr>
          <w:sz w:val="20"/>
          <w:szCs w:val="20"/>
          <w:color w:val="auto"/>
        </w:rPr>
      </w:pPr>
      <w:r>
        <w:rPr>
          <w:rFonts w:ascii="Arial" w:cs="Arial" w:eastAsia="Arial" w:hAnsi="Arial"/>
          <w:sz w:val="11"/>
          <w:szCs w:val="11"/>
          <w:color w:val="FFFFFF"/>
        </w:rPr>
        <w:t>Proposals and</w:t>
      </w:r>
    </w:p>
    <w:p>
      <w:pPr>
        <w:spacing w:after="0" w:line="1" w:lineRule="exact"/>
        <w:rPr>
          <w:sz w:val="20"/>
          <w:szCs w:val="20"/>
          <w:color w:val="auto"/>
        </w:rPr>
      </w:pPr>
    </w:p>
    <w:p>
      <w:pPr>
        <w:spacing w:after="0"/>
        <w:rPr>
          <w:sz w:val="20"/>
          <w:szCs w:val="20"/>
          <w:color w:val="auto"/>
        </w:rPr>
      </w:pPr>
      <w:r>
        <w:rPr>
          <w:rFonts w:ascii="Arial" w:cs="Arial" w:eastAsia="Arial" w:hAnsi="Arial"/>
          <w:sz w:val="12"/>
          <w:szCs w:val="12"/>
          <w:color w:val="FFFFFF"/>
        </w:rPr>
        <w:t>Other Matters</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Delinquent</w:t>
      </w:r>
    </w:p>
    <w:p>
      <w:pPr>
        <w:spacing w:after="0" w:line="224" w:lineRule="auto"/>
        <w:rPr>
          <w:sz w:val="20"/>
          <w:szCs w:val="20"/>
          <w:color w:val="auto"/>
        </w:rPr>
      </w:pPr>
      <w:r>
        <w:rPr>
          <w:rFonts w:ascii="Arial" w:cs="Arial" w:eastAsia="Arial" w:hAnsi="Arial"/>
          <w:sz w:val="12"/>
          <w:szCs w:val="12"/>
          <w:color w:val="FFFFFF"/>
        </w:rPr>
        <w:t>Section 16(a)</w:t>
      </w:r>
    </w:p>
    <w:p>
      <w:pPr>
        <w:spacing w:after="0"/>
        <w:rPr>
          <w:sz w:val="20"/>
          <w:szCs w:val="20"/>
          <w:color w:val="auto"/>
        </w:rPr>
      </w:pPr>
      <w:r>
        <w:rPr>
          <w:rFonts w:ascii="Arial" w:cs="Arial" w:eastAsia="Arial" w:hAnsi="Arial"/>
          <w:sz w:val="12"/>
          <w:szCs w:val="12"/>
          <w:color w:val="FFFFFF"/>
        </w:rPr>
        <w:t>Reports</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Other</w:t>
      </w:r>
    </w:p>
    <w:p>
      <w:pPr>
        <w:spacing w:after="0" w:line="2" w:lineRule="exact"/>
        <w:rPr>
          <w:sz w:val="20"/>
          <w:szCs w:val="20"/>
          <w:color w:val="auto"/>
        </w:rPr>
      </w:pPr>
    </w:p>
    <w:p>
      <w:pPr>
        <w:spacing w:after="0"/>
        <w:rPr>
          <w:sz w:val="20"/>
          <w:szCs w:val="20"/>
          <w:color w:val="auto"/>
        </w:rPr>
      </w:pPr>
      <w:r>
        <w:rPr>
          <w:rFonts w:ascii="Arial" w:cs="Arial" w:eastAsia="Arial" w:hAnsi="Arial"/>
          <w:sz w:val="12"/>
          <w:szCs w:val="12"/>
          <w:color w:val="FFFFFF"/>
        </w:rPr>
        <w:t>Information</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Appendix A</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FFFFFF"/>
        </w:rPr>
        <w:t>Appendix B</w:t>
      </w:r>
    </w:p>
    <w:p>
      <w:pPr>
        <w:spacing w:after="0" w:line="200" w:lineRule="exact"/>
        <w:rPr>
          <w:sz w:val="20"/>
          <w:szCs w:val="20"/>
          <w:color w:val="auto"/>
        </w:rPr>
      </w:pPr>
    </w:p>
    <w:p>
      <w:pPr>
        <w:sectPr>
          <w:pgSz w:w="11900" w:h="16838" w:orient="portrait"/>
          <w:cols w:equalWidth="0" w:num="2">
            <w:col w:w="8500" w:space="720"/>
            <w:col w:w="1580"/>
          </w:cols>
          <w:pgMar w:left="320" w:top="464" w:right="7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6380"/>
        <w:spacing w:after="0"/>
        <w:tabs>
          <w:tab w:leader="none" w:pos="8500" w:val="left"/>
          <w:tab w:leader="none" w:pos="9960" w:val="left"/>
        </w:tabs>
        <w:rPr>
          <w:sz w:val="20"/>
          <w:szCs w:val="20"/>
          <w:color w:val="auto"/>
        </w:rPr>
      </w:pPr>
      <w:r>
        <w:rPr>
          <w:rFonts w:ascii="Arial" w:cs="Arial" w:eastAsia="Arial" w:hAnsi="Arial"/>
          <w:sz w:val="15"/>
          <w:szCs w:val="15"/>
          <w:b w:val="1"/>
          <w:bCs w:val="1"/>
          <w:color w:val="002B5F"/>
        </w:rPr>
        <w:t xml:space="preserve">2026 Proxy Statement  </w:t>
      </w:r>
      <w:r>
        <w:rPr>
          <w:rFonts w:ascii="Arial" w:cs="Arial" w:eastAsia="Arial" w:hAnsi="Arial"/>
          <w:sz w:val="20"/>
          <w:szCs w:val="20"/>
          <w:color w:val="002B5F"/>
        </w:rPr>
        <w:t>|</w:t>
      </w:r>
      <w:r>
        <w:rPr>
          <w:rFonts w:ascii="Arial" w:cs="Arial" w:eastAsia="Arial" w:hAnsi="Arial"/>
          <w:sz w:val="15"/>
          <w:szCs w:val="15"/>
          <w:b w:val="1"/>
          <w:bCs w:val="1"/>
          <w:color w:val="002B5F"/>
        </w:rPr>
        <w:t xml:space="preserve">  23</w:t>
      </w:r>
      <w:r>
        <w:rPr>
          <w:sz w:val="20"/>
          <w:szCs w:val="20"/>
          <w:color w:val="auto"/>
        </w:rPr>
        <w:tab/>
      </w:r>
      <w:r>
        <w:rPr>
          <w:rFonts w:ascii="Arial" w:cs="Arial" w:eastAsia="Arial" w:hAnsi="Arial"/>
          <w:sz w:val="17"/>
          <w:szCs w:val="17"/>
          <w:color w:val="auto"/>
        </w:rPr>
        <w:t xml:space="preserve">    </w:t>
      </w:r>
      <w:r>
        <w:rPr>
          <w:sz w:val="20"/>
          <w:szCs w:val="20"/>
          <w:color w:val="auto"/>
        </w:rPr>
        <w:tab/>
      </w:r>
      <w:r>
        <w:rPr>
          <w:rFonts w:ascii="Arial" w:cs="Arial" w:eastAsia="Arial" w:hAnsi="Arial"/>
          <w:sz w:val="17"/>
          <w:szCs w:val="17"/>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268605</wp:posOffset>
            </wp:positionH>
            <wp:positionV relativeFrom="paragraph">
              <wp:posOffset>-128905</wp:posOffset>
            </wp:positionV>
            <wp:extent cx="762000" cy="971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62000" cy="97155"/>
                    </a:xfrm>
                    <a:prstGeom prst="rect">
                      <a:avLst/>
                    </a:prstGeom>
                    <a:noFill/>
                  </pic:spPr>
                </pic:pic>
              </a:graphicData>
            </a:graphic>
          </wp:anchor>
        </w:drawing>
      </w:r>
    </w:p>
    <w:p>
      <w:pPr>
        <w:sectPr>
          <w:pgSz w:w="11900" w:h="16838" w:orient="portrait"/>
          <w:cols w:equalWidth="0" w:num="1">
            <w:col w:w="10800"/>
          </w:cols>
          <w:pgMar w:left="320" w:top="464" w:right="779" w:bottom="1440" w:gutter="0" w:footer="0" w:header="0"/>
          <w:type w:val="continuous"/>
        </w:sectPr>
      </w:pPr>
    </w:p>
    <w:bookmarkStart w:id="31" w:name="page32"/>
    <w:bookmarkEnd w:id="31"/>
    <w:p>
      <w:pPr>
        <w:spacing w:after="0"/>
        <w:rPr>
          <w:sz w:val="20"/>
          <w:szCs w:val="20"/>
          <w:color w:val="auto"/>
        </w:rPr>
      </w:pPr>
      <w:r>
        <w:rPr>
          <w:rFonts w:ascii="Times New Roman" w:cs="Times New Roman" w:eastAsia="Times New Roman" w:hAnsi="Times New Roman"/>
          <w:sz w:val="17"/>
          <w:szCs w:val="17"/>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268605</wp:posOffset>
            </wp:positionH>
            <wp:positionV relativeFrom="paragraph">
              <wp:posOffset>253365</wp:posOffset>
            </wp:positionV>
            <wp:extent cx="1183005" cy="745617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183005" cy="7456170"/>
                    </a:xfrm>
                    <a:prstGeom prst="rect">
                      <a:avLst/>
                    </a:prstGeom>
                    <a:noFill/>
                  </pic:spPr>
                </pic:pic>
              </a:graphicData>
            </a:graphic>
          </wp:anchor>
        </w:drawing>
      </w:r>
    </w:p>
    <w:p>
      <w:pPr>
        <w:spacing w:after="0" w:line="200" w:lineRule="exact"/>
        <w:rPr>
          <w:sz w:val="20"/>
          <w:szCs w:val="20"/>
          <w:color w:val="auto"/>
        </w:rPr>
      </w:pPr>
    </w:p>
    <w:p>
      <w:pPr>
        <w:spacing w:after="0" w:line="304" w:lineRule="exact"/>
        <w:rPr>
          <w:sz w:val="20"/>
          <w:szCs w:val="20"/>
          <w:color w:val="auto"/>
        </w:rPr>
      </w:pPr>
    </w:p>
    <w:p>
      <w:pPr>
        <w:ind w:left="1120" w:right="460" w:hanging="672"/>
        <w:spacing w:after="0" w:line="382" w:lineRule="auto"/>
        <w:tabs>
          <w:tab w:leader="none" w:pos="610" w:val="left"/>
        </w:tabs>
        <w:numPr>
          <w:ilvl w:val="0"/>
          <w:numId w:val="41"/>
        </w:numPr>
        <w:rPr>
          <w:rFonts w:ascii="Arial" w:cs="Arial" w:eastAsia="Arial" w:hAnsi="Arial"/>
          <w:sz w:val="24"/>
          <w:szCs w:val="24"/>
          <w:color w:val="auto"/>
          <w:vertAlign w:val="subscript"/>
        </w:rPr>
      </w:pPr>
      <w:r>
        <w:rPr>
          <w:rFonts w:ascii="Arial" w:cs="Arial" w:eastAsia="Arial" w:hAnsi="Arial"/>
          <w:sz w:val="24"/>
          <w:szCs w:val="24"/>
          <w:color w:val="000000"/>
          <w:vertAlign w:val="subscript"/>
        </w:rPr>
        <w:t xml:space="preserve">     </w:t>
      </w:r>
      <w:r>
        <w:rPr>
          <w:rFonts w:ascii="Arial" w:cs="Arial" w:eastAsia="Arial" w:hAnsi="Arial"/>
          <w:sz w:val="10"/>
          <w:szCs w:val="10"/>
          <w:color w:val="FFFFFF"/>
        </w:rPr>
        <w:t xml:space="preserve"> General Information</w:t>
      </w:r>
    </w:p>
    <w:p>
      <w:pPr>
        <w:spacing w:after="0" w:line="1" w:lineRule="exact"/>
        <w:rPr>
          <w:sz w:val="20"/>
          <w:szCs w:val="20"/>
          <w:color w:val="auto"/>
        </w:rPr>
      </w:pPr>
    </w:p>
    <w:p>
      <w:pPr>
        <w:ind w:left="1120"/>
        <w:spacing w:after="0"/>
        <w:rPr>
          <w:sz w:val="20"/>
          <w:szCs w:val="20"/>
          <w:color w:val="auto"/>
        </w:rPr>
      </w:pPr>
      <w:r>
        <w:rPr>
          <w:rFonts w:ascii="Arial" w:cs="Arial" w:eastAsia="Arial" w:hAnsi="Arial"/>
          <w:sz w:val="11"/>
          <w:szCs w:val="11"/>
          <w:color w:val="FFFFFF"/>
        </w:rPr>
        <w:t>General Information</w:t>
      </w:r>
    </w:p>
    <w:p>
      <w:pPr>
        <w:spacing w:after="0" w:line="3"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About Corporate</w:t>
      </w:r>
    </w:p>
    <w:p>
      <w:pPr>
        <w:ind w:left="1120"/>
        <w:spacing w:after="0" w:line="221" w:lineRule="auto"/>
        <w:rPr>
          <w:sz w:val="20"/>
          <w:szCs w:val="20"/>
          <w:color w:val="auto"/>
        </w:rPr>
      </w:pPr>
      <w:r>
        <w:rPr>
          <w:rFonts w:ascii="Arial" w:cs="Arial" w:eastAsia="Arial" w:hAnsi="Arial"/>
          <w:sz w:val="12"/>
          <w:szCs w:val="12"/>
          <w:color w:val="FFFFFF"/>
        </w:rPr>
        <w:t>Governance</w:t>
      </w:r>
    </w:p>
    <w:p>
      <w:pPr>
        <w:ind w:left="1120"/>
        <w:spacing w:after="0" w:line="222" w:lineRule="auto"/>
        <w:rPr>
          <w:sz w:val="20"/>
          <w:szCs w:val="20"/>
          <w:color w:val="auto"/>
        </w:rPr>
      </w:pPr>
      <w:r>
        <w:rPr>
          <w:rFonts w:ascii="Arial" w:cs="Arial" w:eastAsia="Arial" w:hAnsi="Arial"/>
          <w:sz w:val="12"/>
          <w:szCs w:val="12"/>
          <w:color w:val="FFFFFF"/>
        </w:rPr>
        <w:t>and the Board of</w:t>
      </w:r>
    </w:p>
    <w:p>
      <w:pPr>
        <w:spacing w:after="0" w:line="1"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Directors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Proposal 1</w:t>
      </w:r>
    </w:p>
    <w:p>
      <w:pPr>
        <w:spacing w:after="0" w:line="156" w:lineRule="exact"/>
        <w:rPr>
          <w:sz w:val="20"/>
          <w:szCs w:val="20"/>
          <w:color w:val="auto"/>
        </w:rPr>
      </w:pPr>
    </w:p>
    <w:p>
      <w:pPr>
        <w:ind w:left="1120" w:right="80"/>
        <w:spacing w:after="0" w:line="265" w:lineRule="auto"/>
        <w:rPr>
          <w:sz w:val="20"/>
          <w:szCs w:val="20"/>
          <w:color w:val="auto"/>
        </w:rPr>
      </w:pPr>
      <w:r>
        <w:rPr>
          <w:rFonts w:ascii="Arial" w:cs="Arial" w:eastAsia="Arial" w:hAnsi="Arial"/>
          <w:sz w:val="11"/>
          <w:szCs w:val="11"/>
          <w:b w:val="1"/>
          <w:bCs w:val="1"/>
          <w:color w:val="FFFFFF"/>
        </w:rPr>
        <w:t>Information Regarding Board and Committee Structure</w:t>
      </w:r>
    </w:p>
    <w:p>
      <w:pPr>
        <w:spacing w:after="0" w:line="118"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Board of Directors</w:t>
      </w:r>
    </w:p>
    <w:p>
      <w:pPr>
        <w:spacing w:after="0" w:line="2"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Compensation</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Compensation</w:t>
      </w:r>
    </w:p>
    <w:p>
      <w:pPr>
        <w:ind w:left="1120"/>
        <w:spacing w:after="0" w:line="224" w:lineRule="auto"/>
        <w:rPr>
          <w:sz w:val="20"/>
          <w:szCs w:val="20"/>
          <w:color w:val="auto"/>
        </w:rPr>
      </w:pPr>
      <w:r>
        <w:rPr>
          <w:rFonts w:ascii="Arial" w:cs="Arial" w:eastAsia="Arial" w:hAnsi="Arial"/>
          <w:sz w:val="12"/>
          <w:szCs w:val="12"/>
          <w:color w:val="FFFFFF"/>
        </w:rPr>
        <w:t>Discussion and</w:t>
      </w:r>
    </w:p>
    <w:p>
      <w:pPr>
        <w:ind w:left="1120"/>
        <w:spacing w:after="0"/>
        <w:rPr>
          <w:sz w:val="20"/>
          <w:szCs w:val="20"/>
          <w:color w:val="auto"/>
        </w:rPr>
      </w:pPr>
      <w:r>
        <w:rPr>
          <w:rFonts w:ascii="Arial" w:cs="Arial" w:eastAsia="Arial" w:hAnsi="Arial"/>
          <w:sz w:val="12"/>
          <w:szCs w:val="12"/>
          <w:color w:val="FFFFFF"/>
        </w:rPr>
        <w:t>Analysis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Report of the</w:t>
      </w:r>
    </w:p>
    <w:p>
      <w:pPr>
        <w:ind w:left="1120"/>
        <w:spacing w:after="0" w:line="224" w:lineRule="auto"/>
        <w:rPr>
          <w:sz w:val="20"/>
          <w:szCs w:val="20"/>
          <w:color w:val="auto"/>
        </w:rPr>
      </w:pPr>
      <w:r>
        <w:rPr>
          <w:rFonts w:ascii="Arial" w:cs="Arial" w:eastAsia="Arial" w:hAnsi="Arial"/>
          <w:sz w:val="12"/>
          <w:szCs w:val="12"/>
          <w:color w:val="FFFFFF"/>
        </w:rPr>
        <w:t>Compensation</w:t>
      </w:r>
    </w:p>
    <w:p>
      <w:pPr>
        <w:ind w:left="1120"/>
        <w:spacing w:after="0" w:line="222" w:lineRule="auto"/>
        <w:rPr>
          <w:sz w:val="20"/>
          <w:szCs w:val="20"/>
          <w:color w:val="auto"/>
        </w:rPr>
      </w:pPr>
      <w:r>
        <w:rPr>
          <w:rFonts w:ascii="Arial" w:cs="Arial" w:eastAsia="Arial" w:hAnsi="Arial"/>
          <w:sz w:val="12"/>
          <w:szCs w:val="12"/>
          <w:color w:val="FFFFFF"/>
        </w:rPr>
        <w:t>and Human</w:t>
      </w:r>
    </w:p>
    <w:p>
      <w:pPr>
        <w:ind w:left="1120"/>
        <w:spacing w:after="0" w:line="222" w:lineRule="auto"/>
        <w:rPr>
          <w:sz w:val="20"/>
          <w:szCs w:val="20"/>
          <w:color w:val="auto"/>
        </w:rPr>
      </w:pPr>
      <w:r>
        <w:rPr>
          <w:rFonts w:ascii="Arial" w:cs="Arial" w:eastAsia="Arial" w:hAnsi="Arial"/>
          <w:sz w:val="12"/>
          <w:szCs w:val="12"/>
          <w:color w:val="FFFFFF"/>
        </w:rPr>
        <w:t>Resources</w:t>
      </w:r>
    </w:p>
    <w:p>
      <w:pPr>
        <w:ind w:left="1120"/>
        <w:spacing w:after="0" w:line="222" w:lineRule="auto"/>
        <w:rPr>
          <w:sz w:val="20"/>
          <w:szCs w:val="20"/>
          <w:color w:val="auto"/>
        </w:rPr>
      </w:pPr>
      <w:r>
        <w:rPr>
          <w:rFonts w:ascii="Arial" w:cs="Arial" w:eastAsia="Arial" w:hAnsi="Arial"/>
          <w:sz w:val="12"/>
          <w:szCs w:val="12"/>
          <w:color w:val="FFFFFF"/>
        </w:rPr>
        <w:t>Committee of the</w:t>
      </w:r>
    </w:p>
    <w:p>
      <w:pPr>
        <w:ind w:left="1120"/>
        <w:spacing w:after="0"/>
        <w:rPr>
          <w:sz w:val="20"/>
          <w:szCs w:val="20"/>
          <w:color w:val="auto"/>
        </w:rPr>
      </w:pPr>
      <w:r>
        <w:rPr>
          <w:rFonts w:ascii="Arial" w:cs="Arial" w:eastAsia="Arial" w:hAnsi="Arial"/>
          <w:sz w:val="12"/>
          <w:szCs w:val="12"/>
          <w:color w:val="FFFFFF"/>
        </w:rPr>
        <w:t>Board of Directors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Compensation of</w:t>
      </w:r>
    </w:p>
    <w:p>
      <w:pPr>
        <w:ind w:left="1120"/>
        <w:spacing w:after="0" w:line="224" w:lineRule="auto"/>
        <w:rPr>
          <w:sz w:val="20"/>
          <w:szCs w:val="20"/>
          <w:color w:val="auto"/>
        </w:rPr>
      </w:pPr>
      <w:r>
        <w:rPr>
          <w:rFonts w:ascii="Arial" w:cs="Arial" w:eastAsia="Arial" w:hAnsi="Arial"/>
          <w:sz w:val="12"/>
          <w:szCs w:val="12"/>
          <w:color w:val="FFFFFF"/>
        </w:rPr>
        <w:t>Named Executive</w:t>
      </w:r>
    </w:p>
    <w:p>
      <w:pPr>
        <w:ind w:left="1120"/>
        <w:spacing w:after="0"/>
        <w:rPr>
          <w:sz w:val="20"/>
          <w:szCs w:val="20"/>
          <w:color w:val="auto"/>
        </w:rPr>
      </w:pPr>
      <w:r>
        <w:rPr>
          <w:rFonts w:ascii="Arial" w:cs="Arial" w:eastAsia="Arial" w:hAnsi="Arial"/>
          <w:sz w:val="12"/>
          <w:szCs w:val="12"/>
          <w:color w:val="FFFFFF"/>
        </w:rPr>
        <w:t>Officers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Pay Versus</w:t>
      </w:r>
    </w:p>
    <w:p>
      <w:pPr>
        <w:ind w:left="1120"/>
        <w:spacing w:after="0" w:line="224" w:lineRule="auto"/>
        <w:rPr>
          <w:sz w:val="20"/>
          <w:szCs w:val="20"/>
          <w:color w:val="auto"/>
        </w:rPr>
      </w:pPr>
      <w:r>
        <w:rPr>
          <w:rFonts w:ascii="Arial" w:cs="Arial" w:eastAsia="Arial" w:hAnsi="Arial"/>
          <w:sz w:val="12"/>
          <w:szCs w:val="12"/>
          <w:color w:val="FFFFFF"/>
        </w:rPr>
        <w:t>Performance</w:t>
      </w:r>
    </w:p>
    <w:p>
      <w:pPr>
        <w:ind w:left="1120"/>
        <w:spacing w:after="0"/>
        <w:rPr>
          <w:sz w:val="20"/>
          <w:szCs w:val="20"/>
          <w:color w:val="auto"/>
        </w:rPr>
      </w:pPr>
      <w:r>
        <w:rPr>
          <w:rFonts w:ascii="Arial" w:cs="Arial" w:eastAsia="Arial" w:hAnsi="Arial"/>
          <w:sz w:val="12"/>
          <w:szCs w:val="12"/>
          <w:color w:val="FFFFFF"/>
        </w:rPr>
        <w:t>Disclosure</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Security</w:t>
      </w:r>
    </w:p>
    <w:p>
      <w:pPr>
        <w:ind w:left="1120"/>
        <w:spacing w:after="0" w:line="224" w:lineRule="auto"/>
        <w:rPr>
          <w:sz w:val="20"/>
          <w:szCs w:val="20"/>
          <w:color w:val="auto"/>
        </w:rPr>
      </w:pPr>
      <w:r>
        <w:rPr>
          <w:rFonts w:ascii="Arial" w:cs="Arial" w:eastAsia="Arial" w:hAnsi="Arial"/>
          <w:sz w:val="12"/>
          <w:szCs w:val="12"/>
          <w:color w:val="FFFFFF"/>
        </w:rPr>
        <w:t>Ownership of</w:t>
      </w:r>
    </w:p>
    <w:p>
      <w:pPr>
        <w:ind w:left="1120"/>
        <w:spacing w:after="0" w:line="222" w:lineRule="auto"/>
        <w:rPr>
          <w:sz w:val="20"/>
          <w:szCs w:val="20"/>
          <w:color w:val="auto"/>
        </w:rPr>
      </w:pPr>
      <w:r>
        <w:rPr>
          <w:rFonts w:ascii="Arial" w:cs="Arial" w:eastAsia="Arial" w:hAnsi="Arial"/>
          <w:sz w:val="12"/>
          <w:szCs w:val="12"/>
          <w:color w:val="FFFFFF"/>
        </w:rPr>
        <w:t>Certain Beneficial</w:t>
      </w:r>
    </w:p>
    <w:p>
      <w:pPr>
        <w:ind w:left="1120"/>
        <w:spacing w:after="0" w:line="222" w:lineRule="auto"/>
        <w:rPr>
          <w:sz w:val="20"/>
          <w:szCs w:val="20"/>
          <w:color w:val="auto"/>
        </w:rPr>
      </w:pPr>
      <w:r>
        <w:rPr>
          <w:rFonts w:ascii="Arial" w:cs="Arial" w:eastAsia="Arial" w:hAnsi="Arial"/>
          <w:sz w:val="12"/>
          <w:szCs w:val="12"/>
          <w:color w:val="FFFFFF"/>
        </w:rPr>
        <w:t>Owners and</w:t>
      </w:r>
    </w:p>
    <w:p>
      <w:pPr>
        <w:ind w:left="1120"/>
        <w:spacing w:after="0"/>
        <w:rPr>
          <w:sz w:val="20"/>
          <w:szCs w:val="20"/>
          <w:color w:val="auto"/>
        </w:rPr>
      </w:pPr>
      <w:r>
        <w:rPr>
          <w:rFonts w:ascii="Arial" w:cs="Arial" w:eastAsia="Arial" w:hAnsi="Arial"/>
          <w:sz w:val="12"/>
          <w:szCs w:val="12"/>
          <w:color w:val="FFFFFF"/>
        </w:rPr>
        <w:t>Management</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Certain</w:t>
      </w:r>
    </w:p>
    <w:p>
      <w:pPr>
        <w:ind w:left="1120"/>
        <w:spacing w:after="0" w:line="224" w:lineRule="auto"/>
        <w:rPr>
          <w:sz w:val="20"/>
          <w:szCs w:val="20"/>
          <w:color w:val="auto"/>
        </w:rPr>
      </w:pPr>
      <w:r>
        <w:rPr>
          <w:rFonts w:ascii="Arial" w:cs="Arial" w:eastAsia="Arial" w:hAnsi="Arial"/>
          <w:sz w:val="12"/>
          <w:szCs w:val="12"/>
          <w:color w:val="FFFFFF"/>
        </w:rPr>
        <w:t>Relationships and</w:t>
      </w:r>
    </w:p>
    <w:p>
      <w:pPr>
        <w:ind w:left="1120"/>
        <w:spacing w:after="0" w:line="222" w:lineRule="auto"/>
        <w:rPr>
          <w:sz w:val="20"/>
          <w:szCs w:val="20"/>
          <w:color w:val="auto"/>
        </w:rPr>
      </w:pPr>
      <w:r>
        <w:rPr>
          <w:rFonts w:ascii="Arial" w:cs="Arial" w:eastAsia="Arial" w:hAnsi="Arial"/>
          <w:sz w:val="12"/>
          <w:szCs w:val="12"/>
          <w:color w:val="FFFFFF"/>
        </w:rPr>
        <w:t>Related Party</w:t>
      </w:r>
    </w:p>
    <w:p>
      <w:pPr>
        <w:ind w:left="1120"/>
        <w:spacing w:after="0"/>
        <w:rPr>
          <w:sz w:val="20"/>
          <w:szCs w:val="20"/>
          <w:color w:val="auto"/>
        </w:rPr>
      </w:pPr>
      <w:r>
        <w:rPr>
          <w:rFonts w:ascii="Arial" w:cs="Arial" w:eastAsia="Arial" w:hAnsi="Arial"/>
          <w:sz w:val="12"/>
          <w:szCs w:val="12"/>
          <w:color w:val="FFFFFF"/>
        </w:rPr>
        <w:t>Transactions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Proposal 2</w:t>
      </w:r>
    </w:p>
    <w:p>
      <w:pPr>
        <w:spacing w:after="0" w:line="156"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Report of the</w:t>
      </w:r>
    </w:p>
    <w:p>
      <w:pPr>
        <w:ind w:left="1120"/>
        <w:spacing w:after="0" w:line="224" w:lineRule="auto"/>
        <w:rPr>
          <w:sz w:val="20"/>
          <w:szCs w:val="20"/>
          <w:color w:val="auto"/>
        </w:rPr>
      </w:pPr>
      <w:r>
        <w:rPr>
          <w:rFonts w:ascii="Arial" w:cs="Arial" w:eastAsia="Arial" w:hAnsi="Arial"/>
          <w:sz w:val="12"/>
          <w:szCs w:val="12"/>
          <w:color w:val="FFFFFF"/>
        </w:rPr>
        <w:t>Audit and Risk</w:t>
      </w:r>
    </w:p>
    <w:p>
      <w:pPr>
        <w:ind w:left="1120"/>
        <w:spacing w:after="0" w:line="222" w:lineRule="auto"/>
        <w:rPr>
          <w:sz w:val="20"/>
          <w:szCs w:val="20"/>
          <w:color w:val="auto"/>
        </w:rPr>
      </w:pPr>
      <w:r>
        <w:rPr>
          <w:rFonts w:ascii="Arial" w:cs="Arial" w:eastAsia="Arial" w:hAnsi="Arial"/>
          <w:sz w:val="12"/>
          <w:szCs w:val="12"/>
          <w:color w:val="FFFFFF"/>
        </w:rPr>
        <w:t>Committee of the</w:t>
      </w:r>
    </w:p>
    <w:p>
      <w:pPr>
        <w:ind w:left="1120"/>
        <w:spacing w:after="0"/>
        <w:rPr>
          <w:sz w:val="20"/>
          <w:szCs w:val="20"/>
          <w:color w:val="auto"/>
        </w:rPr>
      </w:pPr>
      <w:r>
        <w:rPr>
          <w:rFonts w:ascii="Arial" w:cs="Arial" w:eastAsia="Arial" w:hAnsi="Arial"/>
          <w:sz w:val="12"/>
          <w:szCs w:val="12"/>
          <w:color w:val="FFFFFF"/>
        </w:rPr>
        <w:t>Board of Directors</w:t>
      </w:r>
    </w:p>
    <w:p>
      <w:pPr>
        <w:spacing w:after="0" w:line="144" w:lineRule="exact"/>
        <w:rPr>
          <w:sz w:val="20"/>
          <w:szCs w:val="20"/>
          <w:color w:val="auto"/>
        </w:rPr>
      </w:pPr>
    </w:p>
    <w:p>
      <w:pPr>
        <w:jc w:val="center"/>
        <w:ind w:left="620"/>
        <w:spacing w:after="0"/>
        <w:rPr>
          <w:sz w:val="20"/>
          <w:szCs w:val="20"/>
          <w:color w:val="auto"/>
        </w:rPr>
      </w:pPr>
      <w:r>
        <w:rPr>
          <w:rFonts w:ascii="Arial" w:cs="Arial" w:eastAsia="Arial" w:hAnsi="Arial"/>
          <w:sz w:val="12"/>
          <w:szCs w:val="12"/>
          <w:color w:val="FFFFFF"/>
        </w:rPr>
        <w:t>Proposal 3</w:t>
      </w:r>
    </w:p>
    <w:p>
      <w:pPr>
        <w:spacing w:after="0" w:line="156" w:lineRule="exact"/>
        <w:rPr>
          <w:sz w:val="20"/>
          <w:szCs w:val="20"/>
          <w:color w:val="auto"/>
        </w:rPr>
      </w:pPr>
    </w:p>
    <w:p>
      <w:pPr>
        <w:jc w:val="center"/>
        <w:ind w:left="620"/>
        <w:spacing w:after="0"/>
        <w:rPr>
          <w:sz w:val="20"/>
          <w:szCs w:val="20"/>
          <w:color w:val="auto"/>
        </w:rPr>
      </w:pPr>
      <w:r>
        <w:rPr>
          <w:rFonts w:ascii="Arial" w:cs="Arial" w:eastAsia="Arial" w:hAnsi="Arial"/>
          <w:sz w:val="12"/>
          <w:szCs w:val="12"/>
          <w:color w:val="FFFFFF"/>
        </w:rPr>
        <w:t>Proposal 4</w:t>
      </w:r>
    </w:p>
    <w:p>
      <w:pPr>
        <w:spacing w:after="0" w:line="156" w:lineRule="exact"/>
        <w:rPr>
          <w:sz w:val="20"/>
          <w:szCs w:val="20"/>
          <w:color w:val="auto"/>
        </w:rPr>
      </w:pPr>
    </w:p>
    <w:p>
      <w:pPr>
        <w:jc w:val="center"/>
        <w:ind w:left="620"/>
        <w:spacing w:after="0"/>
        <w:rPr>
          <w:sz w:val="20"/>
          <w:szCs w:val="20"/>
          <w:color w:val="auto"/>
        </w:rPr>
      </w:pPr>
      <w:r>
        <w:rPr>
          <w:rFonts w:ascii="Arial" w:cs="Arial" w:eastAsia="Arial" w:hAnsi="Arial"/>
          <w:sz w:val="12"/>
          <w:szCs w:val="12"/>
          <w:color w:val="FFFFFF"/>
        </w:rPr>
        <w:t>Proposal 5</w:t>
      </w:r>
    </w:p>
    <w:p>
      <w:pPr>
        <w:spacing w:after="0" w:line="156"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Proposal 6</w:t>
      </w:r>
    </w:p>
    <w:p>
      <w:pPr>
        <w:spacing w:after="0" w:line="156"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Stockholder</w:t>
      </w:r>
    </w:p>
    <w:p>
      <w:pPr>
        <w:ind w:left="1120"/>
        <w:spacing w:after="0" w:line="224" w:lineRule="auto"/>
        <w:rPr>
          <w:sz w:val="20"/>
          <w:szCs w:val="20"/>
          <w:color w:val="auto"/>
        </w:rPr>
      </w:pPr>
      <w:r>
        <w:rPr>
          <w:rFonts w:ascii="Arial" w:cs="Arial" w:eastAsia="Arial" w:hAnsi="Arial"/>
          <w:sz w:val="12"/>
          <w:szCs w:val="12"/>
          <w:color w:val="FFFFFF"/>
        </w:rPr>
        <w:t>Proposals and</w:t>
      </w:r>
    </w:p>
    <w:p>
      <w:pPr>
        <w:ind w:left="1120"/>
        <w:spacing w:after="0"/>
        <w:rPr>
          <w:sz w:val="20"/>
          <w:szCs w:val="20"/>
          <w:color w:val="auto"/>
        </w:rPr>
      </w:pPr>
      <w:r>
        <w:rPr>
          <w:rFonts w:ascii="Arial" w:cs="Arial" w:eastAsia="Arial" w:hAnsi="Arial"/>
          <w:sz w:val="12"/>
          <w:szCs w:val="12"/>
          <w:color w:val="FFFFFF"/>
        </w:rPr>
        <w:t>Other Matters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Delinquent</w:t>
      </w:r>
    </w:p>
    <w:p>
      <w:pPr>
        <w:ind w:left="1120"/>
        <w:spacing w:after="0" w:line="224" w:lineRule="auto"/>
        <w:rPr>
          <w:sz w:val="20"/>
          <w:szCs w:val="20"/>
          <w:color w:val="auto"/>
        </w:rPr>
      </w:pPr>
      <w:r>
        <w:rPr>
          <w:rFonts w:ascii="Arial" w:cs="Arial" w:eastAsia="Arial" w:hAnsi="Arial"/>
          <w:sz w:val="12"/>
          <w:szCs w:val="12"/>
          <w:color w:val="FFFFFF"/>
        </w:rPr>
        <w:t>Section 16(a)</w:t>
      </w:r>
    </w:p>
    <w:p>
      <w:pPr>
        <w:ind w:left="1120"/>
        <w:spacing w:after="0"/>
        <w:rPr>
          <w:sz w:val="20"/>
          <w:szCs w:val="20"/>
          <w:color w:val="auto"/>
        </w:rPr>
      </w:pPr>
      <w:r>
        <w:rPr>
          <w:rFonts w:ascii="Arial" w:cs="Arial" w:eastAsia="Arial" w:hAnsi="Arial"/>
          <w:sz w:val="12"/>
          <w:szCs w:val="12"/>
          <w:color w:val="FFFFFF"/>
        </w:rPr>
        <w:t>Reports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Other</w:t>
      </w:r>
    </w:p>
    <w:p>
      <w:pPr>
        <w:spacing w:after="0" w:line="2"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Information</w:t>
      </w:r>
    </w:p>
    <w:p>
      <w:pPr>
        <w:spacing w:after="0" w:line="144" w:lineRule="exact"/>
        <w:rPr>
          <w:sz w:val="20"/>
          <w:szCs w:val="20"/>
          <w:color w:val="auto"/>
        </w:rPr>
      </w:pPr>
    </w:p>
    <w:p>
      <w:pPr>
        <w:jc w:val="center"/>
        <w:ind w:left="660"/>
        <w:spacing w:after="0"/>
        <w:rPr>
          <w:sz w:val="20"/>
          <w:szCs w:val="20"/>
          <w:color w:val="auto"/>
        </w:rPr>
      </w:pPr>
      <w:r>
        <w:rPr>
          <w:rFonts w:ascii="Arial" w:cs="Arial" w:eastAsia="Arial" w:hAnsi="Arial"/>
          <w:sz w:val="12"/>
          <w:szCs w:val="12"/>
          <w:color w:val="FFFFFF"/>
        </w:rPr>
        <w:t>Appendix A</w:t>
      </w:r>
    </w:p>
    <w:p>
      <w:pPr>
        <w:spacing w:after="0" w:line="156" w:lineRule="exact"/>
        <w:rPr>
          <w:sz w:val="20"/>
          <w:szCs w:val="20"/>
          <w:color w:val="auto"/>
        </w:rPr>
      </w:pPr>
    </w:p>
    <w:p>
      <w:pPr>
        <w:jc w:val="center"/>
        <w:ind w:left="660"/>
        <w:spacing w:after="0"/>
        <w:rPr>
          <w:sz w:val="20"/>
          <w:szCs w:val="20"/>
          <w:color w:val="auto"/>
        </w:rPr>
      </w:pPr>
      <w:r>
        <w:rPr>
          <w:rFonts w:ascii="Arial" w:cs="Arial" w:eastAsia="Arial" w:hAnsi="Arial"/>
          <w:sz w:val="12"/>
          <w:szCs w:val="12"/>
          <w:color w:val="FFFFFF"/>
        </w:rPr>
        <w:t>Appendix 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right="40"/>
        <w:spacing w:after="0" w:line="258" w:lineRule="auto"/>
        <w:rPr>
          <w:sz w:val="20"/>
          <w:szCs w:val="20"/>
          <w:color w:val="auto"/>
        </w:rPr>
      </w:pPr>
      <w:r>
        <w:rPr>
          <w:rFonts w:ascii="Arial" w:cs="Arial" w:eastAsia="Arial" w:hAnsi="Arial"/>
          <w:sz w:val="15"/>
          <w:szCs w:val="15"/>
          <w:color w:val="auto"/>
        </w:rPr>
        <w:t>person does not have a relationship that would interfere with the exercise of independent judgment in carrying out the responsibilities of a director. Audit committee members must also satisfy the independence criteria set forth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-1737995</wp:posOffset>
            </wp:positionH>
            <wp:positionV relativeFrom="paragraph">
              <wp:posOffset>-867410</wp:posOffset>
            </wp:positionV>
            <wp:extent cx="7181215" cy="5334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81215" cy="53340"/>
                    </a:xfrm>
                    <a:prstGeom prst="rect">
                      <a:avLst/>
                    </a:prstGeom>
                    <a:noFill/>
                  </pic:spPr>
                </pic:pic>
              </a:graphicData>
            </a:graphic>
          </wp:anchor>
        </w:drawing>
      </w:r>
    </w:p>
    <w:p>
      <w:pPr>
        <w:ind w:right="540"/>
        <w:spacing w:after="0" w:line="268" w:lineRule="auto"/>
        <w:rPr>
          <w:sz w:val="20"/>
          <w:szCs w:val="20"/>
          <w:color w:val="auto"/>
        </w:rPr>
      </w:pPr>
      <w:r>
        <w:rPr>
          <w:rFonts w:ascii="Arial" w:cs="Arial" w:eastAsia="Arial" w:hAnsi="Arial"/>
          <w:sz w:val="15"/>
          <w:szCs w:val="15"/>
          <w:color w:val="auto"/>
        </w:rPr>
        <w:t>Rule 10A-3 under the Securities Exchange Act of 1934, as amended (the “Exchange Act”), and compensation committee members are also subject to heightened independence criteria under Nasdaq rules.</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color w:val="auto"/>
        </w:rPr>
        <w:t>After its evaluation of director independence, the Board of Directors has affirmatively determined that</w:t>
      </w:r>
    </w:p>
    <w:p>
      <w:pPr>
        <w:spacing w:after="0" w:line="20" w:lineRule="exact"/>
        <w:rPr>
          <w:sz w:val="20"/>
          <w:szCs w:val="20"/>
          <w:color w:val="auto"/>
        </w:rPr>
      </w:pPr>
    </w:p>
    <w:p>
      <w:pPr>
        <w:ind w:right="80"/>
        <w:spacing w:after="0" w:line="268" w:lineRule="auto"/>
        <w:rPr>
          <w:sz w:val="20"/>
          <w:szCs w:val="20"/>
          <w:color w:val="auto"/>
        </w:rPr>
      </w:pPr>
      <w:r>
        <w:rPr>
          <w:rFonts w:ascii="Arial" w:cs="Arial" w:eastAsia="Arial" w:hAnsi="Arial"/>
          <w:sz w:val="15"/>
          <w:szCs w:val="15"/>
          <w:color w:val="auto"/>
        </w:rPr>
        <w:t>Messrs. Bernard, Glavin, Khanna, Ko, Putnam, Schifter and Thomas, and Mses. Eberhart, Mnookin and Mulcahy are independent directors under applicable Nasdaq rules.</w:t>
      </w:r>
    </w:p>
    <w:p>
      <w:pPr>
        <w:spacing w:after="0" w:line="152" w:lineRule="exact"/>
        <w:rPr>
          <w:sz w:val="20"/>
          <w:szCs w:val="20"/>
          <w:color w:val="auto"/>
        </w:rPr>
      </w:pPr>
    </w:p>
    <w:p>
      <w:pPr>
        <w:spacing w:after="0"/>
        <w:rPr>
          <w:sz w:val="20"/>
          <w:szCs w:val="20"/>
          <w:color w:val="auto"/>
        </w:rPr>
      </w:pPr>
      <w:r>
        <w:rPr>
          <w:rFonts w:ascii="Arial" w:cs="Arial" w:eastAsia="Arial" w:hAnsi="Arial"/>
          <w:sz w:val="24"/>
          <w:szCs w:val="24"/>
          <w:color w:val="B95827"/>
        </w:rPr>
        <w:t>Board Composition and Leadership Structure of the Board of Directors</w:t>
      </w:r>
    </w:p>
    <w:p>
      <w:pPr>
        <w:spacing w:after="0" w:line="117" w:lineRule="exact"/>
        <w:rPr>
          <w:sz w:val="20"/>
          <w:szCs w:val="20"/>
          <w:color w:val="auto"/>
        </w:rPr>
      </w:pPr>
    </w:p>
    <w:p>
      <w:pPr>
        <w:spacing w:after="0" w:line="267" w:lineRule="auto"/>
        <w:rPr>
          <w:sz w:val="20"/>
          <w:szCs w:val="20"/>
          <w:color w:val="auto"/>
        </w:rPr>
      </w:pPr>
      <w:r>
        <w:rPr>
          <w:rFonts w:ascii="Arial" w:cs="Arial" w:eastAsia="Arial" w:hAnsi="Arial"/>
          <w:sz w:val="15"/>
          <w:szCs w:val="15"/>
          <w:color w:val="auto"/>
        </w:rPr>
        <w:t>Our business and affairs are managed under the direction of the Board of Directors. As of [</w:t>
      </w:r>
      <w:r>
        <w:rPr>
          <w:rFonts w:ascii="Times New Roman" w:cs="Times New Roman" w:eastAsia="Times New Roman" w:hAnsi="Times New Roman"/>
          <w:sz w:val="15"/>
          <w:szCs w:val="15"/>
          <w:color w:val="auto"/>
        </w:rPr>
        <w:t>●</w:t>
      </w:r>
      <w:r>
        <w:rPr>
          <w:rFonts w:ascii="Arial" w:cs="Arial" w:eastAsia="Arial" w:hAnsi="Arial"/>
          <w:sz w:val="15"/>
          <w:szCs w:val="15"/>
          <w:color w:val="auto"/>
        </w:rPr>
        <w:t>], 2026, our Board of Directors was composed of 11 directors. Under our Amended and Restated Certificate of Incorporation, the number of directors may not be fewer than three or more than 15. The authorized number of directors may be changed only by resolution of the Board of Directors.</w:t>
      </w:r>
    </w:p>
    <w:p>
      <w:pPr>
        <w:spacing w:after="0" w:line="61" w:lineRule="exact"/>
        <w:rPr>
          <w:sz w:val="20"/>
          <w:szCs w:val="20"/>
          <w:color w:val="auto"/>
        </w:rPr>
      </w:pPr>
    </w:p>
    <w:p>
      <w:pPr>
        <w:ind w:right="40"/>
        <w:spacing w:after="0" w:line="253" w:lineRule="auto"/>
        <w:rPr>
          <w:sz w:val="20"/>
          <w:szCs w:val="20"/>
          <w:color w:val="auto"/>
        </w:rPr>
      </w:pPr>
      <w:r>
        <w:rPr>
          <w:rFonts w:ascii="Arial" w:cs="Arial" w:eastAsia="Arial" w:hAnsi="Arial"/>
          <w:sz w:val="15"/>
          <w:szCs w:val="15"/>
          <w:color w:val="auto"/>
        </w:rPr>
        <w:t>The Board does not have a fixed policy regarding the separation of the offices of chair of the Board and chief executive officer of the Company. Rather, the Board believes that it should maintain the flexibility to select the chair of the Board and its Board leadership structure from time to time, based on the criteria that it deems to be in the best interests of the Company and its stakeholders. At this time, the Company believes that having a separate chief executive officer and chair allows Mr. Steinmeier to focus on his role as chief executive officer and increases the Board’s independence from management, promoting effective monitoring and oversight. As non-executive chair, Mr. Putnam serves as a key channel of communication between the independent directors and our chief executive officer, coordinates the agenda for each meeting of the Board and establishes the agenda for and leads meetings of the independent directors.</w:t>
      </w:r>
    </w:p>
    <w:p>
      <w:pPr>
        <w:spacing w:after="0" w:line="347" w:lineRule="exact"/>
        <w:rPr>
          <w:sz w:val="20"/>
          <w:szCs w:val="20"/>
          <w:color w:val="auto"/>
        </w:rPr>
      </w:pPr>
    </w:p>
    <w:p>
      <w:pPr>
        <w:spacing w:after="0"/>
        <w:rPr>
          <w:sz w:val="20"/>
          <w:szCs w:val="20"/>
          <w:color w:val="auto"/>
        </w:rPr>
      </w:pPr>
      <w:r>
        <w:rPr>
          <w:rFonts w:ascii="Arial" w:cs="Arial" w:eastAsia="Arial" w:hAnsi="Arial"/>
          <w:sz w:val="24"/>
          <w:szCs w:val="24"/>
          <w:color w:val="B95827"/>
        </w:rPr>
        <w:t>Board Oversight</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b w:val="1"/>
          <w:bCs w:val="1"/>
          <w:color w:val="002B5F"/>
        </w:rPr>
        <w:t>STRATEGIC PLANNING</w:t>
      </w:r>
    </w:p>
    <w:p>
      <w:pPr>
        <w:spacing w:after="0" w:line="103" w:lineRule="exact"/>
        <w:rPr>
          <w:sz w:val="20"/>
          <w:szCs w:val="20"/>
          <w:color w:val="auto"/>
        </w:rPr>
      </w:pPr>
    </w:p>
    <w:p>
      <w:pPr>
        <w:ind w:right="40"/>
        <w:spacing w:after="0" w:line="252" w:lineRule="auto"/>
        <w:rPr>
          <w:sz w:val="20"/>
          <w:szCs w:val="20"/>
          <w:color w:val="auto"/>
        </w:rPr>
      </w:pPr>
      <w:r>
        <w:rPr>
          <w:rFonts w:ascii="Arial" w:cs="Arial" w:eastAsia="Arial" w:hAnsi="Arial"/>
          <w:sz w:val="15"/>
          <w:szCs w:val="15"/>
          <w:color w:val="auto"/>
        </w:rPr>
        <w:t>Oversight of the Company’s business strategy and strategic planning is a key responsibility of our Board. At the beginning of the year, the chair of the Board and our chief executive officer prepare an annual Board work plan that is tied to our strategic execution framework. As a result, elements of our strategy and operating plans are embedded in the agenda for every quarterly meeting of the Board. All members of our management committee, as well as other senior leaders, regularly attend Board and committee meetings and discuss the Company’s strategy, plans and operating results with the Board and its committees. In addition to the discussions throughout the year of strategy topics, the Board dedicates a multi-day session each year to focus on the refinement of the Company’s long-term strategy and related planning. In aggregate, these sessions, which include senior management, enable a deep discussion between directors and management regarding the Company’s operating environment, near- and longer-term strategic opportunities, current and emerging risks, changing client needs and preferences, and financial outcomes associated with execution of our strategic plan.</w:t>
      </w:r>
    </w:p>
    <w:p>
      <w:pPr>
        <w:spacing w:after="0" w:line="75" w:lineRule="exact"/>
        <w:rPr>
          <w:sz w:val="20"/>
          <w:szCs w:val="20"/>
          <w:color w:val="auto"/>
        </w:rPr>
      </w:pPr>
    </w:p>
    <w:p>
      <w:pPr>
        <w:ind w:right="500"/>
        <w:spacing w:after="0" w:line="287" w:lineRule="auto"/>
        <w:rPr>
          <w:sz w:val="20"/>
          <w:szCs w:val="20"/>
          <w:color w:val="auto"/>
        </w:rPr>
      </w:pPr>
      <w:r>
        <w:rPr>
          <w:rFonts w:ascii="Arial" w:cs="Arial" w:eastAsia="Arial" w:hAnsi="Arial"/>
          <w:sz w:val="15"/>
          <w:szCs w:val="15"/>
          <w:color w:val="auto"/>
        </w:rPr>
        <w:t>The Board also dedicates significant attention to reviewing our capital allocation strategy, which is focused on disciplined capital management to drive long-term stockholder value. Key elements of our current strategy are:</w:t>
      </w:r>
    </w:p>
    <w:p>
      <w:pPr>
        <w:spacing w:after="0" w:line="60" w:lineRule="exact"/>
        <w:rPr>
          <w:sz w:val="20"/>
          <w:szCs w:val="20"/>
          <w:color w:val="auto"/>
        </w:rPr>
      </w:pPr>
    </w:p>
    <w:p>
      <w:pPr>
        <w:ind w:left="280" w:hanging="273"/>
        <w:spacing w:after="0"/>
        <w:tabs>
          <w:tab w:leader="none" w:pos="280" w:val="left"/>
        </w:tabs>
        <w:numPr>
          <w:ilvl w:val="0"/>
          <w:numId w:val="42"/>
        </w:numPr>
        <w:rPr>
          <w:rFonts w:ascii="Arial" w:cs="Arial" w:eastAsia="Arial" w:hAnsi="Arial"/>
          <w:sz w:val="15"/>
          <w:szCs w:val="15"/>
          <w:color w:val="auto"/>
        </w:rPr>
      </w:pPr>
      <w:r>
        <w:rPr>
          <w:rFonts w:ascii="Arial" w:cs="Arial" w:eastAsia="Arial" w:hAnsi="Arial"/>
          <w:sz w:val="15"/>
          <w:szCs w:val="15"/>
          <w:color w:val="auto"/>
        </w:rPr>
        <w:t>maintaining a strong and flexible balance sheet;</w:t>
      </w:r>
    </w:p>
    <w:p>
      <w:pPr>
        <w:spacing w:after="0" w:line="121" w:lineRule="exact"/>
        <w:rPr>
          <w:rFonts w:ascii="Arial" w:cs="Arial" w:eastAsia="Arial" w:hAnsi="Arial"/>
          <w:sz w:val="15"/>
          <w:szCs w:val="15"/>
          <w:color w:val="auto"/>
        </w:rPr>
      </w:pPr>
    </w:p>
    <w:p>
      <w:pPr>
        <w:ind w:left="280" w:hanging="273"/>
        <w:spacing w:after="0"/>
        <w:tabs>
          <w:tab w:leader="none" w:pos="280" w:val="left"/>
        </w:tabs>
        <w:numPr>
          <w:ilvl w:val="0"/>
          <w:numId w:val="42"/>
        </w:numPr>
        <w:rPr>
          <w:rFonts w:ascii="Arial" w:cs="Arial" w:eastAsia="Arial" w:hAnsi="Arial"/>
          <w:sz w:val="15"/>
          <w:szCs w:val="15"/>
          <w:color w:val="auto"/>
        </w:rPr>
      </w:pPr>
      <w:r>
        <w:rPr>
          <w:rFonts w:ascii="Arial" w:cs="Arial" w:eastAsia="Arial" w:hAnsi="Arial"/>
          <w:sz w:val="15"/>
          <w:szCs w:val="15"/>
          <w:color w:val="auto"/>
        </w:rPr>
        <w:t>prioritizing investments to support and drive organic growth;</w:t>
      </w:r>
    </w:p>
    <w:p>
      <w:pPr>
        <w:spacing w:after="0" w:line="121" w:lineRule="exact"/>
        <w:rPr>
          <w:rFonts w:ascii="Arial" w:cs="Arial" w:eastAsia="Arial" w:hAnsi="Arial"/>
          <w:sz w:val="15"/>
          <w:szCs w:val="15"/>
          <w:color w:val="auto"/>
        </w:rPr>
      </w:pPr>
    </w:p>
    <w:p>
      <w:pPr>
        <w:ind w:left="280" w:hanging="273"/>
        <w:spacing w:after="0"/>
        <w:tabs>
          <w:tab w:leader="none" w:pos="280" w:val="left"/>
        </w:tabs>
        <w:numPr>
          <w:ilvl w:val="0"/>
          <w:numId w:val="42"/>
        </w:numPr>
        <w:rPr>
          <w:rFonts w:ascii="Arial" w:cs="Arial" w:eastAsia="Arial" w:hAnsi="Arial"/>
          <w:sz w:val="15"/>
          <w:szCs w:val="15"/>
          <w:color w:val="auto"/>
        </w:rPr>
      </w:pPr>
      <w:r>
        <w:rPr>
          <w:rFonts w:ascii="Arial" w:cs="Arial" w:eastAsia="Arial" w:hAnsi="Arial"/>
          <w:sz w:val="15"/>
          <w:szCs w:val="15"/>
          <w:color w:val="auto"/>
        </w:rPr>
        <w:t>positioning the Company to take advantage of attractive merger and acquisition opportunities; and</w:t>
      </w:r>
    </w:p>
    <w:p>
      <w:pPr>
        <w:spacing w:after="0" w:line="121" w:lineRule="exact"/>
        <w:rPr>
          <w:rFonts w:ascii="Arial" w:cs="Arial" w:eastAsia="Arial" w:hAnsi="Arial"/>
          <w:sz w:val="15"/>
          <w:szCs w:val="15"/>
          <w:color w:val="auto"/>
        </w:rPr>
      </w:pPr>
    </w:p>
    <w:p>
      <w:pPr>
        <w:ind w:left="280" w:hanging="273"/>
        <w:spacing w:after="0"/>
        <w:tabs>
          <w:tab w:leader="none" w:pos="280" w:val="left"/>
        </w:tabs>
        <w:numPr>
          <w:ilvl w:val="0"/>
          <w:numId w:val="42"/>
        </w:numPr>
        <w:rPr>
          <w:rFonts w:ascii="Arial" w:cs="Arial" w:eastAsia="Arial" w:hAnsi="Arial"/>
          <w:sz w:val="15"/>
          <w:szCs w:val="15"/>
          <w:color w:val="auto"/>
        </w:rPr>
      </w:pPr>
      <w:r>
        <w:rPr>
          <w:rFonts w:ascii="Arial" w:cs="Arial" w:eastAsia="Arial" w:hAnsi="Arial"/>
          <w:sz w:val="15"/>
          <w:szCs w:val="15"/>
          <w:color w:val="auto"/>
        </w:rPr>
        <w:t>as appropriate, returning excess capital to stockholders through share repurchases and dividends.</w:t>
      </w:r>
    </w:p>
    <w:p>
      <w:pPr>
        <w:spacing w:after="0" w:line="2367" w:lineRule="exact"/>
        <w:rPr>
          <w:sz w:val="20"/>
          <w:szCs w:val="20"/>
          <w:color w:val="auto"/>
        </w:rPr>
      </w:pPr>
    </w:p>
    <w:p>
      <w:pPr>
        <w:sectPr>
          <w:pgSz w:w="11900" w:h="16838" w:orient="portrait"/>
          <w:cols w:equalWidth="0" w:num="2">
            <w:col w:w="2160" w:space="560"/>
            <w:col w:w="7980"/>
          </w:cols>
          <w:pgMar w:left="320" w:top="464" w:right="879" w:bottom="1440" w:gutter="0" w:footer="0" w:header="0"/>
        </w:sectPr>
      </w:pPr>
    </w:p>
    <w:p>
      <w:pPr>
        <w:spacing w:after="0" w:line="200" w:lineRule="exact"/>
        <w:rPr>
          <w:sz w:val="20"/>
          <w:szCs w:val="20"/>
          <w:color w:val="auto"/>
        </w:rPr>
      </w:pPr>
    </w:p>
    <w:p>
      <w:pPr>
        <w:spacing w:after="0" w:line="385" w:lineRule="exact"/>
        <w:rPr>
          <w:sz w:val="20"/>
          <w:szCs w:val="20"/>
          <w:color w:val="auto"/>
        </w:rPr>
      </w:pPr>
    </w:p>
    <w:p>
      <w:pPr>
        <w:ind w:left="420"/>
        <w:spacing w:after="0"/>
        <w:tabs>
          <w:tab w:leader="none" w:pos="2380" w:val="left"/>
          <w:tab w:leader="none" w:pos="2800" w:val="left"/>
        </w:tabs>
        <w:rPr>
          <w:sz w:val="20"/>
          <w:szCs w:val="20"/>
          <w:color w:val="auto"/>
        </w:rPr>
      </w:pPr>
      <w:r>
        <w:rPr>
          <w:rFonts w:ascii="Arial" w:cs="Arial" w:eastAsia="Arial" w:hAnsi="Arial"/>
          <w:sz w:val="30"/>
          <w:szCs w:val="30"/>
          <w:color w:val="000000"/>
          <w:vertAlign w:val="superscript"/>
        </w:rPr>
        <w:t xml:space="preserve">             </w:t>
      </w:r>
      <w:r>
        <w:rPr>
          <w:sz w:val="20"/>
          <w:szCs w:val="20"/>
          <w:color w:val="auto"/>
        </w:rPr>
        <w:tab/>
      </w:r>
      <w:r>
        <w:rPr>
          <w:rFonts w:ascii="Arial" w:cs="Arial" w:eastAsia="Arial" w:hAnsi="Arial"/>
          <w:sz w:val="31"/>
          <w:szCs w:val="31"/>
          <w:color w:val="auto"/>
          <w:vertAlign w:val="superscript"/>
        </w:rPr>
        <w:t xml:space="preserve">    </w:t>
      </w:r>
      <w:r>
        <w:rPr>
          <w:sz w:val="20"/>
          <w:szCs w:val="20"/>
          <w:color w:val="auto"/>
        </w:rPr>
        <w:tab/>
      </w:r>
      <w:r>
        <w:rPr>
          <w:rFonts w:ascii="Arial" w:cs="Arial" w:eastAsia="Arial" w:hAnsi="Arial"/>
          <w:sz w:val="15"/>
          <w:szCs w:val="15"/>
          <w:b w:val="1"/>
          <w:bCs w:val="1"/>
          <w:color w:val="002B5F"/>
        </w:rPr>
        <w:t xml:space="preserve">24  </w:t>
      </w:r>
      <w:r>
        <w:rPr>
          <w:rFonts w:ascii="Arial" w:cs="Arial" w:eastAsia="Arial" w:hAnsi="Arial"/>
          <w:sz w:val="20"/>
          <w:szCs w:val="20"/>
          <w:color w:val="002B5F"/>
        </w:rPr>
        <w:t>|</w:t>
      </w:r>
      <w:r>
        <w:rPr>
          <w:rFonts w:ascii="Arial" w:cs="Arial" w:eastAsia="Arial" w:hAnsi="Arial"/>
          <w:sz w:val="15"/>
          <w:szCs w:val="15"/>
          <w:b w:val="1"/>
          <w:bCs w:val="1"/>
          <w:color w:val="002B5F"/>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6111875</wp:posOffset>
            </wp:positionH>
            <wp:positionV relativeFrom="paragraph">
              <wp:posOffset>-208915</wp:posOffset>
            </wp:positionV>
            <wp:extent cx="769620" cy="971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69620" cy="97155"/>
                    </a:xfrm>
                    <a:prstGeom prst="rect">
                      <a:avLst/>
                    </a:prstGeom>
                    <a:noFill/>
                  </pic:spPr>
                </pic:pic>
              </a:graphicData>
            </a:graphic>
          </wp:anchor>
        </w:drawing>
      </w:r>
    </w:p>
    <w:p>
      <w:pPr>
        <w:sectPr>
          <w:pgSz w:w="11900" w:h="16838" w:orient="portrait"/>
          <w:cols w:equalWidth="0" w:num="1">
            <w:col w:w="10700"/>
          </w:cols>
          <w:pgMar w:left="320" w:top="464" w:right="879" w:bottom="1440" w:gutter="0" w:footer="0" w:header="0"/>
          <w:type w:val="continuous"/>
        </w:sectPr>
      </w:pPr>
    </w:p>
    <w:bookmarkStart w:id="32" w:name="page33"/>
    <w:bookmarkEnd w:id="3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5334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81215" cy="5334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5617845</wp:posOffset>
            </wp:positionH>
            <wp:positionV relativeFrom="paragraph">
              <wp:posOffset>253365</wp:posOffset>
            </wp:positionV>
            <wp:extent cx="1256030" cy="74720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256030" cy="747204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left="540"/>
        <w:spacing w:after="0"/>
        <w:rPr>
          <w:sz w:val="20"/>
          <w:szCs w:val="20"/>
          <w:color w:val="auto"/>
        </w:rPr>
      </w:pPr>
      <w:r>
        <w:rPr>
          <w:rFonts w:ascii="Arial" w:cs="Arial" w:eastAsia="Arial" w:hAnsi="Arial"/>
          <w:sz w:val="17"/>
          <w:szCs w:val="17"/>
          <w:b w:val="1"/>
          <w:bCs w:val="1"/>
          <w:color w:val="002B5F"/>
        </w:rPr>
        <w:t>HUMAN RESOURCES MANAGEMENT</w:t>
      </w:r>
    </w:p>
    <w:p>
      <w:pPr>
        <w:spacing w:after="0" w:line="49" w:lineRule="exact"/>
        <w:rPr>
          <w:sz w:val="20"/>
          <w:szCs w:val="20"/>
          <w:color w:val="auto"/>
        </w:rPr>
      </w:pPr>
    </w:p>
    <w:tbl>
      <w:tblPr>
        <w:tblLayout w:type="fixed"/>
        <w:tblInd w:w="540" w:type="dxa"/>
        <w:tblCellMar>
          <w:top w:w="0" w:type="dxa"/>
          <w:left w:w="0" w:type="dxa"/>
          <w:bottom w:w="0" w:type="dxa"/>
          <w:right w:w="0" w:type="dxa"/>
        </w:tblCellMar>
      </w:tblPr>
      <w:tr>
        <w:trPr>
          <w:trHeight w:val="138"/>
        </w:trPr>
        <w:tc>
          <w:tcPr>
            <w:tcW w:w="8100" w:type="dxa"/>
            <w:vAlign w:val="bottom"/>
            <w:vMerge w:val="restart"/>
          </w:tcPr>
          <w:p>
            <w:pPr>
              <w:spacing w:after="0"/>
              <w:rPr>
                <w:sz w:val="20"/>
                <w:szCs w:val="20"/>
                <w:color w:val="auto"/>
              </w:rPr>
            </w:pPr>
            <w:r>
              <w:rPr>
                <w:rFonts w:ascii="Arial" w:cs="Arial" w:eastAsia="Arial" w:hAnsi="Arial"/>
                <w:sz w:val="15"/>
                <w:szCs w:val="15"/>
                <w:color w:val="auto"/>
              </w:rPr>
              <w:t>Effective human resources management is an important driver of the Company’s continued success. We believe our</w:t>
            </w:r>
          </w:p>
        </w:tc>
        <w:tc>
          <w:tcPr>
            <w:tcW w:w="440" w:type="dxa"/>
            <w:vAlign w:val="bottom"/>
            <w:vMerge w:val="restart"/>
          </w:tcPr>
          <w:p>
            <w:pPr>
              <w:ind w:left="240"/>
              <w:spacing w:after="0"/>
              <w:rPr>
                <w:sz w:val="20"/>
                <w:szCs w:val="20"/>
                <w:color w:val="auto"/>
              </w:rPr>
            </w:pPr>
            <w:r>
              <w:rPr>
                <w:rFonts w:ascii="Arial" w:cs="Arial" w:eastAsia="Arial" w:hAnsi="Arial"/>
                <w:sz w:val="15"/>
                <w:szCs w:val="15"/>
                <w:color w:val="auto"/>
              </w:rPr>
              <w:t> </w:t>
            </w:r>
          </w:p>
        </w:tc>
        <w:tc>
          <w:tcPr>
            <w:tcW w:w="1280" w:type="dxa"/>
            <w:vAlign w:val="bottom"/>
          </w:tcPr>
          <w:p>
            <w:pPr>
              <w:ind w:left="140"/>
              <w:spacing w:after="0"/>
              <w:rPr>
                <w:sz w:val="20"/>
                <w:szCs w:val="20"/>
                <w:color w:val="auto"/>
              </w:rPr>
            </w:pPr>
            <w:r>
              <w:rPr>
                <w:rFonts w:ascii="Arial" w:cs="Arial" w:eastAsia="Arial" w:hAnsi="Arial"/>
                <w:sz w:val="12"/>
                <w:szCs w:val="12"/>
                <w:color w:val="FFFFFF"/>
              </w:rPr>
              <w:t>General</w:t>
            </w:r>
          </w:p>
        </w:tc>
        <w:tc>
          <w:tcPr>
            <w:tcW w:w="440" w:type="dxa"/>
            <w:vAlign w:val="bottom"/>
            <w:vMerge w:val="restart"/>
          </w:tcPr>
          <w:p>
            <w:pPr>
              <w:ind w:left="80"/>
              <w:spacing w:after="0"/>
              <w:rPr>
                <w:sz w:val="20"/>
                <w:szCs w:val="20"/>
                <w:color w:val="auto"/>
              </w:rPr>
            </w:pPr>
            <w:r>
              <w:rPr>
                <w:rFonts w:ascii="Arial" w:cs="Arial" w:eastAsia="Arial" w:hAnsi="Arial"/>
                <w:sz w:val="15"/>
                <w:szCs w:val="15"/>
                <w:color w:val="auto"/>
              </w:rPr>
              <w:t xml:space="preserve">       </w:t>
            </w:r>
          </w:p>
        </w:tc>
        <w:tc>
          <w:tcPr>
            <w:tcW w:w="0" w:type="dxa"/>
            <w:vAlign w:val="bottom"/>
          </w:tcPr>
          <w:p>
            <w:pPr>
              <w:spacing w:after="0"/>
              <w:rPr>
                <w:sz w:val="1"/>
                <w:szCs w:val="1"/>
                <w:color w:val="auto"/>
              </w:rPr>
            </w:pPr>
          </w:p>
        </w:tc>
      </w:tr>
      <w:tr>
        <w:trPr>
          <w:trHeight w:val="95"/>
        </w:trPr>
        <w:tc>
          <w:tcPr>
            <w:tcW w:w="8100" w:type="dxa"/>
            <w:vAlign w:val="bottom"/>
            <w:vMerge w:val="continue"/>
          </w:tcPr>
          <w:p>
            <w:pPr>
              <w:spacing w:after="0"/>
              <w:rPr>
                <w:sz w:val="8"/>
                <w:szCs w:val="8"/>
                <w:color w:val="auto"/>
              </w:rPr>
            </w:pPr>
          </w:p>
        </w:tc>
        <w:tc>
          <w:tcPr>
            <w:tcW w:w="440" w:type="dxa"/>
            <w:vAlign w:val="bottom"/>
            <w:vMerge w:val="continue"/>
          </w:tcPr>
          <w:p>
            <w:pPr>
              <w:spacing w:after="0"/>
              <w:rPr>
                <w:sz w:val="8"/>
                <w:szCs w:val="8"/>
                <w:color w:val="auto"/>
              </w:rPr>
            </w:pPr>
          </w:p>
        </w:tc>
        <w:tc>
          <w:tcPr>
            <w:tcW w:w="1280" w:type="dxa"/>
            <w:vAlign w:val="bottom"/>
            <w:vMerge w:val="restart"/>
          </w:tcPr>
          <w:p>
            <w:pPr>
              <w:ind w:left="140"/>
              <w:spacing w:after="0"/>
              <w:rPr>
                <w:sz w:val="20"/>
                <w:szCs w:val="20"/>
                <w:color w:val="auto"/>
              </w:rPr>
            </w:pPr>
            <w:r>
              <w:rPr>
                <w:rFonts w:ascii="Arial" w:cs="Arial" w:eastAsia="Arial" w:hAnsi="Arial"/>
                <w:sz w:val="12"/>
                <w:szCs w:val="12"/>
                <w:color w:val="FFFFFF"/>
              </w:rPr>
              <w:t>Information</w:t>
            </w:r>
          </w:p>
        </w:tc>
        <w:tc>
          <w:tcPr>
            <w:tcW w:w="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3"/>
        </w:trPr>
        <w:tc>
          <w:tcPr>
            <w:tcW w:w="8100" w:type="dxa"/>
            <w:vAlign w:val="bottom"/>
            <w:vMerge w:val="restart"/>
          </w:tcPr>
          <w:p>
            <w:pPr>
              <w:spacing w:after="0"/>
              <w:rPr>
                <w:sz w:val="20"/>
                <w:szCs w:val="20"/>
                <w:color w:val="auto"/>
              </w:rPr>
            </w:pPr>
            <w:r>
              <w:rPr>
                <w:rFonts w:ascii="Arial" w:cs="Arial" w:eastAsia="Arial" w:hAnsi="Arial"/>
                <w:sz w:val="15"/>
                <w:szCs w:val="15"/>
                <w:color w:val="auto"/>
              </w:rPr>
              <w:t>employees are key to creating long-term value for our stockholders, and that our corporate culture is a critical</w:t>
            </w:r>
          </w:p>
        </w:tc>
        <w:tc>
          <w:tcPr>
            <w:tcW w:w="440" w:type="dxa"/>
            <w:vAlign w:val="bottom"/>
          </w:tcPr>
          <w:p>
            <w:pPr>
              <w:spacing w:after="0"/>
              <w:rPr>
                <w:sz w:val="5"/>
                <w:szCs w:val="5"/>
                <w:color w:val="auto"/>
              </w:rPr>
            </w:pPr>
          </w:p>
        </w:tc>
        <w:tc>
          <w:tcPr>
            <w:tcW w:w="128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6"/>
        </w:trPr>
        <w:tc>
          <w:tcPr>
            <w:tcW w:w="8100" w:type="dxa"/>
            <w:vAlign w:val="bottom"/>
            <w:vMerge w:val="continue"/>
          </w:tcPr>
          <w:p>
            <w:pPr>
              <w:spacing w:after="0"/>
              <w:rPr>
                <w:sz w:val="10"/>
                <w:szCs w:val="10"/>
                <w:color w:val="auto"/>
              </w:rPr>
            </w:pPr>
          </w:p>
        </w:tc>
        <w:tc>
          <w:tcPr>
            <w:tcW w:w="44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8100" w:type="dxa"/>
            <w:vAlign w:val="bottom"/>
          </w:tcPr>
          <w:p>
            <w:pPr>
              <w:spacing w:after="0" w:line="153" w:lineRule="exact"/>
              <w:rPr>
                <w:sz w:val="20"/>
                <w:szCs w:val="20"/>
                <w:color w:val="auto"/>
              </w:rPr>
            </w:pPr>
            <w:r>
              <w:rPr>
                <w:rFonts w:ascii="Arial" w:cs="Arial" w:eastAsia="Arial" w:hAnsi="Arial"/>
                <w:sz w:val="15"/>
                <w:szCs w:val="15"/>
                <w:color w:val="auto"/>
              </w:rPr>
              <w:t>foundation of the success of our business strategy. We are committed to being a great place to work for our</w:t>
            </w:r>
          </w:p>
        </w:tc>
        <w:tc>
          <w:tcPr>
            <w:tcW w:w="440" w:type="dxa"/>
            <w:vAlign w:val="bottom"/>
          </w:tcPr>
          <w:p>
            <w:pPr>
              <w:spacing w:after="0"/>
              <w:rPr>
                <w:sz w:val="13"/>
                <w:szCs w:val="13"/>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General Information</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8100" w:type="dxa"/>
            <w:vAlign w:val="bottom"/>
          </w:tcPr>
          <w:p>
            <w:pPr>
              <w:spacing w:after="0"/>
              <w:rPr>
                <w:sz w:val="20"/>
                <w:szCs w:val="20"/>
                <w:color w:val="auto"/>
              </w:rPr>
            </w:pPr>
            <w:r>
              <w:rPr>
                <w:rFonts w:ascii="Arial" w:cs="Arial" w:eastAsia="Arial" w:hAnsi="Arial"/>
                <w:sz w:val="15"/>
                <w:szCs w:val="15"/>
                <w:color w:val="auto"/>
              </w:rPr>
              <w:t>employees and fostering a culture that enables us to build and grow a diverse and inclusive team. We also</w:t>
            </w:r>
          </w:p>
        </w:tc>
        <w:tc>
          <w:tcPr>
            <w:tcW w:w="440" w:type="dxa"/>
            <w:vAlign w:val="bottom"/>
          </w:tcPr>
          <w:p>
            <w:pPr>
              <w:spacing w:after="0"/>
              <w:rPr>
                <w:sz w:val="15"/>
                <w:szCs w:val="15"/>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About Corporate</w:t>
            </w: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2"/>
        </w:trPr>
        <w:tc>
          <w:tcPr>
            <w:tcW w:w="8100" w:type="dxa"/>
            <w:vAlign w:val="bottom"/>
            <w:vMerge w:val="restart"/>
          </w:tcPr>
          <w:p>
            <w:pPr>
              <w:spacing w:after="0"/>
              <w:rPr>
                <w:sz w:val="20"/>
                <w:szCs w:val="20"/>
                <w:color w:val="auto"/>
              </w:rPr>
            </w:pPr>
            <w:r>
              <w:rPr>
                <w:rFonts w:ascii="Arial" w:cs="Arial" w:eastAsia="Arial" w:hAnsi="Arial"/>
                <w:sz w:val="15"/>
                <w:szCs w:val="15"/>
                <w:color w:val="auto"/>
              </w:rPr>
              <w:t>recognize that attracting, retaining and developing talent helps deliver value to our clients and ensure the</w:t>
            </w:r>
          </w:p>
        </w:tc>
        <w:tc>
          <w:tcPr>
            <w:tcW w:w="440" w:type="dxa"/>
            <w:vAlign w:val="bottom"/>
          </w:tcPr>
          <w:p>
            <w:pPr>
              <w:spacing w:after="0"/>
              <w:rPr>
                <w:sz w:val="6"/>
                <w:szCs w:val="6"/>
                <w:color w:val="auto"/>
              </w:rPr>
            </w:pPr>
          </w:p>
        </w:tc>
        <w:tc>
          <w:tcPr>
            <w:tcW w:w="1280" w:type="dxa"/>
            <w:vAlign w:val="bottom"/>
          </w:tcPr>
          <w:p>
            <w:pPr>
              <w:ind w:left="140"/>
              <w:spacing w:after="0" w:line="72" w:lineRule="exact"/>
              <w:rPr>
                <w:sz w:val="20"/>
                <w:szCs w:val="20"/>
                <w:color w:val="auto"/>
              </w:rPr>
            </w:pPr>
            <w:r>
              <w:rPr>
                <w:rFonts w:ascii="Arial" w:cs="Arial" w:eastAsia="Arial" w:hAnsi="Arial"/>
                <w:sz w:val="8"/>
                <w:szCs w:val="8"/>
                <w:color w:val="FFFFFF"/>
              </w:rPr>
              <w:t>Governance</w:t>
            </w:r>
          </w:p>
        </w:tc>
        <w:tc>
          <w:tcPr>
            <w:tcW w:w="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8"/>
        </w:trPr>
        <w:tc>
          <w:tcPr>
            <w:tcW w:w="8100" w:type="dxa"/>
            <w:vAlign w:val="bottom"/>
            <w:vMerge w:val="continue"/>
          </w:tcPr>
          <w:p>
            <w:pPr>
              <w:spacing w:after="0"/>
              <w:rPr>
                <w:sz w:val="11"/>
                <w:szCs w:val="11"/>
                <w:color w:val="auto"/>
              </w:rPr>
            </w:pPr>
          </w:p>
        </w:tc>
        <w:tc>
          <w:tcPr>
            <w:tcW w:w="440" w:type="dxa"/>
            <w:vAlign w:val="bottom"/>
          </w:tcPr>
          <w:p>
            <w:pPr>
              <w:spacing w:after="0"/>
              <w:rPr>
                <w:sz w:val="11"/>
                <w:szCs w:val="11"/>
                <w:color w:val="auto"/>
              </w:rPr>
            </w:pPr>
          </w:p>
        </w:tc>
        <w:tc>
          <w:tcPr>
            <w:tcW w:w="1280" w:type="dxa"/>
            <w:vAlign w:val="bottom"/>
          </w:tcPr>
          <w:p>
            <w:pPr>
              <w:ind w:left="140"/>
              <w:spacing w:after="0" w:line="128" w:lineRule="exact"/>
              <w:rPr>
                <w:sz w:val="20"/>
                <w:szCs w:val="20"/>
                <w:color w:val="auto"/>
              </w:rPr>
            </w:pPr>
            <w:r>
              <w:rPr>
                <w:rFonts w:ascii="Arial" w:cs="Arial" w:eastAsia="Arial" w:hAnsi="Arial"/>
                <w:sz w:val="12"/>
                <w:szCs w:val="12"/>
                <w:color w:val="FFFFFF"/>
              </w:rPr>
              <w:t>and the Board of</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6"/>
        </w:trPr>
        <w:tc>
          <w:tcPr>
            <w:tcW w:w="8100" w:type="dxa"/>
            <w:vAlign w:val="bottom"/>
          </w:tcPr>
          <w:p>
            <w:pPr>
              <w:spacing w:after="0"/>
              <w:rPr>
                <w:sz w:val="20"/>
                <w:szCs w:val="20"/>
                <w:color w:val="auto"/>
              </w:rPr>
            </w:pPr>
            <w:r>
              <w:rPr>
                <w:rFonts w:ascii="Arial" w:cs="Arial" w:eastAsia="Arial" w:hAnsi="Arial"/>
                <w:sz w:val="15"/>
                <w:szCs w:val="15"/>
                <w:color w:val="auto"/>
              </w:rPr>
              <w:t>sustainability of our business.</w:t>
            </w:r>
          </w:p>
        </w:tc>
        <w:tc>
          <w:tcPr>
            <w:tcW w:w="440" w:type="dxa"/>
            <w:vAlign w:val="bottom"/>
          </w:tcPr>
          <w:p>
            <w:pPr>
              <w:spacing w:after="0"/>
              <w:rPr>
                <w:sz w:val="17"/>
                <w:szCs w:val="17"/>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Directors</w:t>
            </w: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9"/>
        </w:trPr>
        <w:tc>
          <w:tcPr>
            <w:tcW w:w="8100" w:type="dxa"/>
            <w:vAlign w:val="bottom"/>
          </w:tcPr>
          <w:p>
            <w:pPr>
              <w:spacing w:after="0"/>
              <w:rPr>
                <w:sz w:val="20"/>
                <w:szCs w:val="20"/>
                <w:color w:val="auto"/>
              </w:rPr>
            </w:pPr>
            <w:r>
              <w:rPr>
                <w:rFonts w:ascii="Arial" w:cs="Arial" w:eastAsia="Arial" w:hAnsi="Arial"/>
                <w:sz w:val="15"/>
                <w:szCs w:val="15"/>
                <w:color w:val="auto"/>
              </w:rPr>
              <w:t>The Compensation Committee generally oversees our human resources management practices, which include our</w:t>
            </w:r>
          </w:p>
        </w:tc>
        <w:tc>
          <w:tcPr>
            <w:tcW w:w="440" w:type="dxa"/>
            <w:vAlign w:val="bottom"/>
          </w:tcPr>
          <w:p>
            <w:pPr>
              <w:spacing w:after="0"/>
              <w:rPr>
                <w:sz w:val="22"/>
                <w:szCs w:val="22"/>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Proposal 1</w:t>
            </w:r>
          </w:p>
        </w:tc>
        <w:tc>
          <w:tcPr>
            <w:tcW w:w="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9"/>
        </w:trPr>
        <w:tc>
          <w:tcPr>
            <w:tcW w:w="8100" w:type="dxa"/>
            <w:vAlign w:val="bottom"/>
          </w:tcPr>
          <w:p>
            <w:pPr>
              <w:spacing w:after="0"/>
              <w:rPr>
                <w:sz w:val="20"/>
                <w:szCs w:val="20"/>
                <w:color w:val="auto"/>
              </w:rPr>
            </w:pPr>
            <w:r>
              <w:rPr>
                <w:rFonts w:ascii="Arial" w:cs="Arial" w:eastAsia="Arial" w:hAnsi="Arial"/>
                <w:sz w:val="15"/>
                <w:szCs w:val="15"/>
                <w:color w:val="auto"/>
              </w:rPr>
              <w:t>pay equity process. Our Board also provides oversight for certain human resources strategies, programs and</w:t>
            </w:r>
          </w:p>
        </w:tc>
        <w:tc>
          <w:tcPr>
            <w:tcW w:w="440" w:type="dxa"/>
            <w:vAlign w:val="bottom"/>
          </w:tcPr>
          <w:p>
            <w:pPr>
              <w:spacing w:after="0"/>
              <w:rPr>
                <w:sz w:val="15"/>
                <w:szCs w:val="15"/>
                <w:color w:val="auto"/>
              </w:rPr>
            </w:pPr>
          </w:p>
        </w:tc>
        <w:tc>
          <w:tcPr>
            <w:tcW w:w="1280" w:type="dxa"/>
            <w:vAlign w:val="bottom"/>
            <w:vMerge w:val="restart"/>
          </w:tcPr>
          <w:p>
            <w:pPr>
              <w:ind w:left="140"/>
              <w:spacing w:after="0"/>
              <w:rPr>
                <w:sz w:val="20"/>
                <w:szCs w:val="20"/>
                <w:color w:val="auto"/>
              </w:rPr>
            </w:pPr>
            <w:r>
              <w:rPr>
                <w:rFonts w:ascii="Arial" w:cs="Arial" w:eastAsia="Arial" w:hAnsi="Arial"/>
                <w:sz w:val="12"/>
                <w:szCs w:val="12"/>
                <w:b w:val="1"/>
                <w:bCs w:val="1"/>
                <w:color w:val="FFFFFF"/>
              </w:rPr>
              <w:t>Information</w:t>
            </w: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1"/>
        </w:trPr>
        <w:tc>
          <w:tcPr>
            <w:tcW w:w="8100" w:type="dxa"/>
            <w:vAlign w:val="bottom"/>
            <w:vMerge w:val="restart"/>
          </w:tcPr>
          <w:p>
            <w:pPr>
              <w:spacing w:after="0"/>
              <w:rPr>
                <w:sz w:val="20"/>
                <w:szCs w:val="20"/>
                <w:color w:val="auto"/>
              </w:rPr>
            </w:pPr>
            <w:r>
              <w:rPr>
                <w:rFonts w:ascii="Arial" w:cs="Arial" w:eastAsia="Arial" w:hAnsi="Arial"/>
                <w:sz w:val="15"/>
                <w:szCs w:val="15"/>
                <w:color w:val="auto"/>
              </w:rPr>
              <w:t>practices, including our culture of inclusion and belonging (“I&amp;B”) programs for employees. The Compensation</w:t>
            </w:r>
          </w:p>
        </w:tc>
        <w:tc>
          <w:tcPr>
            <w:tcW w:w="44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0"/>
        </w:trPr>
        <w:tc>
          <w:tcPr>
            <w:tcW w:w="8100" w:type="dxa"/>
            <w:vAlign w:val="bottom"/>
            <w:vMerge w:val="continue"/>
          </w:tcPr>
          <w:p>
            <w:pPr>
              <w:spacing w:after="0"/>
              <w:rPr>
                <w:sz w:val="10"/>
                <w:szCs w:val="10"/>
                <w:color w:val="auto"/>
              </w:rPr>
            </w:pPr>
          </w:p>
        </w:tc>
        <w:tc>
          <w:tcPr>
            <w:tcW w:w="440" w:type="dxa"/>
            <w:vAlign w:val="bottom"/>
          </w:tcPr>
          <w:p>
            <w:pPr>
              <w:spacing w:after="0"/>
              <w:rPr>
                <w:sz w:val="10"/>
                <w:szCs w:val="10"/>
                <w:color w:val="auto"/>
              </w:rPr>
            </w:pPr>
          </w:p>
        </w:tc>
        <w:tc>
          <w:tcPr>
            <w:tcW w:w="1280" w:type="dxa"/>
            <w:vAlign w:val="bottom"/>
          </w:tcPr>
          <w:p>
            <w:pPr>
              <w:ind w:left="140"/>
              <w:spacing w:after="0" w:line="120" w:lineRule="exact"/>
              <w:rPr>
                <w:sz w:val="20"/>
                <w:szCs w:val="20"/>
                <w:color w:val="auto"/>
              </w:rPr>
            </w:pPr>
            <w:r>
              <w:rPr>
                <w:rFonts w:ascii="Arial" w:cs="Arial" w:eastAsia="Arial" w:hAnsi="Arial"/>
                <w:sz w:val="12"/>
                <w:szCs w:val="12"/>
                <w:b w:val="1"/>
                <w:bCs w:val="1"/>
                <w:color w:val="FFFFFF"/>
              </w:rPr>
              <w:t>Regarding Board</w:t>
            </w: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8100" w:type="dxa"/>
            <w:vAlign w:val="bottom"/>
          </w:tcPr>
          <w:p>
            <w:pPr>
              <w:spacing w:after="0" w:line="141" w:lineRule="exact"/>
              <w:rPr>
                <w:sz w:val="20"/>
                <w:szCs w:val="20"/>
                <w:color w:val="auto"/>
              </w:rPr>
            </w:pPr>
            <w:r>
              <w:rPr>
                <w:rFonts w:ascii="Arial" w:cs="Arial" w:eastAsia="Arial" w:hAnsi="Arial"/>
                <w:sz w:val="15"/>
                <w:szCs w:val="15"/>
                <w:color w:val="auto"/>
              </w:rPr>
              <w:t>Committee and our Board engage with our leadership team on a regular basis on the following human resources</w:t>
            </w:r>
          </w:p>
        </w:tc>
        <w:tc>
          <w:tcPr>
            <w:tcW w:w="440" w:type="dxa"/>
            <w:vAlign w:val="bottom"/>
          </w:tcPr>
          <w:p>
            <w:pPr>
              <w:spacing w:after="0"/>
              <w:rPr>
                <w:sz w:val="12"/>
                <w:szCs w:val="12"/>
                <w:color w:val="auto"/>
              </w:rPr>
            </w:pPr>
          </w:p>
        </w:tc>
        <w:tc>
          <w:tcPr>
            <w:tcW w:w="1280" w:type="dxa"/>
            <w:vAlign w:val="bottom"/>
          </w:tcPr>
          <w:p>
            <w:pPr>
              <w:ind w:left="140"/>
              <w:spacing w:after="0"/>
              <w:rPr>
                <w:sz w:val="20"/>
                <w:szCs w:val="20"/>
                <w:color w:val="auto"/>
              </w:rPr>
            </w:pPr>
            <w:r>
              <w:rPr>
                <w:rFonts w:ascii="Arial" w:cs="Arial" w:eastAsia="Arial" w:hAnsi="Arial"/>
                <w:sz w:val="12"/>
                <w:szCs w:val="12"/>
                <w:b w:val="1"/>
                <w:bCs w:val="1"/>
                <w:color w:val="FFFFFF"/>
              </w:rPr>
              <w:t>and Committee</w:t>
            </w: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7"/>
        </w:trPr>
        <w:tc>
          <w:tcPr>
            <w:tcW w:w="8100" w:type="dxa"/>
            <w:vAlign w:val="bottom"/>
          </w:tcPr>
          <w:p>
            <w:pPr>
              <w:spacing w:after="0"/>
              <w:rPr>
                <w:sz w:val="20"/>
                <w:szCs w:val="20"/>
                <w:color w:val="auto"/>
              </w:rPr>
            </w:pPr>
            <w:r>
              <w:rPr>
                <w:rFonts w:ascii="Arial" w:cs="Arial" w:eastAsia="Arial" w:hAnsi="Arial"/>
                <w:sz w:val="15"/>
                <w:szCs w:val="15"/>
                <w:color w:val="auto"/>
              </w:rPr>
              <w:t>management topics:</w:t>
            </w:r>
          </w:p>
        </w:tc>
        <w:tc>
          <w:tcPr>
            <w:tcW w:w="440" w:type="dxa"/>
            <w:vAlign w:val="bottom"/>
          </w:tcPr>
          <w:p>
            <w:pPr>
              <w:spacing w:after="0"/>
              <w:rPr>
                <w:sz w:val="19"/>
                <w:szCs w:val="19"/>
                <w:color w:val="auto"/>
              </w:rPr>
            </w:pPr>
          </w:p>
        </w:tc>
        <w:tc>
          <w:tcPr>
            <w:tcW w:w="1280" w:type="dxa"/>
            <w:vAlign w:val="bottom"/>
          </w:tcPr>
          <w:p>
            <w:pPr>
              <w:ind w:left="140"/>
              <w:spacing w:after="0"/>
              <w:rPr>
                <w:sz w:val="20"/>
                <w:szCs w:val="20"/>
                <w:color w:val="auto"/>
              </w:rPr>
            </w:pPr>
            <w:r>
              <w:rPr>
                <w:rFonts w:ascii="Arial" w:cs="Arial" w:eastAsia="Arial" w:hAnsi="Arial"/>
                <w:sz w:val="12"/>
                <w:szCs w:val="12"/>
                <w:b w:val="1"/>
                <w:bCs w:val="1"/>
                <w:color w:val="FFFFFF"/>
              </w:rPr>
              <w:t>Structure</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8100" w:type="dxa"/>
            <w:vAlign w:val="bottom"/>
          </w:tcPr>
          <w:p>
            <w:pPr>
              <w:spacing w:after="0"/>
              <w:rPr>
                <w:sz w:val="20"/>
                <w:szCs w:val="20"/>
                <w:color w:val="auto"/>
              </w:rPr>
            </w:pPr>
            <w:r>
              <w:rPr>
                <w:rFonts w:ascii="Arial" w:cs="Arial" w:eastAsia="Arial" w:hAnsi="Arial"/>
                <w:sz w:val="15"/>
                <w:szCs w:val="15"/>
                <w:color w:val="auto"/>
              </w:rPr>
              <w:t>•   employee compensation and benefits programs encompassing salary, equity awards and other programs that</w:t>
            </w:r>
          </w:p>
        </w:tc>
        <w:tc>
          <w:tcPr>
            <w:tcW w:w="440" w:type="dxa"/>
            <w:vAlign w:val="bottom"/>
          </w:tcPr>
          <w:p>
            <w:pPr>
              <w:spacing w:after="0"/>
              <w:rPr>
                <w:sz w:val="21"/>
                <w:szCs w:val="21"/>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Board of Directors</w:t>
            </w: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8100" w:type="dxa"/>
            <w:vAlign w:val="bottom"/>
            <w:vMerge w:val="restart"/>
          </w:tcPr>
          <w:p>
            <w:pPr>
              <w:ind w:left="260"/>
              <w:spacing w:after="0"/>
              <w:rPr>
                <w:sz w:val="20"/>
                <w:szCs w:val="20"/>
                <w:color w:val="auto"/>
              </w:rPr>
            </w:pPr>
            <w:r>
              <w:rPr>
                <w:rFonts w:ascii="Arial" w:cs="Arial" w:eastAsia="Arial" w:hAnsi="Arial"/>
                <w:sz w:val="15"/>
                <w:szCs w:val="15"/>
                <w:color w:val="auto"/>
              </w:rPr>
              <w:t>are competitive in the market;</w:t>
            </w:r>
          </w:p>
        </w:tc>
        <w:tc>
          <w:tcPr>
            <w:tcW w:w="440" w:type="dxa"/>
            <w:vAlign w:val="bottom"/>
          </w:tcPr>
          <w:p>
            <w:pPr>
              <w:spacing w:after="0"/>
              <w:rPr>
                <w:sz w:val="13"/>
                <w:szCs w:val="13"/>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Compensation</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9"/>
        </w:trPr>
        <w:tc>
          <w:tcPr>
            <w:tcW w:w="810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1280" w:type="dxa"/>
            <w:vAlign w:val="bottom"/>
          </w:tcPr>
          <w:p>
            <w:pPr>
              <w:spacing w:after="0"/>
              <w:rPr>
                <w:sz w:val="5"/>
                <w:szCs w:val="5"/>
                <w:color w:val="auto"/>
              </w:rPr>
            </w:pPr>
          </w:p>
        </w:tc>
        <w:tc>
          <w:tcPr>
            <w:tcW w:w="4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1" w:lineRule="exact"/>
        <w:rPr>
          <w:sz w:val="20"/>
          <w:szCs w:val="20"/>
          <w:color w:val="auto"/>
        </w:rPr>
      </w:pPr>
    </w:p>
    <w:p>
      <w:pPr>
        <w:sectPr>
          <w:pgSz w:w="11900" w:h="16838" w:orient="portrait"/>
          <w:cols w:equalWidth="0" w:num="1">
            <w:col w:w="10800"/>
          </w:cols>
          <w:pgMar w:left="320" w:top="464" w:right="779" w:bottom="1440" w:gutter="0" w:footer="0" w:header="0"/>
        </w:sectPr>
      </w:pPr>
    </w:p>
    <w:p>
      <w:pPr>
        <w:spacing w:after="0" w:line="82" w:lineRule="exact"/>
        <w:rPr>
          <w:sz w:val="20"/>
          <w:szCs w:val="20"/>
          <w:color w:val="auto"/>
        </w:rPr>
      </w:pPr>
    </w:p>
    <w:p>
      <w:pPr>
        <w:ind w:left="800" w:right="680" w:hanging="261"/>
        <w:spacing w:after="0" w:line="287" w:lineRule="auto"/>
        <w:tabs>
          <w:tab w:leader="none" w:pos="800" w:val="left"/>
        </w:tabs>
        <w:numPr>
          <w:ilvl w:val="0"/>
          <w:numId w:val="43"/>
        </w:numPr>
        <w:rPr>
          <w:rFonts w:ascii="Arial" w:cs="Arial" w:eastAsia="Arial" w:hAnsi="Arial"/>
          <w:sz w:val="15"/>
          <w:szCs w:val="15"/>
          <w:color w:val="auto"/>
        </w:rPr>
      </w:pPr>
      <w:r>
        <w:rPr>
          <w:rFonts w:ascii="Arial" w:cs="Arial" w:eastAsia="Arial" w:hAnsi="Arial"/>
          <w:sz w:val="15"/>
          <w:szCs w:val="15"/>
          <w:color w:val="auto"/>
        </w:rPr>
        <w:t>performance management and succession planning for our chief executive officer and each of our other executive officers;</w:t>
      </w:r>
    </w:p>
    <w:p>
      <w:pPr>
        <w:spacing w:after="0" w:line="59" w:lineRule="exact"/>
        <w:rPr>
          <w:rFonts w:ascii="Arial" w:cs="Arial" w:eastAsia="Arial" w:hAnsi="Arial"/>
          <w:sz w:val="15"/>
          <w:szCs w:val="15"/>
          <w:color w:val="auto"/>
        </w:rPr>
      </w:pPr>
    </w:p>
    <w:p>
      <w:pPr>
        <w:ind w:left="800" w:right="580" w:hanging="261"/>
        <w:spacing w:after="0" w:line="287" w:lineRule="auto"/>
        <w:tabs>
          <w:tab w:leader="none" w:pos="800" w:val="left"/>
        </w:tabs>
        <w:numPr>
          <w:ilvl w:val="0"/>
          <w:numId w:val="43"/>
        </w:numPr>
        <w:rPr>
          <w:rFonts w:ascii="Arial" w:cs="Arial" w:eastAsia="Arial" w:hAnsi="Arial"/>
          <w:sz w:val="15"/>
          <w:szCs w:val="15"/>
          <w:color w:val="auto"/>
        </w:rPr>
      </w:pPr>
      <w:r>
        <w:rPr>
          <w:rFonts w:ascii="Arial" w:cs="Arial" w:eastAsia="Arial" w:hAnsi="Arial"/>
          <w:sz w:val="15"/>
          <w:szCs w:val="15"/>
          <w:color w:val="auto"/>
        </w:rPr>
        <w:t>executive talent acquisition and development, including forward-looking talent assessments based on our evolving business and strategy;</w:t>
      </w:r>
    </w:p>
    <w:p>
      <w:pPr>
        <w:spacing w:after="0" w:line="59" w:lineRule="exact"/>
        <w:rPr>
          <w:rFonts w:ascii="Arial" w:cs="Arial" w:eastAsia="Arial" w:hAnsi="Arial"/>
          <w:sz w:val="15"/>
          <w:szCs w:val="15"/>
          <w:color w:val="auto"/>
        </w:rPr>
      </w:pPr>
    </w:p>
    <w:p>
      <w:pPr>
        <w:ind w:left="800" w:hanging="261"/>
        <w:spacing w:after="0"/>
        <w:tabs>
          <w:tab w:leader="none" w:pos="800" w:val="left"/>
        </w:tabs>
        <w:numPr>
          <w:ilvl w:val="0"/>
          <w:numId w:val="43"/>
        </w:numPr>
        <w:rPr>
          <w:rFonts w:ascii="Arial" w:cs="Arial" w:eastAsia="Arial" w:hAnsi="Arial"/>
          <w:sz w:val="15"/>
          <w:szCs w:val="15"/>
          <w:color w:val="auto"/>
        </w:rPr>
      </w:pPr>
      <w:r>
        <w:rPr>
          <w:rFonts w:ascii="Arial" w:cs="Arial" w:eastAsia="Arial" w:hAnsi="Arial"/>
          <w:sz w:val="15"/>
          <w:szCs w:val="15"/>
          <w:color w:val="auto"/>
        </w:rPr>
        <w:t>employee engagement, including the results of our annual confidential company-wide surveys;</w:t>
      </w:r>
    </w:p>
    <w:p>
      <w:pPr>
        <w:spacing w:after="0" w:line="121" w:lineRule="exact"/>
        <w:rPr>
          <w:rFonts w:ascii="Arial" w:cs="Arial" w:eastAsia="Arial" w:hAnsi="Arial"/>
          <w:sz w:val="15"/>
          <w:szCs w:val="15"/>
          <w:color w:val="auto"/>
        </w:rPr>
      </w:pPr>
    </w:p>
    <w:p>
      <w:pPr>
        <w:ind w:left="800" w:hanging="261"/>
        <w:spacing w:after="0"/>
        <w:tabs>
          <w:tab w:leader="none" w:pos="800" w:val="left"/>
        </w:tabs>
        <w:numPr>
          <w:ilvl w:val="0"/>
          <w:numId w:val="43"/>
        </w:numPr>
        <w:rPr>
          <w:rFonts w:ascii="Arial" w:cs="Arial" w:eastAsia="Arial" w:hAnsi="Arial"/>
          <w:sz w:val="15"/>
          <w:szCs w:val="15"/>
          <w:color w:val="auto"/>
        </w:rPr>
      </w:pPr>
      <w:r>
        <w:rPr>
          <w:rFonts w:ascii="Arial" w:cs="Arial" w:eastAsia="Arial" w:hAnsi="Arial"/>
          <w:sz w:val="15"/>
          <w:szCs w:val="15"/>
          <w:color w:val="auto"/>
        </w:rPr>
        <w:t>employee health and well-being, including maintaining a respectful workplace; and</w:t>
      </w:r>
    </w:p>
    <w:p>
      <w:pPr>
        <w:spacing w:after="0" w:line="121" w:lineRule="exact"/>
        <w:rPr>
          <w:rFonts w:ascii="Arial" w:cs="Arial" w:eastAsia="Arial" w:hAnsi="Arial"/>
          <w:sz w:val="15"/>
          <w:szCs w:val="15"/>
          <w:color w:val="auto"/>
        </w:rPr>
      </w:pPr>
    </w:p>
    <w:p>
      <w:pPr>
        <w:ind w:left="800" w:hanging="261"/>
        <w:spacing w:after="0"/>
        <w:tabs>
          <w:tab w:leader="none" w:pos="800" w:val="left"/>
        </w:tabs>
        <w:numPr>
          <w:ilvl w:val="0"/>
          <w:numId w:val="43"/>
        </w:numPr>
        <w:rPr>
          <w:rFonts w:ascii="Arial" w:cs="Arial" w:eastAsia="Arial" w:hAnsi="Arial"/>
          <w:sz w:val="15"/>
          <w:szCs w:val="15"/>
          <w:color w:val="auto"/>
        </w:rPr>
      </w:pPr>
      <w:r>
        <w:rPr>
          <w:rFonts w:ascii="Arial" w:cs="Arial" w:eastAsia="Arial" w:hAnsi="Arial"/>
          <w:sz w:val="15"/>
          <w:szCs w:val="15"/>
          <w:color w:val="auto"/>
        </w:rPr>
        <w:t>corporate culture.</w:t>
      </w:r>
    </w:p>
    <w:p>
      <w:pPr>
        <w:spacing w:after="0" w:line="108" w:lineRule="exact"/>
        <w:rPr>
          <w:sz w:val="20"/>
          <w:szCs w:val="20"/>
          <w:color w:val="auto"/>
        </w:rPr>
      </w:pPr>
    </w:p>
    <w:p>
      <w:pPr>
        <w:ind w:left="540" w:right="140"/>
        <w:spacing w:after="0" w:line="287" w:lineRule="auto"/>
        <w:rPr>
          <w:sz w:val="20"/>
          <w:szCs w:val="20"/>
          <w:color w:val="auto"/>
        </w:rPr>
      </w:pPr>
      <w:r>
        <w:rPr>
          <w:rFonts w:ascii="Arial" w:cs="Arial" w:eastAsia="Arial" w:hAnsi="Arial"/>
          <w:sz w:val="15"/>
          <w:szCs w:val="15"/>
          <w:color w:val="auto"/>
        </w:rPr>
        <w:t>We are committed to fostering a respectful, rewarding workplace in which all of our employees are positioned to succeed. As part of that commitment, in 2025 our Board and the Compensation Committee focused in particular on:</w:t>
      </w:r>
    </w:p>
    <w:p>
      <w:pPr>
        <w:spacing w:after="0" w:line="60" w:lineRule="exact"/>
        <w:rPr>
          <w:sz w:val="20"/>
          <w:szCs w:val="20"/>
          <w:color w:val="auto"/>
        </w:rPr>
      </w:pPr>
    </w:p>
    <w:p>
      <w:pPr>
        <w:ind w:left="800" w:right="200" w:hanging="261"/>
        <w:spacing w:after="0" w:line="287" w:lineRule="auto"/>
        <w:tabs>
          <w:tab w:leader="none" w:pos="800" w:val="left"/>
        </w:tabs>
        <w:numPr>
          <w:ilvl w:val="0"/>
          <w:numId w:val="44"/>
        </w:numPr>
        <w:rPr>
          <w:rFonts w:ascii="Arial" w:cs="Arial" w:eastAsia="Arial" w:hAnsi="Arial"/>
          <w:sz w:val="15"/>
          <w:szCs w:val="15"/>
          <w:color w:val="auto"/>
        </w:rPr>
      </w:pPr>
      <w:r>
        <w:rPr>
          <w:rFonts w:ascii="Arial" w:cs="Arial" w:eastAsia="Arial" w:hAnsi="Arial"/>
          <w:sz w:val="15"/>
          <w:szCs w:val="15"/>
          <w:color w:val="auto"/>
        </w:rPr>
        <w:t>evolving employee engagement and the employee experience, including through the activation of an employee ambassador council;</w:t>
      </w:r>
    </w:p>
    <w:p>
      <w:pPr>
        <w:spacing w:after="0" w:line="59" w:lineRule="exact"/>
        <w:rPr>
          <w:rFonts w:ascii="Arial" w:cs="Arial" w:eastAsia="Arial" w:hAnsi="Arial"/>
          <w:sz w:val="15"/>
          <w:szCs w:val="15"/>
          <w:color w:val="auto"/>
        </w:rPr>
      </w:pPr>
    </w:p>
    <w:p>
      <w:pPr>
        <w:ind w:left="800" w:right="480" w:hanging="261"/>
        <w:spacing w:after="0" w:line="287" w:lineRule="auto"/>
        <w:tabs>
          <w:tab w:leader="none" w:pos="800" w:val="left"/>
        </w:tabs>
        <w:numPr>
          <w:ilvl w:val="0"/>
          <w:numId w:val="44"/>
        </w:numPr>
        <w:rPr>
          <w:rFonts w:ascii="Arial" w:cs="Arial" w:eastAsia="Arial" w:hAnsi="Arial"/>
          <w:sz w:val="15"/>
          <w:szCs w:val="15"/>
          <w:color w:val="auto"/>
        </w:rPr>
      </w:pPr>
      <w:r>
        <w:rPr>
          <w:rFonts w:ascii="Arial" w:cs="Arial" w:eastAsia="Arial" w:hAnsi="Arial"/>
          <w:sz w:val="15"/>
          <w:szCs w:val="15"/>
          <w:color w:val="auto"/>
        </w:rPr>
        <w:t>the progress and evolution of our I&amp;B programs, including opportunities to address demographic shifts and advance our awareness of cultural issues important to our advisors and their clients; and</w:t>
      </w:r>
    </w:p>
    <w:p>
      <w:pPr>
        <w:spacing w:after="0" w:line="59" w:lineRule="exact"/>
        <w:rPr>
          <w:rFonts w:ascii="Arial" w:cs="Arial" w:eastAsia="Arial" w:hAnsi="Arial"/>
          <w:sz w:val="15"/>
          <w:szCs w:val="15"/>
          <w:color w:val="auto"/>
        </w:rPr>
      </w:pPr>
    </w:p>
    <w:p>
      <w:pPr>
        <w:ind w:left="800" w:hanging="261"/>
        <w:spacing w:after="0"/>
        <w:tabs>
          <w:tab w:leader="none" w:pos="800" w:val="left"/>
        </w:tabs>
        <w:numPr>
          <w:ilvl w:val="0"/>
          <w:numId w:val="44"/>
        </w:numPr>
        <w:rPr>
          <w:rFonts w:ascii="Arial" w:cs="Arial" w:eastAsia="Arial" w:hAnsi="Arial"/>
          <w:sz w:val="15"/>
          <w:szCs w:val="15"/>
          <w:color w:val="auto"/>
        </w:rPr>
      </w:pPr>
      <w:r>
        <w:rPr>
          <w:rFonts w:ascii="Arial" w:cs="Arial" w:eastAsia="Arial" w:hAnsi="Arial"/>
          <w:sz w:val="15"/>
          <w:szCs w:val="15"/>
          <w:color w:val="auto"/>
        </w:rPr>
        <w:t>empowering our employees to deliver exceptionally for our advisors and their clients.</w:t>
      </w:r>
    </w:p>
    <w:p>
      <w:pPr>
        <w:spacing w:after="0" w:line="108" w:lineRule="exact"/>
        <w:rPr>
          <w:sz w:val="20"/>
          <w:szCs w:val="20"/>
          <w:color w:val="auto"/>
        </w:rPr>
      </w:pPr>
    </w:p>
    <w:p>
      <w:pPr>
        <w:ind w:left="540" w:right="260"/>
        <w:spacing w:after="0" w:line="287" w:lineRule="auto"/>
        <w:rPr>
          <w:sz w:val="20"/>
          <w:szCs w:val="20"/>
          <w:color w:val="auto"/>
        </w:rPr>
      </w:pPr>
      <w:r>
        <w:rPr>
          <w:rFonts w:ascii="Arial" w:cs="Arial" w:eastAsia="Arial" w:hAnsi="Arial"/>
          <w:sz w:val="15"/>
          <w:szCs w:val="15"/>
          <w:color w:val="auto"/>
        </w:rPr>
        <w:t>These areas of focus, among others, are described in more detail in the Company’s 2025 Corporate Sustainability Report, which we expect to issue in June of 2026.</w:t>
      </w:r>
    </w:p>
    <w:p>
      <w:pPr>
        <w:spacing w:after="0" w:line="47" w:lineRule="exact"/>
        <w:rPr>
          <w:sz w:val="20"/>
          <w:szCs w:val="20"/>
          <w:color w:val="auto"/>
        </w:rPr>
      </w:pPr>
    </w:p>
    <w:p>
      <w:pPr>
        <w:ind w:left="540" w:right="260"/>
        <w:spacing w:after="0" w:line="253" w:lineRule="auto"/>
        <w:rPr>
          <w:sz w:val="20"/>
          <w:szCs w:val="20"/>
          <w:color w:val="auto"/>
        </w:rPr>
      </w:pPr>
      <w:r>
        <w:rPr>
          <w:rFonts w:ascii="Arial" w:cs="Arial" w:eastAsia="Arial" w:hAnsi="Arial"/>
          <w:sz w:val="15"/>
          <w:szCs w:val="15"/>
          <w:color w:val="auto"/>
        </w:rPr>
        <w:t>We are also committed to promoting I&amp;B among our advisor population. Our advisor initiatives are developed and implemented by an established team focused on our I&amp;B efforts for advisors (the “advisor inclusion team”), along with strategic partnership and oversight from our management team and a council of advisors, program managers and home office leaders (the “advisor inclusion council”) that provides insights into and develops strategies for attracting and retaining advisors from a diverse range of backgrounds. The momentum of the I&amp;B program for advisors is tracked through annual net promoter scores; recruitment and retention of underrepresented advisor groups; attendance at our hosted events; and the results from our engagement and satisfaction surveys. Using these metrics, the advisor inclusion team, in coordination with the advisor inclusion council, develops strategies to improve our program effectiveness. Such initiatives are subject to the oversight of the Compensation Committee.</w:t>
      </w:r>
    </w:p>
    <w:p>
      <w:pPr>
        <w:spacing w:after="0" w:line="74" w:lineRule="exact"/>
        <w:rPr>
          <w:sz w:val="20"/>
          <w:szCs w:val="20"/>
          <w:color w:val="auto"/>
        </w:rPr>
      </w:pPr>
    </w:p>
    <w:p>
      <w:pPr>
        <w:jc w:val="both"/>
        <w:ind w:left="540" w:right="520"/>
        <w:spacing w:after="0" w:line="268" w:lineRule="auto"/>
        <w:rPr>
          <w:sz w:val="20"/>
          <w:szCs w:val="20"/>
          <w:color w:val="auto"/>
        </w:rPr>
      </w:pPr>
      <w:r>
        <w:rPr>
          <w:rFonts w:ascii="Arial" w:cs="Arial" w:eastAsia="Arial" w:hAnsi="Arial"/>
          <w:sz w:val="15"/>
          <w:szCs w:val="15"/>
          <w:color w:val="auto"/>
        </w:rPr>
        <w:t>Our chief people officer and our chief legal officer regularly report to the Board of Directors on the Company’s workplace and culture, including historical workplace conduct claims, investigations and trends, typically on an annual basis.</w:t>
      </w:r>
    </w:p>
    <w:p>
      <w:pPr>
        <w:spacing w:after="0" w:line="158" w:lineRule="exact"/>
        <w:rPr>
          <w:sz w:val="20"/>
          <w:szCs w:val="20"/>
          <w:color w:val="auto"/>
        </w:rPr>
      </w:pPr>
    </w:p>
    <w:p>
      <w:pPr>
        <w:ind w:left="540"/>
        <w:spacing w:after="0"/>
        <w:rPr>
          <w:sz w:val="20"/>
          <w:szCs w:val="20"/>
          <w:color w:val="auto"/>
        </w:rPr>
      </w:pPr>
      <w:r>
        <w:rPr>
          <w:rFonts w:ascii="Arial" w:cs="Arial" w:eastAsia="Arial" w:hAnsi="Arial"/>
          <w:sz w:val="17"/>
          <w:szCs w:val="17"/>
          <w:b w:val="1"/>
          <w:bCs w:val="1"/>
          <w:color w:val="002B5F"/>
        </w:rPr>
        <w:t>SUSTAINABILITY PROGRAM</w:t>
      </w:r>
    </w:p>
    <w:p>
      <w:pPr>
        <w:spacing w:after="0" w:line="103" w:lineRule="exact"/>
        <w:rPr>
          <w:sz w:val="20"/>
          <w:szCs w:val="20"/>
          <w:color w:val="auto"/>
        </w:rPr>
      </w:pPr>
    </w:p>
    <w:p>
      <w:pPr>
        <w:ind w:left="540" w:right="200"/>
        <w:spacing w:after="0" w:line="287" w:lineRule="auto"/>
        <w:rPr>
          <w:sz w:val="20"/>
          <w:szCs w:val="20"/>
          <w:color w:val="auto"/>
        </w:rPr>
      </w:pPr>
      <w:r>
        <w:rPr>
          <w:rFonts w:ascii="Arial" w:cs="Arial" w:eastAsia="Arial" w:hAnsi="Arial"/>
          <w:sz w:val="15"/>
          <w:szCs w:val="15"/>
          <w:color w:val="auto"/>
        </w:rPr>
        <w:t>We are steadfast in our commitment to the advisor-mediated model and the belief that investors deserve access to personalized guidance from a financial advisor. We enable our advisors to provide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FFFFFF"/>
        </w:rPr>
        <w:t>Compensation</w:t>
      </w:r>
    </w:p>
    <w:p>
      <w:pPr>
        <w:spacing w:after="0" w:line="224" w:lineRule="auto"/>
        <w:rPr>
          <w:sz w:val="20"/>
          <w:szCs w:val="20"/>
          <w:color w:val="auto"/>
        </w:rPr>
      </w:pPr>
      <w:r>
        <w:rPr>
          <w:rFonts w:ascii="Arial" w:cs="Arial" w:eastAsia="Arial" w:hAnsi="Arial"/>
          <w:sz w:val="12"/>
          <w:szCs w:val="12"/>
          <w:color w:val="FFFFFF"/>
        </w:rPr>
        <w:t>Discussion and</w:t>
      </w:r>
    </w:p>
    <w:p>
      <w:pPr>
        <w:spacing w:after="0"/>
        <w:rPr>
          <w:sz w:val="20"/>
          <w:szCs w:val="20"/>
          <w:color w:val="auto"/>
        </w:rPr>
      </w:pPr>
      <w:r>
        <w:rPr>
          <w:rFonts w:ascii="Arial" w:cs="Arial" w:eastAsia="Arial" w:hAnsi="Arial"/>
          <w:sz w:val="12"/>
          <w:szCs w:val="12"/>
          <w:color w:val="FFFFFF"/>
        </w:rPr>
        <w:t>Analysis</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Report of the</w:t>
      </w:r>
    </w:p>
    <w:p>
      <w:pPr>
        <w:spacing w:after="0" w:line="224" w:lineRule="auto"/>
        <w:rPr>
          <w:sz w:val="20"/>
          <w:szCs w:val="20"/>
          <w:color w:val="auto"/>
        </w:rPr>
      </w:pPr>
      <w:r>
        <w:rPr>
          <w:rFonts w:ascii="Arial" w:cs="Arial" w:eastAsia="Arial" w:hAnsi="Arial"/>
          <w:sz w:val="12"/>
          <w:szCs w:val="12"/>
          <w:color w:val="FFFFFF"/>
        </w:rPr>
        <w:t>Compensation</w:t>
      </w:r>
    </w:p>
    <w:p>
      <w:pPr>
        <w:spacing w:after="0" w:line="222" w:lineRule="auto"/>
        <w:rPr>
          <w:sz w:val="20"/>
          <w:szCs w:val="20"/>
          <w:color w:val="auto"/>
        </w:rPr>
      </w:pPr>
      <w:r>
        <w:rPr>
          <w:rFonts w:ascii="Arial" w:cs="Arial" w:eastAsia="Arial" w:hAnsi="Arial"/>
          <w:sz w:val="12"/>
          <w:szCs w:val="12"/>
          <w:color w:val="FFFFFF"/>
        </w:rPr>
        <w:t>and Human</w:t>
      </w:r>
    </w:p>
    <w:p>
      <w:pPr>
        <w:spacing w:after="0" w:line="222" w:lineRule="auto"/>
        <w:rPr>
          <w:sz w:val="20"/>
          <w:szCs w:val="20"/>
          <w:color w:val="auto"/>
        </w:rPr>
      </w:pPr>
      <w:r>
        <w:rPr>
          <w:rFonts w:ascii="Arial" w:cs="Arial" w:eastAsia="Arial" w:hAnsi="Arial"/>
          <w:sz w:val="12"/>
          <w:szCs w:val="12"/>
          <w:color w:val="FFFFFF"/>
        </w:rPr>
        <w:t>Resources</w:t>
      </w:r>
    </w:p>
    <w:p>
      <w:pPr>
        <w:spacing w:after="0" w:line="222" w:lineRule="auto"/>
        <w:rPr>
          <w:sz w:val="20"/>
          <w:szCs w:val="20"/>
          <w:color w:val="auto"/>
        </w:rPr>
      </w:pPr>
      <w:r>
        <w:rPr>
          <w:rFonts w:ascii="Arial" w:cs="Arial" w:eastAsia="Arial" w:hAnsi="Arial"/>
          <w:sz w:val="12"/>
          <w:szCs w:val="12"/>
          <w:color w:val="FFFFFF"/>
        </w:rPr>
        <w:t>Committee of the</w:t>
      </w:r>
    </w:p>
    <w:p>
      <w:pPr>
        <w:spacing w:after="0"/>
        <w:rPr>
          <w:sz w:val="20"/>
          <w:szCs w:val="20"/>
          <w:color w:val="auto"/>
        </w:rPr>
      </w:pPr>
      <w:r>
        <w:rPr>
          <w:rFonts w:ascii="Arial" w:cs="Arial" w:eastAsia="Arial" w:hAnsi="Arial"/>
          <w:sz w:val="11"/>
          <w:szCs w:val="11"/>
          <w:color w:val="FFFFFF"/>
        </w:rPr>
        <w:t>Board of Directors</w:t>
      </w:r>
    </w:p>
    <w:p>
      <w:pPr>
        <w:spacing w:after="0" w:line="155" w:lineRule="exact"/>
        <w:rPr>
          <w:sz w:val="20"/>
          <w:szCs w:val="20"/>
          <w:color w:val="auto"/>
        </w:rPr>
      </w:pPr>
    </w:p>
    <w:p>
      <w:pPr>
        <w:spacing w:after="0"/>
        <w:rPr>
          <w:sz w:val="20"/>
          <w:szCs w:val="20"/>
          <w:color w:val="auto"/>
        </w:rPr>
      </w:pPr>
      <w:r>
        <w:rPr>
          <w:rFonts w:ascii="Arial" w:cs="Arial" w:eastAsia="Arial" w:hAnsi="Arial"/>
          <w:sz w:val="12"/>
          <w:szCs w:val="12"/>
          <w:color w:val="FFFFFF"/>
        </w:rPr>
        <w:t>Compensation of</w:t>
      </w:r>
    </w:p>
    <w:p>
      <w:pPr>
        <w:spacing w:after="0" w:line="224" w:lineRule="auto"/>
        <w:rPr>
          <w:sz w:val="20"/>
          <w:szCs w:val="20"/>
          <w:color w:val="auto"/>
        </w:rPr>
      </w:pPr>
      <w:r>
        <w:rPr>
          <w:rFonts w:ascii="Arial" w:cs="Arial" w:eastAsia="Arial" w:hAnsi="Arial"/>
          <w:sz w:val="12"/>
          <w:szCs w:val="12"/>
          <w:color w:val="FFFFFF"/>
        </w:rPr>
        <w:t>Named Executive</w:t>
      </w:r>
    </w:p>
    <w:p>
      <w:pPr>
        <w:spacing w:after="0"/>
        <w:rPr>
          <w:sz w:val="20"/>
          <w:szCs w:val="20"/>
          <w:color w:val="auto"/>
        </w:rPr>
      </w:pPr>
      <w:r>
        <w:rPr>
          <w:rFonts w:ascii="Arial" w:cs="Arial" w:eastAsia="Arial" w:hAnsi="Arial"/>
          <w:sz w:val="12"/>
          <w:szCs w:val="12"/>
          <w:color w:val="FFFFFF"/>
        </w:rPr>
        <w:t>Officers</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Pay Versus</w:t>
      </w:r>
    </w:p>
    <w:p>
      <w:pPr>
        <w:spacing w:after="0" w:line="224" w:lineRule="auto"/>
        <w:rPr>
          <w:sz w:val="20"/>
          <w:szCs w:val="20"/>
          <w:color w:val="auto"/>
        </w:rPr>
      </w:pPr>
      <w:r>
        <w:rPr>
          <w:rFonts w:ascii="Arial" w:cs="Arial" w:eastAsia="Arial" w:hAnsi="Arial"/>
          <w:sz w:val="12"/>
          <w:szCs w:val="12"/>
          <w:color w:val="FFFFFF"/>
        </w:rPr>
        <w:t>Performance</w:t>
      </w:r>
    </w:p>
    <w:p>
      <w:pPr>
        <w:spacing w:after="0"/>
        <w:rPr>
          <w:sz w:val="20"/>
          <w:szCs w:val="20"/>
          <w:color w:val="auto"/>
        </w:rPr>
      </w:pPr>
      <w:r>
        <w:rPr>
          <w:rFonts w:ascii="Arial" w:cs="Arial" w:eastAsia="Arial" w:hAnsi="Arial"/>
          <w:sz w:val="12"/>
          <w:szCs w:val="12"/>
          <w:color w:val="FFFFFF"/>
        </w:rPr>
        <w:t>Disclosure</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Security</w:t>
      </w:r>
    </w:p>
    <w:p>
      <w:pPr>
        <w:spacing w:after="0" w:line="224" w:lineRule="auto"/>
        <w:rPr>
          <w:sz w:val="20"/>
          <w:szCs w:val="20"/>
          <w:color w:val="auto"/>
        </w:rPr>
      </w:pPr>
      <w:r>
        <w:rPr>
          <w:rFonts w:ascii="Arial" w:cs="Arial" w:eastAsia="Arial" w:hAnsi="Arial"/>
          <w:sz w:val="12"/>
          <w:szCs w:val="12"/>
          <w:color w:val="FFFFFF"/>
        </w:rPr>
        <w:t>Ownership of</w:t>
      </w:r>
    </w:p>
    <w:p>
      <w:pPr>
        <w:spacing w:after="0" w:line="222" w:lineRule="auto"/>
        <w:rPr>
          <w:sz w:val="20"/>
          <w:szCs w:val="20"/>
          <w:color w:val="auto"/>
        </w:rPr>
      </w:pPr>
      <w:r>
        <w:rPr>
          <w:rFonts w:ascii="Arial" w:cs="Arial" w:eastAsia="Arial" w:hAnsi="Arial"/>
          <w:sz w:val="12"/>
          <w:szCs w:val="12"/>
          <w:color w:val="FFFFFF"/>
        </w:rPr>
        <w:t>Certain Beneficial</w:t>
      </w:r>
    </w:p>
    <w:p>
      <w:pPr>
        <w:spacing w:after="0" w:line="222" w:lineRule="auto"/>
        <w:rPr>
          <w:sz w:val="20"/>
          <w:szCs w:val="20"/>
          <w:color w:val="auto"/>
        </w:rPr>
      </w:pPr>
      <w:r>
        <w:rPr>
          <w:rFonts w:ascii="Arial" w:cs="Arial" w:eastAsia="Arial" w:hAnsi="Arial"/>
          <w:sz w:val="12"/>
          <w:szCs w:val="12"/>
          <w:color w:val="FFFFFF"/>
        </w:rPr>
        <w:t>Owners and</w:t>
      </w:r>
    </w:p>
    <w:p>
      <w:pPr>
        <w:spacing w:after="0"/>
        <w:rPr>
          <w:sz w:val="20"/>
          <w:szCs w:val="20"/>
          <w:color w:val="auto"/>
        </w:rPr>
      </w:pPr>
      <w:r>
        <w:rPr>
          <w:rFonts w:ascii="Arial" w:cs="Arial" w:eastAsia="Arial" w:hAnsi="Arial"/>
          <w:sz w:val="12"/>
          <w:szCs w:val="12"/>
          <w:color w:val="FFFFFF"/>
        </w:rPr>
        <w:t>Management</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Certain</w:t>
      </w:r>
    </w:p>
    <w:p>
      <w:pPr>
        <w:spacing w:after="0" w:line="224" w:lineRule="auto"/>
        <w:rPr>
          <w:sz w:val="20"/>
          <w:szCs w:val="20"/>
          <w:color w:val="auto"/>
        </w:rPr>
      </w:pPr>
      <w:r>
        <w:rPr>
          <w:rFonts w:ascii="Arial" w:cs="Arial" w:eastAsia="Arial" w:hAnsi="Arial"/>
          <w:sz w:val="12"/>
          <w:szCs w:val="12"/>
          <w:color w:val="FFFFFF"/>
        </w:rPr>
        <w:t>Relationships and</w:t>
      </w:r>
    </w:p>
    <w:p>
      <w:pPr>
        <w:spacing w:after="0" w:line="222" w:lineRule="auto"/>
        <w:rPr>
          <w:sz w:val="20"/>
          <w:szCs w:val="20"/>
          <w:color w:val="auto"/>
        </w:rPr>
      </w:pPr>
      <w:r>
        <w:rPr>
          <w:rFonts w:ascii="Arial" w:cs="Arial" w:eastAsia="Arial" w:hAnsi="Arial"/>
          <w:sz w:val="12"/>
          <w:szCs w:val="12"/>
          <w:color w:val="FFFFFF"/>
        </w:rPr>
        <w:t>Related Party</w:t>
      </w:r>
    </w:p>
    <w:p>
      <w:pPr>
        <w:spacing w:after="0"/>
        <w:rPr>
          <w:sz w:val="20"/>
          <w:szCs w:val="20"/>
          <w:color w:val="auto"/>
        </w:rPr>
      </w:pPr>
      <w:r>
        <w:rPr>
          <w:rFonts w:ascii="Arial" w:cs="Arial" w:eastAsia="Arial" w:hAnsi="Arial"/>
          <w:sz w:val="12"/>
          <w:szCs w:val="12"/>
          <w:color w:val="FFFFFF"/>
        </w:rPr>
        <w:t>Transactions</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Proposal 2</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FFFFFF"/>
        </w:rPr>
        <w:t>Report of the</w:t>
      </w:r>
    </w:p>
    <w:p>
      <w:pPr>
        <w:spacing w:after="0" w:line="224" w:lineRule="auto"/>
        <w:rPr>
          <w:sz w:val="20"/>
          <w:szCs w:val="20"/>
          <w:color w:val="auto"/>
        </w:rPr>
      </w:pPr>
      <w:r>
        <w:rPr>
          <w:rFonts w:ascii="Arial" w:cs="Arial" w:eastAsia="Arial" w:hAnsi="Arial"/>
          <w:sz w:val="12"/>
          <w:szCs w:val="12"/>
          <w:color w:val="FFFFFF"/>
        </w:rPr>
        <w:t>Audit and Risk</w:t>
      </w:r>
    </w:p>
    <w:p>
      <w:pPr>
        <w:spacing w:after="0" w:line="222" w:lineRule="auto"/>
        <w:rPr>
          <w:sz w:val="20"/>
          <w:szCs w:val="20"/>
          <w:color w:val="auto"/>
        </w:rPr>
      </w:pPr>
      <w:r>
        <w:rPr>
          <w:rFonts w:ascii="Arial" w:cs="Arial" w:eastAsia="Arial" w:hAnsi="Arial"/>
          <w:sz w:val="12"/>
          <w:szCs w:val="12"/>
          <w:color w:val="FFFFFF"/>
        </w:rPr>
        <w:t>Committee of the</w:t>
      </w:r>
    </w:p>
    <w:p>
      <w:pPr>
        <w:spacing w:after="0"/>
        <w:rPr>
          <w:sz w:val="20"/>
          <w:szCs w:val="20"/>
          <w:color w:val="auto"/>
        </w:rPr>
      </w:pPr>
      <w:r>
        <w:rPr>
          <w:rFonts w:ascii="Arial" w:cs="Arial" w:eastAsia="Arial" w:hAnsi="Arial"/>
          <w:sz w:val="11"/>
          <w:szCs w:val="11"/>
          <w:color w:val="FFFFFF"/>
        </w:rPr>
        <w:t>Board of Directors</w:t>
      </w:r>
    </w:p>
    <w:p>
      <w:pPr>
        <w:spacing w:after="0" w:line="155" w:lineRule="exact"/>
        <w:rPr>
          <w:sz w:val="20"/>
          <w:szCs w:val="20"/>
          <w:color w:val="auto"/>
        </w:rPr>
      </w:pPr>
    </w:p>
    <w:p>
      <w:pPr>
        <w:spacing w:after="0"/>
        <w:rPr>
          <w:sz w:val="20"/>
          <w:szCs w:val="20"/>
          <w:color w:val="auto"/>
        </w:rPr>
      </w:pPr>
      <w:r>
        <w:rPr>
          <w:rFonts w:ascii="Arial" w:cs="Arial" w:eastAsia="Arial" w:hAnsi="Arial"/>
          <w:sz w:val="12"/>
          <w:szCs w:val="12"/>
          <w:color w:val="FFFFFF"/>
        </w:rPr>
        <w:t>Proposal 3</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FFFFFF"/>
        </w:rPr>
        <w:t>Proposal 4</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FFFFFF"/>
        </w:rPr>
        <w:t>Proposal 5</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FFFFFF"/>
        </w:rPr>
        <w:t>Proposal 6</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FFFFFF"/>
        </w:rPr>
        <w:t>Stockholder</w:t>
      </w:r>
    </w:p>
    <w:p>
      <w:pPr>
        <w:spacing w:after="0" w:line="224" w:lineRule="auto"/>
        <w:rPr>
          <w:sz w:val="20"/>
          <w:szCs w:val="20"/>
          <w:color w:val="auto"/>
        </w:rPr>
      </w:pPr>
      <w:r>
        <w:rPr>
          <w:rFonts w:ascii="Arial" w:cs="Arial" w:eastAsia="Arial" w:hAnsi="Arial"/>
          <w:sz w:val="12"/>
          <w:szCs w:val="12"/>
          <w:color w:val="FFFFFF"/>
        </w:rPr>
        <w:t>Proposals and</w:t>
      </w:r>
    </w:p>
    <w:p>
      <w:pPr>
        <w:spacing w:after="0"/>
        <w:rPr>
          <w:sz w:val="20"/>
          <w:szCs w:val="20"/>
          <w:color w:val="auto"/>
        </w:rPr>
      </w:pPr>
      <w:r>
        <w:rPr>
          <w:rFonts w:ascii="Arial" w:cs="Arial" w:eastAsia="Arial" w:hAnsi="Arial"/>
          <w:sz w:val="12"/>
          <w:szCs w:val="12"/>
          <w:color w:val="FFFFFF"/>
        </w:rPr>
        <w:t>Other Matters</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Delinquent</w:t>
      </w:r>
    </w:p>
    <w:p>
      <w:pPr>
        <w:spacing w:after="0" w:line="224" w:lineRule="auto"/>
        <w:rPr>
          <w:sz w:val="20"/>
          <w:szCs w:val="20"/>
          <w:color w:val="auto"/>
        </w:rPr>
      </w:pPr>
      <w:r>
        <w:rPr>
          <w:rFonts w:ascii="Arial" w:cs="Arial" w:eastAsia="Arial" w:hAnsi="Arial"/>
          <w:sz w:val="12"/>
          <w:szCs w:val="12"/>
          <w:color w:val="FFFFFF"/>
        </w:rPr>
        <w:t>Section 16(a)</w:t>
      </w:r>
    </w:p>
    <w:p>
      <w:pPr>
        <w:spacing w:after="0"/>
        <w:rPr>
          <w:sz w:val="20"/>
          <w:szCs w:val="20"/>
          <w:color w:val="auto"/>
        </w:rPr>
      </w:pPr>
      <w:r>
        <w:rPr>
          <w:rFonts w:ascii="Arial" w:cs="Arial" w:eastAsia="Arial" w:hAnsi="Arial"/>
          <w:sz w:val="12"/>
          <w:szCs w:val="12"/>
          <w:color w:val="FFFFFF"/>
        </w:rPr>
        <w:t>Reports</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Other</w:t>
      </w:r>
    </w:p>
    <w:p>
      <w:pPr>
        <w:spacing w:after="0" w:line="2" w:lineRule="exact"/>
        <w:rPr>
          <w:sz w:val="20"/>
          <w:szCs w:val="20"/>
          <w:color w:val="auto"/>
        </w:rPr>
      </w:pPr>
    </w:p>
    <w:p>
      <w:pPr>
        <w:spacing w:after="0"/>
        <w:rPr>
          <w:sz w:val="20"/>
          <w:szCs w:val="20"/>
          <w:color w:val="auto"/>
        </w:rPr>
      </w:pPr>
      <w:r>
        <w:rPr>
          <w:rFonts w:ascii="Arial" w:cs="Arial" w:eastAsia="Arial" w:hAnsi="Arial"/>
          <w:sz w:val="12"/>
          <w:szCs w:val="12"/>
          <w:color w:val="FFFFFF"/>
        </w:rPr>
        <w:t>Information</w:t>
      </w:r>
    </w:p>
    <w:p>
      <w:pPr>
        <w:spacing w:after="0" w:line="144" w:lineRule="exact"/>
        <w:rPr>
          <w:sz w:val="20"/>
          <w:szCs w:val="20"/>
          <w:color w:val="auto"/>
        </w:rPr>
      </w:pPr>
    </w:p>
    <w:p>
      <w:pPr>
        <w:jc w:val="center"/>
        <w:ind w:right="960"/>
        <w:spacing w:after="0"/>
        <w:rPr>
          <w:sz w:val="20"/>
          <w:szCs w:val="20"/>
          <w:color w:val="auto"/>
        </w:rPr>
      </w:pPr>
      <w:r>
        <w:rPr>
          <w:rFonts w:ascii="Arial" w:cs="Arial" w:eastAsia="Arial" w:hAnsi="Arial"/>
          <w:sz w:val="12"/>
          <w:szCs w:val="12"/>
          <w:color w:val="FFFFFF"/>
        </w:rPr>
        <w:t>Appendix A</w:t>
      </w:r>
    </w:p>
    <w:p>
      <w:pPr>
        <w:spacing w:after="0" w:line="156" w:lineRule="exact"/>
        <w:rPr>
          <w:sz w:val="20"/>
          <w:szCs w:val="20"/>
          <w:color w:val="auto"/>
        </w:rPr>
      </w:pPr>
    </w:p>
    <w:p>
      <w:pPr>
        <w:jc w:val="center"/>
        <w:ind w:right="960"/>
        <w:spacing w:after="0"/>
        <w:rPr>
          <w:sz w:val="20"/>
          <w:szCs w:val="20"/>
          <w:color w:val="auto"/>
        </w:rPr>
      </w:pPr>
      <w:r>
        <w:rPr>
          <w:rFonts w:ascii="Arial" w:cs="Arial" w:eastAsia="Arial" w:hAnsi="Arial"/>
          <w:sz w:val="12"/>
          <w:szCs w:val="12"/>
          <w:color w:val="FFFFFF"/>
        </w:rPr>
        <w:t>Appendix B</w:t>
      </w:r>
    </w:p>
    <w:p>
      <w:pPr>
        <w:spacing w:after="0" w:line="200" w:lineRule="exact"/>
        <w:rPr>
          <w:sz w:val="20"/>
          <w:szCs w:val="20"/>
          <w:color w:val="auto"/>
        </w:rPr>
      </w:pPr>
    </w:p>
    <w:p>
      <w:pPr>
        <w:sectPr>
          <w:pgSz w:w="11900" w:h="16838" w:orient="portrait"/>
          <w:cols w:equalWidth="0" w:num="2">
            <w:col w:w="8500" w:space="720"/>
            <w:col w:w="1580"/>
          </w:cols>
          <w:pgMar w:left="320" w:top="464" w:right="7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6380"/>
        <w:spacing w:after="0"/>
        <w:tabs>
          <w:tab w:leader="none" w:pos="8500" w:val="left"/>
          <w:tab w:leader="none" w:pos="9960" w:val="left"/>
        </w:tabs>
        <w:rPr>
          <w:sz w:val="20"/>
          <w:szCs w:val="20"/>
          <w:color w:val="auto"/>
        </w:rPr>
      </w:pPr>
      <w:r>
        <w:rPr>
          <w:rFonts w:ascii="Arial" w:cs="Arial" w:eastAsia="Arial" w:hAnsi="Arial"/>
          <w:sz w:val="15"/>
          <w:szCs w:val="15"/>
          <w:b w:val="1"/>
          <w:bCs w:val="1"/>
          <w:color w:val="002B5F"/>
        </w:rPr>
        <w:t xml:space="preserve">2026 Proxy Statement  </w:t>
      </w:r>
      <w:r>
        <w:rPr>
          <w:rFonts w:ascii="Arial" w:cs="Arial" w:eastAsia="Arial" w:hAnsi="Arial"/>
          <w:sz w:val="20"/>
          <w:szCs w:val="20"/>
          <w:color w:val="002B5F"/>
        </w:rPr>
        <w:t>|</w:t>
      </w:r>
      <w:r>
        <w:rPr>
          <w:rFonts w:ascii="Arial" w:cs="Arial" w:eastAsia="Arial" w:hAnsi="Arial"/>
          <w:sz w:val="15"/>
          <w:szCs w:val="15"/>
          <w:b w:val="1"/>
          <w:bCs w:val="1"/>
          <w:color w:val="002B5F"/>
        </w:rPr>
        <w:t xml:space="preserve">  25</w:t>
      </w:r>
      <w:r>
        <w:rPr>
          <w:sz w:val="20"/>
          <w:szCs w:val="20"/>
          <w:color w:val="auto"/>
        </w:rPr>
        <w:tab/>
      </w:r>
      <w:r>
        <w:rPr>
          <w:rFonts w:ascii="Arial" w:cs="Arial" w:eastAsia="Arial" w:hAnsi="Arial"/>
          <w:sz w:val="17"/>
          <w:szCs w:val="17"/>
          <w:color w:val="auto"/>
        </w:rPr>
        <w:t xml:space="preserve">    </w:t>
      </w:r>
      <w:r>
        <w:rPr>
          <w:sz w:val="20"/>
          <w:szCs w:val="20"/>
          <w:color w:val="auto"/>
        </w:rPr>
        <w:tab/>
      </w:r>
      <w:r>
        <w:rPr>
          <w:rFonts w:ascii="Arial" w:cs="Arial" w:eastAsia="Arial" w:hAnsi="Arial"/>
          <w:sz w:val="17"/>
          <w:szCs w:val="17"/>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268605</wp:posOffset>
            </wp:positionH>
            <wp:positionV relativeFrom="paragraph">
              <wp:posOffset>-128905</wp:posOffset>
            </wp:positionV>
            <wp:extent cx="762000" cy="971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62000" cy="97155"/>
                    </a:xfrm>
                    <a:prstGeom prst="rect">
                      <a:avLst/>
                    </a:prstGeom>
                    <a:noFill/>
                  </pic:spPr>
                </pic:pic>
              </a:graphicData>
            </a:graphic>
          </wp:anchor>
        </w:drawing>
      </w:r>
    </w:p>
    <w:p>
      <w:pPr>
        <w:sectPr>
          <w:pgSz w:w="11900" w:h="16838" w:orient="portrait"/>
          <w:cols w:equalWidth="0" w:num="1">
            <w:col w:w="10800"/>
          </w:cols>
          <w:pgMar w:left="320" w:top="464" w:right="779" w:bottom="1440" w:gutter="0" w:footer="0" w:header="0"/>
          <w:type w:val="continuous"/>
        </w:sectPr>
      </w:pPr>
    </w:p>
    <w:bookmarkStart w:id="33" w:name="page34"/>
    <w:bookmarkEnd w:id="33"/>
    <w:p>
      <w:pPr>
        <w:spacing w:after="0"/>
        <w:rPr>
          <w:sz w:val="20"/>
          <w:szCs w:val="20"/>
          <w:color w:val="auto"/>
        </w:rPr>
      </w:pPr>
      <w:r>
        <w:rPr>
          <w:rFonts w:ascii="Times New Roman" w:cs="Times New Roman" w:eastAsia="Times New Roman" w:hAnsi="Times New Roman"/>
          <w:sz w:val="17"/>
          <w:szCs w:val="17"/>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268605</wp:posOffset>
            </wp:positionH>
            <wp:positionV relativeFrom="paragraph">
              <wp:posOffset>253365</wp:posOffset>
            </wp:positionV>
            <wp:extent cx="1183005" cy="745617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183005" cy="7456170"/>
                    </a:xfrm>
                    <a:prstGeom prst="rect">
                      <a:avLst/>
                    </a:prstGeom>
                    <a:noFill/>
                  </pic:spPr>
                </pic:pic>
              </a:graphicData>
            </a:graphic>
          </wp:anchor>
        </w:drawing>
      </w:r>
    </w:p>
    <w:p>
      <w:pPr>
        <w:spacing w:after="0" w:line="200" w:lineRule="exact"/>
        <w:rPr>
          <w:sz w:val="20"/>
          <w:szCs w:val="20"/>
          <w:color w:val="auto"/>
        </w:rPr>
      </w:pPr>
    </w:p>
    <w:p>
      <w:pPr>
        <w:spacing w:after="0" w:line="304" w:lineRule="exact"/>
        <w:rPr>
          <w:sz w:val="20"/>
          <w:szCs w:val="20"/>
          <w:color w:val="auto"/>
        </w:rPr>
      </w:pPr>
    </w:p>
    <w:p>
      <w:pPr>
        <w:ind w:left="1120" w:right="460" w:hanging="672"/>
        <w:spacing w:after="0" w:line="382" w:lineRule="auto"/>
        <w:tabs>
          <w:tab w:leader="none" w:pos="610" w:val="left"/>
        </w:tabs>
        <w:numPr>
          <w:ilvl w:val="0"/>
          <w:numId w:val="45"/>
        </w:numPr>
        <w:rPr>
          <w:rFonts w:ascii="Arial" w:cs="Arial" w:eastAsia="Arial" w:hAnsi="Arial"/>
          <w:sz w:val="24"/>
          <w:szCs w:val="24"/>
          <w:color w:val="auto"/>
          <w:vertAlign w:val="subscript"/>
        </w:rPr>
      </w:pPr>
      <w:r>
        <w:rPr>
          <w:rFonts w:ascii="Arial" w:cs="Arial" w:eastAsia="Arial" w:hAnsi="Arial"/>
          <w:sz w:val="24"/>
          <w:szCs w:val="24"/>
          <w:color w:val="000000"/>
          <w:vertAlign w:val="subscript"/>
        </w:rPr>
        <w:t xml:space="preserve">     </w:t>
      </w:r>
      <w:r>
        <w:rPr>
          <w:rFonts w:ascii="Arial" w:cs="Arial" w:eastAsia="Arial" w:hAnsi="Arial"/>
          <w:sz w:val="10"/>
          <w:szCs w:val="10"/>
          <w:color w:val="FFFFFF"/>
        </w:rPr>
        <w:t xml:space="preserve"> General Information</w:t>
      </w:r>
    </w:p>
    <w:p>
      <w:pPr>
        <w:spacing w:after="0" w:line="1" w:lineRule="exact"/>
        <w:rPr>
          <w:sz w:val="20"/>
          <w:szCs w:val="20"/>
          <w:color w:val="auto"/>
        </w:rPr>
      </w:pPr>
    </w:p>
    <w:p>
      <w:pPr>
        <w:ind w:left="1120"/>
        <w:spacing w:after="0"/>
        <w:rPr>
          <w:sz w:val="20"/>
          <w:szCs w:val="20"/>
          <w:color w:val="auto"/>
        </w:rPr>
      </w:pPr>
      <w:r>
        <w:rPr>
          <w:rFonts w:ascii="Arial" w:cs="Arial" w:eastAsia="Arial" w:hAnsi="Arial"/>
          <w:sz w:val="11"/>
          <w:szCs w:val="11"/>
          <w:color w:val="FFFFFF"/>
        </w:rPr>
        <w:t>General Information</w:t>
      </w:r>
    </w:p>
    <w:p>
      <w:pPr>
        <w:spacing w:after="0" w:line="3"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About Corporate</w:t>
      </w:r>
    </w:p>
    <w:p>
      <w:pPr>
        <w:ind w:left="1120"/>
        <w:spacing w:after="0" w:line="221" w:lineRule="auto"/>
        <w:rPr>
          <w:sz w:val="20"/>
          <w:szCs w:val="20"/>
          <w:color w:val="auto"/>
        </w:rPr>
      </w:pPr>
      <w:r>
        <w:rPr>
          <w:rFonts w:ascii="Arial" w:cs="Arial" w:eastAsia="Arial" w:hAnsi="Arial"/>
          <w:sz w:val="12"/>
          <w:szCs w:val="12"/>
          <w:color w:val="FFFFFF"/>
        </w:rPr>
        <w:t>Governance</w:t>
      </w:r>
    </w:p>
    <w:p>
      <w:pPr>
        <w:ind w:left="1120"/>
        <w:spacing w:after="0" w:line="222" w:lineRule="auto"/>
        <w:rPr>
          <w:sz w:val="20"/>
          <w:szCs w:val="20"/>
          <w:color w:val="auto"/>
        </w:rPr>
      </w:pPr>
      <w:r>
        <w:rPr>
          <w:rFonts w:ascii="Arial" w:cs="Arial" w:eastAsia="Arial" w:hAnsi="Arial"/>
          <w:sz w:val="12"/>
          <w:szCs w:val="12"/>
          <w:color w:val="FFFFFF"/>
        </w:rPr>
        <w:t>and the Board of</w:t>
      </w:r>
    </w:p>
    <w:p>
      <w:pPr>
        <w:spacing w:after="0" w:line="1"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Directors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Proposal 1</w:t>
      </w:r>
    </w:p>
    <w:p>
      <w:pPr>
        <w:spacing w:after="0" w:line="156" w:lineRule="exact"/>
        <w:rPr>
          <w:sz w:val="20"/>
          <w:szCs w:val="20"/>
          <w:color w:val="auto"/>
        </w:rPr>
      </w:pPr>
    </w:p>
    <w:p>
      <w:pPr>
        <w:ind w:left="1120" w:right="80"/>
        <w:spacing w:after="0" w:line="265" w:lineRule="auto"/>
        <w:rPr>
          <w:sz w:val="20"/>
          <w:szCs w:val="20"/>
          <w:color w:val="auto"/>
        </w:rPr>
      </w:pPr>
      <w:r>
        <w:rPr>
          <w:rFonts w:ascii="Arial" w:cs="Arial" w:eastAsia="Arial" w:hAnsi="Arial"/>
          <w:sz w:val="11"/>
          <w:szCs w:val="11"/>
          <w:b w:val="1"/>
          <w:bCs w:val="1"/>
          <w:color w:val="FFFFFF"/>
        </w:rPr>
        <w:t>Information Regarding Board and Committee Structure</w:t>
      </w:r>
    </w:p>
    <w:p>
      <w:pPr>
        <w:spacing w:after="0" w:line="118"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Board of Directors</w:t>
      </w:r>
    </w:p>
    <w:p>
      <w:pPr>
        <w:spacing w:after="0" w:line="2"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Compensation</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Compensation</w:t>
      </w:r>
    </w:p>
    <w:p>
      <w:pPr>
        <w:ind w:left="1120"/>
        <w:spacing w:after="0" w:line="224" w:lineRule="auto"/>
        <w:rPr>
          <w:sz w:val="20"/>
          <w:szCs w:val="20"/>
          <w:color w:val="auto"/>
        </w:rPr>
      </w:pPr>
      <w:r>
        <w:rPr>
          <w:rFonts w:ascii="Arial" w:cs="Arial" w:eastAsia="Arial" w:hAnsi="Arial"/>
          <w:sz w:val="12"/>
          <w:szCs w:val="12"/>
          <w:color w:val="FFFFFF"/>
        </w:rPr>
        <w:t>Discussion and</w:t>
      </w:r>
    </w:p>
    <w:p>
      <w:pPr>
        <w:ind w:left="1120"/>
        <w:spacing w:after="0"/>
        <w:rPr>
          <w:sz w:val="20"/>
          <w:szCs w:val="20"/>
          <w:color w:val="auto"/>
        </w:rPr>
      </w:pPr>
      <w:r>
        <w:rPr>
          <w:rFonts w:ascii="Arial" w:cs="Arial" w:eastAsia="Arial" w:hAnsi="Arial"/>
          <w:sz w:val="12"/>
          <w:szCs w:val="12"/>
          <w:color w:val="FFFFFF"/>
        </w:rPr>
        <w:t>Analysis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Report of the</w:t>
      </w:r>
    </w:p>
    <w:p>
      <w:pPr>
        <w:ind w:left="1120"/>
        <w:spacing w:after="0" w:line="224" w:lineRule="auto"/>
        <w:rPr>
          <w:sz w:val="20"/>
          <w:szCs w:val="20"/>
          <w:color w:val="auto"/>
        </w:rPr>
      </w:pPr>
      <w:r>
        <w:rPr>
          <w:rFonts w:ascii="Arial" w:cs="Arial" w:eastAsia="Arial" w:hAnsi="Arial"/>
          <w:sz w:val="12"/>
          <w:szCs w:val="12"/>
          <w:color w:val="FFFFFF"/>
        </w:rPr>
        <w:t>Compensation</w:t>
      </w:r>
    </w:p>
    <w:p>
      <w:pPr>
        <w:ind w:left="1120"/>
        <w:spacing w:after="0" w:line="222" w:lineRule="auto"/>
        <w:rPr>
          <w:sz w:val="20"/>
          <w:szCs w:val="20"/>
          <w:color w:val="auto"/>
        </w:rPr>
      </w:pPr>
      <w:r>
        <w:rPr>
          <w:rFonts w:ascii="Arial" w:cs="Arial" w:eastAsia="Arial" w:hAnsi="Arial"/>
          <w:sz w:val="12"/>
          <w:szCs w:val="12"/>
          <w:color w:val="FFFFFF"/>
        </w:rPr>
        <w:t>and Human</w:t>
      </w:r>
    </w:p>
    <w:p>
      <w:pPr>
        <w:ind w:left="1120"/>
        <w:spacing w:after="0" w:line="222" w:lineRule="auto"/>
        <w:rPr>
          <w:sz w:val="20"/>
          <w:szCs w:val="20"/>
          <w:color w:val="auto"/>
        </w:rPr>
      </w:pPr>
      <w:r>
        <w:rPr>
          <w:rFonts w:ascii="Arial" w:cs="Arial" w:eastAsia="Arial" w:hAnsi="Arial"/>
          <w:sz w:val="12"/>
          <w:szCs w:val="12"/>
          <w:color w:val="FFFFFF"/>
        </w:rPr>
        <w:t>Resources</w:t>
      </w:r>
    </w:p>
    <w:p>
      <w:pPr>
        <w:ind w:left="1120"/>
        <w:spacing w:after="0" w:line="222" w:lineRule="auto"/>
        <w:rPr>
          <w:sz w:val="20"/>
          <w:szCs w:val="20"/>
          <w:color w:val="auto"/>
        </w:rPr>
      </w:pPr>
      <w:r>
        <w:rPr>
          <w:rFonts w:ascii="Arial" w:cs="Arial" w:eastAsia="Arial" w:hAnsi="Arial"/>
          <w:sz w:val="12"/>
          <w:szCs w:val="12"/>
          <w:color w:val="FFFFFF"/>
        </w:rPr>
        <w:t>Committee of the</w:t>
      </w:r>
    </w:p>
    <w:p>
      <w:pPr>
        <w:ind w:left="1120"/>
        <w:spacing w:after="0"/>
        <w:rPr>
          <w:sz w:val="20"/>
          <w:szCs w:val="20"/>
          <w:color w:val="auto"/>
        </w:rPr>
      </w:pPr>
      <w:r>
        <w:rPr>
          <w:rFonts w:ascii="Arial" w:cs="Arial" w:eastAsia="Arial" w:hAnsi="Arial"/>
          <w:sz w:val="12"/>
          <w:szCs w:val="12"/>
          <w:color w:val="FFFFFF"/>
        </w:rPr>
        <w:t>Board of Directors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Compensation of</w:t>
      </w:r>
    </w:p>
    <w:p>
      <w:pPr>
        <w:ind w:left="1120"/>
        <w:spacing w:after="0" w:line="224" w:lineRule="auto"/>
        <w:rPr>
          <w:sz w:val="20"/>
          <w:szCs w:val="20"/>
          <w:color w:val="auto"/>
        </w:rPr>
      </w:pPr>
      <w:r>
        <w:rPr>
          <w:rFonts w:ascii="Arial" w:cs="Arial" w:eastAsia="Arial" w:hAnsi="Arial"/>
          <w:sz w:val="12"/>
          <w:szCs w:val="12"/>
          <w:color w:val="FFFFFF"/>
        </w:rPr>
        <w:t>Named Executive</w:t>
      </w:r>
    </w:p>
    <w:p>
      <w:pPr>
        <w:ind w:left="1120"/>
        <w:spacing w:after="0"/>
        <w:rPr>
          <w:sz w:val="20"/>
          <w:szCs w:val="20"/>
          <w:color w:val="auto"/>
        </w:rPr>
      </w:pPr>
      <w:r>
        <w:rPr>
          <w:rFonts w:ascii="Arial" w:cs="Arial" w:eastAsia="Arial" w:hAnsi="Arial"/>
          <w:sz w:val="12"/>
          <w:szCs w:val="12"/>
          <w:color w:val="FFFFFF"/>
        </w:rPr>
        <w:t>Officers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Pay Versus</w:t>
      </w:r>
    </w:p>
    <w:p>
      <w:pPr>
        <w:ind w:left="1120"/>
        <w:spacing w:after="0" w:line="224" w:lineRule="auto"/>
        <w:rPr>
          <w:sz w:val="20"/>
          <w:szCs w:val="20"/>
          <w:color w:val="auto"/>
        </w:rPr>
      </w:pPr>
      <w:r>
        <w:rPr>
          <w:rFonts w:ascii="Arial" w:cs="Arial" w:eastAsia="Arial" w:hAnsi="Arial"/>
          <w:sz w:val="12"/>
          <w:szCs w:val="12"/>
          <w:color w:val="FFFFFF"/>
        </w:rPr>
        <w:t>Performance</w:t>
      </w:r>
    </w:p>
    <w:p>
      <w:pPr>
        <w:ind w:left="1120"/>
        <w:spacing w:after="0"/>
        <w:rPr>
          <w:sz w:val="20"/>
          <w:szCs w:val="20"/>
          <w:color w:val="auto"/>
        </w:rPr>
      </w:pPr>
      <w:r>
        <w:rPr>
          <w:rFonts w:ascii="Arial" w:cs="Arial" w:eastAsia="Arial" w:hAnsi="Arial"/>
          <w:sz w:val="12"/>
          <w:szCs w:val="12"/>
          <w:color w:val="FFFFFF"/>
        </w:rPr>
        <w:t>Disclosure</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Security</w:t>
      </w:r>
    </w:p>
    <w:p>
      <w:pPr>
        <w:ind w:left="1120"/>
        <w:spacing w:after="0" w:line="224" w:lineRule="auto"/>
        <w:rPr>
          <w:sz w:val="20"/>
          <w:szCs w:val="20"/>
          <w:color w:val="auto"/>
        </w:rPr>
      </w:pPr>
      <w:r>
        <w:rPr>
          <w:rFonts w:ascii="Arial" w:cs="Arial" w:eastAsia="Arial" w:hAnsi="Arial"/>
          <w:sz w:val="12"/>
          <w:szCs w:val="12"/>
          <w:color w:val="FFFFFF"/>
        </w:rPr>
        <w:t>Ownership of</w:t>
      </w:r>
    </w:p>
    <w:p>
      <w:pPr>
        <w:ind w:left="1120"/>
        <w:spacing w:after="0" w:line="222" w:lineRule="auto"/>
        <w:rPr>
          <w:sz w:val="20"/>
          <w:szCs w:val="20"/>
          <w:color w:val="auto"/>
        </w:rPr>
      </w:pPr>
      <w:r>
        <w:rPr>
          <w:rFonts w:ascii="Arial" w:cs="Arial" w:eastAsia="Arial" w:hAnsi="Arial"/>
          <w:sz w:val="12"/>
          <w:szCs w:val="12"/>
          <w:color w:val="FFFFFF"/>
        </w:rPr>
        <w:t>Certain Beneficial</w:t>
      </w:r>
    </w:p>
    <w:p>
      <w:pPr>
        <w:ind w:left="1120"/>
        <w:spacing w:after="0" w:line="222" w:lineRule="auto"/>
        <w:rPr>
          <w:sz w:val="20"/>
          <w:szCs w:val="20"/>
          <w:color w:val="auto"/>
        </w:rPr>
      </w:pPr>
      <w:r>
        <w:rPr>
          <w:rFonts w:ascii="Arial" w:cs="Arial" w:eastAsia="Arial" w:hAnsi="Arial"/>
          <w:sz w:val="12"/>
          <w:szCs w:val="12"/>
          <w:color w:val="FFFFFF"/>
        </w:rPr>
        <w:t>Owners and</w:t>
      </w:r>
    </w:p>
    <w:p>
      <w:pPr>
        <w:ind w:left="1120"/>
        <w:spacing w:after="0"/>
        <w:rPr>
          <w:sz w:val="20"/>
          <w:szCs w:val="20"/>
          <w:color w:val="auto"/>
        </w:rPr>
      </w:pPr>
      <w:r>
        <w:rPr>
          <w:rFonts w:ascii="Arial" w:cs="Arial" w:eastAsia="Arial" w:hAnsi="Arial"/>
          <w:sz w:val="12"/>
          <w:szCs w:val="12"/>
          <w:color w:val="FFFFFF"/>
        </w:rPr>
        <w:t>Management</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Certain</w:t>
      </w:r>
    </w:p>
    <w:p>
      <w:pPr>
        <w:ind w:left="1120"/>
        <w:spacing w:after="0" w:line="224" w:lineRule="auto"/>
        <w:rPr>
          <w:sz w:val="20"/>
          <w:szCs w:val="20"/>
          <w:color w:val="auto"/>
        </w:rPr>
      </w:pPr>
      <w:r>
        <w:rPr>
          <w:rFonts w:ascii="Arial" w:cs="Arial" w:eastAsia="Arial" w:hAnsi="Arial"/>
          <w:sz w:val="12"/>
          <w:szCs w:val="12"/>
          <w:color w:val="FFFFFF"/>
        </w:rPr>
        <w:t>Relationships and</w:t>
      </w:r>
    </w:p>
    <w:p>
      <w:pPr>
        <w:ind w:left="1120"/>
        <w:spacing w:after="0" w:line="222" w:lineRule="auto"/>
        <w:rPr>
          <w:sz w:val="20"/>
          <w:szCs w:val="20"/>
          <w:color w:val="auto"/>
        </w:rPr>
      </w:pPr>
      <w:r>
        <w:rPr>
          <w:rFonts w:ascii="Arial" w:cs="Arial" w:eastAsia="Arial" w:hAnsi="Arial"/>
          <w:sz w:val="12"/>
          <w:szCs w:val="12"/>
          <w:color w:val="FFFFFF"/>
        </w:rPr>
        <w:t>Related Party</w:t>
      </w:r>
    </w:p>
    <w:p>
      <w:pPr>
        <w:ind w:left="1120"/>
        <w:spacing w:after="0"/>
        <w:rPr>
          <w:sz w:val="20"/>
          <w:szCs w:val="20"/>
          <w:color w:val="auto"/>
        </w:rPr>
      </w:pPr>
      <w:r>
        <w:rPr>
          <w:rFonts w:ascii="Arial" w:cs="Arial" w:eastAsia="Arial" w:hAnsi="Arial"/>
          <w:sz w:val="12"/>
          <w:szCs w:val="12"/>
          <w:color w:val="FFFFFF"/>
        </w:rPr>
        <w:t>Transactions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Proposal 2</w:t>
      </w:r>
    </w:p>
    <w:p>
      <w:pPr>
        <w:spacing w:after="0" w:line="156"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Report of the</w:t>
      </w:r>
    </w:p>
    <w:p>
      <w:pPr>
        <w:ind w:left="1120"/>
        <w:spacing w:after="0" w:line="224" w:lineRule="auto"/>
        <w:rPr>
          <w:sz w:val="20"/>
          <w:szCs w:val="20"/>
          <w:color w:val="auto"/>
        </w:rPr>
      </w:pPr>
      <w:r>
        <w:rPr>
          <w:rFonts w:ascii="Arial" w:cs="Arial" w:eastAsia="Arial" w:hAnsi="Arial"/>
          <w:sz w:val="12"/>
          <w:szCs w:val="12"/>
          <w:color w:val="FFFFFF"/>
        </w:rPr>
        <w:t>Audit and Risk</w:t>
      </w:r>
    </w:p>
    <w:p>
      <w:pPr>
        <w:ind w:left="1120"/>
        <w:spacing w:after="0" w:line="222" w:lineRule="auto"/>
        <w:rPr>
          <w:sz w:val="20"/>
          <w:szCs w:val="20"/>
          <w:color w:val="auto"/>
        </w:rPr>
      </w:pPr>
      <w:r>
        <w:rPr>
          <w:rFonts w:ascii="Arial" w:cs="Arial" w:eastAsia="Arial" w:hAnsi="Arial"/>
          <w:sz w:val="12"/>
          <w:szCs w:val="12"/>
          <w:color w:val="FFFFFF"/>
        </w:rPr>
        <w:t>Committee of the</w:t>
      </w:r>
    </w:p>
    <w:p>
      <w:pPr>
        <w:ind w:left="1120"/>
        <w:spacing w:after="0"/>
        <w:rPr>
          <w:sz w:val="20"/>
          <w:szCs w:val="20"/>
          <w:color w:val="auto"/>
        </w:rPr>
      </w:pPr>
      <w:r>
        <w:rPr>
          <w:rFonts w:ascii="Arial" w:cs="Arial" w:eastAsia="Arial" w:hAnsi="Arial"/>
          <w:sz w:val="12"/>
          <w:szCs w:val="12"/>
          <w:color w:val="FFFFFF"/>
        </w:rPr>
        <w:t>Board of Directors</w:t>
      </w:r>
    </w:p>
    <w:p>
      <w:pPr>
        <w:spacing w:after="0" w:line="144" w:lineRule="exact"/>
        <w:rPr>
          <w:sz w:val="20"/>
          <w:szCs w:val="20"/>
          <w:color w:val="auto"/>
        </w:rPr>
      </w:pPr>
    </w:p>
    <w:p>
      <w:pPr>
        <w:jc w:val="center"/>
        <w:ind w:left="620"/>
        <w:spacing w:after="0"/>
        <w:rPr>
          <w:sz w:val="20"/>
          <w:szCs w:val="20"/>
          <w:color w:val="auto"/>
        </w:rPr>
      </w:pPr>
      <w:r>
        <w:rPr>
          <w:rFonts w:ascii="Arial" w:cs="Arial" w:eastAsia="Arial" w:hAnsi="Arial"/>
          <w:sz w:val="12"/>
          <w:szCs w:val="12"/>
          <w:color w:val="FFFFFF"/>
        </w:rPr>
        <w:t>Proposal 3</w:t>
      </w:r>
    </w:p>
    <w:p>
      <w:pPr>
        <w:spacing w:after="0" w:line="156" w:lineRule="exact"/>
        <w:rPr>
          <w:sz w:val="20"/>
          <w:szCs w:val="20"/>
          <w:color w:val="auto"/>
        </w:rPr>
      </w:pPr>
    </w:p>
    <w:p>
      <w:pPr>
        <w:jc w:val="center"/>
        <w:ind w:left="620"/>
        <w:spacing w:after="0"/>
        <w:rPr>
          <w:sz w:val="20"/>
          <w:szCs w:val="20"/>
          <w:color w:val="auto"/>
        </w:rPr>
      </w:pPr>
      <w:r>
        <w:rPr>
          <w:rFonts w:ascii="Arial" w:cs="Arial" w:eastAsia="Arial" w:hAnsi="Arial"/>
          <w:sz w:val="12"/>
          <w:szCs w:val="12"/>
          <w:color w:val="FFFFFF"/>
        </w:rPr>
        <w:t>Proposal 4</w:t>
      </w:r>
    </w:p>
    <w:p>
      <w:pPr>
        <w:spacing w:after="0" w:line="156" w:lineRule="exact"/>
        <w:rPr>
          <w:sz w:val="20"/>
          <w:szCs w:val="20"/>
          <w:color w:val="auto"/>
        </w:rPr>
      </w:pPr>
    </w:p>
    <w:p>
      <w:pPr>
        <w:jc w:val="center"/>
        <w:ind w:left="620"/>
        <w:spacing w:after="0"/>
        <w:rPr>
          <w:sz w:val="20"/>
          <w:szCs w:val="20"/>
          <w:color w:val="auto"/>
        </w:rPr>
      </w:pPr>
      <w:r>
        <w:rPr>
          <w:rFonts w:ascii="Arial" w:cs="Arial" w:eastAsia="Arial" w:hAnsi="Arial"/>
          <w:sz w:val="12"/>
          <w:szCs w:val="12"/>
          <w:color w:val="FFFFFF"/>
        </w:rPr>
        <w:t>Proposal 5</w:t>
      </w:r>
    </w:p>
    <w:p>
      <w:pPr>
        <w:spacing w:after="0" w:line="156"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Proposal 6</w:t>
      </w:r>
    </w:p>
    <w:p>
      <w:pPr>
        <w:spacing w:after="0" w:line="156"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Stockholder</w:t>
      </w:r>
    </w:p>
    <w:p>
      <w:pPr>
        <w:ind w:left="1120"/>
        <w:spacing w:after="0" w:line="224" w:lineRule="auto"/>
        <w:rPr>
          <w:sz w:val="20"/>
          <w:szCs w:val="20"/>
          <w:color w:val="auto"/>
        </w:rPr>
      </w:pPr>
      <w:r>
        <w:rPr>
          <w:rFonts w:ascii="Arial" w:cs="Arial" w:eastAsia="Arial" w:hAnsi="Arial"/>
          <w:sz w:val="12"/>
          <w:szCs w:val="12"/>
          <w:color w:val="FFFFFF"/>
        </w:rPr>
        <w:t>Proposals and</w:t>
      </w:r>
    </w:p>
    <w:p>
      <w:pPr>
        <w:ind w:left="1120"/>
        <w:spacing w:after="0"/>
        <w:rPr>
          <w:sz w:val="20"/>
          <w:szCs w:val="20"/>
          <w:color w:val="auto"/>
        </w:rPr>
      </w:pPr>
      <w:r>
        <w:rPr>
          <w:rFonts w:ascii="Arial" w:cs="Arial" w:eastAsia="Arial" w:hAnsi="Arial"/>
          <w:sz w:val="12"/>
          <w:szCs w:val="12"/>
          <w:color w:val="FFFFFF"/>
        </w:rPr>
        <w:t>Other Matters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Delinquent</w:t>
      </w:r>
    </w:p>
    <w:p>
      <w:pPr>
        <w:ind w:left="1120"/>
        <w:spacing w:after="0" w:line="224" w:lineRule="auto"/>
        <w:rPr>
          <w:sz w:val="20"/>
          <w:szCs w:val="20"/>
          <w:color w:val="auto"/>
        </w:rPr>
      </w:pPr>
      <w:r>
        <w:rPr>
          <w:rFonts w:ascii="Arial" w:cs="Arial" w:eastAsia="Arial" w:hAnsi="Arial"/>
          <w:sz w:val="12"/>
          <w:szCs w:val="12"/>
          <w:color w:val="FFFFFF"/>
        </w:rPr>
        <w:t>Section 16(a)</w:t>
      </w:r>
    </w:p>
    <w:p>
      <w:pPr>
        <w:ind w:left="1120"/>
        <w:spacing w:after="0"/>
        <w:rPr>
          <w:sz w:val="20"/>
          <w:szCs w:val="20"/>
          <w:color w:val="auto"/>
        </w:rPr>
      </w:pPr>
      <w:r>
        <w:rPr>
          <w:rFonts w:ascii="Arial" w:cs="Arial" w:eastAsia="Arial" w:hAnsi="Arial"/>
          <w:sz w:val="12"/>
          <w:szCs w:val="12"/>
          <w:color w:val="FFFFFF"/>
        </w:rPr>
        <w:t>Reports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Other</w:t>
      </w:r>
    </w:p>
    <w:p>
      <w:pPr>
        <w:spacing w:after="0" w:line="2"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Information</w:t>
      </w:r>
    </w:p>
    <w:p>
      <w:pPr>
        <w:spacing w:after="0" w:line="144" w:lineRule="exact"/>
        <w:rPr>
          <w:sz w:val="20"/>
          <w:szCs w:val="20"/>
          <w:color w:val="auto"/>
        </w:rPr>
      </w:pPr>
    </w:p>
    <w:p>
      <w:pPr>
        <w:jc w:val="center"/>
        <w:ind w:left="660"/>
        <w:spacing w:after="0"/>
        <w:rPr>
          <w:sz w:val="20"/>
          <w:szCs w:val="20"/>
          <w:color w:val="auto"/>
        </w:rPr>
      </w:pPr>
      <w:r>
        <w:rPr>
          <w:rFonts w:ascii="Arial" w:cs="Arial" w:eastAsia="Arial" w:hAnsi="Arial"/>
          <w:sz w:val="12"/>
          <w:szCs w:val="12"/>
          <w:color w:val="FFFFFF"/>
        </w:rPr>
        <w:t>Appendix A</w:t>
      </w:r>
    </w:p>
    <w:p>
      <w:pPr>
        <w:spacing w:after="0" w:line="156" w:lineRule="exact"/>
        <w:rPr>
          <w:sz w:val="20"/>
          <w:szCs w:val="20"/>
          <w:color w:val="auto"/>
        </w:rPr>
      </w:pPr>
    </w:p>
    <w:p>
      <w:pPr>
        <w:jc w:val="center"/>
        <w:ind w:left="660"/>
        <w:spacing w:after="0"/>
        <w:rPr>
          <w:sz w:val="20"/>
          <w:szCs w:val="20"/>
          <w:color w:val="auto"/>
        </w:rPr>
      </w:pPr>
      <w:r>
        <w:rPr>
          <w:rFonts w:ascii="Arial" w:cs="Arial" w:eastAsia="Arial" w:hAnsi="Arial"/>
          <w:sz w:val="12"/>
          <w:szCs w:val="12"/>
          <w:color w:val="FFFFFF"/>
        </w:rPr>
        <w:t>Appendix 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right="160"/>
        <w:spacing w:after="0" w:line="258" w:lineRule="auto"/>
        <w:rPr>
          <w:sz w:val="20"/>
          <w:szCs w:val="20"/>
          <w:color w:val="auto"/>
        </w:rPr>
      </w:pPr>
      <w:r>
        <w:rPr>
          <w:rFonts w:ascii="Arial" w:cs="Arial" w:eastAsia="Arial" w:hAnsi="Arial"/>
          <w:sz w:val="15"/>
          <w:szCs w:val="15"/>
          <w:color w:val="auto"/>
        </w:rPr>
        <w:t xml:space="preserve">personalized financial guidance to millions of American families as they work toward their life’s aspirations. Our advisors are a diverse community of entrepreneurial financial services professionals, and we are committed to supporting their vital work by operating responsibly and ethically, and strengthening trust with our mutual stakeholders. In short, we believe our work makes a positive difference, and that the Company’s long-term success depends not only on the business we conduct but also on </w:t>
      </w:r>
      <w:r>
        <w:rPr>
          <w:rFonts w:ascii="Arial" w:cs="Arial" w:eastAsia="Arial" w:hAnsi="Arial"/>
          <w:sz w:val="15"/>
          <w:szCs w:val="15"/>
          <w:i w:val="1"/>
          <w:iCs w:val="1"/>
          <w:color w:val="auto"/>
        </w:rPr>
        <w:t>how</w:t>
      </w:r>
      <w:r>
        <w:rPr>
          <w:rFonts w:ascii="Arial" w:cs="Arial" w:eastAsia="Arial" w:hAnsi="Arial"/>
          <w:sz w:val="15"/>
          <w:szCs w:val="15"/>
          <w:color w:val="auto"/>
        </w:rPr>
        <w:t xml:space="preserve"> we conduct 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-1737995</wp:posOffset>
            </wp:positionH>
            <wp:positionV relativeFrom="paragraph">
              <wp:posOffset>-1220470</wp:posOffset>
            </wp:positionV>
            <wp:extent cx="7181215" cy="5334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81215" cy="53340"/>
                    </a:xfrm>
                    <a:prstGeom prst="rect">
                      <a:avLst/>
                    </a:prstGeom>
                    <a:noFill/>
                  </pic:spPr>
                </pic:pic>
              </a:graphicData>
            </a:graphic>
          </wp:anchor>
        </w:drawing>
      </w:r>
    </w:p>
    <w:p>
      <w:pPr>
        <w:spacing w:after="0" w:line="48" w:lineRule="exact"/>
        <w:rPr>
          <w:sz w:val="20"/>
          <w:szCs w:val="20"/>
          <w:color w:val="auto"/>
        </w:rPr>
      </w:pPr>
    </w:p>
    <w:p>
      <w:pPr>
        <w:ind w:right="280"/>
        <w:spacing w:after="0" w:line="268" w:lineRule="auto"/>
        <w:rPr>
          <w:sz w:val="20"/>
          <w:szCs w:val="20"/>
          <w:color w:val="auto"/>
        </w:rPr>
      </w:pPr>
      <w:r>
        <w:rPr>
          <w:rFonts w:ascii="Arial" w:cs="Arial" w:eastAsia="Arial" w:hAnsi="Arial"/>
          <w:sz w:val="15"/>
          <w:szCs w:val="15"/>
          <w:color w:val="auto"/>
        </w:rPr>
        <w:t>Our Board supports the Company’s efforts to serve its stakeholders’ interests, including stockholders, employees, advisors and their clients, and local communities. The Nominating and Governance Committee oversees our sustainability program, which is reflected in its committee charter.</w:t>
      </w:r>
    </w:p>
    <w:p>
      <w:pPr>
        <w:spacing w:after="0" w:line="60" w:lineRule="exact"/>
        <w:rPr>
          <w:sz w:val="20"/>
          <w:szCs w:val="20"/>
          <w:color w:val="auto"/>
        </w:rPr>
      </w:pPr>
    </w:p>
    <w:p>
      <w:pPr>
        <w:ind w:right="80"/>
        <w:spacing w:after="0" w:line="261" w:lineRule="auto"/>
        <w:rPr>
          <w:sz w:val="20"/>
          <w:szCs w:val="20"/>
          <w:color w:val="auto"/>
        </w:rPr>
      </w:pPr>
      <w:r>
        <w:rPr>
          <w:rFonts w:ascii="Arial" w:cs="Arial" w:eastAsia="Arial" w:hAnsi="Arial"/>
          <w:sz w:val="15"/>
          <w:szCs w:val="15"/>
          <w:color w:val="auto"/>
        </w:rPr>
        <w:t>Our sustainability program continues to be an area of significant focus for the Nominating and Governance Committee. As the program continued to mature, the Nominating and Governance Committee oversaw the implementation of our sustainability initiatives in the areas that are most significant to our business, our advisors, our regulators and our stakeholders. In particular, the Company made progress throughout 2025 by:</w:t>
      </w:r>
    </w:p>
    <w:p>
      <w:pPr>
        <w:spacing w:after="0" w:line="79" w:lineRule="exact"/>
        <w:rPr>
          <w:sz w:val="20"/>
          <w:szCs w:val="20"/>
          <w:color w:val="auto"/>
        </w:rPr>
      </w:pPr>
    </w:p>
    <w:p>
      <w:pPr>
        <w:ind w:left="280" w:right="60" w:hanging="273"/>
        <w:spacing w:after="0" w:line="287" w:lineRule="auto"/>
        <w:tabs>
          <w:tab w:leader="none" w:pos="280" w:val="left"/>
        </w:tabs>
        <w:numPr>
          <w:ilvl w:val="0"/>
          <w:numId w:val="46"/>
        </w:numPr>
        <w:rPr>
          <w:rFonts w:ascii="Arial" w:cs="Arial" w:eastAsia="Arial" w:hAnsi="Arial"/>
          <w:sz w:val="15"/>
          <w:szCs w:val="15"/>
          <w:color w:val="auto"/>
        </w:rPr>
      </w:pPr>
      <w:r>
        <w:rPr>
          <w:rFonts w:ascii="Arial" w:cs="Arial" w:eastAsia="Arial" w:hAnsi="Arial"/>
          <w:sz w:val="15"/>
          <w:szCs w:val="15"/>
          <w:color w:val="auto"/>
        </w:rPr>
        <w:t>reviewing environmental, social and governance (“ESG”)-related opportunities and risks with the Nominating and Governance Committee and senior management;</w:t>
      </w:r>
    </w:p>
    <w:p>
      <w:pPr>
        <w:spacing w:after="0" w:line="59" w:lineRule="exact"/>
        <w:rPr>
          <w:rFonts w:ascii="Arial" w:cs="Arial" w:eastAsia="Arial" w:hAnsi="Arial"/>
          <w:sz w:val="15"/>
          <w:szCs w:val="15"/>
          <w:color w:val="auto"/>
        </w:rPr>
      </w:pPr>
    </w:p>
    <w:p>
      <w:pPr>
        <w:ind w:left="280" w:right="20" w:hanging="273"/>
        <w:spacing w:after="0" w:line="268" w:lineRule="auto"/>
        <w:tabs>
          <w:tab w:leader="none" w:pos="280" w:val="left"/>
        </w:tabs>
        <w:numPr>
          <w:ilvl w:val="0"/>
          <w:numId w:val="46"/>
        </w:numPr>
        <w:rPr>
          <w:rFonts w:ascii="Arial" w:cs="Arial" w:eastAsia="Arial" w:hAnsi="Arial"/>
          <w:sz w:val="15"/>
          <w:szCs w:val="15"/>
          <w:color w:val="auto"/>
        </w:rPr>
      </w:pPr>
      <w:r>
        <w:rPr>
          <w:rFonts w:ascii="Arial" w:cs="Arial" w:eastAsia="Arial" w:hAnsi="Arial"/>
          <w:sz w:val="15"/>
          <w:szCs w:val="15"/>
          <w:color w:val="auto"/>
        </w:rPr>
        <w:t>progressing our environmental efforts through the purchase of Green-e Certified Renewable Energy Certificates covering 100% of our corporate offices and developing a program to offset carbon emissions from the Company’s business travel in 2026; and</w:t>
      </w:r>
    </w:p>
    <w:p>
      <w:pPr>
        <w:spacing w:after="0" w:line="73" w:lineRule="exact"/>
        <w:rPr>
          <w:rFonts w:ascii="Arial" w:cs="Arial" w:eastAsia="Arial" w:hAnsi="Arial"/>
          <w:sz w:val="15"/>
          <w:szCs w:val="15"/>
          <w:color w:val="auto"/>
        </w:rPr>
      </w:pPr>
    </w:p>
    <w:p>
      <w:pPr>
        <w:ind w:left="280" w:right="280" w:hanging="273"/>
        <w:spacing w:after="0" w:line="287" w:lineRule="auto"/>
        <w:tabs>
          <w:tab w:leader="none" w:pos="280" w:val="left"/>
        </w:tabs>
        <w:numPr>
          <w:ilvl w:val="0"/>
          <w:numId w:val="46"/>
        </w:numPr>
        <w:rPr>
          <w:rFonts w:ascii="Arial" w:cs="Arial" w:eastAsia="Arial" w:hAnsi="Arial"/>
          <w:sz w:val="15"/>
          <w:szCs w:val="15"/>
          <w:color w:val="auto"/>
        </w:rPr>
      </w:pPr>
      <w:r>
        <w:rPr>
          <w:rFonts w:ascii="Arial" w:cs="Arial" w:eastAsia="Arial" w:hAnsi="Arial"/>
          <w:sz w:val="15"/>
          <w:szCs w:val="15"/>
          <w:color w:val="auto"/>
        </w:rPr>
        <w:t>applying a sustainability lens to operations, planning and decision-making as we look to grow responsibly and continue to serve our clients.</w:t>
      </w:r>
    </w:p>
    <w:p>
      <w:pPr>
        <w:spacing w:after="0" w:line="47" w:lineRule="exact"/>
        <w:rPr>
          <w:sz w:val="20"/>
          <w:szCs w:val="20"/>
          <w:color w:val="auto"/>
        </w:rPr>
      </w:pPr>
    </w:p>
    <w:p>
      <w:pPr>
        <w:ind w:right="280"/>
        <w:spacing w:after="0" w:line="258" w:lineRule="auto"/>
        <w:rPr>
          <w:sz w:val="20"/>
          <w:szCs w:val="20"/>
          <w:color w:val="auto"/>
        </w:rPr>
      </w:pPr>
      <w:r>
        <w:rPr>
          <w:rFonts w:ascii="Arial" w:cs="Arial" w:eastAsia="Arial" w:hAnsi="Arial"/>
          <w:sz w:val="15"/>
          <w:szCs w:val="15"/>
          <w:color w:val="auto"/>
        </w:rPr>
        <w:t>The implementation of various components of our sustainability strategy—from employee development to energy efficiency—is led by relevant functional and program leaders, who, in turn, report key performance indicators and initiatives to our sustainability steering committee, which comprises senior leaders from across the Company, and strategizes, implements and monitors sustainability-related initiatives and policies throughout the Company. The Nominating and Governance Committee is updated regularly on our progress and future roadmap.</w:t>
      </w:r>
    </w:p>
    <w:p>
      <w:pPr>
        <w:spacing w:after="0" w:line="68" w:lineRule="exact"/>
        <w:rPr>
          <w:sz w:val="20"/>
          <w:szCs w:val="20"/>
          <w:color w:val="auto"/>
        </w:rPr>
      </w:pPr>
    </w:p>
    <w:p>
      <w:pPr>
        <w:ind w:right="220"/>
        <w:spacing w:after="0" w:line="258" w:lineRule="auto"/>
        <w:rPr>
          <w:sz w:val="20"/>
          <w:szCs w:val="20"/>
          <w:color w:val="auto"/>
        </w:rPr>
      </w:pPr>
      <w:r>
        <w:rPr>
          <w:rFonts w:ascii="Arial" w:cs="Arial" w:eastAsia="Arial" w:hAnsi="Arial"/>
          <w:sz w:val="15"/>
          <w:szCs w:val="15"/>
          <w:color w:val="auto"/>
        </w:rPr>
        <w:t>The Company’s goal is a sustainability strategy that drives long-term value through strong alignment with the Company’s strategy and culture. Our significant sustainability topics are keyed to a framework that focuses on four strategic focus areas: responsible business, people and culture, societal impact and environmental stewardship. Within these focus areas, we pursue a variety of programs and initiatives designed to create value for our stakeholders.</w:t>
      </w:r>
    </w:p>
    <w:p>
      <w:pPr>
        <w:spacing w:after="0" w:line="68" w:lineRule="exact"/>
        <w:rPr>
          <w:sz w:val="20"/>
          <w:szCs w:val="20"/>
          <w:color w:val="auto"/>
        </w:rPr>
      </w:pPr>
    </w:p>
    <w:p>
      <w:pPr>
        <w:ind w:right="20"/>
        <w:spacing w:after="0" w:line="261" w:lineRule="auto"/>
        <w:rPr>
          <w:sz w:val="20"/>
          <w:szCs w:val="20"/>
          <w:color w:val="auto"/>
        </w:rPr>
      </w:pPr>
      <w:r>
        <w:rPr>
          <w:rFonts w:ascii="Arial" w:cs="Arial" w:eastAsia="Arial" w:hAnsi="Arial"/>
          <w:sz w:val="15"/>
          <w:szCs w:val="15"/>
          <w:color w:val="auto"/>
        </w:rPr>
        <w:t>To learn more, please see the “Social Responsibility” section of our website at www.lpl.com, through which last year’s sustainability and climate reports are also available. Our 2025 Corporate Sustainability Report, which we expect to issue in June of 2026, will describe our progress and milestones over the last year in more detail, and will also be available on our website.</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color w:val="002B5F"/>
        </w:rPr>
        <w:t>CYBERSECURITY</w:t>
      </w:r>
    </w:p>
    <w:p>
      <w:pPr>
        <w:spacing w:after="0" w:line="103" w:lineRule="exact"/>
        <w:rPr>
          <w:sz w:val="20"/>
          <w:szCs w:val="20"/>
          <w:color w:val="auto"/>
        </w:rPr>
      </w:pPr>
    </w:p>
    <w:p>
      <w:pPr>
        <w:spacing w:after="0" w:line="253" w:lineRule="auto"/>
        <w:rPr>
          <w:sz w:val="20"/>
          <w:szCs w:val="20"/>
          <w:color w:val="auto"/>
        </w:rPr>
      </w:pPr>
      <w:r>
        <w:rPr>
          <w:rFonts w:ascii="Arial" w:cs="Arial" w:eastAsia="Arial" w:hAnsi="Arial"/>
          <w:sz w:val="15"/>
          <w:szCs w:val="15"/>
          <w:color w:val="auto"/>
        </w:rPr>
        <w:t>The Audit and Risk Committee and the Board are each involved in overseeing the Company’s information security program (the “Program”), which addresses cybersecurity risks to our business, operations and assets. We believe that cybersecurity protection is critical to maintaining our proprietary information and the trust of our advisors and their clients, particularly in the context of the evolving threat landscape and the rapid pace of technological change and digital innovation. As part of the Program, the Company maintains policies, procedures and standards that outline our expectations, guidelines and structured approach to managing cybersecurity risks. We leverage established security frameworks, such as the National Institute of Standards and Technology Cybersecurity Framework, as guides to organize, assess and improve the Program. We also operate a security operation center to ingest threat intelligence, monitor for cybersecurity threats and coordinate incident response resources.</w:t>
      </w:r>
    </w:p>
    <w:p>
      <w:pPr>
        <w:spacing w:after="0" w:line="74" w:lineRule="exact"/>
        <w:rPr>
          <w:sz w:val="20"/>
          <w:szCs w:val="20"/>
          <w:color w:val="auto"/>
        </w:rPr>
      </w:pPr>
    </w:p>
    <w:p>
      <w:pPr>
        <w:ind w:right="500"/>
        <w:spacing w:after="0" w:line="287" w:lineRule="auto"/>
        <w:rPr>
          <w:sz w:val="20"/>
          <w:szCs w:val="20"/>
          <w:color w:val="auto"/>
        </w:rPr>
      </w:pPr>
      <w:r>
        <w:rPr>
          <w:rFonts w:ascii="Arial" w:cs="Arial" w:eastAsia="Arial" w:hAnsi="Arial"/>
          <w:sz w:val="15"/>
          <w:szCs w:val="15"/>
          <w:color w:val="auto"/>
        </w:rPr>
        <w:t>The Board has delegated oversight of the Program to the Audit and Risk Committee, including oversight of the Company’s cyber- and technology-related risks and the steps management has</w:t>
      </w:r>
    </w:p>
    <w:p>
      <w:pPr>
        <w:spacing w:after="0" w:line="1847" w:lineRule="exact"/>
        <w:rPr>
          <w:sz w:val="20"/>
          <w:szCs w:val="20"/>
          <w:color w:val="auto"/>
        </w:rPr>
      </w:pPr>
    </w:p>
    <w:p>
      <w:pPr>
        <w:sectPr>
          <w:pgSz w:w="11900" w:h="16838" w:orient="portrait"/>
          <w:cols w:equalWidth="0" w:num="2">
            <w:col w:w="2160" w:space="560"/>
            <w:col w:w="7960"/>
          </w:cols>
          <w:pgMar w:left="320" w:top="464" w:right="899" w:bottom="1440" w:gutter="0" w:footer="0" w:header="0"/>
        </w:sectPr>
      </w:pPr>
    </w:p>
    <w:p>
      <w:pPr>
        <w:spacing w:after="0" w:line="200" w:lineRule="exact"/>
        <w:rPr>
          <w:sz w:val="20"/>
          <w:szCs w:val="20"/>
          <w:color w:val="auto"/>
        </w:rPr>
      </w:pPr>
    </w:p>
    <w:p>
      <w:pPr>
        <w:spacing w:after="0" w:line="385" w:lineRule="exact"/>
        <w:rPr>
          <w:sz w:val="20"/>
          <w:szCs w:val="20"/>
          <w:color w:val="auto"/>
        </w:rPr>
      </w:pPr>
    </w:p>
    <w:p>
      <w:pPr>
        <w:ind w:left="420"/>
        <w:spacing w:after="0"/>
        <w:tabs>
          <w:tab w:leader="none" w:pos="2380" w:val="left"/>
          <w:tab w:leader="none" w:pos="2800" w:val="left"/>
        </w:tabs>
        <w:rPr>
          <w:sz w:val="20"/>
          <w:szCs w:val="20"/>
          <w:color w:val="auto"/>
        </w:rPr>
      </w:pPr>
      <w:r>
        <w:rPr>
          <w:rFonts w:ascii="Arial" w:cs="Arial" w:eastAsia="Arial" w:hAnsi="Arial"/>
          <w:sz w:val="30"/>
          <w:szCs w:val="30"/>
          <w:color w:val="000000"/>
          <w:vertAlign w:val="superscript"/>
        </w:rPr>
        <w:t xml:space="preserve">             </w:t>
      </w:r>
      <w:r>
        <w:rPr>
          <w:sz w:val="20"/>
          <w:szCs w:val="20"/>
          <w:color w:val="auto"/>
        </w:rPr>
        <w:tab/>
      </w:r>
      <w:r>
        <w:rPr>
          <w:rFonts w:ascii="Arial" w:cs="Arial" w:eastAsia="Arial" w:hAnsi="Arial"/>
          <w:sz w:val="31"/>
          <w:szCs w:val="31"/>
          <w:color w:val="auto"/>
          <w:vertAlign w:val="superscript"/>
        </w:rPr>
        <w:t xml:space="preserve">    </w:t>
      </w:r>
      <w:r>
        <w:rPr>
          <w:sz w:val="20"/>
          <w:szCs w:val="20"/>
          <w:color w:val="auto"/>
        </w:rPr>
        <w:tab/>
      </w:r>
      <w:r>
        <w:rPr>
          <w:rFonts w:ascii="Arial" w:cs="Arial" w:eastAsia="Arial" w:hAnsi="Arial"/>
          <w:sz w:val="15"/>
          <w:szCs w:val="15"/>
          <w:b w:val="1"/>
          <w:bCs w:val="1"/>
          <w:color w:val="002B5F"/>
        </w:rPr>
        <w:t xml:space="preserve">26  </w:t>
      </w:r>
      <w:r>
        <w:rPr>
          <w:rFonts w:ascii="Arial" w:cs="Arial" w:eastAsia="Arial" w:hAnsi="Arial"/>
          <w:sz w:val="20"/>
          <w:szCs w:val="20"/>
          <w:color w:val="002B5F"/>
        </w:rPr>
        <w:t>|</w:t>
      </w:r>
      <w:r>
        <w:rPr>
          <w:rFonts w:ascii="Arial" w:cs="Arial" w:eastAsia="Arial" w:hAnsi="Arial"/>
          <w:sz w:val="15"/>
          <w:szCs w:val="15"/>
          <w:b w:val="1"/>
          <w:bCs w:val="1"/>
          <w:color w:val="002B5F"/>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6111875</wp:posOffset>
            </wp:positionH>
            <wp:positionV relativeFrom="paragraph">
              <wp:posOffset>-208915</wp:posOffset>
            </wp:positionV>
            <wp:extent cx="769620" cy="971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69620" cy="97155"/>
                    </a:xfrm>
                    <a:prstGeom prst="rect">
                      <a:avLst/>
                    </a:prstGeom>
                    <a:noFill/>
                  </pic:spPr>
                </pic:pic>
              </a:graphicData>
            </a:graphic>
          </wp:anchor>
        </w:drawing>
      </w:r>
    </w:p>
    <w:p>
      <w:pPr>
        <w:sectPr>
          <w:pgSz w:w="11900" w:h="16838" w:orient="portrait"/>
          <w:cols w:equalWidth="0" w:num="1">
            <w:col w:w="10680"/>
          </w:cols>
          <w:pgMar w:left="320" w:top="464" w:right="899" w:bottom="1440" w:gutter="0" w:footer="0" w:header="0"/>
          <w:type w:val="continuous"/>
        </w:sectPr>
      </w:pPr>
    </w:p>
    <w:bookmarkStart w:id="34" w:name="page35"/>
    <w:bookmarkEnd w:id="3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5334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81215" cy="5334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5617845</wp:posOffset>
            </wp:positionH>
            <wp:positionV relativeFrom="paragraph">
              <wp:posOffset>253365</wp:posOffset>
            </wp:positionV>
            <wp:extent cx="1256030" cy="74720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256030" cy="7472045"/>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tbl>
      <w:tblPr>
        <w:tblLayout w:type="fixed"/>
        <w:tblInd w:w="540" w:type="dxa"/>
        <w:tblCellMar>
          <w:top w:w="0" w:type="dxa"/>
          <w:left w:w="0" w:type="dxa"/>
          <w:bottom w:w="0" w:type="dxa"/>
          <w:right w:w="0" w:type="dxa"/>
        </w:tblCellMar>
      </w:tblPr>
      <w:tr>
        <w:trPr>
          <w:trHeight w:val="179"/>
        </w:trPr>
        <w:tc>
          <w:tcPr>
            <w:tcW w:w="8080" w:type="dxa"/>
            <w:vAlign w:val="bottom"/>
          </w:tcPr>
          <w:p>
            <w:pPr>
              <w:spacing w:after="0"/>
              <w:rPr>
                <w:sz w:val="20"/>
                <w:szCs w:val="20"/>
                <w:color w:val="auto"/>
              </w:rPr>
            </w:pPr>
            <w:r>
              <w:rPr>
                <w:rFonts w:ascii="Arial" w:cs="Arial" w:eastAsia="Arial" w:hAnsi="Arial"/>
                <w:sz w:val="15"/>
                <w:szCs w:val="15"/>
                <w:color w:val="auto"/>
              </w:rPr>
              <w:t>taken to identify, assess, monitor and manage those risks. In addition, the Board has established a reporting</w:t>
            </w:r>
          </w:p>
        </w:tc>
        <w:tc>
          <w:tcPr>
            <w:tcW w:w="4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8080" w:type="dxa"/>
            <w:vAlign w:val="bottom"/>
          </w:tcPr>
          <w:p>
            <w:pPr>
              <w:spacing w:after="0"/>
              <w:rPr>
                <w:sz w:val="20"/>
                <w:szCs w:val="20"/>
                <w:color w:val="auto"/>
              </w:rPr>
            </w:pPr>
            <w:r>
              <w:rPr>
                <w:rFonts w:ascii="Arial" w:cs="Arial" w:eastAsia="Arial" w:hAnsi="Arial"/>
                <w:sz w:val="15"/>
                <w:szCs w:val="15"/>
                <w:color w:val="auto"/>
              </w:rPr>
              <w:t>structure and cadence related to oversight of the Program, which includes respective oversight responsibilities for</w:t>
            </w:r>
          </w:p>
        </w:tc>
        <w:tc>
          <w:tcPr>
            <w:tcW w:w="460" w:type="dxa"/>
            <w:vAlign w:val="bottom"/>
            <w:vMerge w:val="restart"/>
          </w:tcPr>
          <w:p>
            <w:pPr>
              <w:ind w:left="260"/>
              <w:spacing w:after="0"/>
              <w:rPr>
                <w:sz w:val="20"/>
                <w:szCs w:val="20"/>
                <w:color w:val="auto"/>
              </w:rPr>
            </w:pPr>
            <w:r>
              <w:rPr>
                <w:rFonts w:ascii="Arial" w:cs="Arial" w:eastAsia="Arial" w:hAnsi="Arial"/>
                <w:sz w:val="15"/>
                <w:szCs w:val="15"/>
                <w:color w:val="auto"/>
              </w:rPr>
              <w:t> </w:t>
            </w:r>
          </w:p>
        </w:tc>
        <w:tc>
          <w:tcPr>
            <w:tcW w:w="1280" w:type="dxa"/>
            <w:vAlign w:val="bottom"/>
            <w:vMerge w:val="restart"/>
          </w:tcPr>
          <w:p>
            <w:pPr>
              <w:ind w:left="140"/>
              <w:spacing w:after="0"/>
              <w:rPr>
                <w:sz w:val="20"/>
                <w:szCs w:val="20"/>
                <w:color w:val="auto"/>
              </w:rPr>
            </w:pPr>
            <w:r>
              <w:rPr>
                <w:rFonts w:ascii="Arial" w:cs="Arial" w:eastAsia="Arial" w:hAnsi="Arial"/>
                <w:sz w:val="12"/>
                <w:szCs w:val="12"/>
                <w:color w:val="FFFFFF"/>
              </w:rPr>
              <w:t>General</w:t>
            </w:r>
          </w:p>
        </w:tc>
        <w:tc>
          <w:tcPr>
            <w:tcW w:w="440" w:type="dxa"/>
            <w:vAlign w:val="bottom"/>
            <w:vMerge w:val="restart"/>
          </w:tcPr>
          <w:p>
            <w:pPr>
              <w:ind w:left="80"/>
              <w:spacing w:after="0"/>
              <w:rPr>
                <w:sz w:val="20"/>
                <w:szCs w:val="20"/>
                <w:color w:val="auto"/>
              </w:rPr>
            </w:pPr>
            <w:r>
              <w:rPr>
                <w:rFonts w:ascii="Arial" w:cs="Arial" w:eastAsia="Arial" w:hAnsi="Arial"/>
                <w:sz w:val="15"/>
                <w:szCs w:val="15"/>
                <w:color w:val="auto"/>
              </w:rPr>
              <w:t xml:space="preserve">       </w:t>
            </w:r>
          </w:p>
        </w:tc>
        <w:tc>
          <w:tcPr>
            <w:tcW w:w="0" w:type="dxa"/>
            <w:vAlign w:val="bottom"/>
          </w:tcPr>
          <w:p>
            <w:pPr>
              <w:spacing w:after="0"/>
              <w:rPr>
                <w:sz w:val="1"/>
                <w:szCs w:val="1"/>
                <w:color w:val="auto"/>
              </w:rPr>
            </w:pPr>
          </w:p>
        </w:tc>
      </w:tr>
      <w:tr>
        <w:trPr>
          <w:trHeight w:val="51"/>
        </w:trPr>
        <w:tc>
          <w:tcPr>
            <w:tcW w:w="8080" w:type="dxa"/>
            <w:vAlign w:val="bottom"/>
            <w:vMerge w:val="restart"/>
          </w:tcPr>
          <w:p>
            <w:pPr>
              <w:spacing w:after="0"/>
              <w:rPr>
                <w:sz w:val="20"/>
                <w:szCs w:val="20"/>
                <w:color w:val="auto"/>
              </w:rPr>
            </w:pPr>
            <w:r>
              <w:rPr>
                <w:rFonts w:ascii="Arial" w:cs="Arial" w:eastAsia="Arial" w:hAnsi="Arial"/>
                <w:sz w:val="15"/>
                <w:szCs w:val="15"/>
                <w:color w:val="auto"/>
              </w:rPr>
              <w:t>the Board, the Audit and Risk Committee and various management risk committees. Each of the Board and the</w:t>
            </w:r>
          </w:p>
        </w:tc>
        <w:tc>
          <w:tcPr>
            <w:tcW w:w="460" w:type="dxa"/>
            <w:vAlign w:val="bottom"/>
            <w:vMerge w:val="continue"/>
          </w:tcPr>
          <w:p>
            <w:pPr>
              <w:spacing w:after="0"/>
              <w:rPr>
                <w:sz w:val="4"/>
                <w:szCs w:val="4"/>
                <w:color w:val="auto"/>
              </w:rPr>
            </w:pPr>
          </w:p>
        </w:tc>
        <w:tc>
          <w:tcPr>
            <w:tcW w:w="1280" w:type="dxa"/>
            <w:vAlign w:val="bottom"/>
            <w:vMerge w:val="continue"/>
          </w:tcPr>
          <w:p>
            <w:pPr>
              <w:spacing w:after="0"/>
              <w:rPr>
                <w:sz w:val="4"/>
                <w:szCs w:val="4"/>
                <w:color w:val="auto"/>
              </w:rPr>
            </w:pPr>
          </w:p>
        </w:tc>
        <w:tc>
          <w:tcPr>
            <w:tcW w:w="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8"/>
        </w:trPr>
        <w:tc>
          <w:tcPr>
            <w:tcW w:w="8080" w:type="dxa"/>
            <w:vAlign w:val="bottom"/>
            <w:vMerge w:val="continue"/>
          </w:tcPr>
          <w:p>
            <w:pPr>
              <w:spacing w:after="0"/>
              <w:rPr>
                <w:sz w:val="11"/>
                <w:szCs w:val="11"/>
                <w:color w:val="auto"/>
              </w:rPr>
            </w:pPr>
          </w:p>
        </w:tc>
        <w:tc>
          <w:tcPr>
            <w:tcW w:w="460" w:type="dxa"/>
            <w:vAlign w:val="bottom"/>
          </w:tcPr>
          <w:p>
            <w:pPr>
              <w:spacing w:after="0"/>
              <w:rPr>
                <w:sz w:val="11"/>
                <w:szCs w:val="11"/>
                <w:color w:val="auto"/>
              </w:rPr>
            </w:pPr>
          </w:p>
        </w:tc>
        <w:tc>
          <w:tcPr>
            <w:tcW w:w="1280" w:type="dxa"/>
            <w:vAlign w:val="bottom"/>
          </w:tcPr>
          <w:p>
            <w:pPr>
              <w:ind w:left="140"/>
              <w:spacing w:after="0" w:line="128" w:lineRule="exact"/>
              <w:rPr>
                <w:sz w:val="20"/>
                <w:szCs w:val="20"/>
                <w:color w:val="auto"/>
              </w:rPr>
            </w:pPr>
            <w:r>
              <w:rPr>
                <w:rFonts w:ascii="Arial" w:cs="Arial" w:eastAsia="Arial" w:hAnsi="Arial"/>
                <w:sz w:val="12"/>
                <w:szCs w:val="12"/>
                <w:color w:val="FFFFFF"/>
              </w:rPr>
              <w:t>Information</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9"/>
        </w:trPr>
        <w:tc>
          <w:tcPr>
            <w:tcW w:w="8080" w:type="dxa"/>
            <w:vAlign w:val="bottom"/>
          </w:tcPr>
          <w:p>
            <w:pPr>
              <w:spacing w:after="0"/>
              <w:rPr>
                <w:sz w:val="20"/>
                <w:szCs w:val="20"/>
                <w:color w:val="auto"/>
              </w:rPr>
            </w:pPr>
            <w:r>
              <w:rPr>
                <w:rFonts w:ascii="Arial" w:cs="Arial" w:eastAsia="Arial" w:hAnsi="Arial"/>
                <w:sz w:val="15"/>
                <w:szCs w:val="15"/>
                <w:color w:val="auto"/>
              </w:rPr>
              <w:t>Audit and Risk Committee receives staggered periodic reports on the progress and effectiveness of the Program on</w:t>
            </w:r>
          </w:p>
        </w:tc>
        <w:tc>
          <w:tcPr>
            <w:tcW w:w="460" w:type="dxa"/>
            <w:vAlign w:val="bottom"/>
          </w:tcPr>
          <w:p>
            <w:pPr>
              <w:spacing w:after="0"/>
              <w:rPr>
                <w:sz w:val="15"/>
                <w:szCs w:val="15"/>
                <w:color w:val="auto"/>
              </w:rPr>
            </w:pPr>
          </w:p>
        </w:tc>
        <w:tc>
          <w:tcPr>
            <w:tcW w:w="1280" w:type="dxa"/>
            <w:vAlign w:val="bottom"/>
            <w:vMerge w:val="restart"/>
          </w:tcPr>
          <w:p>
            <w:pPr>
              <w:ind w:left="140"/>
              <w:spacing w:after="0"/>
              <w:rPr>
                <w:sz w:val="20"/>
                <w:szCs w:val="20"/>
                <w:color w:val="auto"/>
              </w:rPr>
            </w:pPr>
            <w:r>
              <w:rPr>
                <w:rFonts w:ascii="Arial" w:cs="Arial" w:eastAsia="Arial" w:hAnsi="Arial"/>
                <w:sz w:val="12"/>
                <w:szCs w:val="12"/>
                <w:color w:val="FFFFFF"/>
              </w:rPr>
              <w:t>General Information</w:t>
            </w: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4"/>
        </w:trPr>
        <w:tc>
          <w:tcPr>
            <w:tcW w:w="8080" w:type="dxa"/>
            <w:vAlign w:val="bottom"/>
            <w:vMerge w:val="restart"/>
          </w:tcPr>
          <w:p>
            <w:pPr>
              <w:spacing w:after="0"/>
              <w:rPr>
                <w:sz w:val="20"/>
                <w:szCs w:val="20"/>
                <w:color w:val="auto"/>
              </w:rPr>
            </w:pPr>
            <w:r>
              <w:rPr>
                <w:rFonts w:ascii="Arial" w:cs="Arial" w:eastAsia="Arial" w:hAnsi="Arial"/>
                <w:sz w:val="15"/>
                <w:szCs w:val="15"/>
                <w:color w:val="auto"/>
              </w:rPr>
              <w:t>at least an annual basis. For additional information about the Program, please see “Item 1C. Cybersecurity” in the</w:t>
            </w:r>
          </w:p>
        </w:tc>
        <w:tc>
          <w:tcPr>
            <w:tcW w:w="460" w:type="dxa"/>
            <w:vAlign w:val="bottom"/>
          </w:tcPr>
          <w:p>
            <w:pPr>
              <w:spacing w:after="0"/>
              <w:rPr>
                <w:sz w:val="7"/>
                <w:szCs w:val="7"/>
                <w:color w:val="auto"/>
              </w:rPr>
            </w:pPr>
          </w:p>
        </w:tc>
        <w:tc>
          <w:tcPr>
            <w:tcW w:w="1280" w:type="dxa"/>
            <w:vAlign w:val="bottom"/>
            <w:vMerge w:val="continue"/>
          </w:tcPr>
          <w:p>
            <w:pPr>
              <w:spacing w:after="0"/>
              <w:rPr>
                <w:sz w:val="7"/>
                <w:szCs w:val="7"/>
                <w:color w:val="auto"/>
              </w:rPr>
            </w:pPr>
          </w:p>
        </w:tc>
        <w:tc>
          <w:tcPr>
            <w:tcW w:w="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0"/>
        </w:trPr>
        <w:tc>
          <w:tcPr>
            <w:tcW w:w="8080" w:type="dxa"/>
            <w:vAlign w:val="bottom"/>
            <w:vMerge w:val="continue"/>
          </w:tcPr>
          <w:p>
            <w:pPr>
              <w:spacing w:after="0"/>
              <w:rPr>
                <w:sz w:val="10"/>
                <w:szCs w:val="10"/>
                <w:color w:val="auto"/>
              </w:rPr>
            </w:pPr>
          </w:p>
        </w:tc>
        <w:tc>
          <w:tcPr>
            <w:tcW w:w="460" w:type="dxa"/>
            <w:vAlign w:val="bottom"/>
          </w:tcPr>
          <w:p>
            <w:pPr>
              <w:spacing w:after="0"/>
              <w:rPr>
                <w:sz w:val="10"/>
                <w:szCs w:val="10"/>
                <w:color w:val="auto"/>
              </w:rPr>
            </w:pPr>
          </w:p>
        </w:tc>
        <w:tc>
          <w:tcPr>
            <w:tcW w:w="1280" w:type="dxa"/>
            <w:vAlign w:val="bottom"/>
          </w:tcPr>
          <w:p>
            <w:pPr>
              <w:ind w:left="140"/>
              <w:spacing w:after="0" w:line="120" w:lineRule="exact"/>
              <w:rPr>
                <w:sz w:val="20"/>
                <w:szCs w:val="20"/>
                <w:color w:val="auto"/>
              </w:rPr>
            </w:pPr>
            <w:r>
              <w:rPr>
                <w:rFonts w:ascii="Arial" w:cs="Arial" w:eastAsia="Arial" w:hAnsi="Arial"/>
                <w:sz w:val="12"/>
                <w:szCs w:val="12"/>
                <w:color w:val="FFFFFF"/>
              </w:rPr>
              <w:t>About Corporate</w:t>
            </w: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8080" w:type="dxa"/>
            <w:vAlign w:val="bottom"/>
          </w:tcPr>
          <w:p>
            <w:pPr>
              <w:spacing w:after="0" w:line="136" w:lineRule="exact"/>
              <w:rPr>
                <w:sz w:val="20"/>
                <w:szCs w:val="20"/>
                <w:color w:val="auto"/>
              </w:rPr>
            </w:pPr>
            <w:r>
              <w:rPr>
                <w:rFonts w:ascii="Arial" w:cs="Arial" w:eastAsia="Arial" w:hAnsi="Arial"/>
                <w:sz w:val="15"/>
                <w:szCs w:val="15"/>
                <w:color w:val="auto"/>
              </w:rPr>
              <w:t>Annual Report.</w:t>
            </w:r>
          </w:p>
        </w:tc>
        <w:tc>
          <w:tcPr>
            <w:tcW w:w="460" w:type="dxa"/>
            <w:vAlign w:val="bottom"/>
          </w:tcPr>
          <w:p>
            <w:pPr>
              <w:spacing w:after="0"/>
              <w:rPr>
                <w:sz w:val="11"/>
                <w:szCs w:val="11"/>
                <w:color w:val="auto"/>
              </w:rPr>
            </w:pPr>
          </w:p>
        </w:tc>
        <w:tc>
          <w:tcPr>
            <w:tcW w:w="1280" w:type="dxa"/>
            <w:vAlign w:val="bottom"/>
          </w:tcPr>
          <w:p>
            <w:pPr>
              <w:ind w:left="140"/>
              <w:spacing w:after="0" w:line="136" w:lineRule="exact"/>
              <w:rPr>
                <w:sz w:val="20"/>
                <w:szCs w:val="20"/>
                <w:color w:val="auto"/>
              </w:rPr>
            </w:pPr>
            <w:r>
              <w:rPr>
                <w:rFonts w:ascii="Arial" w:cs="Arial" w:eastAsia="Arial" w:hAnsi="Arial"/>
                <w:sz w:val="12"/>
                <w:szCs w:val="12"/>
                <w:color w:val="FFFFFF"/>
              </w:rPr>
              <w:t>Governance</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080" w:type="dxa"/>
            <w:vAlign w:val="bottom"/>
            <w:vMerge w:val="restart"/>
          </w:tcPr>
          <w:p>
            <w:pPr>
              <w:spacing w:after="0"/>
              <w:rPr>
                <w:sz w:val="20"/>
                <w:szCs w:val="20"/>
                <w:color w:val="auto"/>
              </w:rPr>
            </w:pPr>
            <w:r>
              <w:rPr>
                <w:rFonts w:ascii="Arial" w:cs="Arial" w:eastAsia="Arial" w:hAnsi="Arial"/>
                <w:sz w:val="15"/>
                <w:szCs w:val="15"/>
                <w:color w:val="auto"/>
              </w:rPr>
              <w:t>In 2025, the Program remained an area of oversight focus for the Board and the Audit and Risk Committee.</w:t>
            </w:r>
          </w:p>
        </w:tc>
        <w:tc>
          <w:tcPr>
            <w:tcW w:w="460" w:type="dxa"/>
            <w:vAlign w:val="bottom"/>
          </w:tcPr>
          <w:p>
            <w:pPr>
              <w:spacing w:after="0"/>
              <w:rPr>
                <w:sz w:val="11"/>
                <w:szCs w:val="11"/>
                <w:color w:val="auto"/>
              </w:rPr>
            </w:pPr>
          </w:p>
        </w:tc>
        <w:tc>
          <w:tcPr>
            <w:tcW w:w="1280" w:type="dxa"/>
            <w:vAlign w:val="bottom"/>
          </w:tcPr>
          <w:p>
            <w:pPr>
              <w:ind w:left="140"/>
              <w:spacing w:after="0" w:line="128" w:lineRule="exact"/>
              <w:rPr>
                <w:sz w:val="20"/>
                <w:szCs w:val="20"/>
                <w:color w:val="auto"/>
              </w:rPr>
            </w:pPr>
            <w:r>
              <w:rPr>
                <w:rFonts w:ascii="Arial" w:cs="Arial" w:eastAsia="Arial" w:hAnsi="Arial"/>
                <w:sz w:val="12"/>
                <w:szCs w:val="12"/>
                <w:color w:val="FFFFFF"/>
              </w:rPr>
              <w:t>and the Board of</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8080" w:type="dxa"/>
            <w:vAlign w:val="bottom"/>
            <w:vMerge w:val="continue"/>
          </w:tcPr>
          <w:p>
            <w:pPr>
              <w:spacing w:after="0"/>
              <w:rPr>
                <w:sz w:val="14"/>
                <w:szCs w:val="14"/>
                <w:color w:val="auto"/>
              </w:rPr>
            </w:pPr>
          </w:p>
        </w:tc>
        <w:tc>
          <w:tcPr>
            <w:tcW w:w="460" w:type="dxa"/>
            <w:vAlign w:val="bottom"/>
          </w:tcPr>
          <w:p>
            <w:pPr>
              <w:spacing w:after="0"/>
              <w:rPr>
                <w:sz w:val="14"/>
                <w:szCs w:val="14"/>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Directors</w:t>
            </w: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8080" w:type="dxa"/>
            <w:vAlign w:val="bottom"/>
          </w:tcPr>
          <w:p>
            <w:pPr>
              <w:spacing w:after="0"/>
              <w:rPr>
                <w:sz w:val="20"/>
                <w:szCs w:val="20"/>
                <w:color w:val="auto"/>
              </w:rPr>
            </w:pPr>
            <w:r>
              <w:rPr>
                <w:rFonts w:ascii="Arial" w:cs="Arial" w:eastAsia="Arial" w:hAnsi="Arial"/>
                <w:sz w:val="15"/>
                <w:szCs w:val="15"/>
                <w:color w:val="auto"/>
              </w:rPr>
              <w:t>Management provided updates to both the Board and the Audit and Risk Committee on cybersecurity matters,</w:t>
            </w:r>
          </w:p>
        </w:tc>
        <w:tc>
          <w:tcPr>
            <w:tcW w:w="460" w:type="dxa"/>
            <w:vAlign w:val="bottom"/>
          </w:tcPr>
          <w:p>
            <w:pPr>
              <w:spacing w:after="0"/>
              <w:rPr>
                <w:sz w:val="15"/>
                <w:szCs w:val="15"/>
                <w:color w:val="auto"/>
              </w:rPr>
            </w:pPr>
          </w:p>
        </w:tc>
        <w:tc>
          <w:tcPr>
            <w:tcW w:w="1280" w:type="dxa"/>
            <w:vAlign w:val="bottom"/>
            <w:vMerge w:val="restart"/>
          </w:tcPr>
          <w:p>
            <w:pPr>
              <w:ind w:left="140"/>
              <w:spacing w:after="0"/>
              <w:rPr>
                <w:sz w:val="20"/>
                <w:szCs w:val="20"/>
                <w:color w:val="auto"/>
              </w:rPr>
            </w:pPr>
            <w:r>
              <w:rPr>
                <w:rFonts w:ascii="Arial" w:cs="Arial" w:eastAsia="Arial" w:hAnsi="Arial"/>
                <w:sz w:val="12"/>
                <w:szCs w:val="12"/>
                <w:color w:val="FFFFFF"/>
              </w:rPr>
              <w:t>Proposal 1</w:t>
            </w: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1"/>
        </w:trPr>
        <w:tc>
          <w:tcPr>
            <w:tcW w:w="8080" w:type="dxa"/>
            <w:vAlign w:val="bottom"/>
            <w:vMerge w:val="restart"/>
          </w:tcPr>
          <w:p>
            <w:pPr>
              <w:spacing w:after="0"/>
              <w:rPr>
                <w:sz w:val="20"/>
                <w:szCs w:val="20"/>
                <w:color w:val="auto"/>
              </w:rPr>
            </w:pPr>
            <w:r>
              <w:rPr>
                <w:rFonts w:ascii="Arial" w:cs="Arial" w:eastAsia="Arial" w:hAnsi="Arial"/>
                <w:sz w:val="15"/>
                <w:szCs w:val="15"/>
                <w:color w:val="auto"/>
              </w:rPr>
              <w:t>including the threat landscape, third-party risks, updates to the reporting and governance structure relating to</w:t>
            </w:r>
          </w:p>
        </w:tc>
        <w:tc>
          <w:tcPr>
            <w:tcW w:w="460" w:type="dxa"/>
            <w:vAlign w:val="bottom"/>
          </w:tcPr>
          <w:p>
            <w:pPr>
              <w:spacing w:after="0"/>
              <w:rPr>
                <w:sz w:val="8"/>
                <w:szCs w:val="8"/>
                <w:color w:val="auto"/>
              </w:rPr>
            </w:pPr>
          </w:p>
        </w:tc>
        <w:tc>
          <w:tcPr>
            <w:tcW w:w="1280" w:type="dxa"/>
            <w:vAlign w:val="bottom"/>
            <w:vMerge w:val="continue"/>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7"/>
        </w:trPr>
        <w:tc>
          <w:tcPr>
            <w:tcW w:w="8080" w:type="dxa"/>
            <w:vAlign w:val="bottom"/>
            <w:vMerge w:val="continue"/>
          </w:tcPr>
          <w:p>
            <w:pPr>
              <w:spacing w:after="0"/>
              <w:rPr>
                <w:sz w:val="6"/>
                <w:szCs w:val="6"/>
                <w:color w:val="auto"/>
              </w:rPr>
            </w:pPr>
          </w:p>
        </w:tc>
        <w:tc>
          <w:tcPr>
            <w:tcW w:w="460" w:type="dxa"/>
            <w:vAlign w:val="bottom"/>
          </w:tcPr>
          <w:p>
            <w:pPr>
              <w:spacing w:after="0"/>
              <w:rPr>
                <w:sz w:val="6"/>
                <w:szCs w:val="6"/>
                <w:color w:val="auto"/>
              </w:rPr>
            </w:pPr>
          </w:p>
        </w:tc>
        <w:tc>
          <w:tcPr>
            <w:tcW w:w="1280" w:type="dxa"/>
            <w:vAlign w:val="bottom"/>
          </w:tcPr>
          <w:p>
            <w:pPr>
              <w:spacing w:after="0"/>
              <w:rPr>
                <w:sz w:val="6"/>
                <w:szCs w:val="6"/>
                <w:color w:val="auto"/>
              </w:rPr>
            </w:pPr>
          </w:p>
        </w:tc>
        <w:tc>
          <w:tcPr>
            <w:tcW w:w="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9"/>
        </w:trPr>
        <w:tc>
          <w:tcPr>
            <w:tcW w:w="8080" w:type="dxa"/>
            <w:vAlign w:val="bottom"/>
          </w:tcPr>
          <w:p>
            <w:pPr>
              <w:spacing w:after="0"/>
              <w:rPr>
                <w:sz w:val="20"/>
                <w:szCs w:val="20"/>
                <w:color w:val="auto"/>
              </w:rPr>
            </w:pPr>
            <w:r>
              <w:rPr>
                <w:rFonts w:ascii="Arial" w:cs="Arial" w:eastAsia="Arial" w:hAnsi="Arial"/>
                <w:sz w:val="15"/>
                <w:szCs w:val="15"/>
                <w:color w:val="auto"/>
              </w:rPr>
              <w:t>cybersecurity, protective measures taken in 2025 to address certain global events and trends, the progress of</w:t>
            </w:r>
          </w:p>
        </w:tc>
        <w:tc>
          <w:tcPr>
            <w:tcW w:w="460" w:type="dxa"/>
            <w:vAlign w:val="bottom"/>
          </w:tcPr>
          <w:p>
            <w:pPr>
              <w:spacing w:after="0"/>
              <w:rPr>
                <w:sz w:val="15"/>
                <w:szCs w:val="15"/>
                <w:color w:val="auto"/>
              </w:rPr>
            </w:pPr>
          </w:p>
        </w:tc>
        <w:tc>
          <w:tcPr>
            <w:tcW w:w="1280" w:type="dxa"/>
            <w:vAlign w:val="bottom"/>
          </w:tcPr>
          <w:p>
            <w:pPr>
              <w:ind w:left="140"/>
              <w:spacing w:after="0"/>
              <w:rPr>
                <w:sz w:val="20"/>
                <w:szCs w:val="20"/>
                <w:color w:val="auto"/>
              </w:rPr>
            </w:pPr>
            <w:r>
              <w:rPr>
                <w:rFonts w:ascii="Arial" w:cs="Arial" w:eastAsia="Arial" w:hAnsi="Arial"/>
                <w:sz w:val="12"/>
                <w:szCs w:val="12"/>
                <w:b w:val="1"/>
                <w:bCs w:val="1"/>
                <w:color w:val="FFFFFF"/>
              </w:rPr>
              <w:t>Information</w:t>
            </w: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8080" w:type="dxa"/>
            <w:vAlign w:val="bottom"/>
          </w:tcPr>
          <w:p>
            <w:pPr>
              <w:spacing w:after="0" w:line="153" w:lineRule="exact"/>
              <w:rPr>
                <w:sz w:val="20"/>
                <w:szCs w:val="20"/>
                <w:color w:val="auto"/>
              </w:rPr>
            </w:pPr>
            <w:r>
              <w:rPr>
                <w:rFonts w:ascii="Arial" w:cs="Arial" w:eastAsia="Arial" w:hAnsi="Arial"/>
                <w:sz w:val="15"/>
                <w:szCs w:val="15"/>
                <w:color w:val="auto"/>
              </w:rPr>
              <w:t>projects to strengthen controls and defenses, the Company’s incident response plans, and cybersecurity insurance</w:t>
            </w:r>
          </w:p>
        </w:tc>
        <w:tc>
          <w:tcPr>
            <w:tcW w:w="460" w:type="dxa"/>
            <w:vAlign w:val="bottom"/>
          </w:tcPr>
          <w:p>
            <w:pPr>
              <w:spacing w:after="0"/>
              <w:rPr>
                <w:sz w:val="13"/>
                <w:szCs w:val="13"/>
                <w:color w:val="auto"/>
              </w:rPr>
            </w:pPr>
          </w:p>
        </w:tc>
        <w:tc>
          <w:tcPr>
            <w:tcW w:w="1280" w:type="dxa"/>
            <w:vAlign w:val="bottom"/>
          </w:tcPr>
          <w:p>
            <w:pPr>
              <w:ind w:left="140"/>
              <w:spacing w:after="0"/>
              <w:rPr>
                <w:sz w:val="20"/>
                <w:szCs w:val="20"/>
                <w:color w:val="auto"/>
              </w:rPr>
            </w:pPr>
            <w:r>
              <w:rPr>
                <w:rFonts w:ascii="Arial" w:cs="Arial" w:eastAsia="Arial" w:hAnsi="Arial"/>
                <w:sz w:val="12"/>
                <w:szCs w:val="12"/>
                <w:b w:val="1"/>
                <w:bCs w:val="1"/>
                <w:color w:val="FFFFFF"/>
              </w:rPr>
              <w:t>Regarding Board</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0"/>
        </w:trPr>
        <w:tc>
          <w:tcPr>
            <w:tcW w:w="8080" w:type="dxa"/>
            <w:vAlign w:val="bottom"/>
            <w:vMerge w:val="restart"/>
          </w:tcPr>
          <w:p>
            <w:pPr>
              <w:spacing w:after="0"/>
              <w:rPr>
                <w:sz w:val="20"/>
                <w:szCs w:val="20"/>
                <w:color w:val="auto"/>
              </w:rPr>
            </w:pPr>
            <w:r>
              <w:rPr>
                <w:rFonts w:ascii="Arial" w:cs="Arial" w:eastAsia="Arial" w:hAnsi="Arial"/>
                <w:sz w:val="15"/>
                <w:szCs w:val="15"/>
                <w:color w:val="auto"/>
              </w:rPr>
              <w:t>coverage.</w:t>
            </w:r>
          </w:p>
        </w:tc>
        <w:tc>
          <w:tcPr>
            <w:tcW w:w="460" w:type="dxa"/>
            <w:vAlign w:val="bottom"/>
          </w:tcPr>
          <w:p>
            <w:pPr>
              <w:spacing w:after="0"/>
              <w:rPr>
                <w:sz w:val="9"/>
                <w:szCs w:val="9"/>
                <w:color w:val="auto"/>
              </w:rPr>
            </w:pPr>
          </w:p>
        </w:tc>
        <w:tc>
          <w:tcPr>
            <w:tcW w:w="1280" w:type="dxa"/>
            <w:vAlign w:val="bottom"/>
          </w:tcPr>
          <w:p>
            <w:pPr>
              <w:ind w:left="140"/>
              <w:spacing w:after="0" w:line="110" w:lineRule="exact"/>
              <w:rPr>
                <w:sz w:val="20"/>
                <w:szCs w:val="20"/>
                <w:color w:val="auto"/>
              </w:rPr>
            </w:pPr>
            <w:r>
              <w:rPr>
                <w:rFonts w:ascii="Arial" w:cs="Arial" w:eastAsia="Arial" w:hAnsi="Arial"/>
                <w:sz w:val="12"/>
                <w:szCs w:val="12"/>
                <w:b w:val="1"/>
                <w:bCs w:val="1"/>
                <w:color w:val="FFFFFF"/>
              </w:rPr>
              <w:t>and Committee</w:t>
            </w: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8080" w:type="dxa"/>
            <w:vAlign w:val="bottom"/>
            <w:vMerge w:val="continue"/>
          </w:tcPr>
          <w:p>
            <w:pPr>
              <w:spacing w:after="0"/>
              <w:rPr>
                <w:sz w:val="10"/>
                <w:szCs w:val="10"/>
                <w:color w:val="auto"/>
              </w:rPr>
            </w:pPr>
          </w:p>
        </w:tc>
        <w:tc>
          <w:tcPr>
            <w:tcW w:w="460" w:type="dxa"/>
            <w:vAlign w:val="bottom"/>
          </w:tcPr>
          <w:p>
            <w:pPr>
              <w:spacing w:after="0"/>
              <w:rPr>
                <w:sz w:val="10"/>
                <w:szCs w:val="10"/>
                <w:color w:val="auto"/>
              </w:rPr>
            </w:pPr>
          </w:p>
        </w:tc>
        <w:tc>
          <w:tcPr>
            <w:tcW w:w="1280" w:type="dxa"/>
            <w:vAlign w:val="bottom"/>
            <w:vMerge w:val="restart"/>
          </w:tcPr>
          <w:p>
            <w:pPr>
              <w:ind w:left="140"/>
              <w:spacing w:after="0"/>
              <w:rPr>
                <w:sz w:val="20"/>
                <w:szCs w:val="20"/>
                <w:color w:val="auto"/>
              </w:rPr>
            </w:pPr>
            <w:r>
              <w:rPr>
                <w:rFonts w:ascii="Arial" w:cs="Arial" w:eastAsia="Arial" w:hAnsi="Arial"/>
                <w:sz w:val="12"/>
                <w:szCs w:val="12"/>
                <w:b w:val="1"/>
                <w:bCs w:val="1"/>
                <w:color w:val="FFFFFF"/>
              </w:rPr>
              <w:t>Structure</w:t>
            </w: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7"/>
        </w:trPr>
        <w:tc>
          <w:tcPr>
            <w:tcW w:w="8080" w:type="dxa"/>
            <w:vAlign w:val="bottom"/>
          </w:tcPr>
          <w:p>
            <w:pPr>
              <w:spacing w:after="0"/>
              <w:rPr>
                <w:sz w:val="4"/>
                <w:szCs w:val="4"/>
                <w:color w:val="auto"/>
              </w:rPr>
            </w:pPr>
          </w:p>
        </w:tc>
        <w:tc>
          <w:tcPr>
            <w:tcW w:w="460" w:type="dxa"/>
            <w:vAlign w:val="bottom"/>
          </w:tcPr>
          <w:p>
            <w:pPr>
              <w:spacing w:after="0"/>
              <w:rPr>
                <w:sz w:val="4"/>
                <w:szCs w:val="4"/>
                <w:color w:val="auto"/>
              </w:rPr>
            </w:pPr>
          </w:p>
        </w:tc>
        <w:tc>
          <w:tcPr>
            <w:tcW w:w="1280" w:type="dxa"/>
            <w:vAlign w:val="bottom"/>
            <w:vMerge w:val="continue"/>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105" w:lineRule="exact"/>
        <w:rPr>
          <w:sz w:val="20"/>
          <w:szCs w:val="20"/>
          <w:color w:val="auto"/>
        </w:rPr>
      </w:pPr>
    </w:p>
    <w:tbl>
      <w:tblPr>
        <w:tblLayout w:type="fixed"/>
        <w:tblInd w:w="540" w:type="dxa"/>
        <w:tblCellMar>
          <w:top w:w="0" w:type="dxa"/>
          <w:left w:w="0" w:type="dxa"/>
          <w:bottom w:w="0" w:type="dxa"/>
          <w:right w:w="0" w:type="dxa"/>
        </w:tblCellMar>
      </w:tblPr>
      <w:tr>
        <w:trPr>
          <w:trHeight w:val="195"/>
        </w:trPr>
        <w:tc>
          <w:tcPr>
            <w:tcW w:w="5460" w:type="dxa"/>
            <w:vAlign w:val="bottom"/>
          </w:tcPr>
          <w:p>
            <w:pPr>
              <w:spacing w:after="0"/>
              <w:rPr>
                <w:sz w:val="20"/>
                <w:szCs w:val="20"/>
                <w:color w:val="auto"/>
              </w:rPr>
            </w:pPr>
            <w:r>
              <w:rPr>
                <w:rFonts w:ascii="Arial" w:cs="Arial" w:eastAsia="Arial" w:hAnsi="Arial"/>
                <w:sz w:val="17"/>
                <w:szCs w:val="17"/>
                <w:b w:val="1"/>
                <w:bCs w:val="1"/>
                <w:color w:val="002B5F"/>
              </w:rPr>
              <w:t>ARTIFICIAL INTELLIGENCE</w:t>
            </w:r>
          </w:p>
        </w:tc>
        <w:tc>
          <w:tcPr>
            <w:tcW w:w="4180" w:type="dxa"/>
            <w:vAlign w:val="bottom"/>
          </w:tcPr>
          <w:p>
            <w:pPr>
              <w:ind w:left="3220"/>
              <w:spacing w:after="0"/>
              <w:rPr>
                <w:sz w:val="20"/>
                <w:szCs w:val="20"/>
                <w:color w:val="auto"/>
              </w:rPr>
            </w:pPr>
            <w:r>
              <w:rPr>
                <w:rFonts w:ascii="Arial" w:cs="Arial" w:eastAsia="Arial" w:hAnsi="Arial"/>
                <w:sz w:val="12"/>
                <w:szCs w:val="12"/>
                <w:color w:val="FFFFFF"/>
                <w:w w:val="97"/>
              </w:rPr>
              <w:t>Board of Directors</w:t>
            </w:r>
          </w:p>
        </w:tc>
      </w:tr>
      <w:tr>
        <w:trPr>
          <w:trHeight w:val="142"/>
        </w:trPr>
        <w:tc>
          <w:tcPr>
            <w:tcW w:w="5460" w:type="dxa"/>
            <w:vAlign w:val="bottom"/>
          </w:tcPr>
          <w:p>
            <w:pPr>
              <w:spacing w:after="0"/>
              <w:rPr>
                <w:sz w:val="12"/>
                <w:szCs w:val="12"/>
                <w:color w:val="auto"/>
              </w:rPr>
            </w:pPr>
          </w:p>
        </w:tc>
        <w:tc>
          <w:tcPr>
            <w:tcW w:w="4180" w:type="dxa"/>
            <w:vAlign w:val="bottom"/>
          </w:tcPr>
          <w:p>
            <w:pPr>
              <w:ind w:left="3220"/>
              <w:spacing w:after="0"/>
              <w:rPr>
                <w:sz w:val="20"/>
                <w:szCs w:val="20"/>
                <w:color w:val="auto"/>
              </w:rPr>
            </w:pPr>
            <w:r>
              <w:rPr>
                <w:rFonts w:ascii="Arial" w:cs="Arial" w:eastAsia="Arial" w:hAnsi="Arial"/>
                <w:sz w:val="12"/>
                <w:szCs w:val="12"/>
                <w:color w:val="FFFFFF"/>
              </w:rPr>
              <w:t>Compensation</w:t>
            </w:r>
          </w:p>
        </w:tc>
      </w:tr>
    </w:tbl>
    <w:p>
      <w:pPr>
        <w:spacing w:after="0" w:line="1" w:lineRule="exact"/>
        <w:rPr>
          <w:sz w:val="20"/>
          <w:szCs w:val="20"/>
          <w:color w:val="auto"/>
        </w:rPr>
      </w:pPr>
    </w:p>
    <w:p>
      <w:pPr>
        <w:sectPr>
          <w:pgSz w:w="11900" w:h="16838" w:orient="portrait"/>
          <w:cols w:equalWidth="0" w:num="1">
            <w:col w:w="10800"/>
          </w:cols>
          <w:pgMar w:left="320" w:top="464" w:right="779" w:bottom="1440" w:gutter="0" w:footer="0" w:header="0"/>
        </w:sectPr>
      </w:pPr>
    </w:p>
    <w:p>
      <w:pPr>
        <w:ind w:left="540" w:right="340"/>
        <w:spacing w:after="0" w:line="252" w:lineRule="auto"/>
        <w:rPr>
          <w:sz w:val="20"/>
          <w:szCs w:val="20"/>
          <w:color w:val="auto"/>
        </w:rPr>
      </w:pPr>
      <w:r>
        <w:rPr>
          <w:rFonts w:ascii="Arial" w:cs="Arial" w:eastAsia="Arial" w:hAnsi="Arial"/>
          <w:sz w:val="15"/>
          <w:szCs w:val="15"/>
          <w:color w:val="auto"/>
        </w:rPr>
        <w:t>The development, deployment and use of Artificial Intelligence (“AI”) are among the technology-related risks monitored by the Audit and Risk Committee. The Company has published Responsible AI Principles that outline our commitment to AI use that is grounded in accountability, fairness, transparency, privacy and security, and reliability. To operationalize our Responsible AI Principles, we operate a risk-based AI governance program that guides how AI is designed, acquired and used across our firm. Our goal is to enable innovation with responsible AI guardrails so we can deliver value to clients while aligning to laws, regulations and firm policies.</w:t>
      </w:r>
    </w:p>
    <w:p>
      <w:pPr>
        <w:spacing w:after="0" w:line="165" w:lineRule="exact"/>
        <w:rPr>
          <w:sz w:val="20"/>
          <w:szCs w:val="20"/>
          <w:color w:val="auto"/>
        </w:rPr>
      </w:pPr>
    </w:p>
    <w:p>
      <w:pPr>
        <w:ind w:left="540"/>
        <w:spacing w:after="0"/>
        <w:rPr>
          <w:sz w:val="20"/>
          <w:szCs w:val="20"/>
          <w:color w:val="auto"/>
        </w:rPr>
      </w:pPr>
      <w:r>
        <w:rPr>
          <w:rFonts w:ascii="Arial" w:cs="Arial" w:eastAsia="Arial" w:hAnsi="Arial"/>
          <w:sz w:val="24"/>
          <w:szCs w:val="24"/>
          <w:color w:val="B95827"/>
        </w:rPr>
        <w:t>Our ESG Focus</w:t>
      </w:r>
    </w:p>
    <w:p>
      <w:pPr>
        <w:spacing w:after="0" w:line="117" w:lineRule="exact"/>
        <w:rPr>
          <w:sz w:val="20"/>
          <w:szCs w:val="20"/>
          <w:color w:val="auto"/>
        </w:rPr>
      </w:pPr>
    </w:p>
    <w:p>
      <w:pPr>
        <w:ind w:left="540" w:right="360"/>
        <w:spacing w:after="0" w:line="258" w:lineRule="auto"/>
        <w:rPr>
          <w:sz w:val="20"/>
          <w:szCs w:val="20"/>
          <w:color w:val="auto"/>
        </w:rPr>
      </w:pPr>
      <w:r>
        <w:rPr>
          <w:rFonts w:ascii="Arial" w:cs="Arial" w:eastAsia="Arial" w:hAnsi="Arial"/>
          <w:sz w:val="15"/>
          <w:szCs w:val="15"/>
          <w:color w:val="auto"/>
        </w:rPr>
        <w:t>Our intention is to focus on the ESG topics most relevant to our business, communities and stakeholders. Below are the ESG topics that we believe are significant to our stakeholders and to our ability to create long-term value, which we have evaluated according to both their impact on our stakeholders and their importance to the success of our business. For more information about our assessment and methodology, please refer to our 2025 Corporate Sustainability Report, which we expect to issue in June of 2026.</w:t>
      </w:r>
    </w:p>
    <w:p>
      <w:pPr>
        <w:spacing w:after="0" w:line="166" w:lineRule="exact"/>
        <w:rPr>
          <w:sz w:val="20"/>
          <w:szCs w:val="20"/>
          <w:color w:val="auto"/>
        </w:rPr>
      </w:pPr>
    </w:p>
    <w:p>
      <w:pPr>
        <w:ind w:left="540"/>
        <w:spacing w:after="0"/>
        <w:rPr>
          <w:sz w:val="20"/>
          <w:szCs w:val="20"/>
          <w:color w:val="auto"/>
        </w:rPr>
      </w:pPr>
      <w:r>
        <w:rPr>
          <w:rFonts w:ascii="Arial" w:cs="Arial" w:eastAsia="Arial" w:hAnsi="Arial"/>
          <w:sz w:val="17"/>
          <w:szCs w:val="17"/>
          <w:b w:val="1"/>
          <w:bCs w:val="1"/>
          <w:color w:val="002B5F"/>
        </w:rPr>
        <w:t>ESG MATERIALITY ASSESSMENT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438785</wp:posOffset>
            </wp:positionH>
            <wp:positionV relativeFrom="paragraph">
              <wp:posOffset>81280</wp:posOffset>
            </wp:positionV>
            <wp:extent cx="4805680" cy="189611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4805680" cy="1896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540"/>
        <w:spacing w:after="0"/>
        <w:rPr>
          <w:sz w:val="20"/>
          <w:szCs w:val="20"/>
          <w:color w:val="auto"/>
        </w:rPr>
      </w:pPr>
      <w:r>
        <w:rPr>
          <w:rFonts w:ascii="Arial" w:cs="Arial" w:eastAsia="Arial" w:hAnsi="Arial"/>
          <w:sz w:val="24"/>
          <w:szCs w:val="24"/>
          <w:color w:val="B95827"/>
        </w:rPr>
        <w:t>Stakeholder Engagement</w:t>
      </w:r>
    </w:p>
    <w:p>
      <w:pPr>
        <w:spacing w:after="0" w:line="117" w:lineRule="exact"/>
        <w:rPr>
          <w:sz w:val="20"/>
          <w:szCs w:val="20"/>
          <w:color w:val="auto"/>
        </w:rPr>
      </w:pPr>
    </w:p>
    <w:p>
      <w:pPr>
        <w:ind w:left="540" w:right="340"/>
        <w:spacing w:after="0" w:line="258" w:lineRule="auto"/>
        <w:rPr>
          <w:sz w:val="20"/>
          <w:szCs w:val="20"/>
          <w:color w:val="auto"/>
        </w:rPr>
      </w:pPr>
      <w:r>
        <w:rPr>
          <w:rFonts w:ascii="Arial" w:cs="Arial" w:eastAsia="Arial" w:hAnsi="Arial"/>
          <w:sz w:val="15"/>
          <w:szCs w:val="15"/>
          <w:color w:val="auto"/>
        </w:rPr>
        <w:t>We interact with our stockholders in a variety of ways and value the input that we receive from them. We provide our Board with regular updates on our investor relations program, including engagements with stockholders and analysts, and related sentiment and feedback themes. In addition, we periodically arrange for our directors to hear directly from analysts, outside the presence of senior management, about how they evaluate the Company’s management, performance and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right"/>
        <w:spacing w:after="0"/>
        <w:tabs>
          <w:tab w:leader="none" w:pos="200" w:val="left"/>
        </w:tabs>
        <w:rPr>
          <w:sz w:val="20"/>
          <w:szCs w:val="20"/>
          <w:color w:val="auto"/>
        </w:rPr>
      </w:pPr>
      <w:r>
        <w:rPr>
          <w:rFonts w:ascii="Arial" w:cs="Arial" w:eastAsia="Arial" w:hAnsi="Arial"/>
          <w:sz w:val="15"/>
          <w:szCs w:val="15"/>
          <w:b w:val="1"/>
          <w:bCs w:val="1"/>
          <w:color w:val="002B5F"/>
        </w:rPr>
        <w:t xml:space="preserve">2026 Proxy Statement  </w:t>
      </w:r>
      <w:r>
        <w:rPr>
          <w:rFonts w:ascii="Arial" w:cs="Arial" w:eastAsia="Arial" w:hAnsi="Arial"/>
          <w:sz w:val="20"/>
          <w:szCs w:val="20"/>
          <w:color w:val="002B5F"/>
        </w:rPr>
        <w:t>|</w:t>
      </w:r>
      <w:r>
        <w:rPr>
          <w:rFonts w:ascii="Arial" w:cs="Arial" w:eastAsia="Arial" w:hAnsi="Arial"/>
          <w:sz w:val="15"/>
          <w:szCs w:val="15"/>
          <w:b w:val="1"/>
          <w:bCs w:val="1"/>
          <w:color w:val="002B5F"/>
        </w:rPr>
        <w:t xml:space="preserve">  27</w:t>
      </w:r>
      <w:r>
        <w:rPr>
          <w:sz w:val="20"/>
          <w:szCs w:val="20"/>
          <w:color w:val="auto"/>
        </w:rPr>
        <w:tab/>
      </w:r>
      <w:r>
        <w:rPr>
          <w:rFonts w:ascii="Arial" w:cs="Arial" w:eastAsia="Arial" w:hAnsi="Arial"/>
          <w:sz w:val="17"/>
          <w:szCs w:val="17"/>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268605</wp:posOffset>
            </wp:positionH>
            <wp:positionV relativeFrom="paragraph">
              <wp:posOffset>-128905</wp:posOffset>
            </wp:positionV>
            <wp:extent cx="762000" cy="971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62000" cy="971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87" w:lineRule="exact"/>
        <w:rPr>
          <w:sz w:val="20"/>
          <w:szCs w:val="20"/>
          <w:color w:val="auto"/>
        </w:rPr>
      </w:pPr>
    </w:p>
    <w:p>
      <w:pPr>
        <w:spacing w:after="0"/>
        <w:rPr>
          <w:sz w:val="20"/>
          <w:szCs w:val="20"/>
          <w:color w:val="auto"/>
        </w:rPr>
      </w:pPr>
      <w:r>
        <w:rPr>
          <w:rFonts w:ascii="Arial" w:cs="Arial" w:eastAsia="Arial" w:hAnsi="Arial"/>
          <w:sz w:val="12"/>
          <w:szCs w:val="12"/>
          <w:color w:val="FFFFFF"/>
        </w:rPr>
        <w:t>Compensation</w:t>
      </w:r>
    </w:p>
    <w:p>
      <w:pPr>
        <w:spacing w:after="0" w:line="224" w:lineRule="auto"/>
        <w:rPr>
          <w:sz w:val="20"/>
          <w:szCs w:val="20"/>
          <w:color w:val="auto"/>
        </w:rPr>
      </w:pPr>
      <w:r>
        <w:rPr>
          <w:rFonts w:ascii="Arial" w:cs="Arial" w:eastAsia="Arial" w:hAnsi="Arial"/>
          <w:sz w:val="12"/>
          <w:szCs w:val="12"/>
          <w:color w:val="FFFFFF"/>
        </w:rPr>
        <w:t>Discussion and</w:t>
      </w:r>
    </w:p>
    <w:p>
      <w:pPr>
        <w:spacing w:after="0"/>
        <w:rPr>
          <w:sz w:val="20"/>
          <w:szCs w:val="20"/>
          <w:color w:val="auto"/>
        </w:rPr>
      </w:pPr>
      <w:r>
        <w:rPr>
          <w:rFonts w:ascii="Arial" w:cs="Arial" w:eastAsia="Arial" w:hAnsi="Arial"/>
          <w:sz w:val="12"/>
          <w:szCs w:val="12"/>
          <w:color w:val="FFFFFF"/>
        </w:rPr>
        <w:t>Analysis</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Report of the</w:t>
      </w:r>
    </w:p>
    <w:p>
      <w:pPr>
        <w:spacing w:after="0" w:line="224" w:lineRule="auto"/>
        <w:rPr>
          <w:sz w:val="20"/>
          <w:szCs w:val="20"/>
          <w:color w:val="auto"/>
        </w:rPr>
      </w:pPr>
      <w:r>
        <w:rPr>
          <w:rFonts w:ascii="Arial" w:cs="Arial" w:eastAsia="Arial" w:hAnsi="Arial"/>
          <w:sz w:val="12"/>
          <w:szCs w:val="12"/>
          <w:color w:val="FFFFFF"/>
        </w:rPr>
        <w:t>Compensation</w:t>
      </w:r>
    </w:p>
    <w:p>
      <w:pPr>
        <w:spacing w:after="0" w:line="222" w:lineRule="auto"/>
        <w:rPr>
          <w:sz w:val="20"/>
          <w:szCs w:val="20"/>
          <w:color w:val="auto"/>
        </w:rPr>
      </w:pPr>
      <w:r>
        <w:rPr>
          <w:rFonts w:ascii="Arial" w:cs="Arial" w:eastAsia="Arial" w:hAnsi="Arial"/>
          <w:sz w:val="12"/>
          <w:szCs w:val="12"/>
          <w:color w:val="FFFFFF"/>
        </w:rPr>
        <w:t>and Human</w:t>
      </w:r>
    </w:p>
    <w:p>
      <w:pPr>
        <w:spacing w:after="0" w:line="222" w:lineRule="auto"/>
        <w:rPr>
          <w:sz w:val="20"/>
          <w:szCs w:val="20"/>
          <w:color w:val="auto"/>
        </w:rPr>
      </w:pPr>
      <w:r>
        <w:rPr>
          <w:rFonts w:ascii="Arial" w:cs="Arial" w:eastAsia="Arial" w:hAnsi="Arial"/>
          <w:sz w:val="12"/>
          <w:szCs w:val="12"/>
          <w:color w:val="FFFFFF"/>
        </w:rPr>
        <w:t>Resources</w:t>
      </w:r>
    </w:p>
    <w:p>
      <w:pPr>
        <w:spacing w:after="0" w:line="222" w:lineRule="auto"/>
        <w:rPr>
          <w:sz w:val="20"/>
          <w:szCs w:val="20"/>
          <w:color w:val="auto"/>
        </w:rPr>
      </w:pPr>
      <w:r>
        <w:rPr>
          <w:rFonts w:ascii="Arial" w:cs="Arial" w:eastAsia="Arial" w:hAnsi="Arial"/>
          <w:sz w:val="12"/>
          <w:szCs w:val="12"/>
          <w:color w:val="FFFFFF"/>
        </w:rPr>
        <w:t>Committee of the</w:t>
      </w:r>
    </w:p>
    <w:p>
      <w:pPr>
        <w:spacing w:after="0"/>
        <w:rPr>
          <w:sz w:val="20"/>
          <w:szCs w:val="20"/>
          <w:color w:val="auto"/>
        </w:rPr>
      </w:pPr>
      <w:r>
        <w:rPr>
          <w:rFonts w:ascii="Arial" w:cs="Arial" w:eastAsia="Arial" w:hAnsi="Arial"/>
          <w:sz w:val="12"/>
          <w:szCs w:val="12"/>
          <w:color w:val="FFFFFF"/>
        </w:rPr>
        <w:t>Board of Directors</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Compensation of</w:t>
      </w:r>
    </w:p>
    <w:p>
      <w:pPr>
        <w:spacing w:after="0" w:line="224" w:lineRule="auto"/>
        <w:rPr>
          <w:sz w:val="20"/>
          <w:szCs w:val="20"/>
          <w:color w:val="auto"/>
        </w:rPr>
      </w:pPr>
      <w:r>
        <w:rPr>
          <w:rFonts w:ascii="Arial" w:cs="Arial" w:eastAsia="Arial" w:hAnsi="Arial"/>
          <w:sz w:val="12"/>
          <w:szCs w:val="12"/>
          <w:color w:val="FFFFFF"/>
        </w:rPr>
        <w:t>Named Executive</w:t>
      </w:r>
    </w:p>
    <w:p>
      <w:pPr>
        <w:spacing w:after="0"/>
        <w:rPr>
          <w:sz w:val="20"/>
          <w:szCs w:val="20"/>
          <w:color w:val="auto"/>
        </w:rPr>
      </w:pPr>
      <w:r>
        <w:rPr>
          <w:rFonts w:ascii="Arial" w:cs="Arial" w:eastAsia="Arial" w:hAnsi="Arial"/>
          <w:sz w:val="12"/>
          <w:szCs w:val="12"/>
          <w:color w:val="FFFFFF"/>
        </w:rPr>
        <w:t>Officers</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Pay Versus</w:t>
      </w:r>
    </w:p>
    <w:p>
      <w:pPr>
        <w:spacing w:after="0" w:line="224" w:lineRule="auto"/>
        <w:rPr>
          <w:sz w:val="20"/>
          <w:szCs w:val="20"/>
          <w:color w:val="auto"/>
        </w:rPr>
      </w:pPr>
      <w:r>
        <w:rPr>
          <w:rFonts w:ascii="Arial" w:cs="Arial" w:eastAsia="Arial" w:hAnsi="Arial"/>
          <w:sz w:val="12"/>
          <w:szCs w:val="12"/>
          <w:color w:val="FFFFFF"/>
        </w:rPr>
        <w:t>Performance</w:t>
      </w:r>
    </w:p>
    <w:p>
      <w:pPr>
        <w:spacing w:after="0"/>
        <w:rPr>
          <w:sz w:val="20"/>
          <w:szCs w:val="20"/>
          <w:color w:val="auto"/>
        </w:rPr>
      </w:pPr>
      <w:r>
        <w:rPr>
          <w:rFonts w:ascii="Arial" w:cs="Arial" w:eastAsia="Arial" w:hAnsi="Arial"/>
          <w:sz w:val="12"/>
          <w:szCs w:val="12"/>
          <w:color w:val="FFFFFF"/>
        </w:rPr>
        <w:t>Disclosure</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Security</w:t>
      </w:r>
    </w:p>
    <w:p>
      <w:pPr>
        <w:spacing w:after="0" w:line="224" w:lineRule="auto"/>
        <w:rPr>
          <w:sz w:val="20"/>
          <w:szCs w:val="20"/>
          <w:color w:val="auto"/>
        </w:rPr>
      </w:pPr>
      <w:r>
        <w:rPr>
          <w:rFonts w:ascii="Arial" w:cs="Arial" w:eastAsia="Arial" w:hAnsi="Arial"/>
          <w:sz w:val="12"/>
          <w:szCs w:val="12"/>
          <w:color w:val="FFFFFF"/>
        </w:rPr>
        <w:t>Ownership of</w:t>
      </w:r>
    </w:p>
    <w:p>
      <w:pPr>
        <w:spacing w:after="0" w:line="222" w:lineRule="auto"/>
        <w:rPr>
          <w:sz w:val="20"/>
          <w:szCs w:val="20"/>
          <w:color w:val="auto"/>
        </w:rPr>
      </w:pPr>
      <w:r>
        <w:rPr>
          <w:rFonts w:ascii="Arial" w:cs="Arial" w:eastAsia="Arial" w:hAnsi="Arial"/>
          <w:sz w:val="12"/>
          <w:szCs w:val="12"/>
          <w:color w:val="FFFFFF"/>
        </w:rPr>
        <w:t>Certain Beneficial</w:t>
      </w:r>
    </w:p>
    <w:p>
      <w:pPr>
        <w:spacing w:after="0" w:line="222" w:lineRule="auto"/>
        <w:rPr>
          <w:sz w:val="20"/>
          <w:szCs w:val="20"/>
          <w:color w:val="auto"/>
        </w:rPr>
      </w:pPr>
      <w:r>
        <w:rPr>
          <w:rFonts w:ascii="Arial" w:cs="Arial" w:eastAsia="Arial" w:hAnsi="Arial"/>
          <w:sz w:val="12"/>
          <w:szCs w:val="12"/>
          <w:color w:val="FFFFFF"/>
        </w:rPr>
        <w:t>Owners and</w:t>
      </w:r>
    </w:p>
    <w:p>
      <w:pPr>
        <w:spacing w:after="0"/>
        <w:rPr>
          <w:sz w:val="20"/>
          <w:szCs w:val="20"/>
          <w:color w:val="auto"/>
        </w:rPr>
      </w:pPr>
      <w:r>
        <w:rPr>
          <w:rFonts w:ascii="Arial" w:cs="Arial" w:eastAsia="Arial" w:hAnsi="Arial"/>
          <w:sz w:val="12"/>
          <w:szCs w:val="12"/>
          <w:color w:val="FFFFFF"/>
        </w:rPr>
        <w:t>Management</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Certain</w:t>
      </w:r>
    </w:p>
    <w:p>
      <w:pPr>
        <w:spacing w:after="0" w:line="224" w:lineRule="auto"/>
        <w:rPr>
          <w:sz w:val="20"/>
          <w:szCs w:val="20"/>
          <w:color w:val="auto"/>
        </w:rPr>
      </w:pPr>
      <w:r>
        <w:rPr>
          <w:rFonts w:ascii="Arial" w:cs="Arial" w:eastAsia="Arial" w:hAnsi="Arial"/>
          <w:sz w:val="12"/>
          <w:szCs w:val="12"/>
          <w:color w:val="FFFFFF"/>
        </w:rPr>
        <w:t>Relationships and</w:t>
      </w:r>
    </w:p>
    <w:p>
      <w:pPr>
        <w:spacing w:after="0" w:line="222" w:lineRule="auto"/>
        <w:rPr>
          <w:sz w:val="20"/>
          <w:szCs w:val="20"/>
          <w:color w:val="auto"/>
        </w:rPr>
      </w:pPr>
      <w:r>
        <w:rPr>
          <w:rFonts w:ascii="Arial" w:cs="Arial" w:eastAsia="Arial" w:hAnsi="Arial"/>
          <w:sz w:val="12"/>
          <w:szCs w:val="12"/>
          <w:color w:val="FFFFFF"/>
        </w:rPr>
        <w:t>Related Party</w:t>
      </w:r>
    </w:p>
    <w:p>
      <w:pPr>
        <w:spacing w:after="0"/>
        <w:rPr>
          <w:sz w:val="20"/>
          <w:szCs w:val="20"/>
          <w:color w:val="auto"/>
        </w:rPr>
      </w:pPr>
      <w:r>
        <w:rPr>
          <w:rFonts w:ascii="Arial" w:cs="Arial" w:eastAsia="Arial" w:hAnsi="Arial"/>
          <w:sz w:val="12"/>
          <w:szCs w:val="12"/>
          <w:color w:val="FFFFFF"/>
        </w:rPr>
        <w:t>Transactions</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Proposal 2</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FFFFFF"/>
        </w:rPr>
        <w:t>Report of the</w:t>
      </w:r>
    </w:p>
    <w:p>
      <w:pPr>
        <w:spacing w:after="0" w:line="224" w:lineRule="auto"/>
        <w:rPr>
          <w:sz w:val="20"/>
          <w:szCs w:val="20"/>
          <w:color w:val="auto"/>
        </w:rPr>
      </w:pPr>
      <w:r>
        <w:rPr>
          <w:rFonts w:ascii="Arial" w:cs="Arial" w:eastAsia="Arial" w:hAnsi="Arial"/>
          <w:sz w:val="12"/>
          <w:szCs w:val="12"/>
          <w:color w:val="FFFFFF"/>
        </w:rPr>
        <w:t>Audit and Risk</w:t>
      </w:r>
    </w:p>
    <w:p>
      <w:pPr>
        <w:spacing w:after="0" w:line="222" w:lineRule="auto"/>
        <w:rPr>
          <w:sz w:val="20"/>
          <w:szCs w:val="20"/>
          <w:color w:val="auto"/>
        </w:rPr>
      </w:pPr>
      <w:r>
        <w:rPr>
          <w:rFonts w:ascii="Arial" w:cs="Arial" w:eastAsia="Arial" w:hAnsi="Arial"/>
          <w:sz w:val="12"/>
          <w:szCs w:val="12"/>
          <w:color w:val="FFFFFF"/>
        </w:rPr>
        <w:t>Committee of the</w:t>
      </w:r>
    </w:p>
    <w:p>
      <w:pPr>
        <w:spacing w:after="0"/>
        <w:rPr>
          <w:sz w:val="20"/>
          <w:szCs w:val="20"/>
          <w:color w:val="auto"/>
        </w:rPr>
      </w:pPr>
      <w:r>
        <w:rPr>
          <w:rFonts w:ascii="Arial" w:cs="Arial" w:eastAsia="Arial" w:hAnsi="Arial"/>
          <w:sz w:val="12"/>
          <w:szCs w:val="12"/>
          <w:color w:val="FFFFFF"/>
        </w:rPr>
        <w:t>Board of Directors</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Proposal 3</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FFFFFF"/>
        </w:rPr>
        <w:t>Proposal 4</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FFFFFF"/>
        </w:rPr>
        <w:t>Proposal 5</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FFFFFF"/>
        </w:rPr>
        <w:t>Proposal 6</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FFFFFF"/>
        </w:rPr>
        <w:t>Stockholder</w:t>
      </w:r>
    </w:p>
    <w:p>
      <w:pPr>
        <w:spacing w:after="0" w:line="224" w:lineRule="auto"/>
        <w:rPr>
          <w:sz w:val="20"/>
          <w:szCs w:val="20"/>
          <w:color w:val="auto"/>
        </w:rPr>
      </w:pPr>
      <w:r>
        <w:rPr>
          <w:rFonts w:ascii="Arial" w:cs="Arial" w:eastAsia="Arial" w:hAnsi="Arial"/>
          <w:sz w:val="12"/>
          <w:szCs w:val="12"/>
          <w:color w:val="FFFFFF"/>
        </w:rPr>
        <w:t>Proposals and</w:t>
      </w:r>
    </w:p>
    <w:p>
      <w:pPr>
        <w:spacing w:after="0"/>
        <w:rPr>
          <w:sz w:val="20"/>
          <w:szCs w:val="20"/>
          <w:color w:val="auto"/>
        </w:rPr>
      </w:pPr>
      <w:r>
        <w:rPr>
          <w:rFonts w:ascii="Arial" w:cs="Arial" w:eastAsia="Arial" w:hAnsi="Arial"/>
          <w:sz w:val="12"/>
          <w:szCs w:val="12"/>
          <w:color w:val="FFFFFF"/>
        </w:rPr>
        <w:t>Other Matters</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Delinquent</w:t>
      </w:r>
    </w:p>
    <w:p>
      <w:pPr>
        <w:spacing w:after="0" w:line="224" w:lineRule="auto"/>
        <w:rPr>
          <w:sz w:val="20"/>
          <w:szCs w:val="20"/>
          <w:color w:val="auto"/>
        </w:rPr>
      </w:pPr>
      <w:r>
        <w:rPr>
          <w:rFonts w:ascii="Arial" w:cs="Arial" w:eastAsia="Arial" w:hAnsi="Arial"/>
          <w:sz w:val="12"/>
          <w:szCs w:val="12"/>
          <w:color w:val="FFFFFF"/>
        </w:rPr>
        <w:t>Section 16(a)</w:t>
      </w:r>
    </w:p>
    <w:p>
      <w:pPr>
        <w:spacing w:after="0"/>
        <w:rPr>
          <w:sz w:val="20"/>
          <w:szCs w:val="20"/>
          <w:color w:val="auto"/>
        </w:rPr>
      </w:pPr>
      <w:r>
        <w:rPr>
          <w:rFonts w:ascii="Arial" w:cs="Arial" w:eastAsia="Arial" w:hAnsi="Arial"/>
          <w:sz w:val="12"/>
          <w:szCs w:val="12"/>
          <w:color w:val="FFFFFF"/>
        </w:rPr>
        <w:t>Reports</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Other</w:t>
      </w:r>
    </w:p>
    <w:p>
      <w:pPr>
        <w:spacing w:after="0" w:line="2" w:lineRule="exact"/>
        <w:rPr>
          <w:sz w:val="20"/>
          <w:szCs w:val="20"/>
          <w:color w:val="auto"/>
        </w:rPr>
      </w:pPr>
    </w:p>
    <w:p>
      <w:pPr>
        <w:spacing w:after="0"/>
        <w:rPr>
          <w:sz w:val="20"/>
          <w:szCs w:val="20"/>
          <w:color w:val="auto"/>
        </w:rPr>
      </w:pPr>
      <w:r>
        <w:rPr>
          <w:rFonts w:ascii="Arial" w:cs="Arial" w:eastAsia="Arial" w:hAnsi="Arial"/>
          <w:sz w:val="12"/>
          <w:szCs w:val="12"/>
          <w:color w:val="FFFFFF"/>
        </w:rPr>
        <w:t>Information</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Appendix A</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FFFFFF"/>
        </w:rPr>
        <w:t>Appendix 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right"/>
        <w:ind w:right="100"/>
        <w:spacing w:after="0"/>
        <w:rPr>
          <w:sz w:val="20"/>
          <w:szCs w:val="20"/>
          <w:color w:val="auto"/>
        </w:rPr>
      </w:pPr>
      <w:r>
        <w:rPr>
          <w:rFonts w:ascii="Arial" w:cs="Arial" w:eastAsia="Arial" w:hAnsi="Arial"/>
          <w:sz w:val="17"/>
          <w:szCs w:val="17"/>
          <w:color w:val="auto"/>
        </w:rPr>
        <w:t xml:space="preserve">             </w:t>
      </w:r>
    </w:p>
    <w:p>
      <w:pPr>
        <w:sectPr>
          <w:pgSz w:w="11900" w:h="16838" w:orient="portrait"/>
          <w:cols w:equalWidth="0" w:num="2">
            <w:col w:w="8740" w:space="480"/>
            <w:col w:w="1580"/>
          </w:cols>
          <w:pgMar w:left="320" w:top="464" w:right="779" w:bottom="1440" w:gutter="0" w:footer="0" w:header="0"/>
          <w:type w:val="continuous"/>
        </w:sectPr>
      </w:pPr>
    </w:p>
    <w:bookmarkStart w:id="35" w:name="page36"/>
    <w:bookmarkEnd w:id="35"/>
    <w:p>
      <w:pPr>
        <w:spacing w:after="0"/>
        <w:rPr>
          <w:sz w:val="20"/>
          <w:szCs w:val="20"/>
          <w:color w:val="auto"/>
        </w:rPr>
      </w:pPr>
      <w:r>
        <w:rPr>
          <w:rFonts w:ascii="Times New Roman" w:cs="Times New Roman" w:eastAsia="Times New Roman" w:hAnsi="Times New Roman"/>
          <w:sz w:val="17"/>
          <w:szCs w:val="17"/>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268605</wp:posOffset>
            </wp:positionH>
            <wp:positionV relativeFrom="paragraph">
              <wp:posOffset>253365</wp:posOffset>
            </wp:positionV>
            <wp:extent cx="1183005" cy="745617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183005" cy="7456170"/>
                    </a:xfrm>
                    <a:prstGeom prst="rect">
                      <a:avLst/>
                    </a:prstGeom>
                    <a:noFill/>
                  </pic:spPr>
                </pic:pic>
              </a:graphicData>
            </a:graphic>
          </wp:anchor>
        </w:drawing>
      </w:r>
    </w:p>
    <w:p>
      <w:pPr>
        <w:spacing w:after="0" w:line="200" w:lineRule="exact"/>
        <w:rPr>
          <w:sz w:val="20"/>
          <w:szCs w:val="20"/>
          <w:color w:val="auto"/>
        </w:rPr>
      </w:pPr>
    </w:p>
    <w:p>
      <w:pPr>
        <w:spacing w:after="0" w:line="304" w:lineRule="exact"/>
        <w:rPr>
          <w:sz w:val="20"/>
          <w:szCs w:val="20"/>
          <w:color w:val="auto"/>
        </w:rPr>
      </w:pPr>
    </w:p>
    <w:p>
      <w:pPr>
        <w:ind w:left="1120" w:right="460" w:hanging="672"/>
        <w:spacing w:after="0" w:line="382" w:lineRule="auto"/>
        <w:tabs>
          <w:tab w:leader="none" w:pos="610" w:val="left"/>
        </w:tabs>
        <w:numPr>
          <w:ilvl w:val="0"/>
          <w:numId w:val="47"/>
        </w:numPr>
        <w:rPr>
          <w:rFonts w:ascii="Arial" w:cs="Arial" w:eastAsia="Arial" w:hAnsi="Arial"/>
          <w:sz w:val="24"/>
          <w:szCs w:val="24"/>
          <w:color w:val="auto"/>
          <w:vertAlign w:val="subscript"/>
        </w:rPr>
      </w:pPr>
      <w:r>
        <w:rPr>
          <w:rFonts w:ascii="Arial" w:cs="Arial" w:eastAsia="Arial" w:hAnsi="Arial"/>
          <w:sz w:val="24"/>
          <w:szCs w:val="24"/>
          <w:color w:val="000000"/>
          <w:vertAlign w:val="subscript"/>
        </w:rPr>
        <w:t xml:space="preserve">     </w:t>
      </w:r>
      <w:r>
        <w:rPr>
          <w:rFonts w:ascii="Arial" w:cs="Arial" w:eastAsia="Arial" w:hAnsi="Arial"/>
          <w:sz w:val="10"/>
          <w:szCs w:val="10"/>
          <w:color w:val="FFFFFF"/>
        </w:rPr>
        <w:t xml:space="preserve"> General Information</w:t>
      </w:r>
    </w:p>
    <w:p>
      <w:pPr>
        <w:spacing w:after="0" w:line="1" w:lineRule="exact"/>
        <w:rPr>
          <w:sz w:val="20"/>
          <w:szCs w:val="20"/>
          <w:color w:val="auto"/>
        </w:rPr>
      </w:pPr>
    </w:p>
    <w:p>
      <w:pPr>
        <w:ind w:left="1120"/>
        <w:spacing w:after="0"/>
        <w:rPr>
          <w:sz w:val="20"/>
          <w:szCs w:val="20"/>
          <w:color w:val="auto"/>
        </w:rPr>
      </w:pPr>
      <w:r>
        <w:rPr>
          <w:rFonts w:ascii="Arial" w:cs="Arial" w:eastAsia="Arial" w:hAnsi="Arial"/>
          <w:sz w:val="11"/>
          <w:szCs w:val="11"/>
          <w:color w:val="FFFFFF"/>
        </w:rPr>
        <w:t>General Information</w:t>
      </w:r>
    </w:p>
    <w:p>
      <w:pPr>
        <w:spacing w:after="0" w:line="3"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About Corporate</w:t>
      </w:r>
    </w:p>
    <w:p>
      <w:pPr>
        <w:ind w:left="1120"/>
        <w:spacing w:after="0" w:line="221" w:lineRule="auto"/>
        <w:rPr>
          <w:sz w:val="20"/>
          <w:szCs w:val="20"/>
          <w:color w:val="auto"/>
        </w:rPr>
      </w:pPr>
      <w:r>
        <w:rPr>
          <w:rFonts w:ascii="Arial" w:cs="Arial" w:eastAsia="Arial" w:hAnsi="Arial"/>
          <w:sz w:val="12"/>
          <w:szCs w:val="12"/>
          <w:color w:val="FFFFFF"/>
        </w:rPr>
        <w:t>Governance</w:t>
      </w:r>
    </w:p>
    <w:p>
      <w:pPr>
        <w:ind w:left="1120"/>
        <w:spacing w:after="0" w:line="222" w:lineRule="auto"/>
        <w:rPr>
          <w:sz w:val="20"/>
          <w:szCs w:val="20"/>
          <w:color w:val="auto"/>
        </w:rPr>
      </w:pPr>
      <w:r>
        <w:rPr>
          <w:rFonts w:ascii="Arial" w:cs="Arial" w:eastAsia="Arial" w:hAnsi="Arial"/>
          <w:sz w:val="12"/>
          <w:szCs w:val="12"/>
          <w:color w:val="FFFFFF"/>
        </w:rPr>
        <w:t>and the Board of</w:t>
      </w:r>
    </w:p>
    <w:p>
      <w:pPr>
        <w:spacing w:after="0" w:line="1"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Directors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Proposal 1</w:t>
      </w:r>
    </w:p>
    <w:p>
      <w:pPr>
        <w:spacing w:after="0" w:line="156" w:lineRule="exact"/>
        <w:rPr>
          <w:sz w:val="20"/>
          <w:szCs w:val="20"/>
          <w:color w:val="auto"/>
        </w:rPr>
      </w:pPr>
    </w:p>
    <w:p>
      <w:pPr>
        <w:ind w:left="1120" w:right="80"/>
        <w:spacing w:after="0" w:line="265" w:lineRule="auto"/>
        <w:rPr>
          <w:sz w:val="20"/>
          <w:szCs w:val="20"/>
          <w:color w:val="auto"/>
        </w:rPr>
      </w:pPr>
      <w:r>
        <w:rPr>
          <w:rFonts w:ascii="Arial" w:cs="Arial" w:eastAsia="Arial" w:hAnsi="Arial"/>
          <w:sz w:val="11"/>
          <w:szCs w:val="11"/>
          <w:b w:val="1"/>
          <w:bCs w:val="1"/>
          <w:color w:val="FFFFFF"/>
        </w:rPr>
        <w:t>Information Regarding Board and Committee Structure</w:t>
      </w:r>
    </w:p>
    <w:p>
      <w:pPr>
        <w:spacing w:after="0" w:line="118"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Board of Directors</w:t>
      </w:r>
    </w:p>
    <w:p>
      <w:pPr>
        <w:spacing w:after="0" w:line="2"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Compensation</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Compensation</w:t>
      </w:r>
    </w:p>
    <w:p>
      <w:pPr>
        <w:ind w:left="1120"/>
        <w:spacing w:after="0" w:line="224" w:lineRule="auto"/>
        <w:rPr>
          <w:sz w:val="20"/>
          <w:szCs w:val="20"/>
          <w:color w:val="auto"/>
        </w:rPr>
      </w:pPr>
      <w:r>
        <w:rPr>
          <w:rFonts w:ascii="Arial" w:cs="Arial" w:eastAsia="Arial" w:hAnsi="Arial"/>
          <w:sz w:val="12"/>
          <w:szCs w:val="12"/>
          <w:color w:val="FFFFFF"/>
        </w:rPr>
        <w:t>Discussion and</w:t>
      </w:r>
    </w:p>
    <w:p>
      <w:pPr>
        <w:ind w:left="1120"/>
        <w:spacing w:after="0"/>
        <w:rPr>
          <w:sz w:val="20"/>
          <w:szCs w:val="20"/>
          <w:color w:val="auto"/>
        </w:rPr>
      </w:pPr>
      <w:r>
        <w:rPr>
          <w:rFonts w:ascii="Arial" w:cs="Arial" w:eastAsia="Arial" w:hAnsi="Arial"/>
          <w:sz w:val="12"/>
          <w:szCs w:val="12"/>
          <w:color w:val="FFFFFF"/>
        </w:rPr>
        <w:t>Analysis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Report of the</w:t>
      </w:r>
    </w:p>
    <w:p>
      <w:pPr>
        <w:ind w:left="1120"/>
        <w:spacing w:after="0" w:line="224" w:lineRule="auto"/>
        <w:rPr>
          <w:sz w:val="20"/>
          <w:szCs w:val="20"/>
          <w:color w:val="auto"/>
        </w:rPr>
      </w:pPr>
      <w:r>
        <w:rPr>
          <w:rFonts w:ascii="Arial" w:cs="Arial" w:eastAsia="Arial" w:hAnsi="Arial"/>
          <w:sz w:val="12"/>
          <w:szCs w:val="12"/>
          <w:color w:val="FFFFFF"/>
        </w:rPr>
        <w:t>Compensation</w:t>
      </w:r>
    </w:p>
    <w:p>
      <w:pPr>
        <w:ind w:left="1120"/>
        <w:spacing w:after="0" w:line="222" w:lineRule="auto"/>
        <w:rPr>
          <w:sz w:val="20"/>
          <w:szCs w:val="20"/>
          <w:color w:val="auto"/>
        </w:rPr>
      </w:pPr>
      <w:r>
        <w:rPr>
          <w:rFonts w:ascii="Arial" w:cs="Arial" w:eastAsia="Arial" w:hAnsi="Arial"/>
          <w:sz w:val="12"/>
          <w:szCs w:val="12"/>
          <w:color w:val="FFFFFF"/>
        </w:rPr>
        <w:t>and Human</w:t>
      </w:r>
    </w:p>
    <w:p>
      <w:pPr>
        <w:ind w:left="1120"/>
        <w:spacing w:after="0" w:line="222" w:lineRule="auto"/>
        <w:rPr>
          <w:sz w:val="20"/>
          <w:szCs w:val="20"/>
          <w:color w:val="auto"/>
        </w:rPr>
      </w:pPr>
      <w:r>
        <w:rPr>
          <w:rFonts w:ascii="Arial" w:cs="Arial" w:eastAsia="Arial" w:hAnsi="Arial"/>
          <w:sz w:val="12"/>
          <w:szCs w:val="12"/>
          <w:color w:val="FFFFFF"/>
        </w:rPr>
        <w:t>Resources</w:t>
      </w:r>
    </w:p>
    <w:p>
      <w:pPr>
        <w:ind w:left="1120"/>
        <w:spacing w:after="0" w:line="222" w:lineRule="auto"/>
        <w:rPr>
          <w:sz w:val="20"/>
          <w:szCs w:val="20"/>
          <w:color w:val="auto"/>
        </w:rPr>
      </w:pPr>
      <w:r>
        <w:rPr>
          <w:rFonts w:ascii="Arial" w:cs="Arial" w:eastAsia="Arial" w:hAnsi="Arial"/>
          <w:sz w:val="12"/>
          <w:szCs w:val="12"/>
          <w:color w:val="FFFFFF"/>
        </w:rPr>
        <w:t>Committee of the</w:t>
      </w:r>
    </w:p>
    <w:p>
      <w:pPr>
        <w:ind w:left="1120"/>
        <w:spacing w:after="0"/>
        <w:rPr>
          <w:sz w:val="20"/>
          <w:szCs w:val="20"/>
          <w:color w:val="auto"/>
        </w:rPr>
      </w:pPr>
      <w:r>
        <w:rPr>
          <w:rFonts w:ascii="Arial" w:cs="Arial" w:eastAsia="Arial" w:hAnsi="Arial"/>
          <w:sz w:val="12"/>
          <w:szCs w:val="12"/>
          <w:color w:val="FFFFFF"/>
        </w:rPr>
        <w:t>Board of Directors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Compensation of</w:t>
      </w:r>
    </w:p>
    <w:p>
      <w:pPr>
        <w:ind w:left="1120"/>
        <w:spacing w:after="0" w:line="224" w:lineRule="auto"/>
        <w:rPr>
          <w:sz w:val="20"/>
          <w:szCs w:val="20"/>
          <w:color w:val="auto"/>
        </w:rPr>
      </w:pPr>
      <w:r>
        <w:rPr>
          <w:rFonts w:ascii="Arial" w:cs="Arial" w:eastAsia="Arial" w:hAnsi="Arial"/>
          <w:sz w:val="12"/>
          <w:szCs w:val="12"/>
          <w:color w:val="FFFFFF"/>
        </w:rPr>
        <w:t>Named Executive</w:t>
      </w:r>
    </w:p>
    <w:p>
      <w:pPr>
        <w:ind w:left="1120"/>
        <w:spacing w:after="0"/>
        <w:rPr>
          <w:sz w:val="20"/>
          <w:szCs w:val="20"/>
          <w:color w:val="auto"/>
        </w:rPr>
      </w:pPr>
      <w:r>
        <w:rPr>
          <w:rFonts w:ascii="Arial" w:cs="Arial" w:eastAsia="Arial" w:hAnsi="Arial"/>
          <w:sz w:val="12"/>
          <w:szCs w:val="12"/>
          <w:color w:val="FFFFFF"/>
        </w:rPr>
        <w:t>Officers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Pay Versus</w:t>
      </w:r>
    </w:p>
    <w:p>
      <w:pPr>
        <w:ind w:left="1120"/>
        <w:spacing w:after="0" w:line="224" w:lineRule="auto"/>
        <w:rPr>
          <w:sz w:val="20"/>
          <w:szCs w:val="20"/>
          <w:color w:val="auto"/>
        </w:rPr>
      </w:pPr>
      <w:r>
        <w:rPr>
          <w:rFonts w:ascii="Arial" w:cs="Arial" w:eastAsia="Arial" w:hAnsi="Arial"/>
          <w:sz w:val="12"/>
          <w:szCs w:val="12"/>
          <w:color w:val="FFFFFF"/>
        </w:rPr>
        <w:t>Performance</w:t>
      </w:r>
    </w:p>
    <w:p>
      <w:pPr>
        <w:ind w:left="1120"/>
        <w:spacing w:after="0"/>
        <w:rPr>
          <w:sz w:val="20"/>
          <w:szCs w:val="20"/>
          <w:color w:val="auto"/>
        </w:rPr>
      </w:pPr>
      <w:r>
        <w:rPr>
          <w:rFonts w:ascii="Arial" w:cs="Arial" w:eastAsia="Arial" w:hAnsi="Arial"/>
          <w:sz w:val="12"/>
          <w:szCs w:val="12"/>
          <w:color w:val="FFFFFF"/>
        </w:rPr>
        <w:t>Disclosure</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Security</w:t>
      </w:r>
    </w:p>
    <w:p>
      <w:pPr>
        <w:ind w:left="1120"/>
        <w:spacing w:after="0" w:line="224" w:lineRule="auto"/>
        <w:rPr>
          <w:sz w:val="20"/>
          <w:szCs w:val="20"/>
          <w:color w:val="auto"/>
        </w:rPr>
      </w:pPr>
      <w:r>
        <w:rPr>
          <w:rFonts w:ascii="Arial" w:cs="Arial" w:eastAsia="Arial" w:hAnsi="Arial"/>
          <w:sz w:val="12"/>
          <w:szCs w:val="12"/>
          <w:color w:val="FFFFFF"/>
        </w:rPr>
        <w:t>Ownership of</w:t>
      </w:r>
    </w:p>
    <w:p>
      <w:pPr>
        <w:ind w:left="1120"/>
        <w:spacing w:after="0" w:line="222" w:lineRule="auto"/>
        <w:rPr>
          <w:sz w:val="20"/>
          <w:szCs w:val="20"/>
          <w:color w:val="auto"/>
        </w:rPr>
      </w:pPr>
      <w:r>
        <w:rPr>
          <w:rFonts w:ascii="Arial" w:cs="Arial" w:eastAsia="Arial" w:hAnsi="Arial"/>
          <w:sz w:val="12"/>
          <w:szCs w:val="12"/>
          <w:color w:val="FFFFFF"/>
        </w:rPr>
        <w:t>Certain Beneficial</w:t>
      </w:r>
    </w:p>
    <w:p>
      <w:pPr>
        <w:ind w:left="1120"/>
        <w:spacing w:after="0" w:line="222" w:lineRule="auto"/>
        <w:rPr>
          <w:sz w:val="20"/>
          <w:szCs w:val="20"/>
          <w:color w:val="auto"/>
        </w:rPr>
      </w:pPr>
      <w:r>
        <w:rPr>
          <w:rFonts w:ascii="Arial" w:cs="Arial" w:eastAsia="Arial" w:hAnsi="Arial"/>
          <w:sz w:val="12"/>
          <w:szCs w:val="12"/>
          <w:color w:val="FFFFFF"/>
        </w:rPr>
        <w:t>Owners and</w:t>
      </w:r>
    </w:p>
    <w:p>
      <w:pPr>
        <w:ind w:left="1120"/>
        <w:spacing w:after="0"/>
        <w:rPr>
          <w:sz w:val="20"/>
          <w:szCs w:val="20"/>
          <w:color w:val="auto"/>
        </w:rPr>
      </w:pPr>
      <w:r>
        <w:rPr>
          <w:rFonts w:ascii="Arial" w:cs="Arial" w:eastAsia="Arial" w:hAnsi="Arial"/>
          <w:sz w:val="12"/>
          <w:szCs w:val="12"/>
          <w:color w:val="FFFFFF"/>
        </w:rPr>
        <w:t>Management</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Certain</w:t>
      </w:r>
    </w:p>
    <w:p>
      <w:pPr>
        <w:ind w:left="1120"/>
        <w:spacing w:after="0" w:line="224" w:lineRule="auto"/>
        <w:rPr>
          <w:sz w:val="20"/>
          <w:szCs w:val="20"/>
          <w:color w:val="auto"/>
        </w:rPr>
      </w:pPr>
      <w:r>
        <w:rPr>
          <w:rFonts w:ascii="Arial" w:cs="Arial" w:eastAsia="Arial" w:hAnsi="Arial"/>
          <w:sz w:val="12"/>
          <w:szCs w:val="12"/>
          <w:color w:val="FFFFFF"/>
        </w:rPr>
        <w:t>Relationships and</w:t>
      </w:r>
    </w:p>
    <w:p>
      <w:pPr>
        <w:ind w:left="1120"/>
        <w:spacing w:after="0" w:line="222" w:lineRule="auto"/>
        <w:rPr>
          <w:sz w:val="20"/>
          <w:szCs w:val="20"/>
          <w:color w:val="auto"/>
        </w:rPr>
      </w:pPr>
      <w:r>
        <w:rPr>
          <w:rFonts w:ascii="Arial" w:cs="Arial" w:eastAsia="Arial" w:hAnsi="Arial"/>
          <w:sz w:val="12"/>
          <w:szCs w:val="12"/>
          <w:color w:val="FFFFFF"/>
        </w:rPr>
        <w:t>Related Party</w:t>
      </w:r>
    </w:p>
    <w:p>
      <w:pPr>
        <w:ind w:left="1120"/>
        <w:spacing w:after="0"/>
        <w:rPr>
          <w:sz w:val="20"/>
          <w:szCs w:val="20"/>
          <w:color w:val="auto"/>
        </w:rPr>
      </w:pPr>
      <w:r>
        <w:rPr>
          <w:rFonts w:ascii="Arial" w:cs="Arial" w:eastAsia="Arial" w:hAnsi="Arial"/>
          <w:sz w:val="12"/>
          <w:szCs w:val="12"/>
          <w:color w:val="FFFFFF"/>
        </w:rPr>
        <w:t>Transactions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Proposal 2</w:t>
      </w:r>
    </w:p>
    <w:p>
      <w:pPr>
        <w:spacing w:after="0" w:line="156"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Report of the</w:t>
      </w:r>
    </w:p>
    <w:p>
      <w:pPr>
        <w:ind w:left="1120"/>
        <w:spacing w:after="0" w:line="224" w:lineRule="auto"/>
        <w:rPr>
          <w:sz w:val="20"/>
          <w:szCs w:val="20"/>
          <w:color w:val="auto"/>
        </w:rPr>
      </w:pPr>
      <w:r>
        <w:rPr>
          <w:rFonts w:ascii="Arial" w:cs="Arial" w:eastAsia="Arial" w:hAnsi="Arial"/>
          <w:sz w:val="12"/>
          <w:szCs w:val="12"/>
          <w:color w:val="FFFFFF"/>
        </w:rPr>
        <w:t>Audit and Risk</w:t>
      </w:r>
    </w:p>
    <w:p>
      <w:pPr>
        <w:ind w:left="1120"/>
        <w:spacing w:after="0" w:line="222" w:lineRule="auto"/>
        <w:rPr>
          <w:sz w:val="20"/>
          <w:szCs w:val="20"/>
          <w:color w:val="auto"/>
        </w:rPr>
      </w:pPr>
      <w:r>
        <w:rPr>
          <w:rFonts w:ascii="Arial" w:cs="Arial" w:eastAsia="Arial" w:hAnsi="Arial"/>
          <w:sz w:val="12"/>
          <w:szCs w:val="12"/>
          <w:color w:val="FFFFFF"/>
        </w:rPr>
        <w:t>Committee of the</w:t>
      </w:r>
    </w:p>
    <w:p>
      <w:pPr>
        <w:ind w:left="1120"/>
        <w:spacing w:after="0"/>
        <w:rPr>
          <w:sz w:val="20"/>
          <w:szCs w:val="20"/>
          <w:color w:val="auto"/>
        </w:rPr>
      </w:pPr>
      <w:r>
        <w:rPr>
          <w:rFonts w:ascii="Arial" w:cs="Arial" w:eastAsia="Arial" w:hAnsi="Arial"/>
          <w:sz w:val="12"/>
          <w:szCs w:val="12"/>
          <w:color w:val="FFFFFF"/>
        </w:rPr>
        <w:t>Board of Directors</w:t>
      </w:r>
    </w:p>
    <w:p>
      <w:pPr>
        <w:spacing w:after="0" w:line="144" w:lineRule="exact"/>
        <w:rPr>
          <w:sz w:val="20"/>
          <w:szCs w:val="20"/>
          <w:color w:val="auto"/>
        </w:rPr>
      </w:pPr>
    </w:p>
    <w:p>
      <w:pPr>
        <w:jc w:val="center"/>
        <w:ind w:left="620"/>
        <w:spacing w:after="0"/>
        <w:rPr>
          <w:sz w:val="20"/>
          <w:szCs w:val="20"/>
          <w:color w:val="auto"/>
        </w:rPr>
      </w:pPr>
      <w:r>
        <w:rPr>
          <w:rFonts w:ascii="Arial" w:cs="Arial" w:eastAsia="Arial" w:hAnsi="Arial"/>
          <w:sz w:val="12"/>
          <w:szCs w:val="12"/>
          <w:color w:val="FFFFFF"/>
        </w:rPr>
        <w:t>Proposal 3</w:t>
      </w:r>
    </w:p>
    <w:p>
      <w:pPr>
        <w:spacing w:after="0" w:line="156" w:lineRule="exact"/>
        <w:rPr>
          <w:sz w:val="20"/>
          <w:szCs w:val="20"/>
          <w:color w:val="auto"/>
        </w:rPr>
      </w:pPr>
    </w:p>
    <w:p>
      <w:pPr>
        <w:jc w:val="center"/>
        <w:ind w:left="620"/>
        <w:spacing w:after="0"/>
        <w:rPr>
          <w:sz w:val="20"/>
          <w:szCs w:val="20"/>
          <w:color w:val="auto"/>
        </w:rPr>
      </w:pPr>
      <w:r>
        <w:rPr>
          <w:rFonts w:ascii="Arial" w:cs="Arial" w:eastAsia="Arial" w:hAnsi="Arial"/>
          <w:sz w:val="12"/>
          <w:szCs w:val="12"/>
          <w:color w:val="FFFFFF"/>
        </w:rPr>
        <w:t>Proposal 4</w:t>
      </w:r>
    </w:p>
    <w:p>
      <w:pPr>
        <w:spacing w:after="0" w:line="156" w:lineRule="exact"/>
        <w:rPr>
          <w:sz w:val="20"/>
          <w:szCs w:val="20"/>
          <w:color w:val="auto"/>
        </w:rPr>
      </w:pPr>
    </w:p>
    <w:p>
      <w:pPr>
        <w:jc w:val="center"/>
        <w:ind w:left="620"/>
        <w:spacing w:after="0"/>
        <w:rPr>
          <w:sz w:val="20"/>
          <w:szCs w:val="20"/>
          <w:color w:val="auto"/>
        </w:rPr>
      </w:pPr>
      <w:r>
        <w:rPr>
          <w:rFonts w:ascii="Arial" w:cs="Arial" w:eastAsia="Arial" w:hAnsi="Arial"/>
          <w:sz w:val="12"/>
          <w:szCs w:val="12"/>
          <w:color w:val="FFFFFF"/>
        </w:rPr>
        <w:t>Proposal 5</w:t>
      </w:r>
    </w:p>
    <w:p>
      <w:pPr>
        <w:spacing w:after="0" w:line="156"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Proposal 6</w:t>
      </w:r>
    </w:p>
    <w:p>
      <w:pPr>
        <w:spacing w:after="0" w:line="156"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Stockholder</w:t>
      </w:r>
    </w:p>
    <w:p>
      <w:pPr>
        <w:ind w:left="1120"/>
        <w:spacing w:after="0" w:line="224" w:lineRule="auto"/>
        <w:rPr>
          <w:sz w:val="20"/>
          <w:szCs w:val="20"/>
          <w:color w:val="auto"/>
        </w:rPr>
      </w:pPr>
      <w:r>
        <w:rPr>
          <w:rFonts w:ascii="Arial" w:cs="Arial" w:eastAsia="Arial" w:hAnsi="Arial"/>
          <w:sz w:val="12"/>
          <w:szCs w:val="12"/>
          <w:color w:val="FFFFFF"/>
        </w:rPr>
        <w:t>Proposals and</w:t>
      </w:r>
    </w:p>
    <w:p>
      <w:pPr>
        <w:ind w:left="1120"/>
        <w:spacing w:after="0"/>
        <w:rPr>
          <w:sz w:val="20"/>
          <w:szCs w:val="20"/>
          <w:color w:val="auto"/>
        </w:rPr>
      </w:pPr>
      <w:r>
        <w:rPr>
          <w:rFonts w:ascii="Arial" w:cs="Arial" w:eastAsia="Arial" w:hAnsi="Arial"/>
          <w:sz w:val="12"/>
          <w:szCs w:val="12"/>
          <w:color w:val="FFFFFF"/>
        </w:rPr>
        <w:t>Other Matters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Delinquent</w:t>
      </w:r>
    </w:p>
    <w:p>
      <w:pPr>
        <w:ind w:left="1120"/>
        <w:spacing w:after="0" w:line="224" w:lineRule="auto"/>
        <w:rPr>
          <w:sz w:val="20"/>
          <w:szCs w:val="20"/>
          <w:color w:val="auto"/>
        </w:rPr>
      </w:pPr>
      <w:r>
        <w:rPr>
          <w:rFonts w:ascii="Arial" w:cs="Arial" w:eastAsia="Arial" w:hAnsi="Arial"/>
          <w:sz w:val="12"/>
          <w:szCs w:val="12"/>
          <w:color w:val="FFFFFF"/>
        </w:rPr>
        <w:t>Section 16(a)</w:t>
      </w:r>
    </w:p>
    <w:p>
      <w:pPr>
        <w:ind w:left="1120"/>
        <w:spacing w:after="0"/>
        <w:rPr>
          <w:sz w:val="20"/>
          <w:szCs w:val="20"/>
          <w:color w:val="auto"/>
        </w:rPr>
      </w:pPr>
      <w:r>
        <w:rPr>
          <w:rFonts w:ascii="Arial" w:cs="Arial" w:eastAsia="Arial" w:hAnsi="Arial"/>
          <w:sz w:val="12"/>
          <w:szCs w:val="12"/>
          <w:color w:val="FFFFFF"/>
        </w:rPr>
        <w:t>Reports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Other</w:t>
      </w:r>
    </w:p>
    <w:p>
      <w:pPr>
        <w:spacing w:after="0" w:line="2"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Information</w:t>
      </w:r>
    </w:p>
    <w:p>
      <w:pPr>
        <w:spacing w:after="0" w:line="144" w:lineRule="exact"/>
        <w:rPr>
          <w:sz w:val="20"/>
          <w:szCs w:val="20"/>
          <w:color w:val="auto"/>
        </w:rPr>
      </w:pPr>
    </w:p>
    <w:p>
      <w:pPr>
        <w:jc w:val="center"/>
        <w:ind w:left="660"/>
        <w:spacing w:after="0"/>
        <w:rPr>
          <w:sz w:val="20"/>
          <w:szCs w:val="20"/>
          <w:color w:val="auto"/>
        </w:rPr>
      </w:pPr>
      <w:r>
        <w:rPr>
          <w:rFonts w:ascii="Arial" w:cs="Arial" w:eastAsia="Arial" w:hAnsi="Arial"/>
          <w:sz w:val="12"/>
          <w:szCs w:val="12"/>
          <w:color w:val="FFFFFF"/>
        </w:rPr>
        <w:t>Appendix A</w:t>
      </w:r>
    </w:p>
    <w:p>
      <w:pPr>
        <w:spacing w:after="0" w:line="156" w:lineRule="exact"/>
        <w:rPr>
          <w:sz w:val="20"/>
          <w:szCs w:val="20"/>
          <w:color w:val="auto"/>
        </w:rPr>
      </w:pPr>
    </w:p>
    <w:p>
      <w:pPr>
        <w:jc w:val="center"/>
        <w:ind w:left="660"/>
        <w:spacing w:after="0"/>
        <w:rPr>
          <w:sz w:val="20"/>
          <w:szCs w:val="20"/>
          <w:color w:val="auto"/>
        </w:rPr>
      </w:pPr>
      <w:r>
        <w:rPr>
          <w:rFonts w:ascii="Arial" w:cs="Arial" w:eastAsia="Arial" w:hAnsi="Arial"/>
          <w:sz w:val="12"/>
          <w:szCs w:val="12"/>
          <w:color w:val="FFFFFF"/>
        </w:rPr>
        <w:t>Appendix 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right="340"/>
        <w:spacing w:after="0" w:line="287" w:lineRule="auto"/>
        <w:rPr>
          <w:sz w:val="20"/>
          <w:szCs w:val="20"/>
          <w:color w:val="auto"/>
        </w:rPr>
      </w:pPr>
      <w:r>
        <w:rPr>
          <w:rFonts w:ascii="Arial" w:cs="Arial" w:eastAsia="Arial" w:hAnsi="Arial"/>
          <w:sz w:val="15"/>
          <w:szCs w:val="15"/>
          <w:color w:val="auto"/>
        </w:rPr>
        <w:t>Our goal is to ensure that our Board understands stockholders’ and analysts’ observations and topics of interest, including with regard to the Company’s performance, strategy, corporate governance and ESG initiatives.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-1737995</wp:posOffset>
            </wp:positionH>
            <wp:positionV relativeFrom="paragraph">
              <wp:posOffset>-894080</wp:posOffset>
            </wp:positionV>
            <wp:extent cx="7181215" cy="5334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81215" cy="53340"/>
                    </a:xfrm>
                    <a:prstGeom prst="rect">
                      <a:avLst/>
                    </a:prstGeom>
                    <a:noFill/>
                  </pic:spPr>
                </pic:pic>
              </a:graphicData>
            </a:graphic>
          </wp:anchor>
        </w:drawing>
      </w:r>
    </w:p>
    <w:p>
      <w:pPr>
        <w:spacing w:after="0" w:line="27" w:lineRule="exact"/>
        <w:rPr>
          <w:sz w:val="20"/>
          <w:szCs w:val="20"/>
          <w:color w:val="auto"/>
        </w:rPr>
      </w:pPr>
    </w:p>
    <w:p>
      <w:pPr>
        <w:ind w:right="120"/>
        <w:spacing w:after="0" w:line="256" w:lineRule="auto"/>
        <w:rPr>
          <w:sz w:val="20"/>
          <w:szCs w:val="20"/>
          <w:color w:val="auto"/>
        </w:rPr>
      </w:pPr>
      <w:r>
        <w:rPr>
          <w:rFonts w:ascii="Arial" w:cs="Arial" w:eastAsia="Arial" w:hAnsi="Arial"/>
          <w:sz w:val="15"/>
          <w:szCs w:val="15"/>
          <w:color w:val="auto"/>
        </w:rPr>
        <w:t>Our directors also engage directly with our financial advisor clients. In addition to engagement opportunities through our advisor conferences, our directors meet annually with clients in order to hear first-hand feedback on areas of importance to them. These sessions are structured to present directors with a diverse range of client practices, programs and experiences, and are intended to ensure that our Board understands our clients’ current and future needs, particularly in the context of an evolving competitive environment, and that we are delivering what advisors need in order to deliver sustained value to their clients.</w:t>
      </w:r>
    </w:p>
    <w:p>
      <w:pPr>
        <w:spacing w:after="0" w:line="162" w:lineRule="exact"/>
        <w:rPr>
          <w:sz w:val="20"/>
          <w:szCs w:val="20"/>
          <w:color w:val="auto"/>
        </w:rPr>
      </w:pPr>
    </w:p>
    <w:p>
      <w:pPr>
        <w:spacing w:after="0"/>
        <w:rPr>
          <w:sz w:val="20"/>
          <w:szCs w:val="20"/>
          <w:color w:val="auto"/>
        </w:rPr>
      </w:pPr>
      <w:r>
        <w:rPr>
          <w:rFonts w:ascii="Arial" w:cs="Arial" w:eastAsia="Arial" w:hAnsi="Arial"/>
          <w:sz w:val="24"/>
          <w:szCs w:val="24"/>
          <w:color w:val="B95827"/>
        </w:rPr>
        <w:t>Annual Board Evaluation</w:t>
      </w:r>
    </w:p>
    <w:p>
      <w:pPr>
        <w:spacing w:after="0" w:line="117" w:lineRule="exact"/>
        <w:rPr>
          <w:sz w:val="20"/>
          <w:szCs w:val="20"/>
          <w:color w:val="auto"/>
        </w:rPr>
      </w:pPr>
    </w:p>
    <w:p>
      <w:pPr>
        <w:spacing w:after="0" w:line="258" w:lineRule="auto"/>
        <w:rPr>
          <w:sz w:val="20"/>
          <w:szCs w:val="20"/>
          <w:color w:val="auto"/>
        </w:rPr>
      </w:pPr>
      <w:r>
        <w:rPr>
          <w:rFonts w:ascii="Arial" w:cs="Arial" w:eastAsia="Arial" w:hAnsi="Arial"/>
          <w:sz w:val="15"/>
          <w:szCs w:val="15"/>
          <w:color w:val="auto"/>
        </w:rPr>
        <w:t>Our Board recognizes that a robust and constructive self-evaluation process is an important aspect of good corporate governance and board effectiveness. The Nominating and Governance Committee conducts an annual evaluation of our Board, each of its standing committees and individual directors following the end of each year. The goal is to provide a meaningful assessment of whether the Board’s and its committees’ performance, operations, size and composition are effective for the Company, both in the short- and longer-term.</w:t>
      </w:r>
    </w:p>
    <w:p>
      <w:pPr>
        <w:spacing w:after="0" w:line="68" w:lineRule="exact"/>
        <w:rPr>
          <w:sz w:val="20"/>
          <w:szCs w:val="20"/>
          <w:color w:val="auto"/>
        </w:rPr>
      </w:pPr>
    </w:p>
    <w:p>
      <w:pPr>
        <w:ind w:right="500"/>
        <w:spacing w:after="0" w:line="287" w:lineRule="auto"/>
        <w:rPr>
          <w:sz w:val="20"/>
          <w:szCs w:val="20"/>
          <w:color w:val="auto"/>
        </w:rPr>
      </w:pPr>
      <w:r>
        <w:rPr>
          <w:rFonts w:ascii="Arial" w:cs="Arial" w:eastAsia="Arial" w:hAnsi="Arial"/>
          <w:sz w:val="15"/>
          <w:szCs w:val="15"/>
          <w:color w:val="auto"/>
        </w:rPr>
        <w:t>Following discussion by the Nominating and Governance Committee, the 2025 annual evaluation included the following elements:</w:t>
      </w:r>
    </w:p>
    <w:p>
      <w:pPr>
        <w:spacing w:after="0" w:line="60" w:lineRule="exact"/>
        <w:rPr>
          <w:sz w:val="20"/>
          <w:szCs w:val="20"/>
          <w:color w:val="auto"/>
        </w:rPr>
      </w:pPr>
    </w:p>
    <w:p>
      <w:pPr>
        <w:ind w:left="280" w:hanging="273"/>
        <w:spacing w:after="0"/>
        <w:tabs>
          <w:tab w:leader="none" w:pos="280" w:val="left"/>
        </w:tabs>
        <w:numPr>
          <w:ilvl w:val="0"/>
          <w:numId w:val="48"/>
        </w:numPr>
        <w:rPr>
          <w:rFonts w:ascii="Arial" w:cs="Arial" w:eastAsia="Arial" w:hAnsi="Arial"/>
          <w:sz w:val="15"/>
          <w:szCs w:val="15"/>
          <w:color w:val="auto"/>
        </w:rPr>
      </w:pPr>
      <w:r>
        <w:rPr>
          <w:rFonts w:ascii="Arial" w:cs="Arial" w:eastAsia="Arial" w:hAnsi="Arial"/>
          <w:sz w:val="15"/>
          <w:szCs w:val="15"/>
          <w:color w:val="auto"/>
        </w:rPr>
        <w:t>a written questionnaire soliciting feedback on the Board completed by each director;</w:t>
      </w:r>
    </w:p>
    <w:p>
      <w:pPr>
        <w:spacing w:after="0" w:line="121" w:lineRule="exact"/>
        <w:rPr>
          <w:rFonts w:ascii="Arial" w:cs="Arial" w:eastAsia="Arial" w:hAnsi="Arial"/>
          <w:sz w:val="15"/>
          <w:szCs w:val="15"/>
          <w:color w:val="auto"/>
        </w:rPr>
      </w:pPr>
    </w:p>
    <w:p>
      <w:pPr>
        <w:ind w:left="280" w:hanging="273"/>
        <w:spacing w:after="0"/>
        <w:tabs>
          <w:tab w:leader="none" w:pos="280" w:val="left"/>
        </w:tabs>
        <w:numPr>
          <w:ilvl w:val="0"/>
          <w:numId w:val="48"/>
        </w:numPr>
        <w:rPr>
          <w:rFonts w:ascii="Arial" w:cs="Arial" w:eastAsia="Arial" w:hAnsi="Arial"/>
          <w:sz w:val="15"/>
          <w:szCs w:val="15"/>
          <w:color w:val="auto"/>
        </w:rPr>
      </w:pPr>
      <w:r>
        <w:rPr>
          <w:rFonts w:ascii="Arial" w:cs="Arial" w:eastAsia="Arial" w:hAnsi="Arial"/>
          <w:sz w:val="15"/>
          <w:szCs w:val="15"/>
          <w:color w:val="auto"/>
        </w:rPr>
        <w:t>a written questionnaire soliciting feedback on each Board committee completed by each committee member;</w:t>
      </w:r>
    </w:p>
    <w:p>
      <w:pPr>
        <w:spacing w:after="0" w:line="121" w:lineRule="exact"/>
        <w:rPr>
          <w:rFonts w:ascii="Arial" w:cs="Arial" w:eastAsia="Arial" w:hAnsi="Arial"/>
          <w:sz w:val="15"/>
          <w:szCs w:val="15"/>
          <w:color w:val="auto"/>
        </w:rPr>
      </w:pPr>
    </w:p>
    <w:p>
      <w:pPr>
        <w:ind w:left="280" w:right="480" w:hanging="273"/>
        <w:spacing w:after="0" w:line="287" w:lineRule="auto"/>
        <w:tabs>
          <w:tab w:leader="none" w:pos="280" w:val="left"/>
        </w:tabs>
        <w:numPr>
          <w:ilvl w:val="0"/>
          <w:numId w:val="48"/>
        </w:numPr>
        <w:rPr>
          <w:rFonts w:ascii="Arial" w:cs="Arial" w:eastAsia="Arial" w:hAnsi="Arial"/>
          <w:sz w:val="15"/>
          <w:szCs w:val="15"/>
          <w:color w:val="auto"/>
        </w:rPr>
      </w:pPr>
      <w:r>
        <w:rPr>
          <w:rFonts w:ascii="Arial" w:cs="Arial" w:eastAsia="Arial" w:hAnsi="Arial"/>
          <w:sz w:val="15"/>
          <w:szCs w:val="15"/>
          <w:color w:val="auto"/>
        </w:rPr>
        <w:t>individual director interviews conducted by the chair of the Board and our Board secretary (who separately solicited confidential feedback about the chair from directors outside the presence of the chair); and</w:t>
      </w:r>
    </w:p>
    <w:p>
      <w:pPr>
        <w:spacing w:after="0" w:line="59" w:lineRule="exact"/>
        <w:rPr>
          <w:rFonts w:ascii="Arial" w:cs="Arial" w:eastAsia="Arial" w:hAnsi="Arial"/>
          <w:sz w:val="15"/>
          <w:szCs w:val="15"/>
          <w:color w:val="auto"/>
        </w:rPr>
      </w:pPr>
    </w:p>
    <w:p>
      <w:pPr>
        <w:ind w:left="280" w:hanging="273"/>
        <w:spacing w:after="0"/>
        <w:tabs>
          <w:tab w:leader="none" w:pos="280" w:val="left"/>
        </w:tabs>
        <w:numPr>
          <w:ilvl w:val="0"/>
          <w:numId w:val="48"/>
        </w:numPr>
        <w:rPr>
          <w:rFonts w:ascii="Arial" w:cs="Arial" w:eastAsia="Arial" w:hAnsi="Arial"/>
          <w:sz w:val="15"/>
          <w:szCs w:val="15"/>
          <w:color w:val="auto"/>
        </w:rPr>
      </w:pPr>
      <w:r>
        <w:rPr>
          <w:rFonts w:ascii="Arial" w:cs="Arial" w:eastAsia="Arial" w:hAnsi="Arial"/>
          <w:sz w:val="15"/>
          <w:szCs w:val="15"/>
          <w:color w:val="auto"/>
        </w:rPr>
        <w:t>a written questionnaire soliciting feedback on the Board completed by our executive officers.</w:t>
      </w:r>
    </w:p>
    <w:p>
      <w:pPr>
        <w:spacing w:after="0" w:line="108" w:lineRule="exact"/>
        <w:rPr>
          <w:sz w:val="20"/>
          <w:szCs w:val="20"/>
          <w:color w:val="auto"/>
        </w:rPr>
      </w:pPr>
    </w:p>
    <w:p>
      <w:pPr>
        <w:ind w:right="460"/>
        <w:spacing w:after="0" w:line="287" w:lineRule="auto"/>
        <w:rPr>
          <w:sz w:val="20"/>
          <w:szCs w:val="20"/>
          <w:color w:val="auto"/>
        </w:rPr>
      </w:pPr>
      <w:r>
        <w:rPr>
          <w:rFonts w:ascii="Arial" w:cs="Arial" w:eastAsia="Arial" w:hAnsi="Arial"/>
          <w:sz w:val="15"/>
          <w:szCs w:val="15"/>
          <w:color w:val="auto"/>
        </w:rPr>
        <w:t>The director and executive officer questionnaires provided feedback on an unattributed basis and informed the individual director interviews, which provided further opportunity for candid discussion.</w:t>
      </w:r>
    </w:p>
    <w:p>
      <w:pPr>
        <w:spacing w:after="0" w:line="47" w:lineRule="exact"/>
        <w:rPr>
          <w:sz w:val="20"/>
          <w:szCs w:val="20"/>
          <w:color w:val="auto"/>
        </w:rPr>
      </w:pPr>
    </w:p>
    <w:p>
      <w:pPr>
        <w:spacing w:after="0"/>
        <w:rPr>
          <w:sz w:val="20"/>
          <w:szCs w:val="20"/>
          <w:color w:val="auto"/>
        </w:rPr>
      </w:pPr>
      <w:r>
        <w:rPr>
          <w:rFonts w:ascii="Arial" w:cs="Arial" w:eastAsia="Arial" w:hAnsi="Arial"/>
          <w:sz w:val="15"/>
          <w:szCs w:val="15"/>
          <w:color w:val="auto"/>
        </w:rPr>
        <w:t>The primary topics of the 2025 annual evaluation were:</w:t>
      </w:r>
    </w:p>
    <w:p>
      <w:pPr>
        <w:spacing w:after="0" w:line="121" w:lineRule="exact"/>
        <w:rPr>
          <w:sz w:val="20"/>
          <w:szCs w:val="20"/>
          <w:color w:val="auto"/>
        </w:rPr>
      </w:pPr>
    </w:p>
    <w:p>
      <w:pPr>
        <w:ind w:left="280" w:hanging="273"/>
        <w:spacing w:after="0"/>
        <w:tabs>
          <w:tab w:leader="none" w:pos="280" w:val="left"/>
        </w:tabs>
        <w:numPr>
          <w:ilvl w:val="0"/>
          <w:numId w:val="49"/>
        </w:numPr>
        <w:rPr>
          <w:rFonts w:ascii="Arial" w:cs="Arial" w:eastAsia="Arial" w:hAnsi="Arial"/>
          <w:sz w:val="15"/>
          <w:szCs w:val="15"/>
          <w:color w:val="auto"/>
        </w:rPr>
      </w:pPr>
      <w:r>
        <w:rPr>
          <w:rFonts w:ascii="Arial" w:cs="Arial" w:eastAsia="Arial" w:hAnsi="Arial"/>
          <w:sz w:val="15"/>
          <w:szCs w:val="15"/>
          <w:color w:val="auto"/>
        </w:rPr>
        <w:t>Board composition and size, including desired director skills and attributes;</w:t>
      </w:r>
    </w:p>
    <w:p>
      <w:pPr>
        <w:spacing w:after="0" w:line="121" w:lineRule="exact"/>
        <w:rPr>
          <w:rFonts w:ascii="Arial" w:cs="Arial" w:eastAsia="Arial" w:hAnsi="Arial"/>
          <w:sz w:val="15"/>
          <w:szCs w:val="15"/>
          <w:color w:val="auto"/>
        </w:rPr>
      </w:pPr>
    </w:p>
    <w:p>
      <w:pPr>
        <w:ind w:left="280" w:hanging="273"/>
        <w:spacing w:after="0"/>
        <w:tabs>
          <w:tab w:leader="none" w:pos="280" w:val="left"/>
        </w:tabs>
        <w:numPr>
          <w:ilvl w:val="0"/>
          <w:numId w:val="49"/>
        </w:numPr>
        <w:rPr>
          <w:rFonts w:ascii="Arial" w:cs="Arial" w:eastAsia="Arial" w:hAnsi="Arial"/>
          <w:sz w:val="15"/>
          <w:szCs w:val="15"/>
          <w:color w:val="auto"/>
        </w:rPr>
      </w:pPr>
      <w:r>
        <w:rPr>
          <w:rFonts w:ascii="Arial" w:cs="Arial" w:eastAsia="Arial" w:hAnsi="Arial"/>
          <w:sz w:val="15"/>
          <w:szCs w:val="15"/>
          <w:color w:val="auto"/>
        </w:rPr>
        <w:t>the quality of materials and information provided to the Board;</w:t>
      </w:r>
    </w:p>
    <w:p>
      <w:pPr>
        <w:spacing w:after="0" w:line="121" w:lineRule="exact"/>
        <w:rPr>
          <w:rFonts w:ascii="Arial" w:cs="Arial" w:eastAsia="Arial" w:hAnsi="Arial"/>
          <w:sz w:val="15"/>
          <w:szCs w:val="15"/>
          <w:color w:val="auto"/>
        </w:rPr>
      </w:pPr>
    </w:p>
    <w:p>
      <w:pPr>
        <w:ind w:left="280" w:hanging="273"/>
        <w:spacing w:after="0"/>
        <w:tabs>
          <w:tab w:leader="none" w:pos="280" w:val="left"/>
        </w:tabs>
        <w:numPr>
          <w:ilvl w:val="0"/>
          <w:numId w:val="49"/>
        </w:numPr>
        <w:rPr>
          <w:rFonts w:ascii="Arial" w:cs="Arial" w:eastAsia="Arial" w:hAnsi="Arial"/>
          <w:sz w:val="15"/>
          <w:szCs w:val="15"/>
          <w:color w:val="auto"/>
        </w:rPr>
      </w:pPr>
      <w:r>
        <w:rPr>
          <w:rFonts w:ascii="Arial" w:cs="Arial" w:eastAsia="Arial" w:hAnsi="Arial"/>
          <w:sz w:val="15"/>
          <w:szCs w:val="15"/>
          <w:color w:val="auto"/>
        </w:rPr>
        <w:t>structure and conduct of Board meetings, including the effectiveness and number of virtual meetings;</w:t>
      </w:r>
    </w:p>
    <w:p>
      <w:pPr>
        <w:spacing w:after="0" w:line="121" w:lineRule="exact"/>
        <w:rPr>
          <w:rFonts w:ascii="Arial" w:cs="Arial" w:eastAsia="Arial" w:hAnsi="Arial"/>
          <w:sz w:val="15"/>
          <w:szCs w:val="15"/>
          <w:color w:val="auto"/>
        </w:rPr>
      </w:pPr>
    </w:p>
    <w:p>
      <w:pPr>
        <w:ind w:left="280" w:hanging="273"/>
        <w:spacing w:after="0"/>
        <w:tabs>
          <w:tab w:leader="none" w:pos="280" w:val="left"/>
        </w:tabs>
        <w:numPr>
          <w:ilvl w:val="0"/>
          <w:numId w:val="49"/>
        </w:numPr>
        <w:rPr>
          <w:rFonts w:ascii="Arial" w:cs="Arial" w:eastAsia="Arial" w:hAnsi="Arial"/>
          <w:sz w:val="15"/>
          <w:szCs w:val="15"/>
          <w:color w:val="auto"/>
        </w:rPr>
      </w:pPr>
      <w:r>
        <w:rPr>
          <w:rFonts w:ascii="Arial" w:cs="Arial" w:eastAsia="Arial" w:hAnsi="Arial"/>
          <w:sz w:val="15"/>
          <w:szCs w:val="15"/>
          <w:color w:val="auto"/>
        </w:rPr>
        <w:t>Board leadership and decision-making processes;</w:t>
      </w:r>
    </w:p>
    <w:p>
      <w:pPr>
        <w:spacing w:after="0" w:line="121" w:lineRule="exact"/>
        <w:rPr>
          <w:rFonts w:ascii="Arial" w:cs="Arial" w:eastAsia="Arial" w:hAnsi="Arial"/>
          <w:sz w:val="15"/>
          <w:szCs w:val="15"/>
          <w:color w:val="auto"/>
        </w:rPr>
      </w:pPr>
    </w:p>
    <w:p>
      <w:pPr>
        <w:ind w:left="280" w:hanging="273"/>
        <w:spacing w:after="0"/>
        <w:tabs>
          <w:tab w:leader="none" w:pos="280" w:val="left"/>
        </w:tabs>
        <w:numPr>
          <w:ilvl w:val="0"/>
          <w:numId w:val="49"/>
        </w:numPr>
        <w:rPr>
          <w:rFonts w:ascii="Arial" w:cs="Arial" w:eastAsia="Arial" w:hAnsi="Arial"/>
          <w:sz w:val="15"/>
          <w:szCs w:val="15"/>
          <w:color w:val="auto"/>
        </w:rPr>
      </w:pPr>
      <w:r>
        <w:rPr>
          <w:rFonts w:ascii="Arial" w:cs="Arial" w:eastAsia="Arial" w:hAnsi="Arial"/>
          <w:sz w:val="15"/>
          <w:szCs w:val="15"/>
          <w:color w:val="auto"/>
        </w:rPr>
        <w:t>Board committee structure and performance;</w:t>
      </w:r>
    </w:p>
    <w:p>
      <w:pPr>
        <w:spacing w:after="0" w:line="121" w:lineRule="exact"/>
        <w:rPr>
          <w:rFonts w:ascii="Arial" w:cs="Arial" w:eastAsia="Arial" w:hAnsi="Arial"/>
          <w:sz w:val="15"/>
          <w:szCs w:val="15"/>
          <w:color w:val="auto"/>
        </w:rPr>
      </w:pPr>
    </w:p>
    <w:p>
      <w:pPr>
        <w:ind w:left="280" w:hanging="273"/>
        <w:spacing w:after="0"/>
        <w:tabs>
          <w:tab w:leader="none" w:pos="280" w:val="left"/>
        </w:tabs>
        <w:numPr>
          <w:ilvl w:val="0"/>
          <w:numId w:val="49"/>
        </w:numPr>
        <w:rPr>
          <w:rFonts w:ascii="Arial" w:cs="Arial" w:eastAsia="Arial" w:hAnsi="Arial"/>
          <w:sz w:val="15"/>
          <w:szCs w:val="15"/>
          <w:color w:val="auto"/>
        </w:rPr>
      </w:pPr>
      <w:r>
        <w:rPr>
          <w:rFonts w:ascii="Arial" w:cs="Arial" w:eastAsia="Arial" w:hAnsi="Arial"/>
          <w:sz w:val="15"/>
          <w:szCs w:val="15"/>
          <w:color w:val="auto"/>
        </w:rPr>
        <w:t>Board culture and dynamics;</w:t>
      </w:r>
    </w:p>
    <w:p>
      <w:pPr>
        <w:spacing w:after="0" w:line="121" w:lineRule="exact"/>
        <w:rPr>
          <w:rFonts w:ascii="Arial" w:cs="Arial" w:eastAsia="Arial" w:hAnsi="Arial"/>
          <w:sz w:val="15"/>
          <w:szCs w:val="15"/>
          <w:color w:val="auto"/>
        </w:rPr>
      </w:pPr>
    </w:p>
    <w:p>
      <w:pPr>
        <w:ind w:left="280" w:hanging="273"/>
        <w:spacing w:after="0"/>
        <w:tabs>
          <w:tab w:leader="none" w:pos="280" w:val="left"/>
        </w:tabs>
        <w:numPr>
          <w:ilvl w:val="0"/>
          <w:numId w:val="49"/>
        </w:numPr>
        <w:rPr>
          <w:rFonts w:ascii="Arial" w:cs="Arial" w:eastAsia="Arial" w:hAnsi="Arial"/>
          <w:sz w:val="15"/>
          <w:szCs w:val="15"/>
          <w:color w:val="auto"/>
        </w:rPr>
      </w:pPr>
      <w:r>
        <w:rPr>
          <w:rFonts w:ascii="Arial" w:cs="Arial" w:eastAsia="Arial" w:hAnsi="Arial"/>
          <w:sz w:val="15"/>
          <w:szCs w:val="15"/>
          <w:color w:val="auto"/>
        </w:rPr>
        <w:t>Board and director interactions with management;</w:t>
      </w:r>
    </w:p>
    <w:p>
      <w:pPr>
        <w:spacing w:after="0" w:line="121" w:lineRule="exact"/>
        <w:rPr>
          <w:rFonts w:ascii="Arial" w:cs="Arial" w:eastAsia="Arial" w:hAnsi="Arial"/>
          <w:sz w:val="15"/>
          <w:szCs w:val="15"/>
          <w:color w:val="auto"/>
        </w:rPr>
      </w:pPr>
    </w:p>
    <w:p>
      <w:pPr>
        <w:ind w:left="280" w:hanging="273"/>
        <w:spacing w:after="0"/>
        <w:tabs>
          <w:tab w:leader="none" w:pos="280" w:val="left"/>
        </w:tabs>
        <w:numPr>
          <w:ilvl w:val="0"/>
          <w:numId w:val="49"/>
        </w:numPr>
        <w:rPr>
          <w:rFonts w:ascii="Arial" w:cs="Arial" w:eastAsia="Arial" w:hAnsi="Arial"/>
          <w:sz w:val="15"/>
          <w:szCs w:val="15"/>
          <w:color w:val="auto"/>
        </w:rPr>
      </w:pPr>
      <w:r>
        <w:rPr>
          <w:rFonts w:ascii="Arial" w:cs="Arial" w:eastAsia="Arial" w:hAnsi="Arial"/>
          <w:sz w:val="15"/>
          <w:szCs w:val="15"/>
          <w:color w:val="auto"/>
        </w:rPr>
        <w:t>management’s assessment of the value the Board provides;</w:t>
      </w:r>
    </w:p>
    <w:p>
      <w:pPr>
        <w:spacing w:after="0" w:line="121" w:lineRule="exact"/>
        <w:rPr>
          <w:rFonts w:ascii="Arial" w:cs="Arial" w:eastAsia="Arial" w:hAnsi="Arial"/>
          <w:sz w:val="15"/>
          <w:szCs w:val="15"/>
          <w:color w:val="auto"/>
        </w:rPr>
      </w:pPr>
    </w:p>
    <w:p>
      <w:pPr>
        <w:ind w:left="280" w:hanging="273"/>
        <w:spacing w:after="0"/>
        <w:tabs>
          <w:tab w:leader="none" w:pos="280" w:val="left"/>
        </w:tabs>
        <w:numPr>
          <w:ilvl w:val="0"/>
          <w:numId w:val="49"/>
        </w:numPr>
        <w:rPr>
          <w:rFonts w:ascii="Arial" w:cs="Arial" w:eastAsia="Arial" w:hAnsi="Arial"/>
          <w:sz w:val="15"/>
          <w:szCs w:val="15"/>
          <w:color w:val="auto"/>
        </w:rPr>
      </w:pPr>
      <w:r>
        <w:rPr>
          <w:rFonts w:ascii="Arial" w:cs="Arial" w:eastAsia="Arial" w:hAnsi="Arial"/>
          <w:sz w:val="15"/>
          <w:szCs w:val="15"/>
          <w:color w:val="auto"/>
        </w:rPr>
        <w:t>the efficacy of the annual evaluation process; and</w:t>
      </w:r>
    </w:p>
    <w:p>
      <w:pPr>
        <w:spacing w:after="0" w:line="121" w:lineRule="exact"/>
        <w:rPr>
          <w:rFonts w:ascii="Arial" w:cs="Arial" w:eastAsia="Arial" w:hAnsi="Arial"/>
          <w:sz w:val="15"/>
          <w:szCs w:val="15"/>
          <w:color w:val="auto"/>
        </w:rPr>
      </w:pPr>
    </w:p>
    <w:p>
      <w:pPr>
        <w:ind w:left="280" w:right="640" w:hanging="273"/>
        <w:spacing w:after="0" w:line="287" w:lineRule="auto"/>
        <w:tabs>
          <w:tab w:leader="none" w:pos="280" w:val="left"/>
        </w:tabs>
        <w:numPr>
          <w:ilvl w:val="0"/>
          <w:numId w:val="49"/>
        </w:numPr>
        <w:rPr>
          <w:rFonts w:ascii="Arial" w:cs="Arial" w:eastAsia="Arial" w:hAnsi="Arial"/>
          <w:sz w:val="15"/>
          <w:szCs w:val="15"/>
          <w:color w:val="auto"/>
        </w:rPr>
      </w:pPr>
      <w:r>
        <w:rPr>
          <w:rFonts w:ascii="Arial" w:cs="Arial" w:eastAsia="Arial" w:hAnsi="Arial"/>
          <w:sz w:val="15"/>
          <w:szCs w:val="15"/>
          <w:color w:val="auto"/>
        </w:rPr>
        <w:t>the effectiveness of Board oversight, including attention to issues and opportunities that affect long-term stockholder value.</w:t>
      </w:r>
    </w:p>
    <w:p>
      <w:pPr>
        <w:spacing w:after="0" w:line="47" w:lineRule="exact"/>
        <w:rPr>
          <w:sz w:val="20"/>
          <w:szCs w:val="20"/>
          <w:color w:val="auto"/>
        </w:rPr>
      </w:pPr>
    </w:p>
    <w:p>
      <w:pPr>
        <w:ind w:right="540"/>
        <w:spacing w:after="0" w:line="287" w:lineRule="auto"/>
        <w:rPr>
          <w:sz w:val="20"/>
          <w:szCs w:val="20"/>
          <w:color w:val="auto"/>
        </w:rPr>
      </w:pPr>
      <w:r>
        <w:rPr>
          <w:rFonts w:ascii="Arial" w:cs="Arial" w:eastAsia="Arial" w:hAnsi="Arial"/>
          <w:sz w:val="15"/>
          <w:szCs w:val="15"/>
          <w:color w:val="auto"/>
        </w:rPr>
        <w:t>As part of the 2025 annual evaluation, directors and management had the opportunity to provide feedback on individual directors, in order to help improve performance and contributions to the Board.</w:t>
      </w:r>
    </w:p>
    <w:p>
      <w:pPr>
        <w:spacing w:after="0" w:line="2025" w:lineRule="exact"/>
        <w:rPr>
          <w:sz w:val="20"/>
          <w:szCs w:val="20"/>
          <w:color w:val="auto"/>
        </w:rPr>
      </w:pPr>
    </w:p>
    <w:p>
      <w:pPr>
        <w:sectPr>
          <w:pgSz w:w="11900" w:h="16838" w:orient="portrait"/>
          <w:cols w:equalWidth="0" w:num="2">
            <w:col w:w="2160" w:space="560"/>
            <w:col w:w="7940"/>
          </w:cols>
          <w:pgMar w:left="320" w:top="464" w:right="919" w:bottom="1440" w:gutter="0" w:footer="0" w:header="0"/>
        </w:sectPr>
      </w:pPr>
    </w:p>
    <w:p>
      <w:pPr>
        <w:spacing w:after="0" w:line="200" w:lineRule="exact"/>
        <w:rPr>
          <w:sz w:val="20"/>
          <w:szCs w:val="20"/>
          <w:color w:val="auto"/>
        </w:rPr>
      </w:pPr>
    </w:p>
    <w:p>
      <w:pPr>
        <w:spacing w:after="0" w:line="385" w:lineRule="exact"/>
        <w:rPr>
          <w:sz w:val="20"/>
          <w:szCs w:val="20"/>
          <w:color w:val="auto"/>
        </w:rPr>
      </w:pPr>
    </w:p>
    <w:p>
      <w:pPr>
        <w:ind w:left="420"/>
        <w:spacing w:after="0"/>
        <w:tabs>
          <w:tab w:leader="none" w:pos="2380" w:val="left"/>
          <w:tab w:leader="none" w:pos="2800" w:val="left"/>
        </w:tabs>
        <w:rPr>
          <w:sz w:val="20"/>
          <w:szCs w:val="20"/>
          <w:color w:val="auto"/>
        </w:rPr>
      </w:pPr>
      <w:r>
        <w:rPr>
          <w:rFonts w:ascii="Arial" w:cs="Arial" w:eastAsia="Arial" w:hAnsi="Arial"/>
          <w:sz w:val="30"/>
          <w:szCs w:val="30"/>
          <w:color w:val="000000"/>
          <w:vertAlign w:val="superscript"/>
        </w:rPr>
        <w:t xml:space="preserve">             </w:t>
      </w:r>
      <w:r>
        <w:rPr>
          <w:sz w:val="20"/>
          <w:szCs w:val="20"/>
          <w:color w:val="auto"/>
        </w:rPr>
        <w:tab/>
      </w:r>
      <w:r>
        <w:rPr>
          <w:rFonts w:ascii="Arial" w:cs="Arial" w:eastAsia="Arial" w:hAnsi="Arial"/>
          <w:sz w:val="31"/>
          <w:szCs w:val="31"/>
          <w:color w:val="auto"/>
          <w:vertAlign w:val="superscript"/>
        </w:rPr>
        <w:t xml:space="preserve">    </w:t>
      </w:r>
      <w:r>
        <w:rPr>
          <w:sz w:val="20"/>
          <w:szCs w:val="20"/>
          <w:color w:val="auto"/>
        </w:rPr>
        <w:tab/>
      </w:r>
      <w:r>
        <w:rPr>
          <w:rFonts w:ascii="Arial" w:cs="Arial" w:eastAsia="Arial" w:hAnsi="Arial"/>
          <w:sz w:val="15"/>
          <w:szCs w:val="15"/>
          <w:b w:val="1"/>
          <w:bCs w:val="1"/>
          <w:color w:val="002B5F"/>
        </w:rPr>
        <w:t xml:space="preserve">28  </w:t>
      </w:r>
      <w:r>
        <w:rPr>
          <w:rFonts w:ascii="Arial" w:cs="Arial" w:eastAsia="Arial" w:hAnsi="Arial"/>
          <w:sz w:val="20"/>
          <w:szCs w:val="20"/>
          <w:color w:val="002B5F"/>
        </w:rPr>
        <w:t>|</w:t>
      </w:r>
      <w:r>
        <w:rPr>
          <w:rFonts w:ascii="Arial" w:cs="Arial" w:eastAsia="Arial" w:hAnsi="Arial"/>
          <w:sz w:val="15"/>
          <w:szCs w:val="15"/>
          <w:b w:val="1"/>
          <w:bCs w:val="1"/>
          <w:color w:val="002B5F"/>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6111875</wp:posOffset>
            </wp:positionH>
            <wp:positionV relativeFrom="paragraph">
              <wp:posOffset>-208915</wp:posOffset>
            </wp:positionV>
            <wp:extent cx="769620" cy="971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69620" cy="97155"/>
                    </a:xfrm>
                    <a:prstGeom prst="rect">
                      <a:avLst/>
                    </a:prstGeom>
                    <a:noFill/>
                  </pic:spPr>
                </pic:pic>
              </a:graphicData>
            </a:graphic>
          </wp:anchor>
        </w:drawing>
      </w:r>
    </w:p>
    <w:p>
      <w:pPr>
        <w:sectPr>
          <w:pgSz w:w="11900" w:h="16838" w:orient="portrait"/>
          <w:cols w:equalWidth="0" w:num="1">
            <w:col w:w="10660"/>
          </w:cols>
          <w:pgMar w:left="320" w:top="464" w:right="919" w:bottom="1440" w:gutter="0" w:footer="0" w:header="0"/>
          <w:type w:val="continuous"/>
        </w:sectPr>
      </w:pPr>
    </w:p>
    <w:bookmarkStart w:id="36" w:name="page37"/>
    <w:bookmarkEnd w:id="3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5334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81215" cy="5334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5617845</wp:posOffset>
            </wp:positionH>
            <wp:positionV relativeFrom="paragraph">
              <wp:posOffset>253365</wp:posOffset>
            </wp:positionV>
            <wp:extent cx="1256030" cy="74720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256030" cy="7472045"/>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tbl>
      <w:tblPr>
        <w:tblLayout w:type="fixed"/>
        <w:tblInd w:w="540" w:type="dxa"/>
        <w:tblCellMar>
          <w:top w:w="0" w:type="dxa"/>
          <w:left w:w="0" w:type="dxa"/>
          <w:bottom w:w="0" w:type="dxa"/>
          <w:right w:w="0" w:type="dxa"/>
        </w:tblCellMar>
      </w:tblPr>
      <w:tr>
        <w:trPr>
          <w:trHeight w:val="179"/>
        </w:trPr>
        <w:tc>
          <w:tcPr>
            <w:tcW w:w="7700" w:type="dxa"/>
            <w:vAlign w:val="bottom"/>
          </w:tcPr>
          <w:p>
            <w:pPr>
              <w:spacing w:after="0"/>
              <w:rPr>
                <w:sz w:val="20"/>
                <w:szCs w:val="20"/>
                <w:color w:val="auto"/>
              </w:rPr>
            </w:pPr>
            <w:r>
              <w:rPr>
                <w:rFonts w:ascii="Arial" w:cs="Arial" w:eastAsia="Arial" w:hAnsi="Arial"/>
                <w:sz w:val="15"/>
                <w:szCs w:val="15"/>
                <w:color w:val="auto"/>
              </w:rPr>
              <w:t>Our Board discussed the results of the 2025 annual evaluation in a closed session led by the chair of the</w:t>
            </w:r>
          </w:p>
        </w:tc>
        <w:tc>
          <w:tcPr>
            <w:tcW w:w="8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7700" w:type="dxa"/>
            <w:vAlign w:val="bottom"/>
          </w:tcPr>
          <w:p>
            <w:pPr>
              <w:spacing w:after="0"/>
              <w:rPr>
                <w:sz w:val="20"/>
                <w:szCs w:val="20"/>
                <w:color w:val="auto"/>
              </w:rPr>
            </w:pPr>
            <w:r>
              <w:rPr>
                <w:rFonts w:ascii="Arial" w:cs="Arial" w:eastAsia="Arial" w:hAnsi="Arial"/>
                <w:sz w:val="15"/>
                <w:szCs w:val="15"/>
                <w:color w:val="auto"/>
              </w:rPr>
              <w:t>Nominating and Governance Committee.</w:t>
            </w:r>
          </w:p>
        </w:tc>
        <w:tc>
          <w:tcPr>
            <w:tcW w:w="840" w:type="dxa"/>
            <w:vAlign w:val="bottom"/>
            <w:vMerge w:val="restart"/>
          </w:tcPr>
          <w:p>
            <w:pPr>
              <w:ind w:left="640"/>
              <w:spacing w:after="0"/>
              <w:rPr>
                <w:sz w:val="20"/>
                <w:szCs w:val="20"/>
                <w:color w:val="auto"/>
              </w:rPr>
            </w:pPr>
            <w:r>
              <w:rPr>
                <w:rFonts w:ascii="Arial" w:cs="Arial" w:eastAsia="Arial" w:hAnsi="Arial"/>
                <w:sz w:val="15"/>
                <w:szCs w:val="15"/>
                <w:color w:val="auto"/>
              </w:rPr>
              <w:t> </w:t>
            </w:r>
          </w:p>
        </w:tc>
        <w:tc>
          <w:tcPr>
            <w:tcW w:w="1060" w:type="dxa"/>
            <w:vAlign w:val="bottom"/>
            <w:vMerge w:val="restart"/>
          </w:tcPr>
          <w:p>
            <w:pPr>
              <w:ind w:left="140"/>
              <w:spacing w:after="0"/>
              <w:rPr>
                <w:sz w:val="20"/>
                <w:szCs w:val="20"/>
                <w:color w:val="auto"/>
              </w:rPr>
            </w:pPr>
            <w:r>
              <w:rPr>
                <w:rFonts w:ascii="Arial" w:cs="Arial" w:eastAsia="Arial" w:hAnsi="Arial"/>
                <w:sz w:val="12"/>
                <w:szCs w:val="12"/>
                <w:color w:val="FFFFFF"/>
              </w:rPr>
              <w:t>General</w:t>
            </w:r>
          </w:p>
        </w:tc>
        <w:tc>
          <w:tcPr>
            <w:tcW w:w="660" w:type="dxa"/>
            <w:vAlign w:val="bottom"/>
            <w:vMerge w:val="restart"/>
          </w:tcPr>
          <w:p>
            <w:pPr>
              <w:ind w:left="300"/>
              <w:spacing w:after="0"/>
              <w:rPr>
                <w:sz w:val="20"/>
                <w:szCs w:val="20"/>
                <w:color w:val="auto"/>
              </w:rPr>
            </w:pPr>
            <w:r>
              <w:rPr>
                <w:rFonts w:ascii="Arial" w:cs="Arial" w:eastAsia="Arial" w:hAnsi="Arial"/>
                <w:sz w:val="15"/>
                <w:szCs w:val="15"/>
                <w:color w:val="auto"/>
              </w:rPr>
              <w:t xml:space="preserve">       </w:t>
            </w:r>
          </w:p>
        </w:tc>
        <w:tc>
          <w:tcPr>
            <w:tcW w:w="0" w:type="dxa"/>
            <w:vAlign w:val="bottom"/>
          </w:tcPr>
          <w:p>
            <w:pPr>
              <w:spacing w:after="0"/>
              <w:rPr>
                <w:sz w:val="1"/>
                <w:szCs w:val="1"/>
                <w:color w:val="auto"/>
              </w:rPr>
            </w:pPr>
          </w:p>
        </w:tc>
      </w:tr>
      <w:tr>
        <w:trPr>
          <w:trHeight w:val="29"/>
        </w:trPr>
        <w:tc>
          <w:tcPr>
            <w:tcW w:w="7700" w:type="dxa"/>
            <w:vAlign w:val="bottom"/>
          </w:tcPr>
          <w:p>
            <w:pPr>
              <w:spacing w:after="0"/>
              <w:rPr>
                <w:sz w:val="2"/>
                <w:szCs w:val="2"/>
                <w:color w:val="auto"/>
              </w:rPr>
            </w:pPr>
          </w:p>
        </w:tc>
        <w:tc>
          <w:tcPr>
            <w:tcW w:w="840" w:type="dxa"/>
            <w:vAlign w:val="bottom"/>
            <w:vMerge w:val="continue"/>
          </w:tcPr>
          <w:p>
            <w:pPr>
              <w:spacing w:after="0"/>
              <w:rPr>
                <w:sz w:val="2"/>
                <w:szCs w:val="2"/>
                <w:color w:val="auto"/>
              </w:rPr>
            </w:pPr>
          </w:p>
        </w:tc>
        <w:tc>
          <w:tcPr>
            <w:tcW w:w="1060" w:type="dxa"/>
            <w:vAlign w:val="bottom"/>
            <w:vMerge w:val="continue"/>
          </w:tcPr>
          <w:p>
            <w:pPr>
              <w:spacing w:after="0"/>
              <w:rPr>
                <w:sz w:val="2"/>
                <w:szCs w:val="2"/>
                <w:color w:val="auto"/>
              </w:rPr>
            </w:pPr>
          </w:p>
        </w:tc>
        <w:tc>
          <w:tcPr>
            <w:tcW w:w="6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8"/>
        </w:trPr>
        <w:tc>
          <w:tcPr>
            <w:tcW w:w="77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60" w:type="dxa"/>
            <w:vAlign w:val="bottom"/>
          </w:tcPr>
          <w:p>
            <w:pPr>
              <w:ind w:left="140"/>
              <w:spacing w:after="0"/>
              <w:rPr>
                <w:sz w:val="20"/>
                <w:szCs w:val="20"/>
                <w:color w:val="auto"/>
              </w:rPr>
            </w:pPr>
            <w:r>
              <w:rPr>
                <w:rFonts w:ascii="Arial" w:cs="Arial" w:eastAsia="Arial" w:hAnsi="Arial"/>
                <w:sz w:val="12"/>
                <w:szCs w:val="12"/>
                <w:color w:val="FFFFFF"/>
              </w:rPr>
              <w:t>Information</w:t>
            </w: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0800"/>
          </w:cols>
          <w:pgMar w:left="320" w:top="464" w:right="779" w:bottom="1440" w:gutter="0" w:footer="0" w:header="0"/>
        </w:sectPr>
      </w:pPr>
    </w:p>
    <w:p>
      <w:pPr>
        <w:ind w:left="540"/>
        <w:spacing w:after="0"/>
        <w:rPr>
          <w:sz w:val="20"/>
          <w:szCs w:val="20"/>
          <w:color w:val="auto"/>
        </w:rPr>
      </w:pPr>
      <w:r>
        <w:rPr>
          <w:rFonts w:ascii="Arial" w:cs="Arial" w:eastAsia="Arial" w:hAnsi="Arial"/>
          <w:sz w:val="24"/>
          <w:szCs w:val="24"/>
          <w:color w:val="B95827"/>
        </w:rPr>
        <w:t>Board Committees</w:t>
      </w:r>
    </w:p>
    <w:p>
      <w:pPr>
        <w:spacing w:after="0" w:line="103" w:lineRule="exact"/>
        <w:rPr>
          <w:sz w:val="20"/>
          <w:szCs w:val="20"/>
          <w:color w:val="auto"/>
        </w:rPr>
      </w:pPr>
    </w:p>
    <w:p>
      <w:pPr>
        <w:ind w:left="540" w:right="220"/>
        <w:spacing w:after="0" w:line="256" w:lineRule="auto"/>
        <w:rPr>
          <w:sz w:val="20"/>
          <w:szCs w:val="20"/>
          <w:color w:val="auto"/>
        </w:rPr>
      </w:pPr>
      <w:r>
        <w:rPr>
          <w:rFonts w:ascii="Arial" w:cs="Arial" w:eastAsia="Arial" w:hAnsi="Arial"/>
          <w:sz w:val="15"/>
          <w:szCs w:val="15"/>
          <w:color w:val="auto"/>
        </w:rPr>
        <w:t>The Board of Directors has established three standing committees: the Audit and Risk Committee, the Nominating and Governance Committee, and the Compensation Committee, each with the composition and responsibilities described below. The members of each committee were appointed by the Board of Directors and will serve until their successors are elected and qualified, unless they are removed earlier or resign. In addition, from time to time, special committees may be established under the direction of the Board of Directors when necessary to address specific issues. Each of the standing committees of our Board is composed solely of independent directors.</w:t>
      </w:r>
    </w:p>
    <w:p>
      <w:pPr>
        <w:spacing w:after="0" w:line="70" w:lineRule="exact"/>
        <w:rPr>
          <w:sz w:val="20"/>
          <w:szCs w:val="20"/>
          <w:color w:val="auto"/>
        </w:rPr>
      </w:pPr>
    </w:p>
    <w:p>
      <w:pPr>
        <w:ind w:left="540"/>
        <w:spacing w:after="0"/>
        <w:rPr>
          <w:sz w:val="20"/>
          <w:szCs w:val="20"/>
          <w:color w:val="auto"/>
        </w:rPr>
      </w:pPr>
      <w:r>
        <w:rPr>
          <w:rFonts w:ascii="Arial" w:cs="Arial" w:eastAsia="Arial" w:hAnsi="Arial"/>
          <w:sz w:val="15"/>
          <w:szCs w:val="15"/>
          <w:color w:val="auto"/>
        </w:rPr>
        <w:t>The table below reflects the composition of the Board’s three standing committees as of [</w:t>
      </w:r>
      <w:r>
        <w:rPr>
          <w:rFonts w:ascii="Times New Roman" w:cs="Times New Roman" w:eastAsia="Times New Roman" w:hAnsi="Times New Roman"/>
          <w:sz w:val="15"/>
          <w:szCs w:val="15"/>
          <w:color w:val="auto"/>
        </w:rPr>
        <w:t>●</w:t>
      </w:r>
      <w:r>
        <w:rPr>
          <w:rFonts w:ascii="Arial" w:cs="Arial" w:eastAsia="Arial" w:hAnsi="Arial"/>
          <w:sz w:val="15"/>
          <w:szCs w:val="15"/>
          <w:color w:val="auto"/>
        </w:rPr>
        <w:t>], 2026:</w:t>
      </w:r>
    </w:p>
    <w:p>
      <w:pPr>
        <w:spacing w:after="0" w:line="20" w:lineRule="exact"/>
        <w:rPr>
          <w:sz w:val="20"/>
          <w:szCs w:val="20"/>
          <w:color w:val="auto"/>
        </w:rPr>
      </w:pPr>
      <w:r>
        <w:rPr>
          <w:sz w:val="20"/>
          <w:szCs w:val="20"/>
          <w:color w:val="auto"/>
        </w:rPr>
        <w:br w:type="column"/>
      </w:r>
    </w:p>
    <w:p>
      <w:pPr>
        <w:spacing w:after="0" w:line="84" w:lineRule="exact"/>
        <w:rPr>
          <w:sz w:val="20"/>
          <w:szCs w:val="20"/>
          <w:color w:val="auto"/>
        </w:rPr>
      </w:pPr>
    </w:p>
    <w:p>
      <w:pPr>
        <w:spacing w:after="0"/>
        <w:rPr>
          <w:sz w:val="20"/>
          <w:szCs w:val="20"/>
          <w:color w:val="auto"/>
        </w:rPr>
      </w:pPr>
      <w:r>
        <w:rPr>
          <w:rFonts w:ascii="Arial" w:cs="Arial" w:eastAsia="Arial" w:hAnsi="Arial"/>
          <w:sz w:val="11"/>
          <w:szCs w:val="11"/>
          <w:color w:val="FFFFFF"/>
        </w:rPr>
        <w:t>General Information</w:t>
      </w:r>
    </w:p>
    <w:p>
      <w:pPr>
        <w:spacing w:after="0" w:line="3" w:lineRule="exact"/>
        <w:rPr>
          <w:sz w:val="20"/>
          <w:szCs w:val="20"/>
          <w:color w:val="auto"/>
        </w:rPr>
      </w:pPr>
    </w:p>
    <w:p>
      <w:pPr>
        <w:spacing w:after="0"/>
        <w:rPr>
          <w:sz w:val="20"/>
          <w:szCs w:val="20"/>
          <w:color w:val="auto"/>
        </w:rPr>
      </w:pPr>
      <w:r>
        <w:rPr>
          <w:rFonts w:ascii="Arial" w:cs="Arial" w:eastAsia="Arial" w:hAnsi="Arial"/>
          <w:sz w:val="12"/>
          <w:szCs w:val="12"/>
          <w:color w:val="FFFFFF"/>
        </w:rPr>
        <w:t>About Corporate</w:t>
      </w:r>
    </w:p>
    <w:p>
      <w:pPr>
        <w:spacing w:after="0" w:line="221" w:lineRule="auto"/>
        <w:rPr>
          <w:sz w:val="20"/>
          <w:szCs w:val="20"/>
          <w:color w:val="auto"/>
        </w:rPr>
      </w:pPr>
      <w:r>
        <w:rPr>
          <w:rFonts w:ascii="Arial" w:cs="Arial" w:eastAsia="Arial" w:hAnsi="Arial"/>
          <w:sz w:val="12"/>
          <w:szCs w:val="12"/>
          <w:color w:val="FFFFFF"/>
        </w:rPr>
        <w:t>Governance</w:t>
      </w:r>
    </w:p>
    <w:p>
      <w:pPr>
        <w:spacing w:after="0" w:line="222" w:lineRule="auto"/>
        <w:rPr>
          <w:sz w:val="20"/>
          <w:szCs w:val="20"/>
          <w:color w:val="auto"/>
        </w:rPr>
      </w:pPr>
      <w:r>
        <w:rPr>
          <w:rFonts w:ascii="Arial" w:cs="Arial" w:eastAsia="Arial" w:hAnsi="Arial"/>
          <w:sz w:val="12"/>
          <w:szCs w:val="12"/>
          <w:color w:val="FFFFFF"/>
        </w:rPr>
        <w:t>and the Board of</w:t>
      </w:r>
    </w:p>
    <w:p>
      <w:pPr>
        <w:spacing w:after="0" w:line="1" w:lineRule="exact"/>
        <w:rPr>
          <w:sz w:val="20"/>
          <w:szCs w:val="20"/>
          <w:color w:val="auto"/>
        </w:rPr>
      </w:pPr>
    </w:p>
    <w:p>
      <w:pPr>
        <w:spacing w:after="0"/>
        <w:rPr>
          <w:sz w:val="20"/>
          <w:szCs w:val="20"/>
          <w:color w:val="auto"/>
        </w:rPr>
      </w:pPr>
      <w:r>
        <w:rPr>
          <w:rFonts w:ascii="Arial" w:cs="Arial" w:eastAsia="Arial" w:hAnsi="Arial"/>
          <w:sz w:val="12"/>
          <w:szCs w:val="12"/>
          <w:color w:val="FFFFFF"/>
        </w:rPr>
        <w:t>Directors</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Proposal 1</w:t>
      </w:r>
    </w:p>
    <w:p>
      <w:pPr>
        <w:spacing w:after="0" w:line="156" w:lineRule="exact"/>
        <w:rPr>
          <w:sz w:val="20"/>
          <w:szCs w:val="20"/>
          <w:color w:val="auto"/>
        </w:rPr>
      </w:pPr>
    </w:p>
    <w:p>
      <w:pPr>
        <w:ind w:right="600"/>
        <w:spacing w:after="0" w:line="237" w:lineRule="auto"/>
        <w:rPr>
          <w:sz w:val="20"/>
          <w:szCs w:val="20"/>
          <w:color w:val="auto"/>
        </w:rPr>
      </w:pPr>
      <w:r>
        <w:rPr>
          <w:rFonts w:ascii="Arial" w:cs="Arial" w:eastAsia="Arial" w:hAnsi="Arial"/>
          <w:sz w:val="12"/>
          <w:szCs w:val="12"/>
          <w:b w:val="1"/>
          <w:bCs w:val="1"/>
          <w:color w:val="FFFFFF"/>
        </w:rPr>
        <w:t>Information Regarding Board and Committee Structure</w:t>
      </w:r>
    </w:p>
    <w:p>
      <w:pPr>
        <w:spacing w:after="0" w:line="131" w:lineRule="exact"/>
        <w:rPr>
          <w:sz w:val="20"/>
          <w:szCs w:val="20"/>
          <w:color w:val="auto"/>
        </w:rPr>
      </w:pPr>
    </w:p>
    <w:p>
      <w:pPr>
        <w:sectPr>
          <w:pgSz w:w="11900" w:h="16838" w:orient="portrait"/>
          <w:cols w:equalWidth="0" w:num="2">
            <w:col w:w="8500" w:space="720"/>
            <w:col w:w="1580"/>
          </w:cols>
          <w:pgMar w:left="320" w:top="464" w:right="779" w:bottom="1440" w:gutter="0" w:footer="0" w:header="0"/>
          <w:type w:val="continuous"/>
        </w:sectPr>
      </w:pPr>
    </w:p>
    <w:p>
      <w:pPr>
        <w:spacing w:after="0" w:line="90" w:lineRule="exact"/>
        <w:rPr>
          <w:sz w:val="20"/>
          <w:szCs w:val="20"/>
          <w:color w:val="auto"/>
        </w:rPr>
      </w:pPr>
    </w:p>
    <w:tbl>
      <w:tblPr>
        <w:tblLayout w:type="fixed"/>
        <w:tblInd w:w="540" w:type="dxa"/>
        <w:tblCellMar>
          <w:top w:w="0" w:type="dxa"/>
          <w:left w:w="0" w:type="dxa"/>
          <w:bottom w:w="0" w:type="dxa"/>
          <w:right w:w="0" w:type="dxa"/>
        </w:tblCellMar>
      </w:tblPr>
      <w:tr>
        <w:trPr>
          <w:trHeight w:val="161"/>
        </w:trPr>
        <w:tc>
          <w:tcPr>
            <w:tcW w:w="18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200" w:type="dxa"/>
            <w:vAlign w:val="bottom"/>
          </w:tcPr>
          <w:p>
            <w:pPr>
              <w:jc w:val="center"/>
              <w:spacing w:after="0"/>
              <w:rPr>
                <w:sz w:val="20"/>
                <w:szCs w:val="20"/>
                <w:color w:val="auto"/>
              </w:rPr>
            </w:pPr>
            <w:r>
              <w:rPr>
                <w:rFonts w:ascii="Arial" w:cs="Arial" w:eastAsia="Arial" w:hAnsi="Arial"/>
                <w:sz w:val="14"/>
                <w:szCs w:val="14"/>
                <w:b w:val="1"/>
                <w:bCs w:val="1"/>
                <w:color w:val="002B5F"/>
                <w:w w:val="97"/>
              </w:rPr>
              <w:t>Nominating and Governance</w:t>
            </w:r>
          </w:p>
        </w:tc>
        <w:tc>
          <w:tcPr>
            <w:tcW w:w="1180" w:type="dxa"/>
            <w:vAlign w:val="bottom"/>
          </w:tcPr>
          <w:p>
            <w:pPr>
              <w:jc w:val="center"/>
              <w:ind w:left="6"/>
              <w:spacing w:after="0"/>
              <w:rPr>
                <w:sz w:val="20"/>
                <w:szCs w:val="20"/>
                <w:color w:val="auto"/>
              </w:rPr>
            </w:pPr>
            <w:r>
              <w:rPr>
                <w:rFonts w:ascii="Arial" w:cs="Arial" w:eastAsia="Arial" w:hAnsi="Arial"/>
                <w:sz w:val="14"/>
                <w:szCs w:val="14"/>
                <w:b w:val="1"/>
                <w:bCs w:val="1"/>
                <w:color w:val="002B5F"/>
                <w:w w:val="96"/>
              </w:rPr>
              <w:t>Compensation</w:t>
            </w:r>
          </w:p>
        </w:tc>
      </w:tr>
      <w:tr>
        <w:trPr>
          <w:trHeight w:val="206"/>
        </w:trPr>
        <w:tc>
          <w:tcPr>
            <w:tcW w:w="1840" w:type="dxa"/>
            <w:vAlign w:val="bottom"/>
            <w:tcBorders>
              <w:bottom w:val="single" w:sz="8" w:color="002B5F"/>
            </w:tcBorders>
          </w:tcPr>
          <w:p>
            <w:pPr>
              <w:spacing w:after="0"/>
              <w:rPr>
                <w:sz w:val="17"/>
                <w:szCs w:val="17"/>
                <w:color w:val="auto"/>
              </w:rPr>
            </w:pPr>
          </w:p>
        </w:tc>
        <w:tc>
          <w:tcPr>
            <w:tcW w:w="2660" w:type="dxa"/>
            <w:vAlign w:val="bottom"/>
            <w:tcBorders>
              <w:bottom w:val="single" w:sz="8" w:color="002B5F"/>
            </w:tcBorders>
            <w:gridSpan w:val="2"/>
          </w:tcPr>
          <w:p>
            <w:pPr>
              <w:jc w:val="center"/>
              <w:ind w:left="648"/>
              <w:spacing w:after="0"/>
              <w:rPr>
                <w:sz w:val="20"/>
                <w:szCs w:val="20"/>
                <w:color w:val="auto"/>
              </w:rPr>
            </w:pPr>
            <w:r>
              <w:rPr>
                <w:rFonts w:ascii="Arial" w:cs="Arial" w:eastAsia="Arial" w:hAnsi="Arial"/>
                <w:sz w:val="14"/>
                <w:szCs w:val="14"/>
                <w:b w:val="1"/>
                <w:bCs w:val="1"/>
                <w:color w:val="002B5F"/>
                <w:w w:val="97"/>
              </w:rPr>
              <w:t>Audit and Risk Committee</w:t>
            </w:r>
          </w:p>
        </w:tc>
        <w:tc>
          <w:tcPr>
            <w:tcW w:w="2200" w:type="dxa"/>
            <w:vAlign w:val="bottom"/>
            <w:tcBorders>
              <w:bottom w:val="single" w:sz="8" w:color="002B5F"/>
            </w:tcBorders>
          </w:tcPr>
          <w:p>
            <w:pPr>
              <w:jc w:val="center"/>
              <w:spacing w:after="0"/>
              <w:rPr>
                <w:sz w:val="20"/>
                <w:szCs w:val="20"/>
                <w:color w:val="auto"/>
              </w:rPr>
            </w:pPr>
            <w:r>
              <w:rPr>
                <w:rFonts w:ascii="Arial" w:cs="Arial" w:eastAsia="Arial" w:hAnsi="Arial"/>
                <w:sz w:val="14"/>
                <w:szCs w:val="14"/>
                <w:b w:val="1"/>
                <w:bCs w:val="1"/>
                <w:color w:val="002B5F"/>
                <w:w w:val="96"/>
              </w:rPr>
              <w:t>Committee</w:t>
            </w:r>
          </w:p>
        </w:tc>
        <w:tc>
          <w:tcPr>
            <w:tcW w:w="1180" w:type="dxa"/>
            <w:vAlign w:val="bottom"/>
            <w:tcBorders>
              <w:bottom w:val="single" w:sz="8" w:color="002B5F"/>
            </w:tcBorders>
          </w:tcPr>
          <w:p>
            <w:pPr>
              <w:jc w:val="center"/>
              <w:ind w:left="6"/>
              <w:spacing w:after="0"/>
              <w:rPr>
                <w:sz w:val="20"/>
                <w:szCs w:val="20"/>
                <w:color w:val="auto"/>
              </w:rPr>
            </w:pPr>
            <w:r>
              <w:rPr>
                <w:rFonts w:ascii="Arial" w:cs="Arial" w:eastAsia="Arial" w:hAnsi="Arial"/>
                <w:sz w:val="14"/>
                <w:szCs w:val="14"/>
                <w:b w:val="1"/>
                <w:bCs w:val="1"/>
                <w:color w:val="002B5F"/>
                <w:w w:val="96"/>
              </w:rPr>
              <w:t>Committee</w:t>
            </w:r>
          </w:p>
        </w:tc>
      </w:tr>
      <w:tr>
        <w:trPr>
          <w:trHeight w:val="286"/>
        </w:trPr>
        <w:tc>
          <w:tcPr>
            <w:tcW w:w="1840" w:type="dxa"/>
            <w:vAlign w:val="bottom"/>
            <w:tcBorders>
              <w:bottom w:val="single" w:sz="8" w:color="F7F1EC"/>
            </w:tcBorders>
            <w:shd w:val="clear" w:color="auto" w:fill="F7F1EC"/>
          </w:tcPr>
          <w:p>
            <w:pPr>
              <w:ind w:left="60"/>
              <w:spacing w:after="0"/>
              <w:rPr>
                <w:sz w:val="20"/>
                <w:szCs w:val="20"/>
                <w:color w:val="auto"/>
              </w:rPr>
            </w:pPr>
            <w:r>
              <w:rPr>
                <w:rFonts w:ascii="Arial" w:cs="Arial" w:eastAsia="Arial" w:hAnsi="Arial"/>
                <w:sz w:val="15"/>
                <w:szCs w:val="15"/>
                <w:color w:val="auto"/>
              </w:rPr>
              <w:t>Edward Bernard</w:t>
            </w:r>
          </w:p>
        </w:tc>
        <w:tc>
          <w:tcPr>
            <w:tcW w:w="1320" w:type="dxa"/>
            <w:vAlign w:val="bottom"/>
            <w:tcBorders>
              <w:bottom w:val="single" w:sz="8" w:color="F7F1EC"/>
            </w:tcBorders>
            <w:shd w:val="clear" w:color="auto" w:fill="F7F1EC"/>
          </w:tcPr>
          <w:p>
            <w:pPr>
              <w:spacing w:after="0"/>
              <w:rPr>
                <w:sz w:val="24"/>
                <w:szCs w:val="24"/>
                <w:color w:val="auto"/>
              </w:rPr>
            </w:pPr>
          </w:p>
        </w:tc>
        <w:tc>
          <w:tcPr>
            <w:tcW w:w="1340" w:type="dxa"/>
            <w:vAlign w:val="bottom"/>
            <w:tcBorders>
              <w:bottom w:val="single" w:sz="8" w:color="F7F1EC"/>
            </w:tcBorders>
            <w:shd w:val="clear" w:color="auto" w:fill="F7F1EC"/>
          </w:tcPr>
          <w:p>
            <w:pPr>
              <w:jc w:val="center"/>
              <w:ind w:right="507"/>
              <w:spacing w:after="0" w:line="151" w:lineRule="exact"/>
              <w:rPr>
                <w:sz w:val="20"/>
                <w:szCs w:val="20"/>
                <w:color w:val="auto"/>
              </w:rPr>
            </w:pPr>
            <w:r>
              <w:rPr>
                <w:rFonts w:ascii="MS PGothic" w:cs="MS PGothic" w:eastAsia="MS PGothic" w:hAnsi="MS PGothic"/>
                <w:sz w:val="15"/>
                <w:szCs w:val="15"/>
                <w:color w:val="auto"/>
                <w:w w:val="79"/>
              </w:rPr>
              <w:t>✓</w:t>
            </w:r>
          </w:p>
        </w:tc>
        <w:tc>
          <w:tcPr>
            <w:tcW w:w="2200" w:type="dxa"/>
            <w:vAlign w:val="bottom"/>
            <w:tcBorders>
              <w:bottom w:val="single" w:sz="8" w:color="F7F1EC"/>
            </w:tcBorders>
            <w:shd w:val="clear" w:color="auto" w:fill="F7F1EC"/>
          </w:tcPr>
          <w:p>
            <w:pPr>
              <w:spacing w:after="0"/>
              <w:rPr>
                <w:sz w:val="24"/>
                <w:szCs w:val="24"/>
                <w:color w:val="auto"/>
              </w:rPr>
            </w:pPr>
          </w:p>
        </w:tc>
        <w:tc>
          <w:tcPr>
            <w:tcW w:w="1180" w:type="dxa"/>
            <w:vAlign w:val="bottom"/>
            <w:tcBorders>
              <w:bottom w:val="single" w:sz="8" w:color="F7F1EC"/>
            </w:tcBorders>
            <w:shd w:val="clear" w:color="auto" w:fill="F7F1EC"/>
          </w:tcPr>
          <w:p>
            <w:pPr>
              <w:jc w:val="center"/>
              <w:ind w:left="6"/>
              <w:spacing w:after="0" w:line="151" w:lineRule="exact"/>
              <w:rPr>
                <w:sz w:val="20"/>
                <w:szCs w:val="20"/>
                <w:color w:val="auto"/>
              </w:rPr>
            </w:pPr>
            <w:r>
              <w:rPr>
                <w:rFonts w:ascii="MS PGothic" w:cs="MS PGothic" w:eastAsia="MS PGothic" w:hAnsi="MS PGothic"/>
                <w:sz w:val="15"/>
                <w:szCs w:val="15"/>
                <w:color w:val="auto"/>
                <w:w w:val="93"/>
              </w:rPr>
              <w:t>✓</w:t>
            </w:r>
          </w:p>
        </w:tc>
      </w:tr>
      <w:tr>
        <w:trPr>
          <w:trHeight w:val="287"/>
        </w:trPr>
        <w:tc>
          <w:tcPr>
            <w:tcW w:w="1840" w:type="dxa"/>
            <w:vAlign w:val="bottom"/>
          </w:tcPr>
          <w:p>
            <w:pPr>
              <w:ind w:left="60"/>
              <w:spacing w:after="0"/>
              <w:rPr>
                <w:sz w:val="20"/>
                <w:szCs w:val="20"/>
                <w:color w:val="auto"/>
              </w:rPr>
            </w:pPr>
            <w:r>
              <w:rPr>
                <w:rFonts w:ascii="Arial" w:cs="Arial" w:eastAsia="Arial" w:hAnsi="Arial"/>
                <w:sz w:val="15"/>
                <w:szCs w:val="15"/>
                <w:color w:val="auto"/>
              </w:rPr>
              <w:t>H. Paulett Eberhart</w:t>
            </w:r>
          </w:p>
        </w:tc>
        <w:tc>
          <w:tcPr>
            <w:tcW w:w="1320" w:type="dxa"/>
            <w:vAlign w:val="bottom"/>
          </w:tcPr>
          <w:p>
            <w:pPr>
              <w:spacing w:after="0"/>
              <w:rPr>
                <w:sz w:val="24"/>
                <w:szCs w:val="24"/>
                <w:color w:val="auto"/>
              </w:rPr>
            </w:pPr>
          </w:p>
        </w:tc>
        <w:tc>
          <w:tcPr>
            <w:tcW w:w="1340" w:type="dxa"/>
            <w:vAlign w:val="bottom"/>
          </w:tcPr>
          <w:p>
            <w:pPr>
              <w:jc w:val="center"/>
              <w:ind w:right="507"/>
              <w:spacing w:after="0" w:line="151" w:lineRule="exact"/>
              <w:rPr>
                <w:sz w:val="20"/>
                <w:szCs w:val="20"/>
                <w:color w:val="auto"/>
              </w:rPr>
            </w:pPr>
            <w:r>
              <w:rPr>
                <w:rFonts w:ascii="MS PGothic" w:cs="MS PGothic" w:eastAsia="MS PGothic" w:hAnsi="MS PGothic"/>
                <w:sz w:val="15"/>
                <w:szCs w:val="15"/>
                <w:color w:val="auto"/>
                <w:w w:val="79"/>
              </w:rPr>
              <w:t>◆</w:t>
            </w:r>
          </w:p>
        </w:tc>
        <w:tc>
          <w:tcPr>
            <w:tcW w:w="2200" w:type="dxa"/>
            <w:vAlign w:val="bottom"/>
          </w:tcPr>
          <w:p>
            <w:pPr>
              <w:spacing w:after="0"/>
              <w:rPr>
                <w:sz w:val="24"/>
                <w:szCs w:val="24"/>
                <w:color w:val="auto"/>
              </w:rPr>
            </w:pPr>
          </w:p>
        </w:tc>
        <w:tc>
          <w:tcPr>
            <w:tcW w:w="1180" w:type="dxa"/>
            <w:vAlign w:val="bottom"/>
          </w:tcPr>
          <w:p>
            <w:pPr>
              <w:jc w:val="center"/>
              <w:ind w:left="6"/>
              <w:spacing w:after="0" w:line="151" w:lineRule="exact"/>
              <w:rPr>
                <w:sz w:val="20"/>
                <w:szCs w:val="20"/>
                <w:color w:val="auto"/>
              </w:rPr>
            </w:pPr>
            <w:r>
              <w:rPr>
                <w:rFonts w:ascii="MS PGothic" w:cs="MS PGothic" w:eastAsia="MS PGothic" w:hAnsi="MS PGothic"/>
                <w:sz w:val="15"/>
                <w:szCs w:val="15"/>
                <w:color w:val="auto"/>
                <w:w w:val="93"/>
              </w:rPr>
              <w:t>✓</w:t>
            </w:r>
          </w:p>
        </w:tc>
      </w:tr>
      <w:tr>
        <w:trPr>
          <w:trHeight w:val="32"/>
        </w:trPr>
        <w:tc>
          <w:tcPr>
            <w:tcW w:w="18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99"/>
        </w:trPr>
        <w:tc>
          <w:tcPr>
            <w:tcW w:w="1840" w:type="dxa"/>
            <w:vAlign w:val="bottom"/>
            <w:tcBorders>
              <w:bottom w:val="single" w:sz="8" w:color="F7F1EC"/>
            </w:tcBorders>
            <w:shd w:val="clear" w:color="auto" w:fill="F7F1EC"/>
          </w:tcPr>
          <w:p>
            <w:pPr>
              <w:ind w:left="60"/>
              <w:spacing w:after="0"/>
              <w:rPr>
                <w:sz w:val="20"/>
                <w:szCs w:val="20"/>
                <w:color w:val="auto"/>
              </w:rPr>
            </w:pPr>
            <w:r>
              <w:rPr>
                <w:rFonts w:ascii="Arial" w:cs="Arial" w:eastAsia="Arial" w:hAnsi="Arial"/>
                <w:sz w:val="15"/>
                <w:szCs w:val="15"/>
                <w:color w:val="auto"/>
              </w:rPr>
              <w:t>William F. Glavin, Jr.</w:t>
            </w:r>
          </w:p>
        </w:tc>
        <w:tc>
          <w:tcPr>
            <w:tcW w:w="1320" w:type="dxa"/>
            <w:vAlign w:val="bottom"/>
            <w:tcBorders>
              <w:bottom w:val="single" w:sz="8" w:color="F7F1EC"/>
            </w:tcBorders>
            <w:shd w:val="clear" w:color="auto" w:fill="F7F1EC"/>
          </w:tcPr>
          <w:p>
            <w:pPr>
              <w:spacing w:after="0"/>
              <w:rPr>
                <w:sz w:val="24"/>
                <w:szCs w:val="24"/>
                <w:color w:val="auto"/>
              </w:rPr>
            </w:pPr>
          </w:p>
        </w:tc>
        <w:tc>
          <w:tcPr>
            <w:tcW w:w="1340" w:type="dxa"/>
            <w:vAlign w:val="bottom"/>
            <w:tcBorders>
              <w:bottom w:val="single" w:sz="8" w:color="F7F1EC"/>
            </w:tcBorders>
            <w:shd w:val="clear" w:color="auto" w:fill="F7F1EC"/>
          </w:tcPr>
          <w:p>
            <w:pPr>
              <w:spacing w:after="0"/>
              <w:rPr>
                <w:sz w:val="24"/>
                <w:szCs w:val="24"/>
                <w:color w:val="auto"/>
              </w:rPr>
            </w:pPr>
          </w:p>
        </w:tc>
        <w:tc>
          <w:tcPr>
            <w:tcW w:w="2200" w:type="dxa"/>
            <w:vAlign w:val="bottom"/>
            <w:tcBorders>
              <w:bottom w:val="single" w:sz="8" w:color="F7F1EC"/>
            </w:tcBorders>
            <w:shd w:val="clear" w:color="auto" w:fill="F7F1EC"/>
          </w:tcPr>
          <w:p>
            <w:pPr>
              <w:jc w:val="center"/>
              <w:spacing w:after="0" w:line="151" w:lineRule="exact"/>
              <w:rPr>
                <w:sz w:val="20"/>
                <w:szCs w:val="20"/>
                <w:color w:val="auto"/>
              </w:rPr>
            </w:pPr>
            <w:r>
              <w:rPr>
                <w:rFonts w:ascii="MS PGothic" w:cs="MS PGothic" w:eastAsia="MS PGothic" w:hAnsi="MS PGothic"/>
                <w:sz w:val="15"/>
                <w:szCs w:val="15"/>
                <w:color w:val="auto"/>
                <w:w w:val="93"/>
              </w:rPr>
              <w:t>✓</w:t>
            </w:r>
          </w:p>
        </w:tc>
        <w:tc>
          <w:tcPr>
            <w:tcW w:w="1180" w:type="dxa"/>
            <w:vAlign w:val="bottom"/>
            <w:tcBorders>
              <w:bottom w:val="single" w:sz="8" w:color="F7F1EC"/>
            </w:tcBorders>
            <w:shd w:val="clear" w:color="auto" w:fill="F7F1EC"/>
          </w:tcPr>
          <w:p>
            <w:pPr>
              <w:jc w:val="center"/>
              <w:ind w:left="6"/>
              <w:spacing w:after="0" w:line="151" w:lineRule="exact"/>
              <w:rPr>
                <w:sz w:val="20"/>
                <w:szCs w:val="20"/>
                <w:color w:val="auto"/>
              </w:rPr>
            </w:pPr>
            <w:r>
              <w:rPr>
                <w:rFonts w:ascii="MS PGothic" w:cs="MS PGothic" w:eastAsia="MS PGothic" w:hAnsi="MS PGothic"/>
                <w:sz w:val="15"/>
                <w:szCs w:val="15"/>
                <w:color w:val="auto"/>
                <w:w w:val="93"/>
              </w:rPr>
              <w:t>✓</w:t>
            </w:r>
          </w:p>
        </w:tc>
      </w:tr>
      <w:tr>
        <w:trPr>
          <w:trHeight w:val="287"/>
        </w:trPr>
        <w:tc>
          <w:tcPr>
            <w:tcW w:w="1840" w:type="dxa"/>
            <w:vAlign w:val="bottom"/>
          </w:tcPr>
          <w:p>
            <w:pPr>
              <w:ind w:left="60"/>
              <w:spacing w:after="0"/>
              <w:rPr>
                <w:sz w:val="20"/>
                <w:szCs w:val="20"/>
                <w:color w:val="auto"/>
              </w:rPr>
            </w:pPr>
            <w:r>
              <w:rPr>
                <w:rFonts w:ascii="Arial" w:cs="Arial" w:eastAsia="Arial" w:hAnsi="Arial"/>
                <w:sz w:val="15"/>
                <w:szCs w:val="15"/>
                <w:color w:val="auto"/>
              </w:rPr>
              <w:t>Somesh Khanna</w:t>
            </w:r>
          </w:p>
        </w:tc>
        <w:tc>
          <w:tcPr>
            <w:tcW w:w="13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200" w:type="dxa"/>
            <w:vAlign w:val="bottom"/>
          </w:tcPr>
          <w:p>
            <w:pPr>
              <w:jc w:val="center"/>
              <w:spacing w:after="0" w:line="151" w:lineRule="exact"/>
              <w:rPr>
                <w:sz w:val="20"/>
                <w:szCs w:val="20"/>
                <w:color w:val="auto"/>
              </w:rPr>
            </w:pPr>
            <w:r>
              <w:rPr>
                <w:rFonts w:ascii="MS PGothic" w:cs="MS PGothic" w:eastAsia="MS PGothic" w:hAnsi="MS PGothic"/>
                <w:sz w:val="15"/>
                <w:szCs w:val="15"/>
                <w:color w:val="auto"/>
                <w:w w:val="93"/>
              </w:rPr>
              <w:t>✓</w:t>
            </w:r>
          </w:p>
        </w:tc>
        <w:tc>
          <w:tcPr>
            <w:tcW w:w="1180" w:type="dxa"/>
            <w:vAlign w:val="bottom"/>
          </w:tcPr>
          <w:p>
            <w:pPr>
              <w:spacing w:after="0"/>
              <w:rPr>
                <w:sz w:val="24"/>
                <w:szCs w:val="24"/>
                <w:color w:val="auto"/>
              </w:rPr>
            </w:pPr>
          </w:p>
        </w:tc>
      </w:tr>
      <w:tr>
        <w:trPr>
          <w:trHeight w:val="32"/>
        </w:trPr>
        <w:tc>
          <w:tcPr>
            <w:tcW w:w="18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99"/>
        </w:trPr>
        <w:tc>
          <w:tcPr>
            <w:tcW w:w="1840" w:type="dxa"/>
            <w:vAlign w:val="bottom"/>
            <w:tcBorders>
              <w:bottom w:val="single" w:sz="8" w:color="F7F1EC"/>
            </w:tcBorders>
            <w:shd w:val="clear" w:color="auto" w:fill="F7F1EC"/>
          </w:tcPr>
          <w:p>
            <w:pPr>
              <w:ind w:left="60"/>
              <w:spacing w:after="0"/>
              <w:rPr>
                <w:sz w:val="20"/>
                <w:szCs w:val="20"/>
                <w:color w:val="auto"/>
              </w:rPr>
            </w:pPr>
            <w:r>
              <w:rPr>
                <w:rFonts w:ascii="Arial" w:cs="Arial" w:eastAsia="Arial" w:hAnsi="Arial"/>
                <w:sz w:val="15"/>
                <w:szCs w:val="15"/>
                <w:color w:val="auto"/>
              </w:rPr>
              <w:t>Albert J. Ko</w:t>
            </w:r>
          </w:p>
        </w:tc>
        <w:tc>
          <w:tcPr>
            <w:tcW w:w="1320" w:type="dxa"/>
            <w:vAlign w:val="bottom"/>
            <w:tcBorders>
              <w:bottom w:val="single" w:sz="8" w:color="F7F1EC"/>
            </w:tcBorders>
            <w:shd w:val="clear" w:color="auto" w:fill="F7F1EC"/>
          </w:tcPr>
          <w:p>
            <w:pPr>
              <w:spacing w:after="0"/>
              <w:rPr>
                <w:sz w:val="24"/>
                <w:szCs w:val="24"/>
                <w:color w:val="auto"/>
              </w:rPr>
            </w:pPr>
          </w:p>
        </w:tc>
        <w:tc>
          <w:tcPr>
            <w:tcW w:w="1340" w:type="dxa"/>
            <w:vAlign w:val="bottom"/>
            <w:tcBorders>
              <w:bottom w:val="single" w:sz="8" w:color="F7F1EC"/>
            </w:tcBorders>
            <w:shd w:val="clear" w:color="auto" w:fill="F7F1EC"/>
          </w:tcPr>
          <w:p>
            <w:pPr>
              <w:jc w:val="center"/>
              <w:ind w:right="507"/>
              <w:spacing w:after="0" w:line="151" w:lineRule="exact"/>
              <w:rPr>
                <w:sz w:val="20"/>
                <w:szCs w:val="20"/>
                <w:color w:val="auto"/>
              </w:rPr>
            </w:pPr>
            <w:r>
              <w:rPr>
                <w:rFonts w:ascii="MS PGothic" w:cs="MS PGothic" w:eastAsia="MS PGothic" w:hAnsi="MS PGothic"/>
                <w:sz w:val="15"/>
                <w:szCs w:val="15"/>
                <w:color w:val="auto"/>
                <w:w w:val="79"/>
              </w:rPr>
              <w:t>✓</w:t>
            </w:r>
          </w:p>
        </w:tc>
        <w:tc>
          <w:tcPr>
            <w:tcW w:w="2200" w:type="dxa"/>
            <w:vAlign w:val="bottom"/>
            <w:tcBorders>
              <w:bottom w:val="single" w:sz="8" w:color="F7F1EC"/>
            </w:tcBorders>
            <w:shd w:val="clear" w:color="auto" w:fill="F7F1EC"/>
          </w:tcPr>
          <w:p>
            <w:pPr>
              <w:spacing w:after="0"/>
              <w:rPr>
                <w:sz w:val="24"/>
                <w:szCs w:val="24"/>
                <w:color w:val="auto"/>
              </w:rPr>
            </w:pPr>
          </w:p>
        </w:tc>
        <w:tc>
          <w:tcPr>
            <w:tcW w:w="1180" w:type="dxa"/>
            <w:vAlign w:val="bottom"/>
            <w:tcBorders>
              <w:bottom w:val="single" w:sz="8" w:color="F7F1EC"/>
            </w:tcBorders>
            <w:shd w:val="clear" w:color="auto" w:fill="F7F1EC"/>
          </w:tcPr>
          <w:p>
            <w:pPr>
              <w:spacing w:after="0"/>
              <w:rPr>
                <w:sz w:val="24"/>
                <w:szCs w:val="24"/>
                <w:color w:val="auto"/>
              </w:rPr>
            </w:pPr>
          </w:p>
        </w:tc>
      </w:tr>
      <w:tr>
        <w:trPr>
          <w:trHeight w:val="287"/>
        </w:trPr>
        <w:tc>
          <w:tcPr>
            <w:tcW w:w="1840" w:type="dxa"/>
            <w:vAlign w:val="bottom"/>
          </w:tcPr>
          <w:p>
            <w:pPr>
              <w:ind w:left="60"/>
              <w:spacing w:after="0"/>
              <w:rPr>
                <w:sz w:val="20"/>
                <w:szCs w:val="20"/>
                <w:color w:val="auto"/>
              </w:rPr>
            </w:pPr>
            <w:r>
              <w:rPr>
                <w:rFonts w:ascii="Arial" w:cs="Arial" w:eastAsia="Arial" w:hAnsi="Arial"/>
                <w:sz w:val="15"/>
                <w:szCs w:val="15"/>
                <w:color w:val="auto"/>
              </w:rPr>
              <w:t>Allison H. Mnookin</w:t>
            </w:r>
          </w:p>
        </w:tc>
        <w:tc>
          <w:tcPr>
            <w:tcW w:w="13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200" w:type="dxa"/>
            <w:vAlign w:val="bottom"/>
          </w:tcPr>
          <w:p>
            <w:pPr>
              <w:jc w:val="center"/>
              <w:spacing w:after="0" w:line="151" w:lineRule="exact"/>
              <w:rPr>
                <w:sz w:val="20"/>
                <w:szCs w:val="20"/>
                <w:color w:val="auto"/>
              </w:rPr>
            </w:pPr>
            <w:r>
              <w:rPr>
                <w:rFonts w:ascii="MS PGothic" w:cs="MS PGothic" w:eastAsia="MS PGothic" w:hAnsi="MS PGothic"/>
                <w:sz w:val="15"/>
                <w:szCs w:val="15"/>
                <w:color w:val="auto"/>
                <w:w w:val="93"/>
              </w:rPr>
              <w:t>✓</w:t>
            </w:r>
          </w:p>
        </w:tc>
        <w:tc>
          <w:tcPr>
            <w:tcW w:w="1180" w:type="dxa"/>
            <w:vAlign w:val="bottom"/>
          </w:tcPr>
          <w:p>
            <w:pPr>
              <w:jc w:val="center"/>
              <w:spacing w:after="0" w:line="151" w:lineRule="exact"/>
              <w:rPr>
                <w:sz w:val="20"/>
                <w:szCs w:val="20"/>
                <w:color w:val="auto"/>
              </w:rPr>
            </w:pPr>
            <w:r>
              <w:rPr>
                <w:rFonts w:ascii="MS PGothic" w:cs="MS PGothic" w:eastAsia="MS PGothic" w:hAnsi="MS PGothic"/>
                <w:sz w:val="15"/>
                <w:szCs w:val="15"/>
                <w:color w:val="auto"/>
                <w:w w:val="79"/>
              </w:rPr>
              <w:t>◆</w:t>
            </w:r>
          </w:p>
        </w:tc>
      </w:tr>
      <w:tr>
        <w:trPr>
          <w:trHeight w:val="32"/>
        </w:trPr>
        <w:tc>
          <w:tcPr>
            <w:tcW w:w="18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99"/>
        </w:trPr>
        <w:tc>
          <w:tcPr>
            <w:tcW w:w="1840" w:type="dxa"/>
            <w:vAlign w:val="bottom"/>
            <w:tcBorders>
              <w:bottom w:val="single" w:sz="8" w:color="F7F1EC"/>
            </w:tcBorders>
            <w:shd w:val="clear" w:color="auto" w:fill="F7F1EC"/>
          </w:tcPr>
          <w:p>
            <w:pPr>
              <w:ind w:left="60"/>
              <w:spacing w:after="0"/>
              <w:rPr>
                <w:sz w:val="20"/>
                <w:szCs w:val="20"/>
                <w:color w:val="auto"/>
              </w:rPr>
            </w:pPr>
            <w:r>
              <w:rPr>
                <w:rFonts w:ascii="Arial" w:cs="Arial" w:eastAsia="Arial" w:hAnsi="Arial"/>
                <w:sz w:val="15"/>
                <w:szCs w:val="15"/>
                <w:color w:val="auto"/>
              </w:rPr>
              <w:t>Anne M. Mulcahy</w:t>
            </w:r>
          </w:p>
        </w:tc>
        <w:tc>
          <w:tcPr>
            <w:tcW w:w="1320" w:type="dxa"/>
            <w:vAlign w:val="bottom"/>
            <w:tcBorders>
              <w:bottom w:val="single" w:sz="8" w:color="F7F1EC"/>
            </w:tcBorders>
            <w:shd w:val="clear" w:color="auto" w:fill="F7F1EC"/>
          </w:tcPr>
          <w:p>
            <w:pPr>
              <w:spacing w:after="0"/>
              <w:rPr>
                <w:sz w:val="24"/>
                <w:szCs w:val="24"/>
                <w:color w:val="auto"/>
              </w:rPr>
            </w:pPr>
          </w:p>
        </w:tc>
        <w:tc>
          <w:tcPr>
            <w:tcW w:w="1340" w:type="dxa"/>
            <w:vAlign w:val="bottom"/>
            <w:tcBorders>
              <w:bottom w:val="single" w:sz="8" w:color="F7F1EC"/>
            </w:tcBorders>
            <w:shd w:val="clear" w:color="auto" w:fill="F7F1EC"/>
          </w:tcPr>
          <w:p>
            <w:pPr>
              <w:spacing w:after="0"/>
              <w:rPr>
                <w:sz w:val="24"/>
                <w:szCs w:val="24"/>
                <w:color w:val="auto"/>
              </w:rPr>
            </w:pPr>
          </w:p>
        </w:tc>
        <w:tc>
          <w:tcPr>
            <w:tcW w:w="2200" w:type="dxa"/>
            <w:vAlign w:val="bottom"/>
            <w:tcBorders>
              <w:bottom w:val="single" w:sz="8" w:color="F7F1EC"/>
            </w:tcBorders>
            <w:shd w:val="clear" w:color="auto" w:fill="F7F1EC"/>
          </w:tcPr>
          <w:p>
            <w:pPr>
              <w:jc w:val="center"/>
              <w:spacing w:after="0" w:line="141" w:lineRule="exact"/>
              <w:rPr>
                <w:sz w:val="20"/>
                <w:szCs w:val="20"/>
                <w:color w:val="auto"/>
              </w:rPr>
            </w:pPr>
            <w:r>
              <w:rPr>
                <w:rFonts w:ascii="MS PGothic" w:cs="MS PGothic" w:eastAsia="MS PGothic" w:hAnsi="MS PGothic"/>
                <w:sz w:val="14"/>
                <w:szCs w:val="14"/>
                <w:color w:val="auto"/>
                <w:w w:val="71"/>
              </w:rPr>
              <w:t>◆</w:t>
            </w:r>
          </w:p>
        </w:tc>
        <w:tc>
          <w:tcPr>
            <w:tcW w:w="1180" w:type="dxa"/>
            <w:vAlign w:val="bottom"/>
            <w:tcBorders>
              <w:bottom w:val="single" w:sz="8" w:color="F7F1EC"/>
            </w:tcBorders>
            <w:shd w:val="clear" w:color="auto" w:fill="F7F1EC"/>
          </w:tcPr>
          <w:p>
            <w:pPr>
              <w:spacing w:after="0"/>
              <w:rPr>
                <w:sz w:val="24"/>
                <w:szCs w:val="24"/>
                <w:color w:val="auto"/>
              </w:rPr>
            </w:pPr>
          </w:p>
        </w:tc>
      </w:tr>
      <w:tr>
        <w:trPr>
          <w:trHeight w:val="287"/>
        </w:trPr>
        <w:tc>
          <w:tcPr>
            <w:tcW w:w="1840" w:type="dxa"/>
            <w:vAlign w:val="bottom"/>
          </w:tcPr>
          <w:p>
            <w:pPr>
              <w:ind w:left="60"/>
              <w:spacing w:after="0"/>
              <w:rPr>
                <w:sz w:val="20"/>
                <w:szCs w:val="20"/>
                <w:color w:val="auto"/>
              </w:rPr>
            </w:pPr>
            <w:r>
              <w:rPr>
                <w:rFonts w:ascii="Arial" w:cs="Arial" w:eastAsia="Arial" w:hAnsi="Arial"/>
                <w:sz w:val="15"/>
                <w:szCs w:val="15"/>
                <w:color w:val="auto"/>
              </w:rPr>
              <w:t xml:space="preserve">James S. Putnam </w:t>
            </w:r>
            <w:r>
              <w:rPr>
                <w:rFonts w:ascii="Arial" w:cs="Arial" w:eastAsia="Arial" w:hAnsi="Arial"/>
                <w:sz w:val="11"/>
                <w:szCs w:val="11"/>
                <w:b w:val="1"/>
                <w:bCs w:val="1"/>
                <w:color w:val="auto"/>
              </w:rPr>
              <w:t>ê</w:t>
            </w:r>
          </w:p>
        </w:tc>
        <w:tc>
          <w:tcPr>
            <w:tcW w:w="13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180" w:type="dxa"/>
            <w:vAlign w:val="bottom"/>
          </w:tcPr>
          <w:p>
            <w:pPr>
              <w:jc w:val="center"/>
              <w:ind w:left="6"/>
              <w:spacing w:after="0" w:line="151" w:lineRule="exact"/>
              <w:rPr>
                <w:sz w:val="20"/>
                <w:szCs w:val="20"/>
                <w:color w:val="auto"/>
              </w:rPr>
            </w:pPr>
            <w:r>
              <w:rPr>
                <w:rFonts w:ascii="MS PGothic" w:cs="MS PGothic" w:eastAsia="MS PGothic" w:hAnsi="MS PGothic"/>
                <w:sz w:val="15"/>
                <w:szCs w:val="15"/>
                <w:color w:val="auto"/>
                <w:w w:val="93"/>
              </w:rPr>
              <w:t>✓</w:t>
            </w:r>
          </w:p>
        </w:tc>
      </w:tr>
      <w:tr>
        <w:trPr>
          <w:trHeight w:val="32"/>
        </w:trPr>
        <w:tc>
          <w:tcPr>
            <w:tcW w:w="18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99"/>
        </w:trPr>
        <w:tc>
          <w:tcPr>
            <w:tcW w:w="1840" w:type="dxa"/>
            <w:vAlign w:val="bottom"/>
            <w:tcBorders>
              <w:bottom w:val="single" w:sz="8" w:color="F7F1EC"/>
            </w:tcBorders>
            <w:shd w:val="clear" w:color="auto" w:fill="F7F1EC"/>
          </w:tcPr>
          <w:p>
            <w:pPr>
              <w:ind w:left="60"/>
              <w:spacing w:after="0"/>
              <w:rPr>
                <w:sz w:val="20"/>
                <w:szCs w:val="20"/>
                <w:color w:val="auto"/>
              </w:rPr>
            </w:pPr>
            <w:r>
              <w:rPr>
                <w:rFonts w:ascii="Arial" w:cs="Arial" w:eastAsia="Arial" w:hAnsi="Arial"/>
                <w:sz w:val="15"/>
                <w:szCs w:val="15"/>
                <w:color w:val="auto"/>
              </w:rPr>
              <w:t>Richard P. Schifter</w:t>
            </w:r>
          </w:p>
        </w:tc>
        <w:tc>
          <w:tcPr>
            <w:tcW w:w="1320" w:type="dxa"/>
            <w:vAlign w:val="bottom"/>
            <w:tcBorders>
              <w:bottom w:val="single" w:sz="8" w:color="F7F1EC"/>
            </w:tcBorders>
            <w:shd w:val="clear" w:color="auto" w:fill="F7F1EC"/>
          </w:tcPr>
          <w:p>
            <w:pPr>
              <w:spacing w:after="0"/>
              <w:rPr>
                <w:sz w:val="24"/>
                <w:szCs w:val="24"/>
                <w:color w:val="auto"/>
              </w:rPr>
            </w:pPr>
          </w:p>
        </w:tc>
        <w:tc>
          <w:tcPr>
            <w:tcW w:w="1340" w:type="dxa"/>
            <w:vAlign w:val="bottom"/>
            <w:tcBorders>
              <w:bottom w:val="single" w:sz="8" w:color="F7F1EC"/>
            </w:tcBorders>
            <w:shd w:val="clear" w:color="auto" w:fill="F7F1EC"/>
          </w:tcPr>
          <w:p>
            <w:pPr>
              <w:jc w:val="center"/>
              <w:ind w:right="507"/>
              <w:spacing w:after="0" w:line="151" w:lineRule="exact"/>
              <w:rPr>
                <w:sz w:val="20"/>
                <w:szCs w:val="20"/>
                <w:color w:val="auto"/>
              </w:rPr>
            </w:pPr>
            <w:r>
              <w:rPr>
                <w:rFonts w:ascii="MS PGothic" w:cs="MS PGothic" w:eastAsia="MS PGothic" w:hAnsi="MS PGothic"/>
                <w:sz w:val="15"/>
                <w:szCs w:val="15"/>
                <w:color w:val="auto"/>
                <w:w w:val="79"/>
              </w:rPr>
              <w:t>✓</w:t>
            </w:r>
          </w:p>
        </w:tc>
        <w:tc>
          <w:tcPr>
            <w:tcW w:w="2200" w:type="dxa"/>
            <w:vAlign w:val="bottom"/>
            <w:tcBorders>
              <w:bottom w:val="single" w:sz="8" w:color="F7F1EC"/>
            </w:tcBorders>
            <w:shd w:val="clear" w:color="auto" w:fill="F7F1EC"/>
          </w:tcPr>
          <w:p>
            <w:pPr>
              <w:spacing w:after="0"/>
              <w:rPr>
                <w:sz w:val="24"/>
                <w:szCs w:val="24"/>
                <w:color w:val="auto"/>
              </w:rPr>
            </w:pPr>
          </w:p>
        </w:tc>
        <w:tc>
          <w:tcPr>
            <w:tcW w:w="1180" w:type="dxa"/>
            <w:vAlign w:val="bottom"/>
            <w:tcBorders>
              <w:bottom w:val="single" w:sz="8" w:color="F7F1EC"/>
            </w:tcBorders>
            <w:shd w:val="clear" w:color="auto" w:fill="F7F1EC"/>
          </w:tcPr>
          <w:p>
            <w:pPr>
              <w:spacing w:after="0"/>
              <w:rPr>
                <w:sz w:val="24"/>
                <w:szCs w:val="24"/>
                <w:color w:val="auto"/>
              </w:rPr>
            </w:pPr>
          </w:p>
        </w:tc>
      </w:tr>
      <w:tr>
        <w:trPr>
          <w:trHeight w:val="287"/>
        </w:trPr>
        <w:tc>
          <w:tcPr>
            <w:tcW w:w="1840" w:type="dxa"/>
            <w:vAlign w:val="bottom"/>
          </w:tcPr>
          <w:p>
            <w:pPr>
              <w:ind w:left="60"/>
              <w:spacing w:after="0"/>
              <w:rPr>
                <w:sz w:val="20"/>
                <w:szCs w:val="20"/>
                <w:color w:val="auto"/>
              </w:rPr>
            </w:pPr>
            <w:r>
              <w:rPr>
                <w:rFonts w:ascii="Arial" w:cs="Arial" w:eastAsia="Arial" w:hAnsi="Arial"/>
                <w:sz w:val="15"/>
                <w:szCs w:val="15"/>
                <w:color w:val="auto"/>
              </w:rPr>
              <w:t>Corey E. Thomas</w:t>
            </w:r>
          </w:p>
        </w:tc>
        <w:tc>
          <w:tcPr>
            <w:tcW w:w="1320" w:type="dxa"/>
            <w:vAlign w:val="bottom"/>
          </w:tcPr>
          <w:p>
            <w:pPr>
              <w:spacing w:after="0"/>
              <w:rPr>
                <w:sz w:val="24"/>
                <w:szCs w:val="24"/>
                <w:color w:val="auto"/>
              </w:rPr>
            </w:pPr>
          </w:p>
        </w:tc>
        <w:tc>
          <w:tcPr>
            <w:tcW w:w="1340" w:type="dxa"/>
            <w:vAlign w:val="bottom"/>
          </w:tcPr>
          <w:p>
            <w:pPr>
              <w:jc w:val="center"/>
              <w:ind w:right="507"/>
              <w:spacing w:after="0" w:line="151" w:lineRule="exact"/>
              <w:rPr>
                <w:sz w:val="20"/>
                <w:szCs w:val="20"/>
                <w:color w:val="auto"/>
              </w:rPr>
            </w:pPr>
            <w:r>
              <w:rPr>
                <w:rFonts w:ascii="MS PGothic" w:cs="MS PGothic" w:eastAsia="MS PGothic" w:hAnsi="MS PGothic"/>
                <w:sz w:val="15"/>
                <w:szCs w:val="15"/>
                <w:color w:val="auto"/>
                <w:w w:val="79"/>
              </w:rPr>
              <w:t>✓</w:t>
            </w:r>
          </w:p>
        </w:tc>
        <w:tc>
          <w:tcPr>
            <w:tcW w:w="2200" w:type="dxa"/>
            <w:vAlign w:val="bottom"/>
          </w:tcPr>
          <w:p>
            <w:pPr>
              <w:jc w:val="center"/>
              <w:spacing w:after="0" w:line="151" w:lineRule="exact"/>
              <w:rPr>
                <w:sz w:val="20"/>
                <w:szCs w:val="20"/>
                <w:color w:val="auto"/>
              </w:rPr>
            </w:pPr>
            <w:r>
              <w:rPr>
                <w:rFonts w:ascii="MS PGothic" w:cs="MS PGothic" w:eastAsia="MS PGothic" w:hAnsi="MS PGothic"/>
                <w:sz w:val="15"/>
                <w:szCs w:val="15"/>
                <w:color w:val="auto"/>
                <w:w w:val="93"/>
              </w:rPr>
              <w:t>✓</w:t>
            </w:r>
          </w:p>
        </w:tc>
        <w:tc>
          <w:tcPr>
            <w:tcW w:w="1180" w:type="dxa"/>
            <w:vAlign w:val="bottom"/>
          </w:tcPr>
          <w:p>
            <w:pPr>
              <w:spacing w:after="0"/>
              <w:rPr>
                <w:sz w:val="24"/>
                <w:szCs w:val="24"/>
                <w:color w:val="auto"/>
              </w:rPr>
            </w:pPr>
          </w:p>
        </w:tc>
      </w:tr>
      <w:tr>
        <w:trPr>
          <w:trHeight w:val="357"/>
        </w:trPr>
        <w:tc>
          <w:tcPr>
            <w:tcW w:w="1840" w:type="dxa"/>
            <w:vAlign w:val="bottom"/>
          </w:tcPr>
          <w:p>
            <w:pPr>
              <w:spacing w:after="0" w:line="173" w:lineRule="exact"/>
              <w:rPr>
                <w:sz w:val="20"/>
                <w:szCs w:val="20"/>
                <w:color w:val="auto"/>
              </w:rPr>
            </w:pPr>
            <w:r>
              <w:rPr>
                <w:rFonts w:ascii="MS PGothic" w:cs="MS PGothic" w:eastAsia="MS PGothic" w:hAnsi="MS PGothic"/>
                <w:sz w:val="15"/>
                <w:szCs w:val="15"/>
                <w:color w:val="auto"/>
              </w:rPr>
              <w:t>✓</w:t>
            </w:r>
            <w:r>
              <w:rPr>
                <w:rFonts w:ascii="Arial" w:cs="Arial" w:eastAsia="Arial" w:hAnsi="Arial"/>
                <w:sz w:val="15"/>
                <w:szCs w:val="15"/>
                <w:color w:val="auto"/>
              </w:rPr>
              <w:t xml:space="preserve"> Member</w:t>
            </w:r>
          </w:p>
        </w:tc>
        <w:tc>
          <w:tcPr>
            <w:tcW w:w="1320" w:type="dxa"/>
            <w:vAlign w:val="bottom"/>
          </w:tcPr>
          <w:p>
            <w:pPr>
              <w:ind w:left="380"/>
              <w:spacing w:after="0" w:line="173" w:lineRule="exact"/>
              <w:rPr>
                <w:sz w:val="20"/>
                <w:szCs w:val="20"/>
                <w:color w:val="auto"/>
              </w:rPr>
            </w:pPr>
            <w:r>
              <w:rPr>
                <w:rFonts w:ascii="MS PGothic" w:cs="MS PGothic" w:eastAsia="MS PGothic" w:hAnsi="MS PGothic"/>
                <w:sz w:val="15"/>
                <w:szCs w:val="15"/>
                <w:color w:val="auto"/>
              </w:rPr>
              <w:t>◆</w:t>
            </w:r>
            <w:r>
              <w:rPr>
                <w:rFonts w:ascii="Arial" w:cs="Arial" w:eastAsia="Arial" w:hAnsi="Arial"/>
                <w:sz w:val="15"/>
                <w:szCs w:val="15"/>
                <w:color w:val="auto"/>
              </w:rPr>
              <w:t xml:space="preserve">  Chair</w:t>
            </w:r>
          </w:p>
        </w:tc>
        <w:tc>
          <w:tcPr>
            <w:tcW w:w="1340" w:type="dxa"/>
            <w:vAlign w:val="bottom"/>
          </w:tcPr>
          <w:p>
            <w:pPr>
              <w:jc w:val="right"/>
              <w:ind w:right="7"/>
              <w:spacing w:after="0"/>
              <w:rPr>
                <w:sz w:val="20"/>
                <w:szCs w:val="20"/>
                <w:color w:val="auto"/>
              </w:rPr>
            </w:pPr>
            <w:r>
              <w:rPr>
                <w:rFonts w:ascii="Arial" w:cs="Arial" w:eastAsia="Arial" w:hAnsi="Arial"/>
                <w:sz w:val="11"/>
                <w:szCs w:val="11"/>
                <w:b w:val="1"/>
                <w:bCs w:val="1"/>
                <w:color w:val="auto"/>
              </w:rPr>
              <w:t>ê</w:t>
            </w:r>
          </w:p>
        </w:tc>
        <w:tc>
          <w:tcPr>
            <w:tcW w:w="2200" w:type="dxa"/>
            <w:vAlign w:val="bottom"/>
          </w:tcPr>
          <w:p>
            <w:pPr>
              <w:ind w:left="80"/>
              <w:spacing w:after="0"/>
              <w:rPr>
                <w:sz w:val="20"/>
                <w:szCs w:val="20"/>
                <w:color w:val="auto"/>
              </w:rPr>
            </w:pPr>
            <w:r>
              <w:rPr>
                <w:rFonts w:ascii="Arial" w:cs="Arial" w:eastAsia="Arial" w:hAnsi="Arial"/>
                <w:sz w:val="15"/>
                <w:szCs w:val="15"/>
                <w:color w:val="auto"/>
              </w:rPr>
              <w:t>Chair of the Board</w:t>
            </w:r>
          </w:p>
        </w:tc>
        <w:tc>
          <w:tcPr>
            <w:tcW w:w="1180" w:type="dxa"/>
            <w:vAlign w:val="bottom"/>
          </w:tcPr>
          <w:p>
            <w:pPr>
              <w:spacing w:after="0"/>
              <w:rPr>
                <w:sz w:val="24"/>
                <w:szCs w:val="24"/>
                <w:color w:val="auto"/>
              </w:rPr>
            </w:pPr>
          </w:p>
        </w:tc>
      </w:tr>
    </w:tbl>
    <w:p>
      <w:pPr>
        <w:spacing w:after="0" w:line="71" w:lineRule="exact"/>
        <w:rPr>
          <w:sz w:val="20"/>
          <w:szCs w:val="20"/>
          <w:color w:val="auto"/>
        </w:rPr>
      </w:pPr>
    </w:p>
    <w:p>
      <w:pPr>
        <w:ind w:left="540" w:right="540"/>
        <w:spacing w:after="0" w:line="268" w:lineRule="auto"/>
        <w:rPr>
          <w:sz w:val="20"/>
          <w:szCs w:val="20"/>
          <w:color w:val="auto"/>
        </w:rPr>
      </w:pPr>
      <w:r>
        <w:rPr>
          <w:rFonts w:ascii="Arial" w:cs="Arial" w:eastAsia="Arial" w:hAnsi="Arial"/>
          <w:sz w:val="15"/>
          <w:szCs w:val="15"/>
          <w:color w:val="auto"/>
        </w:rPr>
        <w:t>Our Nominating and Governance Committee will reassess the composition and leadership of the standing committees of the Board in the context of the election of directors at the Annual Meeting. This assessment will consider:</w:t>
      </w:r>
    </w:p>
    <w:p>
      <w:pPr>
        <w:spacing w:after="0" w:line="73" w:lineRule="exact"/>
        <w:rPr>
          <w:sz w:val="20"/>
          <w:szCs w:val="20"/>
          <w:color w:val="auto"/>
        </w:rPr>
      </w:pPr>
    </w:p>
    <w:p>
      <w:pPr>
        <w:ind w:left="800" w:hanging="261"/>
        <w:spacing w:after="0"/>
        <w:tabs>
          <w:tab w:leader="none" w:pos="800" w:val="left"/>
        </w:tabs>
        <w:numPr>
          <w:ilvl w:val="0"/>
          <w:numId w:val="50"/>
        </w:numPr>
        <w:rPr>
          <w:rFonts w:ascii="Arial" w:cs="Arial" w:eastAsia="Arial" w:hAnsi="Arial"/>
          <w:sz w:val="15"/>
          <w:szCs w:val="15"/>
          <w:color w:val="auto"/>
        </w:rPr>
      </w:pPr>
      <w:r>
        <w:rPr>
          <w:rFonts w:ascii="Arial" w:cs="Arial" w:eastAsia="Arial" w:hAnsi="Arial"/>
          <w:sz w:val="15"/>
          <w:szCs w:val="15"/>
          <w:color w:val="auto"/>
        </w:rPr>
        <w:t>current committee performance and tenure mix;</w:t>
      </w:r>
    </w:p>
    <w:p>
      <w:pPr>
        <w:spacing w:after="0" w:line="121" w:lineRule="exact"/>
        <w:rPr>
          <w:rFonts w:ascii="Arial" w:cs="Arial" w:eastAsia="Arial" w:hAnsi="Arial"/>
          <w:sz w:val="15"/>
          <w:szCs w:val="15"/>
          <w:color w:val="auto"/>
        </w:rPr>
      </w:pPr>
    </w:p>
    <w:p>
      <w:pPr>
        <w:ind w:left="800" w:hanging="261"/>
        <w:spacing w:after="0"/>
        <w:tabs>
          <w:tab w:leader="none" w:pos="800" w:val="left"/>
        </w:tabs>
        <w:numPr>
          <w:ilvl w:val="0"/>
          <w:numId w:val="50"/>
        </w:numPr>
        <w:rPr>
          <w:rFonts w:ascii="Arial" w:cs="Arial" w:eastAsia="Arial" w:hAnsi="Arial"/>
          <w:sz w:val="15"/>
          <w:szCs w:val="15"/>
          <w:color w:val="auto"/>
        </w:rPr>
      </w:pPr>
      <w:r>
        <w:rPr>
          <w:rFonts w:ascii="Arial" w:cs="Arial" w:eastAsia="Arial" w:hAnsi="Arial"/>
          <w:sz w:val="15"/>
          <w:szCs w:val="15"/>
          <w:color w:val="auto"/>
        </w:rPr>
        <w:t>individual competencies, desires and commitments; and</w:t>
      </w:r>
    </w:p>
    <w:p>
      <w:pPr>
        <w:spacing w:after="0" w:line="121" w:lineRule="exact"/>
        <w:rPr>
          <w:rFonts w:ascii="Arial" w:cs="Arial" w:eastAsia="Arial" w:hAnsi="Arial"/>
          <w:sz w:val="15"/>
          <w:szCs w:val="15"/>
          <w:color w:val="auto"/>
        </w:rPr>
      </w:pPr>
    </w:p>
    <w:p>
      <w:pPr>
        <w:ind w:left="800" w:hanging="261"/>
        <w:spacing w:after="0"/>
        <w:tabs>
          <w:tab w:leader="none" w:pos="800" w:val="left"/>
        </w:tabs>
        <w:numPr>
          <w:ilvl w:val="0"/>
          <w:numId w:val="50"/>
        </w:numPr>
        <w:rPr>
          <w:rFonts w:ascii="Arial" w:cs="Arial" w:eastAsia="Arial" w:hAnsi="Arial"/>
          <w:sz w:val="15"/>
          <w:szCs w:val="15"/>
          <w:color w:val="auto"/>
        </w:rPr>
      </w:pPr>
      <w:r>
        <w:rPr>
          <w:rFonts w:ascii="Arial" w:cs="Arial" w:eastAsia="Arial" w:hAnsi="Arial"/>
          <w:sz w:val="15"/>
          <w:szCs w:val="15"/>
          <w:color w:val="auto"/>
        </w:rPr>
        <w:t>the need to ensure a future succession plan for each committee chair.</w:t>
      </w:r>
    </w:p>
    <w:p>
      <w:pPr>
        <w:spacing w:after="0" w:line="108" w:lineRule="exact"/>
        <w:rPr>
          <w:sz w:val="20"/>
          <w:szCs w:val="20"/>
          <w:color w:val="auto"/>
        </w:rPr>
      </w:pPr>
    </w:p>
    <w:p>
      <w:pPr>
        <w:ind w:left="540" w:right="400"/>
        <w:spacing w:after="0" w:line="261" w:lineRule="auto"/>
        <w:rPr>
          <w:sz w:val="20"/>
          <w:szCs w:val="20"/>
          <w:color w:val="auto"/>
        </w:rPr>
      </w:pPr>
      <w:r>
        <w:rPr>
          <w:rFonts w:ascii="Arial" w:cs="Arial" w:eastAsia="Arial" w:hAnsi="Arial"/>
          <w:sz w:val="15"/>
          <w:szCs w:val="15"/>
          <w:color w:val="auto"/>
        </w:rPr>
        <w:t>Following its assessment in connection with the 2025 annual meeting of stockholders, the Nominating and Governance Committee recommended that the composition and leadership of the Board’s committees remain unchanged. After Mr. Khanna joined the Board in January 2026, he was elected to serve on the Nominating and Governance Committee.</w:t>
      </w:r>
    </w:p>
    <w:p>
      <w:pPr>
        <w:spacing w:after="0" w:line="164" w:lineRule="exact"/>
        <w:rPr>
          <w:sz w:val="20"/>
          <w:szCs w:val="20"/>
          <w:color w:val="auto"/>
        </w:rPr>
      </w:pPr>
    </w:p>
    <w:p>
      <w:pPr>
        <w:ind w:left="540"/>
        <w:spacing w:after="0"/>
        <w:rPr>
          <w:sz w:val="20"/>
          <w:szCs w:val="20"/>
          <w:color w:val="auto"/>
        </w:rPr>
      </w:pPr>
      <w:r>
        <w:rPr>
          <w:rFonts w:ascii="Arial" w:cs="Arial" w:eastAsia="Arial" w:hAnsi="Arial"/>
          <w:sz w:val="17"/>
          <w:szCs w:val="17"/>
          <w:b w:val="1"/>
          <w:bCs w:val="1"/>
          <w:color w:val="002B5F"/>
        </w:rPr>
        <w:t>AUDIT AND RISK COMMITTEE</w:t>
      </w:r>
    </w:p>
    <w:p>
      <w:pPr>
        <w:spacing w:after="0" w:line="103" w:lineRule="exact"/>
        <w:rPr>
          <w:sz w:val="20"/>
          <w:szCs w:val="20"/>
          <w:color w:val="auto"/>
        </w:rPr>
      </w:pPr>
    </w:p>
    <w:p>
      <w:pPr>
        <w:ind w:left="540" w:right="420"/>
        <w:spacing w:after="0" w:line="268" w:lineRule="auto"/>
        <w:rPr>
          <w:sz w:val="20"/>
          <w:szCs w:val="20"/>
          <w:color w:val="auto"/>
        </w:rPr>
      </w:pPr>
      <w:r>
        <w:rPr>
          <w:rFonts w:ascii="Arial" w:cs="Arial" w:eastAsia="Arial" w:hAnsi="Arial"/>
          <w:sz w:val="15"/>
          <w:szCs w:val="15"/>
          <w:color w:val="auto"/>
        </w:rPr>
        <w:t>Our Audit and Risk Committee is composed of the following members: Edward C. Bernard, H. Paulett Eberhart, Albert J. Ko, Richard P. Schifter and Corey E. Thomas. Ms. Eberhart serves as the chair of the Audit and Risk Committee.</w:t>
      </w:r>
    </w:p>
    <w:p>
      <w:pPr>
        <w:spacing w:after="0" w:line="60" w:lineRule="exact"/>
        <w:rPr>
          <w:sz w:val="20"/>
          <w:szCs w:val="20"/>
          <w:color w:val="auto"/>
        </w:rPr>
      </w:pPr>
    </w:p>
    <w:p>
      <w:pPr>
        <w:ind w:left="540" w:right="220"/>
        <w:spacing w:after="0" w:line="258" w:lineRule="auto"/>
        <w:rPr>
          <w:sz w:val="20"/>
          <w:szCs w:val="20"/>
          <w:color w:val="auto"/>
        </w:rPr>
      </w:pPr>
      <w:r>
        <w:rPr>
          <w:rFonts w:ascii="Arial" w:cs="Arial" w:eastAsia="Arial" w:hAnsi="Arial"/>
          <w:sz w:val="15"/>
          <w:szCs w:val="15"/>
          <w:color w:val="auto"/>
        </w:rPr>
        <w:t>Each of the Audit and Risk Committee members is independent under the listing standards of Nasdaq, including under Rule 10A-3 of the Exchange Act. None of the Audit and Risk Committee members is an employee of ours or any of our subsidiaries, nor simultaneously serves on the audit committees of more than three public companies, including ours. All of the Audit and Risk Committee members meet the requirements for financial literacy and are able to read and understand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1"/>
          <w:szCs w:val="11"/>
          <w:color w:val="FFFFFF"/>
        </w:rPr>
        <w:t>Board of Directors</w:t>
      </w:r>
    </w:p>
    <w:p>
      <w:pPr>
        <w:spacing w:after="0" w:line="13" w:lineRule="exact"/>
        <w:rPr>
          <w:sz w:val="20"/>
          <w:szCs w:val="20"/>
          <w:color w:val="auto"/>
        </w:rPr>
      </w:pPr>
    </w:p>
    <w:p>
      <w:pPr>
        <w:spacing w:after="0"/>
        <w:rPr>
          <w:sz w:val="20"/>
          <w:szCs w:val="20"/>
          <w:color w:val="auto"/>
        </w:rPr>
      </w:pPr>
      <w:r>
        <w:rPr>
          <w:rFonts w:ascii="Arial" w:cs="Arial" w:eastAsia="Arial" w:hAnsi="Arial"/>
          <w:sz w:val="12"/>
          <w:szCs w:val="12"/>
          <w:color w:val="FFFFFF"/>
        </w:rPr>
        <w:t>Compensation</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Compensation</w:t>
      </w:r>
    </w:p>
    <w:p>
      <w:pPr>
        <w:spacing w:after="0" w:line="224" w:lineRule="auto"/>
        <w:rPr>
          <w:sz w:val="20"/>
          <w:szCs w:val="20"/>
          <w:color w:val="auto"/>
        </w:rPr>
      </w:pPr>
      <w:r>
        <w:rPr>
          <w:rFonts w:ascii="Arial" w:cs="Arial" w:eastAsia="Arial" w:hAnsi="Arial"/>
          <w:sz w:val="12"/>
          <w:szCs w:val="12"/>
          <w:color w:val="FFFFFF"/>
        </w:rPr>
        <w:t>Discussion and</w:t>
      </w:r>
    </w:p>
    <w:p>
      <w:pPr>
        <w:spacing w:after="0"/>
        <w:rPr>
          <w:sz w:val="20"/>
          <w:szCs w:val="20"/>
          <w:color w:val="auto"/>
        </w:rPr>
      </w:pPr>
      <w:r>
        <w:rPr>
          <w:rFonts w:ascii="Arial" w:cs="Arial" w:eastAsia="Arial" w:hAnsi="Arial"/>
          <w:sz w:val="12"/>
          <w:szCs w:val="12"/>
          <w:color w:val="FFFFFF"/>
        </w:rPr>
        <w:t>Analysis</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Report of the</w:t>
      </w:r>
    </w:p>
    <w:p>
      <w:pPr>
        <w:spacing w:after="0" w:line="224" w:lineRule="auto"/>
        <w:rPr>
          <w:sz w:val="20"/>
          <w:szCs w:val="20"/>
          <w:color w:val="auto"/>
        </w:rPr>
      </w:pPr>
      <w:r>
        <w:rPr>
          <w:rFonts w:ascii="Arial" w:cs="Arial" w:eastAsia="Arial" w:hAnsi="Arial"/>
          <w:sz w:val="12"/>
          <w:szCs w:val="12"/>
          <w:color w:val="FFFFFF"/>
        </w:rPr>
        <w:t>Compensation</w:t>
      </w:r>
    </w:p>
    <w:p>
      <w:pPr>
        <w:spacing w:after="0" w:line="222" w:lineRule="auto"/>
        <w:rPr>
          <w:sz w:val="20"/>
          <w:szCs w:val="20"/>
          <w:color w:val="auto"/>
        </w:rPr>
      </w:pPr>
      <w:r>
        <w:rPr>
          <w:rFonts w:ascii="Arial" w:cs="Arial" w:eastAsia="Arial" w:hAnsi="Arial"/>
          <w:sz w:val="12"/>
          <w:szCs w:val="12"/>
          <w:color w:val="FFFFFF"/>
        </w:rPr>
        <w:t>and Human</w:t>
      </w:r>
    </w:p>
    <w:p>
      <w:pPr>
        <w:spacing w:after="0" w:line="222" w:lineRule="auto"/>
        <w:rPr>
          <w:sz w:val="20"/>
          <w:szCs w:val="20"/>
          <w:color w:val="auto"/>
        </w:rPr>
      </w:pPr>
      <w:r>
        <w:rPr>
          <w:rFonts w:ascii="Arial" w:cs="Arial" w:eastAsia="Arial" w:hAnsi="Arial"/>
          <w:sz w:val="12"/>
          <w:szCs w:val="12"/>
          <w:color w:val="FFFFFF"/>
        </w:rPr>
        <w:t>Resources</w:t>
      </w:r>
    </w:p>
    <w:p>
      <w:pPr>
        <w:spacing w:after="0" w:line="222" w:lineRule="auto"/>
        <w:rPr>
          <w:sz w:val="20"/>
          <w:szCs w:val="20"/>
          <w:color w:val="auto"/>
        </w:rPr>
      </w:pPr>
      <w:r>
        <w:rPr>
          <w:rFonts w:ascii="Arial" w:cs="Arial" w:eastAsia="Arial" w:hAnsi="Arial"/>
          <w:sz w:val="12"/>
          <w:szCs w:val="12"/>
          <w:color w:val="FFFFFF"/>
        </w:rPr>
        <w:t>Committee of the</w:t>
      </w:r>
    </w:p>
    <w:p>
      <w:pPr>
        <w:spacing w:after="0"/>
        <w:rPr>
          <w:sz w:val="20"/>
          <w:szCs w:val="20"/>
          <w:color w:val="auto"/>
        </w:rPr>
      </w:pPr>
      <w:r>
        <w:rPr>
          <w:rFonts w:ascii="Arial" w:cs="Arial" w:eastAsia="Arial" w:hAnsi="Arial"/>
          <w:sz w:val="11"/>
          <w:szCs w:val="11"/>
          <w:color w:val="FFFFFF"/>
        </w:rPr>
        <w:t>Board of Directors</w:t>
      </w:r>
    </w:p>
    <w:p>
      <w:pPr>
        <w:spacing w:after="0" w:line="155" w:lineRule="exact"/>
        <w:rPr>
          <w:sz w:val="20"/>
          <w:szCs w:val="20"/>
          <w:color w:val="auto"/>
        </w:rPr>
      </w:pPr>
    </w:p>
    <w:p>
      <w:pPr>
        <w:spacing w:after="0"/>
        <w:rPr>
          <w:sz w:val="20"/>
          <w:szCs w:val="20"/>
          <w:color w:val="auto"/>
        </w:rPr>
      </w:pPr>
      <w:r>
        <w:rPr>
          <w:rFonts w:ascii="Arial" w:cs="Arial" w:eastAsia="Arial" w:hAnsi="Arial"/>
          <w:sz w:val="12"/>
          <w:szCs w:val="12"/>
          <w:color w:val="FFFFFF"/>
        </w:rPr>
        <w:t>Compensation of</w:t>
      </w:r>
    </w:p>
    <w:p>
      <w:pPr>
        <w:spacing w:after="0" w:line="224" w:lineRule="auto"/>
        <w:rPr>
          <w:sz w:val="20"/>
          <w:szCs w:val="20"/>
          <w:color w:val="auto"/>
        </w:rPr>
      </w:pPr>
      <w:r>
        <w:rPr>
          <w:rFonts w:ascii="Arial" w:cs="Arial" w:eastAsia="Arial" w:hAnsi="Arial"/>
          <w:sz w:val="12"/>
          <w:szCs w:val="12"/>
          <w:color w:val="FFFFFF"/>
        </w:rPr>
        <w:t>Named Executive</w:t>
      </w:r>
    </w:p>
    <w:p>
      <w:pPr>
        <w:spacing w:after="0"/>
        <w:rPr>
          <w:sz w:val="20"/>
          <w:szCs w:val="20"/>
          <w:color w:val="auto"/>
        </w:rPr>
      </w:pPr>
      <w:r>
        <w:rPr>
          <w:rFonts w:ascii="Arial" w:cs="Arial" w:eastAsia="Arial" w:hAnsi="Arial"/>
          <w:sz w:val="12"/>
          <w:szCs w:val="12"/>
          <w:color w:val="FFFFFF"/>
        </w:rPr>
        <w:t>Officers</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Pay Versus</w:t>
      </w:r>
    </w:p>
    <w:p>
      <w:pPr>
        <w:spacing w:after="0" w:line="224" w:lineRule="auto"/>
        <w:rPr>
          <w:sz w:val="20"/>
          <w:szCs w:val="20"/>
          <w:color w:val="auto"/>
        </w:rPr>
      </w:pPr>
      <w:r>
        <w:rPr>
          <w:rFonts w:ascii="Arial" w:cs="Arial" w:eastAsia="Arial" w:hAnsi="Arial"/>
          <w:sz w:val="12"/>
          <w:szCs w:val="12"/>
          <w:color w:val="FFFFFF"/>
        </w:rPr>
        <w:t>Performance</w:t>
      </w:r>
    </w:p>
    <w:p>
      <w:pPr>
        <w:spacing w:after="0"/>
        <w:rPr>
          <w:sz w:val="20"/>
          <w:szCs w:val="20"/>
          <w:color w:val="auto"/>
        </w:rPr>
      </w:pPr>
      <w:r>
        <w:rPr>
          <w:rFonts w:ascii="Arial" w:cs="Arial" w:eastAsia="Arial" w:hAnsi="Arial"/>
          <w:sz w:val="12"/>
          <w:szCs w:val="12"/>
          <w:color w:val="FFFFFF"/>
        </w:rPr>
        <w:t>Disclosure</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Security</w:t>
      </w:r>
    </w:p>
    <w:p>
      <w:pPr>
        <w:spacing w:after="0" w:line="224" w:lineRule="auto"/>
        <w:rPr>
          <w:sz w:val="20"/>
          <w:szCs w:val="20"/>
          <w:color w:val="auto"/>
        </w:rPr>
      </w:pPr>
      <w:r>
        <w:rPr>
          <w:rFonts w:ascii="Arial" w:cs="Arial" w:eastAsia="Arial" w:hAnsi="Arial"/>
          <w:sz w:val="12"/>
          <w:szCs w:val="12"/>
          <w:color w:val="FFFFFF"/>
        </w:rPr>
        <w:t>Ownership of</w:t>
      </w:r>
    </w:p>
    <w:p>
      <w:pPr>
        <w:spacing w:after="0" w:line="222" w:lineRule="auto"/>
        <w:rPr>
          <w:sz w:val="20"/>
          <w:szCs w:val="20"/>
          <w:color w:val="auto"/>
        </w:rPr>
      </w:pPr>
      <w:r>
        <w:rPr>
          <w:rFonts w:ascii="Arial" w:cs="Arial" w:eastAsia="Arial" w:hAnsi="Arial"/>
          <w:sz w:val="12"/>
          <w:szCs w:val="12"/>
          <w:color w:val="FFFFFF"/>
        </w:rPr>
        <w:t>Certain Beneficial</w:t>
      </w:r>
    </w:p>
    <w:p>
      <w:pPr>
        <w:spacing w:after="0" w:line="222" w:lineRule="auto"/>
        <w:rPr>
          <w:sz w:val="20"/>
          <w:szCs w:val="20"/>
          <w:color w:val="auto"/>
        </w:rPr>
      </w:pPr>
      <w:r>
        <w:rPr>
          <w:rFonts w:ascii="Arial" w:cs="Arial" w:eastAsia="Arial" w:hAnsi="Arial"/>
          <w:sz w:val="12"/>
          <w:szCs w:val="12"/>
          <w:color w:val="FFFFFF"/>
        </w:rPr>
        <w:t>Owners and</w:t>
      </w:r>
    </w:p>
    <w:p>
      <w:pPr>
        <w:spacing w:after="0"/>
        <w:rPr>
          <w:sz w:val="20"/>
          <w:szCs w:val="20"/>
          <w:color w:val="auto"/>
        </w:rPr>
      </w:pPr>
      <w:r>
        <w:rPr>
          <w:rFonts w:ascii="Arial" w:cs="Arial" w:eastAsia="Arial" w:hAnsi="Arial"/>
          <w:sz w:val="12"/>
          <w:szCs w:val="12"/>
          <w:color w:val="FFFFFF"/>
        </w:rPr>
        <w:t>Management</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Certain</w:t>
      </w:r>
    </w:p>
    <w:p>
      <w:pPr>
        <w:spacing w:after="0" w:line="224" w:lineRule="auto"/>
        <w:rPr>
          <w:sz w:val="20"/>
          <w:szCs w:val="20"/>
          <w:color w:val="auto"/>
        </w:rPr>
      </w:pPr>
      <w:r>
        <w:rPr>
          <w:rFonts w:ascii="Arial" w:cs="Arial" w:eastAsia="Arial" w:hAnsi="Arial"/>
          <w:sz w:val="12"/>
          <w:szCs w:val="12"/>
          <w:color w:val="FFFFFF"/>
        </w:rPr>
        <w:t>Relationships and</w:t>
      </w:r>
    </w:p>
    <w:p>
      <w:pPr>
        <w:spacing w:after="0" w:line="222" w:lineRule="auto"/>
        <w:rPr>
          <w:sz w:val="20"/>
          <w:szCs w:val="20"/>
          <w:color w:val="auto"/>
        </w:rPr>
      </w:pPr>
      <w:r>
        <w:rPr>
          <w:rFonts w:ascii="Arial" w:cs="Arial" w:eastAsia="Arial" w:hAnsi="Arial"/>
          <w:sz w:val="12"/>
          <w:szCs w:val="12"/>
          <w:color w:val="FFFFFF"/>
        </w:rPr>
        <w:t>Related Party</w:t>
      </w:r>
    </w:p>
    <w:p>
      <w:pPr>
        <w:spacing w:after="0"/>
        <w:rPr>
          <w:sz w:val="20"/>
          <w:szCs w:val="20"/>
          <w:color w:val="auto"/>
        </w:rPr>
      </w:pPr>
      <w:r>
        <w:rPr>
          <w:rFonts w:ascii="Arial" w:cs="Arial" w:eastAsia="Arial" w:hAnsi="Arial"/>
          <w:sz w:val="12"/>
          <w:szCs w:val="12"/>
          <w:color w:val="FFFFFF"/>
        </w:rPr>
        <w:t>Transactions</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Proposal 2</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FFFFFF"/>
        </w:rPr>
        <w:t>Report of the</w:t>
      </w:r>
    </w:p>
    <w:p>
      <w:pPr>
        <w:spacing w:after="0" w:line="224" w:lineRule="auto"/>
        <w:rPr>
          <w:sz w:val="20"/>
          <w:szCs w:val="20"/>
          <w:color w:val="auto"/>
        </w:rPr>
      </w:pPr>
      <w:r>
        <w:rPr>
          <w:rFonts w:ascii="Arial" w:cs="Arial" w:eastAsia="Arial" w:hAnsi="Arial"/>
          <w:sz w:val="12"/>
          <w:szCs w:val="12"/>
          <w:color w:val="FFFFFF"/>
        </w:rPr>
        <w:t>Audit and Risk</w:t>
      </w:r>
    </w:p>
    <w:p>
      <w:pPr>
        <w:spacing w:after="0" w:line="222" w:lineRule="auto"/>
        <w:rPr>
          <w:sz w:val="20"/>
          <w:szCs w:val="20"/>
          <w:color w:val="auto"/>
        </w:rPr>
      </w:pPr>
      <w:r>
        <w:rPr>
          <w:rFonts w:ascii="Arial" w:cs="Arial" w:eastAsia="Arial" w:hAnsi="Arial"/>
          <w:sz w:val="12"/>
          <w:szCs w:val="12"/>
          <w:color w:val="FFFFFF"/>
        </w:rPr>
        <w:t>Committee of the</w:t>
      </w:r>
    </w:p>
    <w:p>
      <w:pPr>
        <w:spacing w:after="0"/>
        <w:rPr>
          <w:sz w:val="20"/>
          <w:szCs w:val="20"/>
          <w:color w:val="auto"/>
        </w:rPr>
      </w:pPr>
      <w:r>
        <w:rPr>
          <w:rFonts w:ascii="Arial" w:cs="Arial" w:eastAsia="Arial" w:hAnsi="Arial"/>
          <w:sz w:val="11"/>
          <w:szCs w:val="11"/>
          <w:color w:val="FFFFFF"/>
        </w:rPr>
        <w:t>Board of Directors</w:t>
      </w:r>
    </w:p>
    <w:p>
      <w:pPr>
        <w:spacing w:after="0" w:line="155" w:lineRule="exact"/>
        <w:rPr>
          <w:sz w:val="20"/>
          <w:szCs w:val="20"/>
          <w:color w:val="auto"/>
        </w:rPr>
      </w:pPr>
    </w:p>
    <w:p>
      <w:pPr>
        <w:spacing w:after="0"/>
        <w:rPr>
          <w:sz w:val="20"/>
          <w:szCs w:val="20"/>
          <w:color w:val="auto"/>
        </w:rPr>
      </w:pPr>
      <w:r>
        <w:rPr>
          <w:rFonts w:ascii="Arial" w:cs="Arial" w:eastAsia="Arial" w:hAnsi="Arial"/>
          <w:sz w:val="12"/>
          <w:szCs w:val="12"/>
          <w:color w:val="FFFFFF"/>
        </w:rPr>
        <w:t>Proposal 3</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FFFFFF"/>
        </w:rPr>
        <w:t>Proposal 4</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FFFFFF"/>
        </w:rPr>
        <w:t>Proposal 5</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FFFFFF"/>
        </w:rPr>
        <w:t>Proposal 6</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FFFFFF"/>
        </w:rPr>
        <w:t>Stockholder</w:t>
      </w:r>
    </w:p>
    <w:p>
      <w:pPr>
        <w:spacing w:after="0" w:line="224" w:lineRule="auto"/>
        <w:rPr>
          <w:sz w:val="20"/>
          <w:szCs w:val="20"/>
          <w:color w:val="auto"/>
        </w:rPr>
      </w:pPr>
      <w:r>
        <w:rPr>
          <w:rFonts w:ascii="Arial" w:cs="Arial" w:eastAsia="Arial" w:hAnsi="Arial"/>
          <w:sz w:val="12"/>
          <w:szCs w:val="12"/>
          <w:color w:val="FFFFFF"/>
        </w:rPr>
        <w:t>Proposals and</w:t>
      </w:r>
    </w:p>
    <w:p>
      <w:pPr>
        <w:spacing w:after="0"/>
        <w:rPr>
          <w:sz w:val="20"/>
          <w:szCs w:val="20"/>
          <w:color w:val="auto"/>
        </w:rPr>
      </w:pPr>
      <w:r>
        <w:rPr>
          <w:rFonts w:ascii="Arial" w:cs="Arial" w:eastAsia="Arial" w:hAnsi="Arial"/>
          <w:sz w:val="12"/>
          <w:szCs w:val="12"/>
          <w:color w:val="FFFFFF"/>
        </w:rPr>
        <w:t>Other Matters</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Delinquent</w:t>
      </w:r>
    </w:p>
    <w:p>
      <w:pPr>
        <w:spacing w:after="0" w:line="224" w:lineRule="auto"/>
        <w:rPr>
          <w:sz w:val="20"/>
          <w:szCs w:val="20"/>
          <w:color w:val="auto"/>
        </w:rPr>
      </w:pPr>
      <w:r>
        <w:rPr>
          <w:rFonts w:ascii="Arial" w:cs="Arial" w:eastAsia="Arial" w:hAnsi="Arial"/>
          <w:sz w:val="12"/>
          <w:szCs w:val="12"/>
          <w:color w:val="FFFFFF"/>
        </w:rPr>
        <w:t>Section 16(a)</w:t>
      </w:r>
    </w:p>
    <w:p>
      <w:pPr>
        <w:spacing w:after="0"/>
        <w:rPr>
          <w:sz w:val="20"/>
          <w:szCs w:val="20"/>
          <w:color w:val="auto"/>
        </w:rPr>
      </w:pPr>
      <w:r>
        <w:rPr>
          <w:rFonts w:ascii="Arial" w:cs="Arial" w:eastAsia="Arial" w:hAnsi="Arial"/>
          <w:sz w:val="12"/>
          <w:szCs w:val="12"/>
          <w:color w:val="FFFFFF"/>
        </w:rPr>
        <w:t>Reports</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Other</w:t>
      </w:r>
    </w:p>
    <w:p>
      <w:pPr>
        <w:spacing w:after="0" w:line="2" w:lineRule="exact"/>
        <w:rPr>
          <w:sz w:val="20"/>
          <w:szCs w:val="20"/>
          <w:color w:val="auto"/>
        </w:rPr>
      </w:pPr>
    </w:p>
    <w:p>
      <w:pPr>
        <w:spacing w:after="0"/>
        <w:rPr>
          <w:sz w:val="20"/>
          <w:szCs w:val="20"/>
          <w:color w:val="auto"/>
        </w:rPr>
      </w:pPr>
      <w:r>
        <w:rPr>
          <w:rFonts w:ascii="Arial" w:cs="Arial" w:eastAsia="Arial" w:hAnsi="Arial"/>
          <w:sz w:val="12"/>
          <w:szCs w:val="12"/>
          <w:color w:val="FFFFFF"/>
        </w:rPr>
        <w:t>Information</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Appendix A</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FFFFFF"/>
        </w:rPr>
        <w:t>Appendix B</w:t>
      </w:r>
    </w:p>
    <w:p>
      <w:pPr>
        <w:spacing w:after="0" w:line="200" w:lineRule="exact"/>
        <w:rPr>
          <w:sz w:val="20"/>
          <w:szCs w:val="20"/>
          <w:color w:val="auto"/>
        </w:rPr>
      </w:pPr>
    </w:p>
    <w:p>
      <w:pPr>
        <w:sectPr>
          <w:pgSz w:w="11900" w:h="16838" w:orient="portrait"/>
          <w:cols w:equalWidth="0" w:num="2">
            <w:col w:w="8500" w:space="720"/>
            <w:col w:w="1580"/>
          </w:cols>
          <w:pgMar w:left="320" w:top="464" w:right="7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6380"/>
        <w:spacing w:after="0"/>
        <w:tabs>
          <w:tab w:leader="none" w:pos="8500" w:val="left"/>
          <w:tab w:leader="none" w:pos="9960" w:val="left"/>
        </w:tabs>
        <w:rPr>
          <w:sz w:val="20"/>
          <w:szCs w:val="20"/>
          <w:color w:val="auto"/>
        </w:rPr>
      </w:pPr>
      <w:r>
        <w:rPr>
          <w:rFonts w:ascii="Arial" w:cs="Arial" w:eastAsia="Arial" w:hAnsi="Arial"/>
          <w:sz w:val="15"/>
          <w:szCs w:val="15"/>
          <w:b w:val="1"/>
          <w:bCs w:val="1"/>
          <w:color w:val="002B5F"/>
        </w:rPr>
        <w:t xml:space="preserve">2026 Proxy Statement  </w:t>
      </w:r>
      <w:r>
        <w:rPr>
          <w:rFonts w:ascii="Arial" w:cs="Arial" w:eastAsia="Arial" w:hAnsi="Arial"/>
          <w:sz w:val="20"/>
          <w:szCs w:val="20"/>
          <w:color w:val="002B5F"/>
        </w:rPr>
        <w:t>|</w:t>
      </w:r>
      <w:r>
        <w:rPr>
          <w:rFonts w:ascii="Arial" w:cs="Arial" w:eastAsia="Arial" w:hAnsi="Arial"/>
          <w:sz w:val="15"/>
          <w:szCs w:val="15"/>
          <w:b w:val="1"/>
          <w:bCs w:val="1"/>
          <w:color w:val="002B5F"/>
        </w:rPr>
        <w:t xml:space="preserve">  29</w:t>
      </w:r>
      <w:r>
        <w:rPr>
          <w:sz w:val="20"/>
          <w:szCs w:val="20"/>
          <w:color w:val="auto"/>
        </w:rPr>
        <w:tab/>
      </w:r>
      <w:r>
        <w:rPr>
          <w:rFonts w:ascii="Arial" w:cs="Arial" w:eastAsia="Arial" w:hAnsi="Arial"/>
          <w:sz w:val="17"/>
          <w:szCs w:val="17"/>
          <w:color w:val="auto"/>
        </w:rPr>
        <w:t xml:space="preserve">    </w:t>
      </w:r>
      <w:r>
        <w:rPr>
          <w:sz w:val="20"/>
          <w:szCs w:val="20"/>
          <w:color w:val="auto"/>
        </w:rPr>
        <w:tab/>
      </w:r>
      <w:r>
        <w:rPr>
          <w:rFonts w:ascii="Arial" w:cs="Arial" w:eastAsia="Arial" w:hAnsi="Arial"/>
          <w:sz w:val="17"/>
          <w:szCs w:val="17"/>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268605</wp:posOffset>
            </wp:positionH>
            <wp:positionV relativeFrom="paragraph">
              <wp:posOffset>-128905</wp:posOffset>
            </wp:positionV>
            <wp:extent cx="762000" cy="971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62000" cy="97155"/>
                    </a:xfrm>
                    <a:prstGeom prst="rect">
                      <a:avLst/>
                    </a:prstGeom>
                    <a:noFill/>
                  </pic:spPr>
                </pic:pic>
              </a:graphicData>
            </a:graphic>
          </wp:anchor>
        </w:drawing>
      </w:r>
    </w:p>
    <w:p>
      <w:pPr>
        <w:sectPr>
          <w:pgSz w:w="11900" w:h="16838" w:orient="portrait"/>
          <w:cols w:equalWidth="0" w:num="1">
            <w:col w:w="10800"/>
          </w:cols>
          <w:pgMar w:left="320" w:top="464" w:right="779" w:bottom="1440" w:gutter="0" w:footer="0" w:header="0"/>
          <w:type w:val="continuous"/>
        </w:sectPr>
      </w:pPr>
    </w:p>
    <w:bookmarkStart w:id="37" w:name="page38"/>
    <w:bookmarkEnd w:id="37"/>
    <w:p>
      <w:pPr>
        <w:spacing w:after="0"/>
        <w:rPr>
          <w:sz w:val="20"/>
          <w:szCs w:val="20"/>
          <w:color w:val="auto"/>
        </w:rPr>
      </w:pPr>
      <w:r>
        <w:rPr>
          <w:rFonts w:ascii="Times New Roman" w:cs="Times New Roman" w:eastAsia="Times New Roman" w:hAnsi="Times New Roman"/>
          <w:sz w:val="17"/>
          <w:szCs w:val="17"/>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268605</wp:posOffset>
            </wp:positionH>
            <wp:positionV relativeFrom="paragraph">
              <wp:posOffset>253365</wp:posOffset>
            </wp:positionV>
            <wp:extent cx="1183005" cy="745617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183005" cy="7456170"/>
                    </a:xfrm>
                    <a:prstGeom prst="rect">
                      <a:avLst/>
                    </a:prstGeom>
                    <a:noFill/>
                  </pic:spPr>
                </pic:pic>
              </a:graphicData>
            </a:graphic>
          </wp:anchor>
        </w:drawing>
      </w:r>
    </w:p>
    <w:p>
      <w:pPr>
        <w:spacing w:after="0" w:line="200" w:lineRule="exact"/>
        <w:rPr>
          <w:sz w:val="20"/>
          <w:szCs w:val="20"/>
          <w:color w:val="auto"/>
        </w:rPr>
      </w:pPr>
    </w:p>
    <w:p>
      <w:pPr>
        <w:spacing w:after="0" w:line="304" w:lineRule="exact"/>
        <w:rPr>
          <w:sz w:val="20"/>
          <w:szCs w:val="20"/>
          <w:color w:val="auto"/>
        </w:rPr>
      </w:pPr>
    </w:p>
    <w:p>
      <w:pPr>
        <w:ind w:left="1120" w:right="460" w:hanging="672"/>
        <w:spacing w:after="0" w:line="382" w:lineRule="auto"/>
        <w:tabs>
          <w:tab w:leader="none" w:pos="610" w:val="left"/>
        </w:tabs>
        <w:numPr>
          <w:ilvl w:val="0"/>
          <w:numId w:val="51"/>
        </w:numPr>
        <w:rPr>
          <w:rFonts w:ascii="Arial" w:cs="Arial" w:eastAsia="Arial" w:hAnsi="Arial"/>
          <w:sz w:val="24"/>
          <w:szCs w:val="24"/>
          <w:color w:val="auto"/>
          <w:vertAlign w:val="subscript"/>
        </w:rPr>
      </w:pPr>
      <w:r>
        <w:rPr>
          <w:rFonts w:ascii="Arial" w:cs="Arial" w:eastAsia="Arial" w:hAnsi="Arial"/>
          <w:sz w:val="24"/>
          <w:szCs w:val="24"/>
          <w:color w:val="000000"/>
          <w:vertAlign w:val="subscript"/>
        </w:rPr>
        <w:t xml:space="preserve">     </w:t>
      </w:r>
      <w:r>
        <w:rPr>
          <w:rFonts w:ascii="Arial" w:cs="Arial" w:eastAsia="Arial" w:hAnsi="Arial"/>
          <w:sz w:val="10"/>
          <w:szCs w:val="10"/>
          <w:color w:val="FFFFFF"/>
        </w:rPr>
        <w:t xml:space="preserve"> General Information</w:t>
      </w:r>
    </w:p>
    <w:p>
      <w:pPr>
        <w:spacing w:after="0" w:line="1" w:lineRule="exact"/>
        <w:rPr>
          <w:sz w:val="20"/>
          <w:szCs w:val="20"/>
          <w:color w:val="auto"/>
        </w:rPr>
      </w:pPr>
    </w:p>
    <w:p>
      <w:pPr>
        <w:ind w:left="1120"/>
        <w:spacing w:after="0"/>
        <w:rPr>
          <w:sz w:val="20"/>
          <w:szCs w:val="20"/>
          <w:color w:val="auto"/>
        </w:rPr>
      </w:pPr>
      <w:r>
        <w:rPr>
          <w:rFonts w:ascii="Arial" w:cs="Arial" w:eastAsia="Arial" w:hAnsi="Arial"/>
          <w:sz w:val="11"/>
          <w:szCs w:val="11"/>
          <w:color w:val="FFFFFF"/>
        </w:rPr>
        <w:t>General Information</w:t>
      </w:r>
    </w:p>
    <w:p>
      <w:pPr>
        <w:spacing w:after="0" w:line="3"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About Corporate</w:t>
      </w:r>
    </w:p>
    <w:p>
      <w:pPr>
        <w:ind w:left="1120"/>
        <w:spacing w:after="0" w:line="221" w:lineRule="auto"/>
        <w:rPr>
          <w:sz w:val="20"/>
          <w:szCs w:val="20"/>
          <w:color w:val="auto"/>
        </w:rPr>
      </w:pPr>
      <w:r>
        <w:rPr>
          <w:rFonts w:ascii="Arial" w:cs="Arial" w:eastAsia="Arial" w:hAnsi="Arial"/>
          <w:sz w:val="12"/>
          <w:szCs w:val="12"/>
          <w:color w:val="FFFFFF"/>
        </w:rPr>
        <w:t>Governance</w:t>
      </w:r>
    </w:p>
    <w:p>
      <w:pPr>
        <w:ind w:left="1120"/>
        <w:spacing w:after="0" w:line="222" w:lineRule="auto"/>
        <w:rPr>
          <w:sz w:val="20"/>
          <w:szCs w:val="20"/>
          <w:color w:val="auto"/>
        </w:rPr>
      </w:pPr>
      <w:r>
        <w:rPr>
          <w:rFonts w:ascii="Arial" w:cs="Arial" w:eastAsia="Arial" w:hAnsi="Arial"/>
          <w:sz w:val="12"/>
          <w:szCs w:val="12"/>
          <w:color w:val="FFFFFF"/>
        </w:rPr>
        <w:t>and the Board of</w:t>
      </w:r>
    </w:p>
    <w:p>
      <w:pPr>
        <w:spacing w:after="0" w:line="1"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Directors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Proposal 1</w:t>
      </w:r>
    </w:p>
    <w:p>
      <w:pPr>
        <w:spacing w:after="0" w:line="156" w:lineRule="exact"/>
        <w:rPr>
          <w:sz w:val="20"/>
          <w:szCs w:val="20"/>
          <w:color w:val="auto"/>
        </w:rPr>
      </w:pPr>
    </w:p>
    <w:p>
      <w:pPr>
        <w:ind w:left="1120" w:right="80"/>
        <w:spacing w:after="0" w:line="265" w:lineRule="auto"/>
        <w:rPr>
          <w:sz w:val="20"/>
          <w:szCs w:val="20"/>
          <w:color w:val="auto"/>
        </w:rPr>
      </w:pPr>
      <w:r>
        <w:rPr>
          <w:rFonts w:ascii="Arial" w:cs="Arial" w:eastAsia="Arial" w:hAnsi="Arial"/>
          <w:sz w:val="11"/>
          <w:szCs w:val="11"/>
          <w:b w:val="1"/>
          <w:bCs w:val="1"/>
          <w:color w:val="FFFFFF"/>
        </w:rPr>
        <w:t>Information Regarding Board and Committee Structure</w:t>
      </w:r>
    </w:p>
    <w:p>
      <w:pPr>
        <w:spacing w:after="0" w:line="118"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Board of Directors</w:t>
      </w:r>
    </w:p>
    <w:p>
      <w:pPr>
        <w:spacing w:after="0" w:line="2"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Compensation</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Compensation</w:t>
      </w:r>
    </w:p>
    <w:p>
      <w:pPr>
        <w:ind w:left="1120"/>
        <w:spacing w:after="0" w:line="224" w:lineRule="auto"/>
        <w:rPr>
          <w:sz w:val="20"/>
          <w:szCs w:val="20"/>
          <w:color w:val="auto"/>
        </w:rPr>
      </w:pPr>
      <w:r>
        <w:rPr>
          <w:rFonts w:ascii="Arial" w:cs="Arial" w:eastAsia="Arial" w:hAnsi="Arial"/>
          <w:sz w:val="12"/>
          <w:szCs w:val="12"/>
          <w:color w:val="FFFFFF"/>
        </w:rPr>
        <w:t>Discussion and</w:t>
      </w:r>
    </w:p>
    <w:p>
      <w:pPr>
        <w:ind w:left="1120"/>
        <w:spacing w:after="0"/>
        <w:rPr>
          <w:sz w:val="20"/>
          <w:szCs w:val="20"/>
          <w:color w:val="auto"/>
        </w:rPr>
      </w:pPr>
      <w:r>
        <w:rPr>
          <w:rFonts w:ascii="Arial" w:cs="Arial" w:eastAsia="Arial" w:hAnsi="Arial"/>
          <w:sz w:val="12"/>
          <w:szCs w:val="12"/>
          <w:color w:val="FFFFFF"/>
        </w:rPr>
        <w:t>Analysis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Report of the</w:t>
      </w:r>
    </w:p>
    <w:p>
      <w:pPr>
        <w:ind w:left="1120"/>
        <w:spacing w:after="0" w:line="224" w:lineRule="auto"/>
        <w:rPr>
          <w:sz w:val="20"/>
          <w:szCs w:val="20"/>
          <w:color w:val="auto"/>
        </w:rPr>
      </w:pPr>
      <w:r>
        <w:rPr>
          <w:rFonts w:ascii="Arial" w:cs="Arial" w:eastAsia="Arial" w:hAnsi="Arial"/>
          <w:sz w:val="12"/>
          <w:szCs w:val="12"/>
          <w:color w:val="FFFFFF"/>
        </w:rPr>
        <w:t>Compensation</w:t>
      </w:r>
    </w:p>
    <w:p>
      <w:pPr>
        <w:ind w:left="1120"/>
        <w:spacing w:after="0" w:line="222" w:lineRule="auto"/>
        <w:rPr>
          <w:sz w:val="20"/>
          <w:szCs w:val="20"/>
          <w:color w:val="auto"/>
        </w:rPr>
      </w:pPr>
      <w:r>
        <w:rPr>
          <w:rFonts w:ascii="Arial" w:cs="Arial" w:eastAsia="Arial" w:hAnsi="Arial"/>
          <w:sz w:val="12"/>
          <w:szCs w:val="12"/>
          <w:color w:val="FFFFFF"/>
        </w:rPr>
        <w:t>and Human</w:t>
      </w:r>
    </w:p>
    <w:p>
      <w:pPr>
        <w:ind w:left="1120"/>
        <w:spacing w:after="0" w:line="222" w:lineRule="auto"/>
        <w:rPr>
          <w:sz w:val="20"/>
          <w:szCs w:val="20"/>
          <w:color w:val="auto"/>
        </w:rPr>
      </w:pPr>
      <w:r>
        <w:rPr>
          <w:rFonts w:ascii="Arial" w:cs="Arial" w:eastAsia="Arial" w:hAnsi="Arial"/>
          <w:sz w:val="12"/>
          <w:szCs w:val="12"/>
          <w:color w:val="FFFFFF"/>
        </w:rPr>
        <w:t>Resources</w:t>
      </w:r>
    </w:p>
    <w:p>
      <w:pPr>
        <w:ind w:left="1120"/>
        <w:spacing w:after="0" w:line="222" w:lineRule="auto"/>
        <w:rPr>
          <w:sz w:val="20"/>
          <w:szCs w:val="20"/>
          <w:color w:val="auto"/>
        </w:rPr>
      </w:pPr>
      <w:r>
        <w:rPr>
          <w:rFonts w:ascii="Arial" w:cs="Arial" w:eastAsia="Arial" w:hAnsi="Arial"/>
          <w:sz w:val="12"/>
          <w:szCs w:val="12"/>
          <w:color w:val="FFFFFF"/>
        </w:rPr>
        <w:t>Committee of the</w:t>
      </w:r>
    </w:p>
    <w:p>
      <w:pPr>
        <w:ind w:left="1120"/>
        <w:spacing w:after="0"/>
        <w:rPr>
          <w:sz w:val="20"/>
          <w:szCs w:val="20"/>
          <w:color w:val="auto"/>
        </w:rPr>
      </w:pPr>
      <w:r>
        <w:rPr>
          <w:rFonts w:ascii="Arial" w:cs="Arial" w:eastAsia="Arial" w:hAnsi="Arial"/>
          <w:sz w:val="12"/>
          <w:szCs w:val="12"/>
          <w:color w:val="FFFFFF"/>
        </w:rPr>
        <w:t>Board of Directors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Compensation of</w:t>
      </w:r>
    </w:p>
    <w:p>
      <w:pPr>
        <w:ind w:left="1120"/>
        <w:spacing w:after="0" w:line="224" w:lineRule="auto"/>
        <w:rPr>
          <w:sz w:val="20"/>
          <w:szCs w:val="20"/>
          <w:color w:val="auto"/>
        </w:rPr>
      </w:pPr>
      <w:r>
        <w:rPr>
          <w:rFonts w:ascii="Arial" w:cs="Arial" w:eastAsia="Arial" w:hAnsi="Arial"/>
          <w:sz w:val="12"/>
          <w:szCs w:val="12"/>
          <w:color w:val="FFFFFF"/>
        </w:rPr>
        <w:t>Named Executive</w:t>
      </w:r>
    </w:p>
    <w:p>
      <w:pPr>
        <w:ind w:left="1120"/>
        <w:spacing w:after="0"/>
        <w:rPr>
          <w:sz w:val="20"/>
          <w:szCs w:val="20"/>
          <w:color w:val="auto"/>
        </w:rPr>
      </w:pPr>
      <w:r>
        <w:rPr>
          <w:rFonts w:ascii="Arial" w:cs="Arial" w:eastAsia="Arial" w:hAnsi="Arial"/>
          <w:sz w:val="12"/>
          <w:szCs w:val="12"/>
          <w:color w:val="FFFFFF"/>
        </w:rPr>
        <w:t>Officers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Pay Versus</w:t>
      </w:r>
    </w:p>
    <w:p>
      <w:pPr>
        <w:ind w:left="1120"/>
        <w:spacing w:after="0" w:line="224" w:lineRule="auto"/>
        <w:rPr>
          <w:sz w:val="20"/>
          <w:szCs w:val="20"/>
          <w:color w:val="auto"/>
        </w:rPr>
      </w:pPr>
      <w:r>
        <w:rPr>
          <w:rFonts w:ascii="Arial" w:cs="Arial" w:eastAsia="Arial" w:hAnsi="Arial"/>
          <w:sz w:val="12"/>
          <w:szCs w:val="12"/>
          <w:color w:val="FFFFFF"/>
        </w:rPr>
        <w:t>Performance</w:t>
      </w:r>
    </w:p>
    <w:p>
      <w:pPr>
        <w:ind w:left="1120"/>
        <w:spacing w:after="0"/>
        <w:rPr>
          <w:sz w:val="20"/>
          <w:szCs w:val="20"/>
          <w:color w:val="auto"/>
        </w:rPr>
      </w:pPr>
      <w:r>
        <w:rPr>
          <w:rFonts w:ascii="Arial" w:cs="Arial" w:eastAsia="Arial" w:hAnsi="Arial"/>
          <w:sz w:val="12"/>
          <w:szCs w:val="12"/>
          <w:color w:val="FFFFFF"/>
        </w:rPr>
        <w:t>Disclosure</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Security</w:t>
      </w:r>
    </w:p>
    <w:p>
      <w:pPr>
        <w:ind w:left="1120"/>
        <w:spacing w:after="0" w:line="224" w:lineRule="auto"/>
        <w:rPr>
          <w:sz w:val="20"/>
          <w:szCs w:val="20"/>
          <w:color w:val="auto"/>
        </w:rPr>
      </w:pPr>
      <w:r>
        <w:rPr>
          <w:rFonts w:ascii="Arial" w:cs="Arial" w:eastAsia="Arial" w:hAnsi="Arial"/>
          <w:sz w:val="12"/>
          <w:szCs w:val="12"/>
          <w:color w:val="FFFFFF"/>
        </w:rPr>
        <w:t>Ownership of</w:t>
      </w:r>
    </w:p>
    <w:p>
      <w:pPr>
        <w:ind w:left="1120"/>
        <w:spacing w:after="0" w:line="222" w:lineRule="auto"/>
        <w:rPr>
          <w:sz w:val="20"/>
          <w:szCs w:val="20"/>
          <w:color w:val="auto"/>
        </w:rPr>
      </w:pPr>
      <w:r>
        <w:rPr>
          <w:rFonts w:ascii="Arial" w:cs="Arial" w:eastAsia="Arial" w:hAnsi="Arial"/>
          <w:sz w:val="12"/>
          <w:szCs w:val="12"/>
          <w:color w:val="FFFFFF"/>
        </w:rPr>
        <w:t>Certain Beneficial</w:t>
      </w:r>
    </w:p>
    <w:p>
      <w:pPr>
        <w:ind w:left="1120"/>
        <w:spacing w:after="0" w:line="222" w:lineRule="auto"/>
        <w:rPr>
          <w:sz w:val="20"/>
          <w:szCs w:val="20"/>
          <w:color w:val="auto"/>
        </w:rPr>
      </w:pPr>
      <w:r>
        <w:rPr>
          <w:rFonts w:ascii="Arial" w:cs="Arial" w:eastAsia="Arial" w:hAnsi="Arial"/>
          <w:sz w:val="12"/>
          <w:szCs w:val="12"/>
          <w:color w:val="FFFFFF"/>
        </w:rPr>
        <w:t>Owners and</w:t>
      </w:r>
    </w:p>
    <w:p>
      <w:pPr>
        <w:ind w:left="1120"/>
        <w:spacing w:after="0"/>
        <w:rPr>
          <w:sz w:val="20"/>
          <w:szCs w:val="20"/>
          <w:color w:val="auto"/>
        </w:rPr>
      </w:pPr>
      <w:r>
        <w:rPr>
          <w:rFonts w:ascii="Arial" w:cs="Arial" w:eastAsia="Arial" w:hAnsi="Arial"/>
          <w:sz w:val="12"/>
          <w:szCs w:val="12"/>
          <w:color w:val="FFFFFF"/>
        </w:rPr>
        <w:t>Management</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Certain</w:t>
      </w:r>
    </w:p>
    <w:p>
      <w:pPr>
        <w:ind w:left="1120"/>
        <w:spacing w:after="0" w:line="224" w:lineRule="auto"/>
        <w:rPr>
          <w:sz w:val="20"/>
          <w:szCs w:val="20"/>
          <w:color w:val="auto"/>
        </w:rPr>
      </w:pPr>
      <w:r>
        <w:rPr>
          <w:rFonts w:ascii="Arial" w:cs="Arial" w:eastAsia="Arial" w:hAnsi="Arial"/>
          <w:sz w:val="12"/>
          <w:szCs w:val="12"/>
          <w:color w:val="FFFFFF"/>
        </w:rPr>
        <w:t>Relationships and</w:t>
      </w:r>
    </w:p>
    <w:p>
      <w:pPr>
        <w:ind w:left="1120"/>
        <w:spacing w:after="0" w:line="222" w:lineRule="auto"/>
        <w:rPr>
          <w:sz w:val="20"/>
          <w:szCs w:val="20"/>
          <w:color w:val="auto"/>
        </w:rPr>
      </w:pPr>
      <w:r>
        <w:rPr>
          <w:rFonts w:ascii="Arial" w:cs="Arial" w:eastAsia="Arial" w:hAnsi="Arial"/>
          <w:sz w:val="12"/>
          <w:szCs w:val="12"/>
          <w:color w:val="FFFFFF"/>
        </w:rPr>
        <w:t>Related Party</w:t>
      </w:r>
    </w:p>
    <w:p>
      <w:pPr>
        <w:ind w:left="1120"/>
        <w:spacing w:after="0"/>
        <w:rPr>
          <w:sz w:val="20"/>
          <w:szCs w:val="20"/>
          <w:color w:val="auto"/>
        </w:rPr>
      </w:pPr>
      <w:r>
        <w:rPr>
          <w:rFonts w:ascii="Arial" w:cs="Arial" w:eastAsia="Arial" w:hAnsi="Arial"/>
          <w:sz w:val="12"/>
          <w:szCs w:val="12"/>
          <w:color w:val="FFFFFF"/>
        </w:rPr>
        <w:t>Transactions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Proposal 2</w:t>
      </w:r>
    </w:p>
    <w:p>
      <w:pPr>
        <w:spacing w:after="0" w:line="156"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Report of the</w:t>
      </w:r>
    </w:p>
    <w:p>
      <w:pPr>
        <w:ind w:left="1120"/>
        <w:spacing w:after="0" w:line="224" w:lineRule="auto"/>
        <w:rPr>
          <w:sz w:val="20"/>
          <w:szCs w:val="20"/>
          <w:color w:val="auto"/>
        </w:rPr>
      </w:pPr>
      <w:r>
        <w:rPr>
          <w:rFonts w:ascii="Arial" w:cs="Arial" w:eastAsia="Arial" w:hAnsi="Arial"/>
          <w:sz w:val="12"/>
          <w:szCs w:val="12"/>
          <w:color w:val="FFFFFF"/>
        </w:rPr>
        <w:t>Audit and Risk</w:t>
      </w:r>
    </w:p>
    <w:p>
      <w:pPr>
        <w:ind w:left="1120"/>
        <w:spacing w:after="0" w:line="222" w:lineRule="auto"/>
        <w:rPr>
          <w:sz w:val="20"/>
          <w:szCs w:val="20"/>
          <w:color w:val="auto"/>
        </w:rPr>
      </w:pPr>
      <w:r>
        <w:rPr>
          <w:rFonts w:ascii="Arial" w:cs="Arial" w:eastAsia="Arial" w:hAnsi="Arial"/>
          <w:sz w:val="12"/>
          <w:szCs w:val="12"/>
          <w:color w:val="FFFFFF"/>
        </w:rPr>
        <w:t>Committee of the</w:t>
      </w:r>
    </w:p>
    <w:p>
      <w:pPr>
        <w:ind w:left="1120"/>
        <w:spacing w:after="0"/>
        <w:rPr>
          <w:sz w:val="20"/>
          <w:szCs w:val="20"/>
          <w:color w:val="auto"/>
        </w:rPr>
      </w:pPr>
      <w:r>
        <w:rPr>
          <w:rFonts w:ascii="Arial" w:cs="Arial" w:eastAsia="Arial" w:hAnsi="Arial"/>
          <w:sz w:val="12"/>
          <w:szCs w:val="12"/>
          <w:color w:val="FFFFFF"/>
        </w:rPr>
        <w:t>Board of Directors</w:t>
      </w:r>
    </w:p>
    <w:p>
      <w:pPr>
        <w:spacing w:after="0" w:line="144" w:lineRule="exact"/>
        <w:rPr>
          <w:sz w:val="20"/>
          <w:szCs w:val="20"/>
          <w:color w:val="auto"/>
        </w:rPr>
      </w:pPr>
    </w:p>
    <w:p>
      <w:pPr>
        <w:jc w:val="center"/>
        <w:ind w:left="620"/>
        <w:spacing w:after="0"/>
        <w:rPr>
          <w:sz w:val="20"/>
          <w:szCs w:val="20"/>
          <w:color w:val="auto"/>
        </w:rPr>
      </w:pPr>
      <w:r>
        <w:rPr>
          <w:rFonts w:ascii="Arial" w:cs="Arial" w:eastAsia="Arial" w:hAnsi="Arial"/>
          <w:sz w:val="12"/>
          <w:szCs w:val="12"/>
          <w:color w:val="FFFFFF"/>
        </w:rPr>
        <w:t>Proposal 3</w:t>
      </w:r>
    </w:p>
    <w:p>
      <w:pPr>
        <w:spacing w:after="0" w:line="156" w:lineRule="exact"/>
        <w:rPr>
          <w:sz w:val="20"/>
          <w:szCs w:val="20"/>
          <w:color w:val="auto"/>
        </w:rPr>
      </w:pPr>
    </w:p>
    <w:p>
      <w:pPr>
        <w:jc w:val="center"/>
        <w:ind w:left="620"/>
        <w:spacing w:after="0"/>
        <w:rPr>
          <w:sz w:val="20"/>
          <w:szCs w:val="20"/>
          <w:color w:val="auto"/>
        </w:rPr>
      </w:pPr>
      <w:r>
        <w:rPr>
          <w:rFonts w:ascii="Arial" w:cs="Arial" w:eastAsia="Arial" w:hAnsi="Arial"/>
          <w:sz w:val="12"/>
          <w:szCs w:val="12"/>
          <w:color w:val="FFFFFF"/>
        </w:rPr>
        <w:t>Proposal 4</w:t>
      </w:r>
    </w:p>
    <w:p>
      <w:pPr>
        <w:spacing w:after="0" w:line="156" w:lineRule="exact"/>
        <w:rPr>
          <w:sz w:val="20"/>
          <w:szCs w:val="20"/>
          <w:color w:val="auto"/>
        </w:rPr>
      </w:pPr>
    </w:p>
    <w:p>
      <w:pPr>
        <w:jc w:val="center"/>
        <w:ind w:left="620"/>
        <w:spacing w:after="0"/>
        <w:rPr>
          <w:sz w:val="20"/>
          <w:szCs w:val="20"/>
          <w:color w:val="auto"/>
        </w:rPr>
      </w:pPr>
      <w:r>
        <w:rPr>
          <w:rFonts w:ascii="Arial" w:cs="Arial" w:eastAsia="Arial" w:hAnsi="Arial"/>
          <w:sz w:val="12"/>
          <w:szCs w:val="12"/>
          <w:color w:val="FFFFFF"/>
        </w:rPr>
        <w:t>Proposal 5</w:t>
      </w:r>
    </w:p>
    <w:p>
      <w:pPr>
        <w:spacing w:after="0" w:line="156"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Proposal 6</w:t>
      </w:r>
    </w:p>
    <w:p>
      <w:pPr>
        <w:spacing w:after="0" w:line="156"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Stockholder</w:t>
      </w:r>
    </w:p>
    <w:p>
      <w:pPr>
        <w:ind w:left="1120"/>
        <w:spacing w:after="0" w:line="224" w:lineRule="auto"/>
        <w:rPr>
          <w:sz w:val="20"/>
          <w:szCs w:val="20"/>
          <w:color w:val="auto"/>
        </w:rPr>
      </w:pPr>
      <w:r>
        <w:rPr>
          <w:rFonts w:ascii="Arial" w:cs="Arial" w:eastAsia="Arial" w:hAnsi="Arial"/>
          <w:sz w:val="12"/>
          <w:szCs w:val="12"/>
          <w:color w:val="FFFFFF"/>
        </w:rPr>
        <w:t>Proposals and</w:t>
      </w:r>
    </w:p>
    <w:p>
      <w:pPr>
        <w:ind w:left="1120"/>
        <w:spacing w:after="0"/>
        <w:rPr>
          <w:sz w:val="20"/>
          <w:szCs w:val="20"/>
          <w:color w:val="auto"/>
        </w:rPr>
      </w:pPr>
      <w:r>
        <w:rPr>
          <w:rFonts w:ascii="Arial" w:cs="Arial" w:eastAsia="Arial" w:hAnsi="Arial"/>
          <w:sz w:val="12"/>
          <w:szCs w:val="12"/>
          <w:color w:val="FFFFFF"/>
        </w:rPr>
        <w:t>Other Matters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Delinquent</w:t>
      </w:r>
    </w:p>
    <w:p>
      <w:pPr>
        <w:ind w:left="1120"/>
        <w:spacing w:after="0" w:line="224" w:lineRule="auto"/>
        <w:rPr>
          <w:sz w:val="20"/>
          <w:szCs w:val="20"/>
          <w:color w:val="auto"/>
        </w:rPr>
      </w:pPr>
      <w:r>
        <w:rPr>
          <w:rFonts w:ascii="Arial" w:cs="Arial" w:eastAsia="Arial" w:hAnsi="Arial"/>
          <w:sz w:val="12"/>
          <w:szCs w:val="12"/>
          <w:color w:val="FFFFFF"/>
        </w:rPr>
        <w:t>Section 16(a)</w:t>
      </w:r>
    </w:p>
    <w:p>
      <w:pPr>
        <w:ind w:left="1120"/>
        <w:spacing w:after="0"/>
        <w:rPr>
          <w:sz w:val="20"/>
          <w:szCs w:val="20"/>
          <w:color w:val="auto"/>
        </w:rPr>
      </w:pPr>
      <w:r>
        <w:rPr>
          <w:rFonts w:ascii="Arial" w:cs="Arial" w:eastAsia="Arial" w:hAnsi="Arial"/>
          <w:sz w:val="12"/>
          <w:szCs w:val="12"/>
          <w:color w:val="FFFFFF"/>
        </w:rPr>
        <w:t>Reports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Other</w:t>
      </w:r>
    </w:p>
    <w:p>
      <w:pPr>
        <w:spacing w:after="0" w:line="2"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Information</w:t>
      </w:r>
    </w:p>
    <w:p>
      <w:pPr>
        <w:spacing w:after="0" w:line="144" w:lineRule="exact"/>
        <w:rPr>
          <w:sz w:val="20"/>
          <w:szCs w:val="20"/>
          <w:color w:val="auto"/>
        </w:rPr>
      </w:pPr>
    </w:p>
    <w:p>
      <w:pPr>
        <w:jc w:val="center"/>
        <w:ind w:left="660"/>
        <w:spacing w:after="0"/>
        <w:rPr>
          <w:sz w:val="20"/>
          <w:szCs w:val="20"/>
          <w:color w:val="auto"/>
        </w:rPr>
      </w:pPr>
      <w:r>
        <w:rPr>
          <w:rFonts w:ascii="Arial" w:cs="Arial" w:eastAsia="Arial" w:hAnsi="Arial"/>
          <w:sz w:val="12"/>
          <w:szCs w:val="12"/>
          <w:color w:val="FFFFFF"/>
        </w:rPr>
        <w:t>Appendix A</w:t>
      </w:r>
    </w:p>
    <w:p>
      <w:pPr>
        <w:spacing w:after="0" w:line="156" w:lineRule="exact"/>
        <w:rPr>
          <w:sz w:val="20"/>
          <w:szCs w:val="20"/>
          <w:color w:val="auto"/>
        </w:rPr>
      </w:pPr>
    </w:p>
    <w:p>
      <w:pPr>
        <w:jc w:val="center"/>
        <w:ind w:left="660"/>
        <w:spacing w:after="0"/>
        <w:rPr>
          <w:sz w:val="20"/>
          <w:szCs w:val="20"/>
          <w:color w:val="auto"/>
        </w:rPr>
      </w:pPr>
      <w:r>
        <w:rPr>
          <w:rFonts w:ascii="Arial" w:cs="Arial" w:eastAsia="Arial" w:hAnsi="Arial"/>
          <w:sz w:val="12"/>
          <w:szCs w:val="12"/>
          <w:color w:val="FFFFFF"/>
        </w:rPr>
        <w:t>Appendix 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right="420"/>
        <w:spacing w:after="0" w:line="268" w:lineRule="auto"/>
        <w:rPr>
          <w:sz w:val="20"/>
          <w:szCs w:val="20"/>
          <w:color w:val="auto"/>
        </w:rPr>
      </w:pPr>
      <w:r>
        <w:rPr>
          <w:rFonts w:ascii="Arial" w:cs="Arial" w:eastAsia="Arial" w:hAnsi="Arial"/>
          <w:sz w:val="15"/>
          <w:szCs w:val="15"/>
          <w:color w:val="auto"/>
        </w:rPr>
        <w:t>fundamental financial statements, including the Company’s balance sheet, income statement and cash flow statement. Our Board has affirmatively determined that each of Ms. Eberhart and Messrs. Bernard and Schifter qualifies as an audit committee financial expert under the applicable rules and regulations of the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-1737995</wp:posOffset>
            </wp:positionH>
            <wp:positionV relativeFrom="paragraph">
              <wp:posOffset>-998855</wp:posOffset>
            </wp:positionV>
            <wp:extent cx="7181215" cy="5334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81215" cy="53340"/>
                    </a:xfrm>
                    <a:prstGeom prst="rect">
                      <a:avLst/>
                    </a:prstGeom>
                    <a:noFill/>
                  </pic:spPr>
                </pic:pic>
              </a:graphicData>
            </a:graphic>
          </wp:anchor>
        </w:drawing>
      </w:r>
    </w:p>
    <w:p>
      <w:pPr>
        <w:spacing w:after="0" w:line="40" w:lineRule="exact"/>
        <w:rPr>
          <w:sz w:val="20"/>
          <w:szCs w:val="20"/>
          <w:color w:val="auto"/>
        </w:rPr>
      </w:pPr>
    </w:p>
    <w:p>
      <w:pPr>
        <w:ind w:right="60"/>
        <w:spacing w:after="0" w:line="256" w:lineRule="auto"/>
        <w:rPr>
          <w:sz w:val="20"/>
          <w:szCs w:val="20"/>
          <w:color w:val="auto"/>
        </w:rPr>
      </w:pPr>
      <w:r>
        <w:rPr>
          <w:rFonts w:ascii="Arial" w:cs="Arial" w:eastAsia="Arial" w:hAnsi="Arial"/>
          <w:sz w:val="15"/>
          <w:szCs w:val="15"/>
          <w:color w:val="auto"/>
        </w:rPr>
        <w:t xml:space="preserve">The Audit and Risk Committee oversees the integrity of the Company’s financial statements, including reviewing and discussing our annual and quarterly financial statements, our disclosures in the “ </w:t>
      </w:r>
      <w:r>
        <w:rPr>
          <w:rFonts w:ascii="Arial" w:cs="Arial" w:eastAsia="Arial" w:hAnsi="Arial"/>
          <w:sz w:val="15"/>
          <w:szCs w:val="15"/>
          <w:i w:val="1"/>
          <w:iCs w:val="1"/>
          <w:color w:val="auto"/>
        </w:rPr>
        <w:t>Management’s Discussion and</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Analysis of Financial Condition and Results of Operations” </w:t>
      </w:r>
      <w:r>
        <w:rPr>
          <w:rFonts w:ascii="Arial" w:cs="Arial" w:eastAsia="Arial" w:hAnsi="Arial"/>
          <w:sz w:val="15"/>
          <w:szCs w:val="15"/>
          <w:color w:val="auto"/>
        </w:rPr>
        <w:t>section in our annual and quarterly reports filed with the</w:t>
      </w:r>
      <w:r>
        <w:rPr>
          <w:rFonts w:ascii="Arial" w:cs="Arial" w:eastAsia="Arial" w:hAnsi="Arial"/>
          <w:sz w:val="15"/>
          <w:szCs w:val="15"/>
          <w:i w:val="1"/>
          <w:iCs w:val="1"/>
          <w:color w:val="auto"/>
        </w:rPr>
        <w:t xml:space="preserve"> </w:t>
      </w:r>
      <w:r>
        <w:rPr>
          <w:rFonts w:ascii="Arial" w:cs="Arial" w:eastAsia="Arial" w:hAnsi="Arial"/>
          <w:sz w:val="15"/>
          <w:szCs w:val="15"/>
          <w:color w:val="auto"/>
        </w:rPr>
        <w:t>SEC, and our earnings announcements, in each case prior to their release. The Audit and Risk Committee also oversees the qualifications, performance and independence of Deloitte &amp; Touche LLP, our independent registered public accounting firm (“Deloitte”), as well as the fee negotiations related to their retention.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60325</wp:posOffset>
            </wp:positionV>
            <wp:extent cx="5065395" cy="239903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065395" cy="2399030"/>
                    </a:xfrm>
                    <a:prstGeom prst="rect">
                      <a:avLst/>
                    </a:prstGeom>
                    <a:noFill/>
                  </pic:spPr>
                </pic:pic>
              </a:graphicData>
            </a:graphic>
          </wp:anchor>
        </w:drawing>
      </w:r>
    </w:p>
    <w:p>
      <w:pPr>
        <w:spacing w:after="0" w:line="203" w:lineRule="exact"/>
        <w:rPr>
          <w:sz w:val="20"/>
          <w:szCs w:val="20"/>
          <w:color w:val="auto"/>
        </w:rPr>
      </w:pPr>
    </w:p>
    <w:p>
      <w:pPr>
        <w:ind w:left="160" w:right="200"/>
        <w:spacing w:after="0" w:line="258" w:lineRule="auto"/>
        <w:rPr>
          <w:sz w:val="20"/>
          <w:szCs w:val="20"/>
          <w:color w:val="auto"/>
        </w:rPr>
      </w:pPr>
      <w:r>
        <w:rPr>
          <w:rFonts w:ascii="Arial" w:cs="Arial" w:eastAsia="Arial" w:hAnsi="Arial"/>
          <w:sz w:val="15"/>
          <w:szCs w:val="15"/>
          <w:color w:val="auto"/>
        </w:rPr>
        <w:t>Our Audit and Risk Committee is responsible for, among other things, the appointment, compensation, oversight and replacement, if necessary, of the Company’s independent auditor or any other registered public accounting</w:t>
      </w:r>
    </w:p>
    <w:p>
      <w:pPr>
        <w:spacing w:after="0" w:line="1" w:lineRule="exact"/>
        <w:rPr>
          <w:sz w:val="20"/>
          <w:szCs w:val="20"/>
          <w:color w:val="auto"/>
        </w:rPr>
      </w:pPr>
    </w:p>
    <w:p>
      <w:pPr>
        <w:spacing w:after="0"/>
        <w:tabs>
          <w:tab w:leader="none" w:pos="7880" w:val="left"/>
        </w:tabs>
        <w:rPr>
          <w:sz w:val="20"/>
          <w:szCs w:val="20"/>
          <w:color w:val="auto"/>
        </w:rPr>
      </w:pPr>
      <w:r>
        <w:rPr>
          <w:rFonts w:ascii="Arial" w:cs="Arial" w:eastAsia="Arial" w:hAnsi="Arial"/>
          <w:sz w:val="15"/>
          <w:szCs w:val="15"/>
          <w:color w:val="auto"/>
        </w:rPr>
        <w:t>   firm, and assisting the Board in overseeing and monitoring:</w:t>
      </w:r>
      <w:r>
        <w:rPr>
          <w:sz w:val="20"/>
          <w:szCs w:val="20"/>
          <w:color w:val="auto"/>
        </w:rPr>
        <w:tab/>
      </w:r>
      <w:r>
        <w:rPr>
          <w:rFonts w:ascii="Arial" w:cs="Arial" w:eastAsia="Arial" w:hAnsi="Arial"/>
          <w:sz w:val="15"/>
          <w:szCs w:val="15"/>
          <w:color w:val="auto"/>
        </w:rPr>
        <w:t> </w:t>
      </w:r>
    </w:p>
    <w:p>
      <w:pPr>
        <w:spacing w:after="0" w:line="107" w:lineRule="exact"/>
        <w:rPr>
          <w:sz w:val="20"/>
          <w:szCs w:val="20"/>
          <w:color w:val="auto"/>
        </w:rPr>
      </w:pPr>
    </w:p>
    <w:p>
      <w:pPr>
        <w:ind w:left="360" w:right="280" w:hanging="198"/>
        <w:spacing w:after="0" w:line="287" w:lineRule="auto"/>
        <w:tabs>
          <w:tab w:leader="none" w:pos="360" w:val="left"/>
        </w:tabs>
        <w:numPr>
          <w:ilvl w:val="0"/>
          <w:numId w:val="52"/>
        </w:numPr>
        <w:rPr>
          <w:rFonts w:ascii="Arial" w:cs="Arial" w:eastAsia="Arial" w:hAnsi="Arial"/>
          <w:sz w:val="15"/>
          <w:szCs w:val="15"/>
          <w:color w:val="auto"/>
        </w:rPr>
      </w:pPr>
      <w:r>
        <w:rPr>
          <w:rFonts w:ascii="Arial" w:cs="Arial" w:eastAsia="Arial" w:hAnsi="Arial"/>
          <w:sz w:val="15"/>
          <w:szCs w:val="15"/>
          <w:color w:val="auto"/>
        </w:rPr>
        <w:t>the integrity of the Company’s financial statements and other financial information provided by the Company to its stockholders;</w:t>
      </w:r>
    </w:p>
    <w:p>
      <w:pPr>
        <w:spacing w:after="0" w:line="46" w:lineRule="exact"/>
        <w:rPr>
          <w:rFonts w:ascii="Arial" w:cs="Arial" w:eastAsia="Arial" w:hAnsi="Arial"/>
          <w:sz w:val="15"/>
          <w:szCs w:val="15"/>
          <w:color w:val="auto"/>
        </w:rPr>
      </w:pPr>
    </w:p>
    <w:p>
      <w:pPr>
        <w:ind w:left="360" w:right="780" w:hanging="198"/>
        <w:spacing w:after="0" w:line="287" w:lineRule="auto"/>
        <w:tabs>
          <w:tab w:leader="none" w:pos="360" w:val="left"/>
        </w:tabs>
        <w:numPr>
          <w:ilvl w:val="0"/>
          <w:numId w:val="52"/>
        </w:numPr>
        <w:rPr>
          <w:rFonts w:ascii="Arial" w:cs="Arial" w:eastAsia="Arial" w:hAnsi="Arial"/>
          <w:sz w:val="15"/>
          <w:szCs w:val="15"/>
          <w:color w:val="auto"/>
        </w:rPr>
      </w:pPr>
      <w:r>
        <w:rPr>
          <w:rFonts w:ascii="Arial" w:cs="Arial" w:eastAsia="Arial" w:hAnsi="Arial"/>
          <w:sz w:val="15"/>
          <w:szCs w:val="15"/>
          <w:color w:val="auto"/>
        </w:rPr>
        <w:t>the integrity of the accounting and financial reporting processes of the Company, and the audit of the Company’s financial statements;</w:t>
      </w:r>
    </w:p>
    <w:p>
      <w:pPr>
        <w:spacing w:after="0" w:line="46" w:lineRule="exact"/>
        <w:rPr>
          <w:rFonts w:ascii="Arial" w:cs="Arial" w:eastAsia="Arial" w:hAnsi="Arial"/>
          <w:sz w:val="15"/>
          <w:szCs w:val="15"/>
          <w:color w:val="auto"/>
        </w:rPr>
      </w:pPr>
    </w:p>
    <w:p>
      <w:pPr>
        <w:ind w:left="360" w:hanging="198"/>
        <w:spacing w:after="0"/>
        <w:tabs>
          <w:tab w:leader="none" w:pos="360" w:val="left"/>
        </w:tabs>
        <w:numPr>
          <w:ilvl w:val="0"/>
          <w:numId w:val="52"/>
        </w:numPr>
        <w:rPr>
          <w:rFonts w:ascii="Arial" w:cs="Arial" w:eastAsia="Arial" w:hAnsi="Arial"/>
          <w:sz w:val="15"/>
          <w:szCs w:val="15"/>
          <w:color w:val="auto"/>
        </w:rPr>
      </w:pPr>
      <w:r>
        <w:rPr>
          <w:rFonts w:ascii="Arial" w:cs="Arial" w:eastAsia="Arial" w:hAnsi="Arial"/>
          <w:sz w:val="15"/>
          <w:szCs w:val="15"/>
          <w:color w:val="auto"/>
        </w:rPr>
        <w:t>the Company’s compliance with legal, regulatory and public disclosure requirements;</w:t>
      </w:r>
    </w:p>
    <w:p>
      <w:pPr>
        <w:spacing w:after="0" w:line="108" w:lineRule="exact"/>
        <w:rPr>
          <w:rFonts w:ascii="Arial" w:cs="Arial" w:eastAsia="Arial" w:hAnsi="Arial"/>
          <w:sz w:val="15"/>
          <w:szCs w:val="15"/>
          <w:color w:val="auto"/>
        </w:rPr>
      </w:pPr>
    </w:p>
    <w:p>
      <w:pPr>
        <w:ind w:left="360" w:right="480" w:hanging="198"/>
        <w:spacing w:after="0" w:line="287" w:lineRule="auto"/>
        <w:tabs>
          <w:tab w:leader="none" w:pos="360" w:val="left"/>
        </w:tabs>
        <w:numPr>
          <w:ilvl w:val="0"/>
          <w:numId w:val="52"/>
        </w:numPr>
        <w:rPr>
          <w:rFonts w:ascii="Arial" w:cs="Arial" w:eastAsia="Arial" w:hAnsi="Arial"/>
          <w:sz w:val="15"/>
          <w:szCs w:val="15"/>
          <w:color w:val="auto"/>
        </w:rPr>
      </w:pPr>
      <w:r>
        <w:rPr>
          <w:rFonts w:ascii="Arial" w:cs="Arial" w:eastAsia="Arial" w:hAnsi="Arial"/>
          <w:sz w:val="15"/>
          <w:szCs w:val="15"/>
          <w:color w:val="auto"/>
        </w:rPr>
        <w:t>enterprise risk management (except for risks assigned to other committees or retained by the Board) and major risk exposures;</w:t>
      </w:r>
    </w:p>
    <w:p>
      <w:pPr>
        <w:spacing w:after="0" w:line="46" w:lineRule="exact"/>
        <w:rPr>
          <w:rFonts w:ascii="Arial" w:cs="Arial" w:eastAsia="Arial" w:hAnsi="Arial"/>
          <w:sz w:val="15"/>
          <w:szCs w:val="15"/>
          <w:color w:val="auto"/>
        </w:rPr>
      </w:pPr>
    </w:p>
    <w:p>
      <w:pPr>
        <w:ind w:left="360" w:right="300" w:hanging="198"/>
        <w:spacing w:after="0" w:line="287" w:lineRule="auto"/>
        <w:tabs>
          <w:tab w:leader="none" w:pos="360" w:val="left"/>
        </w:tabs>
        <w:numPr>
          <w:ilvl w:val="0"/>
          <w:numId w:val="52"/>
        </w:numPr>
        <w:rPr>
          <w:rFonts w:ascii="Arial" w:cs="Arial" w:eastAsia="Arial" w:hAnsi="Arial"/>
          <w:sz w:val="15"/>
          <w:szCs w:val="15"/>
          <w:color w:val="auto"/>
        </w:rPr>
      </w:pPr>
      <w:r>
        <w:rPr>
          <w:rFonts w:ascii="Arial" w:cs="Arial" w:eastAsia="Arial" w:hAnsi="Arial"/>
          <w:sz w:val="15"/>
          <w:szCs w:val="15"/>
          <w:color w:val="auto"/>
        </w:rPr>
        <w:t>the Company’s cyber and technology-related risks, including network security, information security and data privacy and protection, and the development, deployment and use of AI;</w:t>
      </w:r>
    </w:p>
    <w:p>
      <w:pPr>
        <w:spacing w:after="0" w:line="46" w:lineRule="exact"/>
        <w:rPr>
          <w:rFonts w:ascii="Arial" w:cs="Arial" w:eastAsia="Arial" w:hAnsi="Arial"/>
          <w:sz w:val="15"/>
          <w:szCs w:val="15"/>
          <w:color w:val="auto"/>
        </w:rPr>
      </w:pPr>
    </w:p>
    <w:p>
      <w:pPr>
        <w:ind w:left="360" w:hanging="198"/>
        <w:spacing w:after="0"/>
        <w:tabs>
          <w:tab w:leader="none" w:pos="360" w:val="left"/>
        </w:tabs>
        <w:numPr>
          <w:ilvl w:val="0"/>
          <w:numId w:val="52"/>
        </w:numPr>
        <w:rPr>
          <w:rFonts w:ascii="Arial" w:cs="Arial" w:eastAsia="Arial" w:hAnsi="Arial"/>
          <w:sz w:val="15"/>
          <w:szCs w:val="15"/>
          <w:color w:val="auto"/>
        </w:rPr>
      </w:pPr>
      <w:r>
        <w:rPr>
          <w:rFonts w:ascii="Arial" w:cs="Arial" w:eastAsia="Arial" w:hAnsi="Arial"/>
          <w:sz w:val="15"/>
          <w:szCs w:val="15"/>
          <w:color w:val="auto"/>
        </w:rPr>
        <w:t>the Company’s independent auditor, including its qualifications, performance and independence;</w:t>
      </w:r>
    </w:p>
    <w:p>
      <w:pPr>
        <w:spacing w:after="0" w:line="108" w:lineRule="exact"/>
        <w:rPr>
          <w:rFonts w:ascii="Arial" w:cs="Arial" w:eastAsia="Arial" w:hAnsi="Arial"/>
          <w:sz w:val="15"/>
          <w:szCs w:val="15"/>
          <w:color w:val="auto"/>
        </w:rPr>
      </w:pPr>
    </w:p>
    <w:p>
      <w:pPr>
        <w:ind w:left="360" w:hanging="198"/>
        <w:spacing w:after="0"/>
        <w:tabs>
          <w:tab w:leader="none" w:pos="360" w:val="left"/>
        </w:tabs>
        <w:numPr>
          <w:ilvl w:val="0"/>
          <w:numId w:val="52"/>
        </w:numPr>
        <w:rPr>
          <w:rFonts w:ascii="Arial" w:cs="Arial" w:eastAsia="Arial" w:hAnsi="Arial"/>
          <w:sz w:val="15"/>
          <w:szCs w:val="15"/>
          <w:color w:val="auto"/>
        </w:rPr>
      </w:pPr>
      <w:r>
        <w:rPr>
          <w:rFonts w:ascii="Arial" w:cs="Arial" w:eastAsia="Arial" w:hAnsi="Arial"/>
          <w:sz w:val="15"/>
          <w:szCs w:val="15"/>
          <w:color w:val="auto"/>
        </w:rPr>
        <w:t>the performance of the Company’s internal audit function; and</w:t>
      </w:r>
    </w:p>
    <w:p>
      <w:pPr>
        <w:spacing w:after="0" w:line="108" w:lineRule="exact"/>
        <w:rPr>
          <w:rFonts w:ascii="Arial" w:cs="Arial" w:eastAsia="Arial" w:hAnsi="Arial"/>
          <w:sz w:val="15"/>
          <w:szCs w:val="15"/>
          <w:color w:val="auto"/>
        </w:rPr>
      </w:pPr>
    </w:p>
    <w:p>
      <w:pPr>
        <w:ind w:left="360" w:hanging="198"/>
        <w:spacing w:after="0"/>
        <w:tabs>
          <w:tab w:leader="none" w:pos="360" w:val="left"/>
        </w:tabs>
        <w:numPr>
          <w:ilvl w:val="0"/>
          <w:numId w:val="52"/>
        </w:numPr>
        <w:rPr>
          <w:rFonts w:ascii="Arial" w:cs="Arial" w:eastAsia="Arial" w:hAnsi="Arial"/>
          <w:sz w:val="15"/>
          <w:szCs w:val="15"/>
          <w:color w:val="auto"/>
        </w:rPr>
      </w:pPr>
      <w:r>
        <w:rPr>
          <w:rFonts w:ascii="Arial" w:cs="Arial" w:eastAsia="Arial" w:hAnsi="Arial"/>
          <w:sz w:val="15"/>
          <w:szCs w:val="15"/>
          <w:color w:val="auto"/>
        </w:rPr>
        <w:t>the Company’s cybersecurity program.</w:t>
      </w:r>
    </w:p>
    <w:p>
      <w:pPr>
        <w:spacing w:after="0" w:line="236" w:lineRule="exact"/>
        <w:rPr>
          <w:sz w:val="20"/>
          <w:szCs w:val="20"/>
          <w:color w:val="auto"/>
        </w:rPr>
      </w:pPr>
    </w:p>
    <w:p>
      <w:pPr>
        <w:spacing w:after="0" w:line="256" w:lineRule="auto"/>
        <w:rPr>
          <w:sz w:val="20"/>
          <w:szCs w:val="20"/>
          <w:color w:val="auto"/>
        </w:rPr>
      </w:pPr>
      <w:r>
        <w:rPr>
          <w:rFonts w:ascii="Arial" w:cs="Arial" w:eastAsia="Arial" w:hAnsi="Arial"/>
          <w:sz w:val="15"/>
          <w:szCs w:val="15"/>
          <w:color w:val="auto"/>
        </w:rPr>
        <w:t>The Audit and Risk Committee reviews matters related to the Company’s related party transaction policy, the operations of the Company’s Technology department and the Company’s whistle-blower and integrity program. It also reviews and discusses our policies with respect to risk assessment and risk management, as well as our major regulatory, litigation, cybersecurity, information security, data privacy and financial risk exposures. For additional information on the Audit and Risk Committee’s role in our enterprise risk management framework, please see “</w:t>
      </w:r>
      <w:r>
        <w:rPr>
          <w:rFonts w:ascii="Arial" w:cs="Arial" w:eastAsia="Arial" w:hAnsi="Arial"/>
          <w:sz w:val="15"/>
          <w:szCs w:val="15"/>
          <w:i w:val="1"/>
          <w:iCs w:val="1"/>
          <w:color w:val="auto"/>
        </w:rPr>
        <w:t>Risk</w:t>
      </w:r>
      <w:r>
        <w:rPr>
          <w:rFonts w:ascii="Arial" w:cs="Arial" w:eastAsia="Arial" w:hAnsi="Arial"/>
          <w:sz w:val="15"/>
          <w:szCs w:val="15"/>
          <w:color w:val="auto"/>
        </w:rPr>
        <w:t xml:space="preserve"> </w:t>
      </w:r>
      <w:r>
        <w:rPr>
          <w:rFonts w:ascii="Arial" w:cs="Arial" w:eastAsia="Arial" w:hAnsi="Arial"/>
          <w:sz w:val="15"/>
          <w:szCs w:val="15"/>
          <w:i w:val="1"/>
          <w:iCs w:val="1"/>
          <w:color w:val="auto"/>
        </w:rPr>
        <w:t>Management and Compensation Policies and Practices</w:t>
      </w:r>
      <w:r>
        <w:rPr>
          <w:rFonts w:ascii="Arial" w:cs="Arial" w:eastAsia="Arial" w:hAnsi="Arial"/>
          <w:sz w:val="15"/>
          <w:szCs w:val="15"/>
          <w:color w:val="auto"/>
        </w:rPr>
        <w:t>.”</w:t>
      </w:r>
    </w:p>
    <w:p>
      <w:pPr>
        <w:spacing w:after="0" w:line="70" w:lineRule="exact"/>
        <w:rPr>
          <w:sz w:val="20"/>
          <w:szCs w:val="20"/>
          <w:color w:val="auto"/>
        </w:rPr>
      </w:pPr>
    </w:p>
    <w:p>
      <w:pPr>
        <w:ind w:right="360"/>
        <w:spacing w:after="0" w:line="287" w:lineRule="auto"/>
        <w:rPr>
          <w:sz w:val="20"/>
          <w:szCs w:val="20"/>
          <w:color w:val="auto"/>
        </w:rPr>
      </w:pPr>
      <w:r>
        <w:rPr>
          <w:rFonts w:ascii="Arial" w:cs="Arial" w:eastAsia="Arial" w:hAnsi="Arial"/>
          <w:sz w:val="15"/>
          <w:szCs w:val="15"/>
          <w:color w:val="auto"/>
        </w:rPr>
        <w:t>The Audit and Risk Committee has authority under its charter to obtain advice and assistance from outside legal counsel, accounting or other outside advisors as deemed appropriate to perform its duties and responsibilities.</w:t>
      </w:r>
    </w:p>
    <w:p>
      <w:pPr>
        <w:spacing w:after="0" w:line="47" w:lineRule="exact"/>
        <w:rPr>
          <w:sz w:val="20"/>
          <w:szCs w:val="20"/>
          <w:color w:val="auto"/>
        </w:rPr>
      </w:pPr>
    </w:p>
    <w:p>
      <w:pPr>
        <w:spacing w:after="0"/>
        <w:rPr>
          <w:sz w:val="20"/>
          <w:szCs w:val="20"/>
          <w:color w:val="auto"/>
        </w:rPr>
      </w:pPr>
      <w:r>
        <w:rPr>
          <w:rFonts w:ascii="Arial" w:cs="Arial" w:eastAsia="Arial" w:hAnsi="Arial"/>
          <w:sz w:val="15"/>
          <w:szCs w:val="15"/>
          <w:color w:val="auto"/>
        </w:rPr>
        <w:t>The Audit and Risk Committee met eight times during 2025.</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b w:val="1"/>
          <w:bCs w:val="1"/>
          <w:color w:val="002B5F"/>
        </w:rPr>
        <w:t>NOMINATING AND GOVERNANCE COMMITTEE</w:t>
      </w:r>
    </w:p>
    <w:p>
      <w:pPr>
        <w:spacing w:after="0" w:line="103" w:lineRule="exact"/>
        <w:rPr>
          <w:sz w:val="20"/>
          <w:szCs w:val="20"/>
          <w:color w:val="auto"/>
        </w:rPr>
      </w:pPr>
    </w:p>
    <w:p>
      <w:pPr>
        <w:ind w:right="140"/>
        <w:spacing w:after="0" w:line="268" w:lineRule="auto"/>
        <w:rPr>
          <w:sz w:val="20"/>
          <w:szCs w:val="20"/>
          <w:color w:val="auto"/>
        </w:rPr>
      </w:pPr>
      <w:r>
        <w:rPr>
          <w:rFonts w:ascii="Arial" w:cs="Arial" w:eastAsia="Arial" w:hAnsi="Arial"/>
          <w:sz w:val="15"/>
          <w:szCs w:val="15"/>
          <w:color w:val="auto"/>
        </w:rPr>
        <w:t>Our Nominating and Governance Committee is composed of the following members: William F. Glavin, Jr., Somesh Khanna, Allison H. Mnookin, Anne M. Mulcahy and Corey E. Thomas. Ms. Mulcahy serves as the chair of the Nominating and Governance Committee.</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color w:val="auto"/>
        </w:rPr>
        <w:t>Each member of the Nominating and Governance Committee is independent under the listing standards of Nasdaq.</w:t>
      </w:r>
    </w:p>
    <w:p>
      <w:pPr>
        <w:spacing w:after="0" w:line="2393" w:lineRule="exact"/>
        <w:rPr>
          <w:sz w:val="20"/>
          <w:szCs w:val="20"/>
          <w:color w:val="auto"/>
        </w:rPr>
      </w:pPr>
    </w:p>
    <w:p>
      <w:pPr>
        <w:sectPr>
          <w:pgSz w:w="11900" w:h="16838" w:orient="portrait"/>
          <w:cols w:equalWidth="0" w:num="2">
            <w:col w:w="2160" w:space="560"/>
            <w:col w:w="7940"/>
          </w:cols>
          <w:pgMar w:left="320" w:top="464" w:right="919" w:bottom="1440" w:gutter="0" w:footer="0" w:header="0"/>
        </w:sectPr>
      </w:pPr>
    </w:p>
    <w:p>
      <w:pPr>
        <w:spacing w:after="0" w:line="200" w:lineRule="exact"/>
        <w:rPr>
          <w:sz w:val="20"/>
          <w:szCs w:val="20"/>
          <w:color w:val="auto"/>
        </w:rPr>
      </w:pPr>
    </w:p>
    <w:p>
      <w:pPr>
        <w:spacing w:after="0" w:line="385" w:lineRule="exact"/>
        <w:rPr>
          <w:sz w:val="20"/>
          <w:szCs w:val="20"/>
          <w:color w:val="auto"/>
        </w:rPr>
      </w:pPr>
    </w:p>
    <w:p>
      <w:pPr>
        <w:ind w:left="420"/>
        <w:spacing w:after="0"/>
        <w:tabs>
          <w:tab w:leader="none" w:pos="2380" w:val="left"/>
          <w:tab w:leader="none" w:pos="2800" w:val="left"/>
        </w:tabs>
        <w:rPr>
          <w:sz w:val="20"/>
          <w:szCs w:val="20"/>
          <w:color w:val="auto"/>
        </w:rPr>
      </w:pPr>
      <w:r>
        <w:rPr>
          <w:rFonts w:ascii="Arial" w:cs="Arial" w:eastAsia="Arial" w:hAnsi="Arial"/>
          <w:sz w:val="30"/>
          <w:szCs w:val="30"/>
          <w:color w:val="000000"/>
          <w:vertAlign w:val="superscript"/>
        </w:rPr>
        <w:t xml:space="preserve">             </w:t>
      </w:r>
      <w:r>
        <w:rPr>
          <w:sz w:val="20"/>
          <w:szCs w:val="20"/>
          <w:color w:val="auto"/>
        </w:rPr>
        <w:tab/>
      </w:r>
      <w:r>
        <w:rPr>
          <w:rFonts w:ascii="Arial" w:cs="Arial" w:eastAsia="Arial" w:hAnsi="Arial"/>
          <w:sz w:val="31"/>
          <w:szCs w:val="31"/>
          <w:color w:val="auto"/>
          <w:vertAlign w:val="superscript"/>
        </w:rPr>
        <w:t xml:space="preserve">    </w:t>
      </w:r>
      <w:r>
        <w:rPr>
          <w:sz w:val="20"/>
          <w:szCs w:val="20"/>
          <w:color w:val="auto"/>
        </w:rPr>
        <w:tab/>
      </w:r>
      <w:r>
        <w:rPr>
          <w:rFonts w:ascii="Arial" w:cs="Arial" w:eastAsia="Arial" w:hAnsi="Arial"/>
          <w:sz w:val="15"/>
          <w:szCs w:val="15"/>
          <w:b w:val="1"/>
          <w:bCs w:val="1"/>
          <w:color w:val="002B5F"/>
        </w:rPr>
        <w:t xml:space="preserve">30  </w:t>
      </w:r>
      <w:r>
        <w:rPr>
          <w:rFonts w:ascii="Arial" w:cs="Arial" w:eastAsia="Arial" w:hAnsi="Arial"/>
          <w:sz w:val="20"/>
          <w:szCs w:val="20"/>
          <w:color w:val="002B5F"/>
        </w:rPr>
        <w:t>|</w:t>
      </w:r>
      <w:r>
        <w:rPr>
          <w:rFonts w:ascii="Arial" w:cs="Arial" w:eastAsia="Arial" w:hAnsi="Arial"/>
          <w:sz w:val="15"/>
          <w:szCs w:val="15"/>
          <w:b w:val="1"/>
          <w:bCs w:val="1"/>
          <w:color w:val="002B5F"/>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6111875</wp:posOffset>
            </wp:positionH>
            <wp:positionV relativeFrom="paragraph">
              <wp:posOffset>-208915</wp:posOffset>
            </wp:positionV>
            <wp:extent cx="769620" cy="971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69620" cy="97155"/>
                    </a:xfrm>
                    <a:prstGeom prst="rect">
                      <a:avLst/>
                    </a:prstGeom>
                    <a:noFill/>
                  </pic:spPr>
                </pic:pic>
              </a:graphicData>
            </a:graphic>
          </wp:anchor>
        </w:drawing>
      </w:r>
    </w:p>
    <w:p>
      <w:pPr>
        <w:sectPr>
          <w:pgSz w:w="11900" w:h="16838" w:orient="portrait"/>
          <w:cols w:equalWidth="0" w:num="1">
            <w:col w:w="10660"/>
          </w:cols>
          <w:pgMar w:left="320" w:top="464" w:right="919" w:bottom="1440" w:gutter="0" w:footer="0" w:header="0"/>
          <w:type w:val="continuous"/>
        </w:sectPr>
      </w:pPr>
    </w:p>
    <w:bookmarkStart w:id="38" w:name="page39"/>
    <w:bookmarkEnd w:id="3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5334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81215" cy="5334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5617845</wp:posOffset>
            </wp:positionH>
            <wp:positionV relativeFrom="paragraph">
              <wp:posOffset>253365</wp:posOffset>
            </wp:positionV>
            <wp:extent cx="1256030" cy="74720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256030" cy="7472045"/>
                    </a:xfrm>
                    <a:prstGeom prst="rect">
                      <a:avLst/>
                    </a:prstGeom>
                    <a:noFill/>
                  </pic:spPr>
                </pic:pic>
              </a:graphicData>
            </a:graphic>
          </wp:anchor>
        </w:drawing>
      </w:r>
    </w:p>
    <w:p>
      <w:pPr>
        <w:spacing w:after="0" w:line="200" w:lineRule="exact"/>
        <w:rPr>
          <w:sz w:val="20"/>
          <w:szCs w:val="20"/>
          <w:color w:val="auto"/>
        </w:rPr>
      </w:pPr>
    </w:p>
    <w:p>
      <w:pPr>
        <w:spacing w:after="0" w:line="249" w:lineRule="exact"/>
        <w:rPr>
          <w:sz w:val="20"/>
          <w:szCs w:val="20"/>
          <w:color w:val="auto"/>
        </w:rPr>
      </w:pPr>
    </w:p>
    <w:tbl>
      <w:tblPr>
        <w:tblLayout w:type="fixed"/>
        <w:tblInd w:w="540" w:type="dxa"/>
        <w:tblCellMar>
          <w:top w:w="0" w:type="dxa"/>
          <w:left w:w="0" w:type="dxa"/>
          <w:bottom w:w="0" w:type="dxa"/>
          <w:right w:w="0" w:type="dxa"/>
        </w:tblCellMar>
      </w:tblPr>
      <w:tr>
        <w:trPr>
          <w:trHeight w:val="166"/>
        </w:trPr>
        <w:tc>
          <w:tcPr>
            <w:tcW w:w="7680" w:type="dxa"/>
            <w:vAlign w:val="bottom"/>
            <w:tcBorders>
              <w:top w:val="single" w:sz="8" w:color="002B5F"/>
            </w:tcBorders>
            <w:shd w:val="clear" w:color="auto" w:fill="F7F1EC"/>
          </w:tcPr>
          <w:p>
            <w:pPr>
              <w:spacing w:after="0"/>
              <w:rPr>
                <w:sz w:val="20"/>
                <w:szCs w:val="20"/>
                <w:color w:val="auto"/>
              </w:rPr>
            </w:pPr>
            <w:r>
              <w:rPr>
                <w:rFonts w:ascii="Arial" w:cs="Arial" w:eastAsia="Arial" w:hAnsi="Arial"/>
                <w:sz w:val="14"/>
                <w:szCs w:val="14"/>
                <w:color w:val="auto"/>
              </w:rPr>
              <w:t> </w:t>
            </w:r>
          </w:p>
        </w:tc>
        <w:tc>
          <w:tcPr>
            <w:tcW w:w="200" w:type="dxa"/>
            <w:vAlign w:val="bottom"/>
            <w:tcBorders>
              <w:top w:val="single" w:sz="8" w:color="002B5F"/>
            </w:tcBorders>
            <w:shd w:val="clear" w:color="auto" w:fill="F7F1EC"/>
          </w:tcPr>
          <w:p>
            <w:pPr>
              <w:ind w:left="140"/>
              <w:spacing w:after="0" w:line="166" w:lineRule="exact"/>
              <w:rPr>
                <w:sz w:val="20"/>
                <w:szCs w:val="20"/>
                <w:color w:val="auto"/>
              </w:rPr>
            </w:pPr>
            <w:r>
              <w:rPr>
                <w:rFonts w:ascii="Arial" w:cs="Arial" w:eastAsia="Arial" w:hAnsi="Arial"/>
                <w:sz w:val="15"/>
                <w:szCs w:val="15"/>
                <w:color w:val="auto"/>
              </w:rPr>
              <w:t> </w:t>
            </w:r>
          </w:p>
        </w:tc>
        <w:tc>
          <w:tcPr>
            <w:tcW w:w="6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7680" w:type="dxa"/>
            <w:vAlign w:val="bottom"/>
            <w:shd w:val="clear" w:color="auto" w:fill="F7F1EC"/>
          </w:tcPr>
          <w:p>
            <w:pPr>
              <w:ind w:left="120"/>
              <w:spacing w:after="0"/>
              <w:rPr>
                <w:sz w:val="20"/>
                <w:szCs w:val="20"/>
                <w:color w:val="auto"/>
              </w:rPr>
            </w:pPr>
            <w:r>
              <w:rPr>
                <w:rFonts w:ascii="Arial" w:cs="Arial" w:eastAsia="Arial" w:hAnsi="Arial"/>
                <w:sz w:val="15"/>
                <w:szCs w:val="15"/>
                <w:color w:val="auto"/>
              </w:rPr>
              <w:t>The Nominating and Governance Committee is responsible for:</w:t>
            </w:r>
          </w:p>
        </w:tc>
        <w:tc>
          <w:tcPr>
            <w:tcW w:w="200" w:type="dxa"/>
            <w:vAlign w:val="bottom"/>
            <w:shd w:val="clear" w:color="auto" w:fill="F7F1EC"/>
          </w:tcPr>
          <w:p>
            <w:pPr>
              <w:spacing w:after="0"/>
              <w:rPr>
                <w:sz w:val="17"/>
                <w:szCs w:val="17"/>
                <w:color w:val="auto"/>
              </w:rPr>
            </w:pPr>
          </w:p>
        </w:tc>
        <w:tc>
          <w:tcPr>
            <w:tcW w:w="660" w:type="dxa"/>
            <w:vAlign w:val="bottom"/>
            <w:vMerge w:val="restart"/>
          </w:tcPr>
          <w:p>
            <w:pPr>
              <w:ind w:left="460"/>
              <w:spacing w:after="0"/>
              <w:rPr>
                <w:sz w:val="20"/>
                <w:szCs w:val="20"/>
                <w:color w:val="auto"/>
              </w:rPr>
            </w:pPr>
            <w:r>
              <w:rPr>
                <w:rFonts w:ascii="Arial" w:cs="Arial" w:eastAsia="Arial" w:hAnsi="Arial"/>
                <w:sz w:val="15"/>
                <w:szCs w:val="15"/>
                <w:color w:val="auto"/>
              </w:rPr>
              <w:t> </w:t>
            </w:r>
          </w:p>
        </w:tc>
        <w:tc>
          <w:tcPr>
            <w:tcW w:w="1280" w:type="dxa"/>
            <w:vAlign w:val="bottom"/>
            <w:vMerge w:val="restart"/>
          </w:tcPr>
          <w:p>
            <w:pPr>
              <w:ind w:left="140"/>
              <w:spacing w:after="0"/>
              <w:rPr>
                <w:sz w:val="20"/>
                <w:szCs w:val="20"/>
                <w:color w:val="auto"/>
              </w:rPr>
            </w:pPr>
            <w:r>
              <w:rPr>
                <w:rFonts w:ascii="Arial" w:cs="Arial" w:eastAsia="Arial" w:hAnsi="Arial"/>
                <w:sz w:val="12"/>
                <w:szCs w:val="12"/>
                <w:color w:val="FFFFFF"/>
              </w:rPr>
              <w:t>General</w:t>
            </w:r>
          </w:p>
        </w:tc>
        <w:tc>
          <w:tcPr>
            <w:tcW w:w="440" w:type="dxa"/>
            <w:vAlign w:val="bottom"/>
            <w:vMerge w:val="restart"/>
          </w:tcPr>
          <w:p>
            <w:pPr>
              <w:ind w:left="80"/>
              <w:spacing w:after="0"/>
              <w:rPr>
                <w:sz w:val="20"/>
                <w:szCs w:val="20"/>
                <w:color w:val="auto"/>
              </w:rPr>
            </w:pPr>
            <w:r>
              <w:rPr>
                <w:rFonts w:ascii="Arial" w:cs="Arial" w:eastAsia="Arial" w:hAnsi="Arial"/>
                <w:sz w:val="15"/>
                <w:szCs w:val="15"/>
                <w:color w:val="auto"/>
              </w:rPr>
              <w:t xml:space="preserve">       </w:t>
            </w:r>
          </w:p>
        </w:tc>
        <w:tc>
          <w:tcPr>
            <w:tcW w:w="0" w:type="dxa"/>
            <w:vAlign w:val="bottom"/>
          </w:tcPr>
          <w:p>
            <w:pPr>
              <w:spacing w:after="0"/>
              <w:rPr>
                <w:sz w:val="1"/>
                <w:szCs w:val="1"/>
                <w:color w:val="auto"/>
              </w:rPr>
            </w:pPr>
          </w:p>
        </w:tc>
      </w:tr>
      <w:tr>
        <w:trPr>
          <w:trHeight w:val="29"/>
        </w:trPr>
        <w:tc>
          <w:tcPr>
            <w:tcW w:w="7680" w:type="dxa"/>
            <w:vAlign w:val="bottom"/>
            <w:shd w:val="clear" w:color="auto" w:fill="F7F1EC"/>
          </w:tcPr>
          <w:p>
            <w:pPr>
              <w:spacing w:after="0"/>
              <w:rPr>
                <w:sz w:val="2"/>
                <w:szCs w:val="2"/>
                <w:color w:val="auto"/>
              </w:rPr>
            </w:pPr>
          </w:p>
        </w:tc>
        <w:tc>
          <w:tcPr>
            <w:tcW w:w="200" w:type="dxa"/>
            <w:vAlign w:val="bottom"/>
            <w:shd w:val="clear" w:color="auto" w:fill="F7F1EC"/>
          </w:tcPr>
          <w:p>
            <w:pPr>
              <w:spacing w:after="0"/>
              <w:rPr>
                <w:sz w:val="2"/>
                <w:szCs w:val="2"/>
                <w:color w:val="auto"/>
              </w:rPr>
            </w:pPr>
          </w:p>
        </w:tc>
        <w:tc>
          <w:tcPr>
            <w:tcW w:w="660" w:type="dxa"/>
            <w:vAlign w:val="bottom"/>
            <w:vMerge w:val="continue"/>
          </w:tcPr>
          <w:p>
            <w:pPr>
              <w:spacing w:after="0"/>
              <w:rPr>
                <w:sz w:val="2"/>
                <w:szCs w:val="2"/>
                <w:color w:val="auto"/>
              </w:rPr>
            </w:pPr>
          </w:p>
        </w:tc>
        <w:tc>
          <w:tcPr>
            <w:tcW w:w="1280" w:type="dxa"/>
            <w:vAlign w:val="bottom"/>
            <w:vMerge w:val="continue"/>
          </w:tcPr>
          <w:p>
            <w:pPr>
              <w:spacing w:after="0"/>
              <w:rPr>
                <w:sz w:val="2"/>
                <w:szCs w:val="2"/>
                <w:color w:val="auto"/>
              </w:rPr>
            </w:pPr>
          </w:p>
        </w:tc>
        <w:tc>
          <w:tcPr>
            <w:tcW w:w="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8"/>
        </w:trPr>
        <w:tc>
          <w:tcPr>
            <w:tcW w:w="7680" w:type="dxa"/>
            <w:vAlign w:val="bottom"/>
            <w:vMerge w:val="restart"/>
            <w:shd w:val="clear" w:color="auto" w:fill="F7F1EC"/>
          </w:tcPr>
          <w:p>
            <w:pPr>
              <w:ind w:left="120"/>
              <w:spacing w:after="0"/>
              <w:rPr>
                <w:sz w:val="20"/>
                <w:szCs w:val="20"/>
                <w:color w:val="auto"/>
              </w:rPr>
            </w:pPr>
            <w:r>
              <w:rPr>
                <w:rFonts w:ascii="Arial" w:cs="Arial" w:eastAsia="Arial" w:hAnsi="Arial"/>
                <w:sz w:val="15"/>
                <w:szCs w:val="15"/>
                <w:color w:val="auto"/>
              </w:rPr>
              <w:t>•  developing a profile of attributes that a potential director should possess in order to contribute effectively to</w:t>
            </w:r>
          </w:p>
        </w:tc>
        <w:tc>
          <w:tcPr>
            <w:tcW w:w="200" w:type="dxa"/>
            <w:vAlign w:val="bottom"/>
            <w:shd w:val="clear" w:color="auto" w:fill="F7F1EC"/>
          </w:tcPr>
          <w:p>
            <w:pPr>
              <w:spacing w:after="0"/>
              <w:rPr>
                <w:sz w:val="13"/>
                <w:szCs w:val="13"/>
                <w:color w:val="auto"/>
              </w:rPr>
            </w:pPr>
          </w:p>
        </w:tc>
        <w:tc>
          <w:tcPr>
            <w:tcW w:w="660" w:type="dxa"/>
            <w:vAlign w:val="bottom"/>
          </w:tcPr>
          <w:p>
            <w:pPr>
              <w:spacing w:after="0"/>
              <w:rPr>
                <w:sz w:val="13"/>
                <w:szCs w:val="13"/>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Information</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7"/>
        </w:trPr>
        <w:tc>
          <w:tcPr>
            <w:tcW w:w="7680" w:type="dxa"/>
            <w:vAlign w:val="bottom"/>
            <w:vMerge w:val="continue"/>
            <w:shd w:val="clear" w:color="auto" w:fill="F7F1EC"/>
          </w:tcPr>
          <w:p>
            <w:pPr>
              <w:spacing w:after="0"/>
              <w:rPr>
                <w:sz w:val="4"/>
                <w:szCs w:val="4"/>
                <w:color w:val="auto"/>
              </w:rPr>
            </w:pPr>
          </w:p>
        </w:tc>
        <w:tc>
          <w:tcPr>
            <w:tcW w:w="200" w:type="dxa"/>
            <w:vAlign w:val="bottom"/>
            <w:shd w:val="clear" w:color="auto" w:fill="F7F1EC"/>
          </w:tcPr>
          <w:p>
            <w:pPr>
              <w:spacing w:after="0"/>
              <w:rPr>
                <w:sz w:val="4"/>
                <w:szCs w:val="4"/>
                <w:color w:val="auto"/>
              </w:rPr>
            </w:pPr>
          </w:p>
        </w:tc>
        <w:tc>
          <w:tcPr>
            <w:tcW w:w="660" w:type="dxa"/>
            <w:vAlign w:val="bottom"/>
          </w:tcPr>
          <w:p>
            <w:pPr>
              <w:spacing w:after="0"/>
              <w:rPr>
                <w:sz w:val="4"/>
                <w:szCs w:val="4"/>
                <w:color w:val="auto"/>
              </w:rPr>
            </w:pPr>
          </w:p>
        </w:tc>
        <w:tc>
          <w:tcPr>
            <w:tcW w:w="128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7680" w:type="dxa"/>
            <w:vAlign w:val="bottom"/>
            <w:shd w:val="clear" w:color="auto" w:fill="F7F1EC"/>
          </w:tcPr>
          <w:p>
            <w:pPr>
              <w:ind w:left="320"/>
              <w:spacing w:after="0"/>
              <w:rPr>
                <w:sz w:val="20"/>
                <w:szCs w:val="20"/>
                <w:color w:val="auto"/>
              </w:rPr>
            </w:pPr>
            <w:r>
              <w:rPr>
                <w:rFonts w:ascii="Arial" w:cs="Arial" w:eastAsia="Arial" w:hAnsi="Arial"/>
                <w:sz w:val="15"/>
                <w:szCs w:val="15"/>
                <w:color w:val="auto"/>
              </w:rPr>
              <w:t>the Board, taking into account the overall composition of the Board;</w:t>
            </w:r>
          </w:p>
        </w:tc>
        <w:tc>
          <w:tcPr>
            <w:tcW w:w="200" w:type="dxa"/>
            <w:vAlign w:val="bottom"/>
            <w:shd w:val="clear" w:color="auto" w:fill="F7F1EC"/>
          </w:tcPr>
          <w:p>
            <w:pPr>
              <w:spacing w:after="0"/>
              <w:rPr>
                <w:sz w:val="16"/>
                <w:szCs w:val="16"/>
                <w:color w:val="auto"/>
              </w:rPr>
            </w:pPr>
          </w:p>
        </w:tc>
        <w:tc>
          <w:tcPr>
            <w:tcW w:w="660" w:type="dxa"/>
            <w:vAlign w:val="bottom"/>
          </w:tcPr>
          <w:p>
            <w:pPr>
              <w:spacing w:after="0"/>
              <w:rPr>
                <w:sz w:val="16"/>
                <w:szCs w:val="16"/>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General Information</w:t>
            </w: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8"/>
        </w:trPr>
        <w:tc>
          <w:tcPr>
            <w:tcW w:w="7680" w:type="dxa"/>
            <w:vAlign w:val="bottom"/>
            <w:vMerge w:val="restart"/>
            <w:shd w:val="clear" w:color="auto" w:fill="F7F1EC"/>
          </w:tcPr>
          <w:p>
            <w:pPr>
              <w:ind w:left="120"/>
              <w:spacing w:after="0"/>
              <w:rPr>
                <w:sz w:val="20"/>
                <w:szCs w:val="20"/>
                <w:color w:val="auto"/>
              </w:rPr>
            </w:pPr>
            <w:r>
              <w:rPr>
                <w:rFonts w:ascii="Arial" w:cs="Arial" w:eastAsia="Arial" w:hAnsi="Arial"/>
                <w:sz w:val="15"/>
                <w:szCs w:val="15"/>
                <w:color w:val="auto"/>
              </w:rPr>
              <w:t>•  identifying, evaluating and recruiting qualified persons to serve on our Board of Directors;</w:t>
            </w:r>
          </w:p>
        </w:tc>
        <w:tc>
          <w:tcPr>
            <w:tcW w:w="200" w:type="dxa"/>
            <w:vAlign w:val="bottom"/>
            <w:shd w:val="clear" w:color="auto" w:fill="F7F1EC"/>
          </w:tcPr>
          <w:p>
            <w:pPr>
              <w:spacing w:after="0"/>
              <w:rPr>
                <w:sz w:val="11"/>
                <w:szCs w:val="11"/>
                <w:color w:val="auto"/>
              </w:rPr>
            </w:pPr>
          </w:p>
        </w:tc>
        <w:tc>
          <w:tcPr>
            <w:tcW w:w="660" w:type="dxa"/>
            <w:vAlign w:val="bottom"/>
          </w:tcPr>
          <w:p>
            <w:pPr>
              <w:spacing w:after="0"/>
              <w:rPr>
                <w:sz w:val="11"/>
                <w:szCs w:val="11"/>
                <w:color w:val="auto"/>
              </w:rPr>
            </w:pPr>
          </w:p>
        </w:tc>
        <w:tc>
          <w:tcPr>
            <w:tcW w:w="1280" w:type="dxa"/>
            <w:vAlign w:val="bottom"/>
          </w:tcPr>
          <w:p>
            <w:pPr>
              <w:ind w:left="140"/>
              <w:spacing w:after="0" w:line="128" w:lineRule="exact"/>
              <w:rPr>
                <w:sz w:val="20"/>
                <w:szCs w:val="20"/>
                <w:color w:val="auto"/>
              </w:rPr>
            </w:pPr>
            <w:r>
              <w:rPr>
                <w:rFonts w:ascii="Arial" w:cs="Arial" w:eastAsia="Arial" w:hAnsi="Arial"/>
                <w:sz w:val="12"/>
                <w:szCs w:val="12"/>
                <w:color w:val="FFFFFF"/>
              </w:rPr>
              <w:t>About Corporate</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7680" w:type="dxa"/>
            <w:vAlign w:val="bottom"/>
            <w:vMerge w:val="continue"/>
            <w:shd w:val="clear" w:color="auto" w:fill="F7F1EC"/>
          </w:tcPr>
          <w:p>
            <w:pPr>
              <w:spacing w:after="0"/>
              <w:rPr>
                <w:sz w:val="11"/>
                <w:szCs w:val="11"/>
                <w:color w:val="auto"/>
              </w:rPr>
            </w:pPr>
          </w:p>
        </w:tc>
        <w:tc>
          <w:tcPr>
            <w:tcW w:w="200" w:type="dxa"/>
            <w:vAlign w:val="bottom"/>
            <w:shd w:val="clear" w:color="auto" w:fill="F7F1EC"/>
          </w:tcPr>
          <w:p>
            <w:pPr>
              <w:spacing w:after="0"/>
              <w:rPr>
                <w:sz w:val="11"/>
                <w:szCs w:val="11"/>
                <w:color w:val="auto"/>
              </w:rPr>
            </w:pPr>
          </w:p>
        </w:tc>
        <w:tc>
          <w:tcPr>
            <w:tcW w:w="660" w:type="dxa"/>
            <w:vAlign w:val="bottom"/>
          </w:tcPr>
          <w:p>
            <w:pPr>
              <w:spacing w:after="0"/>
              <w:rPr>
                <w:sz w:val="11"/>
                <w:szCs w:val="11"/>
                <w:color w:val="auto"/>
              </w:rPr>
            </w:pPr>
          </w:p>
        </w:tc>
        <w:tc>
          <w:tcPr>
            <w:tcW w:w="1280" w:type="dxa"/>
            <w:vAlign w:val="bottom"/>
          </w:tcPr>
          <w:p>
            <w:pPr>
              <w:ind w:left="140"/>
              <w:spacing w:after="0" w:line="128" w:lineRule="exact"/>
              <w:rPr>
                <w:sz w:val="20"/>
                <w:szCs w:val="20"/>
                <w:color w:val="auto"/>
              </w:rPr>
            </w:pPr>
            <w:r>
              <w:rPr>
                <w:rFonts w:ascii="Arial" w:cs="Arial" w:eastAsia="Arial" w:hAnsi="Arial"/>
                <w:sz w:val="12"/>
                <w:szCs w:val="12"/>
                <w:color w:val="FFFFFF"/>
              </w:rPr>
              <w:t>Governance</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7680" w:type="dxa"/>
            <w:vAlign w:val="bottom"/>
            <w:vMerge w:val="restart"/>
            <w:shd w:val="clear" w:color="auto" w:fill="F7F1EC"/>
          </w:tcPr>
          <w:p>
            <w:pPr>
              <w:ind w:left="120"/>
              <w:spacing w:after="0"/>
              <w:rPr>
                <w:sz w:val="20"/>
                <w:szCs w:val="20"/>
                <w:color w:val="auto"/>
              </w:rPr>
            </w:pPr>
            <w:r>
              <w:rPr>
                <w:rFonts w:ascii="Arial" w:cs="Arial" w:eastAsia="Arial" w:hAnsi="Arial"/>
                <w:sz w:val="15"/>
                <w:szCs w:val="15"/>
                <w:color w:val="auto"/>
              </w:rPr>
              <w:t>•  selecting, or recommending to the Board for selection, nominees for election as directors;</w:t>
            </w:r>
          </w:p>
        </w:tc>
        <w:tc>
          <w:tcPr>
            <w:tcW w:w="200" w:type="dxa"/>
            <w:vAlign w:val="bottom"/>
            <w:shd w:val="clear" w:color="auto" w:fill="F7F1EC"/>
          </w:tcPr>
          <w:p>
            <w:pPr>
              <w:spacing w:after="0"/>
              <w:rPr>
                <w:sz w:val="11"/>
                <w:szCs w:val="11"/>
                <w:color w:val="auto"/>
              </w:rPr>
            </w:pPr>
          </w:p>
        </w:tc>
        <w:tc>
          <w:tcPr>
            <w:tcW w:w="660" w:type="dxa"/>
            <w:vAlign w:val="bottom"/>
          </w:tcPr>
          <w:p>
            <w:pPr>
              <w:spacing w:after="0"/>
              <w:rPr>
                <w:sz w:val="11"/>
                <w:szCs w:val="11"/>
                <w:color w:val="auto"/>
              </w:rPr>
            </w:pPr>
          </w:p>
        </w:tc>
        <w:tc>
          <w:tcPr>
            <w:tcW w:w="1280" w:type="dxa"/>
            <w:vAlign w:val="bottom"/>
          </w:tcPr>
          <w:p>
            <w:pPr>
              <w:ind w:left="140"/>
              <w:spacing w:after="0" w:line="128" w:lineRule="exact"/>
              <w:rPr>
                <w:sz w:val="20"/>
                <w:szCs w:val="20"/>
                <w:color w:val="auto"/>
              </w:rPr>
            </w:pPr>
            <w:r>
              <w:rPr>
                <w:rFonts w:ascii="Arial" w:cs="Arial" w:eastAsia="Arial" w:hAnsi="Arial"/>
                <w:sz w:val="12"/>
                <w:szCs w:val="12"/>
                <w:color w:val="FFFFFF"/>
              </w:rPr>
              <w:t>and the Board of</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3"/>
        </w:trPr>
        <w:tc>
          <w:tcPr>
            <w:tcW w:w="7680" w:type="dxa"/>
            <w:vAlign w:val="bottom"/>
            <w:vMerge w:val="continue"/>
            <w:shd w:val="clear" w:color="auto" w:fill="F7F1EC"/>
          </w:tcPr>
          <w:p>
            <w:pPr>
              <w:spacing w:after="0"/>
              <w:rPr>
                <w:sz w:val="16"/>
                <w:szCs w:val="16"/>
                <w:color w:val="auto"/>
              </w:rPr>
            </w:pPr>
          </w:p>
        </w:tc>
        <w:tc>
          <w:tcPr>
            <w:tcW w:w="200" w:type="dxa"/>
            <w:vAlign w:val="bottom"/>
            <w:shd w:val="clear" w:color="auto" w:fill="F7F1EC"/>
          </w:tcPr>
          <w:p>
            <w:pPr>
              <w:spacing w:after="0"/>
              <w:rPr>
                <w:sz w:val="16"/>
                <w:szCs w:val="16"/>
                <w:color w:val="auto"/>
              </w:rPr>
            </w:pPr>
          </w:p>
        </w:tc>
        <w:tc>
          <w:tcPr>
            <w:tcW w:w="660" w:type="dxa"/>
            <w:vAlign w:val="bottom"/>
          </w:tcPr>
          <w:p>
            <w:pPr>
              <w:spacing w:after="0"/>
              <w:rPr>
                <w:sz w:val="16"/>
                <w:szCs w:val="16"/>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Directors</w:t>
            </w: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1"/>
        </w:trPr>
        <w:tc>
          <w:tcPr>
            <w:tcW w:w="7680" w:type="dxa"/>
            <w:vAlign w:val="bottom"/>
            <w:shd w:val="clear" w:color="auto" w:fill="F7F1EC"/>
          </w:tcPr>
          <w:p>
            <w:pPr>
              <w:ind w:left="120"/>
              <w:spacing w:after="0"/>
              <w:rPr>
                <w:sz w:val="20"/>
                <w:szCs w:val="20"/>
                <w:color w:val="auto"/>
              </w:rPr>
            </w:pPr>
            <w:r>
              <w:rPr>
                <w:rFonts w:ascii="Arial" w:cs="Arial" w:eastAsia="Arial" w:hAnsi="Arial"/>
                <w:sz w:val="15"/>
                <w:szCs w:val="15"/>
                <w:color w:val="auto"/>
              </w:rPr>
              <w:t>•  reviewing and recommending the composition of the Board’s standing committees;</w:t>
            </w:r>
          </w:p>
        </w:tc>
        <w:tc>
          <w:tcPr>
            <w:tcW w:w="200" w:type="dxa"/>
            <w:vAlign w:val="bottom"/>
            <w:shd w:val="clear" w:color="auto" w:fill="F7F1EC"/>
          </w:tcPr>
          <w:p>
            <w:pPr>
              <w:spacing w:after="0"/>
              <w:rPr>
                <w:sz w:val="24"/>
                <w:szCs w:val="24"/>
                <w:color w:val="auto"/>
              </w:rPr>
            </w:pPr>
          </w:p>
        </w:tc>
        <w:tc>
          <w:tcPr>
            <w:tcW w:w="660" w:type="dxa"/>
            <w:vAlign w:val="bottom"/>
          </w:tcPr>
          <w:p>
            <w:pPr>
              <w:spacing w:after="0"/>
              <w:rPr>
                <w:sz w:val="24"/>
                <w:szCs w:val="24"/>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Proposal 1</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7680" w:type="dxa"/>
            <w:vAlign w:val="bottom"/>
            <w:shd w:val="clear" w:color="auto" w:fill="F7F1EC"/>
          </w:tcPr>
          <w:p>
            <w:pPr>
              <w:ind w:left="120"/>
              <w:spacing w:after="0"/>
              <w:rPr>
                <w:sz w:val="20"/>
                <w:szCs w:val="20"/>
                <w:color w:val="auto"/>
              </w:rPr>
            </w:pPr>
            <w:r>
              <w:rPr>
                <w:rFonts w:ascii="Arial" w:cs="Arial" w:eastAsia="Arial" w:hAnsi="Arial"/>
                <w:sz w:val="15"/>
                <w:szCs w:val="15"/>
                <w:color w:val="auto"/>
              </w:rPr>
              <w:t>•  reviewing and assessing the Company’s corporate governance guidelines;</w:t>
            </w:r>
          </w:p>
        </w:tc>
        <w:tc>
          <w:tcPr>
            <w:tcW w:w="200" w:type="dxa"/>
            <w:vAlign w:val="bottom"/>
            <w:shd w:val="clear" w:color="auto" w:fill="F7F1EC"/>
          </w:tcPr>
          <w:p>
            <w:pPr>
              <w:spacing w:after="0"/>
              <w:rPr>
                <w:sz w:val="20"/>
                <w:szCs w:val="20"/>
                <w:color w:val="auto"/>
              </w:rPr>
            </w:pPr>
          </w:p>
        </w:tc>
        <w:tc>
          <w:tcPr>
            <w:tcW w:w="660" w:type="dxa"/>
            <w:vAlign w:val="bottom"/>
          </w:tcPr>
          <w:p>
            <w:pPr>
              <w:spacing w:after="0"/>
              <w:rPr>
                <w:sz w:val="20"/>
                <w:szCs w:val="20"/>
                <w:color w:val="auto"/>
              </w:rPr>
            </w:pPr>
          </w:p>
        </w:tc>
        <w:tc>
          <w:tcPr>
            <w:tcW w:w="1280" w:type="dxa"/>
            <w:vAlign w:val="bottom"/>
          </w:tcPr>
          <w:p>
            <w:pPr>
              <w:ind w:left="140"/>
              <w:spacing w:after="0"/>
              <w:rPr>
                <w:sz w:val="20"/>
                <w:szCs w:val="20"/>
                <w:color w:val="auto"/>
              </w:rPr>
            </w:pPr>
            <w:r>
              <w:rPr>
                <w:rFonts w:ascii="Arial" w:cs="Arial" w:eastAsia="Arial" w:hAnsi="Arial"/>
                <w:sz w:val="12"/>
                <w:szCs w:val="12"/>
                <w:b w:val="1"/>
                <w:bCs w:val="1"/>
                <w:color w:val="FFFFFF"/>
              </w:rPr>
              <w:t>Information</w:t>
            </w: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8"/>
        </w:trPr>
        <w:tc>
          <w:tcPr>
            <w:tcW w:w="7680" w:type="dxa"/>
            <w:vAlign w:val="bottom"/>
            <w:vMerge w:val="restart"/>
            <w:shd w:val="clear" w:color="auto" w:fill="F7F1EC"/>
          </w:tcPr>
          <w:p>
            <w:pPr>
              <w:ind w:left="120"/>
              <w:spacing w:after="0"/>
              <w:rPr>
                <w:sz w:val="20"/>
                <w:szCs w:val="20"/>
                <w:color w:val="auto"/>
              </w:rPr>
            </w:pPr>
            <w:r>
              <w:rPr>
                <w:rFonts w:ascii="Arial" w:cs="Arial" w:eastAsia="Arial" w:hAnsi="Arial"/>
                <w:sz w:val="15"/>
                <w:szCs w:val="15"/>
                <w:color w:val="auto"/>
              </w:rPr>
              <w:t>•  overseeing our sustainability program; and</w:t>
            </w:r>
          </w:p>
        </w:tc>
        <w:tc>
          <w:tcPr>
            <w:tcW w:w="200" w:type="dxa"/>
            <w:vAlign w:val="bottom"/>
            <w:shd w:val="clear" w:color="auto" w:fill="F7F1EC"/>
          </w:tcPr>
          <w:p>
            <w:pPr>
              <w:spacing w:after="0"/>
              <w:rPr>
                <w:sz w:val="11"/>
                <w:szCs w:val="11"/>
                <w:color w:val="auto"/>
              </w:rPr>
            </w:pPr>
          </w:p>
        </w:tc>
        <w:tc>
          <w:tcPr>
            <w:tcW w:w="660" w:type="dxa"/>
            <w:vAlign w:val="bottom"/>
          </w:tcPr>
          <w:p>
            <w:pPr>
              <w:spacing w:after="0"/>
              <w:rPr>
                <w:sz w:val="11"/>
                <w:szCs w:val="11"/>
                <w:color w:val="auto"/>
              </w:rPr>
            </w:pPr>
          </w:p>
        </w:tc>
        <w:tc>
          <w:tcPr>
            <w:tcW w:w="1280" w:type="dxa"/>
            <w:vAlign w:val="bottom"/>
          </w:tcPr>
          <w:p>
            <w:pPr>
              <w:ind w:left="140"/>
              <w:spacing w:after="0" w:line="128" w:lineRule="exact"/>
              <w:rPr>
                <w:sz w:val="20"/>
                <w:szCs w:val="20"/>
                <w:color w:val="auto"/>
              </w:rPr>
            </w:pPr>
            <w:r>
              <w:rPr>
                <w:rFonts w:ascii="Arial" w:cs="Arial" w:eastAsia="Arial" w:hAnsi="Arial"/>
                <w:sz w:val="12"/>
                <w:szCs w:val="12"/>
                <w:b w:val="1"/>
                <w:bCs w:val="1"/>
                <w:color w:val="FFFFFF"/>
              </w:rPr>
              <w:t>Regarding Board</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7680" w:type="dxa"/>
            <w:vAlign w:val="bottom"/>
            <w:vMerge w:val="continue"/>
            <w:shd w:val="clear" w:color="auto" w:fill="F7F1EC"/>
          </w:tcPr>
          <w:p>
            <w:pPr>
              <w:spacing w:after="0"/>
              <w:rPr>
                <w:sz w:val="12"/>
                <w:szCs w:val="12"/>
                <w:color w:val="auto"/>
              </w:rPr>
            </w:pPr>
          </w:p>
        </w:tc>
        <w:tc>
          <w:tcPr>
            <w:tcW w:w="200" w:type="dxa"/>
            <w:vAlign w:val="bottom"/>
            <w:shd w:val="clear" w:color="auto" w:fill="F7F1EC"/>
          </w:tcPr>
          <w:p>
            <w:pPr>
              <w:spacing w:after="0"/>
              <w:rPr>
                <w:sz w:val="12"/>
                <w:szCs w:val="12"/>
                <w:color w:val="auto"/>
              </w:rPr>
            </w:pPr>
          </w:p>
        </w:tc>
        <w:tc>
          <w:tcPr>
            <w:tcW w:w="660" w:type="dxa"/>
            <w:vAlign w:val="bottom"/>
          </w:tcPr>
          <w:p>
            <w:pPr>
              <w:spacing w:after="0"/>
              <w:rPr>
                <w:sz w:val="12"/>
                <w:szCs w:val="12"/>
                <w:color w:val="auto"/>
              </w:rPr>
            </w:pPr>
          </w:p>
        </w:tc>
        <w:tc>
          <w:tcPr>
            <w:tcW w:w="1280" w:type="dxa"/>
            <w:vAlign w:val="bottom"/>
          </w:tcPr>
          <w:p>
            <w:pPr>
              <w:ind w:left="140"/>
              <w:spacing w:after="0"/>
              <w:rPr>
                <w:sz w:val="20"/>
                <w:szCs w:val="20"/>
                <w:color w:val="auto"/>
              </w:rPr>
            </w:pPr>
            <w:r>
              <w:rPr>
                <w:rFonts w:ascii="Arial" w:cs="Arial" w:eastAsia="Arial" w:hAnsi="Arial"/>
                <w:sz w:val="12"/>
                <w:szCs w:val="12"/>
                <w:b w:val="1"/>
                <w:bCs w:val="1"/>
                <w:color w:val="FFFFFF"/>
              </w:rPr>
              <w:t>and Committee</w:t>
            </w: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7680" w:type="dxa"/>
            <w:vAlign w:val="bottom"/>
            <w:vMerge w:val="restart"/>
            <w:shd w:val="clear" w:color="auto" w:fill="F7F1EC"/>
          </w:tcPr>
          <w:p>
            <w:pPr>
              <w:ind w:left="120"/>
              <w:spacing w:after="0"/>
              <w:rPr>
                <w:sz w:val="20"/>
                <w:szCs w:val="20"/>
                <w:color w:val="auto"/>
              </w:rPr>
            </w:pPr>
            <w:r>
              <w:rPr>
                <w:rFonts w:ascii="Arial" w:cs="Arial" w:eastAsia="Arial" w:hAnsi="Arial"/>
                <w:sz w:val="15"/>
                <w:szCs w:val="15"/>
                <w:color w:val="auto"/>
              </w:rPr>
              <w:t>•  annually evaluating the performance, operations, size and composition of our Board of Directors.</w:t>
            </w:r>
          </w:p>
        </w:tc>
        <w:tc>
          <w:tcPr>
            <w:tcW w:w="200" w:type="dxa"/>
            <w:vAlign w:val="bottom"/>
            <w:shd w:val="clear" w:color="auto" w:fill="F7F1EC"/>
          </w:tcPr>
          <w:p>
            <w:pPr>
              <w:spacing w:after="0"/>
              <w:rPr>
                <w:sz w:val="14"/>
                <w:szCs w:val="14"/>
                <w:color w:val="auto"/>
              </w:rPr>
            </w:pPr>
          </w:p>
        </w:tc>
        <w:tc>
          <w:tcPr>
            <w:tcW w:w="660" w:type="dxa"/>
            <w:vAlign w:val="bottom"/>
          </w:tcPr>
          <w:p>
            <w:pPr>
              <w:spacing w:after="0"/>
              <w:rPr>
                <w:sz w:val="14"/>
                <w:szCs w:val="14"/>
                <w:color w:val="auto"/>
              </w:rPr>
            </w:pPr>
          </w:p>
        </w:tc>
        <w:tc>
          <w:tcPr>
            <w:tcW w:w="1280" w:type="dxa"/>
            <w:vAlign w:val="bottom"/>
          </w:tcPr>
          <w:p>
            <w:pPr>
              <w:ind w:left="140"/>
              <w:spacing w:after="0"/>
              <w:rPr>
                <w:sz w:val="20"/>
                <w:szCs w:val="20"/>
                <w:color w:val="auto"/>
              </w:rPr>
            </w:pPr>
            <w:r>
              <w:rPr>
                <w:rFonts w:ascii="Arial" w:cs="Arial" w:eastAsia="Arial" w:hAnsi="Arial"/>
                <w:sz w:val="12"/>
                <w:szCs w:val="12"/>
                <w:b w:val="1"/>
                <w:bCs w:val="1"/>
                <w:color w:val="FFFFFF"/>
              </w:rPr>
              <w:t>Structure</w:t>
            </w: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7680" w:type="dxa"/>
            <w:vAlign w:val="bottom"/>
            <w:vMerge w:val="continue"/>
            <w:shd w:val="clear" w:color="auto" w:fill="F7F1EC"/>
          </w:tcPr>
          <w:p>
            <w:pPr>
              <w:spacing w:after="0"/>
              <w:rPr>
                <w:sz w:val="14"/>
                <w:szCs w:val="14"/>
                <w:color w:val="auto"/>
              </w:rPr>
            </w:pPr>
          </w:p>
        </w:tc>
        <w:tc>
          <w:tcPr>
            <w:tcW w:w="200" w:type="dxa"/>
            <w:vAlign w:val="bottom"/>
            <w:shd w:val="clear" w:color="auto" w:fill="F7F1EC"/>
          </w:tcPr>
          <w:p>
            <w:pPr>
              <w:spacing w:after="0"/>
              <w:rPr>
                <w:sz w:val="14"/>
                <w:szCs w:val="14"/>
                <w:color w:val="auto"/>
              </w:rPr>
            </w:pPr>
          </w:p>
        </w:tc>
        <w:tc>
          <w:tcPr>
            <w:tcW w:w="660" w:type="dxa"/>
            <w:vAlign w:val="bottom"/>
          </w:tcPr>
          <w:p>
            <w:pPr>
              <w:spacing w:after="0"/>
              <w:rPr>
                <w:sz w:val="14"/>
                <w:szCs w:val="14"/>
                <w:color w:val="auto"/>
              </w:rPr>
            </w:pPr>
          </w:p>
        </w:tc>
        <w:tc>
          <w:tcPr>
            <w:tcW w:w="1280" w:type="dxa"/>
            <w:vAlign w:val="bottom"/>
            <w:vMerge w:val="restart"/>
          </w:tcPr>
          <w:p>
            <w:pPr>
              <w:ind w:left="140"/>
              <w:spacing w:after="0"/>
              <w:rPr>
                <w:sz w:val="20"/>
                <w:szCs w:val="20"/>
                <w:color w:val="auto"/>
              </w:rPr>
            </w:pPr>
            <w:r>
              <w:rPr>
                <w:rFonts w:ascii="Arial" w:cs="Arial" w:eastAsia="Arial" w:hAnsi="Arial"/>
                <w:sz w:val="12"/>
                <w:szCs w:val="12"/>
                <w:color w:val="FFFFFF"/>
              </w:rPr>
              <w:t>Board of Directors</w:t>
            </w: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8"/>
        </w:trPr>
        <w:tc>
          <w:tcPr>
            <w:tcW w:w="7680" w:type="dxa"/>
            <w:vAlign w:val="bottom"/>
            <w:tcBorders>
              <w:bottom w:val="single" w:sz="8" w:color="F7F1EC"/>
            </w:tcBorders>
            <w:shd w:val="clear" w:color="auto" w:fill="F7F1EC"/>
          </w:tcPr>
          <w:p>
            <w:pPr>
              <w:spacing w:after="0"/>
              <w:rPr>
                <w:sz w:val="8"/>
                <w:szCs w:val="8"/>
                <w:color w:val="auto"/>
              </w:rPr>
            </w:pPr>
          </w:p>
        </w:tc>
        <w:tc>
          <w:tcPr>
            <w:tcW w:w="200" w:type="dxa"/>
            <w:vAlign w:val="bottom"/>
            <w:tcBorders>
              <w:bottom w:val="single" w:sz="8" w:color="F7F1EC"/>
            </w:tcBorders>
            <w:shd w:val="clear" w:color="auto" w:fill="F7F1EC"/>
          </w:tcPr>
          <w:p>
            <w:pPr>
              <w:spacing w:after="0"/>
              <w:rPr>
                <w:sz w:val="8"/>
                <w:szCs w:val="8"/>
                <w:color w:val="auto"/>
              </w:rPr>
            </w:pPr>
          </w:p>
        </w:tc>
        <w:tc>
          <w:tcPr>
            <w:tcW w:w="660" w:type="dxa"/>
            <w:vAlign w:val="bottom"/>
          </w:tcPr>
          <w:p>
            <w:pPr>
              <w:spacing w:after="0"/>
              <w:rPr>
                <w:sz w:val="8"/>
                <w:szCs w:val="8"/>
                <w:color w:val="auto"/>
              </w:rPr>
            </w:pPr>
          </w:p>
        </w:tc>
        <w:tc>
          <w:tcPr>
            <w:tcW w:w="1280" w:type="dxa"/>
            <w:vAlign w:val="bottom"/>
            <w:vMerge w:val="continue"/>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7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80" w:type="dxa"/>
            <w:vAlign w:val="bottom"/>
          </w:tcPr>
          <w:p>
            <w:pPr>
              <w:ind w:left="140"/>
              <w:spacing w:after="0" w:line="115" w:lineRule="exact"/>
              <w:rPr>
                <w:sz w:val="20"/>
                <w:szCs w:val="20"/>
                <w:color w:val="auto"/>
              </w:rPr>
            </w:pPr>
            <w:r>
              <w:rPr>
                <w:rFonts w:ascii="Arial" w:cs="Arial" w:eastAsia="Arial" w:hAnsi="Arial"/>
                <w:sz w:val="12"/>
                <w:szCs w:val="12"/>
                <w:color w:val="FFFFFF"/>
              </w:rPr>
              <w:t>Compensation</w:t>
            </w: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77" w:lineRule="exact"/>
        <w:rPr>
          <w:sz w:val="20"/>
          <w:szCs w:val="20"/>
          <w:color w:val="auto"/>
        </w:rPr>
      </w:pPr>
    </w:p>
    <w:p>
      <w:pPr>
        <w:sectPr>
          <w:pgSz w:w="11900" w:h="16838" w:orient="portrait"/>
          <w:cols w:equalWidth="0" w:num="1">
            <w:col w:w="10800"/>
          </w:cols>
          <w:pgMar w:left="320" w:top="464" w:right="779" w:bottom="1440" w:gutter="0" w:footer="0" w:header="0"/>
        </w:sectPr>
      </w:pPr>
    </w:p>
    <w:p>
      <w:pPr>
        <w:ind w:left="540" w:right="120"/>
        <w:spacing w:after="0" w:line="258" w:lineRule="auto"/>
        <w:rPr>
          <w:sz w:val="20"/>
          <w:szCs w:val="20"/>
          <w:color w:val="auto"/>
        </w:rPr>
      </w:pPr>
      <w:r>
        <w:rPr>
          <w:rFonts w:ascii="Arial" w:cs="Arial" w:eastAsia="Arial" w:hAnsi="Arial"/>
          <w:sz w:val="15"/>
          <w:szCs w:val="15"/>
          <w:color w:val="auto"/>
        </w:rPr>
        <w:t>The Nominating and Governance Committee continued to be focused in 2025 on the evolution of the Board, including the recruitment of an additional independent director and long-term Board and committee succession planning, and overseeing the maturation of the Company’s sustainability and government relations programs, including the Company’s political action committee. In addition, the Nominating and Governance Committee actively monitored, and made recommendations regarding, corporate governance trends and best practices.</w:t>
      </w:r>
    </w:p>
    <w:p>
      <w:pPr>
        <w:spacing w:after="0" w:line="170" w:lineRule="exact"/>
        <w:rPr>
          <w:sz w:val="20"/>
          <w:szCs w:val="20"/>
          <w:color w:val="auto"/>
        </w:rPr>
      </w:pPr>
    </w:p>
    <w:p>
      <w:pPr>
        <w:ind w:left="540"/>
        <w:spacing w:after="0"/>
        <w:rPr>
          <w:sz w:val="20"/>
          <w:szCs w:val="20"/>
          <w:color w:val="auto"/>
        </w:rPr>
      </w:pPr>
      <w:r>
        <w:rPr>
          <w:rFonts w:ascii="Arial" w:cs="Arial" w:eastAsia="Arial" w:hAnsi="Arial"/>
          <w:sz w:val="15"/>
          <w:szCs w:val="15"/>
          <w:color w:val="auto"/>
        </w:rPr>
        <w:t>The Nominating and Governance Committee met three times during 2025.</w:t>
      </w:r>
    </w:p>
    <w:p>
      <w:pPr>
        <w:spacing w:after="0" w:line="206" w:lineRule="exact"/>
        <w:rPr>
          <w:sz w:val="20"/>
          <w:szCs w:val="20"/>
          <w:color w:val="auto"/>
        </w:rPr>
      </w:pPr>
    </w:p>
    <w:p>
      <w:pPr>
        <w:ind w:left="540"/>
        <w:spacing w:after="0"/>
        <w:rPr>
          <w:sz w:val="20"/>
          <w:szCs w:val="20"/>
          <w:color w:val="auto"/>
        </w:rPr>
      </w:pPr>
      <w:r>
        <w:rPr>
          <w:rFonts w:ascii="Arial" w:cs="Arial" w:eastAsia="Arial" w:hAnsi="Arial"/>
          <w:sz w:val="17"/>
          <w:szCs w:val="17"/>
          <w:b w:val="1"/>
          <w:bCs w:val="1"/>
          <w:color w:val="002B5F"/>
        </w:rPr>
        <w:t>COMPENSATION AND HUMAN RESOURCES COMMITTEE</w:t>
      </w:r>
    </w:p>
    <w:p>
      <w:pPr>
        <w:spacing w:after="0" w:line="103" w:lineRule="exact"/>
        <w:rPr>
          <w:sz w:val="20"/>
          <w:szCs w:val="20"/>
          <w:color w:val="auto"/>
        </w:rPr>
      </w:pPr>
    </w:p>
    <w:p>
      <w:pPr>
        <w:ind w:left="540" w:right="120"/>
        <w:spacing w:after="0" w:line="258" w:lineRule="auto"/>
        <w:rPr>
          <w:sz w:val="20"/>
          <w:szCs w:val="20"/>
          <w:color w:val="auto"/>
        </w:rPr>
      </w:pPr>
      <w:r>
        <w:rPr>
          <w:rFonts w:ascii="Arial" w:cs="Arial" w:eastAsia="Arial" w:hAnsi="Arial"/>
          <w:sz w:val="15"/>
          <w:szCs w:val="15"/>
          <w:color w:val="auto"/>
        </w:rPr>
        <w:t>The Compensation Committee is composed of the following members: Edward C. Bernard, H. Paulett Eberhart, William F. Glavin, Allison H. Mnookin and James S. Putnam. Ms. Mnookin serves as the chair of the Compensation Committee. Each member of the Compensation Committee is independent under the listing standards of Nasdaq, including the heightened standards that apply to compensation committee members. The Compensation Committee is composed entirely of “non-employee directors” within the meaning of Rule 16b-3 under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341630</wp:posOffset>
            </wp:positionH>
            <wp:positionV relativeFrom="paragraph">
              <wp:posOffset>132080</wp:posOffset>
            </wp:positionV>
            <wp:extent cx="4999990" cy="327406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4999990" cy="3274060"/>
                    </a:xfrm>
                    <a:prstGeom prst="rect">
                      <a:avLst/>
                    </a:prstGeom>
                    <a:noFill/>
                  </pic:spPr>
                </pic:pic>
              </a:graphicData>
            </a:graphic>
          </wp:anchor>
        </w:drawing>
      </w:r>
    </w:p>
    <w:p>
      <w:pPr>
        <w:spacing w:after="0" w:line="312" w:lineRule="exact"/>
        <w:rPr>
          <w:sz w:val="20"/>
          <w:szCs w:val="20"/>
          <w:color w:val="auto"/>
        </w:rPr>
      </w:pPr>
    </w:p>
    <w:p>
      <w:pPr>
        <w:ind w:left="540"/>
        <w:spacing w:after="0"/>
        <w:tabs>
          <w:tab w:leader="none" w:pos="8300" w:val="left"/>
        </w:tabs>
        <w:rPr>
          <w:sz w:val="20"/>
          <w:szCs w:val="20"/>
          <w:color w:val="auto"/>
        </w:rPr>
      </w:pPr>
      <w:r>
        <w:rPr>
          <w:rFonts w:ascii="Arial" w:cs="Arial" w:eastAsia="Arial" w:hAnsi="Arial"/>
          <w:sz w:val="17"/>
          <w:szCs w:val="17"/>
          <w:color w:val="auto"/>
        </w:rPr>
        <w:t xml:space="preserve">  </w:t>
      </w:r>
      <w:r>
        <w:rPr>
          <w:rFonts w:ascii="Arial" w:cs="Arial" w:eastAsia="Arial" w:hAnsi="Arial"/>
          <w:sz w:val="15"/>
          <w:szCs w:val="15"/>
          <w:color w:val="auto"/>
        </w:rPr>
        <w:t>The Compensation Committee is responsible for:</w:t>
      </w:r>
      <w:r>
        <w:rPr>
          <w:sz w:val="20"/>
          <w:szCs w:val="20"/>
          <w:color w:val="auto"/>
        </w:rPr>
        <w:tab/>
      </w:r>
      <w:r>
        <w:rPr>
          <w:rFonts w:ascii="Arial" w:cs="Arial" w:eastAsia="Arial" w:hAnsi="Arial"/>
          <w:sz w:val="17"/>
          <w:szCs w:val="17"/>
          <w:color w:val="auto"/>
        </w:rPr>
        <w:t> </w:t>
      </w:r>
    </w:p>
    <w:p>
      <w:pPr>
        <w:spacing w:after="0" w:line="103" w:lineRule="exact"/>
        <w:rPr>
          <w:sz w:val="20"/>
          <w:szCs w:val="20"/>
          <w:color w:val="auto"/>
        </w:rPr>
      </w:pPr>
    </w:p>
    <w:p>
      <w:pPr>
        <w:ind w:left="900" w:right="320" w:hanging="206"/>
        <w:spacing w:after="0" w:line="287" w:lineRule="auto"/>
        <w:tabs>
          <w:tab w:leader="none" w:pos="900" w:val="left"/>
        </w:tabs>
        <w:numPr>
          <w:ilvl w:val="0"/>
          <w:numId w:val="53"/>
        </w:numPr>
        <w:rPr>
          <w:rFonts w:ascii="Arial" w:cs="Arial" w:eastAsia="Arial" w:hAnsi="Arial"/>
          <w:sz w:val="15"/>
          <w:szCs w:val="15"/>
          <w:color w:val="auto"/>
        </w:rPr>
      </w:pPr>
      <w:r>
        <w:rPr>
          <w:rFonts w:ascii="Arial" w:cs="Arial" w:eastAsia="Arial" w:hAnsi="Arial"/>
          <w:sz w:val="15"/>
          <w:szCs w:val="15"/>
          <w:color w:val="auto"/>
        </w:rPr>
        <w:t>reviewing and approving goals and objectives relevant to executive officer compensation and evaluating the performance of executive officers in light of those goals and objectives;</w:t>
      </w:r>
    </w:p>
    <w:p>
      <w:pPr>
        <w:spacing w:after="0" w:line="46" w:lineRule="exact"/>
        <w:rPr>
          <w:rFonts w:ascii="Arial" w:cs="Arial" w:eastAsia="Arial" w:hAnsi="Arial"/>
          <w:sz w:val="15"/>
          <w:szCs w:val="15"/>
          <w:color w:val="auto"/>
        </w:rPr>
      </w:pPr>
    </w:p>
    <w:p>
      <w:pPr>
        <w:ind w:left="900" w:right="320" w:hanging="206"/>
        <w:spacing w:after="0" w:line="261" w:lineRule="auto"/>
        <w:tabs>
          <w:tab w:leader="none" w:pos="900" w:val="left"/>
        </w:tabs>
        <w:numPr>
          <w:ilvl w:val="0"/>
          <w:numId w:val="53"/>
        </w:numPr>
        <w:rPr>
          <w:rFonts w:ascii="Arial" w:cs="Arial" w:eastAsia="Arial" w:hAnsi="Arial"/>
          <w:sz w:val="15"/>
          <w:szCs w:val="15"/>
          <w:color w:val="auto"/>
        </w:rPr>
      </w:pPr>
      <w:r>
        <w:rPr>
          <w:rFonts w:ascii="Arial" w:cs="Arial" w:eastAsia="Arial" w:hAnsi="Arial"/>
          <w:sz w:val="15"/>
          <w:szCs w:val="15"/>
          <w:color w:val="auto"/>
        </w:rPr>
        <w:t>reviewing the chief executive officer’s compensation based upon the Compensation Committee’s evaluation of the chief executive officer’s performance and proposing a total compensation package for the chief executive officer, which package the Compensation Committee recommends to the Board of Directors for approval;</w:t>
      </w:r>
    </w:p>
    <w:p>
      <w:pPr>
        <w:spacing w:after="0" w:line="66" w:lineRule="exact"/>
        <w:rPr>
          <w:rFonts w:ascii="Arial" w:cs="Arial" w:eastAsia="Arial" w:hAnsi="Arial"/>
          <w:sz w:val="15"/>
          <w:szCs w:val="15"/>
          <w:color w:val="auto"/>
        </w:rPr>
      </w:pPr>
    </w:p>
    <w:p>
      <w:pPr>
        <w:ind w:left="900" w:hanging="206"/>
        <w:spacing w:after="0"/>
        <w:tabs>
          <w:tab w:leader="none" w:pos="900" w:val="left"/>
        </w:tabs>
        <w:numPr>
          <w:ilvl w:val="0"/>
          <w:numId w:val="53"/>
        </w:numPr>
        <w:rPr>
          <w:rFonts w:ascii="Arial" w:cs="Arial" w:eastAsia="Arial" w:hAnsi="Arial"/>
          <w:sz w:val="15"/>
          <w:szCs w:val="15"/>
          <w:color w:val="auto"/>
        </w:rPr>
      </w:pPr>
      <w:r>
        <w:rPr>
          <w:rFonts w:ascii="Arial" w:cs="Arial" w:eastAsia="Arial" w:hAnsi="Arial"/>
          <w:sz w:val="15"/>
          <w:szCs w:val="15"/>
          <w:color w:val="auto"/>
        </w:rPr>
        <w:t>reviewing and approving executive officer compensation;</w:t>
      </w:r>
    </w:p>
    <w:p>
      <w:pPr>
        <w:spacing w:after="0" w:line="108" w:lineRule="exact"/>
        <w:rPr>
          <w:rFonts w:ascii="Arial" w:cs="Arial" w:eastAsia="Arial" w:hAnsi="Arial"/>
          <w:sz w:val="15"/>
          <w:szCs w:val="15"/>
          <w:color w:val="auto"/>
        </w:rPr>
      </w:pPr>
    </w:p>
    <w:p>
      <w:pPr>
        <w:ind w:left="900" w:right="320" w:hanging="206"/>
        <w:spacing w:after="0" w:line="287" w:lineRule="auto"/>
        <w:tabs>
          <w:tab w:leader="none" w:pos="900" w:val="left"/>
        </w:tabs>
        <w:numPr>
          <w:ilvl w:val="0"/>
          <w:numId w:val="53"/>
        </w:numPr>
        <w:rPr>
          <w:rFonts w:ascii="Arial" w:cs="Arial" w:eastAsia="Arial" w:hAnsi="Arial"/>
          <w:sz w:val="15"/>
          <w:szCs w:val="15"/>
          <w:color w:val="auto"/>
        </w:rPr>
      </w:pPr>
      <w:r>
        <w:rPr>
          <w:rFonts w:ascii="Arial" w:cs="Arial" w:eastAsia="Arial" w:hAnsi="Arial"/>
          <w:sz w:val="15"/>
          <w:szCs w:val="15"/>
          <w:color w:val="auto"/>
        </w:rPr>
        <w:t>reviewing the performance, development and leadership capabilities of senior management and succession planning strategies for such senior management;</w:t>
      </w:r>
    </w:p>
    <w:p>
      <w:pPr>
        <w:spacing w:after="0" w:line="46" w:lineRule="exact"/>
        <w:rPr>
          <w:rFonts w:ascii="Arial" w:cs="Arial" w:eastAsia="Arial" w:hAnsi="Arial"/>
          <w:sz w:val="15"/>
          <w:szCs w:val="15"/>
          <w:color w:val="auto"/>
        </w:rPr>
      </w:pPr>
    </w:p>
    <w:p>
      <w:pPr>
        <w:ind w:left="900" w:right="460" w:hanging="206"/>
        <w:spacing w:after="0" w:line="287" w:lineRule="auto"/>
        <w:tabs>
          <w:tab w:leader="none" w:pos="900" w:val="left"/>
        </w:tabs>
        <w:numPr>
          <w:ilvl w:val="0"/>
          <w:numId w:val="53"/>
        </w:numPr>
        <w:rPr>
          <w:rFonts w:ascii="Arial" w:cs="Arial" w:eastAsia="Arial" w:hAnsi="Arial"/>
          <w:sz w:val="15"/>
          <w:szCs w:val="15"/>
          <w:color w:val="auto"/>
        </w:rPr>
      </w:pPr>
      <w:r>
        <w:rPr>
          <w:rFonts w:ascii="Arial" w:cs="Arial" w:eastAsia="Arial" w:hAnsi="Arial"/>
          <w:sz w:val="15"/>
          <w:szCs w:val="15"/>
          <w:color w:val="auto"/>
        </w:rPr>
        <w:t>making recommendations to the Board regarding the adoption of new incentive compensation and equity-based plans, and administering our existing incentive compensation and equity-based plans;</w:t>
      </w:r>
    </w:p>
    <w:p>
      <w:pPr>
        <w:spacing w:after="0" w:line="46" w:lineRule="exact"/>
        <w:rPr>
          <w:rFonts w:ascii="Arial" w:cs="Arial" w:eastAsia="Arial" w:hAnsi="Arial"/>
          <w:sz w:val="15"/>
          <w:szCs w:val="15"/>
          <w:color w:val="auto"/>
        </w:rPr>
      </w:pPr>
    </w:p>
    <w:p>
      <w:pPr>
        <w:ind w:left="900" w:right="980" w:hanging="206"/>
        <w:spacing w:after="0" w:line="287" w:lineRule="auto"/>
        <w:tabs>
          <w:tab w:leader="none" w:pos="900" w:val="left"/>
        </w:tabs>
        <w:numPr>
          <w:ilvl w:val="0"/>
          <w:numId w:val="53"/>
        </w:numPr>
        <w:rPr>
          <w:rFonts w:ascii="Arial" w:cs="Arial" w:eastAsia="Arial" w:hAnsi="Arial"/>
          <w:sz w:val="15"/>
          <w:szCs w:val="15"/>
          <w:color w:val="auto"/>
        </w:rPr>
      </w:pPr>
      <w:r>
        <w:rPr>
          <w:rFonts w:ascii="Arial" w:cs="Arial" w:eastAsia="Arial" w:hAnsi="Arial"/>
          <w:sz w:val="15"/>
          <w:szCs w:val="15"/>
          <w:color w:val="auto"/>
        </w:rPr>
        <w:t>making recommendations to the Board regarding compensation of our directors and director stock ownership and holding guidelines;</w:t>
      </w:r>
    </w:p>
    <w:p>
      <w:pPr>
        <w:spacing w:after="0" w:line="46" w:lineRule="exact"/>
        <w:rPr>
          <w:rFonts w:ascii="Arial" w:cs="Arial" w:eastAsia="Arial" w:hAnsi="Arial"/>
          <w:sz w:val="15"/>
          <w:szCs w:val="15"/>
          <w:color w:val="auto"/>
        </w:rPr>
      </w:pPr>
    </w:p>
    <w:p>
      <w:pPr>
        <w:ind w:left="900" w:right="440" w:hanging="206"/>
        <w:spacing w:after="0" w:line="287" w:lineRule="auto"/>
        <w:tabs>
          <w:tab w:leader="none" w:pos="900" w:val="left"/>
        </w:tabs>
        <w:numPr>
          <w:ilvl w:val="0"/>
          <w:numId w:val="53"/>
        </w:numPr>
        <w:rPr>
          <w:rFonts w:ascii="Arial" w:cs="Arial" w:eastAsia="Arial" w:hAnsi="Arial"/>
          <w:sz w:val="15"/>
          <w:szCs w:val="15"/>
          <w:color w:val="auto"/>
        </w:rPr>
      </w:pPr>
      <w:r>
        <w:rPr>
          <w:rFonts w:ascii="Arial" w:cs="Arial" w:eastAsia="Arial" w:hAnsi="Arial"/>
          <w:sz w:val="15"/>
          <w:szCs w:val="15"/>
          <w:color w:val="auto"/>
        </w:rPr>
        <w:t>reviewing and approving the general design and terms of any significant non-executive compensation and benefits plans;</w:t>
      </w:r>
    </w:p>
    <w:p>
      <w:pPr>
        <w:spacing w:after="0" w:line="46" w:lineRule="exact"/>
        <w:rPr>
          <w:rFonts w:ascii="Arial" w:cs="Arial" w:eastAsia="Arial" w:hAnsi="Arial"/>
          <w:sz w:val="15"/>
          <w:szCs w:val="15"/>
          <w:color w:val="auto"/>
        </w:rPr>
      </w:pPr>
    </w:p>
    <w:p>
      <w:pPr>
        <w:ind w:left="900" w:hanging="206"/>
        <w:spacing w:after="0"/>
        <w:tabs>
          <w:tab w:leader="none" w:pos="900" w:val="left"/>
        </w:tabs>
        <w:numPr>
          <w:ilvl w:val="0"/>
          <w:numId w:val="53"/>
        </w:numPr>
        <w:rPr>
          <w:rFonts w:ascii="Arial" w:cs="Arial" w:eastAsia="Arial" w:hAnsi="Arial"/>
          <w:sz w:val="15"/>
          <w:szCs w:val="15"/>
          <w:color w:val="auto"/>
        </w:rPr>
      </w:pPr>
      <w:r>
        <w:rPr>
          <w:rFonts w:ascii="Arial" w:cs="Arial" w:eastAsia="Arial" w:hAnsi="Arial"/>
          <w:sz w:val="15"/>
          <w:szCs w:val="15"/>
          <w:color w:val="auto"/>
        </w:rPr>
        <w:t>reviewing our I&amp;B policies, programs and initiatives;</w:t>
      </w:r>
    </w:p>
    <w:p>
      <w:pPr>
        <w:spacing w:after="0" w:line="108" w:lineRule="exact"/>
        <w:rPr>
          <w:rFonts w:ascii="Arial" w:cs="Arial" w:eastAsia="Arial" w:hAnsi="Arial"/>
          <w:sz w:val="15"/>
          <w:szCs w:val="15"/>
          <w:color w:val="auto"/>
        </w:rPr>
      </w:pPr>
    </w:p>
    <w:p>
      <w:pPr>
        <w:ind w:left="900" w:hanging="206"/>
        <w:spacing w:after="0"/>
        <w:tabs>
          <w:tab w:leader="none" w:pos="900" w:val="left"/>
        </w:tabs>
        <w:numPr>
          <w:ilvl w:val="0"/>
          <w:numId w:val="53"/>
        </w:numPr>
        <w:rPr>
          <w:rFonts w:ascii="Arial" w:cs="Arial" w:eastAsia="Arial" w:hAnsi="Arial"/>
          <w:sz w:val="15"/>
          <w:szCs w:val="15"/>
          <w:color w:val="auto"/>
        </w:rPr>
      </w:pPr>
      <w:r>
        <w:rPr>
          <w:rFonts w:ascii="Arial" w:cs="Arial" w:eastAsia="Arial" w:hAnsi="Arial"/>
          <w:sz w:val="15"/>
          <w:szCs w:val="15"/>
          <w:color w:val="auto"/>
        </w:rPr>
        <w:t>reviewing our significant policies, practices and procedures concerning human resource-related matters;</w:t>
      </w:r>
    </w:p>
    <w:p>
      <w:pPr>
        <w:spacing w:after="0" w:line="108" w:lineRule="exact"/>
        <w:rPr>
          <w:rFonts w:ascii="Arial" w:cs="Arial" w:eastAsia="Arial" w:hAnsi="Arial"/>
          <w:sz w:val="15"/>
          <w:szCs w:val="15"/>
          <w:color w:val="auto"/>
        </w:rPr>
      </w:pPr>
    </w:p>
    <w:p>
      <w:pPr>
        <w:ind w:left="900" w:right="320" w:hanging="206"/>
        <w:spacing w:after="0" w:line="287" w:lineRule="auto"/>
        <w:tabs>
          <w:tab w:leader="none" w:pos="900" w:val="left"/>
        </w:tabs>
        <w:numPr>
          <w:ilvl w:val="0"/>
          <w:numId w:val="53"/>
        </w:numPr>
        <w:rPr>
          <w:rFonts w:ascii="Arial" w:cs="Arial" w:eastAsia="Arial" w:hAnsi="Arial"/>
          <w:sz w:val="15"/>
          <w:szCs w:val="15"/>
          <w:color w:val="auto"/>
        </w:rPr>
      </w:pPr>
      <w:r>
        <w:rPr>
          <w:rFonts w:ascii="Arial" w:cs="Arial" w:eastAsia="Arial" w:hAnsi="Arial"/>
          <w:sz w:val="15"/>
          <w:szCs w:val="15"/>
          <w:color w:val="auto"/>
        </w:rPr>
        <w:t>establishing and monitoring compliance with stock ownership and holding guidelines applicable to executive officers; and</w:t>
      </w:r>
    </w:p>
    <w:p>
      <w:pPr>
        <w:spacing w:after="0" w:line="46" w:lineRule="exact"/>
        <w:rPr>
          <w:rFonts w:ascii="Arial" w:cs="Arial" w:eastAsia="Arial" w:hAnsi="Arial"/>
          <w:sz w:val="15"/>
          <w:szCs w:val="15"/>
          <w:color w:val="auto"/>
        </w:rPr>
      </w:pPr>
    </w:p>
    <w:p>
      <w:pPr>
        <w:ind w:left="900" w:hanging="206"/>
        <w:spacing w:after="0"/>
        <w:tabs>
          <w:tab w:leader="none" w:pos="900" w:val="left"/>
        </w:tabs>
        <w:numPr>
          <w:ilvl w:val="0"/>
          <w:numId w:val="53"/>
        </w:numPr>
        <w:rPr>
          <w:rFonts w:ascii="Arial" w:cs="Arial" w:eastAsia="Arial" w:hAnsi="Arial"/>
          <w:sz w:val="15"/>
          <w:szCs w:val="15"/>
          <w:color w:val="auto"/>
        </w:rPr>
      </w:pPr>
      <w:r>
        <w:rPr>
          <w:rFonts w:ascii="Arial" w:cs="Arial" w:eastAsia="Arial" w:hAnsi="Arial"/>
          <w:sz w:val="15"/>
          <w:szCs w:val="15"/>
          <w:color w:val="auto"/>
        </w:rPr>
        <w:t>reviewing an annual compensation risk assessment.</w:t>
      </w:r>
    </w:p>
    <w:p>
      <w:pPr>
        <w:spacing w:after="0" w:line="20" w:lineRule="exact"/>
        <w:rPr>
          <w:sz w:val="20"/>
          <w:szCs w:val="20"/>
          <w:color w:val="auto"/>
        </w:rPr>
      </w:pPr>
      <w:r>
        <w:rPr>
          <w:sz w:val="20"/>
          <w:szCs w:val="20"/>
          <w:color w:val="auto"/>
        </w:rPr>
        <w:br w:type="column"/>
      </w:r>
    </w:p>
    <w:p>
      <w:pPr>
        <w:spacing w:after="0" w:line="39" w:lineRule="exact"/>
        <w:rPr>
          <w:sz w:val="20"/>
          <w:szCs w:val="20"/>
          <w:color w:val="auto"/>
        </w:rPr>
      </w:pPr>
    </w:p>
    <w:p>
      <w:pPr>
        <w:spacing w:after="0"/>
        <w:rPr>
          <w:sz w:val="20"/>
          <w:szCs w:val="20"/>
          <w:color w:val="auto"/>
        </w:rPr>
      </w:pPr>
      <w:r>
        <w:rPr>
          <w:rFonts w:ascii="Arial" w:cs="Arial" w:eastAsia="Arial" w:hAnsi="Arial"/>
          <w:sz w:val="12"/>
          <w:szCs w:val="12"/>
          <w:color w:val="FFFFFF"/>
        </w:rPr>
        <w:t>Compensation</w:t>
      </w:r>
    </w:p>
    <w:p>
      <w:pPr>
        <w:spacing w:after="0" w:line="224" w:lineRule="auto"/>
        <w:rPr>
          <w:sz w:val="20"/>
          <w:szCs w:val="20"/>
          <w:color w:val="auto"/>
        </w:rPr>
      </w:pPr>
      <w:r>
        <w:rPr>
          <w:rFonts w:ascii="Arial" w:cs="Arial" w:eastAsia="Arial" w:hAnsi="Arial"/>
          <w:sz w:val="12"/>
          <w:szCs w:val="12"/>
          <w:color w:val="FFFFFF"/>
        </w:rPr>
        <w:t>Discussion and</w:t>
      </w:r>
    </w:p>
    <w:p>
      <w:pPr>
        <w:spacing w:after="0"/>
        <w:rPr>
          <w:sz w:val="20"/>
          <w:szCs w:val="20"/>
          <w:color w:val="auto"/>
        </w:rPr>
      </w:pPr>
      <w:r>
        <w:rPr>
          <w:rFonts w:ascii="Arial" w:cs="Arial" w:eastAsia="Arial" w:hAnsi="Arial"/>
          <w:sz w:val="12"/>
          <w:szCs w:val="12"/>
          <w:color w:val="FFFFFF"/>
        </w:rPr>
        <w:t>Analysis</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Report of the</w:t>
      </w:r>
    </w:p>
    <w:p>
      <w:pPr>
        <w:spacing w:after="0" w:line="224" w:lineRule="auto"/>
        <w:rPr>
          <w:sz w:val="20"/>
          <w:szCs w:val="20"/>
          <w:color w:val="auto"/>
        </w:rPr>
      </w:pPr>
      <w:r>
        <w:rPr>
          <w:rFonts w:ascii="Arial" w:cs="Arial" w:eastAsia="Arial" w:hAnsi="Arial"/>
          <w:sz w:val="12"/>
          <w:szCs w:val="12"/>
          <w:color w:val="FFFFFF"/>
        </w:rPr>
        <w:t>Compensation</w:t>
      </w:r>
    </w:p>
    <w:p>
      <w:pPr>
        <w:spacing w:after="0" w:line="222" w:lineRule="auto"/>
        <w:rPr>
          <w:sz w:val="20"/>
          <w:szCs w:val="20"/>
          <w:color w:val="auto"/>
        </w:rPr>
      </w:pPr>
      <w:r>
        <w:rPr>
          <w:rFonts w:ascii="Arial" w:cs="Arial" w:eastAsia="Arial" w:hAnsi="Arial"/>
          <w:sz w:val="12"/>
          <w:szCs w:val="12"/>
          <w:color w:val="FFFFFF"/>
        </w:rPr>
        <w:t>and Human</w:t>
      </w:r>
    </w:p>
    <w:p>
      <w:pPr>
        <w:spacing w:after="0" w:line="222" w:lineRule="auto"/>
        <w:rPr>
          <w:sz w:val="20"/>
          <w:szCs w:val="20"/>
          <w:color w:val="auto"/>
        </w:rPr>
      </w:pPr>
      <w:r>
        <w:rPr>
          <w:rFonts w:ascii="Arial" w:cs="Arial" w:eastAsia="Arial" w:hAnsi="Arial"/>
          <w:sz w:val="12"/>
          <w:szCs w:val="12"/>
          <w:color w:val="FFFFFF"/>
        </w:rPr>
        <w:t>Resources</w:t>
      </w:r>
    </w:p>
    <w:p>
      <w:pPr>
        <w:spacing w:after="0" w:line="222" w:lineRule="auto"/>
        <w:rPr>
          <w:sz w:val="20"/>
          <w:szCs w:val="20"/>
          <w:color w:val="auto"/>
        </w:rPr>
      </w:pPr>
      <w:r>
        <w:rPr>
          <w:rFonts w:ascii="Arial" w:cs="Arial" w:eastAsia="Arial" w:hAnsi="Arial"/>
          <w:sz w:val="12"/>
          <w:szCs w:val="12"/>
          <w:color w:val="FFFFFF"/>
        </w:rPr>
        <w:t>Committee of the</w:t>
      </w:r>
    </w:p>
    <w:p>
      <w:pPr>
        <w:spacing w:after="0"/>
        <w:rPr>
          <w:sz w:val="20"/>
          <w:szCs w:val="20"/>
          <w:color w:val="auto"/>
        </w:rPr>
      </w:pPr>
      <w:r>
        <w:rPr>
          <w:rFonts w:ascii="Arial" w:cs="Arial" w:eastAsia="Arial" w:hAnsi="Arial"/>
          <w:sz w:val="11"/>
          <w:szCs w:val="11"/>
          <w:color w:val="FFFFFF"/>
        </w:rPr>
        <w:t>Board of Directors</w:t>
      </w:r>
    </w:p>
    <w:p>
      <w:pPr>
        <w:spacing w:after="0" w:line="155" w:lineRule="exact"/>
        <w:rPr>
          <w:sz w:val="20"/>
          <w:szCs w:val="20"/>
          <w:color w:val="auto"/>
        </w:rPr>
      </w:pPr>
    </w:p>
    <w:p>
      <w:pPr>
        <w:spacing w:after="0"/>
        <w:rPr>
          <w:sz w:val="20"/>
          <w:szCs w:val="20"/>
          <w:color w:val="auto"/>
        </w:rPr>
      </w:pPr>
      <w:r>
        <w:rPr>
          <w:rFonts w:ascii="Arial" w:cs="Arial" w:eastAsia="Arial" w:hAnsi="Arial"/>
          <w:sz w:val="12"/>
          <w:szCs w:val="12"/>
          <w:color w:val="FFFFFF"/>
        </w:rPr>
        <w:t>Compensation of</w:t>
      </w:r>
    </w:p>
    <w:p>
      <w:pPr>
        <w:spacing w:after="0" w:line="224" w:lineRule="auto"/>
        <w:rPr>
          <w:sz w:val="20"/>
          <w:szCs w:val="20"/>
          <w:color w:val="auto"/>
        </w:rPr>
      </w:pPr>
      <w:r>
        <w:rPr>
          <w:rFonts w:ascii="Arial" w:cs="Arial" w:eastAsia="Arial" w:hAnsi="Arial"/>
          <w:sz w:val="12"/>
          <w:szCs w:val="12"/>
          <w:color w:val="FFFFFF"/>
        </w:rPr>
        <w:t>Named Executive</w:t>
      </w:r>
    </w:p>
    <w:p>
      <w:pPr>
        <w:spacing w:after="0"/>
        <w:rPr>
          <w:sz w:val="20"/>
          <w:szCs w:val="20"/>
          <w:color w:val="auto"/>
        </w:rPr>
      </w:pPr>
      <w:r>
        <w:rPr>
          <w:rFonts w:ascii="Arial" w:cs="Arial" w:eastAsia="Arial" w:hAnsi="Arial"/>
          <w:sz w:val="12"/>
          <w:szCs w:val="12"/>
          <w:color w:val="FFFFFF"/>
        </w:rPr>
        <w:t>Officers</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Pay Versus</w:t>
      </w:r>
    </w:p>
    <w:p>
      <w:pPr>
        <w:spacing w:after="0" w:line="224" w:lineRule="auto"/>
        <w:rPr>
          <w:sz w:val="20"/>
          <w:szCs w:val="20"/>
          <w:color w:val="auto"/>
        </w:rPr>
      </w:pPr>
      <w:r>
        <w:rPr>
          <w:rFonts w:ascii="Arial" w:cs="Arial" w:eastAsia="Arial" w:hAnsi="Arial"/>
          <w:sz w:val="12"/>
          <w:szCs w:val="12"/>
          <w:color w:val="FFFFFF"/>
        </w:rPr>
        <w:t>Performance</w:t>
      </w:r>
    </w:p>
    <w:p>
      <w:pPr>
        <w:spacing w:after="0"/>
        <w:rPr>
          <w:sz w:val="20"/>
          <w:szCs w:val="20"/>
          <w:color w:val="auto"/>
        </w:rPr>
      </w:pPr>
      <w:r>
        <w:rPr>
          <w:rFonts w:ascii="Arial" w:cs="Arial" w:eastAsia="Arial" w:hAnsi="Arial"/>
          <w:sz w:val="12"/>
          <w:szCs w:val="12"/>
          <w:color w:val="FFFFFF"/>
        </w:rPr>
        <w:t>Disclosure</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Security</w:t>
      </w:r>
    </w:p>
    <w:p>
      <w:pPr>
        <w:spacing w:after="0" w:line="224" w:lineRule="auto"/>
        <w:rPr>
          <w:sz w:val="20"/>
          <w:szCs w:val="20"/>
          <w:color w:val="auto"/>
        </w:rPr>
      </w:pPr>
      <w:r>
        <w:rPr>
          <w:rFonts w:ascii="Arial" w:cs="Arial" w:eastAsia="Arial" w:hAnsi="Arial"/>
          <w:sz w:val="12"/>
          <w:szCs w:val="12"/>
          <w:color w:val="FFFFFF"/>
        </w:rPr>
        <w:t>Ownership of</w:t>
      </w:r>
    </w:p>
    <w:p>
      <w:pPr>
        <w:spacing w:after="0" w:line="222" w:lineRule="auto"/>
        <w:rPr>
          <w:sz w:val="20"/>
          <w:szCs w:val="20"/>
          <w:color w:val="auto"/>
        </w:rPr>
      </w:pPr>
      <w:r>
        <w:rPr>
          <w:rFonts w:ascii="Arial" w:cs="Arial" w:eastAsia="Arial" w:hAnsi="Arial"/>
          <w:sz w:val="12"/>
          <w:szCs w:val="12"/>
          <w:color w:val="FFFFFF"/>
        </w:rPr>
        <w:t>Certain Beneficial</w:t>
      </w:r>
    </w:p>
    <w:p>
      <w:pPr>
        <w:spacing w:after="0" w:line="222" w:lineRule="auto"/>
        <w:rPr>
          <w:sz w:val="20"/>
          <w:szCs w:val="20"/>
          <w:color w:val="auto"/>
        </w:rPr>
      </w:pPr>
      <w:r>
        <w:rPr>
          <w:rFonts w:ascii="Arial" w:cs="Arial" w:eastAsia="Arial" w:hAnsi="Arial"/>
          <w:sz w:val="12"/>
          <w:szCs w:val="12"/>
          <w:color w:val="FFFFFF"/>
        </w:rPr>
        <w:t>Owners and</w:t>
      </w:r>
    </w:p>
    <w:p>
      <w:pPr>
        <w:spacing w:after="0"/>
        <w:rPr>
          <w:sz w:val="20"/>
          <w:szCs w:val="20"/>
          <w:color w:val="auto"/>
        </w:rPr>
      </w:pPr>
      <w:r>
        <w:rPr>
          <w:rFonts w:ascii="Arial" w:cs="Arial" w:eastAsia="Arial" w:hAnsi="Arial"/>
          <w:sz w:val="12"/>
          <w:szCs w:val="12"/>
          <w:color w:val="FFFFFF"/>
        </w:rPr>
        <w:t>Management</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Certain</w:t>
      </w:r>
    </w:p>
    <w:p>
      <w:pPr>
        <w:spacing w:after="0" w:line="224" w:lineRule="auto"/>
        <w:rPr>
          <w:sz w:val="20"/>
          <w:szCs w:val="20"/>
          <w:color w:val="auto"/>
        </w:rPr>
      </w:pPr>
      <w:r>
        <w:rPr>
          <w:rFonts w:ascii="Arial" w:cs="Arial" w:eastAsia="Arial" w:hAnsi="Arial"/>
          <w:sz w:val="12"/>
          <w:szCs w:val="12"/>
          <w:color w:val="FFFFFF"/>
        </w:rPr>
        <w:t>Relationships and</w:t>
      </w:r>
    </w:p>
    <w:p>
      <w:pPr>
        <w:spacing w:after="0" w:line="222" w:lineRule="auto"/>
        <w:rPr>
          <w:sz w:val="20"/>
          <w:szCs w:val="20"/>
          <w:color w:val="auto"/>
        </w:rPr>
      </w:pPr>
      <w:r>
        <w:rPr>
          <w:rFonts w:ascii="Arial" w:cs="Arial" w:eastAsia="Arial" w:hAnsi="Arial"/>
          <w:sz w:val="12"/>
          <w:szCs w:val="12"/>
          <w:color w:val="FFFFFF"/>
        </w:rPr>
        <w:t>Related Party</w:t>
      </w:r>
    </w:p>
    <w:p>
      <w:pPr>
        <w:spacing w:after="0"/>
        <w:rPr>
          <w:sz w:val="20"/>
          <w:szCs w:val="20"/>
          <w:color w:val="auto"/>
        </w:rPr>
      </w:pPr>
      <w:r>
        <w:rPr>
          <w:rFonts w:ascii="Arial" w:cs="Arial" w:eastAsia="Arial" w:hAnsi="Arial"/>
          <w:sz w:val="12"/>
          <w:szCs w:val="12"/>
          <w:color w:val="FFFFFF"/>
        </w:rPr>
        <w:t>Transactions</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Proposal 2</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FFFFFF"/>
        </w:rPr>
        <w:t>Report of the</w:t>
      </w:r>
    </w:p>
    <w:p>
      <w:pPr>
        <w:spacing w:after="0" w:line="224" w:lineRule="auto"/>
        <w:rPr>
          <w:sz w:val="20"/>
          <w:szCs w:val="20"/>
          <w:color w:val="auto"/>
        </w:rPr>
      </w:pPr>
      <w:r>
        <w:rPr>
          <w:rFonts w:ascii="Arial" w:cs="Arial" w:eastAsia="Arial" w:hAnsi="Arial"/>
          <w:sz w:val="12"/>
          <w:szCs w:val="12"/>
          <w:color w:val="FFFFFF"/>
        </w:rPr>
        <w:t>Audit and Risk</w:t>
      </w:r>
    </w:p>
    <w:p>
      <w:pPr>
        <w:spacing w:after="0" w:line="222" w:lineRule="auto"/>
        <w:rPr>
          <w:sz w:val="20"/>
          <w:szCs w:val="20"/>
          <w:color w:val="auto"/>
        </w:rPr>
      </w:pPr>
      <w:r>
        <w:rPr>
          <w:rFonts w:ascii="Arial" w:cs="Arial" w:eastAsia="Arial" w:hAnsi="Arial"/>
          <w:sz w:val="12"/>
          <w:szCs w:val="12"/>
          <w:color w:val="FFFFFF"/>
        </w:rPr>
        <w:t>Committee of the</w:t>
      </w:r>
    </w:p>
    <w:p>
      <w:pPr>
        <w:spacing w:after="0"/>
        <w:rPr>
          <w:sz w:val="20"/>
          <w:szCs w:val="20"/>
          <w:color w:val="auto"/>
        </w:rPr>
      </w:pPr>
      <w:r>
        <w:rPr>
          <w:rFonts w:ascii="Arial" w:cs="Arial" w:eastAsia="Arial" w:hAnsi="Arial"/>
          <w:sz w:val="11"/>
          <w:szCs w:val="11"/>
          <w:color w:val="FFFFFF"/>
        </w:rPr>
        <w:t>Board of Directors</w:t>
      </w:r>
    </w:p>
    <w:p>
      <w:pPr>
        <w:spacing w:after="0" w:line="155" w:lineRule="exact"/>
        <w:rPr>
          <w:sz w:val="20"/>
          <w:szCs w:val="20"/>
          <w:color w:val="auto"/>
        </w:rPr>
      </w:pPr>
    </w:p>
    <w:p>
      <w:pPr>
        <w:spacing w:after="0"/>
        <w:rPr>
          <w:sz w:val="20"/>
          <w:szCs w:val="20"/>
          <w:color w:val="auto"/>
        </w:rPr>
      </w:pPr>
      <w:r>
        <w:rPr>
          <w:rFonts w:ascii="Arial" w:cs="Arial" w:eastAsia="Arial" w:hAnsi="Arial"/>
          <w:sz w:val="12"/>
          <w:szCs w:val="12"/>
          <w:color w:val="FFFFFF"/>
        </w:rPr>
        <w:t>Proposal 3</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FFFFFF"/>
        </w:rPr>
        <w:t>Proposal 4</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FFFFFF"/>
        </w:rPr>
        <w:t>Proposal 5</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FFFFFF"/>
        </w:rPr>
        <w:t>Proposal 6</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FFFFFF"/>
        </w:rPr>
        <w:t>Stockholder</w:t>
      </w:r>
    </w:p>
    <w:p>
      <w:pPr>
        <w:spacing w:after="0" w:line="224" w:lineRule="auto"/>
        <w:rPr>
          <w:sz w:val="20"/>
          <w:szCs w:val="20"/>
          <w:color w:val="auto"/>
        </w:rPr>
      </w:pPr>
      <w:r>
        <w:rPr>
          <w:rFonts w:ascii="Arial" w:cs="Arial" w:eastAsia="Arial" w:hAnsi="Arial"/>
          <w:sz w:val="12"/>
          <w:szCs w:val="12"/>
          <w:color w:val="FFFFFF"/>
        </w:rPr>
        <w:t>Proposals and</w:t>
      </w:r>
    </w:p>
    <w:p>
      <w:pPr>
        <w:spacing w:after="0"/>
        <w:rPr>
          <w:sz w:val="20"/>
          <w:szCs w:val="20"/>
          <w:color w:val="auto"/>
        </w:rPr>
      </w:pPr>
      <w:r>
        <w:rPr>
          <w:rFonts w:ascii="Arial" w:cs="Arial" w:eastAsia="Arial" w:hAnsi="Arial"/>
          <w:sz w:val="12"/>
          <w:szCs w:val="12"/>
          <w:color w:val="FFFFFF"/>
        </w:rPr>
        <w:t>Other Matters</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Delinquent</w:t>
      </w:r>
    </w:p>
    <w:p>
      <w:pPr>
        <w:spacing w:after="0" w:line="224" w:lineRule="auto"/>
        <w:rPr>
          <w:sz w:val="20"/>
          <w:szCs w:val="20"/>
          <w:color w:val="auto"/>
        </w:rPr>
      </w:pPr>
      <w:r>
        <w:rPr>
          <w:rFonts w:ascii="Arial" w:cs="Arial" w:eastAsia="Arial" w:hAnsi="Arial"/>
          <w:sz w:val="12"/>
          <w:szCs w:val="12"/>
          <w:color w:val="FFFFFF"/>
        </w:rPr>
        <w:t>Section 16(a)</w:t>
      </w:r>
    </w:p>
    <w:p>
      <w:pPr>
        <w:spacing w:after="0"/>
        <w:rPr>
          <w:sz w:val="20"/>
          <w:szCs w:val="20"/>
          <w:color w:val="auto"/>
        </w:rPr>
      </w:pPr>
      <w:r>
        <w:rPr>
          <w:rFonts w:ascii="Arial" w:cs="Arial" w:eastAsia="Arial" w:hAnsi="Arial"/>
          <w:sz w:val="12"/>
          <w:szCs w:val="12"/>
          <w:color w:val="FFFFFF"/>
        </w:rPr>
        <w:t>Reports</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Other</w:t>
      </w:r>
    </w:p>
    <w:p>
      <w:pPr>
        <w:spacing w:after="0" w:line="2" w:lineRule="exact"/>
        <w:rPr>
          <w:sz w:val="20"/>
          <w:szCs w:val="20"/>
          <w:color w:val="auto"/>
        </w:rPr>
      </w:pPr>
    </w:p>
    <w:p>
      <w:pPr>
        <w:spacing w:after="0"/>
        <w:rPr>
          <w:sz w:val="20"/>
          <w:szCs w:val="20"/>
          <w:color w:val="auto"/>
        </w:rPr>
      </w:pPr>
      <w:r>
        <w:rPr>
          <w:rFonts w:ascii="Arial" w:cs="Arial" w:eastAsia="Arial" w:hAnsi="Arial"/>
          <w:sz w:val="12"/>
          <w:szCs w:val="12"/>
          <w:color w:val="FFFFFF"/>
        </w:rPr>
        <w:t>Information</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Appendix A</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FFFFFF"/>
        </w:rPr>
        <w:t>Appendix B</w:t>
      </w:r>
    </w:p>
    <w:p>
      <w:pPr>
        <w:spacing w:after="0" w:line="200" w:lineRule="exact"/>
        <w:rPr>
          <w:sz w:val="20"/>
          <w:szCs w:val="20"/>
          <w:color w:val="auto"/>
        </w:rPr>
      </w:pPr>
    </w:p>
    <w:p>
      <w:pPr>
        <w:sectPr>
          <w:pgSz w:w="11900" w:h="16838" w:orient="portrait"/>
          <w:cols w:equalWidth="0" w:num="2">
            <w:col w:w="8500" w:space="720"/>
            <w:col w:w="1580"/>
          </w:cols>
          <w:pgMar w:left="320" w:top="464" w:right="7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6380"/>
        <w:spacing w:after="0"/>
        <w:tabs>
          <w:tab w:leader="none" w:pos="8500" w:val="left"/>
          <w:tab w:leader="none" w:pos="9960" w:val="left"/>
        </w:tabs>
        <w:rPr>
          <w:sz w:val="20"/>
          <w:szCs w:val="20"/>
          <w:color w:val="auto"/>
        </w:rPr>
      </w:pPr>
      <w:r>
        <w:rPr>
          <w:rFonts w:ascii="Arial" w:cs="Arial" w:eastAsia="Arial" w:hAnsi="Arial"/>
          <w:sz w:val="15"/>
          <w:szCs w:val="15"/>
          <w:b w:val="1"/>
          <w:bCs w:val="1"/>
          <w:color w:val="002B5F"/>
        </w:rPr>
        <w:t xml:space="preserve">2026 Proxy Statement  </w:t>
      </w:r>
      <w:r>
        <w:rPr>
          <w:rFonts w:ascii="Arial" w:cs="Arial" w:eastAsia="Arial" w:hAnsi="Arial"/>
          <w:sz w:val="20"/>
          <w:szCs w:val="20"/>
          <w:color w:val="002B5F"/>
        </w:rPr>
        <w:t>|</w:t>
      </w:r>
      <w:r>
        <w:rPr>
          <w:rFonts w:ascii="Arial" w:cs="Arial" w:eastAsia="Arial" w:hAnsi="Arial"/>
          <w:sz w:val="15"/>
          <w:szCs w:val="15"/>
          <w:b w:val="1"/>
          <w:bCs w:val="1"/>
          <w:color w:val="002B5F"/>
        </w:rPr>
        <w:t xml:space="preserve">  31</w:t>
      </w:r>
      <w:r>
        <w:rPr>
          <w:sz w:val="20"/>
          <w:szCs w:val="20"/>
          <w:color w:val="auto"/>
        </w:rPr>
        <w:tab/>
      </w:r>
      <w:r>
        <w:rPr>
          <w:rFonts w:ascii="Arial" w:cs="Arial" w:eastAsia="Arial" w:hAnsi="Arial"/>
          <w:sz w:val="17"/>
          <w:szCs w:val="17"/>
          <w:color w:val="auto"/>
        </w:rPr>
        <w:t xml:space="preserve">    </w:t>
      </w:r>
      <w:r>
        <w:rPr>
          <w:sz w:val="20"/>
          <w:szCs w:val="20"/>
          <w:color w:val="auto"/>
        </w:rPr>
        <w:tab/>
      </w:r>
      <w:r>
        <w:rPr>
          <w:rFonts w:ascii="Arial" w:cs="Arial" w:eastAsia="Arial" w:hAnsi="Arial"/>
          <w:sz w:val="17"/>
          <w:szCs w:val="17"/>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268605</wp:posOffset>
            </wp:positionH>
            <wp:positionV relativeFrom="paragraph">
              <wp:posOffset>-128905</wp:posOffset>
            </wp:positionV>
            <wp:extent cx="762000" cy="971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62000" cy="97155"/>
                    </a:xfrm>
                    <a:prstGeom prst="rect">
                      <a:avLst/>
                    </a:prstGeom>
                    <a:noFill/>
                  </pic:spPr>
                </pic:pic>
              </a:graphicData>
            </a:graphic>
          </wp:anchor>
        </w:drawing>
      </w:r>
    </w:p>
    <w:p>
      <w:pPr>
        <w:sectPr>
          <w:pgSz w:w="11900" w:h="16838" w:orient="portrait"/>
          <w:cols w:equalWidth="0" w:num="1">
            <w:col w:w="10800"/>
          </w:cols>
          <w:pgMar w:left="320" w:top="464" w:right="779" w:bottom="1440" w:gutter="0" w:footer="0" w:header="0"/>
          <w:type w:val="continuous"/>
        </w:sectPr>
      </w:pPr>
    </w:p>
    <w:bookmarkStart w:id="39" w:name="page40"/>
    <w:bookmarkEnd w:id="39"/>
    <w:p>
      <w:pPr>
        <w:spacing w:after="0"/>
        <w:rPr>
          <w:sz w:val="20"/>
          <w:szCs w:val="20"/>
          <w:color w:val="auto"/>
        </w:rPr>
      </w:pPr>
      <w:r>
        <w:rPr>
          <w:rFonts w:ascii="Times New Roman" w:cs="Times New Roman" w:eastAsia="Times New Roman" w:hAnsi="Times New Roman"/>
          <w:sz w:val="17"/>
          <w:szCs w:val="17"/>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268605</wp:posOffset>
            </wp:positionH>
            <wp:positionV relativeFrom="paragraph">
              <wp:posOffset>253365</wp:posOffset>
            </wp:positionV>
            <wp:extent cx="1183005" cy="745617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183005" cy="7456170"/>
                    </a:xfrm>
                    <a:prstGeom prst="rect">
                      <a:avLst/>
                    </a:prstGeom>
                    <a:noFill/>
                  </pic:spPr>
                </pic:pic>
              </a:graphicData>
            </a:graphic>
          </wp:anchor>
        </w:drawing>
      </w:r>
    </w:p>
    <w:p>
      <w:pPr>
        <w:spacing w:after="0" w:line="200" w:lineRule="exact"/>
        <w:rPr>
          <w:sz w:val="20"/>
          <w:szCs w:val="20"/>
          <w:color w:val="auto"/>
        </w:rPr>
      </w:pPr>
    </w:p>
    <w:p>
      <w:pPr>
        <w:spacing w:after="0" w:line="304" w:lineRule="exact"/>
        <w:rPr>
          <w:sz w:val="20"/>
          <w:szCs w:val="20"/>
          <w:color w:val="auto"/>
        </w:rPr>
      </w:pPr>
    </w:p>
    <w:p>
      <w:pPr>
        <w:ind w:left="1120" w:right="460" w:hanging="672"/>
        <w:spacing w:after="0" w:line="382" w:lineRule="auto"/>
        <w:tabs>
          <w:tab w:leader="none" w:pos="610" w:val="left"/>
        </w:tabs>
        <w:numPr>
          <w:ilvl w:val="0"/>
          <w:numId w:val="54"/>
        </w:numPr>
        <w:rPr>
          <w:rFonts w:ascii="Arial" w:cs="Arial" w:eastAsia="Arial" w:hAnsi="Arial"/>
          <w:sz w:val="24"/>
          <w:szCs w:val="24"/>
          <w:color w:val="auto"/>
          <w:vertAlign w:val="subscript"/>
        </w:rPr>
      </w:pPr>
      <w:r>
        <w:rPr>
          <w:rFonts w:ascii="Arial" w:cs="Arial" w:eastAsia="Arial" w:hAnsi="Arial"/>
          <w:sz w:val="24"/>
          <w:szCs w:val="24"/>
          <w:color w:val="000000"/>
          <w:vertAlign w:val="subscript"/>
        </w:rPr>
        <w:t xml:space="preserve">     </w:t>
      </w:r>
      <w:r>
        <w:rPr>
          <w:rFonts w:ascii="Arial" w:cs="Arial" w:eastAsia="Arial" w:hAnsi="Arial"/>
          <w:sz w:val="10"/>
          <w:szCs w:val="10"/>
          <w:color w:val="FFFFFF"/>
        </w:rPr>
        <w:t xml:space="preserve"> General Information</w:t>
      </w:r>
    </w:p>
    <w:p>
      <w:pPr>
        <w:spacing w:after="0" w:line="1" w:lineRule="exact"/>
        <w:rPr>
          <w:sz w:val="20"/>
          <w:szCs w:val="20"/>
          <w:color w:val="auto"/>
        </w:rPr>
      </w:pPr>
    </w:p>
    <w:p>
      <w:pPr>
        <w:ind w:left="1120"/>
        <w:spacing w:after="0"/>
        <w:rPr>
          <w:sz w:val="20"/>
          <w:szCs w:val="20"/>
          <w:color w:val="auto"/>
        </w:rPr>
      </w:pPr>
      <w:r>
        <w:rPr>
          <w:rFonts w:ascii="Arial" w:cs="Arial" w:eastAsia="Arial" w:hAnsi="Arial"/>
          <w:sz w:val="11"/>
          <w:szCs w:val="11"/>
          <w:color w:val="FFFFFF"/>
        </w:rPr>
        <w:t>General Information</w:t>
      </w:r>
    </w:p>
    <w:p>
      <w:pPr>
        <w:spacing w:after="0" w:line="3"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About Corporate</w:t>
      </w:r>
    </w:p>
    <w:p>
      <w:pPr>
        <w:ind w:left="1120"/>
        <w:spacing w:after="0" w:line="221" w:lineRule="auto"/>
        <w:rPr>
          <w:sz w:val="20"/>
          <w:szCs w:val="20"/>
          <w:color w:val="auto"/>
        </w:rPr>
      </w:pPr>
      <w:r>
        <w:rPr>
          <w:rFonts w:ascii="Arial" w:cs="Arial" w:eastAsia="Arial" w:hAnsi="Arial"/>
          <w:sz w:val="12"/>
          <w:szCs w:val="12"/>
          <w:color w:val="FFFFFF"/>
        </w:rPr>
        <w:t>Governance</w:t>
      </w:r>
    </w:p>
    <w:p>
      <w:pPr>
        <w:ind w:left="1120"/>
        <w:spacing w:after="0" w:line="222" w:lineRule="auto"/>
        <w:rPr>
          <w:sz w:val="20"/>
          <w:szCs w:val="20"/>
          <w:color w:val="auto"/>
        </w:rPr>
      </w:pPr>
      <w:r>
        <w:rPr>
          <w:rFonts w:ascii="Arial" w:cs="Arial" w:eastAsia="Arial" w:hAnsi="Arial"/>
          <w:sz w:val="12"/>
          <w:szCs w:val="12"/>
          <w:color w:val="FFFFFF"/>
        </w:rPr>
        <w:t>and the Board of</w:t>
      </w:r>
    </w:p>
    <w:p>
      <w:pPr>
        <w:spacing w:after="0" w:line="1"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Directors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Proposal 1</w:t>
      </w:r>
    </w:p>
    <w:p>
      <w:pPr>
        <w:spacing w:after="0" w:line="156" w:lineRule="exact"/>
        <w:rPr>
          <w:sz w:val="20"/>
          <w:szCs w:val="20"/>
          <w:color w:val="auto"/>
        </w:rPr>
      </w:pPr>
    </w:p>
    <w:p>
      <w:pPr>
        <w:ind w:left="1120" w:right="80"/>
        <w:spacing w:after="0" w:line="265" w:lineRule="auto"/>
        <w:rPr>
          <w:sz w:val="20"/>
          <w:szCs w:val="20"/>
          <w:color w:val="auto"/>
        </w:rPr>
      </w:pPr>
      <w:r>
        <w:rPr>
          <w:rFonts w:ascii="Arial" w:cs="Arial" w:eastAsia="Arial" w:hAnsi="Arial"/>
          <w:sz w:val="11"/>
          <w:szCs w:val="11"/>
          <w:b w:val="1"/>
          <w:bCs w:val="1"/>
          <w:color w:val="FFFFFF"/>
        </w:rPr>
        <w:t>Information Regarding Board and Committee Structure</w:t>
      </w:r>
    </w:p>
    <w:p>
      <w:pPr>
        <w:spacing w:after="0" w:line="118"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Board of Directors</w:t>
      </w:r>
    </w:p>
    <w:p>
      <w:pPr>
        <w:spacing w:after="0" w:line="2"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Compensation</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Compensation</w:t>
      </w:r>
    </w:p>
    <w:p>
      <w:pPr>
        <w:ind w:left="1120"/>
        <w:spacing w:after="0" w:line="224" w:lineRule="auto"/>
        <w:rPr>
          <w:sz w:val="20"/>
          <w:szCs w:val="20"/>
          <w:color w:val="auto"/>
        </w:rPr>
      </w:pPr>
      <w:r>
        <w:rPr>
          <w:rFonts w:ascii="Arial" w:cs="Arial" w:eastAsia="Arial" w:hAnsi="Arial"/>
          <w:sz w:val="12"/>
          <w:szCs w:val="12"/>
          <w:color w:val="FFFFFF"/>
        </w:rPr>
        <w:t>Discussion and</w:t>
      </w:r>
    </w:p>
    <w:p>
      <w:pPr>
        <w:ind w:left="1120"/>
        <w:spacing w:after="0"/>
        <w:rPr>
          <w:sz w:val="20"/>
          <w:szCs w:val="20"/>
          <w:color w:val="auto"/>
        </w:rPr>
      </w:pPr>
      <w:r>
        <w:rPr>
          <w:rFonts w:ascii="Arial" w:cs="Arial" w:eastAsia="Arial" w:hAnsi="Arial"/>
          <w:sz w:val="12"/>
          <w:szCs w:val="12"/>
          <w:color w:val="FFFFFF"/>
        </w:rPr>
        <w:t>Analysis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Report of the</w:t>
      </w:r>
    </w:p>
    <w:p>
      <w:pPr>
        <w:ind w:left="1120"/>
        <w:spacing w:after="0" w:line="224" w:lineRule="auto"/>
        <w:rPr>
          <w:sz w:val="20"/>
          <w:szCs w:val="20"/>
          <w:color w:val="auto"/>
        </w:rPr>
      </w:pPr>
      <w:r>
        <w:rPr>
          <w:rFonts w:ascii="Arial" w:cs="Arial" w:eastAsia="Arial" w:hAnsi="Arial"/>
          <w:sz w:val="12"/>
          <w:szCs w:val="12"/>
          <w:color w:val="FFFFFF"/>
        </w:rPr>
        <w:t>Compensation</w:t>
      </w:r>
    </w:p>
    <w:p>
      <w:pPr>
        <w:ind w:left="1120"/>
        <w:spacing w:after="0" w:line="222" w:lineRule="auto"/>
        <w:rPr>
          <w:sz w:val="20"/>
          <w:szCs w:val="20"/>
          <w:color w:val="auto"/>
        </w:rPr>
      </w:pPr>
      <w:r>
        <w:rPr>
          <w:rFonts w:ascii="Arial" w:cs="Arial" w:eastAsia="Arial" w:hAnsi="Arial"/>
          <w:sz w:val="12"/>
          <w:szCs w:val="12"/>
          <w:color w:val="FFFFFF"/>
        </w:rPr>
        <w:t>and Human</w:t>
      </w:r>
    </w:p>
    <w:p>
      <w:pPr>
        <w:ind w:left="1120"/>
        <w:spacing w:after="0" w:line="222" w:lineRule="auto"/>
        <w:rPr>
          <w:sz w:val="20"/>
          <w:szCs w:val="20"/>
          <w:color w:val="auto"/>
        </w:rPr>
      </w:pPr>
      <w:r>
        <w:rPr>
          <w:rFonts w:ascii="Arial" w:cs="Arial" w:eastAsia="Arial" w:hAnsi="Arial"/>
          <w:sz w:val="12"/>
          <w:szCs w:val="12"/>
          <w:color w:val="FFFFFF"/>
        </w:rPr>
        <w:t>Resources</w:t>
      </w:r>
    </w:p>
    <w:p>
      <w:pPr>
        <w:ind w:left="1120"/>
        <w:spacing w:after="0" w:line="222" w:lineRule="auto"/>
        <w:rPr>
          <w:sz w:val="20"/>
          <w:szCs w:val="20"/>
          <w:color w:val="auto"/>
        </w:rPr>
      </w:pPr>
      <w:r>
        <w:rPr>
          <w:rFonts w:ascii="Arial" w:cs="Arial" w:eastAsia="Arial" w:hAnsi="Arial"/>
          <w:sz w:val="12"/>
          <w:szCs w:val="12"/>
          <w:color w:val="FFFFFF"/>
        </w:rPr>
        <w:t>Committee of the</w:t>
      </w:r>
    </w:p>
    <w:p>
      <w:pPr>
        <w:ind w:left="1120"/>
        <w:spacing w:after="0"/>
        <w:rPr>
          <w:sz w:val="20"/>
          <w:szCs w:val="20"/>
          <w:color w:val="auto"/>
        </w:rPr>
      </w:pPr>
      <w:r>
        <w:rPr>
          <w:rFonts w:ascii="Arial" w:cs="Arial" w:eastAsia="Arial" w:hAnsi="Arial"/>
          <w:sz w:val="12"/>
          <w:szCs w:val="12"/>
          <w:color w:val="FFFFFF"/>
        </w:rPr>
        <w:t>Board of Directors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Compensation of</w:t>
      </w:r>
    </w:p>
    <w:p>
      <w:pPr>
        <w:ind w:left="1120"/>
        <w:spacing w:after="0" w:line="224" w:lineRule="auto"/>
        <w:rPr>
          <w:sz w:val="20"/>
          <w:szCs w:val="20"/>
          <w:color w:val="auto"/>
        </w:rPr>
      </w:pPr>
      <w:r>
        <w:rPr>
          <w:rFonts w:ascii="Arial" w:cs="Arial" w:eastAsia="Arial" w:hAnsi="Arial"/>
          <w:sz w:val="12"/>
          <w:szCs w:val="12"/>
          <w:color w:val="FFFFFF"/>
        </w:rPr>
        <w:t>Named Executive</w:t>
      </w:r>
    </w:p>
    <w:p>
      <w:pPr>
        <w:ind w:left="1120"/>
        <w:spacing w:after="0"/>
        <w:rPr>
          <w:sz w:val="20"/>
          <w:szCs w:val="20"/>
          <w:color w:val="auto"/>
        </w:rPr>
      </w:pPr>
      <w:r>
        <w:rPr>
          <w:rFonts w:ascii="Arial" w:cs="Arial" w:eastAsia="Arial" w:hAnsi="Arial"/>
          <w:sz w:val="12"/>
          <w:szCs w:val="12"/>
          <w:color w:val="FFFFFF"/>
        </w:rPr>
        <w:t>Officers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Pay Versus</w:t>
      </w:r>
    </w:p>
    <w:p>
      <w:pPr>
        <w:ind w:left="1120"/>
        <w:spacing w:after="0" w:line="224" w:lineRule="auto"/>
        <w:rPr>
          <w:sz w:val="20"/>
          <w:szCs w:val="20"/>
          <w:color w:val="auto"/>
        </w:rPr>
      </w:pPr>
      <w:r>
        <w:rPr>
          <w:rFonts w:ascii="Arial" w:cs="Arial" w:eastAsia="Arial" w:hAnsi="Arial"/>
          <w:sz w:val="12"/>
          <w:szCs w:val="12"/>
          <w:color w:val="FFFFFF"/>
        </w:rPr>
        <w:t>Performance</w:t>
      </w:r>
    </w:p>
    <w:p>
      <w:pPr>
        <w:ind w:left="1120"/>
        <w:spacing w:after="0"/>
        <w:rPr>
          <w:sz w:val="20"/>
          <w:szCs w:val="20"/>
          <w:color w:val="auto"/>
        </w:rPr>
      </w:pPr>
      <w:r>
        <w:rPr>
          <w:rFonts w:ascii="Arial" w:cs="Arial" w:eastAsia="Arial" w:hAnsi="Arial"/>
          <w:sz w:val="12"/>
          <w:szCs w:val="12"/>
          <w:color w:val="FFFFFF"/>
        </w:rPr>
        <w:t>Disclosure</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Security</w:t>
      </w:r>
    </w:p>
    <w:p>
      <w:pPr>
        <w:ind w:left="1120"/>
        <w:spacing w:after="0" w:line="224" w:lineRule="auto"/>
        <w:rPr>
          <w:sz w:val="20"/>
          <w:szCs w:val="20"/>
          <w:color w:val="auto"/>
        </w:rPr>
      </w:pPr>
      <w:r>
        <w:rPr>
          <w:rFonts w:ascii="Arial" w:cs="Arial" w:eastAsia="Arial" w:hAnsi="Arial"/>
          <w:sz w:val="12"/>
          <w:szCs w:val="12"/>
          <w:color w:val="FFFFFF"/>
        </w:rPr>
        <w:t>Ownership of</w:t>
      </w:r>
    </w:p>
    <w:p>
      <w:pPr>
        <w:ind w:left="1120"/>
        <w:spacing w:after="0" w:line="222" w:lineRule="auto"/>
        <w:rPr>
          <w:sz w:val="20"/>
          <w:szCs w:val="20"/>
          <w:color w:val="auto"/>
        </w:rPr>
      </w:pPr>
      <w:r>
        <w:rPr>
          <w:rFonts w:ascii="Arial" w:cs="Arial" w:eastAsia="Arial" w:hAnsi="Arial"/>
          <w:sz w:val="12"/>
          <w:szCs w:val="12"/>
          <w:color w:val="FFFFFF"/>
        </w:rPr>
        <w:t>Certain Beneficial</w:t>
      </w:r>
    </w:p>
    <w:p>
      <w:pPr>
        <w:ind w:left="1120"/>
        <w:spacing w:after="0" w:line="222" w:lineRule="auto"/>
        <w:rPr>
          <w:sz w:val="20"/>
          <w:szCs w:val="20"/>
          <w:color w:val="auto"/>
        </w:rPr>
      </w:pPr>
      <w:r>
        <w:rPr>
          <w:rFonts w:ascii="Arial" w:cs="Arial" w:eastAsia="Arial" w:hAnsi="Arial"/>
          <w:sz w:val="12"/>
          <w:szCs w:val="12"/>
          <w:color w:val="FFFFFF"/>
        </w:rPr>
        <w:t>Owners and</w:t>
      </w:r>
    </w:p>
    <w:p>
      <w:pPr>
        <w:ind w:left="1120"/>
        <w:spacing w:after="0"/>
        <w:rPr>
          <w:sz w:val="20"/>
          <w:szCs w:val="20"/>
          <w:color w:val="auto"/>
        </w:rPr>
      </w:pPr>
      <w:r>
        <w:rPr>
          <w:rFonts w:ascii="Arial" w:cs="Arial" w:eastAsia="Arial" w:hAnsi="Arial"/>
          <w:sz w:val="12"/>
          <w:szCs w:val="12"/>
          <w:color w:val="FFFFFF"/>
        </w:rPr>
        <w:t>Management</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Certain</w:t>
      </w:r>
    </w:p>
    <w:p>
      <w:pPr>
        <w:ind w:left="1120"/>
        <w:spacing w:after="0" w:line="224" w:lineRule="auto"/>
        <w:rPr>
          <w:sz w:val="20"/>
          <w:szCs w:val="20"/>
          <w:color w:val="auto"/>
        </w:rPr>
      </w:pPr>
      <w:r>
        <w:rPr>
          <w:rFonts w:ascii="Arial" w:cs="Arial" w:eastAsia="Arial" w:hAnsi="Arial"/>
          <w:sz w:val="12"/>
          <w:szCs w:val="12"/>
          <w:color w:val="FFFFFF"/>
        </w:rPr>
        <w:t>Relationships and</w:t>
      </w:r>
    </w:p>
    <w:p>
      <w:pPr>
        <w:ind w:left="1120"/>
        <w:spacing w:after="0" w:line="222" w:lineRule="auto"/>
        <w:rPr>
          <w:sz w:val="20"/>
          <w:szCs w:val="20"/>
          <w:color w:val="auto"/>
        </w:rPr>
      </w:pPr>
      <w:r>
        <w:rPr>
          <w:rFonts w:ascii="Arial" w:cs="Arial" w:eastAsia="Arial" w:hAnsi="Arial"/>
          <w:sz w:val="12"/>
          <w:szCs w:val="12"/>
          <w:color w:val="FFFFFF"/>
        </w:rPr>
        <w:t>Related Party</w:t>
      </w:r>
    </w:p>
    <w:p>
      <w:pPr>
        <w:ind w:left="1120"/>
        <w:spacing w:after="0"/>
        <w:rPr>
          <w:sz w:val="20"/>
          <w:szCs w:val="20"/>
          <w:color w:val="auto"/>
        </w:rPr>
      </w:pPr>
      <w:r>
        <w:rPr>
          <w:rFonts w:ascii="Arial" w:cs="Arial" w:eastAsia="Arial" w:hAnsi="Arial"/>
          <w:sz w:val="12"/>
          <w:szCs w:val="12"/>
          <w:color w:val="FFFFFF"/>
        </w:rPr>
        <w:t>Transactions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Proposal 2</w:t>
      </w:r>
    </w:p>
    <w:p>
      <w:pPr>
        <w:spacing w:after="0" w:line="156"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Report of the</w:t>
      </w:r>
    </w:p>
    <w:p>
      <w:pPr>
        <w:ind w:left="1120"/>
        <w:spacing w:after="0" w:line="224" w:lineRule="auto"/>
        <w:rPr>
          <w:sz w:val="20"/>
          <w:szCs w:val="20"/>
          <w:color w:val="auto"/>
        </w:rPr>
      </w:pPr>
      <w:r>
        <w:rPr>
          <w:rFonts w:ascii="Arial" w:cs="Arial" w:eastAsia="Arial" w:hAnsi="Arial"/>
          <w:sz w:val="12"/>
          <w:szCs w:val="12"/>
          <w:color w:val="FFFFFF"/>
        </w:rPr>
        <w:t>Audit and Risk</w:t>
      </w:r>
    </w:p>
    <w:p>
      <w:pPr>
        <w:ind w:left="1120"/>
        <w:spacing w:after="0" w:line="222" w:lineRule="auto"/>
        <w:rPr>
          <w:sz w:val="20"/>
          <w:szCs w:val="20"/>
          <w:color w:val="auto"/>
        </w:rPr>
      </w:pPr>
      <w:r>
        <w:rPr>
          <w:rFonts w:ascii="Arial" w:cs="Arial" w:eastAsia="Arial" w:hAnsi="Arial"/>
          <w:sz w:val="12"/>
          <w:szCs w:val="12"/>
          <w:color w:val="FFFFFF"/>
        </w:rPr>
        <w:t>Committee of the</w:t>
      </w:r>
    </w:p>
    <w:p>
      <w:pPr>
        <w:ind w:left="1120"/>
        <w:spacing w:after="0"/>
        <w:rPr>
          <w:sz w:val="20"/>
          <w:szCs w:val="20"/>
          <w:color w:val="auto"/>
        </w:rPr>
      </w:pPr>
      <w:r>
        <w:rPr>
          <w:rFonts w:ascii="Arial" w:cs="Arial" w:eastAsia="Arial" w:hAnsi="Arial"/>
          <w:sz w:val="12"/>
          <w:szCs w:val="12"/>
          <w:color w:val="FFFFFF"/>
        </w:rPr>
        <w:t>Board of Directors</w:t>
      </w:r>
    </w:p>
    <w:p>
      <w:pPr>
        <w:spacing w:after="0" w:line="144" w:lineRule="exact"/>
        <w:rPr>
          <w:sz w:val="20"/>
          <w:szCs w:val="20"/>
          <w:color w:val="auto"/>
        </w:rPr>
      </w:pPr>
    </w:p>
    <w:p>
      <w:pPr>
        <w:jc w:val="center"/>
        <w:ind w:left="620"/>
        <w:spacing w:after="0"/>
        <w:rPr>
          <w:sz w:val="20"/>
          <w:szCs w:val="20"/>
          <w:color w:val="auto"/>
        </w:rPr>
      </w:pPr>
      <w:r>
        <w:rPr>
          <w:rFonts w:ascii="Arial" w:cs="Arial" w:eastAsia="Arial" w:hAnsi="Arial"/>
          <w:sz w:val="12"/>
          <w:szCs w:val="12"/>
          <w:color w:val="FFFFFF"/>
        </w:rPr>
        <w:t>Proposal 3</w:t>
      </w:r>
    </w:p>
    <w:p>
      <w:pPr>
        <w:spacing w:after="0" w:line="156" w:lineRule="exact"/>
        <w:rPr>
          <w:sz w:val="20"/>
          <w:szCs w:val="20"/>
          <w:color w:val="auto"/>
        </w:rPr>
      </w:pPr>
    </w:p>
    <w:p>
      <w:pPr>
        <w:jc w:val="center"/>
        <w:ind w:left="620"/>
        <w:spacing w:after="0"/>
        <w:rPr>
          <w:sz w:val="20"/>
          <w:szCs w:val="20"/>
          <w:color w:val="auto"/>
        </w:rPr>
      </w:pPr>
      <w:r>
        <w:rPr>
          <w:rFonts w:ascii="Arial" w:cs="Arial" w:eastAsia="Arial" w:hAnsi="Arial"/>
          <w:sz w:val="12"/>
          <w:szCs w:val="12"/>
          <w:color w:val="FFFFFF"/>
        </w:rPr>
        <w:t>Proposal 4</w:t>
      </w:r>
    </w:p>
    <w:p>
      <w:pPr>
        <w:spacing w:after="0" w:line="156" w:lineRule="exact"/>
        <w:rPr>
          <w:sz w:val="20"/>
          <w:szCs w:val="20"/>
          <w:color w:val="auto"/>
        </w:rPr>
      </w:pPr>
    </w:p>
    <w:p>
      <w:pPr>
        <w:jc w:val="center"/>
        <w:ind w:left="620"/>
        <w:spacing w:after="0"/>
        <w:rPr>
          <w:sz w:val="20"/>
          <w:szCs w:val="20"/>
          <w:color w:val="auto"/>
        </w:rPr>
      </w:pPr>
      <w:r>
        <w:rPr>
          <w:rFonts w:ascii="Arial" w:cs="Arial" w:eastAsia="Arial" w:hAnsi="Arial"/>
          <w:sz w:val="12"/>
          <w:szCs w:val="12"/>
          <w:color w:val="FFFFFF"/>
        </w:rPr>
        <w:t>Proposal 5</w:t>
      </w:r>
    </w:p>
    <w:p>
      <w:pPr>
        <w:spacing w:after="0" w:line="156"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Proposal 6</w:t>
      </w:r>
    </w:p>
    <w:p>
      <w:pPr>
        <w:spacing w:after="0" w:line="156"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Stockholder</w:t>
      </w:r>
    </w:p>
    <w:p>
      <w:pPr>
        <w:ind w:left="1120"/>
        <w:spacing w:after="0" w:line="224" w:lineRule="auto"/>
        <w:rPr>
          <w:sz w:val="20"/>
          <w:szCs w:val="20"/>
          <w:color w:val="auto"/>
        </w:rPr>
      </w:pPr>
      <w:r>
        <w:rPr>
          <w:rFonts w:ascii="Arial" w:cs="Arial" w:eastAsia="Arial" w:hAnsi="Arial"/>
          <w:sz w:val="12"/>
          <w:szCs w:val="12"/>
          <w:color w:val="FFFFFF"/>
        </w:rPr>
        <w:t>Proposals and</w:t>
      </w:r>
    </w:p>
    <w:p>
      <w:pPr>
        <w:ind w:left="1120"/>
        <w:spacing w:after="0"/>
        <w:rPr>
          <w:sz w:val="20"/>
          <w:szCs w:val="20"/>
          <w:color w:val="auto"/>
        </w:rPr>
      </w:pPr>
      <w:r>
        <w:rPr>
          <w:rFonts w:ascii="Arial" w:cs="Arial" w:eastAsia="Arial" w:hAnsi="Arial"/>
          <w:sz w:val="12"/>
          <w:szCs w:val="12"/>
          <w:color w:val="FFFFFF"/>
        </w:rPr>
        <w:t>Other Matters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Delinquent</w:t>
      </w:r>
    </w:p>
    <w:p>
      <w:pPr>
        <w:ind w:left="1120"/>
        <w:spacing w:after="0" w:line="224" w:lineRule="auto"/>
        <w:rPr>
          <w:sz w:val="20"/>
          <w:szCs w:val="20"/>
          <w:color w:val="auto"/>
        </w:rPr>
      </w:pPr>
      <w:r>
        <w:rPr>
          <w:rFonts w:ascii="Arial" w:cs="Arial" w:eastAsia="Arial" w:hAnsi="Arial"/>
          <w:sz w:val="12"/>
          <w:szCs w:val="12"/>
          <w:color w:val="FFFFFF"/>
        </w:rPr>
        <w:t>Section 16(a)</w:t>
      </w:r>
    </w:p>
    <w:p>
      <w:pPr>
        <w:ind w:left="1120"/>
        <w:spacing w:after="0"/>
        <w:rPr>
          <w:sz w:val="20"/>
          <w:szCs w:val="20"/>
          <w:color w:val="auto"/>
        </w:rPr>
      </w:pPr>
      <w:r>
        <w:rPr>
          <w:rFonts w:ascii="Arial" w:cs="Arial" w:eastAsia="Arial" w:hAnsi="Arial"/>
          <w:sz w:val="12"/>
          <w:szCs w:val="12"/>
          <w:color w:val="FFFFFF"/>
        </w:rPr>
        <w:t>Reports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Other</w:t>
      </w:r>
    </w:p>
    <w:p>
      <w:pPr>
        <w:spacing w:after="0" w:line="2"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Information</w:t>
      </w:r>
    </w:p>
    <w:p>
      <w:pPr>
        <w:spacing w:after="0" w:line="144" w:lineRule="exact"/>
        <w:rPr>
          <w:sz w:val="20"/>
          <w:szCs w:val="20"/>
          <w:color w:val="auto"/>
        </w:rPr>
      </w:pPr>
    </w:p>
    <w:p>
      <w:pPr>
        <w:jc w:val="center"/>
        <w:ind w:left="660"/>
        <w:spacing w:after="0"/>
        <w:rPr>
          <w:sz w:val="20"/>
          <w:szCs w:val="20"/>
          <w:color w:val="auto"/>
        </w:rPr>
      </w:pPr>
      <w:r>
        <w:rPr>
          <w:rFonts w:ascii="Arial" w:cs="Arial" w:eastAsia="Arial" w:hAnsi="Arial"/>
          <w:sz w:val="12"/>
          <w:szCs w:val="12"/>
          <w:color w:val="FFFFFF"/>
        </w:rPr>
        <w:t>Appendix A</w:t>
      </w:r>
    </w:p>
    <w:p>
      <w:pPr>
        <w:spacing w:after="0" w:line="156" w:lineRule="exact"/>
        <w:rPr>
          <w:sz w:val="20"/>
          <w:szCs w:val="20"/>
          <w:color w:val="auto"/>
        </w:rPr>
      </w:pPr>
    </w:p>
    <w:p>
      <w:pPr>
        <w:jc w:val="center"/>
        <w:ind w:left="660"/>
        <w:spacing w:after="0"/>
        <w:rPr>
          <w:sz w:val="20"/>
          <w:szCs w:val="20"/>
          <w:color w:val="auto"/>
        </w:rPr>
      </w:pPr>
      <w:r>
        <w:rPr>
          <w:rFonts w:ascii="Arial" w:cs="Arial" w:eastAsia="Arial" w:hAnsi="Arial"/>
          <w:sz w:val="12"/>
          <w:szCs w:val="12"/>
          <w:color w:val="FFFFFF"/>
        </w:rPr>
        <w:t>Appendix 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right="140"/>
        <w:spacing w:after="0" w:line="258" w:lineRule="auto"/>
        <w:rPr>
          <w:sz w:val="20"/>
          <w:szCs w:val="20"/>
          <w:color w:val="auto"/>
        </w:rPr>
      </w:pPr>
      <w:r>
        <w:rPr>
          <w:rFonts w:ascii="Arial" w:cs="Arial" w:eastAsia="Arial" w:hAnsi="Arial"/>
          <w:sz w:val="15"/>
          <w:szCs w:val="15"/>
          <w:color w:val="auto"/>
        </w:rPr>
        <w:t>In 2025, the Compensation Committee devoted particular attention to reevaluating the Company’s approach to awarding long-term equity compensation, as described under “</w:t>
      </w:r>
      <w:r>
        <w:rPr>
          <w:rFonts w:ascii="Arial" w:cs="Arial" w:eastAsia="Arial" w:hAnsi="Arial"/>
          <w:sz w:val="15"/>
          <w:szCs w:val="15"/>
          <w:i w:val="1"/>
          <w:iCs w:val="1"/>
          <w:color w:val="auto"/>
        </w:rPr>
        <w:t>Long-Term Equity Incentive Awards Granted in 2025</w:t>
      </w:r>
      <w:r>
        <w:rPr>
          <w:rFonts w:ascii="Arial" w:cs="Arial" w:eastAsia="Arial" w:hAnsi="Arial"/>
          <w:sz w:val="15"/>
          <w:szCs w:val="15"/>
          <w:color w:val="auto"/>
        </w:rPr>
        <w:t>” in the Compensation Discussion and Analysis, and the equity ownership guidelines applicable to executive officers, as well as human resources matters, including the progress of our I&amp;B programs and non-executive compensation, including pay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-1737995</wp:posOffset>
            </wp:positionH>
            <wp:positionV relativeFrom="paragraph">
              <wp:posOffset>-1220470</wp:posOffset>
            </wp:positionV>
            <wp:extent cx="7181215" cy="5334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81215" cy="53340"/>
                    </a:xfrm>
                    <a:prstGeom prst="rect">
                      <a:avLst/>
                    </a:prstGeom>
                    <a:noFill/>
                  </pic:spPr>
                </pic:pic>
              </a:graphicData>
            </a:graphic>
          </wp:anchor>
        </w:drawing>
      </w:r>
    </w:p>
    <w:p>
      <w:pPr>
        <w:spacing w:after="0" w:line="48" w:lineRule="exact"/>
        <w:rPr>
          <w:sz w:val="20"/>
          <w:szCs w:val="20"/>
          <w:color w:val="auto"/>
        </w:rPr>
      </w:pPr>
    </w:p>
    <w:p>
      <w:pPr>
        <w:ind w:right="420"/>
        <w:spacing w:after="0" w:line="287" w:lineRule="auto"/>
        <w:rPr>
          <w:sz w:val="20"/>
          <w:szCs w:val="20"/>
          <w:color w:val="auto"/>
        </w:rPr>
      </w:pPr>
      <w:r>
        <w:rPr>
          <w:rFonts w:ascii="Arial" w:cs="Arial" w:eastAsia="Arial" w:hAnsi="Arial"/>
          <w:sz w:val="15"/>
          <w:szCs w:val="15"/>
          <w:color w:val="auto"/>
        </w:rPr>
        <w:t>In addition, the Compensation Committee continued to focus on robust performance management, and ongoing development and coaching for future leadership positions, through:</w:t>
      </w:r>
    </w:p>
    <w:p>
      <w:pPr>
        <w:spacing w:after="0" w:line="60" w:lineRule="exact"/>
        <w:rPr>
          <w:sz w:val="20"/>
          <w:szCs w:val="20"/>
          <w:color w:val="auto"/>
        </w:rPr>
      </w:pPr>
    </w:p>
    <w:p>
      <w:pPr>
        <w:ind w:left="280" w:right="20" w:hanging="273"/>
        <w:spacing w:after="0" w:line="287" w:lineRule="auto"/>
        <w:tabs>
          <w:tab w:leader="none" w:pos="280" w:val="left"/>
        </w:tabs>
        <w:numPr>
          <w:ilvl w:val="0"/>
          <w:numId w:val="55"/>
        </w:numPr>
        <w:rPr>
          <w:rFonts w:ascii="Arial" w:cs="Arial" w:eastAsia="Arial" w:hAnsi="Arial"/>
          <w:sz w:val="15"/>
          <w:szCs w:val="15"/>
          <w:color w:val="auto"/>
        </w:rPr>
      </w:pPr>
      <w:r>
        <w:rPr>
          <w:rFonts w:ascii="Arial" w:cs="Arial" w:eastAsia="Arial" w:hAnsi="Arial"/>
          <w:sz w:val="15"/>
          <w:szCs w:val="15"/>
          <w:color w:val="auto"/>
        </w:rPr>
        <w:t>annual succession planning for all group managing director roles to ensure we are identifying and investing in key talent for critical positions; and</w:t>
      </w:r>
    </w:p>
    <w:p>
      <w:pPr>
        <w:spacing w:after="0" w:line="59" w:lineRule="exact"/>
        <w:rPr>
          <w:rFonts w:ascii="Arial" w:cs="Arial" w:eastAsia="Arial" w:hAnsi="Arial"/>
          <w:sz w:val="15"/>
          <w:szCs w:val="15"/>
          <w:color w:val="auto"/>
        </w:rPr>
      </w:pPr>
    </w:p>
    <w:p>
      <w:pPr>
        <w:ind w:left="280" w:hanging="273"/>
        <w:spacing w:after="0" w:line="287" w:lineRule="auto"/>
        <w:tabs>
          <w:tab w:leader="none" w:pos="280" w:val="left"/>
        </w:tabs>
        <w:numPr>
          <w:ilvl w:val="0"/>
          <w:numId w:val="55"/>
        </w:numPr>
        <w:rPr>
          <w:rFonts w:ascii="Arial" w:cs="Arial" w:eastAsia="Arial" w:hAnsi="Arial"/>
          <w:sz w:val="15"/>
          <w:szCs w:val="15"/>
          <w:color w:val="auto"/>
        </w:rPr>
      </w:pPr>
      <w:r>
        <w:rPr>
          <w:rFonts w:ascii="Arial" w:cs="Arial" w:eastAsia="Arial" w:hAnsi="Arial"/>
          <w:sz w:val="15"/>
          <w:szCs w:val="15"/>
          <w:color w:val="auto"/>
        </w:rPr>
        <w:t>talent reviews of individual leaders to provide the Compensation Committee with insight into our talent pipeline, as well as the opportunity to provide development feedback to those leaders.</w:t>
      </w:r>
    </w:p>
    <w:p>
      <w:pPr>
        <w:spacing w:after="0" w:line="47" w:lineRule="exact"/>
        <w:rPr>
          <w:sz w:val="20"/>
          <w:szCs w:val="20"/>
          <w:color w:val="auto"/>
        </w:rPr>
      </w:pPr>
    </w:p>
    <w:p>
      <w:pPr>
        <w:ind w:right="160"/>
        <w:spacing w:after="0" w:line="256" w:lineRule="auto"/>
        <w:rPr>
          <w:sz w:val="20"/>
          <w:szCs w:val="20"/>
          <w:color w:val="auto"/>
        </w:rPr>
      </w:pPr>
      <w:r>
        <w:rPr>
          <w:rFonts w:ascii="Arial" w:cs="Arial" w:eastAsia="Arial" w:hAnsi="Arial"/>
          <w:sz w:val="15"/>
          <w:szCs w:val="15"/>
          <w:color w:val="auto"/>
        </w:rPr>
        <w:t>The Compensation Committee has authority under its charter to access such internal and external resources, including retaining legal, financial or other advisors, as the Compensation Committee deems necessary or appropriate to fulfill its responsibilities. The Compensation Committee engaged Frederic W. Cook &amp; Co., Inc. as an independent compensation consultant (the “Compensation Consultant”) to advise in 2025 on compensation matters and provide experiential guidance on what is considered fair and competitive practice in our industry, primarily with respect to the compensation of our executive officers, and also with regard to director compensation.</w:t>
      </w:r>
    </w:p>
    <w:p>
      <w:pPr>
        <w:spacing w:after="0" w:line="70" w:lineRule="exact"/>
        <w:rPr>
          <w:sz w:val="20"/>
          <w:szCs w:val="20"/>
          <w:color w:val="auto"/>
        </w:rPr>
      </w:pPr>
    </w:p>
    <w:p>
      <w:pPr>
        <w:ind w:right="20"/>
        <w:spacing w:after="0" w:line="256" w:lineRule="auto"/>
        <w:rPr>
          <w:sz w:val="20"/>
          <w:szCs w:val="20"/>
          <w:color w:val="auto"/>
        </w:rPr>
      </w:pPr>
      <w:r>
        <w:rPr>
          <w:rFonts w:ascii="Arial" w:cs="Arial" w:eastAsia="Arial" w:hAnsi="Arial"/>
          <w:sz w:val="15"/>
          <w:szCs w:val="15"/>
          <w:color w:val="auto"/>
        </w:rPr>
        <w:t>The Compensation Committee has the authority to delegate to subcommittees of the Compensation Committee any responsibilities of the full committee. The Compensation Committee may also delegate to a committee of one or more directors, or one or more of our executive officers, subject to certain restrictions, the power to grant restricted stock units, performance stock units or other equity awards, and amend the terms of such awards, pursuant to our equity plans. References to the Compensation Committee in this proxy statement also refer to its subcommittees and its delegates, where applicable.</w:t>
      </w:r>
    </w:p>
    <w:p>
      <w:pPr>
        <w:spacing w:after="0" w:line="70" w:lineRule="exact"/>
        <w:rPr>
          <w:sz w:val="20"/>
          <w:szCs w:val="20"/>
          <w:color w:val="auto"/>
        </w:rPr>
      </w:pPr>
    </w:p>
    <w:p>
      <w:pPr>
        <w:spacing w:after="0"/>
        <w:rPr>
          <w:sz w:val="20"/>
          <w:szCs w:val="20"/>
          <w:color w:val="auto"/>
        </w:rPr>
      </w:pPr>
      <w:r>
        <w:rPr>
          <w:rFonts w:ascii="Arial" w:cs="Arial" w:eastAsia="Arial" w:hAnsi="Arial"/>
          <w:sz w:val="15"/>
          <w:szCs w:val="15"/>
          <w:color w:val="auto"/>
        </w:rPr>
        <w:t>The Compensation Committee met five times during 2025.</w:t>
      </w:r>
    </w:p>
    <w:p>
      <w:pPr>
        <w:spacing w:after="0" w:line="200" w:lineRule="exact"/>
        <w:rPr>
          <w:sz w:val="20"/>
          <w:szCs w:val="20"/>
          <w:color w:val="auto"/>
        </w:rPr>
      </w:pPr>
    </w:p>
    <w:p>
      <w:pPr>
        <w:spacing w:after="0"/>
        <w:rPr>
          <w:sz w:val="20"/>
          <w:szCs w:val="20"/>
          <w:color w:val="auto"/>
        </w:rPr>
      </w:pPr>
      <w:r>
        <w:rPr>
          <w:rFonts w:ascii="Arial" w:cs="Arial" w:eastAsia="Arial" w:hAnsi="Arial"/>
          <w:sz w:val="24"/>
          <w:szCs w:val="24"/>
          <w:color w:val="B95827"/>
        </w:rPr>
        <w:t>Compensation Committee Interlocks and Insider Participation</w:t>
      </w:r>
    </w:p>
    <w:p>
      <w:pPr>
        <w:spacing w:after="0" w:line="117" w:lineRule="exact"/>
        <w:rPr>
          <w:sz w:val="20"/>
          <w:szCs w:val="20"/>
          <w:color w:val="auto"/>
        </w:rPr>
      </w:pPr>
    </w:p>
    <w:p>
      <w:pPr>
        <w:ind w:right="200"/>
        <w:spacing w:after="0" w:line="258" w:lineRule="auto"/>
        <w:rPr>
          <w:sz w:val="20"/>
          <w:szCs w:val="20"/>
          <w:color w:val="auto"/>
        </w:rPr>
      </w:pPr>
      <w:r>
        <w:rPr>
          <w:rFonts w:ascii="Arial" w:cs="Arial" w:eastAsia="Arial" w:hAnsi="Arial"/>
          <w:sz w:val="15"/>
          <w:szCs w:val="15"/>
          <w:color w:val="auto"/>
        </w:rPr>
        <w:t>No member of the Compensation Committee is or was during 2025 an officer or employee of ours or any of our subsidiaries. Mr. Putnam, a member of the Compensation Committee, served as an officer of LPL Financial prior to 2006. None of our executive officers serves or has served as a member of the board of directors, compensation committee or other board committee performing equivalent functions of any entity that has one or more executive officers serving as one of our directors or on our Compensation Committee.</w:t>
      </w:r>
    </w:p>
    <w:p>
      <w:pPr>
        <w:spacing w:after="0" w:line="160" w:lineRule="exact"/>
        <w:rPr>
          <w:sz w:val="20"/>
          <w:szCs w:val="20"/>
          <w:color w:val="auto"/>
        </w:rPr>
      </w:pPr>
    </w:p>
    <w:p>
      <w:pPr>
        <w:spacing w:after="0"/>
        <w:rPr>
          <w:sz w:val="20"/>
          <w:szCs w:val="20"/>
          <w:color w:val="auto"/>
        </w:rPr>
      </w:pPr>
      <w:r>
        <w:rPr>
          <w:rFonts w:ascii="Arial" w:cs="Arial" w:eastAsia="Arial" w:hAnsi="Arial"/>
          <w:sz w:val="24"/>
          <w:szCs w:val="24"/>
          <w:color w:val="B95827"/>
        </w:rPr>
        <w:t>Risk Management and Compensation Policies and Practices</w:t>
      </w:r>
    </w:p>
    <w:p>
      <w:pPr>
        <w:spacing w:after="0" w:line="117" w:lineRule="exact"/>
        <w:rPr>
          <w:sz w:val="20"/>
          <w:szCs w:val="20"/>
          <w:color w:val="auto"/>
        </w:rPr>
      </w:pPr>
    </w:p>
    <w:p>
      <w:pPr>
        <w:ind w:right="40"/>
        <w:spacing w:after="0" w:line="252" w:lineRule="auto"/>
        <w:rPr>
          <w:sz w:val="20"/>
          <w:szCs w:val="20"/>
          <w:color w:val="auto"/>
        </w:rPr>
      </w:pPr>
      <w:r>
        <w:rPr>
          <w:rFonts w:ascii="Arial" w:cs="Arial" w:eastAsia="Arial" w:hAnsi="Arial"/>
          <w:sz w:val="15"/>
          <w:szCs w:val="15"/>
          <w:color w:val="auto"/>
        </w:rPr>
        <w:t>We employ an enterprise risk management (“ERM”) framework that outlines our appetite for risk taking, that supports a resilient and adaptive risk-focused organization, and that is designed to enable us to navigate uncertainties, make informed and consistent decisions, and seize growth opportunities. This framework facilitates the incorporation of risk assessment into decision-making processes, enables execution of our business strategy and protects the Company and its franchise. Our framework is designed to promote clear lines of risk management ownership and accountability while providing a structured escalation process for key risk information and events. Additionally, risk is managed and monitored within business units by embedded risk groups providing guidance on governance, controls, policies and other risk management activities. In addition to the ERM framework, we have written policies and procedures that govern the conduct of business by our employees and independent financial advisors, and the terms and conditions of our relationships with financial product sponsors.</w:t>
      </w:r>
    </w:p>
    <w:p>
      <w:pPr>
        <w:spacing w:after="0" w:line="78" w:lineRule="exact"/>
        <w:rPr>
          <w:sz w:val="20"/>
          <w:szCs w:val="20"/>
          <w:color w:val="auto"/>
        </w:rPr>
      </w:pPr>
    </w:p>
    <w:p>
      <w:pPr>
        <w:ind w:right="500"/>
        <w:spacing w:after="0" w:line="268" w:lineRule="auto"/>
        <w:rPr>
          <w:sz w:val="20"/>
          <w:szCs w:val="20"/>
          <w:color w:val="auto"/>
        </w:rPr>
      </w:pPr>
      <w:r>
        <w:rPr>
          <w:rFonts w:ascii="Arial" w:cs="Arial" w:eastAsia="Arial" w:hAnsi="Arial"/>
          <w:sz w:val="15"/>
          <w:szCs w:val="15"/>
          <w:color w:val="auto"/>
        </w:rPr>
        <w:t>Our risk management governance approach is discussed in our Annual Report under “</w:t>
      </w:r>
      <w:r>
        <w:rPr>
          <w:rFonts w:ascii="Arial" w:cs="Arial" w:eastAsia="Arial" w:hAnsi="Arial"/>
          <w:sz w:val="15"/>
          <w:szCs w:val="15"/>
          <w:i w:val="1"/>
          <w:iCs w:val="1"/>
          <w:color w:val="auto"/>
        </w:rPr>
        <w:t>Item 7. Management’s</w:t>
      </w:r>
      <w:r>
        <w:rPr>
          <w:rFonts w:ascii="Arial" w:cs="Arial" w:eastAsia="Arial" w:hAnsi="Arial"/>
          <w:sz w:val="15"/>
          <w:szCs w:val="15"/>
          <w:color w:val="auto"/>
        </w:rPr>
        <w:t xml:space="preserve"> </w:t>
      </w:r>
      <w:r>
        <w:rPr>
          <w:rFonts w:ascii="Arial" w:cs="Arial" w:eastAsia="Arial" w:hAnsi="Arial"/>
          <w:sz w:val="15"/>
          <w:szCs w:val="15"/>
          <w:i w:val="1"/>
          <w:iCs w:val="1"/>
          <w:color w:val="auto"/>
        </w:rPr>
        <w:t>Discussion and Analysis of Financial Condition and Results of Operations—Risk Management.</w:t>
      </w:r>
      <w:r>
        <w:rPr>
          <w:rFonts w:ascii="Arial" w:cs="Arial" w:eastAsia="Arial" w:hAnsi="Arial"/>
          <w:sz w:val="15"/>
          <w:szCs w:val="15"/>
          <w:color w:val="auto"/>
        </w:rPr>
        <w:t>” This approach</w:t>
      </w:r>
      <w:r>
        <w:rPr>
          <w:rFonts w:ascii="Arial" w:cs="Arial" w:eastAsia="Arial" w:hAnsi="Arial"/>
          <w:sz w:val="15"/>
          <w:szCs w:val="15"/>
          <w:i w:val="1"/>
          <w:iCs w:val="1"/>
          <w:color w:val="auto"/>
        </w:rPr>
        <w:t xml:space="preserve"> </w:t>
      </w:r>
      <w:r>
        <w:rPr>
          <w:rFonts w:ascii="Arial" w:cs="Arial" w:eastAsia="Arial" w:hAnsi="Arial"/>
          <w:sz w:val="15"/>
          <w:szCs w:val="15"/>
          <w:color w:val="auto"/>
        </w:rPr>
        <w:t>includes the Board of Directors, the Audit and Risk Committee and the</w:t>
      </w:r>
    </w:p>
    <w:p>
      <w:pPr>
        <w:spacing w:after="0" w:line="1758" w:lineRule="exact"/>
        <w:rPr>
          <w:sz w:val="20"/>
          <w:szCs w:val="20"/>
          <w:color w:val="auto"/>
        </w:rPr>
      </w:pPr>
    </w:p>
    <w:p>
      <w:pPr>
        <w:sectPr>
          <w:pgSz w:w="11900" w:h="16838" w:orient="portrait"/>
          <w:cols w:equalWidth="0" w:num="2">
            <w:col w:w="2160" w:space="560"/>
            <w:col w:w="7980"/>
          </w:cols>
          <w:pgMar w:left="320" w:top="464" w:right="879" w:bottom="1440" w:gutter="0" w:footer="0" w:header="0"/>
        </w:sectPr>
      </w:pPr>
    </w:p>
    <w:p>
      <w:pPr>
        <w:spacing w:after="0" w:line="200" w:lineRule="exact"/>
        <w:rPr>
          <w:sz w:val="20"/>
          <w:szCs w:val="20"/>
          <w:color w:val="auto"/>
        </w:rPr>
      </w:pPr>
    </w:p>
    <w:p>
      <w:pPr>
        <w:spacing w:after="0" w:line="385" w:lineRule="exact"/>
        <w:rPr>
          <w:sz w:val="20"/>
          <w:szCs w:val="20"/>
          <w:color w:val="auto"/>
        </w:rPr>
      </w:pPr>
    </w:p>
    <w:p>
      <w:pPr>
        <w:ind w:left="420"/>
        <w:spacing w:after="0"/>
        <w:tabs>
          <w:tab w:leader="none" w:pos="2380" w:val="left"/>
          <w:tab w:leader="none" w:pos="2800" w:val="left"/>
        </w:tabs>
        <w:rPr>
          <w:sz w:val="20"/>
          <w:szCs w:val="20"/>
          <w:color w:val="auto"/>
        </w:rPr>
      </w:pPr>
      <w:r>
        <w:rPr>
          <w:rFonts w:ascii="Arial" w:cs="Arial" w:eastAsia="Arial" w:hAnsi="Arial"/>
          <w:sz w:val="30"/>
          <w:szCs w:val="30"/>
          <w:color w:val="000000"/>
          <w:vertAlign w:val="superscript"/>
        </w:rPr>
        <w:t xml:space="preserve">             </w:t>
      </w:r>
      <w:r>
        <w:rPr>
          <w:sz w:val="20"/>
          <w:szCs w:val="20"/>
          <w:color w:val="auto"/>
        </w:rPr>
        <w:tab/>
      </w:r>
      <w:r>
        <w:rPr>
          <w:rFonts w:ascii="Arial" w:cs="Arial" w:eastAsia="Arial" w:hAnsi="Arial"/>
          <w:sz w:val="31"/>
          <w:szCs w:val="31"/>
          <w:color w:val="auto"/>
          <w:vertAlign w:val="superscript"/>
        </w:rPr>
        <w:t xml:space="preserve">    </w:t>
      </w:r>
      <w:r>
        <w:rPr>
          <w:sz w:val="20"/>
          <w:szCs w:val="20"/>
          <w:color w:val="auto"/>
        </w:rPr>
        <w:tab/>
      </w:r>
      <w:r>
        <w:rPr>
          <w:rFonts w:ascii="Arial" w:cs="Arial" w:eastAsia="Arial" w:hAnsi="Arial"/>
          <w:sz w:val="15"/>
          <w:szCs w:val="15"/>
          <w:b w:val="1"/>
          <w:bCs w:val="1"/>
          <w:color w:val="002B5F"/>
        </w:rPr>
        <w:t xml:space="preserve">32  </w:t>
      </w:r>
      <w:r>
        <w:rPr>
          <w:rFonts w:ascii="Arial" w:cs="Arial" w:eastAsia="Arial" w:hAnsi="Arial"/>
          <w:sz w:val="20"/>
          <w:szCs w:val="20"/>
          <w:color w:val="002B5F"/>
        </w:rPr>
        <w:t>|</w:t>
      </w:r>
      <w:r>
        <w:rPr>
          <w:rFonts w:ascii="Arial" w:cs="Arial" w:eastAsia="Arial" w:hAnsi="Arial"/>
          <w:sz w:val="15"/>
          <w:szCs w:val="15"/>
          <w:b w:val="1"/>
          <w:bCs w:val="1"/>
          <w:color w:val="002B5F"/>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6111875</wp:posOffset>
            </wp:positionH>
            <wp:positionV relativeFrom="paragraph">
              <wp:posOffset>-208915</wp:posOffset>
            </wp:positionV>
            <wp:extent cx="769620" cy="971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69620" cy="97155"/>
                    </a:xfrm>
                    <a:prstGeom prst="rect">
                      <a:avLst/>
                    </a:prstGeom>
                    <a:noFill/>
                  </pic:spPr>
                </pic:pic>
              </a:graphicData>
            </a:graphic>
          </wp:anchor>
        </w:drawing>
      </w:r>
    </w:p>
    <w:p>
      <w:pPr>
        <w:sectPr>
          <w:pgSz w:w="11900" w:h="16838" w:orient="portrait"/>
          <w:cols w:equalWidth="0" w:num="1">
            <w:col w:w="10700"/>
          </w:cols>
          <w:pgMar w:left="320" w:top="464" w:right="879" w:bottom="1440" w:gutter="0" w:footer="0" w:header="0"/>
          <w:type w:val="continuous"/>
        </w:sectPr>
      </w:pPr>
    </w:p>
    <w:bookmarkStart w:id="40" w:name="page41"/>
    <w:bookmarkEnd w:id="4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5334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81215" cy="5334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5617845</wp:posOffset>
            </wp:positionH>
            <wp:positionV relativeFrom="paragraph">
              <wp:posOffset>253365</wp:posOffset>
            </wp:positionV>
            <wp:extent cx="1256030" cy="74720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256030" cy="7472045"/>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tbl>
      <w:tblPr>
        <w:tblLayout w:type="fixed"/>
        <w:tblInd w:w="540" w:type="dxa"/>
        <w:tblCellMar>
          <w:top w:w="0" w:type="dxa"/>
          <w:left w:w="0" w:type="dxa"/>
          <w:bottom w:w="0" w:type="dxa"/>
          <w:right w:w="0" w:type="dxa"/>
        </w:tblCellMar>
      </w:tblPr>
      <w:tr>
        <w:trPr>
          <w:trHeight w:val="179"/>
        </w:trPr>
        <w:tc>
          <w:tcPr>
            <w:tcW w:w="8100" w:type="dxa"/>
            <w:vAlign w:val="bottom"/>
          </w:tcPr>
          <w:p>
            <w:pPr>
              <w:spacing w:after="0"/>
              <w:rPr>
                <w:sz w:val="20"/>
                <w:szCs w:val="20"/>
                <w:color w:val="auto"/>
              </w:rPr>
            </w:pPr>
            <w:r>
              <w:rPr>
                <w:rFonts w:ascii="Arial" w:cs="Arial" w:eastAsia="Arial" w:hAnsi="Arial"/>
                <w:sz w:val="15"/>
                <w:szCs w:val="15"/>
                <w:color w:val="auto"/>
              </w:rPr>
              <w:t>Compensation Committee, as well as the Company’s Risk Oversight Committee (the “ROC”) and its subcommittees,</w:t>
            </w:r>
          </w:p>
        </w:tc>
        <w:tc>
          <w:tcPr>
            <w:tcW w:w="4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8100" w:type="dxa"/>
            <w:vAlign w:val="bottom"/>
          </w:tcPr>
          <w:p>
            <w:pPr>
              <w:spacing w:after="0"/>
              <w:rPr>
                <w:sz w:val="20"/>
                <w:szCs w:val="20"/>
                <w:color w:val="auto"/>
              </w:rPr>
            </w:pPr>
            <w:r>
              <w:rPr>
                <w:rFonts w:ascii="Arial" w:cs="Arial" w:eastAsia="Arial" w:hAnsi="Arial"/>
                <w:sz w:val="15"/>
                <w:szCs w:val="15"/>
                <w:color w:val="auto"/>
              </w:rPr>
              <w:t>the Company’s Internal Audit department, the Company’s Finance and Business Operations department, the</w:t>
            </w:r>
          </w:p>
        </w:tc>
        <w:tc>
          <w:tcPr>
            <w:tcW w:w="440" w:type="dxa"/>
            <w:vAlign w:val="bottom"/>
            <w:vMerge w:val="restart"/>
          </w:tcPr>
          <w:p>
            <w:pPr>
              <w:ind w:left="240"/>
              <w:spacing w:after="0"/>
              <w:rPr>
                <w:sz w:val="20"/>
                <w:szCs w:val="20"/>
                <w:color w:val="auto"/>
              </w:rPr>
            </w:pPr>
            <w:r>
              <w:rPr>
                <w:rFonts w:ascii="Arial" w:cs="Arial" w:eastAsia="Arial" w:hAnsi="Arial"/>
                <w:sz w:val="15"/>
                <w:szCs w:val="15"/>
                <w:color w:val="auto"/>
              </w:rPr>
              <w:t> </w:t>
            </w:r>
          </w:p>
        </w:tc>
        <w:tc>
          <w:tcPr>
            <w:tcW w:w="1280" w:type="dxa"/>
            <w:vAlign w:val="bottom"/>
            <w:vMerge w:val="restart"/>
          </w:tcPr>
          <w:p>
            <w:pPr>
              <w:ind w:left="140"/>
              <w:spacing w:after="0"/>
              <w:rPr>
                <w:sz w:val="20"/>
                <w:szCs w:val="20"/>
                <w:color w:val="auto"/>
              </w:rPr>
            </w:pPr>
            <w:r>
              <w:rPr>
                <w:rFonts w:ascii="Arial" w:cs="Arial" w:eastAsia="Arial" w:hAnsi="Arial"/>
                <w:sz w:val="12"/>
                <w:szCs w:val="12"/>
                <w:color w:val="FFFFFF"/>
              </w:rPr>
              <w:t>General</w:t>
            </w:r>
          </w:p>
        </w:tc>
        <w:tc>
          <w:tcPr>
            <w:tcW w:w="440" w:type="dxa"/>
            <w:vAlign w:val="bottom"/>
            <w:vMerge w:val="restart"/>
          </w:tcPr>
          <w:p>
            <w:pPr>
              <w:ind w:left="80"/>
              <w:spacing w:after="0"/>
              <w:rPr>
                <w:sz w:val="20"/>
                <w:szCs w:val="20"/>
                <w:color w:val="auto"/>
              </w:rPr>
            </w:pPr>
            <w:r>
              <w:rPr>
                <w:rFonts w:ascii="Arial" w:cs="Arial" w:eastAsia="Arial" w:hAnsi="Arial"/>
                <w:sz w:val="15"/>
                <w:szCs w:val="15"/>
                <w:color w:val="auto"/>
              </w:rPr>
              <w:t xml:space="preserve">       </w:t>
            </w:r>
          </w:p>
        </w:tc>
        <w:tc>
          <w:tcPr>
            <w:tcW w:w="0" w:type="dxa"/>
            <w:vAlign w:val="bottom"/>
          </w:tcPr>
          <w:p>
            <w:pPr>
              <w:spacing w:after="0"/>
              <w:rPr>
                <w:sz w:val="1"/>
                <w:szCs w:val="1"/>
                <w:color w:val="auto"/>
              </w:rPr>
            </w:pPr>
          </w:p>
        </w:tc>
      </w:tr>
      <w:tr>
        <w:trPr>
          <w:trHeight w:val="51"/>
        </w:trPr>
        <w:tc>
          <w:tcPr>
            <w:tcW w:w="8100" w:type="dxa"/>
            <w:vAlign w:val="bottom"/>
            <w:vMerge w:val="restart"/>
          </w:tcPr>
          <w:p>
            <w:pPr>
              <w:spacing w:after="0"/>
              <w:rPr>
                <w:sz w:val="20"/>
                <w:szCs w:val="20"/>
                <w:color w:val="auto"/>
              </w:rPr>
            </w:pPr>
            <w:r>
              <w:rPr>
                <w:rFonts w:ascii="Arial" w:cs="Arial" w:eastAsia="Arial" w:hAnsi="Arial"/>
                <w:sz w:val="15"/>
                <w:szCs w:val="15"/>
                <w:color w:val="auto"/>
              </w:rPr>
              <w:t>Company’s Legal department and business line management.</w:t>
            </w:r>
          </w:p>
        </w:tc>
        <w:tc>
          <w:tcPr>
            <w:tcW w:w="440" w:type="dxa"/>
            <w:vAlign w:val="bottom"/>
            <w:vMerge w:val="continue"/>
          </w:tcPr>
          <w:p>
            <w:pPr>
              <w:spacing w:after="0"/>
              <w:rPr>
                <w:sz w:val="4"/>
                <w:szCs w:val="4"/>
                <w:color w:val="auto"/>
              </w:rPr>
            </w:pPr>
          </w:p>
        </w:tc>
        <w:tc>
          <w:tcPr>
            <w:tcW w:w="1280" w:type="dxa"/>
            <w:vAlign w:val="bottom"/>
            <w:vMerge w:val="continue"/>
          </w:tcPr>
          <w:p>
            <w:pPr>
              <w:spacing w:after="0"/>
              <w:rPr>
                <w:sz w:val="4"/>
                <w:szCs w:val="4"/>
                <w:color w:val="auto"/>
              </w:rPr>
            </w:pPr>
          </w:p>
        </w:tc>
        <w:tc>
          <w:tcPr>
            <w:tcW w:w="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8"/>
        </w:trPr>
        <w:tc>
          <w:tcPr>
            <w:tcW w:w="8100" w:type="dxa"/>
            <w:vAlign w:val="bottom"/>
            <w:vMerge w:val="continue"/>
          </w:tcPr>
          <w:p>
            <w:pPr>
              <w:spacing w:after="0"/>
              <w:rPr>
                <w:sz w:val="13"/>
                <w:szCs w:val="13"/>
                <w:color w:val="auto"/>
              </w:rPr>
            </w:pPr>
          </w:p>
        </w:tc>
        <w:tc>
          <w:tcPr>
            <w:tcW w:w="440" w:type="dxa"/>
            <w:vAlign w:val="bottom"/>
          </w:tcPr>
          <w:p>
            <w:pPr>
              <w:spacing w:after="0"/>
              <w:rPr>
                <w:sz w:val="13"/>
                <w:szCs w:val="13"/>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Information</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3"/>
        </w:trPr>
        <w:tc>
          <w:tcPr>
            <w:tcW w:w="8100" w:type="dxa"/>
            <w:vAlign w:val="bottom"/>
            <w:vMerge w:val="restart"/>
          </w:tcPr>
          <w:p>
            <w:pPr>
              <w:spacing w:after="0"/>
              <w:rPr>
                <w:sz w:val="20"/>
                <w:szCs w:val="20"/>
                <w:color w:val="auto"/>
              </w:rPr>
            </w:pPr>
            <w:r>
              <w:rPr>
                <w:rFonts w:ascii="Arial" w:cs="Arial" w:eastAsia="Arial" w:hAnsi="Arial"/>
                <w:sz w:val="17"/>
                <w:szCs w:val="17"/>
                <w:b w:val="1"/>
                <w:bCs w:val="1"/>
                <w:color w:val="002B5F"/>
              </w:rPr>
              <w:t>ROLE OF THE AUDIT AND RISK COMMITTEE</w:t>
            </w:r>
          </w:p>
        </w:tc>
        <w:tc>
          <w:tcPr>
            <w:tcW w:w="440" w:type="dxa"/>
            <w:vAlign w:val="bottom"/>
          </w:tcPr>
          <w:p>
            <w:pPr>
              <w:spacing w:after="0"/>
              <w:rPr>
                <w:sz w:val="20"/>
                <w:szCs w:val="20"/>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General Information</w:t>
            </w: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8"/>
        </w:trPr>
        <w:tc>
          <w:tcPr>
            <w:tcW w:w="8100" w:type="dxa"/>
            <w:vAlign w:val="bottom"/>
            <w:vMerge w:val="continue"/>
          </w:tcPr>
          <w:p>
            <w:pPr>
              <w:spacing w:after="0"/>
              <w:rPr>
                <w:sz w:val="11"/>
                <w:szCs w:val="11"/>
                <w:color w:val="auto"/>
              </w:rPr>
            </w:pPr>
          </w:p>
        </w:tc>
        <w:tc>
          <w:tcPr>
            <w:tcW w:w="440" w:type="dxa"/>
            <w:vAlign w:val="bottom"/>
          </w:tcPr>
          <w:p>
            <w:pPr>
              <w:spacing w:after="0"/>
              <w:rPr>
                <w:sz w:val="11"/>
                <w:szCs w:val="11"/>
                <w:color w:val="auto"/>
              </w:rPr>
            </w:pPr>
          </w:p>
        </w:tc>
        <w:tc>
          <w:tcPr>
            <w:tcW w:w="1280" w:type="dxa"/>
            <w:vAlign w:val="bottom"/>
          </w:tcPr>
          <w:p>
            <w:pPr>
              <w:ind w:left="140"/>
              <w:spacing w:after="0" w:line="128" w:lineRule="exact"/>
              <w:rPr>
                <w:sz w:val="20"/>
                <w:szCs w:val="20"/>
                <w:color w:val="auto"/>
              </w:rPr>
            </w:pPr>
            <w:r>
              <w:rPr>
                <w:rFonts w:ascii="Arial" w:cs="Arial" w:eastAsia="Arial" w:hAnsi="Arial"/>
                <w:sz w:val="12"/>
                <w:szCs w:val="12"/>
                <w:color w:val="FFFFFF"/>
              </w:rPr>
              <w:t>About Corporate</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100" w:type="dxa"/>
            <w:vAlign w:val="bottom"/>
            <w:vMerge w:val="restart"/>
          </w:tcPr>
          <w:p>
            <w:pPr>
              <w:spacing w:after="0"/>
              <w:rPr>
                <w:sz w:val="20"/>
                <w:szCs w:val="20"/>
                <w:color w:val="auto"/>
              </w:rPr>
            </w:pPr>
            <w:r>
              <w:rPr>
                <w:rFonts w:ascii="Arial" w:cs="Arial" w:eastAsia="Arial" w:hAnsi="Arial"/>
                <w:sz w:val="15"/>
                <w:szCs w:val="15"/>
                <w:color w:val="auto"/>
              </w:rPr>
              <w:t>In addition to its other responsibilities, the Audit and Risk Committee oversees and monitors the Company’s ERM</w:t>
            </w:r>
          </w:p>
        </w:tc>
        <w:tc>
          <w:tcPr>
            <w:tcW w:w="440" w:type="dxa"/>
            <w:vAlign w:val="bottom"/>
          </w:tcPr>
          <w:p>
            <w:pPr>
              <w:spacing w:after="0"/>
              <w:rPr>
                <w:sz w:val="11"/>
                <w:szCs w:val="11"/>
                <w:color w:val="auto"/>
              </w:rPr>
            </w:pPr>
          </w:p>
        </w:tc>
        <w:tc>
          <w:tcPr>
            <w:tcW w:w="1280" w:type="dxa"/>
            <w:vAlign w:val="bottom"/>
          </w:tcPr>
          <w:p>
            <w:pPr>
              <w:ind w:left="140"/>
              <w:spacing w:after="0" w:line="128" w:lineRule="exact"/>
              <w:rPr>
                <w:sz w:val="20"/>
                <w:szCs w:val="20"/>
                <w:color w:val="auto"/>
              </w:rPr>
            </w:pPr>
            <w:r>
              <w:rPr>
                <w:rFonts w:ascii="Arial" w:cs="Arial" w:eastAsia="Arial" w:hAnsi="Arial"/>
                <w:sz w:val="12"/>
                <w:szCs w:val="12"/>
                <w:color w:val="FFFFFF"/>
              </w:rPr>
              <w:t>Governance</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8100" w:type="dxa"/>
            <w:vAlign w:val="bottom"/>
            <w:vMerge w:val="continue"/>
          </w:tcPr>
          <w:p>
            <w:pPr>
              <w:spacing w:after="0"/>
              <w:rPr>
                <w:sz w:val="11"/>
                <w:szCs w:val="11"/>
                <w:color w:val="auto"/>
              </w:rPr>
            </w:pPr>
          </w:p>
        </w:tc>
        <w:tc>
          <w:tcPr>
            <w:tcW w:w="440" w:type="dxa"/>
            <w:vAlign w:val="bottom"/>
          </w:tcPr>
          <w:p>
            <w:pPr>
              <w:spacing w:after="0"/>
              <w:rPr>
                <w:sz w:val="11"/>
                <w:szCs w:val="11"/>
                <w:color w:val="auto"/>
              </w:rPr>
            </w:pPr>
          </w:p>
        </w:tc>
        <w:tc>
          <w:tcPr>
            <w:tcW w:w="1280" w:type="dxa"/>
            <w:vAlign w:val="bottom"/>
          </w:tcPr>
          <w:p>
            <w:pPr>
              <w:ind w:left="140"/>
              <w:spacing w:after="0" w:line="133" w:lineRule="exact"/>
              <w:rPr>
                <w:sz w:val="20"/>
                <w:szCs w:val="20"/>
                <w:color w:val="auto"/>
              </w:rPr>
            </w:pPr>
            <w:r>
              <w:rPr>
                <w:rFonts w:ascii="Arial" w:cs="Arial" w:eastAsia="Arial" w:hAnsi="Arial"/>
                <w:sz w:val="12"/>
                <w:szCs w:val="12"/>
                <w:color w:val="FFFFFF"/>
              </w:rPr>
              <w:t>and the Board of</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5"/>
        </w:trPr>
        <w:tc>
          <w:tcPr>
            <w:tcW w:w="8100" w:type="dxa"/>
            <w:vAlign w:val="bottom"/>
          </w:tcPr>
          <w:p>
            <w:pPr>
              <w:spacing w:after="0"/>
              <w:rPr>
                <w:sz w:val="20"/>
                <w:szCs w:val="20"/>
                <w:color w:val="auto"/>
              </w:rPr>
            </w:pPr>
            <w:r>
              <w:rPr>
                <w:rFonts w:ascii="Arial" w:cs="Arial" w:eastAsia="Arial" w:hAnsi="Arial"/>
                <w:sz w:val="15"/>
                <w:szCs w:val="15"/>
                <w:color w:val="auto"/>
              </w:rPr>
              <w:t>and is responsible for reviewing and assessing the Company’s processes to manage and control risk. In this</w:t>
            </w:r>
          </w:p>
        </w:tc>
        <w:tc>
          <w:tcPr>
            <w:tcW w:w="440" w:type="dxa"/>
            <w:vAlign w:val="bottom"/>
          </w:tcPr>
          <w:p>
            <w:pPr>
              <w:spacing w:after="0"/>
              <w:rPr>
                <w:sz w:val="17"/>
                <w:szCs w:val="17"/>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Directors</w:t>
            </w: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9"/>
        </w:trPr>
        <w:tc>
          <w:tcPr>
            <w:tcW w:w="8100" w:type="dxa"/>
            <w:vAlign w:val="bottom"/>
          </w:tcPr>
          <w:p>
            <w:pPr>
              <w:spacing w:after="0"/>
              <w:rPr>
                <w:sz w:val="20"/>
                <w:szCs w:val="20"/>
                <w:color w:val="auto"/>
              </w:rPr>
            </w:pPr>
            <w:r>
              <w:rPr>
                <w:rFonts w:ascii="Arial" w:cs="Arial" w:eastAsia="Arial" w:hAnsi="Arial"/>
                <w:sz w:val="15"/>
                <w:szCs w:val="15"/>
                <w:color w:val="auto"/>
              </w:rPr>
              <w:t>capacity, the Audit and Risk Committee reviews our major regulatory, litigation, cybersecurity, information security,</w:t>
            </w:r>
          </w:p>
        </w:tc>
        <w:tc>
          <w:tcPr>
            <w:tcW w:w="440" w:type="dxa"/>
            <w:vAlign w:val="bottom"/>
          </w:tcPr>
          <w:p>
            <w:pPr>
              <w:spacing w:after="0"/>
              <w:rPr>
                <w:sz w:val="15"/>
                <w:szCs w:val="15"/>
                <w:color w:val="auto"/>
              </w:rPr>
            </w:pPr>
          </w:p>
        </w:tc>
        <w:tc>
          <w:tcPr>
            <w:tcW w:w="1280" w:type="dxa"/>
            <w:vAlign w:val="bottom"/>
            <w:vMerge w:val="restart"/>
          </w:tcPr>
          <w:p>
            <w:pPr>
              <w:ind w:left="140"/>
              <w:spacing w:after="0"/>
              <w:rPr>
                <w:sz w:val="20"/>
                <w:szCs w:val="20"/>
                <w:color w:val="auto"/>
              </w:rPr>
            </w:pPr>
            <w:r>
              <w:rPr>
                <w:rFonts w:ascii="Arial" w:cs="Arial" w:eastAsia="Arial" w:hAnsi="Arial"/>
                <w:sz w:val="12"/>
                <w:szCs w:val="12"/>
                <w:color w:val="FFFFFF"/>
              </w:rPr>
              <w:t>Proposal 1</w:t>
            </w: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3"/>
        </w:trPr>
        <w:tc>
          <w:tcPr>
            <w:tcW w:w="8100" w:type="dxa"/>
            <w:vAlign w:val="bottom"/>
            <w:vMerge w:val="restart"/>
          </w:tcPr>
          <w:p>
            <w:pPr>
              <w:spacing w:after="0"/>
              <w:rPr>
                <w:sz w:val="20"/>
                <w:szCs w:val="20"/>
                <w:color w:val="auto"/>
              </w:rPr>
            </w:pPr>
            <w:r>
              <w:rPr>
                <w:rFonts w:ascii="Arial" w:cs="Arial" w:eastAsia="Arial" w:hAnsi="Arial"/>
                <w:sz w:val="15"/>
                <w:szCs w:val="15"/>
                <w:color w:val="auto"/>
              </w:rPr>
              <w:t>data privacy, AI and financial risk exposures and the steps management has undertaken to monitor and control</w:t>
            </w:r>
          </w:p>
        </w:tc>
        <w:tc>
          <w:tcPr>
            <w:tcW w:w="440" w:type="dxa"/>
            <w:vAlign w:val="bottom"/>
          </w:tcPr>
          <w:p>
            <w:pPr>
              <w:spacing w:after="0"/>
              <w:rPr>
                <w:sz w:val="5"/>
                <w:szCs w:val="5"/>
                <w:color w:val="auto"/>
              </w:rPr>
            </w:pPr>
          </w:p>
        </w:tc>
        <w:tc>
          <w:tcPr>
            <w:tcW w:w="128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6"/>
        </w:trPr>
        <w:tc>
          <w:tcPr>
            <w:tcW w:w="8100" w:type="dxa"/>
            <w:vAlign w:val="bottom"/>
            <w:vMerge w:val="continue"/>
          </w:tcPr>
          <w:p>
            <w:pPr>
              <w:spacing w:after="0"/>
              <w:rPr>
                <w:sz w:val="10"/>
                <w:szCs w:val="10"/>
                <w:color w:val="auto"/>
              </w:rPr>
            </w:pPr>
          </w:p>
        </w:tc>
        <w:tc>
          <w:tcPr>
            <w:tcW w:w="44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8100" w:type="dxa"/>
            <w:vAlign w:val="bottom"/>
          </w:tcPr>
          <w:p>
            <w:pPr>
              <w:spacing w:after="0" w:line="153" w:lineRule="exact"/>
              <w:rPr>
                <w:sz w:val="20"/>
                <w:szCs w:val="20"/>
                <w:color w:val="auto"/>
              </w:rPr>
            </w:pPr>
            <w:r>
              <w:rPr>
                <w:rFonts w:ascii="Arial" w:cs="Arial" w:eastAsia="Arial" w:hAnsi="Arial"/>
                <w:sz w:val="15"/>
                <w:szCs w:val="15"/>
                <w:color w:val="auto"/>
              </w:rPr>
              <w:t>them. The Audit and Risk Committee generally provides reports to the Board at each of the Board’s regularly</w:t>
            </w:r>
          </w:p>
        </w:tc>
        <w:tc>
          <w:tcPr>
            <w:tcW w:w="440" w:type="dxa"/>
            <w:vAlign w:val="bottom"/>
          </w:tcPr>
          <w:p>
            <w:pPr>
              <w:spacing w:after="0"/>
              <w:rPr>
                <w:sz w:val="13"/>
                <w:szCs w:val="13"/>
                <w:color w:val="auto"/>
              </w:rPr>
            </w:pPr>
          </w:p>
        </w:tc>
        <w:tc>
          <w:tcPr>
            <w:tcW w:w="1280" w:type="dxa"/>
            <w:vAlign w:val="bottom"/>
          </w:tcPr>
          <w:p>
            <w:pPr>
              <w:ind w:left="140"/>
              <w:spacing w:after="0"/>
              <w:rPr>
                <w:sz w:val="20"/>
                <w:szCs w:val="20"/>
                <w:color w:val="auto"/>
              </w:rPr>
            </w:pPr>
            <w:r>
              <w:rPr>
                <w:rFonts w:ascii="Arial" w:cs="Arial" w:eastAsia="Arial" w:hAnsi="Arial"/>
                <w:sz w:val="12"/>
                <w:szCs w:val="12"/>
                <w:b w:val="1"/>
                <w:bCs w:val="1"/>
                <w:color w:val="FFFFFF"/>
              </w:rPr>
              <w:t>Information</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8100" w:type="dxa"/>
            <w:vAlign w:val="bottom"/>
          </w:tcPr>
          <w:p>
            <w:pPr>
              <w:spacing w:after="0"/>
              <w:rPr>
                <w:sz w:val="20"/>
                <w:szCs w:val="20"/>
                <w:color w:val="auto"/>
              </w:rPr>
            </w:pPr>
            <w:r>
              <w:rPr>
                <w:rFonts w:ascii="Arial" w:cs="Arial" w:eastAsia="Arial" w:hAnsi="Arial"/>
                <w:sz w:val="15"/>
                <w:szCs w:val="15"/>
                <w:color w:val="auto"/>
              </w:rPr>
              <w:t>scheduled quarterly meetings.</w:t>
            </w:r>
          </w:p>
        </w:tc>
        <w:tc>
          <w:tcPr>
            <w:tcW w:w="440" w:type="dxa"/>
            <w:vAlign w:val="bottom"/>
          </w:tcPr>
          <w:p>
            <w:pPr>
              <w:spacing w:after="0"/>
              <w:rPr>
                <w:sz w:val="15"/>
                <w:szCs w:val="15"/>
                <w:color w:val="auto"/>
              </w:rPr>
            </w:pPr>
          </w:p>
        </w:tc>
        <w:tc>
          <w:tcPr>
            <w:tcW w:w="1280" w:type="dxa"/>
            <w:vAlign w:val="bottom"/>
          </w:tcPr>
          <w:p>
            <w:pPr>
              <w:ind w:left="140"/>
              <w:spacing w:after="0"/>
              <w:rPr>
                <w:sz w:val="20"/>
                <w:szCs w:val="20"/>
                <w:color w:val="auto"/>
              </w:rPr>
            </w:pPr>
            <w:r>
              <w:rPr>
                <w:rFonts w:ascii="Arial" w:cs="Arial" w:eastAsia="Arial" w:hAnsi="Arial"/>
                <w:sz w:val="12"/>
                <w:szCs w:val="12"/>
                <w:b w:val="1"/>
                <w:bCs w:val="1"/>
                <w:color w:val="FFFFFF"/>
              </w:rPr>
              <w:t>Regarding Board</w:t>
            </w: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2"/>
        </w:trPr>
        <w:tc>
          <w:tcPr>
            <w:tcW w:w="8100" w:type="dxa"/>
            <w:vAlign w:val="bottom"/>
          </w:tcPr>
          <w:p>
            <w:pPr>
              <w:spacing w:after="0"/>
              <w:rPr>
                <w:sz w:val="6"/>
                <w:szCs w:val="6"/>
                <w:color w:val="auto"/>
              </w:rPr>
            </w:pPr>
          </w:p>
        </w:tc>
        <w:tc>
          <w:tcPr>
            <w:tcW w:w="440" w:type="dxa"/>
            <w:vAlign w:val="bottom"/>
          </w:tcPr>
          <w:p>
            <w:pPr>
              <w:spacing w:after="0"/>
              <w:rPr>
                <w:sz w:val="6"/>
                <w:szCs w:val="6"/>
                <w:color w:val="auto"/>
              </w:rPr>
            </w:pPr>
          </w:p>
        </w:tc>
        <w:tc>
          <w:tcPr>
            <w:tcW w:w="1280" w:type="dxa"/>
            <w:vAlign w:val="bottom"/>
          </w:tcPr>
          <w:p>
            <w:pPr>
              <w:ind w:left="140"/>
              <w:spacing w:after="0" w:line="72" w:lineRule="exact"/>
              <w:rPr>
                <w:sz w:val="20"/>
                <w:szCs w:val="20"/>
                <w:color w:val="auto"/>
              </w:rPr>
            </w:pPr>
            <w:r>
              <w:rPr>
                <w:rFonts w:ascii="Arial" w:cs="Arial" w:eastAsia="Arial" w:hAnsi="Arial"/>
                <w:sz w:val="8"/>
                <w:szCs w:val="8"/>
                <w:b w:val="1"/>
                <w:bCs w:val="1"/>
                <w:color w:val="FFFFFF"/>
              </w:rPr>
              <w:t>and Committee</w:t>
            </w:r>
          </w:p>
        </w:tc>
        <w:tc>
          <w:tcPr>
            <w:tcW w:w="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4"/>
        </w:trPr>
        <w:tc>
          <w:tcPr>
            <w:tcW w:w="8100" w:type="dxa"/>
            <w:vAlign w:val="bottom"/>
            <w:vMerge w:val="restart"/>
          </w:tcPr>
          <w:p>
            <w:pPr>
              <w:spacing w:after="0"/>
              <w:rPr>
                <w:sz w:val="20"/>
                <w:szCs w:val="20"/>
                <w:color w:val="auto"/>
              </w:rPr>
            </w:pPr>
            <w:r>
              <w:rPr>
                <w:rFonts w:ascii="Arial" w:cs="Arial" w:eastAsia="Arial" w:hAnsi="Arial"/>
                <w:sz w:val="15"/>
                <w:szCs w:val="15"/>
                <w:color w:val="auto"/>
              </w:rPr>
              <w:t>The Audit and Risk Committee has mandated that the ROC oversee our risk management activities, including those</w:t>
            </w:r>
          </w:p>
        </w:tc>
        <w:tc>
          <w:tcPr>
            <w:tcW w:w="440" w:type="dxa"/>
            <w:vAlign w:val="bottom"/>
          </w:tcPr>
          <w:p>
            <w:pPr>
              <w:spacing w:after="0"/>
              <w:rPr>
                <w:sz w:val="14"/>
                <w:szCs w:val="14"/>
                <w:color w:val="auto"/>
              </w:rPr>
            </w:pPr>
          </w:p>
        </w:tc>
        <w:tc>
          <w:tcPr>
            <w:tcW w:w="1280" w:type="dxa"/>
            <w:vAlign w:val="bottom"/>
          </w:tcPr>
          <w:p>
            <w:pPr>
              <w:ind w:left="140"/>
              <w:spacing w:after="0"/>
              <w:rPr>
                <w:sz w:val="20"/>
                <w:szCs w:val="20"/>
                <w:color w:val="auto"/>
              </w:rPr>
            </w:pPr>
            <w:r>
              <w:rPr>
                <w:rFonts w:ascii="Arial" w:cs="Arial" w:eastAsia="Arial" w:hAnsi="Arial"/>
                <w:sz w:val="12"/>
                <w:szCs w:val="12"/>
                <w:b w:val="1"/>
                <w:bCs w:val="1"/>
                <w:color w:val="FFFFFF"/>
              </w:rPr>
              <w:t>Structure</w:t>
            </w: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1"/>
        </w:trPr>
        <w:tc>
          <w:tcPr>
            <w:tcW w:w="8100" w:type="dxa"/>
            <w:vAlign w:val="bottom"/>
            <w:vMerge w:val="continue"/>
          </w:tcPr>
          <w:p>
            <w:pPr>
              <w:spacing w:after="0"/>
              <w:rPr>
                <w:sz w:val="6"/>
                <w:szCs w:val="6"/>
                <w:color w:val="auto"/>
              </w:rPr>
            </w:pPr>
          </w:p>
        </w:tc>
        <w:tc>
          <w:tcPr>
            <w:tcW w:w="440" w:type="dxa"/>
            <w:vAlign w:val="bottom"/>
          </w:tcPr>
          <w:p>
            <w:pPr>
              <w:spacing w:after="0"/>
              <w:rPr>
                <w:sz w:val="6"/>
                <w:szCs w:val="6"/>
                <w:color w:val="auto"/>
              </w:rPr>
            </w:pPr>
          </w:p>
        </w:tc>
        <w:tc>
          <w:tcPr>
            <w:tcW w:w="1280" w:type="dxa"/>
            <w:vAlign w:val="bottom"/>
          </w:tcPr>
          <w:p>
            <w:pPr>
              <w:spacing w:after="0"/>
              <w:rPr>
                <w:sz w:val="6"/>
                <w:szCs w:val="6"/>
                <w:color w:val="auto"/>
              </w:rPr>
            </w:pPr>
          </w:p>
        </w:tc>
        <w:tc>
          <w:tcPr>
            <w:tcW w:w="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9"/>
        </w:trPr>
        <w:tc>
          <w:tcPr>
            <w:tcW w:w="8100" w:type="dxa"/>
            <w:vAlign w:val="bottom"/>
          </w:tcPr>
          <w:p>
            <w:pPr>
              <w:spacing w:after="0"/>
              <w:rPr>
                <w:sz w:val="20"/>
                <w:szCs w:val="20"/>
                <w:color w:val="auto"/>
              </w:rPr>
            </w:pPr>
            <w:r>
              <w:rPr>
                <w:rFonts w:ascii="Arial" w:cs="Arial" w:eastAsia="Arial" w:hAnsi="Arial"/>
                <w:sz w:val="15"/>
                <w:szCs w:val="15"/>
                <w:color w:val="auto"/>
              </w:rPr>
              <w:t>of our subsidiaries. The Company’s chief legal officer or chief risk officer provides updates on pertinent ROC</w:t>
            </w:r>
          </w:p>
        </w:tc>
        <w:tc>
          <w:tcPr>
            <w:tcW w:w="440" w:type="dxa"/>
            <w:vAlign w:val="bottom"/>
          </w:tcPr>
          <w:p>
            <w:pPr>
              <w:spacing w:after="0"/>
              <w:rPr>
                <w:sz w:val="15"/>
                <w:szCs w:val="15"/>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Board of Directors</w:t>
            </w: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8100" w:type="dxa"/>
            <w:vAlign w:val="bottom"/>
          </w:tcPr>
          <w:p>
            <w:pPr>
              <w:spacing w:after="0"/>
              <w:rPr>
                <w:sz w:val="20"/>
                <w:szCs w:val="20"/>
                <w:color w:val="auto"/>
              </w:rPr>
            </w:pPr>
            <w:r>
              <w:rPr>
                <w:rFonts w:ascii="Arial" w:cs="Arial" w:eastAsia="Arial" w:hAnsi="Arial"/>
                <w:sz w:val="15"/>
                <w:szCs w:val="15"/>
                <w:color w:val="auto"/>
              </w:rPr>
              <w:t>discussions to the Audit and Risk Committee on a regular basis and, if necessary or requested, to the Board. In</w:t>
            </w:r>
          </w:p>
        </w:tc>
        <w:tc>
          <w:tcPr>
            <w:tcW w:w="440" w:type="dxa"/>
            <w:vAlign w:val="bottom"/>
          </w:tcPr>
          <w:p>
            <w:pPr>
              <w:spacing w:after="0"/>
              <w:rPr>
                <w:sz w:val="15"/>
                <w:szCs w:val="15"/>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Compensation</w:t>
            </w: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8100" w:type="dxa"/>
            <w:vAlign w:val="bottom"/>
          </w:tcPr>
          <w:p>
            <w:pPr>
              <w:spacing w:after="0"/>
              <w:rPr>
                <w:sz w:val="20"/>
                <w:szCs w:val="20"/>
                <w:color w:val="auto"/>
              </w:rPr>
            </w:pPr>
            <w:r>
              <w:rPr>
                <w:rFonts w:ascii="Arial" w:cs="Arial" w:eastAsia="Arial" w:hAnsi="Arial"/>
                <w:sz w:val="15"/>
                <w:szCs w:val="15"/>
                <w:color w:val="auto"/>
              </w:rPr>
              <w:t>addition, our Internal Audit department provides independent and objective assurance of the effectiveness of the</w:t>
            </w:r>
          </w:p>
        </w:tc>
        <w:tc>
          <w:tcPr>
            <w:tcW w:w="440" w:type="dxa"/>
            <w:vAlign w:val="bottom"/>
          </w:tcPr>
          <w:p>
            <w:pPr>
              <w:spacing w:after="0"/>
              <w:rPr>
                <w:sz w:val="15"/>
                <w:szCs w:val="15"/>
                <w:color w:val="auto"/>
              </w:rPr>
            </w:pPr>
          </w:p>
        </w:tc>
        <w:tc>
          <w:tcPr>
            <w:tcW w:w="1280" w:type="dxa"/>
            <w:vAlign w:val="bottom"/>
            <w:vMerge w:val="restart"/>
          </w:tcPr>
          <w:p>
            <w:pPr>
              <w:ind w:left="140"/>
              <w:spacing w:after="0"/>
              <w:rPr>
                <w:sz w:val="20"/>
                <w:szCs w:val="20"/>
                <w:color w:val="auto"/>
              </w:rPr>
            </w:pPr>
            <w:r>
              <w:rPr>
                <w:rFonts w:ascii="Arial" w:cs="Arial" w:eastAsia="Arial" w:hAnsi="Arial"/>
                <w:sz w:val="12"/>
                <w:szCs w:val="12"/>
                <w:color w:val="FFFFFF"/>
              </w:rPr>
              <w:t>Compensation</w:t>
            </w: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1"/>
        </w:trPr>
        <w:tc>
          <w:tcPr>
            <w:tcW w:w="8100" w:type="dxa"/>
            <w:vAlign w:val="bottom"/>
            <w:vMerge w:val="restart"/>
          </w:tcPr>
          <w:p>
            <w:pPr>
              <w:spacing w:after="0"/>
              <w:rPr>
                <w:sz w:val="20"/>
                <w:szCs w:val="20"/>
                <w:color w:val="auto"/>
              </w:rPr>
            </w:pPr>
            <w:r>
              <w:rPr>
                <w:rFonts w:ascii="Arial" w:cs="Arial" w:eastAsia="Arial" w:hAnsi="Arial"/>
                <w:sz w:val="15"/>
                <w:szCs w:val="15"/>
                <w:color w:val="auto"/>
              </w:rPr>
              <w:t>Company’s governance, risk management and internal controls by conducting risk assessments and audits</w:t>
            </w:r>
          </w:p>
        </w:tc>
        <w:tc>
          <w:tcPr>
            <w:tcW w:w="44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0"/>
        </w:trPr>
        <w:tc>
          <w:tcPr>
            <w:tcW w:w="8100" w:type="dxa"/>
            <w:vAlign w:val="bottom"/>
            <w:vMerge w:val="continue"/>
          </w:tcPr>
          <w:p>
            <w:pPr>
              <w:spacing w:after="0"/>
              <w:rPr>
                <w:sz w:val="10"/>
                <w:szCs w:val="10"/>
                <w:color w:val="auto"/>
              </w:rPr>
            </w:pPr>
          </w:p>
        </w:tc>
        <w:tc>
          <w:tcPr>
            <w:tcW w:w="440" w:type="dxa"/>
            <w:vAlign w:val="bottom"/>
          </w:tcPr>
          <w:p>
            <w:pPr>
              <w:spacing w:after="0"/>
              <w:rPr>
                <w:sz w:val="10"/>
                <w:szCs w:val="10"/>
                <w:color w:val="auto"/>
              </w:rPr>
            </w:pPr>
          </w:p>
        </w:tc>
        <w:tc>
          <w:tcPr>
            <w:tcW w:w="1280" w:type="dxa"/>
            <w:vAlign w:val="bottom"/>
          </w:tcPr>
          <w:p>
            <w:pPr>
              <w:ind w:left="140"/>
              <w:spacing w:after="0" w:line="120" w:lineRule="exact"/>
              <w:rPr>
                <w:sz w:val="20"/>
                <w:szCs w:val="20"/>
                <w:color w:val="auto"/>
              </w:rPr>
            </w:pPr>
            <w:r>
              <w:rPr>
                <w:rFonts w:ascii="Arial" w:cs="Arial" w:eastAsia="Arial" w:hAnsi="Arial"/>
                <w:sz w:val="12"/>
                <w:szCs w:val="12"/>
                <w:color w:val="FFFFFF"/>
              </w:rPr>
              <w:t>Discussion and</w:t>
            </w: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6"/>
        </w:trPr>
        <w:tc>
          <w:tcPr>
            <w:tcW w:w="8100" w:type="dxa"/>
            <w:vAlign w:val="bottom"/>
          </w:tcPr>
          <w:p>
            <w:pPr>
              <w:spacing w:after="0" w:line="167" w:lineRule="exact"/>
              <w:rPr>
                <w:sz w:val="20"/>
                <w:szCs w:val="20"/>
                <w:color w:val="auto"/>
              </w:rPr>
            </w:pPr>
            <w:r>
              <w:rPr>
                <w:rFonts w:ascii="Arial" w:cs="Arial" w:eastAsia="Arial" w:hAnsi="Arial"/>
                <w:sz w:val="15"/>
                <w:szCs w:val="15"/>
                <w:color w:val="auto"/>
              </w:rPr>
              <w:t>designed to identify and cover important risk categories. Our chief audit executive reports functionally to the Audit</w:t>
            </w:r>
          </w:p>
        </w:tc>
        <w:tc>
          <w:tcPr>
            <w:tcW w:w="440" w:type="dxa"/>
            <w:vAlign w:val="bottom"/>
          </w:tcPr>
          <w:p>
            <w:pPr>
              <w:spacing w:after="0"/>
              <w:rPr>
                <w:sz w:val="14"/>
                <w:szCs w:val="14"/>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Analysis</w:t>
            </w: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8100" w:type="dxa"/>
            <w:vAlign w:val="bottom"/>
          </w:tcPr>
          <w:p>
            <w:pPr>
              <w:spacing w:after="0"/>
              <w:rPr>
                <w:sz w:val="20"/>
                <w:szCs w:val="20"/>
                <w:color w:val="auto"/>
              </w:rPr>
            </w:pPr>
            <w:r>
              <w:rPr>
                <w:rFonts w:ascii="Arial" w:cs="Arial" w:eastAsia="Arial" w:hAnsi="Arial"/>
                <w:sz w:val="15"/>
                <w:szCs w:val="15"/>
                <w:color w:val="auto"/>
              </w:rPr>
              <w:t>and Risk Committee, which oversees the Internal Audit department’s activities and approves its annual plan, and</w:t>
            </w:r>
          </w:p>
        </w:tc>
        <w:tc>
          <w:tcPr>
            <w:tcW w:w="440" w:type="dxa"/>
            <w:vAlign w:val="bottom"/>
          </w:tcPr>
          <w:p>
            <w:pPr>
              <w:spacing w:after="0"/>
              <w:rPr>
                <w:sz w:val="15"/>
                <w:szCs w:val="15"/>
                <w:color w:val="auto"/>
              </w:rPr>
            </w:pPr>
          </w:p>
        </w:tc>
        <w:tc>
          <w:tcPr>
            <w:tcW w:w="1280" w:type="dxa"/>
            <w:vAlign w:val="bottom"/>
            <w:vMerge w:val="restart"/>
          </w:tcPr>
          <w:p>
            <w:pPr>
              <w:ind w:left="140"/>
              <w:spacing w:after="0"/>
              <w:rPr>
                <w:sz w:val="20"/>
                <w:szCs w:val="20"/>
                <w:color w:val="auto"/>
              </w:rPr>
            </w:pPr>
            <w:r>
              <w:rPr>
                <w:rFonts w:ascii="Arial" w:cs="Arial" w:eastAsia="Arial" w:hAnsi="Arial"/>
                <w:sz w:val="12"/>
                <w:szCs w:val="12"/>
                <w:color w:val="FFFFFF"/>
              </w:rPr>
              <w:t>Report of the</w:t>
            </w: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4"/>
        </w:trPr>
        <w:tc>
          <w:tcPr>
            <w:tcW w:w="8100" w:type="dxa"/>
            <w:vAlign w:val="bottom"/>
            <w:vMerge w:val="restart"/>
          </w:tcPr>
          <w:p>
            <w:pPr>
              <w:spacing w:after="0"/>
              <w:rPr>
                <w:sz w:val="20"/>
                <w:szCs w:val="20"/>
                <w:color w:val="auto"/>
              </w:rPr>
            </w:pPr>
            <w:r>
              <w:rPr>
                <w:rFonts w:ascii="Arial" w:cs="Arial" w:eastAsia="Arial" w:hAnsi="Arial"/>
                <w:sz w:val="15"/>
                <w:szCs w:val="15"/>
                <w:color w:val="auto"/>
              </w:rPr>
              <w:t>reports administratively to our chief financial officer. Our Internal Audit department provides regular reports to the</w:t>
            </w:r>
          </w:p>
        </w:tc>
        <w:tc>
          <w:tcPr>
            <w:tcW w:w="440" w:type="dxa"/>
            <w:vAlign w:val="bottom"/>
          </w:tcPr>
          <w:p>
            <w:pPr>
              <w:spacing w:after="0"/>
              <w:rPr>
                <w:sz w:val="7"/>
                <w:szCs w:val="7"/>
                <w:color w:val="auto"/>
              </w:rPr>
            </w:pPr>
          </w:p>
        </w:tc>
        <w:tc>
          <w:tcPr>
            <w:tcW w:w="1280" w:type="dxa"/>
            <w:vAlign w:val="bottom"/>
            <w:vMerge w:val="continue"/>
          </w:tcPr>
          <w:p>
            <w:pPr>
              <w:spacing w:after="0"/>
              <w:rPr>
                <w:sz w:val="7"/>
                <w:szCs w:val="7"/>
                <w:color w:val="auto"/>
              </w:rPr>
            </w:pPr>
          </w:p>
        </w:tc>
        <w:tc>
          <w:tcPr>
            <w:tcW w:w="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0"/>
        </w:trPr>
        <w:tc>
          <w:tcPr>
            <w:tcW w:w="8100" w:type="dxa"/>
            <w:vAlign w:val="bottom"/>
            <w:vMerge w:val="continue"/>
          </w:tcPr>
          <w:p>
            <w:pPr>
              <w:spacing w:after="0"/>
              <w:rPr>
                <w:sz w:val="10"/>
                <w:szCs w:val="10"/>
                <w:color w:val="auto"/>
              </w:rPr>
            </w:pPr>
          </w:p>
        </w:tc>
        <w:tc>
          <w:tcPr>
            <w:tcW w:w="440" w:type="dxa"/>
            <w:vAlign w:val="bottom"/>
          </w:tcPr>
          <w:p>
            <w:pPr>
              <w:spacing w:after="0"/>
              <w:rPr>
                <w:sz w:val="10"/>
                <w:szCs w:val="10"/>
                <w:color w:val="auto"/>
              </w:rPr>
            </w:pPr>
          </w:p>
        </w:tc>
        <w:tc>
          <w:tcPr>
            <w:tcW w:w="1280" w:type="dxa"/>
            <w:vAlign w:val="bottom"/>
          </w:tcPr>
          <w:p>
            <w:pPr>
              <w:ind w:left="140"/>
              <w:spacing w:after="0" w:line="120" w:lineRule="exact"/>
              <w:rPr>
                <w:sz w:val="20"/>
                <w:szCs w:val="20"/>
                <w:color w:val="auto"/>
              </w:rPr>
            </w:pPr>
            <w:r>
              <w:rPr>
                <w:rFonts w:ascii="Arial" w:cs="Arial" w:eastAsia="Arial" w:hAnsi="Arial"/>
                <w:sz w:val="12"/>
                <w:szCs w:val="12"/>
                <w:color w:val="FFFFFF"/>
              </w:rPr>
              <w:t>Compensation</w:t>
            </w: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8100" w:type="dxa"/>
            <w:vAlign w:val="bottom"/>
          </w:tcPr>
          <w:p>
            <w:pPr>
              <w:spacing w:after="0" w:line="136" w:lineRule="exact"/>
              <w:rPr>
                <w:sz w:val="20"/>
                <w:szCs w:val="20"/>
                <w:color w:val="auto"/>
              </w:rPr>
            </w:pPr>
            <w:r>
              <w:rPr>
                <w:rFonts w:ascii="Arial" w:cs="Arial" w:eastAsia="Arial" w:hAnsi="Arial"/>
                <w:sz w:val="15"/>
                <w:szCs w:val="15"/>
                <w:color w:val="auto"/>
              </w:rPr>
              <w:t>ROC and reports to the Audit and Risk Committee at least quarterly.</w:t>
            </w:r>
          </w:p>
        </w:tc>
        <w:tc>
          <w:tcPr>
            <w:tcW w:w="440" w:type="dxa"/>
            <w:vAlign w:val="bottom"/>
          </w:tcPr>
          <w:p>
            <w:pPr>
              <w:spacing w:after="0"/>
              <w:rPr>
                <w:sz w:val="11"/>
                <w:szCs w:val="11"/>
                <w:color w:val="auto"/>
              </w:rPr>
            </w:pPr>
          </w:p>
        </w:tc>
        <w:tc>
          <w:tcPr>
            <w:tcW w:w="1280" w:type="dxa"/>
            <w:vAlign w:val="bottom"/>
          </w:tcPr>
          <w:p>
            <w:pPr>
              <w:ind w:left="140"/>
              <w:spacing w:after="0" w:line="136" w:lineRule="exact"/>
              <w:rPr>
                <w:sz w:val="20"/>
                <w:szCs w:val="20"/>
                <w:color w:val="auto"/>
              </w:rPr>
            </w:pPr>
            <w:r>
              <w:rPr>
                <w:rFonts w:ascii="Arial" w:cs="Arial" w:eastAsia="Arial" w:hAnsi="Arial"/>
                <w:sz w:val="12"/>
                <w:szCs w:val="12"/>
                <w:color w:val="FFFFFF"/>
              </w:rPr>
              <w:t>and Human</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80" w:type="dxa"/>
            <w:vAlign w:val="bottom"/>
          </w:tcPr>
          <w:p>
            <w:pPr>
              <w:ind w:left="140"/>
              <w:spacing w:after="0" w:line="128" w:lineRule="exact"/>
              <w:rPr>
                <w:sz w:val="20"/>
                <w:szCs w:val="20"/>
                <w:color w:val="auto"/>
              </w:rPr>
            </w:pPr>
            <w:r>
              <w:rPr>
                <w:rFonts w:ascii="Arial" w:cs="Arial" w:eastAsia="Arial" w:hAnsi="Arial"/>
                <w:sz w:val="12"/>
                <w:szCs w:val="12"/>
                <w:color w:val="FFFFFF"/>
              </w:rPr>
              <w:t>Resources</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100" w:type="dxa"/>
            <w:vAlign w:val="bottom"/>
            <w:vMerge w:val="restart"/>
          </w:tcPr>
          <w:p>
            <w:pPr>
              <w:spacing w:after="0"/>
              <w:rPr>
                <w:sz w:val="20"/>
                <w:szCs w:val="20"/>
                <w:color w:val="auto"/>
              </w:rPr>
            </w:pPr>
            <w:r>
              <w:rPr>
                <w:rFonts w:ascii="Arial" w:cs="Arial" w:eastAsia="Arial" w:hAnsi="Arial"/>
                <w:sz w:val="17"/>
                <w:szCs w:val="17"/>
                <w:b w:val="1"/>
                <w:bCs w:val="1"/>
                <w:color w:val="002B5F"/>
              </w:rPr>
              <w:t>ROLE OF THE COMPENSATION COMMITTEE</w:t>
            </w:r>
          </w:p>
        </w:tc>
        <w:tc>
          <w:tcPr>
            <w:tcW w:w="440" w:type="dxa"/>
            <w:vAlign w:val="bottom"/>
          </w:tcPr>
          <w:p>
            <w:pPr>
              <w:spacing w:after="0"/>
              <w:rPr>
                <w:sz w:val="11"/>
                <w:szCs w:val="11"/>
                <w:color w:val="auto"/>
              </w:rPr>
            </w:pPr>
          </w:p>
        </w:tc>
        <w:tc>
          <w:tcPr>
            <w:tcW w:w="1280" w:type="dxa"/>
            <w:vAlign w:val="bottom"/>
          </w:tcPr>
          <w:p>
            <w:pPr>
              <w:ind w:left="140"/>
              <w:spacing w:after="0" w:line="128" w:lineRule="exact"/>
              <w:rPr>
                <w:sz w:val="20"/>
                <w:szCs w:val="20"/>
                <w:color w:val="auto"/>
              </w:rPr>
            </w:pPr>
            <w:r>
              <w:rPr>
                <w:rFonts w:ascii="Arial" w:cs="Arial" w:eastAsia="Arial" w:hAnsi="Arial"/>
                <w:sz w:val="12"/>
                <w:szCs w:val="12"/>
                <w:color w:val="FFFFFF"/>
              </w:rPr>
              <w:t>Committee of the</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8100" w:type="dxa"/>
            <w:vAlign w:val="bottom"/>
            <w:vMerge w:val="continue"/>
          </w:tcPr>
          <w:p>
            <w:pPr>
              <w:spacing w:after="0"/>
              <w:rPr>
                <w:sz w:val="16"/>
                <w:szCs w:val="16"/>
                <w:color w:val="auto"/>
              </w:rPr>
            </w:pPr>
          </w:p>
        </w:tc>
        <w:tc>
          <w:tcPr>
            <w:tcW w:w="440" w:type="dxa"/>
            <w:vAlign w:val="bottom"/>
          </w:tcPr>
          <w:p>
            <w:pPr>
              <w:spacing w:after="0"/>
              <w:rPr>
                <w:sz w:val="16"/>
                <w:szCs w:val="16"/>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Board of Directors</w:t>
            </w: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8100" w:type="dxa"/>
            <w:vAlign w:val="bottom"/>
          </w:tcPr>
          <w:p>
            <w:pPr>
              <w:spacing w:after="0"/>
              <w:rPr>
                <w:sz w:val="20"/>
                <w:szCs w:val="20"/>
                <w:color w:val="auto"/>
              </w:rPr>
            </w:pPr>
            <w:r>
              <w:rPr>
                <w:rFonts w:ascii="Arial" w:cs="Arial" w:eastAsia="Arial" w:hAnsi="Arial"/>
                <w:sz w:val="15"/>
                <w:szCs w:val="15"/>
                <w:color w:val="auto"/>
              </w:rPr>
              <w:t>In addition to its other responsibilities, the Compensation Committee assesses whether our compensation</w:t>
            </w:r>
          </w:p>
        </w:tc>
        <w:tc>
          <w:tcPr>
            <w:tcW w:w="440" w:type="dxa"/>
            <w:vAlign w:val="bottom"/>
          </w:tcPr>
          <w:p>
            <w:pPr>
              <w:spacing w:after="0"/>
              <w:rPr>
                <w:sz w:val="19"/>
                <w:szCs w:val="19"/>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Compensation of</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1"/>
        </w:trPr>
        <w:tc>
          <w:tcPr>
            <w:tcW w:w="8100" w:type="dxa"/>
            <w:vAlign w:val="bottom"/>
          </w:tcPr>
          <w:p>
            <w:pPr>
              <w:spacing w:after="0" w:line="171" w:lineRule="exact"/>
              <w:rPr>
                <w:sz w:val="20"/>
                <w:szCs w:val="20"/>
                <w:color w:val="auto"/>
              </w:rPr>
            </w:pPr>
            <w:r>
              <w:rPr>
                <w:rFonts w:ascii="Arial" w:cs="Arial" w:eastAsia="Arial" w:hAnsi="Arial"/>
                <w:sz w:val="15"/>
                <w:szCs w:val="15"/>
                <w:color w:val="auto"/>
              </w:rPr>
              <w:t>arrangements encourage inappropriate risk-taking, and whether risks arising from our compensation arrangements</w:t>
            </w:r>
          </w:p>
        </w:tc>
        <w:tc>
          <w:tcPr>
            <w:tcW w:w="440" w:type="dxa"/>
            <w:vAlign w:val="bottom"/>
          </w:tcPr>
          <w:p>
            <w:pPr>
              <w:spacing w:after="0"/>
              <w:rPr>
                <w:sz w:val="14"/>
                <w:szCs w:val="14"/>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Named Executive</w:t>
            </w: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8100" w:type="dxa"/>
            <w:vAlign w:val="bottom"/>
            <w:vMerge w:val="restart"/>
          </w:tcPr>
          <w:p>
            <w:pPr>
              <w:spacing w:after="0"/>
              <w:rPr>
                <w:sz w:val="20"/>
                <w:szCs w:val="20"/>
                <w:color w:val="auto"/>
              </w:rPr>
            </w:pPr>
            <w:r>
              <w:rPr>
                <w:rFonts w:ascii="Arial" w:cs="Arial" w:eastAsia="Arial" w:hAnsi="Arial"/>
                <w:sz w:val="15"/>
                <w:szCs w:val="15"/>
                <w:color w:val="auto"/>
              </w:rPr>
              <w:t>are reasonably likely to have a material adverse effect on the Company.</w:t>
            </w:r>
          </w:p>
        </w:tc>
        <w:tc>
          <w:tcPr>
            <w:tcW w:w="440" w:type="dxa"/>
            <w:vAlign w:val="bottom"/>
          </w:tcPr>
          <w:p>
            <w:pPr>
              <w:spacing w:after="0"/>
              <w:rPr>
                <w:sz w:val="13"/>
                <w:szCs w:val="13"/>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Officers</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9"/>
        </w:trPr>
        <w:tc>
          <w:tcPr>
            <w:tcW w:w="810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1280" w:type="dxa"/>
            <w:vAlign w:val="bottom"/>
          </w:tcPr>
          <w:p>
            <w:pPr>
              <w:spacing w:after="0"/>
              <w:rPr>
                <w:sz w:val="5"/>
                <w:szCs w:val="5"/>
                <w:color w:val="auto"/>
              </w:rPr>
            </w:pPr>
          </w:p>
        </w:tc>
        <w:tc>
          <w:tcPr>
            <w:tcW w:w="4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4" w:lineRule="exact"/>
        <w:rPr>
          <w:sz w:val="20"/>
          <w:szCs w:val="20"/>
          <w:color w:val="auto"/>
        </w:rPr>
      </w:pPr>
    </w:p>
    <w:p>
      <w:pPr>
        <w:sectPr>
          <w:pgSz w:w="11900" w:h="16838" w:orient="portrait"/>
          <w:cols w:equalWidth="0" w:num="1">
            <w:col w:w="10800"/>
          </w:cols>
          <w:pgMar w:left="320" w:top="464" w:right="779" w:bottom="1440" w:gutter="0" w:footer="0" w:header="0"/>
        </w:sectPr>
      </w:pPr>
    </w:p>
    <w:p>
      <w:pPr>
        <w:spacing w:after="0" w:line="56" w:lineRule="exact"/>
        <w:rPr>
          <w:sz w:val="20"/>
          <w:szCs w:val="20"/>
          <w:color w:val="auto"/>
        </w:rPr>
      </w:pPr>
    </w:p>
    <w:p>
      <w:pPr>
        <w:ind w:left="540" w:right="320"/>
        <w:spacing w:after="0" w:line="258" w:lineRule="auto"/>
        <w:rPr>
          <w:sz w:val="20"/>
          <w:szCs w:val="20"/>
          <w:color w:val="auto"/>
        </w:rPr>
      </w:pPr>
      <w:r>
        <w:rPr>
          <w:rFonts w:ascii="Arial" w:cs="Arial" w:eastAsia="Arial" w:hAnsi="Arial"/>
          <w:sz w:val="15"/>
          <w:szCs w:val="15"/>
          <w:color w:val="auto"/>
        </w:rPr>
        <w:t>The Compensation Committee has reviewed and evaluated the development and implementation of our compensation practices across our Company. It is our belief, and the belief of the Compensation Committee, that our compensation practices do not encourage inappropriate actions by our executive officers or other employees and are not reasonably likely to have a material adverse effect on the Company. Specifically, we believe that our compensation practices avoid:</w:t>
      </w:r>
    </w:p>
    <w:p>
      <w:pPr>
        <w:spacing w:after="0" w:line="81" w:lineRule="exact"/>
        <w:rPr>
          <w:sz w:val="20"/>
          <w:szCs w:val="20"/>
          <w:color w:val="auto"/>
        </w:rPr>
      </w:pPr>
    </w:p>
    <w:p>
      <w:pPr>
        <w:ind w:left="800" w:hanging="261"/>
        <w:spacing w:after="0"/>
        <w:tabs>
          <w:tab w:leader="none" w:pos="800" w:val="left"/>
        </w:tabs>
        <w:numPr>
          <w:ilvl w:val="0"/>
          <w:numId w:val="56"/>
        </w:numPr>
        <w:rPr>
          <w:rFonts w:ascii="Arial" w:cs="Arial" w:eastAsia="Arial" w:hAnsi="Arial"/>
          <w:sz w:val="15"/>
          <w:szCs w:val="15"/>
          <w:color w:val="auto"/>
        </w:rPr>
      </w:pPr>
      <w:r>
        <w:rPr>
          <w:rFonts w:ascii="Arial" w:cs="Arial" w:eastAsia="Arial" w:hAnsi="Arial"/>
          <w:sz w:val="15"/>
          <w:szCs w:val="15"/>
          <w:color w:val="auto"/>
        </w:rPr>
        <w:t>a compensation mix overly weighted toward annual bonus awards;</w:t>
      </w:r>
    </w:p>
    <w:p>
      <w:pPr>
        <w:spacing w:after="0" w:line="121" w:lineRule="exact"/>
        <w:rPr>
          <w:rFonts w:ascii="Arial" w:cs="Arial" w:eastAsia="Arial" w:hAnsi="Arial"/>
          <w:sz w:val="15"/>
          <w:szCs w:val="15"/>
          <w:color w:val="auto"/>
        </w:rPr>
      </w:pPr>
    </w:p>
    <w:p>
      <w:pPr>
        <w:ind w:left="800" w:right="340" w:hanging="261"/>
        <w:spacing w:after="0" w:line="287" w:lineRule="auto"/>
        <w:tabs>
          <w:tab w:leader="none" w:pos="800" w:val="left"/>
        </w:tabs>
        <w:numPr>
          <w:ilvl w:val="0"/>
          <w:numId w:val="56"/>
        </w:numPr>
        <w:rPr>
          <w:rFonts w:ascii="Arial" w:cs="Arial" w:eastAsia="Arial" w:hAnsi="Arial"/>
          <w:sz w:val="15"/>
          <w:szCs w:val="15"/>
          <w:color w:val="auto"/>
        </w:rPr>
      </w:pPr>
      <w:r>
        <w:rPr>
          <w:rFonts w:ascii="Arial" w:cs="Arial" w:eastAsia="Arial" w:hAnsi="Arial"/>
          <w:sz w:val="15"/>
          <w:szCs w:val="15"/>
          <w:color w:val="auto"/>
        </w:rPr>
        <w:t>an excessive focus on short-term equity incentive awards that could cause behavior to drive short-term stock price gains at the expense of long-term value creation; and</w:t>
      </w:r>
    </w:p>
    <w:p>
      <w:pPr>
        <w:spacing w:after="0" w:line="59" w:lineRule="exact"/>
        <w:rPr>
          <w:rFonts w:ascii="Arial" w:cs="Arial" w:eastAsia="Arial" w:hAnsi="Arial"/>
          <w:sz w:val="15"/>
          <w:szCs w:val="15"/>
          <w:color w:val="auto"/>
        </w:rPr>
      </w:pPr>
    </w:p>
    <w:p>
      <w:pPr>
        <w:ind w:left="800" w:right="240" w:hanging="261"/>
        <w:spacing w:after="0" w:line="287" w:lineRule="auto"/>
        <w:tabs>
          <w:tab w:leader="none" w:pos="800" w:val="left"/>
        </w:tabs>
        <w:numPr>
          <w:ilvl w:val="0"/>
          <w:numId w:val="56"/>
        </w:numPr>
        <w:rPr>
          <w:rFonts w:ascii="Arial" w:cs="Arial" w:eastAsia="Arial" w:hAnsi="Arial"/>
          <w:sz w:val="15"/>
          <w:szCs w:val="15"/>
          <w:color w:val="auto"/>
        </w:rPr>
      </w:pPr>
      <w:r>
        <w:rPr>
          <w:rFonts w:ascii="Arial" w:cs="Arial" w:eastAsia="Arial" w:hAnsi="Arial"/>
          <w:sz w:val="15"/>
          <w:szCs w:val="15"/>
          <w:color w:val="auto"/>
        </w:rPr>
        <w:t>unreasonable financial goals or thresholds that could encourage efforts to generate near-term revenue with an adverse impact on long-term success.</w:t>
      </w:r>
    </w:p>
    <w:p>
      <w:pPr>
        <w:spacing w:after="0" w:line="47" w:lineRule="exact"/>
        <w:rPr>
          <w:sz w:val="20"/>
          <w:szCs w:val="20"/>
          <w:color w:val="auto"/>
        </w:rPr>
      </w:pPr>
    </w:p>
    <w:p>
      <w:pPr>
        <w:ind w:left="540" w:right="100"/>
        <w:spacing w:after="0" w:line="287" w:lineRule="auto"/>
        <w:rPr>
          <w:sz w:val="20"/>
          <w:szCs w:val="20"/>
          <w:color w:val="auto"/>
        </w:rPr>
      </w:pPr>
      <w:r>
        <w:rPr>
          <w:rFonts w:ascii="Arial" w:cs="Arial" w:eastAsia="Arial" w:hAnsi="Arial"/>
          <w:sz w:val="15"/>
          <w:szCs w:val="15"/>
          <w:color w:val="auto"/>
        </w:rPr>
        <w:t>We believe that the following practices that we have implemented serve to mitigate the potential for adverse risk that may be caused by the actions of our executive officers or other key employees:</w:t>
      </w:r>
    </w:p>
    <w:p>
      <w:pPr>
        <w:spacing w:after="0" w:line="60" w:lineRule="exact"/>
        <w:rPr>
          <w:sz w:val="20"/>
          <w:szCs w:val="20"/>
          <w:color w:val="auto"/>
        </w:rPr>
      </w:pPr>
    </w:p>
    <w:p>
      <w:pPr>
        <w:ind w:left="800" w:hanging="261"/>
        <w:spacing w:after="0"/>
        <w:tabs>
          <w:tab w:leader="none" w:pos="800" w:val="left"/>
        </w:tabs>
        <w:numPr>
          <w:ilvl w:val="0"/>
          <w:numId w:val="57"/>
        </w:numPr>
        <w:rPr>
          <w:rFonts w:ascii="Arial" w:cs="Arial" w:eastAsia="Arial" w:hAnsi="Arial"/>
          <w:sz w:val="15"/>
          <w:szCs w:val="15"/>
          <w:color w:val="auto"/>
        </w:rPr>
      </w:pPr>
      <w:r>
        <w:rPr>
          <w:rFonts w:ascii="Arial" w:cs="Arial" w:eastAsia="Arial" w:hAnsi="Arial"/>
          <w:sz w:val="15"/>
          <w:szCs w:val="15"/>
          <w:color w:val="auto"/>
        </w:rPr>
        <w:t>defined processes for developing strategic and annual operating plans, and approving capital investments;</w:t>
      </w:r>
    </w:p>
    <w:p>
      <w:pPr>
        <w:spacing w:after="0" w:line="121" w:lineRule="exact"/>
        <w:rPr>
          <w:rFonts w:ascii="Arial" w:cs="Arial" w:eastAsia="Arial" w:hAnsi="Arial"/>
          <w:sz w:val="15"/>
          <w:szCs w:val="15"/>
          <w:color w:val="auto"/>
        </w:rPr>
      </w:pPr>
    </w:p>
    <w:p>
      <w:pPr>
        <w:ind w:left="800" w:right="320" w:hanging="261"/>
        <w:spacing w:after="0" w:line="287" w:lineRule="auto"/>
        <w:tabs>
          <w:tab w:leader="none" w:pos="800" w:val="left"/>
        </w:tabs>
        <w:numPr>
          <w:ilvl w:val="0"/>
          <w:numId w:val="57"/>
        </w:numPr>
        <w:rPr>
          <w:rFonts w:ascii="Arial" w:cs="Arial" w:eastAsia="Arial" w:hAnsi="Arial"/>
          <w:sz w:val="15"/>
          <w:szCs w:val="15"/>
          <w:color w:val="auto"/>
        </w:rPr>
      </w:pPr>
      <w:r>
        <w:rPr>
          <w:rFonts w:ascii="Arial" w:cs="Arial" w:eastAsia="Arial" w:hAnsi="Arial"/>
          <w:sz w:val="15"/>
          <w:szCs w:val="15"/>
          <w:color w:val="auto"/>
        </w:rPr>
        <w:t>Board approval of the Company’s annual corporate goals, which aligns these goals with our annual operating plan, strategic plan and compensation programs to achieve an appropriate risk-reward balance;</w:t>
      </w:r>
    </w:p>
    <w:p>
      <w:pPr>
        <w:spacing w:after="0" w:line="59" w:lineRule="exact"/>
        <w:rPr>
          <w:rFonts w:ascii="Arial" w:cs="Arial" w:eastAsia="Arial" w:hAnsi="Arial"/>
          <w:sz w:val="15"/>
          <w:szCs w:val="15"/>
          <w:color w:val="auto"/>
        </w:rPr>
      </w:pPr>
    </w:p>
    <w:p>
      <w:pPr>
        <w:ind w:left="800" w:right="240" w:hanging="261"/>
        <w:spacing w:after="0" w:line="287" w:lineRule="auto"/>
        <w:tabs>
          <w:tab w:leader="none" w:pos="800" w:val="left"/>
        </w:tabs>
        <w:numPr>
          <w:ilvl w:val="0"/>
          <w:numId w:val="57"/>
        </w:numPr>
        <w:rPr>
          <w:rFonts w:ascii="Arial" w:cs="Arial" w:eastAsia="Arial" w:hAnsi="Arial"/>
          <w:sz w:val="15"/>
          <w:szCs w:val="15"/>
          <w:color w:val="auto"/>
        </w:rPr>
      </w:pPr>
      <w:r>
        <w:rPr>
          <w:rFonts w:ascii="Arial" w:cs="Arial" w:eastAsia="Arial" w:hAnsi="Arial"/>
          <w:sz w:val="15"/>
          <w:szCs w:val="15"/>
          <w:color w:val="auto"/>
        </w:rPr>
        <w:t>annual review of peer group practices and compensation surveys to develop compensation arrangements and practices;</w:t>
      </w:r>
    </w:p>
    <w:p>
      <w:pPr>
        <w:spacing w:after="0" w:line="59" w:lineRule="exact"/>
        <w:rPr>
          <w:rFonts w:ascii="Arial" w:cs="Arial" w:eastAsia="Arial" w:hAnsi="Arial"/>
          <w:sz w:val="15"/>
          <w:szCs w:val="15"/>
          <w:color w:val="auto"/>
        </w:rPr>
      </w:pPr>
    </w:p>
    <w:p>
      <w:pPr>
        <w:ind w:left="800" w:right="160" w:hanging="261"/>
        <w:spacing w:after="0" w:line="268" w:lineRule="auto"/>
        <w:tabs>
          <w:tab w:leader="none" w:pos="800" w:val="left"/>
        </w:tabs>
        <w:numPr>
          <w:ilvl w:val="0"/>
          <w:numId w:val="57"/>
        </w:numPr>
        <w:rPr>
          <w:rFonts w:ascii="Arial" w:cs="Arial" w:eastAsia="Arial" w:hAnsi="Arial"/>
          <w:sz w:val="15"/>
          <w:szCs w:val="15"/>
          <w:color w:val="auto"/>
        </w:rPr>
      </w:pPr>
      <w:r>
        <w:rPr>
          <w:rFonts w:ascii="Arial" w:cs="Arial" w:eastAsia="Arial" w:hAnsi="Arial"/>
          <w:sz w:val="15"/>
          <w:szCs w:val="15"/>
          <w:color w:val="auto"/>
        </w:rPr>
        <w:t>annual bonus awards based on a review by the Compensation Committee of a variety of metrics, including both financial performance and strategic achievements, reducing the potential to concentrate on one metric as the basis of an annual incentive award;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FFFFFF"/>
        </w:rPr>
        <w:t>Pay Versus</w:t>
      </w:r>
    </w:p>
    <w:p>
      <w:pPr>
        <w:spacing w:after="0" w:line="224" w:lineRule="auto"/>
        <w:rPr>
          <w:sz w:val="20"/>
          <w:szCs w:val="20"/>
          <w:color w:val="auto"/>
        </w:rPr>
      </w:pPr>
      <w:r>
        <w:rPr>
          <w:rFonts w:ascii="Arial" w:cs="Arial" w:eastAsia="Arial" w:hAnsi="Arial"/>
          <w:sz w:val="12"/>
          <w:szCs w:val="12"/>
          <w:color w:val="FFFFFF"/>
        </w:rPr>
        <w:t>Performance</w:t>
      </w:r>
    </w:p>
    <w:p>
      <w:pPr>
        <w:spacing w:after="0"/>
        <w:rPr>
          <w:sz w:val="20"/>
          <w:szCs w:val="20"/>
          <w:color w:val="auto"/>
        </w:rPr>
      </w:pPr>
      <w:r>
        <w:rPr>
          <w:rFonts w:ascii="Arial" w:cs="Arial" w:eastAsia="Arial" w:hAnsi="Arial"/>
          <w:sz w:val="12"/>
          <w:szCs w:val="12"/>
          <w:color w:val="FFFFFF"/>
        </w:rPr>
        <w:t>Disclosure</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Security</w:t>
      </w:r>
    </w:p>
    <w:p>
      <w:pPr>
        <w:spacing w:after="0" w:line="224" w:lineRule="auto"/>
        <w:rPr>
          <w:sz w:val="20"/>
          <w:szCs w:val="20"/>
          <w:color w:val="auto"/>
        </w:rPr>
      </w:pPr>
      <w:r>
        <w:rPr>
          <w:rFonts w:ascii="Arial" w:cs="Arial" w:eastAsia="Arial" w:hAnsi="Arial"/>
          <w:sz w:val="12"/>
          <w:szCs w:val="12"/>
          <w:color w:val="FFFFFF"/>
        </w:rPr>
        <w:t>Ownership of</w:t>
      </w:r>
    </w:p>
    <w:p>
      <w:pPr>
        <w:spacing w:after="0" w:line="222" w:lineRule="auto"/>
        <w:rPr>
          <w:sz w:val="20"/>
          <w:szCs w:val="20"/>
          <w:color w:val="auto"/>
        </w:rPr>
      </w:pPr>
      <w:r>
        <w:rPr>
          <w:rFonts w:ascii="Arial" w:cs="Arial" w:eastAsia="Arial" w:hAnsi="Arial"/>
          <w:sz w:val="12"/>
          <w:szCs w:val="12"/>
          <w:color w:val="FFFFFF"/>
        </w:rPr>
        <w:t>Certain Beneficial</w:t>
      </w:r>
    </w:p>
    <w:p>
      <w:pPr>
        <w:spacing w:after="0" w:line="222" w:lineRule="auto"/>
        <w:rPr>
          <w:sz w:val="20"/>
          <w:szCs w:val="20"/>
          <w:color w:val="auto"/>
        </w:rPr>
      </w:pPr>
      <w:r>
        <w:rPr>
          <w:rFonts w:ascii="Arial" w:cs="Arial" w:eastAsia="Arial" w:hAnsi="Arial"/>
          <w:sz w:val="12"/>
          <w:szCs w:val="12"/>
          <w:color w:val="FFFFFF"/>
        </w:rPr>
        <w:t>Owners and</w:t>
      </w:r>
    </w:p>
    <w:p>
      <w:pPr>
        <w:spacing w:after="0"/>
        <w:rPr>
          <w:sz w:val="20"/>
          <w:szCs w:val="20"/>
          <w:color w:val="auto"/>
        </w:rPr>
      </w:pPr>
      <w:r>
        <w:rPr>
          <w:rFonts w:ascii="Arial" w:cs="Arial" w:eastAsia="Arial" w:hAnsi="Arial"/>
          <w:sz w:val="12"/>
          <w:szCs w:val="12"/>
          <w:color w:val="FFFFFF"/>
        </w:rPr>
        <w:t>Management</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Certain</w:t>
      </w:r>
    </w:p>
    <w:p>
      <w:pPr>
        <w:spacing w:after="0" w:line="224" w:lineRule="auto"/>
        <w:rPr>
          <w:sz w:val="20"/>
          <w:szCs w:val="20"/>
          <w:color w:val="auto"/>
        </w:rPr>
      </w:pPr>
      <w:r>
        <w:rPr>
          <w:rFonts w:ascii="Arial" w:cs="Arial" w:eastAsia="Arial" w:hAnsi="Arial"/>
          <w:sz w:val="12"/>
          <w:szCs w:val="12"/>
          <w:color w:val="FFFFFF"/>
        </w:rPr>
        <w:t>Relationships and</w:t>
      </w:r>
    </w:p>
    <w:p>
      <w:pPr>
        <w:spacing w:after="0" w:line="222" w:lineRule="auto"/>
        <w:rPr>
          <w:sz w:val="20"/>
          <w:szCs w:val="20"/>
          <w:color w:val="auto"/>
        </w:rPr>
      </w:pPr>
      <w:r>
        <w:rPr>
          <w:rFonts w:ascii="Arial" w:cs="Arial" w:eastAsia="Arial" w:hAnsi="Arial"/>
          <w:sz w:val="12"/>
          <w:szCs w:val="12"/>
          <w:color w:val="FFFFFF"/>
        </w:rPr>
        <w:t>Related Party</w:t>
      </w:r>
    </w:p>
    <w:p>
      <w:pPr>
        <w:spacing w:after="0"/>
        <w:rPr>
          <w:sz w:val="20"/>
          <w:szCs w:val="20"/>
          <w:color w:val="auto"/>
        </w:rPr>
      </w:pPr>
      <w:r>
        <w:rPr>
          <w:rFonts w:ascii="Arial" w:cs="Arial" w:eastAsia="Arial" w:hAnsi="Arial"/>
          <w:sz w:val="12"/>
          <w:szCs w:val="12"/>
          <w:color w:val="FFFFFF"/>
        </w:rPr>
        <w:t>Transactions</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Proposal 2</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FFFFFF"/>
        </w:rPr>
        <w:t>Report of the</w:t>
      </w:r>
    </w:p>
    <w:p>
      <w:pPr>
        <w:spacing w:after="0" w:line="224" w:lineRule="auto"/>
        <w:rPr>
          <w:sz w:val="20"/>
          <w:szCs w:val="20"/>
          <w:color w:val="auto"/>
        </w:rPr>
      </w:pPr>
      <w:r>
        <w:rPr>
          <w:rFonts w:ascii="Arial" w:cs="Arial" w:eastAsia="Arial" w:hAnsi="Arial"/>
          <w:sz w:val="12"/>
          <w:szCs w:val="12"/>
          <w:color w:val="FFFFFF"/>
        </w:rPr>
        <w:t>Audit and Risk</w:t>
      </w:r>
    </w:p>
    <w:p>
      <w:pPr>
        <w:spacing w:after="0" w:line="222" w:lineRule="auto"/>
        <w:rPr>
          <w:sz w:val="20"/>
          <w:szCs w:val="20"/>
          <w:color w:val="auto"/>
        </w:rPr>
      </w:pPr>
      <w:r>
        <w:rPr>
          <w:rFonts w:ascii="Arial" w:cs="Arial" w:eastAsia="Arial" w:hAnsi="Arial"/>
          <w:sz w:val="12"/>
          <w:szCs w:val="12"/>
          <w:color w:val="FFFFFF"/>
        </w:rPr>
        <w:t>Committee of the</w:t>
      </w:r>
    </w:p>
    <w:p>
      <w:pPr>
        <w:spacing w:after="0"/>
        <w:rPr>
          <w:sz w:val="20"/>
          <w:szCs w:val="20"/>
          <w:color w:val="auto"/>
        </w:rPr>
      </w:pPr>
      <w:r>
        <w:rPr>
          <w:rFonts w:ascii="Arial" w:cs="Arial" w:eastAsia="Arial" w:hAnsi="Arial"/>
          <w:sz w:val="11"/>
          <w:szCs w:val="11"/>
          <w:color w:val="FFFFFF"/>
        </w:rPr>
        <w:t>Board of Directors</w:t>
      </w:r>
    </w:p>
    <w:p>
      <w:pPr>
        <w:spacing w:after="0" w:line="155" w:lineRule="exact"/>
        <w:rPr>
          <w:sz w:val="20"/>
          <w:szCs w:val="20"/>
          <w:color w:val="auto"/>
        </w:rPr>
      </w:pPr>
    </w:p>
    <w:p>
      <w:pPr>
        <w:spacing w:after="0"/>
        <w:rPr>
          <w:sz w:val="20"/>
          <w:szCs w:val="20"/>
          <w:color w:val="auto"/>
        </w:rPr>
      </w:pPr>
      <w:r>
        <w:rPr>
          <w:rFonts w:ascii="Arial" w:cs="Arial" w:eastAsia="Arial" w:hAnsi="Arial"/>
          <w:sz w:val="12"/>
          <w:szCs w:val="12"/>
          <w:color w:val="FFFFFF"/>
        </w:rPr>
        <w:t>Proposal 3</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FFFFFF"/>
        </w:rPr>
        <w:t>Proposal 4</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FFFFFF"/>
        </w:rPr>
        <w:t>Proposal 5</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FFFFFF"/>
        </w:rPr>
        <w:t>Proposal 6</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FFFFFF"/>
        </w:rPr>
        <w:t>Stockholder</w:t>
      </w:r>
    </w:p>
    <w:p>
      <w:pPr>
        <w:spacing w:after="0" w:line="224" w:lineRule="auto"/>
        <w:rPr>
          <w:sz w:val="20"/>
          <w:szCs w:val="20"/>
          <w:color w:val="auto"/>
        </w:rPr>
      </w:pPr>
      <w:r>
        <w:rPr>
          <w:rFonts w:ascii="Arial" w:cs="Arial" w:eastAsia="Arial" w:hAnsi="Arial"/>
          <w:sz w:val="12"/>
          <w:szCs w:val="12"/>
          <w:color w:val="FFFFFF"/>
        </w:rPr>
        <w:t>Proposals and</w:t>
      </w:r>
    </w:p>
    <w:p>
      <w:pPr>
        <w:spacing w:after="0"/>
        <w:rPr>
          <w:sz w:val="20"/>
          <w:szCs w:val="20"/>
          <w:color w:val="auto"/>
        </w:rPr>
      </w:pPr>
      <w:r>
        <w:rPr>
          <w:rFonts w:ascii="Arial" w:cs="Arial" w:eastAsia="Arial" w:hAnsi="Arial"/>
          <w:sz w:val="12"/>
          <w:szCs w:val="12"/>
          <w:color w:val="FFFFFF"/>
        </w:rPr>
        <w:t>Other Matters</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Delinquent</w:t>
      </w:r>
    </w:p>
    <w:p>
      <w:pPr>
        <w:spacing w:after="0" w:line="224" w:lineRule="auto"/>
        <w:rPr>
          <w:sz w:val="20"/>
          <w:szCs w:val="20"/>
          <w:color w:val="auto"/>
        </w:rPr>
      </w:pPr>
      <w:r>
        <w:rPr>
          <w:rFonts w:ascii="Arial" w:cs="Arial" w:eastAsia="Arial" w:hAnsi="Arial"/>
          <w:sz w:val="12"/>
          <w:szCs w:val="12"/>
          <w:color w:val="FFFFFF"/>
        </w:rPr>
        <w:t>Section 16(a)</w:t>
      </w:r>
    </w:p>
    <w:p>
      <w:pPr>
        <w:spacing w:after="0"/>
        <w:rPr>
          <w:sz w:val="20"/>
          <w:szCs w:val="20"/>
          <w:color w:val="auto"/>
        </w:rPr>
      </w:pPr>
      <w:r>
        <w:rPr>
          <w:rFonts w:ascii="Arial" w:cs="Arial" w:eastAsia="Arial" w:hAnsi="Arial"/>
          <w:sz w:val="12"/>
          <w:szCs w:val="12"/>
          <w:color w:val="FFFFFF"/>
        </w:rPr>
        <w:t>Reports</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Other</w:t>
      </w:r>
    </w:p>
    <w:p>
      <w:pPr>
        <w:spacing w:after="0" w:line="2" w:lineRule="exact"/>
        <w:rPr>
          <w:sz w:val="20"/>
          <w:szCs w:val="20"/>
          <w:color w:val="auto"/>
        </w:rPr>
      </w:pPr>
    </w:p>
    <w:p>
      <w:pPr>
        <w:spacing w:after="0"/>
        <w:rPr>
          <w:sz w:val="20"/>
          <w:szCs w:val="20"/>
          <w:color w:val="auto"/>
        </w:rPr>
      </w:pPr>
      <w:r>
        <w:rPr>
          <w:rFonts w:ascii="Arial" w:cs="Arial" w:eastAsia="Arial" w:hAnsi="Arial"/>
          <w:sz w:val="12"/>
          <w:szCs w:val="12"/>
          <w:color w:val="FFFFFF"/>
        </w:rPr>
        <w:t>Information</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Appendix A</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FFFFFF"/>
        </w:rPr>
        <w:t>Appendix B</w:t>
      </w:r>
    </w:p>
    <w:p>
      <w:pPr>
        <w:spacing w:after="0" w:line="200" w:lineRule="exact"/>
        <w:rPr>
          <w:sz w:val="20"/>
          <w:szCs w:val="20"/>
          <w:color w:val="auto"/>
        </w:rPr>
      </w:pPr>
    </w:p>
    <w:p>
      <w:pPr>
        <w:sectPr>
          <w:pgSz w:w="11900" w:h="16838" w:orient="portrait"/>
          <w:cols w:equalWidth="0" w:num="2">
            <w:col w:w="8500" w:space="720"/>
            <w:col w:w="1580"/>
          </w:cols>
          <w:pgMar w:left="320" w:top="464" w:right="7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6380"/>
        <w:spacing w:after="0"/>
        <w:tabs>
          <w:tab w:leader="none" w:pos="8500" w:val="left"/>
          <w:tab w:leader="none" w:pos="9960" w:val="left"/>
        </w:tabs>
        <w:rPr>
          <w:sz w:val="20"/>
          <w:szCs w:val="20"/>
          <w:color w:val="auto"/>
        </w:rPr>
      </w:pPr>
      <w:r>
        <w:rPr>
          <w:rFonts w:ascii="Arial" w:cs="Arial" w:eastAsia="Arial" w:hAnsi="Arial"/>
          <w:sz w:val="15"/>
          <w:szCs w:val="15"/>
          <w:b w:val="1"/>
          <w:bCs w:val="1"/>
          <w:color w:val="002B5F"/>
        </w:rPr>
        <w:t xml:space="preserve">2026 Proxy Statement  </w:t>
      </w:r>
      <w:r>
        <w:rPr>
          <w:rFonts w:ascii="Arial" w:cs="Arial" w:eastAsia="Arial" w:hAnsi="Arial"/>
          <w:sz w:val="20"/>
          <w:szCs w:val="20"/>
          <w:color w:val="002B5F"/>
        </w:rPr>
        <w:t>|</w:t>
      </w:r>
      <w:r>
        <w:rPr>
          <w:rFonts w:ascii="Arial" w:cs="Arial" w:eastAsia="Arial" w:hAnsi="Arial"/>
          <w:sz w:val="15"/>
          <w:szCs w:val="15"/>
          <w:b w:val="1"/>
          <w:bCs w:val="1"/>
          <w:color w:val="002B5F"/>
        </w:rPr>
        <w:t xml:space="preserve">  33</w:t>
      </w:r>
      <w:r>
        <w:rPr>
          <w:sz w:val="20"/>
          <w:szCs w:val="20"/>
          <w:color w:val="auto"/>
        </w:rPr>
        <w:tab/>
      </w:r>
      <w:r>
        <w:rPr>
          <w:rFonts w:ascii="Arial" w:cs="Arial" w:eastAsia="Arial" w:hAnsi="Arial"/>
          <w:sz w:val="17"/>
          <w:szCs w:val="17"/>
          <w:color w:val="auto"/>
        </w:rPr>
        <w:t xml:space="preserve">    </w:t>
      </w:r>
      <w:r>
        <w:rPr>
          <w:sz w:val="20"/>
          <w:szCs w:val="20"/>
          <w:color w:val="auto"/>
        </w:rPr>
        <w:tab/>
      </w:r>
      <w:r>
        <w:rPr>
          <w:rFonts w:ascii="Arial" w:cs="Arial" w:eastAsia="Arial" w:hAnsi="Arial"/>
          <w:sz w:val="17"/>
          <w:szCs w:val="17"/>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268605</wp:posOffset>
            </wp:positionH>
            <wp:positionV relativeFrom="paragraph">
              <wp:posOffset>-128905</wp:posOffset>
            </wp:positionV>
            <wp:extent cx="762000" cy="971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62000" cy="97155"/>
                    </a:xfrm>
                    <a:prstGeom prst="rect">
                      <a:avLst/>
                    </a:prstGeom>
                    <a:noFill/>
                  </pic:spPr>
                </pic:pic>
              </a:graphicData>
            </a:graphic>
          </wp:anchor>
        </w:drawing>
      </w:r>
    </w:p>
    <w:p>
      <w:pPr>
        <w:sectPr>
          <w:pgSz w:w="11900" w:h="16838" w:orient="portrait"/>
          <w:cols w:equalWidth="0" w:num="1">
            <w:col w:w="10800"/>
          </w:cols>
          <w:pgMar w:left="320" w:top="464" w:right="779" w:bottom="1440" w:gutter="0" w:footer="0" w:header="0"/>
          <w:type w:val="continuous"/>
        </w:sectPr>
      </w:pPr>
    </w:p>
    <w:bookmarkStart w:id="41" w:name="page42"/>
    <w:bookmarkEnd w:id="41"/>
    <w:p>
      <w:pPr>
        <w:spacing w:after="0"/>
        <w:rPr>
          <w:sz w:val="20"/>
          <w:szCs w:val="20"/>
          <w:color w:val="auto"/>
        </w:rPr>
      </w:pPr>
      <w:r>
        <w:rPr>
          <w:rFonts w:ascii="Times New Roman" w:cs="Times New Roman" w:eastAsia="Times New Roman" w:hAnsi="Times New Roman"/>
          <w:sz w:val="17"/>
          <w:szCs w:val="17"/>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268605</wp:posOffset>
            </wp:positionH>
            <wp:positionV relativeFrom="paragraph">
              <wp:posOffset>253365</wp:posOffset>
            </wp:positionV>
            <wp:extent cx="1183005" cy="745617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183005" cy="7456170"/>
                    </a:xfrm>
                    <a:prstGeom prst="rect">
                      <a:avLst/>
                    </a:prstGeom>
                    <a:noFill/>
                  </pic:spPr>
                </pic:pic>
              </a:graphicData>
            </a:graphic>
          </wp:anchor>
        </w:drawing>
      </w:r>
    </w:p>
    <w:p>
      <w:pPr>
        <w:spacing w:after="0" w:line="200" w:lineRule="exact"/>
        <w:rPr>
          <w:sz w:val="20"/>
          <w:szCs w:val="20"/>
          <w:color w:val="auto"/>
        </w:rPr>
      </w:pPr>
    </w:p>
    <w:p>
      <w:pPr>
        <w:spacing w:after="0" w:line="304" w:lineRule="exact"/>
        <w:rPr>
          <w:sz w:val="20"/>
          <w:szCs w:val="20"/>
          <w:color w:val="auto"/>
        </w:rPr>
      </w:pPr>
    </w:p>
    <w:p>
      <w:pPr>
        <w:ind w:left="1120" w:right="460" w:hanging="672"/>
        <w:spacing w:after="0" w:line="382" w:lineRule="auto"/>
        <w:tabs>
          <w:tab w:leader="none" w:pos="610" w:val="left"/>
        </w:tabs>
        <w:numPr>
          <w:ilvl w:val="0"/>
          <w:numId w:val="58"/>
        </w:numPr>
        <w:rPr>
          <w:rFonts w:ascii="Arial" w:cs="Arial" w:eastAsia="Arial" w:hAnsi="Arial"/>
          <w:sz w:val="24"/>
          <w:szCs w:val="24"/>
          <w:color w:val="auto"/>
          <w:vertAlign w:val="subscript"/>
        </w:rPr>
      </w:pPr>
      <w:r>
        <w:rPr>
          <w:rFonts w:ascii="Arial" w:cs="Arial" w:eastAsia="Arial" w:hAnsi="Arial"/>
          <w:sz w:val="24"/>
          <w:szCs w:val="24"/>
          <w:color w:val="000000"/>
          <w:vertAlign w:val="subscript"/>
        </w:rPr>
        <w:t xml:space="preserve">     </w:t>
      </w:r>
      <w:r>
        <w:rPr>
          <w:rFonts w:ascii="Arial" w:cs="Arial" w:eastAsia="Arial" w:hAnsi="Arial"/>
          <w:sz w:val="10"/>
          <w:szCs w:val="10"/>
          <w:color w:val="FFFFFF"/>
        </w:rPr>
        <w:t xml:space="preserve"> General Information</w:t>
      </w:r>
    </w:p>
    <w:p>
      <w:pPr>
        <w:spacing w:after="0" w:line="1" w:lineRule="exact"/>
        <w:rPr>
          <w:sz w:val="20"/>
          <w:szCs w:val="20"/>
          <w:color w:val="auto"/>
        </w:rPr>
      </w:pPr>
    </w:p>
    <w:p>
      <w:pPr>
        <w:ind w:left="1120"/>
        <w:spacing w:after="0"/>
        <w:rPr>
          <w:sz w:val="20"/>
          <w:szCs w:val="20"/>
          <w:color w:val="auto"/>
        </w:rPr>
      </w:pPr>
      <w:r>
        <w:rPr>
          <w:rFonts w:ascii="Arial" w:cs="Arial" w:eastAsia="Arial" w:hAnsi="Arial"/>
          <w:sz w:val="11"/>
          <w:szCs w:val="11"/>
          <w:color w:val="FFFFFF"/>
        </w:rPr>
        <w:t>General Information</w:t>
      </w:r>
    </w:p>
    <w:p>
      <w:pPr>
        <w:spacing w:after="0" w:line="3"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About Corporate</w:t>
      </w:r>
    </w:p>
    <w:p>
      <w:pPr>
        <w:ind w:left="1120"/>
        <w:spacing w:after="0" w:line="221" w:lineRule="auto"/>
        <w:rPr>
          <w:sz w:val="20"/>
          <w:szCs w:val="20"/>
          <w:color w:val="auto"/>
        </w:rPr>
      </w:pPr>
      <w:r>
        <w:rPr>
          <w:rFonts w:ascii="Arial" w:cs="Arial" w:eastAsia="Arial" w:hAnsi="Arial"/>
          <w:sz w:val="12"/>
          <w:szCs w:val="12"/>
          <w:color w:val="FFFFFF"/>
        </w:rPr>
        <w:t>Governance</w:t>
      </w:r>
    </w:p>
    <w:p>
      <w:pPr>
        <w:ind w:left="1120"/>
        <w:spacing w:after="0" w:line="222" w:lineRule="auto"/>
        <w:rPr>
          <w:sz w:val="20"/>
          <w:szCs w:val="20"/>
          <w:color w:val="auto"/>
        </w:rPr>
      </w:pPr>
      <w:r>
        <w:rPr>
          <w:rFonts w:ascii="Arial" w:cs="Arial" w:eastAsia="Arial" w:hAnsi="Arial"/>
          <w:sz w:val="12"/>
          <w:szCs w:val="12"/>
          <w:color w:val="FFFFFF"/>
        </w:rPr>
        <w:t>and the Board of</w:t>
      </w:r>
    </w:p>
    <w:p>
      <w:pPr>
        <w:spacing w:after="0" w:line="1"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Directors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Proposal 1</w:t>
      </w:r>
    </w:p>
    <w:p>
      <w:pPr>
        <w:spacing w:after="0" w:line="156" w:lineRule="exact"/>
        <w:rPr>
          <w:sz w:val="20"/>
          <w:szCs w:val="20"/>
          <w:color w:val="auto"/>
        </w:rPr>
      </w:pPr>
    </w:p>
    <w:p>
      <w:pPr>
        <w:ind w:left="1120" w:right="80"/>
        <w:spacing w:after="0" w:line="265" w:lineRule="auto"/>
        <w:rPr>
          <w:sz w:val="20"/>
          <w:szCs w:val="20"/>
          <w:color w:val="auto"/>
        </w:rPr>
      </w:pPr>
      <w:r>
        <w:rPr>
          <w:rFonts w:ascii="Arial" w:cs="Arial" w:eastAsia="Arial" w:hAnsi="Arial"/>
          <w:sz w:val="11"/>
          <w:szCs w:val="11"/>
          <w:b w:val="1"/>
          <w:bCs w:val="1"/>
          <w:color w:val="FFFFFF"/>
        </w:rPr>
        <w:t>Information Regarding Board and Committee Structure</w:t>
      </w:r>
    </w:p>
    <w:p>
      <w:pPr>
        <w:spacing w:after="0" w:line="118"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Board of Directors</w:t>
      </w:r>
    </w:p>
    <w:p>
      <w:pPr>
        <w:spacing w:after="0" w:line="2"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Compensation</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Compensation</w:t>
      </w:r>
    </w:p>
    <w:p>
      <w:pPr>
        <w:ind w:left="1120"/>
        <w:spacing w:after="0" w:line="224" w:lineRule="auto"/>
        <w:rPr>
          <w:sz w:val="20"/>
          <w:szCs w:val="20"/>
          <w:color w:val="auto"/>
        </w:rPr>
      </w:pPr>
      <w:r>
        <w:rPr>
          <w:rFonts w:ascii="Arial" w:cs="Arial" w:eastAsia="Arial" w:hAnsi="Arial"/>
          <w:sz w:val="12"/>
          <w:szCs w:val="12"/>
          <w:color w:val="FFFFFF"/>
        </w:rPr>
        <w:t>Discussion and</w:t>
      </w:r>
    </w:p>
    <w:p>
      <w:pPr>
        <w:ind w:left="1120"/>
        <w:spacing w:after="0"/>
        <w:rPr>
          <w:sz w:val="20"/>
          <w:szCs w:val="20"/>
          <w:color w:val="auto"/>
        </w:rPr>
      </w:pPr>
      <w:r>
        <w:rPr>
          <w:rFonts w:ascii="Arial" w:cs="Arial" w:eastAsia="Arial" w:hAnsi="Arial"/>
          <w:sz w:val="12"/>
          <w:szCs w:val="12"/>
          <w:color w:val="FFFFFF"/>
        </w:rPr>
        <w:t>Analysis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Report of the</w:t>
      </w:r>
    </w:p>
    <w:p>
      <w:pPr>
        <w:ind w:left="1120"/>
        <w:spacing w:after="0" w:line="224" w:lineRule="auto"/>
        <w:rPr>
          <w:sz w:val="20"/>
          <w:szCs w:val="20"/>
          <w:color w:val="auto"/>
        </w:rPr>
      </w:pPr>
      <w:r>
        <w:rPr>
          <w:rFonts w:ascii="Arial" w:cs="Arial" w:eastAsia="Arial" w:hAnsi="Arial"/>
          <w:sz w:val="12"/>
          <w:szCs w:val="12"/>
          <w:color w:val="FFFFFF"/>
        </w:rPr>
        <w:t>Compensation</w:t>
      </w:r>
    </w:p>
    <w:p>
      <w:pPr>
        <w:ind w:left="1120"/>
        <w:spacing w:after="0" w:line="222" w:lineRule="auto"/>
        <w:rPr>
          <w:sz w:val="20"/>
          <w:szCs w:val="20"/>
          <w:color w:val="auto"/>
        </w:rPr>
      </w:pPr>
      <w:r>
        <w:rPr>
          <w:rFonts w:ascii="Arial" w:cs="Arial" w:eastAsia="Arial" w:hAnsi="Arial"/>
          <w:sz w:val="12"/>
          <w:szCs w:val="12"/>
          <w:color w:val="FFFFFF"/>
        </w:rPr>
        <w:t>and Human</w:t>
      </w:r>
    </w:p>
    <w:p>
      <w:pPr>
        <w:ind w:left="1120"/>
        <w:spacing w:after="0" w:line="222" w:lineRule="auto"/>
        <w:rPr>
          <w:sz w:val="20"/>
          <w:szCs w:val="20"/>
          <w:color w:val="auto"/>
        </w:rPr>
      </w:pPr>
      <w:r>
        <w:rPr>
          <w:rFonts w:ascii="Arial" w:cs="Arial" w:eastAsia="Arial" w:hAnsi="Arial"/>
          <w:sz w:val="12"/>
          <w:szCs w:val="12"/>
          <w:color w:val="FFFFFF"/>
        </w:rPr>
        <w:t>Resources</w:t>
      </w:r>
    </w:p>
    <w:p>
      <w:pPr>
        <w:ind w:left="1120"/>
        <w:spacing w:after="0" w:line="222" w:lineRule="auto"/>
        <w:rPr>
          <w:sz w:val="20"/>
          <w:szCs w:val="20"/>
          <w:color w:val="auto"/>
        </w:rPr>
      </w:pPr>
      <w:r>
        <w:rPr>
          <w:rFonts w:ascii="Arial" w:cs="Arial" w:eastAsia="Arial" w:hAnsi="Arial"/>
          <w:sz w:val="12"/>
          <w:szCs w:val="12"/>
          <w:color w:val="FFFFFF"/>
        </w:rPr>
        <w:t>Committee of the</w:t>
      </w:r>
    </w:p>
    <w:p>
      <w:pPr>
        <w:ind w:left="1120"/>
        <w:spacing w:after="0"/>
        <w:rPr>
          <w:sz w:val="20"/>
          <w:szCs w:val="20"/>
          <w:color w:val="auto"/>
        </w:rPr>
      </w:pPr>
      <w:r>
        <w:rPr>
          <w:rFonts w:ascii="Arial" w:cs="Arial" w:eastAsia="Arial" w:hAnsi="Arial"/>
          <w:sz w:val="12"/>
          <w:szCs w:val="12"/>
          <w:color w:val="FFFFFF"/>
        </w:rPr>
        <w:t>Board of Directors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Compensation of</w:t>
      </w:r>
    </w:p>
    <w:p>
      <w:pPr>
        <w:ind w:left="1120"/>
        <w:spacing w:after="0" w:line="224" w:lineRule="auto"/>
        <w:rPr>
          <w:sz w:val="20"/>
          <w:szCs w:val="20"/>
          <w:color w:val="auto"/>
        </w:rPr>
      </w:pPr>
      <w:r>
        <w:rPr>
          <w:rFonts w:ascii="Arial" w:cs="Arial" w:eastAsia="Arial" w:hAnsi="Arial"/>
          <w:sz w:val="12"/>
          <w:szCs w:val="12"/>
          <w:color w:val="FFFFFF"/>
        </w:rPr>
        <w:t>Named Executive</w:t>
      </w:r>
    </w:p>
    <w:p>
      <w:pPr>
        <w:ind w:left="1120"/>
        <w:spacing w:after="0"/>
        <w:rPr>
          <w:sz w:val="20"/>
          <w:szCs w:val="20"/>
          <w:color w:val="auto"/>
        </w:rPr>
      </w:pPr>
      <w:r>
        <w:rPr>
          <w:rFonts w:ascii="Arial" w:cs="Arial" w:eastAsia="Arial" w:hAnsi="Arial"/>
          <w:sz w:val="12"/>
          <w:szCs w:val="12"/>
          <w:color w:val="FFFFFF"/>
        </w:rPr>
        <w:t>Officers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Pay Versus</w:t>
      </w:r>
    </w:p>
    <w:p>
      <w:pPr>
        <w:ind w:left="1120"/>
        <w:spacing w:after="0" w:line="224" w:lineRule="auto"/>
        <w:rPr>
          <w:sz w:val="20"/>
          <w:szCs w:val="20"/>
          <w:color w:val="auto"/>
        </w:rPr>
      </w:pPr>
      <w:r>
        <w:rPr>
          <w:rFonts w:ascii="Arial" w:cs="Arial" w:eastAsia="Arial" w:hAnsi="Arial"/>
          <w:sz w:val="12"/>
          <w:szCs w:val="12"/>
          <w:color w:val="FFFFFF"/>
        </w:rPr>
        <w:t>Performance</w:t>
      </w:r>
    </w:p>
    <w:p>
      <w:pPr>
        <w:ind w:left="1120"/>
        <w:spacing w:after="0"/>
        <w:rPr>
          <w:sz w:val="20"/>
          <w:szCs w:val="20"/>
          <w:color w:val="auto"/>
        </w:rPr>
      </w:pPr>
      <w:r>
        <w:rPr>
          <w:rFonts w:ascii="Arial" w:cs="Arial" w:eastAsia="Arial" w:hAnsi="Arial"/>
          <w:sz w:val="12"/>
          <w:szCs w:val="12"/>
          <w:color w:val="FFFFFF"/>
        </w:rPr>
        <w:t>Disclosure</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Security</w:t>
      </w:r>
    </w:p>
    <w:p>
      <w:pPr>
        <w:ind w:left="1120"/>
        <w:spacing w:after="0" w:line="224" w:lineRule="auto"/>
        <w:rPr>
          <w:sz w:val="20"/>
          <w:szCs w:val="20"/>
          <w:color w:val="auto"/>
        </w:rPr>
      </w:pPr>
      <w:r>
        <w:rPr>
          <w:rFonts w:ascii="Arial" w:cs="Arial" w:eastAsia="Arial" w:hAnsi="Arial"/>
          <w:sz w:val="12"/>
          <w:szCs w:val="12"/>
          <w:color w:val="FFFFFF"/>
        </w:rPr>
        <w:t>Ownership of</w:t>
      </w:r>
    </w:p>
    <w:p>
      <w:pPr>
        <w:ind w:left="1120"/>
        <w:spacing w:after="0" w:line="222" w:lineRule="auto"/>
        <w:rPr>
          <w:sz w:val="20"/>
          <w:szCs w:val="20"/>
          <w:color w:val="auto"/>
        </w:rPr>
      </w:pPr>
      <w:r>
        <w:rPr>
          <w:rFonts w:ascii="Arial" w:cs="Arial" w:eastAsia="Arial" w:hAnsi="Arial"/>
          <w:sz w:val="12"/>
          <w:szCs w:val="12"/>
          <w:color w:val="FFFFFF"/>
        </w:rPr>
        <w:t>Certain Beneficial</w:t>
      </w:r>
    </w:p>
    <w:p>
      <w:pPr>
        <w:ind w:left="1120"/>
        <w:spacing w:after="0" w:line="222" w:lineRule="auto"/>
        <w:rPr>
          <w:sz w:val="20"/>
          <w:szCs w:val="20"/>
          <w:color w:val="auto"/>
        </w:rPr>
      </w:pPr>
      <w:r>
        <w:rPr>
          <w:rFonts w:ascii="Arial" w:cs="Arial" w:eastAsia="Arial" w:hAnsi="Arial"/>
          <w:sz w:val="12"/>
          <w:szCs w:val="12"/>
          <w:color w:val="FFFFFF"/>
        </w:rPr>
        <w:t>Owners and</w:t>
      </w:r>
    </w:p>
    <w:p>
      <w:pPr>
        <w:ind w:left="1120"/>
        <w:spacing w:after="0"/>
        <w:rPr>
          <w:sz w:val="20"/>
          <w:szCs w:val="20"/>
          <w:color w:val="auto"/>
        </w:rPr>
      </w:pPr>
      <w:r>
        <w:rPr>
          <w:rFonts w:ascii="Arial" w:cs="Arial" w:eastAsia="Arial" w:hAnsi="Arial"/>
          <w:sz w:val="12"/>
          <w:szCs w:val="12"/>
          <w:color w:val="FFFFFF"/>
        </w:rPr>
        <w:t>Management</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Certain</w:t>
      </w:r>
    </w:p>
    <w:p>
      <w:pPr>
        <w:ind w:left="1120"/>
        <w:spacing w:after="0" w:line="224" w:lineRule="auto"/>
        <w:rPr>
          <w:sz w:val="20"/>
          <w:szCs w:val="20"/>
          <w:color w:val="auto"/>
        </w:rPr>
      </w:pPr>
      <w:r>
        <w:rPr>
          <w:rFonts w:ascii="Arial" w:cs="Arial" w:eastAsia="Arial" w:hAnsi="Arial"/>
          <w:sz w:val="12"/>
          <w:szCs w:val="12"/>
          <w:color w:val="FFFFFF"/>
        </w:rPr>
        <w:t>Relationships and</w:t>
      </w:r>
    </w:p>
    <w:p>
      <w:pPr>
        <w:ind w:left="1120"/>
        <w:spacing w:after="0" w:line="222" w:lineRule="auto"/>
        <w:rPr>
          <w:sz w:val="20"/>
          <w:szCs w:val="20"/>
          <w:color w:val="auto"/>
        </w:rPr>
      </w:pPr>
      <w:r>
        <w:rPr>
          <w:rFonts w:ascii="Arial" w:cs="Arial" w:eastAsia="Arial" w:hAnsi="Arial"/>
          <w:sz w:val="12"/>
          <w:szCs w:val="12"/>
          <w:color w:val="FFFFFF"/>
        </w:rPr>
        <w:t>Related Party</w:t>
      </w:r>
    </w:p>
    <w:p>
      <w:pPr>
        <w:ind w:left="1120"/>
        <w:spacing w:after="0"/>
        <w:rPr>
          <w:sz w:val="20"/>
          <w:szCs w:val="20"/>
          <w:color w:val="auto"/>
        </w:rPr>
      </w:pPr>
      <w:r>
        <w:rPr>
          <w:rFonts w:ascii="Arial" w:cs="Arial" w:eastAsia="Arial" w:hAnsi="Arial"/>
          <w:sz w:val="12"/>
          <w:szCs w:val="12"/>
          <w:color w:val="FFFFFF"/>
        </w:rPr>
        <w:t>Transactions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Proposal 2</w:t>
      </w:r>
    </w:p>
    <w:p>
      <w:pPr>
        <w:spacing w:after="0" w:line="156"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Report of the</w:t>
      </w:r>
    </w:p>
    <w:p>
      <w:pPr>
        <w:ind w:left="1120"/>
        <w:spacing w:after="0" w:line="224" w:lineRule="auto"/>
        <w:rPr>
          <w:sz w:val="20"/>
          <w:szCs w:val="20"/>
          <w:color w:val="auto"/>
        </w:rPr>
      </w:pPr>
      <w:r>
        <w:rPr>
          <w:rFonts w:ascii="Arial" w:cs="Arial" w:eastAsia="Arial" w:hAnsi="Arial"/>
          <w:sz w:val="12"/>
          <w:szCs w:val="12"/>
          <w:color w:val="FFFFFF"/>
        </w:rPr>
        <w:t>Audit and Risk</w:t>
      </w:r>
    </w:p>
    <w:p>
      <w:pPr>
        <w:ind w:left="1120"/>
        <w:spacing w:after="0" w:line="222" w:lineRule="auto"/>
        <w:rPr>
          <w:sz w:val="20"/>
          <w:szCs w:val="20"/>
          <w:color w:val="auto"/>
        </w:rPr>
      </w:pPr>
      <w:r>
        <w:rPr>
          <w:rFonts w:ascii="Arial" w:cs="Arial" w:eastAsia="Arial" w:hAnsi="Arial"/>
          <w:sz w:val="12"/>
          <w:szCs w:val="12"/>
          <w:color w:val="FFFFFF"/>
        </w:rPr>
        <w:t>Committee of the</w:t>
      </w:r>
    </w:p>
    <w:p>
      <w:pPr>
        <w:ind w:left="1120"/>
        <w:spacing w:after="0"/>
        <w:rPr>
          <w:sz w:val="20"/>
          <w:szCs w:val="20"/>
          <w:color w:val="auto"/>
        </w:rPr>
      </w:pPr>
      <w:r>
        <w:rPr>
          <w:rFonts w:ascii="Arial" w:cs="Arial" w:eastAsia="Arial" w:hAnsi="Arial"/>
          <w:sz w:val="12"/>
          <w:szCs w:val="12"/>
          <w:color w:val="FFFFFF"/>
        </w:rPr>
        <w:t>Board of Directors</w:t>
      </w:r>
    </w:p>
    <w:p>
      <w:pPr>
        <w:spacing w:after="0" w:line="144" w:lineRule="exact"/>
        <w:rPr>
          <w:sz w:val="20"/>
          <w:szCs w:val="20"/>
          <w:color w:val="auto"/>
        </w:rPr>
      </w:pPr>
    </w:p>
    <w:p>
      <w:pPr>
        <w:jc w:val="center"/>
        <w:ind w:left="620"/>
        <w:spacing w:after="0"/>
        <w:rPr>
          <w:sz w:val="20"/>
          <w:szCs w:val="20"/>
          <w:color w:val="auto"/>
        </w:rPr>
      </w:pPr>
      <w:r>
        <w:rPr>
          <w:rFonts w:ascii="Arial" w:cs="Arial" w:eastAsia="Arial" w:hAnsi="Arial"/>
          <w:sz w:val="12"/>
          <w:szCs w:val="12"/>
          <w:color w:val="FFFFFF"/>
        </w:rPr>
        <w:t>Proposal 3</w:t>
      </w:r>
    </w:p>
    <w:p>
      <w:pPr>
        <w:spacing w:after="0" w:line="156" w:lineRule="exact"/>
        <w:rPr>
          <w:sz w:val="20"/>
          <w:szCs w:val="20"/>
          <w:color w:val="auto"/>
        </w:rPr>
      </w:pPr>
    </w:p>
    <w:p>
      <w:pPr>
        <w:jc w:val="center"/>
        <w:ind w:left="620"/>
        <w:spacing w:after="0"/>
        <w:rPr>
          <w:sz w:val="20"/>
          <w:szCs w:val="20"/>
          <w:color w:val="auto"/>
        </w:rPr>
      </w:pPr>
      <w:r>
        <w:rPr>
          <w:rFonts w:ascii="Arial" w:cs="Arial" w:eastAsia="Arial" w:hAnsi="Arial"/>
          <w:sz w:val="12"/>
          <w:szCs w:val="12"/>
          <w:color w:val="FFFFFF"/>
        </w:rPr>
        <w:t>Proposal 4</w:t>
      </w:r>
    </w:p>
    <w:p>
      <w:pPr>
        <w:spacing w:after="0" w:line="156" w:lineRule="exact"/>
        <w:rPr>
          <w:sz w:val="20"/>
          <w:szCs w:val="20"/>
          <w:color w:val="auto"/>
        </w:rPr>
      </w:pPr>
    </w:p>
    <w:p>
      <w:pPr>
        <w:jc w:val="center"/>
        <w:ind w:left="620"/>
        <w:spacing w:after="0"/>
        <w:rPr>
          <w:sz w:val="20"/>
          <w:szCs w:val="20"/>
          <w:color w:val="auto"/>
        </w:rPr>
      </w:pPr>
      <w:r>
        <w:rPr>
          <w:rFonts w:ascii="Arial" w:cs="Arial" w:eastAsia="Arial" w:hAnsi="Arial"/>
          <w:sz w:val="12"/>
          <w:szCs w:val="12"/>
          <w:color w:val="FFFFFF"/>
        </w:rPr>
        <w:t>Proposal 5</w:t>
      </w:r>
    </w:p>
    <w:p>
      <w:pPr>
        <w:spacing w:after="0" w:line="156"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Proposal 6</w:t>
      </w:r>
    </w:p>
    <w:p>
      <w:pPr>
        <w:spacing w:after="0" w:line="156"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Stockholder</w:t>
      </w:r>
    </w:p>
    <w:p>
      <w:pPr>
        <w:ind w:left="1120"/>
        <w:spacing w:after="0" w:line="224" w:lineRule="auto"/>
        <w:rPr>
          <w:sz w:val="20"/>
          <w:szCs w:val="20"/>
          <w:color w:val="auto"/>
        </w:rPr>
      </w:pPr>
      <w:r>
        <w:rPr>
          <w:rFonts w:ascii="Arial" w:cs="Arial" w:eastAsia="Arial" w:hAnsi="Arial"/>
          <w:sz w:val="12"/>
          <w:szCs w:val="12"/>
          <w:color w:val="FFFFFF"/>
        </w:rPr>
        <w:t>Proposals and</w:t>
      </w:r>
    </w:p>
    <w:p>
      <w:pPr>
        <w:ind w:left="1120"/>
        <w:spacing w:after="0"/>
        <w:rPr>
          <w:sz w:val="20"/>
          <w:szCs w:val="20"/>
          <w:color w:val="auto"/>
        </w:rPr>
      </w:pPr>
      <w:r>
        <w:rPr>
          <w:rFonts w:ascii="Arial" w:cs="Arial" w:eastAsia="Arial" w:hAnsi="Arial"/>
          <w:sz w:val="12"/>
          <w:szCs w:val="12"/>
          <w:color w:val="FFFFFF"/>
        </w:rPr>
        <w:t>Other Matters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Delinquent</w:t>
      </w:r>
    </w:p>
    <w:p>
      <w:pPr>
        <w:ind w:left="1120"/>
        <w:spacing w:after="0" w:line="224" w:lineRule="auto"/>
        <w:rPr>
          <w:sz w:val="20"/>
          <w:szCs w:val="20"/>
          <w:color w:val="auto"/>
        </w:rPr>
      </w:pPr>
      <w:r>
        <w:rPr>
          <w:rFonts w:ascii="Arial" w:cs="Arial" w:eastAsia="Arial" w:hAnsi="Arial"/>
          <w:sz w:val="12"/>
          <w:szCs w:val="12"/>
          <w:color w:val="FFFFFF"/>
        </w:rPr>
        <w:t>Section 16(a)</w:t>
      </w:r>
    </w:p>
    <w:p>
      <w:pPr>
        <w:ind w:left="1120"/>
        <w:spacing w:after="0"/>
        <w:rPr>
          <w:sz w:val="20"/>
          <w:szCs w:val="20"/>
          <w:color w:val="auto"/>
        </w:rPr>
      </w:pPr>
      <w:r>
        <w:rPr>
          <w:rFonts w:ascii="Arial" w:cs="Arial" w:eastAsia="Arial" w:hAnsi="Arial"/>
          <w:sz w:val="12"/>
          <w:szCs w:val="12"/>
          <w:color w:val="FFFFFF"/>
        </w:rPr>
        <w:t>Reports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Other</w:t>
      </w:r>
    </w:p>
    <w:p>
      <w:pPr>
        <w:spacing w:after="0" w:line="2"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Information</w:t>
      </w:r>
    </w:p>
    <w:p>
      <w:pPr>
        <w:spacing w:after="0" w:line="144" w:lineRule="exact"/>
        <w:rPr>
          <w:sz w:val="20"/>
          <w:szCs w:val="20"/>
          <w:color w:val="auto"/>
        </w:rPr>
      </w:pPr>
    </w:p>
    <w:p>
      <w:pPr>
        <w:jc w:val="center"/>
        <w:ind w:left="660"/>
        <w:spacing w:after="0"/>
        <w:rPr>
          <w:sz w:val="20"/>
          <w:szCs w:val="20"/>
          <w:color w:val="auto"/>
        </w:rPr>
      </w:pPr>
      <w:r>
        <w:rPr>
          <w:rFonts w:ascii="Arial" w:cs="Arial" w:eastAsia="Arial" w:hAnsi="Arial"/>
          <w:sz w:val="12"/>
          <w:szCs w:val="12"/>
          <w:color w:val="FFFFFF"/>
        </w:rPr>
        <w:t>Appendix A</w:t>
      </w:r>
    </w:p>
    <w:p>
      <w:pPr>
        <w:spacing w:after="0" w:line="156" w:lineRule="exact"/>
        <w:rPr>
          <w:sz w:val="20"/>
          <w:szCs w:val="20"/>
          <w:color w:val="auto"/>
        </w:rPr>
      </w:pPr>
    </w:p>
    <w:p>
      <w:pPr>
        <w:jc w:val="center"/>
        <w:ind w:left="660"/>
        <w:spacing w:after="0"/>
        <w:rPr>
          <w:sz w:val="20"/>
          <w:szCs w:val="20"/>
          <w:color w:val="auto"/>
        </w:rPr>
      </w:pPr>
      <w:r>
        <w:rPr>
          <w:rFonts w:ascii="Arial" w:cs="Arial" w:eastAsia="Arial" w:hAnsi="Arial"/>
          <w:sz w:val="12"/>
          <w:szCs w:val="12"/>
          <w:color w:val="FFFFFF"/>
        </w:rPr>
        <w:t>Appendix 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273" w:right="360" w:hanging="273"/>
        <w:spacing w:after="0" w:line="287" w:lineRule="auto"/>
        <w:tabs>
          <w:tab w:leader="none" w:pos="273" w:val="left"/>
        </w:tabs>
        <w:numPr>
          <w:ilvl w:val="0"/>
          <w:numId w:val="59"/>
        </w:numPr>
        <w:rPr>
          <w:rFonts w:ascii="Arial" w:cs="Arial" w:eastAsia="Arial" w:hAnsi="Arial"/>
          <w:sz w:val="15"/>
          <w:szCs w:val="15"/>
          <w:color w:val="auto"/>
        </w:rPr>
      </w:pPr>
      <w:r>
        <w:rPr>
          <w:rFonts w:ascii="Arial" w:cs="Arial" w:eastAsia="Arial" w:hAnsi="Arial"/>
          <w:sz w:val="15"/>
          <w:szCs w:val="15"/>
          <w:color w:val="auto"/>
        </w:rPr>
        <w:t>mix of fixed and performance-based, annual and long-term, and cash and equity compensation, encouraging decisions and actions that are in our long-term best interests;</w:t>
      </w:r>
    </w:p>
    <w:p>
      <w:pPr>
        <w:spacing w:after="0" w:line="59" w:lineRule="exact"/>
        <w:rPr>
          <w:rFonts w:ascii="Arial" w:cs="Arial" w:eastAsia="Arial" w:hAnsi="Arial"/>
          <w:sz w:val="15"/>
          <w:szCs w:val="15"/>
          <w:color w:val="auto"/>
        </w:rPr>
      </w:pPr>
    </w:p>
    <w:p>
      <w:pPr>
        <w:ind w:left="273" w:right="220" w:hanging="273"/>
        <w:spacing w:after="0" w:line="287" w:lineRule="auto"/>
        <w:tabs>
          <w:tab w:leader="none" w:pos="273" w:val="left"/>
        </w:tabs>
        <w:numPr>
          <w:ilvl w:val="0"/>
          <w:numId w:val="59"/>
        </w:numPr>
        <w:rPr>
          <w:rFonts w:ascii="Arial" w:cs="Arial" w:eastAsia="Arial" w:hAnsi="Arial"/>
          <w:sz w:val="15"/>
          <w:szCs w:val="15"/>
          <w:color w:val="auto"/>
        </w:rPr>
      </w:pPr>
      <w:r>
        <w:rPr>
          <w:rFonts w:ascii="Arial" w:cs="Arial" w:eastAsia="Arial" w:hAnsi="Arial"/>
          <w:sz w:val="15"/>
          <w:szCs w:val="15"/>
          <w:color w:val="auto"/>
        </w:rPr>
        <w:t>specified discretionary authority is maintained by the Compensation Committee to adjust annual bonus funding and payments, which reduces business risk associated with our cash bonus program;</w:t>
      </w:r>
    </w:p>
    <w:p>
      <w:pPr>
        <w:spacing w:after="0" w:line="59" w:lineRule="exact"/>
        <w:rPr>
          <w:rFonts w:ascii="Arial" w:cs="Arial" w:eastAsia="Arial" w:hAnsi="Arial"/>
          <w:sz w:val="15"/>
          <w:szCs w:val="15"/>
          <w:color w:val="auto"/>
        </w:rPr>
      </w:pPr>
    </w:p>
    <w:p>
      <w:pPr>
        <w:ind w:left="273" w:right="360" w:hanging="273"/>
        <w:spacing w:after="0" w:line="268" w:lineRule="auto"/>
        <w:tabs>
          <w:tab w:leader="none" w:pos="273" w:val="left"/>
        </w:tabs>
        <w:numPr>
          <w:ilvl w:val="0"/>
          <w:numId w:val="59"/>
        </w:numPr>
        <w:rPr>
          <w:rFonts w:ascii="Arial" w:cs="Arial" w:eastAsia="Arial" w:hAnsi="Arial"/>
          <w:sz w:val="15"/>
          <w:szCs w:val="15"/>
          <w:color w:val="auto"/>
        </w:rPr>
      </w:pPr>
      <w:r>
        <w:rPr>
          <w:rFonts w:ascii="Arial" w:cs="Arial" w:eastAsia="Arial" w:hAnsi="Arial"/>
          <w:sz w:val="15"/>
          <w:szCs w:val="15"/>
          <w:color w:val="auto"/>
        </w:rPr>
        <w:t>long-term equity incentive awards, including performance-based awards, vest over a period of time, and as a result of the longer time horizon to receive the value of an equity award, the prospect of short-term or risky behavior is mitigated;</w:t>
      </w:r>
    </w:p>
    <w:p>
      <w:pPr>
        <w:spacing w:after="0" w:line="73" w:lineRule="exact"/>
        <w:rPr>
          <w:rFonts w:ascii="Arial" w:cs="Arial" w:eastAsia="Arial" w:hAnsi="Arial"/>
          <w:sz w:val="15"/>
          <w:szCs w:val="15"/>
          <w:color w:val="auto"/>
        </w:rPr>
      </w:pPr>
    </w:p>
    <w:p>
      <w:pPr>
        <w:ind w:left="273" w:right="420" w:hanging="273"/>
        <w:spacing w:after="0" w:line="287" w:lineRule="auto"/>
        <w:tabs>
          <w:tab w:leader="none" w:pos="273" w:val="left"/>
        </w:tabs>
        <w:numPr>
          <w:ilvl w:val="0"/>
          <w:numId w:val="59"/>
        </w:numPr>
        <w:rPr>
          <w:rFonts w:ascii="Arial" w:cs="Arial" w:eastAsia="Arial" w:hAnsi="Arial"/>
          <w:sz w:val="15"/>
          <w:szCs w:val="15"/>
          <w:color w:val="auto"/>
        </w:rPr>
      </w:pPr>
      <w:r>
        <w:rPr>
          <w:rFonts w:ascii="Arial" w:cs="Arial" w:eastAsia="Arial" w:hAnsi="Arial"/>
          <w:sz w:val="15"/>
          <w:szCs w:val="15"/>
          <w:color w:val="auto"/>
        </w:rPr>
        <w:t>use of more than one long-term equity incentive vehicle mitigates the risk of any one vehicle creating undue incentive to take on excessive risk;</w:t>
      </w:r>
    </w:p>
    <w:p>
      <w:pPr>
        <w:spacing w:after="0" w:line="59" w:lineRule="exact"/>
        <w:rPr>
          <w:rFonts w:ascii="Arial" w:cs="Arial" w:eastAsia="Arial" w:hAnsi="Arial"/>
          <w:sz w:val="15"/>
          <w:szCs w:val="15"/>
          <w:color w:val="auto"/>
        </w:rPr>
      </w:pPr>
    </w:p>
    <w:p>
      <w:pPr>
        <w:ind w:left="273" w:right="140" w:hanging="273"/>
        <w:spacing w:after="0" w:line="287" w:lineRule="auto"/>
        <w:tabs>
          <w:tab w:leader="none" w:pos="273" w:val="left"/>
        </w:tabs>
        <w:numPr>
          <w:ilvl w:val="0"/>
          <w:numId w:val="59"/>
        </w:numPr>
        <w:rPr>
          <w:rFonts w:ascii="Arial" w:cs="Arial" w:eastAsia="Arial" w:hAnsi="Arial"/>
          <w:sz w:val="15"/>
          <w:szCs w:val="15"/>
          <w:color w:val="auto"/>
        </w:rPr>
      </w:pPr>
      <w:r>
        <w:rPr>
          <w:rFonts w:ascii="Arial" w:cs="Arial" w:eastAsia="Arial" w:hAnsi="Arial"/>
          <w:sz w:val="15"/>
          <w:szCs w:val="15"/>
          <w:color w:val="auto"/>
        </w:rPr>
        <w:t>stock ownership requirements for all executive officers and anti-hedging policies, which ensure that the interests of our executives remain aligned with the interests of our stockholders; and</w:t>
      </w:r>
    </w:p>
    <w:p>
      <w:pPr>
        <w:spacing w:after="0" w:line="59" w:lineRule="exact"/>
        <w:rPr>
          <w:rFonts w:ascii="Arial" w:cs="Arial" w:eastAsia="Arial" w:hAnsi="Arial"/>
          <w:sz w:val="15"/>
          <w:szCs w:val="15"/>
          <w:color w:val="auto"/>
        </w:rPr>
      </w:pPr>
    </w:p>
    <w:p>
      <w:pPr>
        <w:ind w:left="273" w:right="220" w:hanging="273"/>
        <w:spacing w:after="0" w:line="287" w:lineRule="auto"/>
        <w:tabs>
          <w:tab w:leader="none" w:pos="273" w:val="left"/>
        </w:tabs>
        <w:numPr>
          <w:ilvl w:val="0"/>
          <w:numId w:val="59"/>
        </w:numPr>
        <w:rPr>
          <w:rFonts w:ascii="Arial" w:cs="Arial" w:eastAsia="Arial" w:hAnsi="Arial"/>
          <w:sz w:val="15"/>
          <w:szCs w:val="15"/>
          <w:color w:val="auto"/>
        </w:rPr>
      </w:pPr>
      <w:r>
        <w:rPr>
          <w:rFonts w:ascii="Arial" w:cs="Arial" w:eastAsia="Arial" w:hAnsi="Arial"/>
          <w:sz w:val="15"/>
          <w:szCs w:val="15"/>
          <w:color w:val="auto"/>
        </w:rPr>
        <w:t>clawback policies that help to mitigate the possibility of short-term risk-taking at the expense of long-term value creation.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-1742440</wp:posOffset>
            </wp:positionH>
            <wp:positionV relativeFrom="paragraph">
              <wp:posOffset>-2506345</wp:posOffset>
            </wp:positionV>
            <wp:extent cx="7181215" cy="5334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81215" cy="53340"/>
                    </a:xfrm>
                    <a:prstGeom prst="rect">
                      <a:avLst/>
                    </a:prstGeom>
                    <a:noFill/>
                  </pic:spPr>
                </pic:pic>
              </a:graphicData>
            </a:graphic>
          </wp:anchor>
        </w:drawing>
      </w:r>
    </w:p>
    <w:p>
      <w:pPr>
        <w:spacing w:after="0" w:line="147" w:lineRule="exact"/>
        <w:rPr>
          <w:sz w:val="20"/>
          <w:szCs w:val="20"/>
          <w:color w:val="auto"/>
        </w:rPr>
      </w:pPr>
    </w:p>
    <w:tbl>
      <w:tblPr>
        <w:tblLayout w:type="fixed"/>
        <w:tblInd w:w="13" w:type="dxa"/>
        <w:tblCellMar>
          <w:top w:w="0" w:type="dxa"/>
          <w:left w:w="0" w:type="dxa"/>
          <w:bottom w:w="0" w:type="dxa"/>
          <w:right w:w="0" w:type="dxa"/>
        </w:tblCellMar>
      </w:tblPr>
      <w:tr>
        <w:trPr>
          <w:trHeight w:val="226"/>
        </w:trPr>
        <w:tc>
          <w:tcPr>
            <w:tcW w:w="100" w:type="dxa"/>
            <w:vAlign w:val="bottom"/>
            <w:tcBorders>
              <w:top w:val="single" w:sz="8" w:color="002B5F"/>
            </w:tcBorders>
            <w:shd w:val="clear" w:color="auto" w:fill="F7F1EC"/>
          </w:tcPr>
          <w:p>
            <w:pPr>
              <w:ind w:left="20"/>
              <w:spacing w:after="0"/>
              <w:rPr>
                <w:sz w:val="20"/>
                <w:szCs w:val="20"/>
                <w:color w:val="auto"/>
              </w:rPr>
            </w:pPr>
            <w:r>
              <w:rPr>
                <w:rFonts w:ascii="Arial" w:cs="Arial" w:eastAsia="Arial" w:hAnsi="Arial"/>
                <w:sz w:val="15"/>
                <w:szCs w:val="15"/>
                <w:color w:val="auto"/>
              </w:rPr>
              <w:t> </w:t>
            </w:r>
          </w:p>
        </w:tc>
        <w:tc>
          <w:tcPr>
            <w:tcW w:w="7720" w:type="dxa"/>
            <w:vAlign w:val="bottom"/>
            <w:tcBorders>
              <w:top w:val="single" w:sz="8" w:color="002B5F"/>
            </w:tcBorders>
            <w:vMerge w:val="restart"/>
            <w:shd w:val="clear" w:color="auto" w:fill="F7F1EC"/>
          </w:tcPr>
          <w:p>
            <w:pPr>
              <w:ind w:left="40"/>
              <w:spacing w:after="0"/>
              <w:rPr>
                <w:sz w:val="20"/>
                <w:szCs w:val="20"/>
                <w:color w:val="auto"/>
              </w:rPr>
            </w:pPr>
            <w:r>
              <w:rPr>
                <w:rFonts w:ascii="Arial" w:cs="Arial" w:eastAsia="Arial" w:hAnsi="Arial"/>
                <w:sz w:val="24"/>
                <w:szCs w:val="24"/>
                <w:color w:val="B95827"/>
              </w:rPr>
              <w:t>Communicating with the Board of Directors</w:t>
            </w:r>
          </w:p>
        </w:tc>
        <w:tc>
          <w:tcPr>
            <w:tcW w:w="140" w:type="dxa"/>
            <w:vAlign w:val="bottom"/>
            <w:tcBorders>
              <w:top w:val="single" w:sz="8" w:color="002B5F"/>
            </w:tcBorders>
            <w:shd w:val="clear" w:color="auto" w:fill="F7F1EC"/>
          </w:tcPr>
          <w:p>
            <w:pPr>
              <w:ind w:left="80"/>
              <w:spacing w:after="0"/>
              <w:rPr>
                <w:sz w:val="20"/>
                <w:szCs w:val="20"/>
                <w:color w:val="auto"/>
              </w:rPr>
            </w:pPr>
            <w:r>
              <w:rPr>
                <w:rFonts w:ascii="Arial" w:cs="Arial" w:eastAsia="Arial" w:hAnsi="Arial"/>
                <w:sz w:val="15"/>
                <w:szCs w:val="15"/>
                <w:color w:val="auto"/>
              </w:rPr>
              <w:t> </w:t>
            </w:r>
          </w:p>
        </w:tc>
        <w:tc>
          <w:tcPr>
            <w:tcW w:w="0" w:type="dxa"/>
            <w:vAlign w:val="bottom"/>
          </w:tcPr>
          <w:p>
            <w:pPr>
              <w:spacing w:after="0"/>
              <w:rPr>
                <w:sz w:val="1"/>
                <w:szCs w:val="1"/>
                <w:color w:val="auto"/>
              </w:rPr>
            </w:pPr>
          </w:p>
        </w:tc>
      </w:tr>
      <w:tr>
        <w:trPr>
          <w:trHeight w:val="207"/>
        </w:trPr>
        <w:tc>
          <w:tcPr>
            <w:tcW w:w="100" w:type="dxa"/>
            <w:vAlign w:val="bottom"/>
            <w:shd w:val="clear" w:color="auto" w:fill="F7F1EC"/>
          </w:tcPr>
          <w:p>
            <w:pPr>
              <w:spacing w:after="0"/>
              <w:rPr>
                <w:sz w:val="18"/>
                <w:szCs w:val="18"/>
                <w:color w:val="auto"/>
              </w:rPr>
            </w:pPr>
          </w:p>
        </w:tc>
        <w:tc>
          <w:tcPr>
            <w:tcW w:w="7720" w:type="dxa"/>
            <w:vAlign w:val="bottom"/>
            <w:vMerge w:val="continue"/>
            <w:shd w:val="clear" w:color="auto" w:fill="F7F1EC"/>
          </w:tcPr>
          <w:p>
            <w:pPr>
              <w:spacing w:after="0"/>
              <w:rPr>
                <w:sz w:val="18"/>
                <w:szCs w:val="18"/>
                <w:color w:val="auto"/>
              </w:rPr>
            </w:pPr>
          </w:p>
        </w:tc>
        <w:tc>
          <w:tcPr>
            <w:tcW w:w="140" w:type="dxa"/>
            <w:vAlign w:val="bottom"/>
            <w:shd w:val="clear" w:color="auto" w:fill="F7F1EC"/>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100" w:type="dxa"/>
            <w:vAlign w:val="bottom"/>
            <w:shd w:val="clear" w:color="auto" w:fill="F7F1EC"/>
          </w:tcPr>
          <w:p>
            <w:pPr>
              <w:spacing w:after="0"/>
              <w:rPr>
                <w:sz w:val="23"/>
                <w:szCs w:val="23"/>
                <w:color w:val="auto"/>
              </w:rPr>
            </w:pPr>
          </w:p>
        </w:tc>
        <w:tc>
          <w:tcPr>
            <w:tcW w:w="7720" w:type="dxa"/>
            <w:vAlign w:val="bottom"/>
            <w:shd w:val="clear" w:color="auto" w:fill="F7F1EC"/>
          </w:tcPr>
          <w:p>
            <w:pPr>
              <w:ind w:left="40"/>
              <w:spacing w:after="0"/>
              <w:rPr>
                <w:sz w:val="20"/>
                <w:szCs w:val="20"/>
                <w:color w:val="auto"/>
              </w:rPr>
            </w:pPr>
            <w:r>
              <w:rPr>
                <w:rFonts w:ascii="Arial" w:cs="Arial" w:eastAsia="Arial" w:hAnsi="Arial"/>
                <w:sz w:val="15"/>
                <w:szCs w:val="15"/>
                <w:color w:val="auto"/>
              </w:rPr>
              <w:t>Any stockholder who wishes to contact a member of our Board of Directors may do so by writing to the following</w:t>
            </w:r>
          </w:p>
        </w:tc>
        <w:tc>
          <w:tcPr>
            <w:tcW w:w="140" w:type="dxa"/>
            <w:vAlign w:val="bottom"/>
            <w:shd w:val="clear" w:color="auto" w:fill="F7F1EC"/>
          </w:tcPr>
          <w:p>
            <w:pPr>
              <w:spacing w:after="0"/>
              <w:rPr>
                <w:sz w:val="23"/>
                <w:szCs w:val="23"/>
                <w:color w:val="auto"/>
              </w:rPr>
            </w:pPr>
          </w:p>
        </w:tc>
        <w:tc>
          <w:tcPr>
            <w:tcW w:w="0" w:type="dxa"/>
            <w:vAlign w:val="bottom"/>
          </w:tcPr>
          <w:p>
            <w:pPr>
              <w:spacing w:after="0"/>
              <w:rPr>
                <w:sz w:val="1"/>
                <w:szCs w:val="1"/>
                <w:color w:val="auto"/>
              </w:rPr>
            </w:pPr>
          </w:p>
        </w:tc>
      </w:tr>
      <w:tr>
        <w:trPr>
          <w:trHeight w:val="201"/>
        </w:trPr>
        <w:tc>
          <w:tcPr>
            <w:tcW w:w="100" w:type="dxa"/>
            <w:vAlign w:val="bottom"/>
            <w:shd w:val="clear" w:color="auto" w:fill="F7F1EC"/>
          </w:tcPr>
          <w:p>
            <w:pPr>
              <w:spacing w:after="0"/>
              <w:rPr>
                <w:sz w:val="17"/>
                <w:szCs w:val="17"/>
                <w:color w:val="auto"/>
              </w:rPr>
            </w:pPr>
          </w:p>
        </w:tc>
        <w:tc>
          <w:tcPr>
            <w:tcW w:w="7720" w:type="dxa"/>
            <w:vAlign w:val="bottom"/>
            <w:shd w:val="clear" w:color="auto" w:fill="F7F1EC"/>
          </w:tcPr>
          <w:p>
            <w:pPr>
              <w:ind w:left="40"/>
              <w:spacing w:after="0"/>
              <w:rPr>
                <w:sz w:val="20"/>
                <w:szCs w:val="20"/>
                <w:color w:val="auto"/>
              </w:rPr>
            </w:pPr>
            <w:r>
              <w:rPr>
                <w:rFonts w:ascii="Arial" w:cs="Arial" w:eastAsia="Arial" w:hAnsi="Arial"/>
                <w:sz w:val="15"/>
                <w:szCs w:val="15"/>
                <w:color w:val="auto"/>
              </w:rPr>
              <w:t>address:</w:t>
            </w:r>
          </w:p>
        </w:tc>
        <w:tc>
          <w:tcPr>
            <w:tcW w:w="140" w:type="dxa"/>
            <w:vAlign w:val="bottom"/>
            <w:shd w:val="clear" w:color="auto" w:fill="F7F1EC"/>
          </w:tcPr>
          <w:p>
            <w:pPr>
              <w:spacing w:after="0"/>
              <w:rPr>
                <w:sz w:val="17"/>
                <w:szCs w:val="17"/>
                <w:color w:val="auto"/>
              </w:rPr>
            </w:pPr>
          </w:p>
        </w:tc>
        <w:tc>
          <w:tcPr>
            <w:tcW w:w="0" w:type="dxa"/>
            <w:vAlign w:val="bottom"/>
          </w:tcPr>
          <w:p>
            <w:pPr>
              <w:spacing w:after="0"/>
              <w:rPr>
                <w:sz w:val="1"/>
                <w:szCs w:val="1"/>
                <w:color w:val="auto"/>
              </w:rPr>
            </w:pPr>
          </w:p>
        </w:tc>
      </w:tr>
      <w:tr>
        <w:trPr>
          <w:trHeight w:val="284"/>
        </w:trPr>
        <w:tc>
          <w:tcPr>
            <w:tcW w:w="100" w:type="dxa"/>
            <w:vAlign w:val="bottom"/>
            <w:shd w:val="clear" w:color="auto" w:fill="F7F1EC"/>
          </w:tcPr>
          <w:p>
            <w:pPr>
              <w:spacing w:after="0"/>
              <w:rPr>
                <w:sz w:val="24"/>
                <w:szCs w:val="24"/>
                <w:color w:val="auto"/>
              </w:rPr>
            </w:pPr>
          </w:p>
        </w:tc>
        <w:tc>
          <w:tcPr>
            <w:tcW w:w="7720" w:type="dxa"/>
            <w:vAlign w:val="bottom"/>
            <w:shd w:val="clear" w:color="auto" w:fill="F7F1EC"/>
          </w:tcPr>
          <w:p>
            <w:pPr>
              <w:jc w:val="center"/>
              <w:spacing w:after="0"/>
              <w:rPr>
                <w:sz w:val="20"/>
                <w:szCs w:val="20"/>
                <w:color w:val="auto"/>
              </w:rPr>
            </w:pPr>
            <w:r>
              <w:rPr>
                <w:rFonts w:ascii="Arial" w:cs="Arial" w:eastAsia="Arial" w:hAnsi="Arial"/>
                <w:sz w:val="15"/>
                <w:szCs w:val="15"/>
                <w:color w:val="auto"/>
              </w:rPr>
              <w:t>Board of Directors</w:t>
            </w:r>
          </w:p>
        </w:tc>
        <w:tc>
          <w:tcPr>
            <w:tcW w:w="140" w:type="dxa"/>
            <w:vAlign w:val="bottom"/>
            <w:shd w:val="clear" w:color="auto" w:fill="F7F1EC"/>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100" w:type="dxa"/>
            <w:vAlign w:val="bottom"/>
            <w:shd w:val="clear" w:color="auto" w:fill="F7F1EC"/>
          </w:tcPr>
          <w:p>
            <w:pPr>
              <w:spacing w:after="0"/>
              <w:rPr>
                <w:sz w:val="15"/>
                <w:szCs w:val="15"/>
                <w:color w:val="auto"/>
              </w:rPr>
            </w:pPr>
          </w:p>
        </w:tc>
        <w:tc>
          <w:tcPr>
            <w:tcW w:w="7720" w:type="dxa"/>
            <w:vAlign w:val="bottom"/>
            <w:shd w:val="clear" w:color="auto" w:fill="F7F1EC"/>
          </w:tcPr>
          <w:p>
            <w:pPr>
              <w:jc w:val="center"/>
              <w:spacing w:after="0"/>
              <w:rPr>
                <w:sz w:val="20"/>
                <w:szCs w:val="20"/>
                <w:color w:val="auto"/>
              </w:rPr>
            </w:pPr>
            <w:r>
              <w:rPr>
                <w:rFonts w:ascii="Arial" w:cs="Arial" w:eastAsia="Arial" w:hAnsi="Arial"/>
                <w:sz w:val="15"/>
                <w:szCs w:val="15"/>
                <w:color w:val="auto"/>
              </w:rPr>
              <w:t>c/o Secretary</w:t>
            </w:r>
          </w:p>
        </w:tc>
        <w:tc>
          <w:tcPr>
            <w:tcW w:w="140" w:type="dxa"/>
            <w:vAlign w:val="bottom"/>
            <w:shd w:val="clear" w:color="auto" w:fill="F7F1EC"/>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00" w:type="dxa"/>
            <w:vAlign w:val="bottom"/>
            <w:shd w:val="clear" w:color="auto" w:fill="F7F1EC"/>
          </w:tcPr>
          <w:p>
            <w:pPr>
              <w:spacing w:after="0"/>
              <w:rPr>
                <w:sz w:val="15"/>
                <w:szCs w:val="15"/>
                <w:color w:val="auto"/>
              </w:rPr>
            </w:pPr>
          </w:p>
        </w:tc>
        <w:tc>
          <w:tcPr>
            <w:tcW w:w="7720" w:type="dxa"/>
            <w:vAlign w:val="bottom"/>
            <w:shd w:val="clear" w:color="auto" w:fill="F7F1EC"/>
          </w:tcPr>
          <w:p>
            <w:pPr>
              <w:jc w:val="center"/>
              <w:spacing w:after="0"/>
              <w:rPr>
                <w:sz w:val="20"/>
                <w:szCs w:val="20"/>
                <w:color w:val="auto"/>
              </w:rPr>
            </w:pPr>
            <w:r>
              <w:rPr>
                <w:rFonts w:ascii="Arial" w:cs="Arial" w:eastAsia="Arial" w:hAnsi="Arial"/>
                <w:sz w:val="15"/>
                <w:szCs w:val="15"/>
                <w:color w:val="auto"/>
              </w:rPr>
              <w:t>LPL Financial Holdings Inc.</w:t>
            </w:r>
          </w:p>
        </w:tc>
        <w:tc>
          <w:tcPr>
            <w:tcW w:w="140" w:type="dxa"/>
            <w:vAlign w:val="bottom"/>
            <w:shd w:val="clear" w:color="auto" w:fill="F7F1EC"/>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00" w:type="dxa"/>
            <w:vAlign w:val="bottom"/>
            <w:shd w:val="clear" w:color="auto" w:fill="F7F1EC"/>
          </w:tcPr>
          <w:p>
            <w:pPr>
              <w:spacing w:after="0"/>
              <w:rPr>
                <w:sz w:val="15"/>
                <w:szCs w:val="15"/>
                <w:color w:val="auto"/>
              </w:rPr>
            </w:pPr>
          </w:p>
        </w:tc>
        <w:tc>
          <w:tcPr>
            <w:tcW w:w="7720" w:type="dxa"/>
            <w:vAlign w:val="bottom"/>
            <w:shd w:val="clear" w:color="auto" w:fill="F7F1EC"/>
          </w:tcPr>
          <w:p>
            <w:pPr>
              <w:jc w:val="center"/>
              <w:spacing w:after="0"/>
              <w:rPr>
                <w:sz w:val="20"/>
                <w:szCs w:val="20"/>
                <w:color w:val="auto"/>
              </w:rPr>
            </w:pPr>
            <w:r>
              <w:rPr>
                <w:rFonts w:ascii="Arial" w:cs="Arial" w:eastAsia="Arial" w:hAnsi="Arial"/>
                <w:sz w:val="15"/>
                <w:szCs w:val="15"/>
                <w:color w:val="auto"/>
              </w:rPr>
              <w:t>1055 LPL Way</w:t>
            </w:r>
          </w:p>
        </w:tc>
        <w:tc>
          <w:tcPr>
            <w:tcW w:w="140" w:type="dxa"/>
            <w:vAlign w:val="bottom"/>
            <w:shd w:val="clear" w:color="auto" w:fill="F7F1EC"/>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100" w:type="dxa"/>
            <w:vAlign w:val="bottom"/>
            <w:shd w:val="clear" w:color="auto" w:fill="F7F1EC"/>
          </w:tcPr>
          <w:p>
            <w:pPr>
              <w:spacing w:after="0"/>
              <w:rPr>
                <w:sz w:val="17"/>
                <w:szCs w:val="17"/>
                <w:color w:val="auto"/>
              </w:rPr>
            </w:pPr>
          </w:p>
        </w:tc>
        <w:tc>
          <w:tcPr>
            <w:tcW w:w="7720" w:type="dxa"/>
            <w:vAlign w:val="bottom"/>
            <w:shd w:val="clear" w:color="auto" w:fill="F7F1EC"/>
          </w:tcPr>
          <w:p>
            <w:pPr>
              <w:jc w:val="center"/>
              <w:spacing w:after="0"/>
              <w:rPr>
                <w:sz w:val="20"/>
                <w:szCs w:val="20"/>
                <w:color w:val="auto"/>
              </w:rPr>
            </w:pPr>
            <w:r>
              <w:rPr>
                <w:rFonts w:ascii="Arial" w:cs="Arial" w:eastAsia="Arial" w:hAnsi="Arial"/>
                <w:sz w:val="15"/>
                <w:szCs w:val="15"/>
                <w:color w:val="auto"/>
              </w:rPr>
              <w:t>Fort Mill, SC 29715</w:t>
            </w:r>
          </w:p>
        </w:tc>
        <w:tc>
          <w:tcPr>
            <w:tcW w:w="140" w:type="dxa"/>
            <w:vAlign w:val="bottom"/>
            <w:shd w:val="clear" w:color="auto" w:fill="F7F1EC"/>
          </w:tcPr>
          <w:p>
            <w:pPr>
              <w:spacing w:after="0"/>
              <w:rPr>
                <w:sz w:val="17"/>
                <w:szCs w:val="17"/>
                <w:color w:val="auto"/>
              </w:rPr>
            </w:pPr>
          </w:p>
        </w:tc>
        <w:tc>
          <w:tcPr>
            <w:tcW w:w="0" w:type="dxa"/>
            <w:vAlign w:val="bottom"/>
          </w:tcPr>
          <w:p>
            <w:pPr>
              <w:spacing w:after="0"/>
              <w:rPr>
                <w:sz w:val="1"/>
                <w:szCs w:val="1"/>
                <w:color w:val="auto"/>
              </w:rPr>
            </w:pPr>
          </w:p>
        </w:tc>
      </w:tr>
      <w:tr>
        <w:trPr>
          <w:trHeight w:val="284"/>
        </w:trPr>
        <w:tc>
          <w:tcPr>
            <w:tcW w:w="100" w:type="dxa"/>
            <w:vAlign w:val="bottom"/>
            <w:shd w:val="clear" w:color="auto" w:fill="F7F1EC"/>
          </w:tcPr>
          <w:p>
            <w:pPr>
              <w:spacing w:after="0"/>
              <w:rPr>
                <w:sz w:val="24"/>
                <w:szCs w:val="24"/>
                <w:color w:val="auto"/>
              </w:rPr>
            </w:pPr>
          </w:p>
        </w:tc>
        <w:tc>
          <w:tcPr>
            <w:tcW w:w="7720" w:type="dxa"/>
            <w:vAlign w:val="bottom"/>
            <w:shd w:val="clear" w:color="auto" w:fill="F7F1EC"/>
          </w:tcPr>
          <w:p>
            <w:pPr>
              <w:ind w:left="40"/>
              <w:spacing w:after="0"/>
              <w:rPr>
                <w:sz w:val="20"/>
                <w:szCs w:val="20"/>
                <w:color w:val="auto"/>
              </w:rPr>
            </w:pPr>
            <w:r>
              <w:rPr>
                <w:rFonts w:ascii="Arial" w:cs="Arial" w:eastAsia="Arial" w:hAnsi="Arial"/>
                <w:sz w:val="15"/>
                <w:szCs w:val="15"/>
                <w:color w:val="auto"/>
              </w:rPr>
              <w:t>Communications will be distributed to the chair of the Board or the other members of the Board as appropriate</w:t>
            </w:r>
          </w:p>
        </w:tc>
        <w:tc>
          <w:tcPr>
            <w:tcW w:w="140" w:type="dxa"/>
            <w:vAlign w:val="bottom"/>
            <w:shd w:val="clear" w:color="auto" w:fill="F7F1EC"/>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100" w:type="dxa"/>
            <w:vAlign w:val="bottom"/>
            <w:shd w:val="clear" w:color="auto" w:fill="F7F1EC"/>
          </w:tcPr>
          <w:p>
            <w:pPr>
              <w:spacing w:after="0"/>
              <w:rPr>
                <w:sz w:val="17"/>
                <w:szCs w:val="17"/>
                <w:color w:val="auto"/>
              </w:rPr>
            </w:pPr>
          </w:p>
        </w:tc>
        <w:tc>
          <w:tcPr>
            <w:tcW w:w="7720" w:type="dxa"/>
            <w:vAlign w:val="bottom"/>
            <w:shd w:val="clear" w:color="auto" w:fill="F7F1EC"/>
          </w:tcPr>
          <w:p>
            <w:pPr>
              <w:ind w:left="40"/>
              <w:spacing w:after="0"/>
              <w:rPr>
                <w:sz w:val="20"/>
                <w:szCs w:val="20"/>
                <w:color w:val="auto"/>
              </w:rPr>
            </w:pPr>
            <w:r>
              <w:rPr>
                <w:rFonts w:ascii="Arial" w:cs="Arial" w:eastAsia="Arial" w:hAnsi="Arial"/>
                <w:sz w:val="15"/>
                <w:szCs w:val="15"/>
                <w:color w:val="auto"/>
              </w:rPr>
              <w:t>depending on the facts and circumstances outlined in the communication received.</w:t>
            </w:r>
          </w:p>
        </w:tc>
        <w:tc>
          <w:tcPr>
            <w:tcW w:w="140" w:type="dxa"/>
            <w:vAlign w:val="bottom"/>
            <w:shd w:val="clear" w:color="auto" w:fill="F7F1EC"/>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100" w:type="dxa"/>
            <w:vAlign w:val="bottom"/>
            <w:shd w:val="clear" w:color="auto" w:fill="F7F1EC"/>
          </w:tcPr>
          <w:p>
            <w:pPr>
              <w:spacing w:after="0"/>
              <w:rPr>
                <w:sz w:val="20"/>
                <w:szCs w:val="20"/>
                <w:color w:val="auto"/>
              </w:rPr>
            </w:pPr>
          </w:p>
        </w:tc>
        <w:tc>
          <w:tcPr>
            <w:tcW w:w="7720" w:type="dxa"/>
            <w:vAlign w:val="bottom"/>
            <w:shd w:val="clear" w:color="auto" w:fill="F7F1EC"/>
          </w:tcPr>
          <w:p>
            <w:pPr>
              <w:spacing w:after="0"/>
              <w:rPr>
                <w:sz w:val="20"/>
                <w:szCs w:val="20"/>
                <w:color w:val="auto"/>
              </w:rPr>
            </w:pPr>
          </w:p>
        </w:tc>
        <w:tc>
          <w:tcPr>
            <w:tcW w:w="140" w:type="dxa"/>
            <w:vAlign w:val="bottom"/>
            <w:shd w:val="clear" w:color="auto" w:fill="F7F1EC"/>
          </w:tcPr>
          <w:p>
            <w:pPr>
              <w:spacing w:after="0"/>
              <w:rPr>
                <w:sz w:val="20"/>
                <w:szCs w:val="20"/>
                <w:color w:val="auto"/>
              </w:rPr>
            </w:pPr>
          </w:p>
        </w:tc>
        <w:tc>
          <w:tcPr>
            <w:tcW w:w="0" w:type="dxa"/>
            <w:vAlign w:val="bottom"/>
          </w:tcPr>
          <w:p>
            <w:pPr>
              <w:spacing w:after="0"/>
              <w:rPr>
                <w:sz w:val="1"/>
                <w:szCs w:val="1"/>
                <w:color w:val="auto"/>
              </w:rPr>
            </w:pPr>
          </w:p>
        </w:tc>
      </w:tr>
    </w:tbl>
    <w:p>
      <w:pPr>
        <w:spacing w:after="0" w:line="5438" w:lineRule="exact"/>
        <w:rPr>
          <w:sz w:val="20"/>
          <w:szCs w:val="20"/>
          <w:color w:val="auto"/>
        </w:rPr>
      </w:pPr>
    </w:p>
    <w:p>
      <w:pPr>
        <w:sectPr>
          <w:pgSz w:w="11900" w:h="16838" w:orient="portrait"/>
          <w:cols w:equalWidth="0" w:num="2">
            <w:col w:w="2160" w:space="567"/>
            <w:col w:w="7973"/>
          </w:cols>
          <w:pgMar w:left="320" w:top="464" w:right="879" w:bottom="1440" w:gutter="0" w:footer="0" w:header="0"/>
        </w:sectPr>
      </w:pPr>
    </w:p>
    <w:p>
      <w:pPr>
        <w:spacing w:after="0" w:line="200" w:lineRule="exact"/>
        <w:rPr>
          <w:sz w:val="20"/>
          <w:szCs w:val="20"/>
          <w:color w:val="auto"/>
        </w:rPr>
      </w:pPr>
    </w:p>
    <w:p>
      <w:pPr>
        <w:spacing w:after="0" w:line="385" w:lineRule="exact"/>
        <w:rPr>
          <w:sz w:val="20"/>
          <w:szCs w:val="20"/>
          <w:color w:val="auto"/>
        </w:rPr>
      </w:pPr>
    </w:p>
    <w:p>
      <w:pPr>
        <w:ind w:left="420"/>
        <w:spacing w:after="0"/>
        <w:tabs>
          <w:tab w:leader="none" w:pos="2380" w:val="left"/>
          <w:tab w:leader="none" w:pos="2800" w:val="left"/>
        </w:tabs>
        <w:rPr>
          <w:sz w:val="20"/>
          <w:szCs w:val="20"/>
          <w:color w:val="auto"/>
        </w:rPr>
      </w:pPr>
      <w:r>
        <w:rPr>
          <w:rFonts w:ascii="Arial" w:cs="Arial" w:eastAsia="Arial" w:hAnsi="Arial"/>
          <w:sz w:val="30"/>
          <w:szCs w:val="30"/>
          <w:color w:val="000000"/>
          <w:vertAlign w:val="superscript"/>
        </w:rPr>
        <w:t xml:space="preserve">             </w:t>
      </w:r>
      <w:r>
        <w:rPr>
          <w:sz w:val="20"/>
          <w:szCs w:val="20"/>
          <w:color w:val="auto"/>
        </w:rPr>
        <w:tab/>
      </w:r>
      <w:r>
        <w:rPr>
          <w:rFonts w:ascii="Arial" w:cs="Arial" w:eastAsia="Arial" w:hAnsi="Arial"/>
          <w:sz w:val="31"/>
          <w:szCs w:val="31"/>
          <w:color w:val="auto"/>
          <w:vertAlign w:val="superscript"/>
        </w:rPr>
        <w:t xml:space="preserve">    </w:t>
      </w:r>
      <w:r>
        <w:rPr>
          <w:sz w:val="20"/>
          <w:szCs w:val="20"/>
          <w:color w:val="auto"/>
        </w:rPr>
        <w:tab/>
      </w:r>
      <w:r>
        <w:rPr>
          <w:rFonts w:ascii="Arial" w:cs="Arial" w:eastAsia="Arial" w:hAnsi="Arial"/>
          <w:sz w:val="15"/>
          <w:szCs w:val="15"/>
          <w:b w:val="1"/>
          <w:bCs w:val="1"/>
          <w:color w:val="002B5F"/>
        </w:rPr>
        <w:t xml:space="preserve">34  </w:t>
      </w:r>
      <w:r>
        <w:rPr>
          <w:rFonts w:ascii="Arial" w:cs="Arial" w:eastAsia="Arial" w:hAnsi="Arial"/>
          <w:sz w:val="20"/>
          <w:szCs w:val="20"/>
          <w:color w:val="002B5F"/>
        </w:rPr>
        <w:t>|</w:t>
      </w:r>
      <w:r>
        <w:rPr>
          <w:rFonts w:ascii="Arial" w:cs="Arial" w:eastAsia="Arial" w:hAnsi="Arial"/>
          <w:sz w:val="15"/>
          <w:szCs w:val="15"/>
          <w:b w:val="1"/>
          <w:bCs w:val="1"/>
          <w:color w:val="002B5F"/>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6111875</wp:posOffset>
            </wp:positionH>
            <wp:positionV relativeFrom="paragraph">
              <wp:posOffset>-208915</wp:posOffset>
            </wp:positionV>
            <wp:extent cx="769620" cy="971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69620" cy="97155"/>
                    </a:xfrm>
                    <a:prstGeom prst="rect">
                      <a:avLst/>
                    </a:prstGeom>
                    <a:noFill/>
                  </pic:spPr>
                </pic:pic>
              </a:graphicData>
            </a:graphic>
          </wp:anchor>
        </w:drawing>
      </w:r>
    </w:p>
    <w:p>
      <w:pPr>
        <w:sectPr>
          <w:pgSz w:w="11900" w:h="16838" w:orient="portrait"/>
          <w:cols w:equalWidth="0" w:num="1">
            <w:col w:w="10700"/>
          </w:cols>
          <w:pgMar w:left="320" w:top="464" w:right="879" w:bottom="1440" w:gutter="0" w:footer="0" w:header="0"/>
          <w:type w:val="continuous"/>
        </w:sectPr>
      </w:pPr>
    </w:p>
    <w:bookmarkStart w:id="42" w:name="page43"/>
    <w:bookmarkEnd w:id="4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5334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81215" cy="5334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5617845</wp:posOffset>
            </wp:positionH>
            <wp:positionV relativeFrom="paragraph">
              <wp:posOffset>253365</wp:posOffset>
            </wp:positionV>
            <wp:extent cx="1256030" cy="74720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256030" cy="7472045"/>
                    </a:xfrm>
                    <a:prstGeom prst="rect">
                      <a:avLst/>
                    </a:prstGeom>
                    <a:noFill/>
                  </pic:spPr>
                </pic:pic>
              </a:graphicData>
            </a:graphic>
          </wp:anchor>
        </w:drawing>
      </w:r>
    </w:p>
    <w:p>
      <w:pPr>
        <w:spacing w:after="0" w:line="166" w:lineRule="exact"/>
        <w:rPr>
          <w:sz w:val="20"/>
          <w:szCs w:val="20"/>
          <w:color w:val="auto"/>
        </w:rPr>
      </w:pPr>
    </w:p>
    <w:tbl>
      <w:tblPr>
        <w:tblLayout w:type="fixed"/>
        <w:tblInd w:w="540" w:type="dxa"/>
        <w:tblCellMar>
          <w:top w:w="0" w:type="dxa"/>
          <w:left w:w="0" w:type="dxa"/>
          <w:bottom w:w="0" w:type="dxa"/>
          <w:right w:w="0" w:type="dxa"/>
        </w:tblCellMar>
      </w:tblPr>
      <w:tr>
        <w:trPr>
          <w:trHeight w:val="552"/>
        </w:trPr>
        <w:tc>
          <w:tcPr>
            <w:tcW w:w="7000" w:type="dxa"/>
            <w:vAlign w:val="bottom"/>
            <w:gridSpan w:val="2"/>
          </w:tcPr>
          <w:p>
            <w:pPr>
              <w:spacing w:after="0"/>
              <w:rPr>
                <w:sz w:val="20"/>
                <w:szCs w:val="20"/>
                <w:color w:val="auto"/>
              </w:rPr>
            </w:pPr>
            <w:r>
              <w:rPr>
                <w:rFonts w:ascii="Times New Roman" w:cs="Times New Roman" w:eastAsia="Times New Roman" w:hAnsi="Times New Roman"/>
                <w:sz w:val="48"/>
                <w:szCs w:val="48"/>
                <w:b w:val="1"/>
                <w:bCs w:val="1"/>
                <w:color w:val="002B5F"/>
              </w:rPr>
              <w:t>Board of Directors Compensation</w:t>
            </w:r>
          </w:p>
        </w:tc>
        <w:tc>
          <w:tcPr>
            <w:tcW w:w="880" w:type="dxa"/>
            <w:vAlign w:val="bottom"/>
          </w:tcPr>
          <w:p>
            <w:pPr>
              <w:spacing w:after="0"/>
              <w:rPr>
                <w:sz w:val="24"/>
                <w:szCs w:val="24"/>
                <w:color w:val="auto"/>
              </w:rPr>
            </w:pPr>
          </w:p>
        </w:tc>
        <w:tc>
          <w:tcPr>
            <w:tcW w:w="660" w:type="dxa"/>
            <w:vAlign w:val="bottom"/>
            <w:vMerge w:val="restart"/>
          </w:tcPr>
          <w:p>
            <w:pPr>
              <w:ind w:left="460"/>
              <w:spacing w:after="0"/>
              <w:rPr>
                <w:sz w:val="20"/>
                <w:szCs w:val="20"/>
                <w:color w:val="auto"/>
              </w:rPr>
            </w:pPr>
            <w:r>
              <w:rPr>
                <w:rFonts w:ascii="Arial" w:cs="Arial" w:eastAsia="Arial" w:hAnsi="Arial"/>
                <w:sz w:val="15"/>
                <w:szCs w:val="15"/>
                <w:color w:val="auto"/>
              </w:rPr>
              <w:t> </w:t>
            </w:r>
          </w:p>
        </w:tc>
        <w:tc>
          <w:tcPr>
            <w:tcW w:w="1280" w:type="dxa"/>
            <w:vAlign w:val="bottom"/>
          </w:tcPr>
          <w:p>
            <w:pPr>
              <w:ind w:left="140"/>
              <w:spacing w:after="0"/>
              <w:rPr>
                <w:sz w:val="20"/>
                <w:szCs w:val="20"/>
                <w:color w:val="auto"/>
              </w:rPr>
            </w:pPr>
            <w:r>
              <w:rPr>
                <w:rFonts w:ascii="Arial" w:cs="Arial" w:eastAsia="Arial" w:hAnsi="Arial"/>
                <w:sz w:val="12"/>
                <w:szCs w:val="12"/>
                <w:color w:val="FFFFFF"/>
              </w:rPr>
              <w:t>Information</w:t>
            </w:r>
          </w:p>
        </w:tc>
        <w:tc>
          <w:tcPr>
            <w:tcW w:w="440" w:type="dxa"/>
            <w:vAlign w:val="bottom"/>
            <w:vMerge w:val="restart"/>
          </w:tcPr>
          <w:p>
            <w:pPr>
              <w:ind w:left="80"/>
              <w:spacing w:after="0"/>
              <w:rPr>
                <w:sz w:val="20"/>
                <w:szCs w:val="20"/>
                <w:color w:val="auto"/>
              </w:rPr>
            </w:pPr>
            <w:r>
              <w:rPr>
                <w:rFonts w:ascii="Arial" w:cs="Arial" w:eastAsia="Arial" w:hAnsi="Arial"/>
                <w:sz w:val="15"/>
                <w:szCs w:val="15"/>
                <w:color w:val="auto"/>
              </w:rPr>
              <w:t xml:space="preserve">       </w:t>
            </w:r>
          </w:p>
        </w:tc>
        <w:tc>
          <w:tcPr>
            <w:tcW w:w="0" w:type="dxa"/>
            <w:vAlign w:val="bottom"/>
          </w:tcPr>
          <w:p>
            <w:pPr>
              <w:spacing w:after="0"/>
              <w:rPr>
                <w:sz w:val="1"/>
                <w:szCs w:val="1"/>
                <w:color w:val="auto"/>
              </w:rPr>
            </w:pPr>
          </w:p>
        </w:tc>
      </w:tr>
      <w:tr>
        <w:trPr>
          <w:trHeight w:val="194"/>
        </w:trPr>
        <w:tc>
          <w:tcPr>
            <w:tcW w:w="60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General</w:t>
            </w:r>
          </w:p>
        </w:tc>
        <w:tc>
          <w:tcPr>
            <w:tcW w:w="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1"/>
        </w:trPr>
        <w:tc>
          <w:tcPr>
            <w:tcW w:w="608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spacing w:after="0"/>
              <w:rPr>
                <w:sz w:val="23"/>
                <w:szCs w:val="23"/>
                <w:color w:val="auto"/>
              </w:rPr>
            </w:pPr>
          </w:p>
        </w:tc>
        <w:tc>
          <w:tcPr>
            <w:tcW w:w="660" w:type="dxa"/>
            <w:vAlign w:val="bottom"/>
          </w:tcPr>
          <w:p>
            <w:pPr>
              <w:spacing w:after="0"/>
              <w:rPr>
                <w:sz w:val="23"/>
                <w:szCs w:val="23"/>
                <w:color w:val="auto"/>
              </w:rPr>
            </w:pPr>
          </w:p>
        </w:tc>
        <w:tc>
          <w:tcPr>
            <w:tcW w:w="1280" w:type="dxa"/>
            <w:vAlign w:val="bottom"/>
            <w:vMerge w:val="restart"/>
          </w:tcPr>
          <w:p>
            <w:pPr>
              <w:ind w:left="140"/>
              <w:spacing w:after="0"/>
              <w:rPr>
                <w:sz w:val="20"/>
                <w:szCs w:val="20"/>
                <w:color w:val="auto"/>
              </w:rPr>
            </w:pPr>
            <w:r>
              <w:rPr>
                <w:rFonts w:ascii="Arial" w:cs="Arial" w:eastAsia="Arial" w:hAnsi="Arial"/>
                <w:sz w:val="12"/>
                <w:szCs w:val="12"/>
                <w:color w:val="FFFFFF"/>
              </w:rPr>
              <w:t>General Information</w:t>
            </w:r>
          </w:p>
        </w:tc>
        <w:tc>
          <w:tcPr>
            <w:tcW w:w="4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2"/>
        </w:trPr>
        <w:tc>
          <w:tcPr>
            <w:tcW w:w="6080" w:type="dxa"/>
            <w:vAlign w:val="bottom"/>
          </w:tcPr>
          <w:p>
            <w:pPr>
              <w:spacing w:after="0"/>
              <w:rPr>
                <w:sz w:val="4"/>
                <w:szCs w:val="4"/>
                <w:color w:val="auto"/>
              </w:rPr>
            </w:pPr>
          </w:p>
        </w:tc>
        <w:tc>
          <w:tcPr>
            <w:tcW w:w="920" w:type="dxa"/>
            <w:vAlign w:val="bottom"/>
          </w:tcPr>
          <w:p>
            <w:pPr>
              <w:spacing w:after="0"/>
              <w:rPr>
                <w:sz w:val="4"/>
                <w:szCs w:val="4"/>
                <w:color w:val="auto"/>
              </w:rPr>
            </w:pPr>
          </w:p>
        </w:tc>
        <w:tc>
          <w:tcPr>
            <w:tcW w:w="880" w:type="dxa"/>
            <w:vAlign w:val="bottom"/>
          </w:tcPr>
          <w:p>
            <w:pPr>
              <w:spacing w:after="0"/>
              <w:rPr>
                <w:sz w:val="4"/>
                <w:szCs w:val="4"/>
                <w:color w:val="auto"/>
              </w:rPr>
            </w:pPr>
          </w:p>
        </w:tc>
        <w:tc>
          <w:tcPr>
            <w:tcW w:w="660" w:type="dxa"/>
            <w:vAlign w:val="bottom"/>
          </w:tcPr>
          <w:p>
            <w:pPr>
              <w:spacing w:after="0"/>
              <w:rPr>
                <w:sz w:val="4"/>
                <w:szCs w:val="4"/>
                <w:color w:val="auto"/>
              </w:rPr>
            </w:pPr>
          </w:p>
        </w:tc>
        <w:tc>
          <w:tcPr>
            <w:tcW w:w="1280" w:type="dxa"/>
            <w:vAlign w:val="bottom"/>
            <w:vMerge w:val="continue"/>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8"/>
        </w:trPr>
        <w:tc>
          <w:tcPr>
            <w:tcW w:w="6080" w:type="dxa"/>
            <w:vAlign w:val="bottom"/>
            <w:vMerge w:val="restart"/>
          </w:tcPr>
          <w:p>
            <w:pPr>
              <w:spacing w:after="0"/>
              <w:rPr>
                <w:sz w:val="20"/>
                <w:szCs w:val="20"/>
                <w:color w:val="auto"/>
              </w:rPr>
            </w:pPr>
            <w:r>
              <w:rPr>
                <w:rFonts w:ascii="Arial" w:cs="Arial" w:eastAsia="Arial" w:hAnsi="Arial"/>
                <w:sz w:val="24"/>
                <w:szCs w:val="24"/>
                <w:color w:val="B95827"/>
              </w:rPr>
              <w:t>Director Compensation Policy</w:t>
            </w:r>
          </w:p>
        </w:tc>
        <w:tc>
          <w:tcPr>
            <w:tcW w:w="9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80" w:type="dxa"/>
            <w:vAlign w:val="bottom"/>
          </w:tcPr>
          <w:p>
            <w:pPr>
              <w:ind w:left="140"/>
              <w:spacing w:after="0" w:line="128" w:lineRule="exact"/>
              <w:rPr>
                <w:sz w:val="20"/>
                <w:szCs w:val="20"/>
                <w:color w:val="auto"/>
              </w:rPr>
            </w:pPr>
            <w:r>
              <w:rPr>
                <w:rFonts w:ascii="Arial" w:cs="Arial" w:eastAsia="Arial" w:hAnsi="Arial"/>
                <w:sz w:val="12"/>
                <w:szCs w:val="12"/>
                <w:color w:val="FFFFFF"/>
              </w:rPr>
              <w:t>About Corporate</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6080" w:type="dxa"/>
            <w:vAlign w:val="bottom"/>
            <w:vMerge w:val="continue"/>
          </w:tcPr>
          <w:p>
            <w:pPr>
              <w:spacing w:after="0"/>
              <w:rPr>
                <w:sz w:val="11"/>
                <w:szCs w:val="11"/>
                <w:color w:val="auto"/>
              </w:rPr>
            </w:pPr>
          </w:p>
        </w:tc>
        <w:tc>
          <w:tcPr>
            <w:tcW w:w="9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80" w:type="dxa"/>
            <w:vAlign w:val="bottom"/>
          </w:tcPr>
          <w:p>
            <w:pPr>
              <w:ind w:left="140"/>
              <w:spacing w:after="0" w:line="128" w:lineRule="exact"/>
              <w:rPr>
                <w:sz w:val="20"/>
                <w:szCs w:val="20"/>
                <w:color w:val="auto"/>
              </w:rPr>
            </w:pPr>
            <w:r>
              <w:rPr>
                <w:rFonts w:ascii="Arial" w:cs="Arial" w:eastAsia="Arial" w:hAnsi="Arial"/>
                <w:sz w:val="12"/>
                <w:szCs w:val="12"/>
                <w:color w:val="FFFFFF"/>
              </w:rPr>
              <w:t>Governance</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6080" w:type="dxa"/>
            <w:vAlign w:val="bottom"/>
            <w:vMerge w:val="continue"/>
          </w:tcPr>
          <w:p>
            <w:pPr>
              <w:spacing w:after="0"/>
              <w:rPr>
                <w:sz w:val="11"/>
                <w:szCs w:val="11"/>
                <w:color w:val="auto"/>
              </w:rPr>
            </w:pPr>
          </w:p>
        </w:tc>
        <w:tc>
          <w:tcPr>
            <w:tcW w:w="9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80" w:type="dxa"/>
            <w:vAlign w:val="bottom"/>
          </w:tcPr>
          <w:p>
            <w:pPr>
              <w:ind w:left="140"/>
              <w:spacing w:after="0" w:line="128" w:lineRule="exact"/>
              <w:rPr>
                <w:sz w:val="20"/>
                <w:szCs w:val="20"/>
                <w:color w:val="auto"/>
              </w:rPr>
            </w:pPr>
            <w:r>
              <w:rPr>
                <w:rFonts w:ascii="Arial" w:cs="Arial" w:eastAsia="Arial" w:hAnsi="Arial"/>
                <w:sz w:val="12"/>
                <w:szCs w:val="12"/>
                <w:color w:val="FFFFFF"/>
              </w:rPr>
              <w:t>and the Board of</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8540" w:type="dxa"/>
            <w:vAlign w:val="bottom"/>
            <w:gridSpan w:val="4"/>
            <w:vMerge w:val="restart"/>
          </w:tcPr>
          <w:p>
            <w:pPr>
              <w:spacing w:after="0"/>
              <w:rPr>
                <w:sz w:val="20"/>
                <w:szCs w:val="20"/>
                <w:color w:val="auto"/>
              </w:rPr>
            </w:pPr>
            <w:r>
              <w:rPr>
                <w:rFonts w:ascii="Arial" w:cs="Arial" w:eastAsia="Arial" w:hAnsi="Arial"/>
                <w:sz w:val="15"/>
                <w:szCs w:val="15"/>
                <w:color w:val="auto"/>
              </w:rPr>
              <w:t>Our Non-Employee Director Compensation Policy (the “Director Compensation Policy”) provides that each of our</w:t>
            </w:r>
          </w:p>
        </w:tc>
        <w:tc>
          <w:tcPr>
            <w:tcW w:w="1280" w:type="dxa"/>
            <w:vAlign w:val="bottom"/>
          </w:tcPr>
          <w:p>
            <w:pPr>
              <w:ind w:left="140"/>
              <w:spacing w:after="0"/>
              <w:rPr>
                <w:sz w:val="20"/>
                <w:szCs w:val="20"/>
                <w:color w:val="auto"/>
              </w:rPr>
            </w:pPr>
            <w:r>
              <w:rPr>
                <w:rFonts w:ascii="Arial" w:cs="Arial" w:eastAsia="Arial" w:hAnsi="Arial"/>
                <w:sz w:val="12"/>
                <w:szCs w:val="12"/>
                <w:color w:val="FFFFFF"/>
              </w:rPr>
              <w:t>Directors</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8540" w:type="dxa"/>
            <w:vAlign w:val="bottom"/>
            <w:gridSpan w:val="4"/>
            <w:vMerge w:val="continue"/>
          </w:tcPr>
          <w:p>
            <w:pPr>
              <w:spacing w:after="0"/>
              <w:rPr>
                <w:sz w:val="13"/>
                <w:szCs w:val="13"/>
                <w:color w:val="auto"/>
              </w:rPr>
            </w:pPr>
          </w:p>
        </w:tc>
        <w:tc>
          <w:tcPr>
            <w:tcW w:w="1280" w:type="dxa"/>
            <w:vAlign w:val="bottom"/>
            <w:vMerge w:val="restart"/>
          </w:tcPr>
          <w:p>
            <w:pPr>
              <w:ind w:left="140"/>
              <w:spacing w:after="0"/>
              <w:rPr>
                <w:sz w:val="20"/>
                <w:szCs w:val="20"/>
                <w:color w:val="auto"/>
              </w:rPr>
            </w:pPr>
            <w:r>
              <w:rPr>
                <w:rFonts w:ascii="Arial" w:cs="Arial" w:eastAsia="Arial" w:hAnsi="Arial"/>
                <w:sz w:val="12"/>
                <w:szCs w:val="12"/>
                <w:color w:val="FFFFFF"/>
              </w:rPr>
              <w:t>Proposal 1</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8540" w:type="dxa"/>
            <w:vAlign w:val="bottom"/>
            <w:gridSpan w:val="4"/>
          </w:tcPr>
          <w:p>
            <w:pPr>
              <w:spacing w:after="0"/>
              <w:rPr>
                <w:sz w:val="20"/>
                <w:szCs w:val="20"/>
                <w:color w:val="auto"/>
              </w:rPr>
            </w:pPr>
            <w:r>
              <w:rPr>
                <w:rFonts w:ascii="Arial" w:cs="Arial" w:eastAsia="Arial" w:hAnsi="Arial"/>
                <w:sz w:val="15"/>
                <w:szCs w:val="15"/>
                <w:color w:val="auto"/>
              </w:rPr>
              <w:t>non-employee directors receives an annual service retainer of $310,000. Of this amount, $105,000 is paid in a lump</w:t>
            </w:r>
          </w:p>
        </w:tc>
        <w:tc>
          <w:tcPr>
            <w:tcW w:w="1280" w:type="dxa"/>
            <w:vAlign w:val="bottom"/>
            <w:vMerge w:val="continue"/>
          </w:tcPr>
          <w:p>
            <w:pPr>
              <w:spacing w:after="0"/>
              <w:rPr>
                <w:sz w:val="15"/>
                <w:szCs w:val="15"/>
                <w:color w:val="auto"/>
              </w:rPr>
            </w:pP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8540" w:type="dxa"/>
            <w:vAlign w:val="bottom"/>
            <w:gridSpan w:val="4"/>
          </w:tcPr>
          <w:p>
            <w:pPr>
              <w:spacing w:after="0"/>
              <w:rPr>
                <w:sz w:val="20"/>
                <w:szCs w:val="20"/>
                <w:color w:val="auto"/>
              </w:rPr>
            </w:pPr>
            <w:r>
              <w:rPr>
                <w:rFonts w:ascii="Arial" w:cs="Arial" w:eastAsia="Arial" w:hAnsi="Arial"/>
                <w:sz w:val="15"/>
                <w:szCs w:val="15"/>
                <w:color w:val="auto"/>
              </w:rPr>
              <w:t>sum in cash (or, at the director’s election, in the form of shares of our Common Stock as described below) and</w:t>
            </w:r>
          </w:p>
        </w:tc>
        <w:tc>
          <w:tcPr>
            <w:tcW w:w="1280" w:type="dxa"/>
            <w:vAlign w:val="bottom"/>
            <w:vMerge w:val="restart"/>
          </w:tcPr>
          <w:p>
            <w:pPr>
              <w:ind w:left="140"/>
              <w:spacing w:after="0"/>
              <w:rPr>
                <w:sz w:val="20"/>
                <w:szCs w:val="20"/>
                <w:color w:val="auto"/>
              </w:rPr>
            </w:pPr>
            <w:r>
              <w:rPr>
                <w:rFonts w:ascii="Arial" w:cs="Arial" w:eastAsia="Arial" w:hAnsi="Arial"/>
                <w:sz w:val="12"/>
                <w:szCs w:val="12"/>
                <w:color w:val="FFFFFF"/>
              </w:rPr>
              <w:t>Information</w:t>
            </w: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6"/>
        </w:trPr>
        <w:tc>
          <w:tcPr>
            <w:tcW w:w="8540" w:type="dxa"/>
            <w:vAlign w:val="bottom"/>
            <w:gridSpan w:val="4"/>
            <w:vMerge w:val="restart"/>
          </w:tcPr>
          <w:p>
            <w:pPr>
              <w:spacing w:after="0"/>
              <w:rPr>
                <w:sz w:val="20"/>
                <w:szCs w:val="20"/>
                <w:color w:val="auto"/>
              </w:rPr>
            </w:pPr>
            <w:r>
              <w:rPr>
                <w:rFonts w:ascii="Arial" w:cs="Arial" w:eastAsia="Arial" w:hAnsi="Arial"/>
                <w:sz w:val="15"/>
                <w:szCs w:val="15"/>
                <w:color w:val="auto"/>
              </w:rPr>
              <w:t>$205,000 is paid in the form of restricted shares of our Common Stock granted under our 2021 Omnibus Equity</w:t>
            </w:r>
          </w:p>
        </w:tc>
        <w:tc>
          <w:tcPr>
            <w:tcW w:w="1280" w:type="dxa"/>
            <w:vAlign w:val="bottom"/>
            <w:vMerge w:val="continue"/>
          </w:tcPr>
          <w:p>
            <w:pPr>
              <w:spacing w:after="0"/>
              <w:rPr>
                <w:sz w:val="3"/>
                <w:szCs w:val="3"/>
                <w:color w:val="auto"/>
              </w:rPr>
            </w:pPr>
          </w:p>
        </w:tc>
        <w:tc>
          <w:tcPr>
            <w:tcW w:w="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28"/>
        </w:trPr>
        <w:tc>
          <w:tcPr>
            <w:tcW w:w="8540" w:type="dxa"/>
            <w:vAlign w:val="bottom"/>
            <w:gridSpan w:val="4"/>
            <w:vMerge w:val="continue"/>
          </w:tcPr>
          <w:p>
            <w:pPr>
              <w:spacing w:after="0"/>
              <w:rPr>
                <w:sz w:val="11"/>
                <w:szCs w:val="11"/>
                <w:color w:val="auto"/>
              </w:rPr>
            </w:pPr>
          </w:p>
        </w:tc>
        <w:tc>
          <w:tcPr>
            <w:tcW w:w="1280" w:type="dxa"/>
            <w:vAlign w:val="bottom"/>
          </w:tcPr>
          <w:p>
            <w:pPr>
              <w:ind w:left="140"/>
              <w:spacing w:after="0" w:line="128" w:lineRule="exact"/>
              <w:rPr>
                <w:sz w:val="20"/>
                <w:szCs w:val="20"/>
                <w:color w:val="auto"/>
              </w:rPr>
            </w:pPr>
            <w:r>
              <w:rPr>
                <w:rFonts w:ascii="Arial" w:cs="Arial" w:eastAsia="Arial" w:hAnsi="Arial"/>
                <w:sz w:val="12"/>
                <w:szCs w:val="12"/>
                <w:color w:val="FFFFFF"/>
              </w:rPr>
              <w:t>Regarding Board</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8540" w:type="dxa"/>
            <w:vAlign w:val="bottom"/>
            <w:gridSpan w:val="4"/>
          </w:tcPr>
          <w:p>
            <w:pPr>
              <w:spacing w:after="0" w:line="158" w:lineRule="exact"/>
              <w:rPr>
                <w:sz w:val="20"/>
                <w:szCs w:val="20"/>
                <w:color w:val="auto"/>
              </w:rPr>
            </w:pPr>
            <w:r>
              <w:rPr>
                <w:rFonts w:ascii="Arial" w:cs="Arial" w:eastAsia="Arial" w:hAnsi="Arial"/>
                <w:sz w:val="15"/>
                <w:szCs w:val="15"/>
                <w:color w:val="auto"/>
              </w:rPr>
              <w:t>Incentive Plan (the “2021 Plan”). Directors can elect to defer receipt of the equity portion, or both the equity and</w:t>
            </w:r>
          </w:p>
        </w:tc>
        <w:tc>
          <w:tcPr>
            <w:tcW w:w="1280" w:type="dxa"/>
            <w:vAlign w:val="bottom"/>
          </w:tcPr>
          <w:p>
            <w:pPr>
              <w:ind w:left="140"/>
              <w:spacing w:after="0"/>
              <w:rPr>
                <w:sz w:val="20"/>
                <w:szCs w:val="20"/>
                <w:color w:val="auto"/>
              </w:rPr>
            </w:pPr>
            <w:r>
              <w:rPr>
                <w:rFonts w:ascii="Arial" w:cs="Arial" w:eastAsia="Arial" w:hAnsi="Arial"/>
                <w:sz w:val="12"/>
                <w:szCs w:val="12"/>
                <w:color w:val="FFFFFF"/>
              </w:rPr>
              <w:t>and Committee</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7000" w:type="dxa"/>
            <w:vAlign w:val="bottom"/>
            <w:gridSpan w:val="2"/>
            <w:vMerge w:val="restart"/>
          </w:tcPr>
          <w:p>
            <w:pPr>
              <w:spacing w:after="0"/>
              <w:rPr>
                <w:sz w:val="20"/>
                <w:szCs w:val="20"/>
                <w:color w:val="auto"/>
              </w:rPr>
            </w:pPr>
            <w:r>
              <w:rPr>
                <w:rFonts w:ascii="Arial" w:cs="Arial" w:eastAsia="Arial" w:hAnsi="Arial"/>
                <w:sz w:val="15"/>
                <w:szCs w:val="15"/>
                <w:color w:val="auto"/>
              </w:rPr>
              <w:t>cash portions, of their service retainers, as described under “</w:t>
            </w:r>
            <w:r>
              <w:rPr>
                <w:rFonts w:ascii="Arial" w:cs="Arial" w:eastAsia="Arial" w:hAnsi="Arial"/>
                <w:sz w:val="15"/>
                <w:szCs w:val="15"/>
                <w:i w:val="1"/>
                <w:iCs w:val="1"/>
                <w:color w:val="auto"/>
              </w:rPr>
              <w:t>Deferred Compensation Plan</w:t>
            </w:r>
            <w:r>
              <w:rPr>
                <w:rFonts w:ascii="Arial" w:cs="Arial" w:eastAsia="Arial" w:hAnsi="Arial"/>
                <w:sz w:val="15"/>
                <w:szCs w:val="15"/>
                <w:color w:val="auto"/>
              </w:rPr>
              <w:t>” below.</w:t>
            </w:r>
          </w:p>
        </w:tc>
        <w:tc>
          <w:tcPr>
            <w:tcW w:w="8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Structure</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9"/>
        </w:trPr>
        <w:tc>
          <w:tcPr>
            <w:tcW w:w="7000" w:type="dxa"/>
            <w:vAlign w:val="bottom"/>
            <w:gridSpan w:val="2"/>
            <w:vMerge w:val="continue"/>
          </w:tcPr>
          <w:p>
            <w:pPr>
              <w:spacing w:after="0"/>
              <w:rPr>
                <w:sz w:val="5"/>
                <w:szCs w:val="5"/>
                <w:color w:val="auto"/>
              </w:rPr>
            </w:pPr>
          </w:p>
        </w:tc>
        <w:tc>
          <w:tcPr>
            <w:tcW w:w="880" w:type="dxa"/>
            <w:vAlign w:val="bottom"/>
          </w:tcPr>
          <w:p>
            <w:pPr>
              <w:spacing w:after="0"/>
              <w:rPr>
                <w:sz w:val="5"/>
                <w:szCs w:val="5"/>
                <w:color w:val="auto"/>
              </w:rPr>
            </w:pPr>
          </w:p>
        </w:tc>
        <w:tc>
          <w:tcPr>
            <w:tcW w:w="660" w:type="dxa"/>
            <w:vAlign w:val="bottom"/>
          </w:tcPr>
          <w:p>
            <w:pPr>
              <w:spacing w:after="0"/>
              <w:rPr>
                <w:sz w:val="5"/>
                <w:szCs w:val="5"/>
                <w:color w:val="auto"/>
              </w:rPr>
            </w:pPr>
          </w:p>
        </w:tc>
        <w:tc>
          <w:tcPr>
            <w:tcW w:w="1280" w:type="dxa"/>
            <w:vAlign w:val="bottom"/>
          </w:tcPr>
          <w:p>
            <w:pPr>
              <w:spacing w:after="0"/>
              <w:rPr>
                <w:sz w:val="5"/>
                <w:szCs w:val="5"/>
                <w:color w:val="auto"/>
              </w:rPr>
            </w:pPr>
          </w:p>
        </w:tc>
        <w:tc>
          <w:tcPr>
            <w:tcW w:w="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4"/>
        </w:trPr>
        <w:tc>
          <w:tcPr>
            <w:tcW w:w="8540" w:type="dxa"/>
            <w:vAlign w:val="bottom"/>
            <w:gridSpan w:val="4"/>
            <w:vMerge w:val="restart"/>
          </w:tcPr>
          <w:p>
            <w:pPr>
              <w:spacing w:after="0"/>
              <w:rPr>
                <w:sz w:val="20"/>
                <w:szCs w:val="20"/>
                <w:color w:val="auto"/>
              </w:rPr>
            </w:pPr>
            <w:r>
              <w:rPr>
                <w:rFonts w:ascii="Arial" w:cs="Arial" w:eastAsia="Arial" w:hAnsi="Arial"/>
                <w:sz w:val="15"/>
                <w:szCs w:val="15"/>
                <w:color w:val="auto"/>
              </w:rPr>
              <w:t>The following table sets forth the additional annual service retainers under our Director Compensation Policy that</w:t>
            </w:r>
          </w:p>
        </w:tc>
        <w:tc>
          <w:tcPr>
            <w:tcW w:w="1280" w:type="dxa"/>
            <w:vAlign w:val="bottom"/>
          </w:tcPr>
          <w:p>
            <w:pPr>
              <w:ind w:left="140"/>
              <w:spacing w:after="0"/>
              <w:rPr>
                <w:sz w:val="20"/>
                <w:szCs w:val="20"/>
                <w:color w:val="auto"/>
              </w:rPr>
            </w:pPr>
            <w:r>
              <w:rPr>
                <w:rFonts w:ascii="Arial" w:cs="Arial" w:eastAsia="Arial" w:hAnsi="Arial"/>
                <w:sz w:val="12"/>
                <w:szCs w:val="12"/>
                <w:b w:val="1"/>
                <w:bCs w:val="1"/>
                <w:color w:val="FFFFFF"/>
              </w:rPr>
              <w:t>Board of Directors</w:t>
            </w: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8540" w:type="dxa"/>
            <w:vAlign w:val="bottom"/>
            <w:gridSpan w:val="4"/>
            <w:vMerge w:val="continue"/>
          </w:tcPr>
          <w:p>
            <w:pPr>
              <w:spacing w:after="0"/>
              <w:rPr>
                <w:sz w:val="8"/>
                <w:szCs w:val="8"/>
                <w:color w:val="auto"/>
              </w:rPr>
            </w:pPr>
          </w:p>
        </w:tc>
        <w:tc>
          <w:tcPr>
            <w:tcW w:w="1280" w:type="dxa"/>
            <w:vAlign w:val="bottom"/>
            <w:vMerge w:val="restart"/>
          </w:tcPr>
          <w:p>
            <w:pPr>
              <w:ind w:left="140"/>
              <w:spacing w:after="0"/>
              <w:rPr>
                <w:sz w:val="20"/>
                <w:szCs w:val="20"/>
                <w:color w:val="auto"/>
              </w:rPr>
            </w:pPr>
            <w:r>
              <w:rPr>
                <w:rFonts w:ascii="Arial" w:cs="Arial" w:eastAsia="Arial" w:hAnsi="Arial"/>
                <w:sz w:val="12"/>
                <w:szCs w:val="12"/>
                <w:b w:val="1"/>
                <w:bCs w:val="1"/>
                <w:color w:val="FFFFFF"/>
              </w:rPr>
              <w:t>Compensation</w:t>
            </w: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9"/>
        </w:trPr>
        <w:tc>
          <w:tcPr>
            <w:tcW w:w="6080" w:type="dxa"/>
            <w:vAlign w:val="bottom"/>
            <w:vMerge w:val="restart"/>
          </w:tcPr>
          <w:p>
            <w:pPr>
              <w:spacing w:after="0"/>
              <w:rPr>
                <w:sz w:val="20"/>
                <w:szCs w:val="20"/>
                <w:color w:val="auto"/>
              </w:rPr>
            </w:pPr>
            <w:r>
              <w:rPr>
                <w:rFonts w:ascii="Arial" w:cs="Arial" w:eastAsia="Arial" w:hAnsi="Arial"/>
                <w:sz w:val="15"/>
                <w:szCs w:val="15"/>
                <w:color w:val="auto"/>
              </w:rPr>
              <w:t>members of our standing committees received for their additional duties during 2025:</w:t>
            </w:r>
          </w:p>
        </w:tc>
        <w:tc>
          <w:tcPr>
            <w:tcW w:w="920" w:type="dxa"/>
            <w:vAlign w:val="bottom"/>
          </w:tcPr>
          <w:p>
            <w:pPr>
              <w:spacing w:after="0"/>
              <w:rPr>
                <w:sz w:val="5"/>
                <w:szCs w:val="5"/>
                <w:color w:val="auto"/>
              </w:rPr>
            </w:pPr>
          </w:p>
        </w:tc>
        <w:tc>
          <w:tcPr>
            <w:tcW w:w="880" w:type="dxa"/>
            <w:vAlign w:val="bottom"/>
          </w:tcPr>
          <w:p>
            <w:pPr>
              <w:spacing w:after="0"/>
              <w:rPr>
                <w:sz w:val="5"/>
                <w:szCs w:val="5"/>
                <w:color w:val="auto"/>
              </w:rPr>
            </w:pPr>
          </w:p>
        </w:tc>
        <w:tc>
          <w:tcPr>
            <w:tcW w:w="660" w:type="dxa"/>
            <w:vAlign w:val="bottom"/>
          </w:tcPr>
          <w:p>
            <w:pPr>
              <w:spacing w:after="0"/>
              <w:rPr>
                <w:sz w:val="5"/>
                <w:szCs w:val="5"/>
                <w:color w:val="auto"/>
              </w:rPr>
            </w:pPr>
          </w:p>
        </w:tc>
        <w:tc>
          <w:tcPr>
            <w:tcW w:w="128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2"/>
        </w:trPr>
        <w:tc>
          <w:tcPr>
            <w:tcW w:w="6080" w:type="dxa"/>
            <w:vAlign w:val="bottom"/>
            <w:vMerge w:val="continue"/>
          </w:tcPr>
          <w:p>
            <w:pPr>
              <w:spacing w:after="0"/>
              <w:rPr>
                <w:sz w:val="11"/>
                <w:szCs w:val="11"/>
                <w:color w:val="auto"/>
              </w:rPr>
            </w:pPr>
          </w:p>
        </w:tc>
        <w:tc>
          <w:tcPr>
            <w:tcW w:w="9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80" w:type="dxa"/>
            <w:vAlign w:val="bottom"/>
            <w:vMerge w:val="restart"/>
          </w:tcPr>
          <w:p>
            <w:pPr>
              <w:ind w:left="140"/>
              <w:spacing w:after="0"/>
              <w:rPr>
                <w:sz w:val="20"/>
                <w:szCs w:val="20"/>
                <w:color w:val="auto"/>
              </w:rPr>
            </w:pPr>
            <w:r>
              <w:rPr>
                <w:rFonts w:ascii="Arial" w:cs="Arial" w:eastAsia="Arial" w:hAnsi="Arial"/>
                <w:sz w:val="12"/>
                <w:szCs w:val="12"/>
                <w:color w:val="FFFFFF"/>
              </w:rPr>
              <w:t>Compensation</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60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60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540" w:type="dxa"/>
            <w:vAlign w:val="bottom"/>
            <w:gridSpan w:val="2"/>
            <w:vMerge w:val="restart"/>
          </w:tcPr>
          <w:p>
            <w:pPr>
              <w:jc w:val="center"/>
              <w:ind w:right="443"/>
              <w:spacing w:after="0"/>
              <w:rPr>
                <w:sz w:val="20"/>
                <w:szCs w:val="20"/>
                <w:color w:val="auto"/>
              </w:rPr>
            </w:pPr>
            <w:r>
              <w:rPr>
                <w:rFonts w:ascii="Arial" w:cs="Arial" w:eastAsia="Arial" w:hAnsi="Arial"/>
                <w:sz w:val="14"/>
                <w:szCs w:val="14"/>
                <w:b w:val="1"/>
                <w:bCs w:val="1"/>
                <w:color w:val="002B5F"/>
                <w:w w:val="99"/>
              </w:rPr>
              <w:t>Each Other</w:t>
            </w:r>
          </w:p>
        </w:tc>
        <w:tc>
          <w:tcPr>
            <w:tcW w:w="1280" w:type="dxa"/>
            <w:vAlign w:val="bottom"/>
          </w:tcPr>
          <w:p>
            <w:pPr>
              <w:ind w:left="140"/>
              <w:spacing w:after="0" w:line="128" w:lineRule="exact"/>
              <w:rPr>
                <w:sz w:val="20"/>
                <w:szCs w:val="20"/>
                <w:color w:val="auto"/>
              </w:rPr>
            </w:pPr>
            <w:r>
              <w:rPr>
                <w:rFonts w:ascii="Arial" w:cs="Arial" w:eastAsia="Arial" w:hAnsi="Arial"/>
                <w:sz w:val="12"/>
                <w:szCs w:val="12"/>
                <w:color w:val="FFFFFF"/>
              </w:rPr>
              <w:t>Discussion and</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6080" w:type="dxa"/>
            <w:vAlign w:val="bottom"/>
          </w:tcPr>
          <w:p>
            <w:pPr>
              <w:spacing w:after="0"/>
              <w:rPr>
                <w:sz w:val="10"/>
                <w:szCs w:val="10"/>
                <w:color w:val="auto"/>
              </w:rPr>
            </w:pPr>
          </w:p>
        </w:tc>
        <w:tc>
          <w:tcPr>
            <w:tcW w:w="920" w:type="dxa"/>
            <w:vAlign w:val="bottom"/>
            <w:vMerge w:val="restart"/>
          </w:tcPr>
          <w:p>
            <w:pPr>
              <w:jc w:val="center"/>
              <w:ind w:left="26"/>
              <w:spacing w:after="0"/>
              <w:rPr>
                <w:sz w:val="20"/>
                <w:szCs w:val="20"/>
                <w:color w:val="auto"/>
              </w:rPr>
            </w:pPr>
            <w:r>
              <w:rPr>
                <w:rFonts w:ascii="Arial" w:cs="Arial" w:eastAsia="Arial" w:hAnsi="Arial"/>
                <w:sz w:val="14"/>
                <w:szCs w:val="14"/>
                <w:b w:val="1"/>
                <w:bCs w:val="1"/>
                <w:color w:val="002B5F"/>
                <w:w w:val="94"/>
              </w:rPr>
              <w:t>Chair</w:t>
            </w:r>
          </w:p>
        </w:tc>
        <w:tc>
          <w:tcPr>
            <w:tcW w:w="1540" w:type="dxa"/>
            <w:vAlign w:val="bottom"/>
            <w:gridSpan w:val="2"/>
            <w:vMerge w:val="continue"/>
          </w:tcPr>
          <w:p>
            <w:pPr>
              <w:spacing w:after="0"/>
              <w:rPr>
                <w:sz w:val="10"/>
                <w:szCs w:val="10"/>
                <w:color w:val="auto"/>
              </w:rPr>
            </w:pPr>
          </w:p>
        </w:tc>
        <w:tc>
          <w:tcPr>
            <w:tcW w:w="1280" w:type="dxa"/>
            <w:vAlign w:val="bottom"/>
          </w:tcPr>
          <w:p>
            <w:pPr>
              <w:ind w:left="140"/>
              <w:spacing w:after="0" w:line="120" w:lineRule="exact"/>
              <w:rPr>
                <w:sz w:val="20"/>
                <w:szCs w:val="20"/>
                <w:color w:val="auto"/>
              </w:rPr>
            </w:pPr>
            <w:r>
              <w:rPr>
                <w:rFonts w:ascii="Arial" w:cs="Arial" w:eastAsia="Arial" w:hAnsi="Arial"/>
                <w:sz w:val="12"/>
                <w:szCs w:val="12"/>
                <w:color w:val="FFFFFF"/>
              </w:rPr>
              <w:t>Analysis</w:t>
            </w: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7"/>
        </w:trPr>
        <w:tc>
          <w:tcPr>
            <w:tcW w:w="608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1540" w:type="dxa"/>
            <w:vAlign w:val="bottom"/>
            <w:gridSpan w:val="2"/>
          </w:tcPr>
          <w:p>
            <w:pPr>
              <w:jc w:val="center"/>
              <w:ind w:right="423"/>
              <w:spacing w:after="0"/>
              <w:rPr>
                <w:sz w:val="20"/>
                <w:szCs w:val="20"/>
                <w:color w:val="auto"/>
              </w:rPr>
            </w:pPr>
            <w:r>
              <w:rPr>
                <w:rFonts w:ascii="Arial" w:cs="Arial" w:eastAsia="Arial" w:hAnsi="Arial"/>
                <w:sz w:val="14"/>
                <w:szCs w:val="14"/>
                <w:b w:val="1"/>
                <w:bCs w:val="1"/>
                <w:color w:val="002B5F"/>
                <w:w w:val="96"/>
              </w:rPr>
              <w:t>Member</w:t>
            </w:r>
          </w:p>
        </w:tc>
        <w:tc>
          <w:tcPr>
            <w:tcW w:w="1280" w:type="dxa"/>
            <w:vAlign w:val="bottom"/>
            <w:vMerge w:val="restart"/>
          </w:tcPr>
          <w:p>
            <w:pPr>
              <w:ind w:left="140"/>
              <w:spacing w:after="0"/>
              <w:rPr>
                <w:sz w:val="20"/>
                <w:szCs w:val="20"/>
                <w:color w:val="auto"/>
              </w:rPr>
            </w:pPr>
            <w:r>
              <w:rPr>
                <w:rFonts w:ascii="Arial" w:cs="Arial" w:eastAsia="Arial" w:hAnsi="Arial"/>
                <w:sz w:val="12"/>
                <w:szCs w:val="12"/>
                <w:color w:val="FFFFFF"/>
              </w:rPr>
              <w:t>Report of the</w:t>
            </w: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4"/>
        </w:trPr>
        <w:tc>
          <w:tcPr>
            <w:tcW w:w="6080" w:type="dxa"/>
            <w:vAlign w:val="bottom"/>
            <w:tcBorders>
              <w:top w:val="single" w:sz="8" w:color="002B5F"/>
            </w:tcBorders>
            <w:vMerge w:val="restart"/>
            <w:shd w:val="clear" w:color="auto" w:fill="F7F1EC"/>
          </w:tcPr>
          <w:p>
            <w:pPr>
              <w:ind w:left="60"/>
              <w:spacing w:after="0"/>
              <w:rPr>
                <w:sz w:val="20"/>
                <w:szCs w:val="20"/>
                <w:color w:val="auto"/>
              </w:rPr>
            </w:pPr>
            <w:r>
              <w:rPr>
                <w:rFonts w:ascii="Arial" w:cs="Arial" w:eastAsia="Arial" w:hAnsi="Arial"/>
                <w:sz w:val="15"/>
                <w:szCs w:val="15"/>
                <w:color w:val="auto"/>
              </w:rPr>
              <w:t>Audit and Risk Committee</w:t>
            </w:r>
          </w:p>
        </w:tc>
        <w:tc>
          <w:tcPr>
            <w:tcW w:w="920" w:type="dxa"/>
            <w:vAlign w:val="bottom"/>
            <w:tcBorders>
              <w:top w:val="single" w:sz="8" w:color="002B5F"/>
            </w:tcBorders>
            <w:vMerge w:val="restart"/>
            <w:shd w:val="clear" w:color="auto" w:fill="F7F1EC"/>
          </w:tcPr>
          <w:p>
            <w:pPr>
              <w:jc w:val="center"/>
              <w:ind w:left="6"/>
              <w:spacing w:after="0"/>
              <w:rPr>
                <w:sz w:val="20"/>
                <w:szCs w:val="20"/>
                <w:color w:val="auto"/>
              </w:rPr>
            </w:pPr>
            <w:r>
              <w:rPr>
                <w:rFonts w:ascii="Arial" w:cs="Arial" w:eastAsia="Arial" w:hAnsi="Arial"/>
                <w:sz w:val="15"/>
                <w:szCs w:val="15"/>
                <w:color w:val="auto"/>
              </w:rPr>
              <w:t>$30,000</w:t>
            </w:r>
          </w:p>
        </w:tc>
        <w:tc>
          <w:tcPr>
            <w:tcW w:w="880" w:type="dxa"/>
            <w:vAlign w:val="bottom"/>
            <w:tcBorders>
              <w:top w:val="single" w:sz="8" w:color="002B5F"/>
            </w:tcBorders>
            <w:vMerge w:val="restart"/>
            <w:shd w:val="clear" w:color="auto" w:fill="F7F1EC"/>
          </w:tcPr>
          <w:p>
            <w:pPr>
              <w:jc w:val="center"/>
              <w:ind w:left="67"/>
              <w:spacing w:after="0"/>
              <w:rPr>
                <w:sz w:val="20"/>
                <w:szCs w:val="20"/>
                <w:color w:val="auto"/>
              </w:rPr>
            </w:pPr>
            <w:r>
              <w:rPr>
                <w:rFonts w:ascii="Arial" w:cs="Arial" w:eastAsia="Arial" w:hAnsi="Arial"/>
                <w:sz w:val="15"/>
                <w:szCs w:val="15"/>
                <w:color w:val="auto"/>
                <w:w w:val="99"/>
              </w:rPr>
              <w:t>$15,000</w:t>
            </w:r>
          </w:p>
        </w:tc>
        <w:tc>
          <w:tcPr>
            <w:tcW w:w="660" w:type="dxa"/>
            <w:vAlign w:val="bottom"/>
          </w:tcPr>
          <w:p>
            <w:pPr>
              <w:spacing w:after="0"/>
              <w:rPr>
                <w:sz w:val="7"/>
                <w:szCs w:val="7"/>
                <w:color w:val="auto"/>
              </w:rPr>
            </w:pPr>
          </w:p>
        </w:tc>
        <w:tc>
          <w:tcPr>
            <w:tcW w:w="1280" w:type="dxa"/>
            <w:vAlign w:val="bottom"/>
            <w:vMerge w:val="continue"/>
          </w:tcPr>
          <w:p>
            <w:pPr>
              <w:spacing w:after="0"/>
              <w:rPr>
                <w:sz w:val="7"/>
                <w:szCs w:val="7"/>
                <w:color w:val="auto"/>
              </w:rPr>
            </w:pPr>
          </w:p>
        </w:tc>
        <w:tc>
          <w:tcPr>
            <w:tcW w:w="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8"/>
        </w:trPr>
        <w:tc>
          <w:tcPr>
            <w:tcW w:w="6080" w:type="dxa"/>
            <w:vAlign w:val="bottom"/>
            <w:vMerge w:val="continue"/>
            <w:shd w:val="clear" w:color="auto" w:fill="F7F1EC"/>
          </w:tcPr>
          <w:p>
            <w:pPr>
              <w:spacing w:after="0"/>
              <w:rPr>
                <w:sz w:val="11"/>
                <w:szCs w:val="11"/>
                <w:color w:val="auto"/>
              </w:rPr>
            </w:pPr>
          </w:p>
        </w:tc>
        <w:tc>
          <w:tcPr>
            <w:tcW w:w="920" w:type="dxa"/>
            <w:vAlign w:val="bottom"/>
            <w:vMerge w:val="continue"/>
            <w:shd w:val="clear" w:color="auto" w:fill="F7F1EC"/>
          </w:tcPr>
          <w:p>
            <w:pPr>
              <w:spacing w:after="0"/>
              <w:rPr>
                <w:sz w:val="11"/>
                <w:szCs w:val="11"/>
                <w:color w:val="auto"/>
              </w:rPr>
            </w:pPr>
          </w:p>
        </w:tc>
        <w:tc>
          <w:tcPr>
            <w:tcW w:w="880" w:type="dxa"/>
            <w:vAlign w:val="bottom"/>
            <w:vMerge w:val="continue"/>
            <w:shd w:val="clear" w:color="auto" w:fill="F7F1EC"/>
          </w:tcPr>
          <w:p>
            <w:pPr>
              <w:spacing w:after="0"/>
              <w:rPr>
                <w:sz w:val="11"/>
                <w:szCs w:val="11"/>
                <w:color w:val="auto"/>
              </w:rPr>
            </w:pPr>
          </w:p>
        </w:tc>
        <w:tc>
          <w:tcPr>
            <w:tcW w:w="660" w:type="dxa"/>
            <w:vAlign w:val="bottom"/>
          </w:tcPr>
          <w:p>
            <w:pPr>
              <w:spacing w:after="0"/>
              <w:rPr>
                <w:sz w:val="11"/>
                <w:szCs w:val="11"/>
                <w:color w:val="auto"/>
              </w:rPr>
            </w:pPr>
          </w:p>
        </w:tc>
        <w:tc>
          <w:tcPr>
            <w:tcW w:w="1280" w:type="dxa"/>
            <w:vAlign w:val="bottom"/>
          </w:tcPr>
          <w:p>
            <w:pPr>
              <w:ind w:left="140"/>
              <w:spacing w:after="0" w:line="128" w:lineRule="exact"/>
              <w:rPr>
                <w:sz w:val="20"/>
                <w:szCs w:val="20"/>
                <w:color w:val="auto"/>
              </w:rPr>
            </w:pPr>
            <w:r>
              <w:rPr>
                <w:rFonts w:ascii="Arial" w:cs="Arial" w:eastAsia="Arial" w:hAnsi="Arial"/>
                <w:sz w:val="12"/>
                <w:szCs w:val="12"/>
                <w:color w:val="FFFFFF"/>
              </w:rPr>
              <w:t>Compensation</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6080" w:type="dxa"/>
            <w:vAlign w:val="bottom"/>
            <w:shd w:val="clear" w:color="auto" w:fill="F7F1EC"/>
          </w:tcPr>
          <w:p>
            <w:pPr>
              <w:spacing w:after="0"/>
              <w:rPr>
                <w:sz w:val="7"/>
                <w:szCs w:val="7"/>
                <w:color w:val="auto"/>
              </w:rPr>
            </w:pPr>
          </w:p>
        </w:tc>
        <w:tc>
          <w:tcPr>
            <w:tcW w:w="920" w:type="dxa"/>
            <w:vAlign w:val="bottom"/>
            <w:shd w:val="clear" w:color="auto" w:fill="F7F1EC"/>
          </w:tcPr>
          <w:p>
            <w:pPr>
              <w:spacing w:after="0"/>
              <w:rPr>
                <w:sz w:val="7"/>
                <w:szCs w:val="7"/>
                <w:color w:val="auto"/>
              </w:rPr>
            </w:pPr>
          </w:p>
        </w:tc>
        <w:tc>
          <w:tcPr>
            <w:tcW w:w="880" w:type="dxa"/>
            <w:vAlign w:val="bottom"/>
            <w:shd w:val="clear" w:color="auto" w:fill="F7F1EC"/>
          </w:tcPr>
          <w:p>
            <w:pPr>
              <w:spacing w:after="0"/>
              <w:rPr>
                <w:sz w:val="7"/>
                <w:szCs w:val="7"/>
                <w:color w:val="auto"/>
              </w:rPr>
            </w:pPr>
          </w:p>
        </w:tc>
        <w:tc>
          <w:tcPr>
            <w:tcW w:w="660" w:type="dxa"/>
            <w:vAlign w:val="bottom"/>
          </w:tcPr>
          <w:p>
            <w:pPr>
              <w:spacing w:after="0"/>
              <w:rPr>
                <w:sz w:val="7"/>
                <w:szCs w:val="7"/>
                <w:color w:val="auto"/>
              </w:rPr>
            </w:pPr>
          </w:p>
        </w:tc>
        <w:tc>
          <w:tcPr>
            <w:tcW w:w="1280" w:type="dxa"/>
            <w:vAlign w:val="bottom"/>
            <w:vMerge w:val="restart"/>
          </w:tcPr>
          <w:p>
            <w:pPr>
              <w:ind w:left="140"/>
              <w:spacing w:after="0" w:line="128" w:lineRule="exact"/>
              <w:rPr>
                <w:sz w:val="20"/>
                <w:szCs w:val="20"/>
                <w:color w:val="auto"/>
              </w:rPr>
            </w:pPr>
            <w:r>
              <w:rPr>
                <w:rFonts w:ascii="Arial" w:cs="Arial" w:eastAsia="Arial" w:hAnsi="Arial"/>
                <w:sz w:val="12"/>
                <w:szCs w:val="12"/>
                <w:color w:val="FFFFFF"/>
              </w:rPr>
              <w:t>and Human</w:t>
            </w:r>
          </w:p>
        </w:tc>
        <w:tc>
          <w:tcPr>
            <w:tcW w:w="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6"/>
        </w:trPr>
        <w:tc>
          <w:tcPr>
            <w:tcW w:w="6080" w:type="dxa"/>
            <w:vAlign w:val="bottom"/>
          </w:tcPr>
          <w:p>
            <w:pPr>
              <w:spacing w:after="0"/>
              <w:rPr>
                <w:sz w:val="4"/>
                <w:szCs w:val="4"/>
                <w:color w:val="auto"/>
              </w:rPr>
            </w:pPr>
          </w:p>
        </w:tc>
        <w:tc>
          <w:tcPr>
            <w:tcW w:w="920" w:type="dxa"/>
            <w:vAlign w:val="bottom"/>
          </w:tcPr>
          <w:p>
            <w:pPr>
              <w:spacing w:after="0"/>
              <w:rPr>
                <w:sz w:val="4"/>
                <w:szCs w:val="4"/>
                <w:color w:val="auto"/>
              </w:rPr>
            </w:pPr>
          </w:p>
        </w:tc>
        <w:tc>
          <w:tcPr>
            <w:tcW w:w="880" w:type="dxa"/>
            <w:vAlign w:val="bottom"/>
          </w:tcPr>
          <w:p>
            <w:pPr>
              <w:spacing w:after="0"/>
              <w:rPr>
                <w:sz w:val="4"/>
                <w:szCs w:val="4"/>
                <w:color w:val="auto"/>
              </w:rPr>
            </w:pPr>
          </w:p>
        </w:tc>
        <w:tc>
          <w:tcPr>
            <w:tcW w:w="660" w:type="dxa"/>
            <w:vAlign w:val="bottom"/>
          </w:tcPr>
          <w:p>
            <w:pPr>
              <w:spacing w:after="0"/>
              <w:rPr>
                <w:sz w:val="4"/>
                <w:szCs w:val="4"/>
                <w:color w:val="auto"/>
              </w:rPr>
            </w:pPr>
          </w:p>
        </w:tc>
        <w:tc>
          <w:tcPr>
            <w:tcW w:w="1280" w:type="dxa"/>
            <w:vAlign w:val="bottom"/>
            <w:vMerge w:val="continue"/>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6080" w:type="dxa"/>
            <w:vAlign w:val="bottom"/>
          </w:tcPr>
          <w:p>
            <w:pPr>
              <w:ind w:left="60"/>
              <w:spacing w:after="0" w:line="171" w:lineRule="exact"/>
              <w:rPr>
                <w:sz w:val="20"/>
                <w:szCs w:val="20"/>
                <w:color w:val="auto"/>
              </w:rPr>
            </w:pPr>
            <w:r>
              <w:rPr>
                <w:rFonts w:ascii="Arial" w:cs="Arial" w:eastAsia="Arial" w:hAnsi="Arial"/>
                <w:sz w:val="15"/>
                <w:szCs w:val="15"/>
                <w:color w:val="auto"/>
              </w:rPr>
              <w:t>Compensation Committee</w:t>
            </w:r>
          </w:p>
        </w:tc>
        <w:tc>
          <w:tcPr>
            <w:tcW w:w="920" w:type="dxa"/>
            <w:vAlign w:val="bottom"/>
          </w:tcPr>
          <w:p>
            <w:pPr>
              <w:jc w:val="center"/>
              <w:ind w:left="6"/>
              <w:spacing w:after="0" w:line="171" w:lineRule="exact"/>
              <w:rPr>
                <w:sz w:val="20"/>
                <w:szCs w:val="20"/>
                <w:color w:val="auto"/>
              </w:rPr>
            </w:pPr>
            <w:r>
              <w:rPr>
                <w:rFonts w:ascii="Arial" w:cs="Arial" w:eastAsia="Arial" w:hAnsi="Arial"/>
                <w:sz w:val="15"/>
                <w:szCs w:val="15"/>
                <w:color w:val="auto"/>
              </w:rPr>
              <w:t>$25,000</w:t>
            </w:r>
          </w:p>
        </w:tc>
        <w:tc>
          <w:tcPr>
            <w:tcW w:w="880" w:type="dxa"/>
            <w:vAlign w:val="bottom"/>
          </w:tcPr>
          <w:p>
            <w:pPr>
              <w:jc w:val="center"/>
              <w:ind w:left="67"/>
              <w:spacing w:after="0" w:line="171" w:lineRule="exact"/>
              <w:rPr>
                <w:sz w:val="20"/>
                <w:szCs w:val="20"/>
                <w:color w:val="auto"/>
              </w:rPr>
            </w:pPr>
            <w:r>
              <w:rPr>
                <w:rFonts w:ascii="Arial" w:cs="Arial" w:eastAsia="Arial" w:hAnsi="Arial"/>
                <w:sz w:val="15"/>
                <w:szCs w:val="15"/>
                <w:color w:val="auto"/>
                <w:w w:val="99"/>
              </w:rPr>
              <w:t>$12,500</w:t>
            </w:r>
          </w:p>
        </w:tc>
        <w:tc>
          <w:tcPr>
            <w:tcW w:w="660" w:type="dxa"/>
            <w:vAlign w:val="bottom"/>
          </w:tcPr>
          <w:p>
            <w:pPr>
              <w:spacing w:after="0"/>
              <w:rPr>
                <w:sz w:val="14"/>
                <w:szCs w:val="14"/>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Resources</w:t>
            </w: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9"/>
        </w:trPr>
        <w:tc>
          <w:tcPr>
            <w:tcW w:w="6080" w:type="dxa"/>
            <w:vAlign w:val="bottom"/>
          </w:tcPr>
          <w:p>
            <w:pPr>
              <w:spacing w:after="0"/>
              <w:rPr>
                <w:sz w:val="7"/>
                <w:szCs w:val="7"/>
                <w:color w:val="auto"/>
              </w:rPr>
            </w:pPr>
          </w:p>
        </w:tc>
        <w:tc>
          <w:tcPr>
            <w:tcW w:w="920" w:type="dxa"/>
            <w:vAlign w:val="bottom"/>
          </w:tcPr>
          <w:p>
            <w:pPr>
              <w:spacing w:after="0"/>
              <w:rPr>
                <w:sz w:val="7"/>
                <w:szCs w:val="7"/>
                <w:color w:val="auto"/>
              </w:rPr>
            </w:pPr>
          </w:p>
        </w:tc>
        <w:tc>
          <w:tcPr>
            <w:tcW w:w="880" w:type="dxa"/>
            <w:vAlign w:val="bottom"/>
          </w:tcPr>
          <w:p>
            <w:pPr>
              <w:spacing w:after="0"/>
              <w:rPr>
                <w:sz w:val="7"/>
                <w:szCs w:val="7"/>
                <w:color w:val="auto"/>
              </w:rPr>
            </w:pPr>
          </w:p>
        </w:tc>
        <w:tc>
          <w:tcPr>
            <w:tcW w:w="660" w:type="dxa"/>
            <w:vAlign w:val="bottom"/>
          </w:tcPr>
          <w:p>
            <w:pPr>
              <w:spacing w:after="0"/>
              <w:rPr>
                <w:sz w:val="7"/>
                <w:szCs w:val="7"/>
                <w:color w:val="auto"/>
              </w:rPr>
            </w:pPr>
          </w:p>
        </w:tc>
        <w:tc>
          <w:tcPr>
            <w:tcW w:w="1280" w:type="dxa"/>
            <w:vAlign w:val="bottom"/>
          </w:tcPr>
          <w:p>
            <w:pPr>
              <w:ind w:left="140"/>
              <w:spacing w:after="0" w:line="90" w:lineRule="exact"/>
              <w:rPr>
                <w:sz w:val="20"/>
                <w:szCs w:val="20"/>
                <w:color w:val="auto"/>
              </w:rPr>
            </w:pPr>
            <w:r>
              <w:rPr>
                <w:rFonts w:ascii="Arial" w:cs="Arial" w:eastAsia="Arial" w:hAnsi="Arial"/>
                <w:sz w:val="10"/>
                <w:szCs w:val="10"/>
                <w:color w:val="FFFFFF"/>
              </w:rPr>
              <w:t>Committee of the</w:t>
            </w:r>
          </w:p>
        </w:tc>
        <w:tc>
          <w:tcPr>
            <w:tcW w:w="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6080" w:type="dxa"/>
            <w:vAlign w:val="bottom"/>
          </w:tcPr>
          <w:p>
            <w:pPr>
              <w:spacing w:after="0"/>
              <w:rPr>
                <w:sz w:val="6"/>
                <w:szCs w:val="6"/>
                <w:color w:val="auto"/>
              </w:rPr>
            </w:pPr>
          </w:p>
        </w:tc>
        <w:tc>
          <w:tcPr>
            <w:tcW w:w="920" w:type="dxa"/>
            <w:vAlign w:val="bottom"/>
            <w:shd w:val="clear" w:color="auto" w:fill="F7F1EC"/>
          </w:tcPr>
          <w:p>
            <w:pPr>
              <w:spacing w:after="0"/>
              <w:rPr>
                <w:sz w:val="6"/>
                <w:szCs w:val="6"/>
                <w:color w:val="auto"/>
              </w:rPr>
            </w:pPr>
          </w:p>
        </w:tc>
        <w:tc>
          <w:tcPr>
            <w:tcW w:w="880" w:type="dxa"/>
            <w:vAlign w:val="bottom"/>
            <w:shd w:val="clear" w:color="auto" w:fill="F7F1EC"/>
          </w:tcPr>
          <w:p>
            <w:pPr>
              <w:spacing w:after="0"/>
              <w:rPr>
                <w:sz w:val="6"/>
                <w:szCs w:val="6"/>
                <w:color w:val="auto"/>
              </w:rPr>
            </w:pPr>
          </w:p>
        </w:tc>
        <w:tc>
          <w:tcPr>
            <w:tcW w:w="660" w:type="dxa"/>
            <w:vAlign w:val="bottom"/>
          </w:tcPr>
          <w:p>
            <w:pPr>
              <w:spacing w:after="0"/>
              <w:rPr>
                <w:sz w:val="6"/>
                <w:szCs w:val="6"/>
                <w:color w:val="auto"/>
              </w:rPr>
            </w:pPr>
          </w:p>
        </w:tc>
        <w:tc>
          <w:tcPr>
            <w:tcW w:w="1280" w:type="dxa"/>
            <w:vAlign w:val="bottom"/>
            <w:vMerge w:val="restart"/>
          </w:tcPr>
          <w:p>
            <w:pPr>
              <w:ind w:left="140"/>
              <w:spacing w:after="0"/>
              <w:rPr>
                <w:sz w:val="20"/>
                <w:szCs w:val="20"/>
                <w:color w:val="auto"/>
              </w:rPr>
            </w:pPr>
            <w:r>
              <w:rPr>
                <w:rFonts w:ascii="Arial" w:cs="Arial" w:eastAsia="Arial" w:hAnsi="Arial"/>
                <w:sz w:val="12"/>
                <w:szCs w:val="12"/>
                <w:color w:val="FFFFFF"/>
              </w:rPr>
              <w:t>Board of Directors</w:t>
            </w:r>
          </w:p>
        </w:tc>
        <w:tc>
          <w:tcPr>
            <w:tcW w:w="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6080" w:type="dxa"/>
            <w:vAlign w:val="bottom"/>
            <w:vMerge w:val="restart"/>
          </w:tcPr>
          <w:p>
            <w:pPr>
              <w:ind w:left="60"/>
              <w:spacing w:after="0"/>
              <w:rPr>
                <w:sz w:val="20"/>
                <w:szCs w:val="20"/>
                <w:color w:val="auto"/>
              </w:rPr>
            </w:pPr>
            <w:r>
              <w:rPr>
                <w:rFonts w:ascii="Arial" w:cs="Arial" w:eastAsia="Arial" w:hAnsi="Arial"/>
                <w:sz w:val="15"/>
                <w:szCs w:val="15"/>
                <w:color w:val="auto"/>
              </w:rPr>
              <w:t>Nominating and Governance Committee</w:t>
            </w:r>
          </w:p>
        </w:tc>
        <w:tc>
          <w:tcPr>
            <w:tcW w:w="920" w:type="dxa"/>
            <w:vAlign w:val="bottom"/>
            <w:vMerge w:val="restart"/>
          </w:tcPr>
          <w:p>
            <w:pPr>
              <w:jc w:val="center"/>
              <w:ind w:left="6"/>
              <w:spacing w:after="0"/>
              <w:rPr>
                <w:sz w:val="20"/>
                <w:szCs w:val="20"/>
                <w:color w:val="auto"/>
              </w:rPr>
            </w:pPr>
            <w:r>
              <w:rPr>
                <w:rFonts w:ascii="Arial" w:cs="Arial" w:eastAsia="Arial" w:hAnsi="Arial"/>
                <w:sz w:val="15"/>
                <w:szCs w:val="15"/>
                <w:color w:val="auto"/>
              </w:rPr>
              <w:t>$20,000</w:t>
            </w:r>
          </w:p>
        </w:tc>
        <w:tc>
          <w:tcPr>
            <w:tcW w:w="880" w:type="dxa"/>
            <w:vAlign w:val="bottom"/>
            <w:vMerge w:val="restart"/>
          </w:tcPr>
          <w:p>
            <w:pPr>
              <w:jc w:val="center"/>
              <w:ind w:left="67"/>
              <w:spacing w:after="0"/>
              <w:rPr>
                <w:sz w:val="20"/>
                <w:szCs w:val="20"/>
                <w:color w:val="auto"/>
              </w:rPr>
            </w:pPr>
            <w:r>
              <w:rPr>
                <w:rFonts w:ascii="Arial" w:cs="Arial" w:eastAsia="Arial" w:hAnsi="Arial"/>
                <w:sz w:val="15"/>
                <w:szCs w:val="15"/>
                <w:color w:val="auto"/>
                <w:w w:val="99"/>
              </w:rPr>
              <w:t>$10,000</w:t>
            </w:r>
          </w:p>
        </w:tc>
        <w:tc>
          <w:tcPr>
            <w:tcW w:w="660" w:type="dxa"/>
            <w:vAlign w:val="bottom"/>
          </w:tcPr>
          <w:p>
            <w:pPr>
              <w:spacing w:after="0"/>
              <w:rPr>
                <w:sz w:val="7"/>
                <w:szCs w:val="7"/>
                <w:color w:val="auto"/>
              </w:rPr>
            </w:pPr>
          </w:p>
        </w:tc>
        <w:tc>
          <w:tcPr>
            <w:tcW w:w="1280" w:type="dxa"/>
            <w:vAlign w:val="bottom"/>
            <w:vMerge w:val="continue"/>
          </w:tcPr>
          <w:p>
            <w:pPr>
              <w:spacing w:after="0"/>
              <w:rPr>
                <w:sz w:val="7"/>
                <w:szCs w:val="7"/>
                <w:color w:val="auto"/>
              </w:rPr>
            </w:pPr>
          </w:p>
        </w:tc>
        <w:tc>
          <w:tcPr>
            <w:tcW w:w="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9"/>
        </w:trPr>
        <w:tc>
          <w:tcPr>
            <w:tcW w:w="608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66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341630</wp:posOffset>
            </wp:positionH>
            <wp:positionV relativeFrom="paragraph">
              <wp:posOffset>-175260</wp:posOffset>
            </wp:positionV>
            <wp:extent cx="4999990" cy="19431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4999990" cy="194310"/>
                    </a:xfrm>
                    <a:prstGeom prst="rect">
                      <a:avLst/>
                    </a:prstGeom>
                    <a:noFill/>
                  </pic:spPr>
                </pic:pic>
              </a:graphicData>
            </a:graphic>
          </wp:anchor>
        </w:drawing>
      </w:r>
    </w:p>
    <w:p>
      <w:pPr>
        <w:sectPr>
          <w:pgSz w:w="11900" w:h="16838" w:orient="portrait"/>
          <w:cols w:equalWidth="0" w:num="1">
            <w:col w:w="10800"/>
          </w:cols>
          <w:pgMar w:left="320" w:top="464" w:right="779" w:bottom="1440" w:gutter="0" w:footer="0" w:header="0"/>
        </w:sectPr>
      </w:pPr>
    </w:p>
    <w:p>
      <w:pPr>
        <w:spacing w:after="0" w:line="119" w:lineRule="exact"/>
        <w:rPr>
          <w:sz w:val="20"/>
          <w:szCs w:val="20"/>
          <w:color w:val="auto"/>
        </w:rPr>
      </w:pPr>
    </w:p>
    <w:p>
      <w:pPr>
        <w:jc w:val="both"/>
        <w:ind w:left="540" w:right="280"/>
        <w:spacing w:after="0" w:line="258" w:lineRule="auto"/>
        <w:rPr>
          <w:sz w:val="20"/>
          <w:szCs w:val="20"/>
          <w:color w:val="auto"/>
        </w:rPr>
      </w:pPr>
      <w:r>
        <w:rPr>
          <w:rFonts w:ascii="Arial" w:cs="Arial" w:eastAsia="Arial" w:hAnsi="Arial"/>
          <w:sz w:val="15"/>
          <w:szCs w:val="15"/>
          <w:color w:val="auto"/>
        </w:rPr>
        <w:t>Our Director Compensation Policy also provides that the chair of the Board receives an additional annual service retainer of $140,000 in connection with his or her additional duties. The retainers for committee and chair service are paid in cash in installments following the end of each quarter of service. Our directors are also reimbursed for expenses incurred in connection with their attendance at Board and committee meetings. Mr. Steinmeier does not receive additional compensation for his service as a director.</w:t>
      </w:r>
    </w:p>
    <w:p>
      <w:pPr>
        <w:spacing w:after="0" w:line="68" w:lineRule="exact"/>
        <w:rPr>
          <w:sz w:val="20"/>
          <w:szCs w:val="20"/>
          <w:color w:val="auto"/>
        </w:rPr>
      </w:pPr>
    </w:p>
    <w:p>
      <w:pPr>
        <w:ind w:left="540" w:right="120"/>
        <w:spacing w:after="0" w:line="253" w:lineRule="auto"/>
        <w:rPr>
          <w:sz w:val="20"/>
          <w:szCs w:val="20"/>
          <w:color w:val="auto"/>
        </w:rPr>
      </w:pPr>
      <w:r>
        <w:rPr>
          <w:rFonts w:ascii="Arial" w:cs="Arial" w:eastAsia="Arial" w:hAnsi="Arial"/>
          <w:sz w:val="15"/>
          <w:szCs w:val="15"/>
          <w:color w:val="auto"/>
        </w:rPr>
        <w:t>As noted above, each of our non-employee directors elected at our 2025 annual meeting of stockholders was granted an annual award of restricted stock or, as described below under “</w:t>
      </w:r>
      <w:r>
        <w:rPr>
          <w:rFonts w:ascii="Arial" w:cs="Arial" w:eastAsia="Arial" w:hAnsi="Arial"/>
          <w:sz w:val="15"/>
          <w:szCs w:val="15"/>
          <w:i w:val="1"/>
          <w:iCs w:val="1"/>
          <w:color w:val="auto"/>
        </w:rPr>
        <w:t>Deferred Compensation Plan,”</w:t>
      </w:r>
      <w:r>
        <w:rPr>
          <w:rFonts w:ascii="Arial" w:cs="Arial" w:eastAsia="Arial" w:hAnsi="Arial"/>
          <w:sz w:val="15"/>
          <w:szCs w:val="15"/>
          <w:color w:val="auto"/>
        </w:rPr>
        <w:t xml:space="preserve"> deferred stock units, having a grant date value of $205,000 (based on the average of the closing price of our Common Stock for the trailing thirty consecutive trading days including the grant date). Mr. Khanna, who was elected to our Board in January 2026, was granted a prorated annual award of deferred stock units having a grant date value of $51,250 (based on the average of the closing price of our Common Stock for the trailing thirty consecutive trading days including the grant date) under the terms of our Director Compensation Policy. In each case, these awards vest in full on May 13, 2026, which is the day prior to the Annual Meeting, generally subject to the director’s continued service through that date. We believe these equity grants serve to further align our directors’ interests with the interests of our stockholders.</w:t>
      </w:r>
    </w:p>
    <w:p>
      <w:pPr>
        <w:spacing w:after="0" w:line="252" w:lineRule="exact"/>
        <w:rPr>
          <w:sz w:val="20"/>
          <w:szCs w:val="20"/>
          <w:color w:val="auto"/>
        </w:rPr>
      </w:pPr>
    </w:p>
    <w:p>
      <w:pPr>
        <w:ind w:left="540" w:right="220"/>
        <w:spacing w:after="0" w:line="261" w:lineRule="auto"/>
        <w:rPr>
          <w:sz w:val="20"/>
          <w:szCs w:val="20"/>
          <w:color w:val="auto"/>
        </w:rPr>
      </w:pPr>
      <w:r>
        <w:rPr>
          <w:rFonts w:ascii="Arial" w:cs="Arial" w:eastAsia="Arial" w:hAnsi="Arial"/>
          <w:sz w:val="15"/>
          <w:szCs w:val="15"/>
          <w:color w:val="auto"/>
        </w:rPr>
        <w:t>Our Director Compensation Policy permits non-employee directors to make an election to be issued, in lieu of the cash portion of their annual service retainer, fully vested shares of our Common Stock. In 2025, the number of fully vested shares was determined by dividing $105,000 by the average of the closing price of our Common Stock for the trailing thirty consecutive trading days including the date such shares were granted.</w:t>
      </w:r>
    </w:p>
    <w:p>
      <w:pPr>
        <w:spacing w:after="0" w:line="66" w:lineRule="exact"/>
        <w:rPr>
          <w:sz w:val="20"/>
          <w:szCs w:val="20"/>
          <w:color w:val="auto"/>
        </w:rPr>
      </w:pPr>
    </w:p>
    <w:p>
      <w:pPr>
        <w:ind w:left="540" w:right="100"/>
        <w:spacing w:after="0" w:line="257" w:lineRule="auto"/>
        <w:rPr>
          <w:sz w:val="20"/>
          <w:szCs w:val="20"/>
          <w:color w:val="auto"/>
        </w:rPr>
      </w:pPr>
      <w:r>
        <w:rPr>
          <w:rFonts w:ascii="Arial" w:cs="Arial" w:eastAsia="Arial" w:hAnsi="Arial"/>
          <w:sz w:val="15"/>
          <w:szCs w:val="15"/>
          <w:color w:val="auto"/>
        </w:rPr>
        <w:t>The Compensation Committee annually reviews the director compensation practices of our compensation peer group, as described under “</w:t>
      </w:r>
      <w:r>
        <w:rPr>
          <w:rFonts w:ascii="Arial" w:cs="Arial" w:eastAsia="Arial" w:hAnsi="Arial"/>
          <w:sz w:val="15"/>
          <w:szCs w:val="15"/>
          <w:i w:val="1"/>
          <w:iCs w:val="1"/>
          <w:color w:val="auto"/>
        </w:rPr>
        <w:t>Benchmarking</w:t>
      </w:r>
      <w:r>
        <w:rPr>
          <w:rFonts w:ascii="Arial" w:cs="Arial" w:eastAsia="Arial" w:hAnsi="Arial"/>
          <w:sz w:val="15"/>
          <w:szCs w:val="15"/>
          <w:color w:val="auto"/>
        </w:rPr>
        <w:t>” in the Compensation Discussion and Analysis, with the assistance of the Compensation Consultant. As a result of the 2025 benchmarking analysis, to align director compensation more closely with the median of our peer group, the Compensation Committee recommended an increase of $5,000 in the amount of the cash portion and $20,000 in the amount of the equity portion of the annual service retainer under our Director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FFFFFF"/>
        </w:rPr>
        <w:t>Compensation of</w:t>
      </w:r>
    </w:p>
    <w:p>
      <w:pPr>
        <w:spacing w:after="0" w:line="224" w:lineRule="auto"/>
        <w:rPr>
          <w:sz w:val="20"/>
          <w:szCs w:val="20"/>
          <w:color w:val="auto"/>
        </w:rPr>
      </w:pPr>
      <w:r>
        <w:rPr>
          <w:rFonts w:ascii="Arial" w:cs="Arial" w:eastAsia="Arial" w:hAnsi="Arial"/>
          <w:sz w:val="12"/>
          <w:szCs w:val="12"/>
          <w:color w:val="FFFFFF"/>
        </w:rPr>
        <w:t>Named Executive</w:t>
      </w:r>
    </w:p>
    <w:p>
      <w:pPr>
        <w:spacing w:after="0"/>
        <w:rPr>
          <w:sz w:val="20"/>
          <w:szCs w:val="20"/>
          <w:color w:val="auto"/>
        </w:rPr>
      </w:pPr>
      <w:r>
        <w:rPr>
          <w:rFonts w:ascii="Arial" w:cs="Arial" w:eastAsia="Arial" w:hAnsi="Arial"/>
          <w:sz w:val="12"/>
          <w:szCs w:val="12"/>
          <w:color w:val="FFFFFF"/>
        </w:rPr>
        <w:t>Officers</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Pay Versus</w:t>
      </w:r>
    </w:p>
    <w:p>
      <w:pPr>
        <w:spacing w:after="0" w:line="224" w:lineRule="auto"/>
        <w:rPr>
          <w:sz w:val="20"/>
          <w:szCs w:val="20"/>
          <w:color w:val="auto"/>
        </w:rPr>
      </w:pPr>
      <w:r>
        <w:rPr>
          <w:rFonts w:ascii="Arial" w:cs="Arial" w:eastAsia="Arial" w:hAnsi="Arial"/>
          <w:sz w:val="12"/>
          <w:szCs w:val="12"/>
          <w:color w:val="FFFFFF"/>
        </w:rPr>
        <w:t>Performance</w:t>
      </w:r>
    </w:p>
    <w:p>
      <w:pPr>
        <w:spacing w:after="0"/>
        <w:rPr>
          <w:sz w:val="20"/>
          <w:szCs w:val="20"/>
          <w:color w:val="auto"/>
        </w:rPr>
      </w:pPr>
      <w:r>
        <w:rPr>
          <w:rFonts w:ascii="Arial" w:cs="Arial" w:eastAsia="Arial" w:hAnsi="Arial"/>
          <w:sz w:val="12"/>
          <w:szCs w:val="12"/>
          <w:color w:val="FFFFFF"/>
        </w:rPr>
        <w:t>Disclosure</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Security</w:t>
      </w:r>
    </w:p>
    <w:p>
      <w:pPr>
        <w:spacing w:after="0" w:line="224" w:lineRule="auto"/>
        <w:rPr>
          <w:sz w:val="20"/>
          <w:szCs w:val="20"/>
          <w:color w:val="auto"/>
        </w:rPr>
      </w:pPr>
      <w:r>
        <w:rPr>
          <w:rFonts w:ascii="Arial" w:cs="Arial" w:eastAsia="Arial" w:hAnsi="Arial"/>
          <w:sz w:val="12"/>
          <w:szCs w:val="12"/>
          <w:color w:val="FFFFFF"/>
        </w:rPr>
        <w:t>Ownership of</w:t>
      </w:r>
    </w:p>
    <w:p>
      <w:pPr>
        <w:spacing w:after="0" w:line="222" w:lineRule="auto"/>
        <w:rPr>
          <w:sz w:val="20"/>
          <w:szCs w:val="20"/>
          <w:color w:val="auto"/>
        </w:rPr>
      </w:pPr>
      <w:r>
        <w:rPr>
          <w:rFonts w:ascii="Arial" w:cs="Arial" w:eastAsia="Arial" w:hAnsi="Arial"/>
          <w:sz w:val="12"/>
          <w:szCs w:val="12"/>
          <w:color w:val="FFFFFF"/>
        </w:rPr>
        <w:t>Certain Beneficial</w:t>
      </w:r>
    </w:p>
    <w:p>
      <w:pPr>
        <w:spacing w:after="0" w:line="222" w:lineRule="auto"/>
        <w:rPr>
          <w:sz w:val="20"/>
          <w:szCs w:val="20"/>
          <w:color w:val="auto"/>
        </w:rPr>
      </w:pPr>
      <w:r>
        <w:rPr>
          <w:rFonts w:ascii="Arial" w:cs="Arial" w:eastAsia="Arial" w:hAnsi="Arial"/>
          <w:sz w:val="12"/>
          <w:szCs w:val="12"/>
          <w:color w:val="FFFFFF"/>
        </w:rPr>
        <w:t>Owners and</w:t>
      </w:r>
    </w:p>
    <w:p>
      <w:pPr>
        <w:spacing w:after="0"/>
        <w:rPr>
          <w:sz w:val="20"/>
          <w:szCs w:val="20"/>
          <w:color w:val="auto"/>
        </w:rPr>
      </w:pPr>
      <w:r>
        <w:rPr>
          <w:rFonts w:ascii="Arial" w:cs="Arial" w:eastAsia="Arial" w:hAnsi="Arial"/>
          <w:sz w:val="12"/>
          <w:szCs w:val="12"/>
          <w:color w:val="FFFFFF"/>
        </w:rPr>
        <w:t>Management</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Certain</w:t>
      </w:r>
    </w:p>
    <w:p>
      <w:pPr>
        <w:spacing w:after="0" w:line="224" w:lineRule="auto"/>
        <w:rPr>
          <w:sz w:val="20"/>
          <w:szCs w:val="20"/>
          <w:color w:val="auto"/>
        </w:rPr>
      </w:pPr>
      <w:r>
        <w:rPr>
          <w:rFonts w:ascii="Arial" w:cs="Arial" w:eastAsia="Arial" w:hAnsi="Arial"/>
          <w:sz w:val="12"/>
          <w:szCs w:val="12"/>
          <w:color w:val="FFFFFF"/>
        </w:rPr>
        <w:t>Relationships and</w:t>
      </w:r>
    </w:p>
    <w:p>
      <w:pPr>
        <w:spacing w:after="0" w:line="222" w:lineRule="auto"/>
        <w:rPr>
          <w:sz w:val="20"/>
          <w:szCs w:val="20"/>
          <w:color w:val="auto"/>
        </w:rPr>
      </w:pPr>
      <w:r>
        <w:rPr>
          <w:rFonts w:ascii="Arial" w:cs="Arial" w:eastAsia="Arial" w:hAnsi="Arial"/>
          <w:sz w:val="12"/>
          <w:szCs w:val="12"/>
          <w:color w:val="FFFFFF"/>
        </w:rPr>
        <w:t>Related Party</w:t>
      </w:r>
    </w:p>
    <w:p>
      <w:pPr>
        <w:spacing w:after="0"/>
        <w:rPr>
          <w:sz w:val="20"/>
          <w:szCs w:val="20"/>
          <w:color w:val="auto"/>
        </w:rPr>
      </w:pPr>
      <w:r>
        <w:rPr>
          <w:rFonts w:ascii="Arial" w:cs="Arial" w:eastAsia="Arial" w:hAnsi="Arial"/>
          <w:sz w:val="12"/>
          <w:szCs w:val="12"/>
          <w:color w:val="FFFFFF"/>
        </w:rPr>
        <w:t>Transactions</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Proposal 2</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FFFFFF"/>
        </w:rPr>
        <w:t>Report of the</w:t>
      </w:r>
    </w:p>
    <w:p>
      <w:pPr>
        <w:spacing w:after="0" w:line="224" w:lineRule="auto"/>
        <w:rPr>
          <w:sz w:val="20"/>
          <w:szCs w:val="20"/>
          <w:color w:val="auto"/>
        </w:rPr>
      </w:pPr>
      <w:r>
        <w:rPr>
          <w:rFonts w:ascii="Arial" w:cs="Arial" w:eastAsia="Arial" w:hAnsi="Arial"/>
          <w:sz w:val="12"/>
          <w:szCs w:val="12"/>
          <w:color w:val="FFFFFF"/>
        </w:rPr>
        <w:t>Audit and Risk</w:t>
      </w:r>
    </w:p>
    <w:p>
      <w:pPr>
        <w:spacing w:after="0" w:line="222" w:lineRule="auto"/>
        <w:rPr>
          <w:sz w:val="20"/>
          <w:szCs w:val="20"/>
          <w:color w:val="auto"/>
        </w:rPr>
      </w:pPr>
      <w:r>
        <w:rPr>
          <w:rFonts w:ascii="Arial" w:cs="Arial" w:eastAsia="Arial" w:hAnsi="Arial"/>
          <w:sz w:val="12"/>
          <w:szCs w:val="12"/>
          <w:color w:val="FFFFFF"/>
        </w:rPr>
        <w:t>Committee of the</w:t>
      </w:r>
    </w:p>
    <w:p>
      <w:pPr>
        <w:spacing w:after="0"/>
        <w:rPr>
          <w:sz w:val="20"/>
          <w:szCs w:val="20"/>
          <w:color w:val="auto"/>
        </w:rPr>
      </w:pPr>
      <w:r>
        <w:rPr>
          <w:rFonts w:ascii="Arial" w:cs="Arial" w:eastAsia="Arial" w:hAnsi="Arial"/>
          <w:sz w:val="11"/>
          <w:szCs w:val="11"/>
          <w:color w:val="FFFFFF"/>
        </w:rPr>
        <w:t>Board of Directors</w:t>
      </w:r>
    </w:p>
    <w:p>
      <w:pPr>
        <w:spacing w:after="0" w:line="155" w:lineRule="exact"/>
        <w:rPr>
          <w:sz w:val="20"/>
          <w:szCs w:val="20"/>
          <w:color w:val="auto"/>
        </w:rPr>
      </w:pPr>
    </w:p>
    <w:p>
      <w:pPr>
        <w:spacing w:after="0"/>
        <w:rPr>
          <w:sz w:val="20"/>
          <w:szCs w:val="20"/>
          <w:color w:val="auto"/>
        </w:rPr>
      </w:pPr>
      <w:r>
        <w:rPr>
          <w:rFonts w:ascii="Arial" w:cs="Arial" w:eastAsia="Arial" w:hAnsi="Arial"/>
          <w:sz w:val="12"/>
          <w:szCs w:val="12"/>
          <w:color w:val="FFFFFF"/>
        </w:rPr>
        <w:t>Proposal 3</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FFFFFF"/>
        </w:rPr>
        <w:t>Proposal 4</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FFFFFF"/>
        </w:rPr>
        <w:t>Proposal 5</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FFFFFF"/>
        </w:rPr>
        <w:t>Proposal 6</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FFFFFF"/>
        </w:rPr>
        <w:t>Stockholder</w:t>
      </w:r>
    </w:p>
    <w:p>
      <w:pPr>
        <w:spacing w:after="0" w:line="224" w:lineRule="auto"/>
        <w:rPr>
          <w:sz w:val="20"/>
          <w:szCs w:val="20"/>
          <w:color w:val="auto"/>
        </w:rPr>
      </w:pPr>
      <w:r>
        <w:rPr>
          <w:rFonts w:ascii="Arial" w:cs="Arial" w:eastAsia="Arial" w:hAnsi="Arial"/>
          <w:sz w:val="12"/>
          <w:szCs w:val="12"/>
          <w:color w:val="FFFFFF"/>
        </w:rPr>
        <w:t>Proposals and</w:t>
      </w:r>
    </w:p>
    <w:p>
      <w:pPr>
        <w:spacing w:after="0"/>
        <w:rPr>
          <w:sz w:val="20"/>
          <w:szCs w:val="20"/>
          <w:color w:val="auto"/>
        </w:rPr>
      </w:pPr>
      <w:r>
        <w:rPr>
          <w:rFonts w:ascii="Arial" w:cs="Arial" w:eastAsia="Arial" w:hAnsi="Arial"/>
          <w:sz w:val="12"/>
          <w:szCs w:val="12"/>
          <w:color w:val="FFFFFF"/>
        </w:rPr>
        <w:t>Other Matters</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Delinquent</w:t>
      </w:r>
    </w:p>
    <w:p>
      <w:pPr>
        <w:spacing w:after="0" w:line="224" w:lineRule="auto"/>
        <w:rPr>
          <w:sz w:val="20"/>
          <w:szCs w:val="20"/>
          <w:color w:val="auto"/>
        </w:rPr>
      </w:pPr>
      <w:r>
        <w:rPr>
          <w:rFonts w:ascii="Arial" w:cs="Arial" w:eastAsia="Arial" w:hAnsi="Arial"/>
          <w:sz w:val="12"/>
          <w:szCs w:val="12"/>
          <w:color w:val="FFFFFF"/>
        </w:rPr>
        <w:t>Section 16(a)</w:t>
      </w:r>
    </w:p>
    <w:p>
      <w:pPr>
        <w:spacing w:after="0"/>
        <w:rPr>
          <w:sz w:val="20"/>
          <w:szCs w:val="20"/>
          <w:color w:val="auto"/>
        </w:rPr>
      </w:pPr>
      <w:r>
        <w:rPr>
          <w:rFonts w:ascii="Arial" w:cs="Arial" w:eastAsia="Arial" w:hAnsi="Arial"/>
          <w:sz w:val="12"/>
          <w:szCs w:val="12"/>
          <w:color w:val="FFFFFF"/>
        </w:rPr>
        <w:t>Reports</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Other</w:t>
      </w:r>
    </w:p>
    <w:p>
      <w:pPr>
        <w:spacing w:after="0" w:line="2" w:lineRule="exact"/>
        <w:rPr>
          <w:sz w:val="20"/>
          <w:szCs w:val="20"/>
          <w:color w:val="auto"/>
        </w:rPr>
      </w:pPr>
    </w:p>
    <w:p>
      <w:pPr>
        <w:spacing w:after="0"/>
        <w:rPr>
          <w:sz w:val="20"/>
          <w:szCs w:val="20"/>
          <w:color w:val="auto"/>
        </w:rPr>
      </w:pPr>
      <w:r>
        <w:rPr>
          <w:rFonts w:ascii="Arial" w:cs="Arial" w:eastAsia="Arial" w:hAnsi="Arial"/>
          <w:sz w:val="12"/>
          <w:szCs w:val="12"/>
          <w:color w:val="FFFFFF"/>
        </w:rPr>
        <w:t>Information</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Appendix A</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FFFFFF"/>
        </w:rPr>
        <w:t>Appendix B</w:t>
      </w:r>
    </w:p>
    <w:p>
      <w:pPr>
        <w:spacing w:after="0" w:line="200" w:lineRule="exact"/>
        <w:rPr>
          <w:sz w:val="20"/>
          <w:szCs w:val="20"/>
          <w:color w:val="auto"/>
        </w:rPr>
      </w:pPr>
    </w:p>
    <w:p>
      <w:pPr>
        <w:sectPr>
          <w:pgSz w:w="11900" w:h="16838" w:orient="portrait"/>
          <w:cols w:equalWidth="0" w:num="2">
            <w:col w:w="8500" w:space="720"/>
            <w:col w:w="1580"/>
          </w:cols>
          <w:pgMar w:left="320" w:top="464" w:right="7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6380"/>
        <w:spacing w:after="0"/>
        <w:tabs>
          <w:tab w:leader="none" w:pos="8500" w:val="left"/>
          <w:tab w:leader="none" w:pos="9960" w:val="left"/>
        </w:tabs>
        <w:rPr>
          <w:sz w:val="20"/>
          <w:szCs w:val="20"/>
          <w:color w:val="auto"/>
        </w:rPr>
      </w:pPr>
      <w:r>
        <w:rPr>
          <w:rFonts w:ascii="Arial" w:cs="Arial" w:eastAsia="Arial" w:hAnsi="Arial"/>
          <w:sz w:val="15"/>
          <w:szCs w:val="15"/>
          <w:b w:val="1"/>
          <w:bCs w:val="1"/>
          <w:color w:val="002B5F"/>
        </w:rPr>
        <w:t xml:space="preserve">2026 Proxy Statement  </w:t>
      </w:r>
      <w:r>
        <w:rPr>
          <w:rFonts w:ascii="Arial" w:cs="Arial" w:eastAsia="Arial" w:hAnsi="Arial"/>
          <w:sz w:val="20"/>
          <w:szCs w:val="20"/>
          <w:color w:val="002B5F"/>
        </w:rPr>
        <w:t>|</w:t>
      </w:r>
      <w:r>
        <w:rPr>
          <w:rFonts w:ascii="Arial" w:cs="Arial" w:eastAsia="Arial" w:hAnsi="Arial"/>
          <w:sz w:val="15"/>
          <w:szCs w:val="15"/>
          <w:b w:val="1"/>
          <w:bCs w:val="1"/>
          <w:color w:val="002B5F"/>
        </w:rPr>
        <w:t xml:space="preserve">  35</w:t>
      </w:r>
      <w:r>
        <w:rPr>
          <w:sz w:val="20"/>
          <w:szCs w:val="20"/>
          <w:color w:val="auto"/>
        </w:rPr>
        <w:tab/>
      </w:r>
      <w:r>
        <w:rPr>
          <w:rFonts w:ascii="Arial" w:cs="Arial" w:eastAsia="Arial" w:hAnsi="Arial"/>
          <w:sz w:val="17"/>
          <w:szCs w:val="17"/>
          <w:color w:val="auto"/>
        </w:rPr>
        <w:t xml:space="preserve">    </w:t>
      </w:r>
      <w:r>
        <w:rPr>
          <w:sz w:val="20"/>
          <w:szCs w:val="20"/>
          <w:color w:val="auto"/>
        </w:rPr>
        <w:tab/>
      </w:r>
      <w:r>
        <w:rPr>
          <w:rFonts w:ascii="Arial" w:cs="Arial" w:eastAsia="Arial" w:hAnsi="Arial"/>
          <w:sz w:val="17"/>
          <w:szCs w:val="17"/>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268605</wp:posOffset>
            </wp:positionH>
            <wp:positionV relativeFrom="paragraph">
              <wp:posOffset>-128905</wp:posOffset>
            </wp:positionV>
            <wp:extent cx="762000" cy="971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62000" cy="97155"/>
                    </a:xfrm>
                    <a:prstGeom prst="rect">
                      <a:avLst/>
                    </a:prstGeom>
                    <a:noFill/>
                  </pic:spPr>
                </pic:pic>
              </a:graphicData>
            </a:graphic>
          </wp:anchor>
        </w:drawing>
      </w:r>
    </w:p>
    <w:p>
      <w:pPr>
        <w:sectPr>
          <w:pgSz w:w="11900" w:h="16838" w:orient="portrait"/>
          <w:cols w:equalWidth="0" w:num="1">
            <w:col w:w="10800"/>
          </w:cols>
          <w:pgMar w:left="320" w:top="464" w:right="779" w:bottom="1440" w:gutter="0" w:footer="0" w:header="0"/>
          <w:type w:val="continuous"/>
        </w:sectPr>
      </w:pPr>
    </w:p>
    <w:bookmarkStart w:id="43" w:name="page44"/>
    <w:bookmarkEnd w:id="43"/>
    <w:p>
      <w:pPr>
        <w:spacing w:after="0"/>
        <w:rPr>
          <w:sz w:val="20"/>
          <w:szCs w:val="20"/>
          <w:color w:val="auto"/>
        </w:rPr>
      </w:pPr>
      <w:r>
        <w:rPr>
          <w:rFonts w:ascii="Times New Roman" w:cs="Times New Roman" w:eastAsia="Times New Roman" w:hAnsi="Times New Roman"/>
          <w:sz w:val="17"/>
          <w:szCs w:val="17"/>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268605</wp:posOffset>
            </wp:positionH>
            <wp:positionV relativeFrom="paragraph">
              <wp:posOffset>253365</wp:posOffset>
            </wp:positionV>
            <wp:extent cx="1183005" cy="745617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183005" cy="7456170"/>
                    </a:xfrm>
                    <a:prstGeom prst="rect">
                      <a:avLst/>
                    </a:prstGeom>
                    <a:noFill/>
                  </pic:spPr>
                </pic:pic>
              </a:graphicData>
            </a:graphic>
          </wp:anchor>
        </w:drawing>
      </w:r>
    </w:p>
    <w:p>
      <w:pPr>
        <w:spacing w:after="0" w:line="200" w:lineRule="exact"/>
        <w:rPr>
          <w:sz w:val="20"/>
          <w:szCs w:val="20"/>
          <w:color w:val="auto"/>
        </w:rPr>
      </w:pPr>
    </w:p>
    <w:p>
      <w:pPr>
        <w:spacing w:after="0" w:line="304" w:lineRule="exact"/>
        <w:rPr>
          <w:sz w:val="20"/>
          <w:szCs w:val="20"/>
          <w:color w:val="auto"/>
        </w:rPr>
      </w:pPr>
    </w:p>
    <w:p>
      <w:pPr>
        <w:ind w:left="1120" w:right="460" w:hanging="672"/>
        <w:spacing w:after="0" w:line="382" w:lineRule="auto"/>
        <w:tabs>
          <w:tab w:leader="none" w:pos="610" w:val="left"/>
        </w:tabs>
        <w:numPr>
          <w:ilvl w:val="0"/>
          <w:numId w:val="60"/>
        </w:numPr>
        <w:rPr>
          <w:rFonts w:ascii="Arial" w:cs="Arial" w:eastAsia="Arial" w:hAnsi="Arial"/>
          <w:sz w:val="24"/>
          <w:szCs w:val="24"/>
          <w:color w:val="auto"/>
          <w:vertAlign w:val="subscript"/>
        </w:rPr>
      </w:pPr>
      <w:r>
        <w:rPr>
          <w:rFonts w:ascii="Arial" w:cs="Arial" w:eastAsia="Arial" w:hAnsi="Arial"/>
          <w:sz w:val="24"/>
          <w:szCs w:val="24"/>
          <w:color w:val="000000"/>
          <w:vertAlign w:val="subscript"/>
        </w:rPr>
        <w:t xml:space="preserve">     </w:t>
      </w:r>
      <w:r>
        <w:rPr>
          <w:rFonts w:ascii="Arial" w:cs="Arial" w:eastAsia="Arial" w:hAnsi="Arial"/>
          <w:sz w:val="10"/>
          <w:szCs w:val="10"/>
          <w:color w:val="FFFFFF"/>
        </w:rPr>
        <w:t xml:space="preserve"> General Information</w:t>
      </w:r>
    </w:p>
    <w:p>
      <w:pPr>
        <w:spacing w:after="0" w:line="1" w:lineRule="exact"/>
        <w:rPr>
          <w:sz w:val="20"/>
          <w:szCs w:val="20"/>
          <w:color w:val="auto"/>
        </w:rPr>
      </w:pPr>
    </w:p>
    <w:p>
      <w:pPr>
        <w:ind w:left="1120"/>
        <w:spacing w:after="0"/>
        <w:rPr>
          <w:sz w:val="20"/>
          <w:szCs w:val="20"/>
          <w:color w:val="auto"/>
        </w:rPr>
      </w:pPr>
      <w:r>
        <w:rPr>
          <w:rFonts w:ascii="Arial" w:cs="Arial" w:eastAsia="Arial" w:hAnsi="Arial"/>
          <w:sz w:val="11"/>
          <w:szCs w:val="11"/>
          <w:color w:val="FFFFFF"/>
        </w:rPr>
        <w:t>General Information</w:t>
      </w:r>
    </w:p>
    <w:p>
      <w:pPr>
        <w:spacing w:after="0" w:line="3"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About Corporate</w:t>
      </w:r>
    </w:p>
    <w:p>
      <w:pPr>
        <w:ind w:left="1120"/>
        <w:spacing w:after="0" w:line="221" w:lineRule="auto"/>
        <w:rPr>
          <w:sz w:val="20"/>
          <w:szCs w:val="20"/>
          <w:color w:val="auto"/>
        </w:rPr>
      </w:pPr>
      <w:r>
        <w:rPr>
          <w:rFonts w:ascii="Arial" w:cs="Arial" w:eastAsia="Arial" w:hAnsi="Arial"/>
          <w:sz w:val="12"/>
          <w:szCs w:val="12"/>
          <w:color w:val="FFFFFF"/>
        </w:rPr>
        <w:t>Governance</w:t>
      </w:r>
    </w:p>
    <w:p>
      <w:pPr>
        <w:ind w:left="1120"/>
        <w:spacing w:after="0" w:line="222" w:lineRule="auto"/>
        <w:rPr>
          <w:sz w:val="20"/>
          <w:szCs w:val="20"/>
          <w:color w:val="auto"/>
        </w:rPr>
      </w:pPr>
      <w:r>
        <w:rPr>
          <w:rFonts w:ascii="Arial" w:cs="Arial" w:eastAsia="Arial" w:hAnsi="Arial"/>
          <w:sz w:val="12"/>
          <w:szCs w:val="12"/>
          <w:color w:val="FFFFFF"/>
        </w:rPr>
        <w:t>and the Board of</w:t>
      </w:r>
    </w:p>
    <w:p>
      <w:pPr>
        <w:spacing w:after="0" w:line="1"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Directors</w:t>
      </w:r>
    </w:p>
    <w:p>
      <w:pPr>
        <w:spacing w:after="0" w:line="144" w:lineRule="exact"/>
        <w:rPr>
          <w:sz w:val="20"/>
          <w:szCs w:val="20"/>
          <w:color w:val="auto"/>
        </w:rPr>
      </w:pPr>
    </w:p>
    <w:p>
      <w:pPr>
        <w:jc w:val="center"/>
        <w:ind w:left="620"/>
        <w:spacing w:after="0"/>
        <w:rPr>
          <w:sz w:val="20"/>
          <w:szCs w:val="20"/>
          <w:color w:val="auto"/>
        </w:rPr>
      </w:pPr>
      <w:r>
        <w:rPr>
          <w:rFonts w:ascii="Arial" w:cs="Arial" w:eastAsia="Arial" w:hAnsi="Arial"/>
          <w:sz w:val="12"/>
          <w:szCs w:val="12"/>
          <w:color w:val="FFFFFF"/>
        </w:rPr>
        <w:t>Proposal 1</w:t>
      </w:r>
    </w:p>
    <w:p>
      <w:pPr>
        <w:spacing w:after="0" w:line="156"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Information</w:t>
      </w:r>
    </w:p>
    <w:p>
      <w:pPr>
        <w:ind w:left="1120"/>
        <w:spacing w:after="0" w:line="224" w:lineRule="auto"/>
        <w:rPr>
          <w:sz w:val="20"/>
          <w:szCs w:val="20"/>
          <w:color w:val="auto"/>
        </w:rPr>
      </w:pPr>
      <w:r>
        <w:rPr>
          <w:rFonts w:ascii="Arial" w:cs="Arial" w:eastAsia="Arial" w:hAnsi="Arial"/>
          <w:sz w:val="12"/>
          <w:szCs w:val="12"/>
          <w:color w:val="FFFFFF"/>
        </w:rPr>
        <w:t>Regarding Board</w:t>
      </w:r>
    </w:p>
    <w:p>
      <w:pPr>
        <w:ind w:left="1120"/>
        <w:spacing w:after="0" w:line="222" w:lineRule="auto"/>
        <w:rPr>
          <w:sz w:val="20"/>
          <w:szCs w:val="20"/>
          <w:color w:val="auto"/>
        </w:rPr>
      </w:pPr>
      <w:r>
        <w:rPr>
          <w:rFonts w:ascii="Arial" w:cs="Arial" w:eastAsia="Arial" w:hAnsi="Arial"/>
          <w:sz w:val="12"/>
          <w:szCs w:val="12"/>
          <w:color w:val="FFFFFF"/>
        </w:rPr>
        <w:t>and Committee</w:t>
      </w:r>
    </w:p>
    <w:p>
      <w:pPr>
        <w:ind w:left="1120"/>
        <w:spacing w:after="0"/>
        <w:rPr>
          <w:sz w:val="20"/>
          <w:szCs w:val="20"/>
          <w:color w:val="auto"/>
        </w:rPr>
      </w:pPr>
      <w:r>
        <w:rPr>
          <w:rFonts w:ascii="Arial" w:cs="Arial" w:eastAsia="Arial" w:hAnsi="Arial"/>
          <w:sz w:val="12"/>
          <w:szCs w:val="12"/>
          <w:color w:val="FFFFFF"/>
        </w:rPr>
        <w:t>Structure</w:t>
      </w:r>
    </w:p>
    <w:p>
      <w:pPr>
        <w:spacing w:after="0" w:line="144" w:lineRule="exact"/>
        <w:rPr>
          <w:sz w:val="20"/>
          <w:szCs w:val="20"/>
          <w:color w:val="auto"/>
        </w:rPr>
      </w:pPr>
    </w:p>
    <w:p>
      <w:pPr>
        <w:ind w:left="1120"/>
        <w:spacing w:after="0" w:line="312" w:lineRule="auto"/>
        <w:rPr>
          <w:sz w:val="20"/>
          <w:szCs w:val="20"/>
          <w:color w:val="auto"/>
        </w:rPr>
      </w:pPr>
      <w:r>
        <w:rPr>
          <w:rFonts w:ascii="Arial" w:cs="Arial" w:eastAsia="Arial" w:hAnsi="Arial"/>
          <w:sz w:val="11"/>
          <w:szCs w:val="11"/>
          <w:b w:val="1"/>
          <w:bCs w:val="1"/>
          <w:color w:val="FFFFFF"/>
        </w:rPr>
        <w:t>Board of Directors Compensation</w:t>
      </w:r>
    </w:p>
    <w:p>
      <w:pPr>
        <w:spacing w:after="0" w:line="92"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Compensation</w:t>
      </w:r>
    </w:p>
    <w:p>
      <w:pPr>
        <w:ind w:left="1120"/>
        <w:spacing w:after="0" w:line="224" w:lineRule="auto"/>
        <w:rPr>
          <w:sz w:val="20"/>
          <w:szCs w:val="20"/>
          <w:color w:val="auto"/>
        </w:rPr>
      </w:pPr>
      <w:r>
        <w:rPr>
          <w:rFonts w:ascii="Arial" w:cs="Arial" w:eastAsia="Arial" w:hAnsi="Arial"/>
          <w:sz w:val="12"/>
          <w:szCs w:val="12"/>
          <w:color w:val="FFFFFF"/>
        </w:rPr>
        <w:t>Discussion and</w:t>
      </w:r>
    </w:p>
    <w:p>
      <w:pPr>
        <w:ind w:left="1120"/>
        <w:spacing w:after="0"/>
        <w:rPr>
          <w:sz w:val="20"/>
          <w:szCs w:val="20"/>
          <w:color w:val="auto"/>
        </w:rPr>
      </w:pPr>
      <w:r>
        <w:rPr>
          <w:rFonts w:ascii="Arial" w:cs="Arial" w:eastAsia="Arial" w:hAnsi="Arial"/>
          <w:sz w:val="12"/>
          <w:szCs w:val="12"/>
          <w:color w:val="FFFFFF"/>
        </w:rPr>
        <w:t>Analysis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Report of the</w:t>
      </w:r>
    </w:p>
    <w:p>
      <w:pPr>
        <w:ind w:left="1120"/>
        <w:spacing w:after="0" w:line="224" w:lineRule="auto"/>
        <w:rPr>
          <w:sz w:val="20"/>
          <w:szCs w:val="20"/>
          <w:color w:val="auto"/>
        </w:rPr>
      </w:pPr>
      <w:r>
        <w:rPr>
          <w:rFonts w:ascii="Arial" w:cs="Arial" w:eastAsia="Arial" w:hAnsi="Arial"/>
          <w:sz w:val="12"/>
          <w:szCs w:val="12"/>
          <w:color w:val="FFFFFF"/>
        </w:rPr>
        <w:t>Compensation</w:t>
      </w:r>
    </w:p>
    <w:p>
      <w:pPr>
        <w:ind w:left="1120"/>
        <w:spacing w:after="0" w:line="222" w:lineRule="auto"/>
        <w:rPr>
          <w:sz w:val="20"/>
          <w:szCs w:val="20"/>
          <w:color w:val="auto"/>
        </w:rPr>
      </w:pPr>
      <w:r>
        <w:rPr>
          <w:rFonts w:ascii="Arial" w:cs="Arial" w:eastAsia="Arial" w:hAnsi="Arial"/>
          <w:sz w:val="12"/>
          <w:szCs w:val="12"/>
          <w:color w:val="FFFFFF"/>
        </w:rPr>
        <w:t>and Human</w:t>
      </w:r>
    </w:p>
    <w:p>
      <w:pPr>
        <w:ind w:left="1120"/>
        <w:spacing w:after="0" w:line="222" w:lineRule="auto"/>
        <w:rPr>
          <w:sz w:val="20"/>
          <w:szCs w:val="20"/>
          <w:color w:val="auto"/>
        </w:rPr>
      </w:pPr>
      <w:r>
        <w:rPr>
          <w:rFonts w:ascii="Arial" w:cs="Arial" w:eastAsia="Arial" w:hAnsi="Arial"/>
          <w:sz w:val="12"/>
          <w:szCs w:val="12"/>
          <w:color w:val="FFFFFF"/>
        </w:rPr>
        <w:t>Resources</w:t>
      </w:r>
    </w:p>
    <w:p>
      <w:pPr>
        <w:ind w:left="1120"/>
        <w:spacing w:after="0" w:line="222" w:lineRule="auto"/>
        <w:rPr>
          <w:sz w:val="20"/>
          <w:szCs w:val="20"/>
          <w:color w:val="auto"/>
        </w:rPr>
      </w:pPr>
      <w:r>
        <w:rPr>
          <w:rFonts w:ascii="Arial" w:cs="Arial" w:eastAsia="Arial" w:hAnsi="Arial"/>
          <w:sz w:val="12"/>
          <w:szCs w:val="12"/>
          <w:color w:val="FFFFFF"/>
        </w:rPr>
        <w:t>Committee of the</w:t>
      </w:r>
    </w:p>
    <w:p>
      <w:pPr>
        <w:ind w:left="1120"/>
        <w:spacing w:after="0"/>
        <w:rPr>
          <w:sz w:val="20"/>
          <w:szCs w:val="20"/>
          <w:color w:val="auto"/>
        </w:rPr>
      </w:pPr>
      <w:r>
        <w:rPr>
          <w:rFonts w:ascii="Arial" w:cs="Arial" w:eastAsia="Arial" w:hAnsi="Arial"/>
          <w:sz w:val="12"/>
          <w:szCs w:val="12"/>
          <w:color w:val="FFFFFF"/>
        </w:rPr>
        <w:t>Board of Directors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Compensation of</w:t>
      </w:r>
    </w:p>
    <w:p>
      <w:pPr>
        <w:ind w:left="1120"/>
        <w:spacing w:after="0" w:line="224" w:lineRule="auto"/>
        <w:rPr>
          <w:sz w:val="20"/>
          <w:szCs w:val="20"/>
          <w:color w:val="auto"/>
        </w:rPr>
      </w:pPr>
      <w:r>
        <w:rPr>
          <w:rFonts w:ascii="Arial" w:cs="Arial" w:eastAsia="Arial" w:hAnsi="Arial"/>
          <w:sz w:val="12"/>
          <w:szCs w:val="12"/>
          <w:color w:val="FFFFFF"/>
        </w:rPr>
        <w:t>Named Executive</w:t>
      </w:r>
    </w:p>
    <w:p>
      <w:pPr>
        <w:ind w:left="1120"/>
        <w:spacing w:after="0"/>
        <w:rPr>
          <w:sz w:val="20"/>
          <w:szCs w:val="20"/>
          <w:color w:val="auto"/>
        </w:rPr>
      </w:pPr>
      <w:r>
        <w:rPr>
          <w:rFonts w:ascii="Arial" w:cs="Arial" w:eastAsia="Arial" w:hAnsi="Arial"/>
          <w:sz w:val="12"/>
          <w:szCs w:val="12"/>
          <w:color w:val="FFFFFF"/>
        </w:rPr>
        <w:t>Officers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Pay Versus</w:t>
      </w:r>
    </w:p>
    <w:p>
      <w:pPr>
        <w:ind w:left="1120"/>
        <w:spacing w:after="0" w:line="224" w:lineRule="auto"/>
        <w:rPr>
          <w:sz w:val="20"/>
          <w:szCs w:val="20"/>
          <w:color w:val="auto"/>
        </w:rPr>
      </w:pPr>
      <w:r>
        <w:rPr>
          <w:rFonts w:ascii="Arial" w:cs="Arial" w:eastAsia="Arial" w:hAnsi="Arial"/>
          <w:sz w:val="12"/>
          <w:szCs w:val="12"/>
          <w:color w:val="FFFFFF"/>
        </w:rPr>
        <w:t>Performance</w:t>
      </w:r>
    </w:p>
    <w:p>
      <w:pPr>
        <w:ind w:left="1120"/>
        <w:spacing w:after="0"/>
        <w:rPr>
          <w:sz w:val="20"/>
          <w:szCs w:val="20"/>
          <w:color w:val="auto"/>
        </w:rPr>
      </w:pPr>
      <w:r>
        <w:rPr>
          <w:rFonts w:ascii="Arial" w:cs="Arial" w:eastAsia="Arial" w:hAnsi="Arial"/>
          <w:sz w:val="12"/>
          <w:szCs w:val="12"/>
          <w:color w:val="FFFFFF"/>
        </w:rPr>
        <w:t>Disclosure</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Security</w:t>
      </w:r>
    </w:p>
    <w:p>
      <w:pPr>
        <w:ind w:left="1120"/>
        <w:spacing w:after="0" w:line="224" w:lineRule="auto"/>
        <w:rPr>
          <w:sz w:val="20"/>
          <w:szCs w:val="20"/>
          <w:color w:val="auto"/>
        </w:rPr>
      </w:pPr>
      <w:r>
        <w:rPr>
          <w:rFonts w:ascii="Arial" w:cs="Arial" w:eastAsia="Arial" w:hAnsi="Arial"/>
          <w:sz w:val="12"/>
          <w:szCs w:val="12"/>
          <w:color w:val="FFFFFF"/>
        </w:rPr>
        <w:t>Ownership of</w:t>
      </w:r>
    </w:p>
    <w:p>
      <w:pPr>
        <w:ind w:left="1120"/>
        <w:spacing w:after="0" w:line="222" w:lineRule="auto"/>
        <w:rPr>
          <w:sz w:val="20"/>
          <w:szCs w:val="20"/>
          <w:color w:val="auto"/>
        </w:rPr>
      </w:pPr>
      <w:r>
        <w:rPr>
          <w:rFonts w:ascii="Arial" w:cs="Arial" w:eastAsia="Arial" w:hAnsi="Arial"/>
          <w:sz w:val="12"/>
          <w:szCs w:val="12"/>
          <w:color w:val="FFFFFF"/>
        </w:rPr>
        <w:t>Certain Beneficial</w:t>
      </w:r>
    </w:p>
    <w:p>
      <w:pPr>
        <w:ind w:left="1120"/>
        <w:spacing w:after="0" w:line="222" w:lineRule="auto"/>
        <w:rPr>
          <w:sz w:val="20"/>
          <w:szCs w:val="20"/>
          <w:color w:val="auto"/>
        </w:rPr>
      </w:pPr>
      <w:r>
        <w:rPr>
          <w:rFonts w:ascii="Arial" w:cs="Arial" w:eastAsia="Arial" w:hAnsi="Arial"/>
          <w:sz w:val="12"/>
          <w:szCs w:val="12"/>
          <w:color w:val="FFFFFF"/>
        </w:rPr>
        <w:t>Owners and</w:t>
      </w:r>
    </w:p>
    <w:p>
      <w:pPr>
        <w:ind w:left="1120"/>
        <w:spacing w:after="0"/>
        <w:rPr>
          <w:sz w:val="20"/>
          <w:szCs w:val="20"/>
          <w:color w:val="auto"/>
        </w:rPr>
      </w:pPr>
      <w:r>
        <w:rPr>
          <w:rFonts w:ascii="Arial" w:cs="Arial" w:eastAsia="Arial" w:hAnsi="Arial"/>
          <w:sz w:val="12"/>
          <w:szCs w:val="12"/>
          <w:color w:val="FFFFFF"/>
        </w:rPr>
        <w:t>Management</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Certain</w:t>
      </w:r>
    </w:p>
    <w:p>
      <w:pPr>
        <w:ind w:left="1120"/>
        <w:spacing w:after="0" w:line="224" w:lineRule="auto"/>
        <w:rPr>
          <w:sz w:val="20"/>
          <w:szCs w:val="20"/>
          <w:color w:val="auto"/>
        </w:rPr>
      </w:pPr>
      <w:r>
        <w:rPr>
          <w:rFonts w:ascii="Arial" w:cs="Arial" w:eastAsia="Arial" w:hAnsi="Arial"/>
          <w:sz w:val="12"/>
          <w:szCs w:val="12"/>
          <w:color w:val="FFFFFF"/>
        </w:rPr>
        <w:t>Relationships and</w:t>
      </w:r>
    </w:p>
    <w:p>
      <w:pPr>
        <w:ind w:left="1120"/>
        <w:spacing w:after="0" w:line="222" w:lineRule="auto"/>
        <w:rPr>
          <w:sz w:val="20"/>
          <w:szCs w:val="20"/>
          <w:color w:val="auto"/>
        </w:rPr>
      </w:pPr>
      <w:r>
        <w:rPr>
          <w:rFonts w:ascii="Arial" w:cs="Arial" w:eastAsia="Arial" w:hAnsi="Arial"/>
          <w:sz w:val="12"/>
          <w:szCs w:val="12"/>
          <w:color w:val="FFFFFF"/>
        </w:rPr>
        <w:t>Related Party</w:t>
      </w:r>
    </w:p>
    <w:p>
      <w:pPr>
        <w:ind w:left="1120"/>
        <w:spacing w:after="0"/>
        <w:rPr>
          <w:sz w:val="20"/>
          <w:szCs w:val="20"/>
          <w:color w:val="auto"/>
        </w:rPr>
      </w:pPr>
      <w:r>
        <w:rPr>
          <w:rFonts w:ascii="Arial" w:cs="Arial" w:eastAsia="Arial" w:hAnsi="Arial"/>
          <w:sz w:val="12"/>
          <w:szCs w:val="12"/>
          <w:color w:val="FFFFFF"/>
        </w:rPr>
        <w:t>Transactions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Proposal 2</w:t>
      </w:r>
    </w:p>
    <w:p>
      <w:pPr>
        <w:spacing w:after="0" w:line="156"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Report of the</w:t>
      </w:r>
    </w:p>
    <w:p>
      <w:pPr>
        <w:ind w:left="1120"/>
        <w:spacing w:after="0" w:line="224" w:lineRule="auto"/>
        <w:rPr>
          <w:sz w:val="20"/>
          <w:szCs w:val="20"/>
          <w:color w:val="auto"/>
        </w:rPr>
      </w:pPr>
      <w:r>
        <w:rPr>
          <w:rFonts w:ascii="Arial" w:cs="Arial" w:eastAsia="Arial" w:hAnsi="Arial"/>
          <w:sz w:val="12"/>
          <w:szCs w:val="12"/>
          <w:color w:val="FFFFFF"/>
        </w:rPr>
        <w:t>Audit and Risk</w:t>
      </w:r>
    </w:p>
    <w:p>
      <w:pPr>
        <w:ind w:left="1120"/>
        <w:spacing w:after="0" w:line="222" w:lineRule="auto"/>
        <w:rPr>
          <w:sz w:val="20"/>
          <w:szCs w:val="20"/>
          <w:color w:val="auto"/>
        </w:rPr>
      </w:pPr>
      <w:r>
        <w:rPr>
          <w:rFonts w:ascii="Arial" w:cs="Arial" w:eastAsia="Arial" w:hAnsi="Arial"/>
          <w:sz w:val="12"/>
          <w:szCs w:val="12"/>
          <w:color w:val="FFFFFF"/>
        </w:rPr>
        <w:t>Committee of the</w:t>
      </w:r>
    </w:p>
    <w:p>
      <w:pPr>
        <w:ind w:left="1120"/>
        <w:spacing w:after="0"/>
        <w:rPr>
          <w:sz w:val="20"/>
          <w:szCs w:val="20"/>
          <w:color w:val="auto"/>
        </w:rPr>
      </w:pPr>
      <w:r>
        <w:rPr>
          <w:rFonts w:ascii="Arial" w:cs="Arial" w:eastAsia="Arial" w:hAnsi="Arial"/>
          <w:sz w:val="12"/>
          <w:szCs w:val="12"/>
          <w:color w:val="FFFFFF"/>
        </w:rPr>
        <w:t>Board of Directors</w:t>
      </w:r>
    </w:p>
    <w:p>
      <w:pPr>
        <w:spacing w:after="0" w:line="144" w:lineRule="exact"/>
        <w:rPr>
          <w:sz w:val="20"/>
          <w:szCs w:val="20"/>
          <w:color w:val="auto"/>
        </w:rPr>
      </w:pPr>
    </w:p>
    <w:p>
      <w:pPr>
        <w:jc w:val="center"/>
        <w:ind w:left="620"/>
        <w:spacing w:after="0"/>
        <w:rPr>
          <w:sz w:val="20"/>
          <w:szCs w:val="20"/>
          <w:color w:val="auto"/>
        </w:rPr>
      </w:pPr>
      <w:r>
        <w:rPr>
          <w:rFonts w:ascii="Arial" w:cs="Arial" w:eastAsia="Arial" w:hAnsi="Arial"/>
          <w:sz w:val="12"/>
          <w:szCs w:val="12"/>
          <w:color w:val="FFFFFF"/>
        </w:rPr>
        <w:t>Proposal 3</w:t>
      </w:r>
    </w:p>
    <w:p>
      <w:pPr>
        <w:spacing w:after="0" w:line="156" w:lineRule="exact"/>
        <w:rPr>
          <w:sz w:val="20"/>
          <w:szCs w:val="20"/>
          <w:color w:val="auto"/>
        </w:rPr>
      </w:pPr>
    </w:p>
    <w:p>
      <w:pPr>
        <w:jc w:val="center"/>
        <w:ind w:left="620"/>
        <w:spacing w:after="0"/>
        <w:rPr>
          <w:sz w:val="20"/>
          <w:szCs w:val="20"/>
          <w:color w:val="auto"/>
        </w:rPr>
      </w:pPr>
      <w:r>
        <w:rPr>
          <w:rFonts w:ascii="Arial" w:cs="Arial" w:eastAsia="Arial" w:hAnsi="Arial"/>
          <w:sz w:val="12"/>
          <w:szCs w:val="12"/>
          <w:color w:val="FFFFFF"/>
        </w:rPr>
        <w:t>Proposal 4</w:t>
      </w:r>
    </w:p>
    <w:p>
      <w:pPr>
        <w:spacing w:after="0" w:line="156" w:lineRule="exact"/>
        <w:rPr>
          <w:sz w:val="20"/>
          <w:szCs w:val="20"/>
          <w:color w:val="auto"/>
        </w:rPr>
      </w:pPr>
    </w:p>
    <w:p>
      <w:pPr>
        <w:jc w:val="center"/>
        <w:ind w:left="620"/>
        <w:spacing w:after="0"/>
        <w:rPr>
          <w:sz w:val="20"/>
          <w:szCs w:val="20"/>
          <w:color w:val="auto"/>
        </w:rPr>
      </w:pPr>
      <w:r>
        <w:rPr>
          <w:rFonts w:ascii="Arial" w:cs="Arial" w:eastAsia="Arial" w:hAnsi="Arial"/>
          <w:sz w:val="12"/>
          <w:szCs w:val="12"/>
          <w:color w:val="FFFFFF"/>
        </w:rPr>
        <w:t>Proposal 5</w:t>
      </w:r>
    </w:p>
    <w:p>
      <w:pPr>
        <w:spacing w:after="0" w:line="156"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Proposal 6</w:t>
      </w:r>
    </w:p>
    <w:p>
      <w:pPr>
        <w:spacing w:after="0" w:line="156"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Stockholder</w:t>
      </w:r>
    </w:p>
    <w:p>
      <w:pPr>
        <w:ind w:left="1120"/>
        <w:spacing w:after="0" w:line="224" w:lineRule="auto"/>
        <w:rPr>
          <w:sz w:val="20"/>
          <w:szCs w:val="20"/>
          <w:color w:val="auto"/>
        </w:rPr>
      </w:pPr>
      <w:r>
        <w:rPr>
          <w:rFonts w:ascii="Arial" w:cs="Arial" w:eastAsia="Arial" w:hAnsi="Arial"/>
          <w:sz w:val="12"/>
          <w:szCs w:val="12"/>
          <w:color w:val="FFFFFF"/>
        </w:rPr>
        <w:t>Proposals and</w:t>
      </w:r>
    </w:p>
    <w:p>
      <w:pPr>
        <w:ind w:left="1120"/>
        <w:spacing w:after="0"/>
        <w:rPr>
          <w:sz w:val="20"/>
          <w:szCs w:val="20"/>
          <w:color w:val="auto"/>
        </w:rPr>
      </w:pPr>
      <w:r>
        <w:rPr>
          <w:rFonts w:ascii="Arial" w:cs="Arial" w:eastAsia="Arial" w:hAnsi="Arial"/>
          <w:sz w:val="12"/>
          <w:szCs w:val="12"/>
          <w:color w:val="FFFFFF"/>
        </w:rPr>
        <w:t>Other Matters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Delinquent</w:t>
      </w:r>
    </w:p>
    <w:p>
      <w:pPr>
        <w:ind w:left="1120"/>
        <w:spacing w:after="0" w:line="224" w:lineRule="auto"/>
        <w:rPr>
          <w:sz w:val="20"/>
          <w:szCs w:val="20"/>
          <w:color w:val="auto"/>
        </w:rPr>
      </w:pPr>
      <w:r>
        <w:rPr>
          <w:rFonts w:ascii="Arial" w:cs="Arial" w:eastAsia="Arial" w:hAnsi="Arial"/>
          <w:sz w:val="12"/>
          <w:szCs w:val="12"/>
          <w:color w:val="FFFFFF"/>
        </w:rPr>
        <w:t>Section 16(a)</w:t>
      </w:r>
    </w:p>
    <w:p>
      <w:pPr>
        <w:ind w:left="1120"/>
        <w:spacing w:after="0"/>
        <w:rPr>
          <w:sz w:val="20"/>
          <w:szCs w:val="20"/>
          <w:color w:val="auto"/>
        </w:rPr>
      </w:pPr>
      <w:r>
        <w:rPr>
          <w:rFonts w:ascii="Arial" w:cs="Arial" w:eastAsia="Arial" w:hAnsi="Arial"/>
          <w:sz w:val="12"/>
          <w:szCs w:val="12"/>
          <w:color w:val="FFFFFF"/>
        </w:rPr>
        <w:t>Reports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Other</w:t>
      </w:r>
    </w:p>
    <w:p>
      <w:pPr>
        <w:spacing w:after="0" w:line="2"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Information</w:t>
      </w:r>
    </w:p>
    <w:p>
      <w:pPr>
        <w:spacing w:after="0" w:line="144" w:lineRule="exact"/>
        <w:rPr>
          <w:sz w:val="20"/>
          <w:szCs w:val="20"/>
          <w:color w:val="auto"/>
        </w:rPr>
      </w:pPr>
    </w:p>
    <w:p>
      <w:pPr>
        <w:jc w:val="center"/>
        <w:ind w:left="660"/>
        <w:spacing w:after="0"/>
        <w:rPr>
          <w:sz w:val="20"/>
          <w:szCs w:val="20"/>
          <w:color w:val="auto"/>
        </w:rPr>
      </w:pPr>
      <w:r>
        <w:rPr>
          <w:rFonts w:ascii="Arial" w:cs="Arial" w:eastAsia="Arial" w:hAnsi="Arial"/>
          <w:sz w:val="12"/>
          <w:szCs w:val="12"/>
          <w:color w:val="FFFFFF"/>
        </w:rPr>
        <w:t>Appendix A</w:t>
      </w:r>
    </w:p>
    <w:p>
      <w:pPr>
        <w:spacing w:after="0" w:line="156" w:lineRule="exact"/>
        <w:rPr>
          <w:sz w:val="20"/>
          <w:szCs w:val="20"/>
          <w:color w:val="auto"/>
        </w:rPr>
      </w:pPr>
    </w:p>
    <w:p>
      <w:pPr>
        <w:jc w:val="center"/>
        <w:ind w:left="660"/>
        <w:spacing w:after="0"/>
        <w:rPr>
          <w:sz w:val="20"/>
          <w:szCs w:val="20"/>
          <w:color w:val="auto"/>
        </w:rPr>
      </w:pPr>
      <w:r>
        <w:rPr>
          <w:rFonts w:ascii="Arial" w:cs="Arial" w:eastAsia="Arial" w:hAnsi="Arial"/>
          <w:sz w:val="12"/>
          <w:szCs w:val="12"/>
          <w:color w:val="FFFFFF"/>
        </w:rPr>
        <w:t>Appendix 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right="180"/>
        <w:spacing w:after="0" w:line="287" w:lineRule="auto"/>
        <w:rPr>
          <w:sz w:val="20"/>
          <w:szCs w:val="20"/>
          <w:color w:val="auto"/>
        </w:rPr>
      </w:pPr>
      <w:r>
        <w:rPr>
          <w:rFonts w:ascii="Arial" w:cs="Arial" w:eastAsia="Arial" w:hAnsi="Arial"/>
          <w:sz w:val="15"/>
          <w:szCs w:val="15"/>
          <w:color w:val="auto"/>
        </w:rPr>
        <w:t>Compensation Policy, which was approved by the Board effective May 22, 2025. The Compensation Committee did not recommend any other changes to our Director Compensation Policy for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-1737995</wp:posOffset>
            </wp:positionH>
            <wp:positionV relativeFrom="paragraph">
              <wp:posOffset>-894080</wp:posOffset>
            </wp:positionV>
            <wp:extent cx="7181215" cy="5334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81215" cy="53340"/>
                    </a:xfrm>
                    <a:prstGeom prst="rect">
                      <a:avLst/>
                    </a:prstGeom>
                    <a:noFill/>
                  </pic:spPr>
                </pic:pic>
              </a:graphicData>
            </a:graphic>
          </wp:anchor>
        </w:drawing>
      </w:r>
    </w:p>
    <w:p>
      <w:pPr>
        <w:spacing w:after="0" w:line="119" w:lineRule="exact"/>
        <w:rPr>
          <w:sz w:val="20"/>
          <w:szCs w:val="20"/>
          <w:color w:val="auto"/>
        </w:rPr>
      </w:pPr>
    </w:p>
    <w:p>
      <w:pPr>
        <w:spacing w:after="0"/>
        <w:rPr>
          <w:sz w:val="20"/>
          <w:szCs w:val="20"/>
          <w:color w:val="auto"/>
        </w:rPr>
      </w:pPr>
      <w:r>
        <w:rPr>
          <w:rFonts w:ascii="Arial" w:cs="Arial" w:eastAsia="Arial" w:hAnsi="Arial"/>
          <w:sz w:val="24"/>
          <w:szCs w:val="24"/>
          <w:color w:val="B95827"/>
        </w:rPr>
        <w:t>Deferred Compensation Plan</w:t>
      </w:r>
    </w:p>
    <w:p>
      <w:pPr>
        <w:spacing w:after="0" w:line="117" w:lineRule="exact"/>
        <w:rPr>
          <w:sz w:val="20"/>
          <w:szCs w:val="20"/>
          <w:color w:val="auto"/>
        </w:rPr>
      </w:pPr>
    </w:p>
    <w:p>
      <w:pPr>
        <w:spacing w:after="0" w:line="250" w:lineRule="auto"/>
        <w:rPr>
          <w:sz w:val="20"/>
          <w:szCs w:val="20"/>
          <w:color w:val="auto"/>
        </w:rPr>
      </w:pPr>
      <w:r>
        <w:rPr>
          <w:rFonts w:ascii="Arial" w:cs="Arial" w:eastAsia="Arial" w:hAnsi="Arial"/>
          <w:sz w:val="15"/>
          <w:szCs w:val="15"/>
          <w:color w:val="auto"/>
        </w:rPr>
        <w:t>Under the LPL Financial Holdings Inc. Non-Employee Director Deferred Compensation Plan (the “Deferred Plan”), non-employee directors may make an election to defer receipt of the equity portion, or both the equity and cash portions, of their service retainers. For directors who made such a deferral election, a book-entry account was established and credited with a number of deferred stock units granted under our 2021 Plan equal in value to the shares and, if so elected by the director, the cash, that would otherwise have been granted or paid absent such deferral election, with each deferred stock unit representing the right to receive a share of our Common Stock. Deferred stock units issued in respect of the cash portion of a director’s service retainer are vested upon issuance. Deferred stock units issued in respect of the equity portion of a director’s service retainer vest on the date on which such equity portion would have vested had it not been deferred, generally subject to the director’s continued service through that date. Upon the declaration of a dividend on our Common Stock, dividend equivalent rights are credited to a director’s book-entry account, in the form of additional stock units, on both vested and unvested deferred stock units, in an amount equal to the dividend that would have been paid on the shares underlying the deferred stock units had they been outstanding on the dividend record date, rounded down to the nearest whole share. Dividend equivalent rights are subject to the vesting requirements, if any, associated with the award upon which they were granted. The value of such dividend equivalent rights is determined based on the closing price per share of our Common Stock on the dividend payment date. Shares underlying the deferred stock units in each director’s book-entry account will be issued only upon the director’s separation from service or a change in control, as defined in the Deferred Plan.</w:t>
      </w:r>
    </w:p>
    <w:p>
      <w:pPr>
        <w:spacing w:after="0" w:line="356" w:lineRule="exact"/>
        <w:rPr>
          <w:sz w:val="20"/>
          <w:szCs w:val="20"/>
          <w:color w:val="auto"/>
        </w:rPr>
      </w:pPr>
    </w:p>
    <w:p>
      <w:pPr>
        <w:spacing w:after="0"/>
        <w:rPr>
          <w:sz w:val="20"/>
          <w:szCs w:val="20"/>
          <w:color w:val="auto"/>
        </w:rPr>
      </w:pPr>
      <w:r>
        <w:rPr>
          <w:rFonts w:ascii="Arial" w:cs="Arial" w:eastAsia="Arial" w:hAnsi="Arial"/>
          <w:sz w:val="24"/>
          <w:szCs w:val="24"/>
          <w:color w:val="B95827"/>
        </w:rPr>
        <w:t>Equity Ownership Guidelines</w:t>
      </w:r>
    </w:p>
    <w:p>
      <w:pPr>
        <w:spacing w:after="0" w:line="117" w:lineRule="exact"/>
        <w:rPr>
          <w:sz w:val="20"/>
          <w:szCs w:val="20"/>
          <w:color w:val="auto"/>
        </w:rPr>
      </w:pPr>
    </w:p>
    <w:p>
      <w:pPr>
        <w:ind w:right="140"/>
        <w:spacing w:after="0" w:line="254" w:lineRule="auto"/>
        <w:rPr>
          <w:sz w:val="20"/>
          <w:szCs w:val="20"/>
          <w:color w:val="auto"/>
        </w:rPr>
      </w:pPr>
      <w:r>
        <w:rPr>
          <w:rFonts w:ascii="Arial" w:cs="Arial" w:eastAsia="Arial" w:hAnsi="Arial"/>
          <w:sz w:val="15"/>
          <w:szCs w:val="15"/>
          <w:color w:val="auto"/>
        </w:rPr>
        <w:t>Our Corporate Governance Guidelines include equity ownership guidelines for non-employee directors. Within five years of the date of his or her election to the Board, each non-employee director must maintain ownership of shares of Common Stock equal to five times the cash portion of the annual service retainer for Board service then in effect, not including any retainers for committee or chair service. All shares owned outright and beneficially owned by a non-employee director, including all shares of unvested restricted stock and all shares issuable pursuant to vested and unvested deferred stock units, are counted in determining compliance with such minimum ownership requirement. As of March 16, 2026, each of our non-employee directors except for Mr. Khanna, who was elected to the Board in January 2026, satisfied this minimum ownership requirement.</w:t>
      </w:r>
    </w:p>
    <w:p>
      <w:pPr>
        <w:spacing w:after="0" w:line="71" w:lineRule="exact"/>
        <w:rPr>
          <w:sz w:val="20"/>
          <w:szCs w:val="20"/>
          <w:color w:val="auto"/>
        </w:rPr>
      </w:pPr>
    </w:p>
    <w:p>
      <w:pPr>
        <w:ind w:right="40"/>
        <w:spacing w:after="0" w:line="261" w:lineRule="auto"/>
        <w:rPr>
          <w:sz w:val="20"/>
          <w:szCs w:val="20"/>
          <w:color w:val="auto"/>
        </w:rPr>
      </w:pPr>
      <w:r>
        <w:rPr>
          <w:rFonts w:ascii="Arial" w:cs="Arial" w:eastAsia="Arial" w:hAnsi="Arial"/>
          <w:sz w:val="15"/>
          <w:szCs w:val="15"/>
          <w:color w:val="auto"/>
        </w:rPr>
        <w:t>The following table sets forth the compensation received by each non-employee director for service on the Board and its committees for the fiscal year ended December 31, 2025. In addition to the payments disclosed in the table below, our directors were reimbursed for out-of-pocket expenses incurred in connection with their attendance at Board and committee meetings.</w:t>
      </w:r>
    </w:p>
    <w:p>
      <w:pPr>
        <w:spacing w:after="0" w:line="189"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4820" w:type="dxa"/>
            <w:vAlign w:val="bottom"/>
          </w:tcPr>
          <w:p>
            <w:pPr>
              <w:spacing w:after="0"/>
              <w:rPr>
                <w:sz w:val="14"/>
                <w:szCs w:val="14"/>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002B5F"/>
                <w:w w:val="96"/>
              </w:rPr>
              <w:t>Fees Earned</w:t>
            </w:r>
          </w:p>
        </w:tc>
        <w:tc>
          <w:tcPr>
            <w:tcW w:w="1020" w:type="dxa"/>
            <w:vAlign w:val="bottom"/>
          </w:tcPr>
          <w:p>
            <w:pPr>
              <w:jc w:val="center"/>
              <w:ind w:right="7"/>
              <w:spacing w:after="0"/>
              <w:rPr>
                <w:sz w:val="20"/>
                <w:szCs w:val="20"/>
                <w:color w:val="auto"/>
              </w:rPr>
            </w:pPr>
            <w:r>
              <w:rPr>
                <w:rFonts w:ascii="Arial" w:cs="Arial" w:eastAsia="Arial" w:hAnsi="Arial"/>
                <w:sz w:val="14"/>
                <w:szCs w:val="14"/>
                <w:b w:val="1"/>
                <w:bCs w:val="1"/>
                <w:color w:val="002B5F"/>
                <w:w w:val="99"/>
              </w:rPr>
              <w:t>Stock</w:t>
            </w:r>
          </w:p>
        </w:tc>
        <w:tc>
          <w:tcPr>
            <w:tcW w:w="800" w:type="dxa"/>
            <w:vAlign w:val="bottom"/>
          </w:tcPr>
          <w:p>
            <w:pPr>
              <w:spacing w:after="0"/>
              <w:rPr>
                <w:sz w:val="14"/>
                <w:szCs w:val="14"/>
                <w:color w:val="auto"/>
              </w:rPr>
            </w:pPr>
          </w:p>
        </w:tc>
      </w:tr>
      <w:tr>
        <w:trPr>
          <w:trHeight w:val="150"/>
        </w:trPr>
        <w:tc>
          <w:tcPr>
            <w:tcW w:w="4820" w:type="dxa"/>
            <w:vAlign w:val="bottom"/>
          </w:tcPr>
          <w:p>
            <w:pPr>
              <w:spacing w:after="0"/>
              <w:rPr>
                <w:sz w:val="13"/>
                <w:szCs w:val="13"/>
                <w:color w:val="auto"/>
              </w:rPr>
            </w:pPr>
          </w:p>
        </w:tc>
        <w:tc>
          <w:tcPr>
            <w:tcW w:w="1320" w:type="dxa"/>
            <w:vAlign w:val="bottom"/>
          </w:tcPr>
          <w:p>
            <w:pPr>
              <w:jc w:val="center"/>
              <w:spacing w:after="0" w:line="149" w:lineRule="exact"/>
              <w:rPr>
                <w:sz w:val="20"/>
                <w:szCs w:val="20"/>
                <w:color w:val="auto"/>
              </w:rPr>
            </w:pPr>
            <w:r>
              <w:rPr>
                <w:rFonts w:ascii="Arial" w:cs="Arial" w:eastAsia="Arial" w:hAnsi="Arial"/>
                <w:sz w:val="14"/>
                <w:szCs w:val="14"/>
                <w:b w:val="1"/>
                <w:bCs w:val="1"/>
                <w:color w:val="002B5F"/>
                <w:w w:val="98"/>
              </w:rPr>
              <w:t>or Paid in Cash</w:t>
            </w:r>
          </w:p>
        </w:tc>
        <w:tc>
          <w:tcPr>
            <w:tcW w:w="1020" w:type="dxa"/>
            <w:vAlign w:val="bottom"/>
          </w:tcPr>
          <w:p>
            <w:pPr>
              <w:jc w:val="center"/>
              <w:ind w:right="7"/>
              <w:spacing w:after="0" w:line="149" w:lineRule="exact"/>
              <w:rPr>
                <w:sz w:val="20"/>
                <w:szCs w:val="20"/>
                <w:color w:val="auto"/>
              </w:rPr>
            </w:pPr>
            <w:r>
              <w:rPr>
                <w:rFonts w:ascii="Arial" w:cs="Arial" w:eastAsia="Arial" w:hAnsi="Arial"/>
                <w:sz w:val="14"/>
                <w:szCs w:val="14"/>
                <w:b w:val="1"/>
                <w:bCs w:val="1"/>
                <w:color w:val="002B5F"/>
                <w:w w:val="98"/>
              </w:rPr>
              <w:t>Awards</w:t>
            </w:r>
          </w:p>
        </w:tc>
        <w:tc>
          <w:tcPr>
            <w:tcW w:w="800" w:type="dxa"/>
            <w:vAlign w:val="bottom"/>
          </w:tcPr>
          <w:p>
            <w:pPr>
              <w:jc w:val="right"/>
              <w:ind w:right="165"/>
              <w:spacing w:after="0" w:line="149" w:lineRule="exact"/>
              <w:rPr>
                <w:sz w:val="20"/>
                <w:szCs w:val="20"/>
                <w:color w:val="auto"/>
              </w:rPr>
            </w:pPr>
            <w:r>
              <w:rPr>
                <w:rFonts w:ascii="Arial" w:cs="Arial" w:eastAsia="Arial" w:hAnsi="Arial"/>
                <w:sz w:val="14"/>
                <w:szCs w:val="14"/>
                <w:b w:val="1"/>
                <w:bCs w:val="1"/>
                <w:color w:val="002B5F"/>
              </w:rPr>
              <w:t>Total</w:t>
            </w:r>
          </w:p>
        </w:tc>
      </w:tr>
      <w:tr>
        <w:trPr>
          <w:trHeight w:val="210"/>
        </w:trPr>
        <w:tc>
          <w:tcPr>
            <w:tcW w:w="4820" w:type="dxa"/>
            <w:vAlign w:val="bottom"/>
            <w:tcBorders>
              <w:bottom w:val="single" w:sz="8" w:color="002B5F"/>
            </w:tcBorders>
          </w:tcPr>
          <w:p>
            <w:pPr>
              <w:ind w:left="60"/>
              <w:spacing w:after="0"/>
              <w:rPr>
                <w:sz w:val="20"/>
                <w:szCs w:val="20"/>
                <w:color w:val="auto"/>
              </w:rPr>
            </w:pPr>
            <w:r>
              <w:rPr>
                <w:rFonts w:ascii="Arial" w:cs="Arial" w:eastAsia="Arial" w:hAnsi="Arial"/>
                <w:sz w:val="14"/>
                <w:szCs w:val="14"/>
                <w:b w:val="1"/>
                <w:bCs w:val="1"/>
                <w:color w:val="002B5F"/>
              </w:rPr>
              <w:t>Name</w:t>
            </w:r>
          </w:p>
        </w:tc>
        <w:tc>
          <w:tcPr>
            <w:tcW w:w="1320" w:type="dxa"/>
            <w:vAlign w:val="bottom"/>
            <w:tcBorders>
              <w:bottom w:val="single" w:sz="8" w:color="002B5F"/>
            </w:tcBorders>
          </w:tcPr>
          <w:p>
            <w:pPr>
              <w:jc w:val="center"/>
              <w:spacing w:after="0"/>
              <w:rPr>
                <w:sz w:val="20"/>
                <w:szCs w:val="20"/>
                <w:color w:val="auto"/>
              </w:rPr>
            </w:pPr>
            <w:r>
              <w:rPr>
                <w:rFonts w:ascii="Arial" w:cs="Arial" w:eastAsia="Arial" w:hAnsi="Arial"/>
                <w:sz w:val="14"/>
                <w:szCs w:val="14"/>
                <w:b w:val="1"/>
                <w:bCs w:val="1"/>
                <w:color w:val="002B5F"/>
                <w:w w:val="93"/>
              </w:rPr>
              <w:t>($)</w:t>
            </w:r>
          </w:p>
        </w:tc>
        <w:tc>
          <w:tcPr>
            <w:tcW w:w="1020" w:type="dxa"/>
            <w:vAlign w:val="bottom"/>
            <w:tcBorders>
              <w:bottom w:val="single" w:sz="8" w:color="002B5F"/>
            </w:tcBorders>
          </w:tcPr>
          <w:p>
            <w:pPr>
              <w:jc w:val="center"/>
              <w:ind w:right="7"/>
              <w:spacing w:after="0" w:line="204" w:lineRule="exact"/>
              <w:rPr>
                <w:sz w:val="20"/>
                <w:szCs w:val="20"/>
                <w:color w:val="auto"/>
              </w:rPr>
            </w:pPr>
            <w:r>
              <w:rPr>
                <w:rFonts w:ascii="Arial" w:cs="Arial" w:eastAsia="Arial" w:hAnsi="Arial"/>
                <w:sz w:val="23"/>
                <w:szCs w:val="23"/>
                <w:b w:val="1"/>
                <w:bCs w:val="1"/>
                <w:color w:val="002B5F"/>
                <w:vertAlign w:val="subscript"/>
              </w:rPr>
              <w:t>($)</w:t>
            </w:r>
            <w:r>
              <w:rPr>
                <w:rFonts w:ascii="Arial" w:cs="Arial" w:eastAsia="Arial" w:hAnsi="Arial"/>
                <w:sz w:val="9"/>
                <w:szCs w:val="9"/>
                <w:b w:val="1"/>
                <w:bCs w:val="1"/>
                <w:color w:val="002B5F"/>
              </w:rPr>
              <w:t>(1)(2)</w:t>
            </w:r>
          </w:p>
        </w:tc>
        <w:tc>
          <w:tcPr>
            <w:tcW w:w="800" w:type="dxa"/>
            <w:vAlign w:val="bottom"/>
            <w:tcBorders>
              <w:bottom w:val="single" w:sz="8" w:color="002B5F"/>
            </w:tcBorders>
          </w:tcPr>
          <w:p>
            <w:pPr>
              <w:jc w:val="right"/>
              <w:ind w:right="245"/>
              <w:spacing w:after="0"/>
              <w:rPr>
                <w:sz w:val="20"/>
                <w:szCs w:val="20"/>
                <w:color w:val="auto"/>
              </w:rPr>
            </w:pPr>
            <w:r>
              <w:rPr>
                <w:rFonts w:ascii="Arial" w:cs="Arial" w:eastAsia="Arial" w:hAnsi="Arial"/>
                <w:sz w:val="14"/>
                <w:szCs w:val="14"/>
                <w:b w:val="1"/>
                <w:bCs w:val="1"/>
                <w:color w:val="002B5F"/>
              </w:rPr>
              <w:t>($)</w:t>
            </w:r>
          </w:p>
        </w:tc>
      </w:tr>
      <w:tr>
        <w:trPr>
          <w:trHeight w:val="294"/>
        </w:trPr>
        <w:tc>
          <w:tcPr>
            <w:tcW w:w="4820" w:type="dxa"/>
            <w:vAlign w:val="bottom"/>
            <w:shd w:val="clear" w:color="auto" w:fill="F7F1EC"/>
          </w:tcPr>
          <w:p>
            <w:pPr>
              <w:ind w:left="60"/>
              <w:spacing w:after="0"/>
              <w:rPr>
                <w:sz w:val="20"/>
                <w:szCs w:val="20"/>
                <w:color w:val="auto"/>
              </w:rPr>
            </w:pPr>
            <w:r>
              <w:rPr>
                <w:rFonts w:ascii="Arial" w:cs="Arial" w:eastAsia="Arial" w:hAnsi="Arial"/>
                <w:sz w:val="15"/>
                <w:szCs w:val="15"/>
                <w:color w:val="auto"/>
              </w:rPr>
              <w:t>Edward C. Bernard</w:t>
            </w:r>
          </w:p>
        </w:tc>
        <w:tc>
          <w:tcPr>
            <w:tcW w:w="1320" w:type="dxa"/>
            <w:vAlign w:val="bottom"/>
            <w:shd w:val="clear" w:color="auto" w:fill="F7F1EC"/>
          </w:tcPr>
          <w:p>
            <w:pPr>
              <w:ind w:left="440"/>
              <w:spacing w:after="0"/>
              <w:rPr>
                <w:sz w:val="20"/>
                <w:szCs w:val="20"/>
                <w:color w:val="auto"/>
              </w:rPr>
            </w:pPr>
            <w:r>
              <w:rPr>
                <w:rFonts w:ascii="Arial" w:cs="Arial" w:eastAsia="Arial" w:hAnsi="Arial"/>
                <w:sz w:val="15"/>
                <w:szCs w:val="15"/>
                <w:color w:val="auto"/>
              </w:rPr>
              <w:t>142,230</w:t>
            </w:r>
            <w:r>
              <w:rPr>
                <w:rFonts w:ascii="Arial" w:cs="Arial" w:eastAsia="Arial" w:hAnsi="Arial"/>
                <w:sz w:val="22"/>
                <w:szCs w:val="22"/>
                <w:color w:val="auto"/>
                <w:vertAlign w:val="superscript"/>
              </w:rPr>
              <w:t>(3)</w:t>
            </w:r>
          </w:p>
        </w:tc>
        <w:tc>
          <w:tcPr>
            <w:tcW w:w="1020" w:type="dxa"/>
            <w:vAlign w:val="bottom"/>
            <w:shd w:val="clear" w:color="auto" w:fill="F7F1EC"/>
          </w:tcPr>
          <w:p>
            <w:pPr>
              <w:ind w:left="140"/>
              <w:spacing w:after="0"/>
              <w:rPr>
                <w:sz w:val="20"/>
                <w:szCs w:val="20"/>
                <w:color w:val="auto"/>
              </w:rPr>
            </w:pPr>
            <w:r>
              <w:rPr>
                <w:rFonts w:ascii="Arial" w:cs="Arial" w:eastAsia="Arial" w:hAnsi="Arial"/>
                <w:sz w:val="15"/>
                <w:szCs w:val="15"/>
                <w:color w:val="auto"/>
              </w:rPr>
              <w:t>224,245</w:t>
            </w:r>
            <w:r>
              <w:rPr>
                <w:rFonts w:ascii="Arial" w:cs="Arial" w:eastAsia="Arial" w:hAnsi="Arial"/>
                <w:sz w:val="22"/>
                <w:szCs w:val="22"/>
                <w:color w:val="auto"/>
                <w:vertAlign w:val="superscript"/>
              </w:rPr>
              <w:t>(4)</w:t>
            </w:r>
          </w:p>
        </w:tc>
        <w:tc>
          <w:tcPr>
            <w:tcW w:w="800" w:type="dxa"/>
            <w:vAlign w:val="bottom"/>
            <w:shd w:val="clear" w:color="auto" w:fill="F7F1EC"/>
          </w:tcPr>
          <w:p>
            <w:pPr>
              <w:jc w:val="right"/>
              <w:ind w:right="5"/>
              <w:spacing w:after="0"/>
              <w:rPr>
                <w:sz w:val="20"/>
                <w:szCs w:val="20"/>
                <w:color w:val="auto"/>
              </w:rPr>
            </w:pPr>
            <w:r>
              <w:rPr>
                <w:rFonts w:ascii="Arial" w:cs="Arial" w:eastAsia="Arial" w:hAnsi="Arial"/>
                <w:sz w:val="15"/>
                <w:szCs w:val="15"/>
                <w:color w:val="auto"/>
              </w:rPr>
              <w:t>366,475</w:t>
            </w:r>
          </w:p>
        </w:tc>
      </w:tr>
      <w:tr>
        <w:trPr>
          <w:trHeight w:val="306"/>
        </w:trPr>
        <w:tc>
          <w:tcPr>
            <w:tcW w:w="4820" w:type="dxa"/>
            <w:vAlign w:val="bottom"/>
          </w:tcPr>
          <w:p>
            <w:pPr>
              <w:ind w:left="60"/>
              <w:spacing w:after="0"/>
              <w:rPr>
                <w:sz w:val="20"/>
                <w:szCs w:val="20"/>
                <w:color w:val="auto"/>
              </w:rPr>
            </w:pPr>
            <w:r>
              <w:rPr>
                <w:rFonts w:ascii="Arial" w:cs="Arial" w:eastAsia="Arial" w:hAnsi="Arial"/>
                <w:sz w:val="15"/>
                <w:szCs w:val="15"/>
                <w:color w:val="auto"/>
              </w:rPr>
              <w:t>H. Paulett Eberhart</w:t>
            </w:r>
          </w:p>
        </w:tc>
        <w:tc>
          <w:tcPr>
            <w:tcW w:w="1320" w:type="dxa"/>
            <w:vAlign w:val="bottom"/>
          </w:tcPr>
          <w:p>
            <w:pPr>
              <w:ind w:left="440"/>
              <w:spacing w:after="0"/>
              <w:rPr>
                <w:sz w:val="20"/>
                <w:szCs w:val="20"/>
                <w:color w:val="auto"/>
              </w:rPr>
            </w:pPr>
            <w:r>
              <w:rPr>
                <w:rFonts w:ascii="Arial" w:cs="Arial" w:eastAsia="Arial" w:hAnsi="Arial"/>
                <w:sz w:val="15"/>
                <w:szCs w:val="15"/>
                <w:color w:val="auto"/>
              </w:rPr>
              <w:t>147,500</w:t>
            </w:r>
          </w:p>
        </w:tc>
        <w:tc>
          <w:tcPr>
            <w:tcW w:w="1020" w:type="dxa"/>
            <w:vAlign w:val="bottom"/>
          </w:tcPr>
          <w:p>
            <w:pPr>
              <w:ind w:left="140"/>
              <w:spacing w:after="0"/>
              <w:rPr>
                <w:sz w:val="20"/>
                <w:szCs w:val="20"/>
                <w:color w:val="auto"/>
              </w:rPr>
            </w:pPr>
            <w:r>
              <w:rPr>
                <w:rFonts w:ascii="Arial" w:cs="Arial" w:eastAsia="Arial" w:hAnsi="Arial"/>
                <w:sz w:val="15"/>
                <w:szCs w:val="15"/>
                <w:color w:val="auto"/>
              </w:rPr>
              <w:t>224,245</w:t>
            </w:r>
            <w:r>
              <w:rPr>
                <w:rFonts w:ascii="Arial" w:cs="Arial" w:eastAsia="Arial" w:hAnsi="Arial"/>
                <w:sz w:val="22"/>
                <w:szCs w:val="22"/>
                <w:color w:val="auto"/>
                <w:vertAlign w:val="superscript"/>
              </w:rPr>
              <w:t>(4)</w:t>
            </w:r>
          </w:p>
        </w:tc>
        <w:tc>
          <w:tcPr>
            <w:tcW w:w="800" w:type="dxa"/>
            <w:vAlign w:val="bottom"/>
          </w:tcPr>
          <w:p>
            <w:pPr>
              <w:jc w:val="right"/>
              <w:ind w:right="5"/>
              <w:spacing w:after="0"/>
              <w:rPr>
                <w:sz w:val="20"/>
                <w:szCs w:val="20"/>
                <w:color w:val="auto"/>
              </w:rPr>
            </w:pPr>
            <w:r>
              <w:rPr>
                <w:rFonts w:ascii="Arial" w:cs="Arial" w:eastAsia="Arial" w:hAnsi="Arial"/>
                <w:sz w:val="15"/>
                <w:szCs w:val="15"/>
                <w:color w:val="auto"/>
              </w:rPr>
              <w:t>371,745</w:t>
            </w:r>
          </w:p>
        </w:tc>
      </w:tr>
      <w:tr>
        <w:trPr>
          <w:trHeight w:val="306"/>
        </w:trPr>
        <w:tc>
          <w:tcPr>
            <w:tcW w:w="4820" w:type="dxa"/>
            <w:vAlign w:val="bottom"/>
            <w:shd w:val="clear" w:color="auto" w:fill="F7F1EC"/>
          </w:tcPr>
          <w:p>
            <w:pPr>
              <w:ind w:left="60"/>
              <w:spacing w:after="0"/>
              <w:rPr>
                <w:sz w:val="20"/>
                <w:szCs w:val="20"/>
                <w:color w:val="auto"/>
              </w:rPr>
            </w:pPr>
            <w:r>
              <w:rPr>
                <w:rFonts w:ascii="Arial" w:cs="Arial" w:eastAsia="Arial" w:hAnsi="Arial"/>
                <w:sz w:val="15"/>
                <w:szCs w:val="15"/>
                <w:color w:val="auto"/>
              </w:rPr>
              <w:t>William F. Glavin, Jr.</w:t>
            </w:r>
          </w:p>
        </w:tc>
        <w:tc>
          <w:tcPr>
            <w:tcW w:w="1320" w:type="dxa"/>
            <w:vAlign w:val="bottom"/>
            <w:shd w:val="clear" w:color="auto" w:fill="F7F1EC"/>
          </w:tcPr>
          <w:p>
            <w:pPr>
              <w:ind w:left="440"/>
              <w:spacing w:after="0"/>
              <w:rPr>
                <w:sz w:val="20"/>
                <w:szCs w:val="20"/>
                <w:color w:val="auto"/>
              </w:rPr>
            </w:pPr>
            <w:r>
              <w:rPr>
                <w:rFonts w:ascii="Arial" w:cs="Arial" w:eastAsia="Arial" w:hAnsi="Arial"/>
                <w:sz w:val="15"/>
                <w:szCs w:val="15"/>
                <w:color w:val="auto"/>
              </w:rPr>
              <w:t>137,230</w:t>
            </w:r>
            <w:r>
              <w:rPr>
                <w:rFonts w:ascii="Arial" w:cs="Arial" w:eastAsia="Arial" w:hAnsi="Arial"/>
                <w:sz w:val="22"/>
                <w:szCs w:val="22"/>
                <w:color w:val="auto"/>
                <w:vertAlign w:val="superscript"/>
              </w:rPr>
              <w:t>(3)</w:t>
            </w:r>
          </w:p>
        </w:tc>
        <w:tc>
          <w:tcPr>
            <w:tcW w:w="1020" w:type="dxa"/>
            <w:vAlign w:val="bottom"/>
            <w:shd w:val="clear" w:color="auto" w:fill="F7F1EC"/>
          </w:tcPr>
          <w:p>
            <w:pPr>
              <w:ind w:left="140"/>
              <w:spacing w:after="0"/>
              <w:rPr>
                <w:sz w:val="20"/>
                <w:szCs w:val="20"/>
                <w:color w:val="auto"/>
              </w:rPr>
            </w:pPr>
            <w:r>
              <w:rPr>
                <w:rFonts w:ascii="Arial" w:cs="Arial" w:eastAsia="Arial" w:hAnsi="Arial"/>
                <w:sz w:val="15"/>
                <w:szCs w:val="15"/>
                <w:color w:val="auto"/>
              </w:rPr>
              <w:t>224,245</w:t>
            </w:r>
            <w:r>
              <w:rPr>
                <w:rFonts w:ascii="Arial" w:cs="Arial" w:eastAsia="Arial" w:hAnsi="Arial"/>
                <w:sz w:val="22"/>
                <w:szCs w:val="22"/>
                <w:color w:val="auto"/>
                <w:vertAlign w:val="superscript"/>
              </w:rPr>
              <w:t>(4)</w:t>
            </w:r>
          </w:p>
        </w:tc>
        <w:tc>
          <w:tcPr>
            <w:tcW w:w="800" w:type="dxa"/>
            <w:vAlign w:val="bottom"/>
            <w:shd w:val="clear" w:color="auto" w:fill="F7F1EC"/>
          </w:tcPr>
          <w:p>
            <w:pPr>
              <w:jc w:val="right"/>
              <w:ind w:right="5"/>
              <w:spacing w:after="0"/>
              <w:rPr>
                <w:sz w:val="20"/>
                <w:szCs w:val="20"/>
                <w:color w:val="auto"/>
              </w:rPr>
            </w:pPr>
            <w:r>
              <w:rPr>
                <w:rFonts w:ascii="Arial" w:cs="Arial" w:eastAsia="Arial" w:hAnsi="Arial"/>
                <w:sz w:val="15"/>
                <w:szCs w:val="15"/>
                <w:color w:val="auto"/>
              </w:rPr>
              <w:t>361,475</w:t>
            </w:r>
          </w:p>
        </w:tc>
      </w:tr>
      <w:tr>
        <w:trPr>
          <w:trHeight w:val="306"/>
        </w:trPr>
        <w:tc>
          <w:tcPr>
            <w:tcW w:w="4820" w:type="dxa"/>
            <w:vAlign w:val="bottom"/>
          </w:tcPr>
          <w:p>
            <w:pPr>
              <w:ind w:left="60"/>
              <w:spacing w:after="0"/>
              <w:rPr>
                <w:sz w:val="20"/>
                <w:szCs w:val="20"/>
                <w:color w:val="auto"/>
              </w:rPr>
            </w:pPr>
            <w:r>
              <w:rPr>
                <w:rFonts w:ascii="Arial" w:cs="Arial" w:eastAsia="Arial" w:hAnsi="Arial"/>
                <w:sz w:val="15"/>
                <w:szCs w:val="15"/>
                <w:color w:val="auto"/>
              </w:rPr>
              <w:t>Albert J. Ko</w:t>
            </w:r>
          </w:p>
        </w:tc>
        <w:tc>
          <w:tcPr>
            <w:tcW w:w="1320" w:type="dxa"/>
            <w:vAlign w:val="bottom"/>
          </w:tcPr>
          <w:p>
            <w:pPr>
              <w:ind w:left="440"/>
              <w:spacing w:after="0"/>
              <w:rPr>
                <w:sz w:val="20"/>
                <w:szCs w:val="20"/>
                <w:color w:val="auto"/>
              </w:rPr>
            </w:pPr>
            <w:r>
              <w:rPr>
                <w:rFonts w:ascii="Arial" w:cs="Arial" w:eastAsia="Arial" w:hAnsi="Arial"/>
                <w:sz w:val="15"/>
                <w:szCs w:val="15"/>
                <w:color w:val="auto"/>
              </w:rPr>
              <w:t>129,730</w:t>
            </w:r>
            <w:r>
              <w:rPr>
                <w:rFonts w:ascii="Arial" w:cs="Arial" w:eastAsia="Arial" w:hAnsi="Arial"/>
                <w:sz w:val="22"/>
                <w:szCs w:val="22"/>
                <w:color w:val="auto"/>
                <w:vertAlign w:val="superscript"/>
              </w:rPr>
              <w:t>(3)</w:t>
            </w:r>
          </w:p>
        </w:tc>
        <w:tc>
          <w:tcPr>
            <w:tcW w:w="1020" w:type="dxa"/>
            <w:vAlign w:val="bottom"/>
          </w:tcPr>
          <w:p>
            <w:pPr>
              <w:ind w:left="140"/>
              <w:spacing w:after="0"/>
              <w:rPr>
                <w:sz w:val="20"/>
                <w:szCs w:val="20"/>
                <w:color w:val="auto"/>
              </w:rPr>
            </w:pPr>
            <w:r>
              <w:rPr>
                <w:rFonts w:ascii="Arial" w:cs="Arial" w:eastAsia="Arial" w:hAnsi="Arial"/>
                <w:sz w:val="15"/>
                <w:szCs w:val="15"/>
                <w:color w:val="auto"/>
              </w:rPr>
              <w:t>224,245</w:t>
            </w:r>
          </w:p>
        </w:tc>
        <w:tc>
          <w:tcPr>
            <w:tcW w:w="800" w:type="dxa"/>
            <w:vAlign w:val="bottom"/>
          </w:tcPr>
          <w:p>
            <w:pPr>
              <w:jc w:val="right"/>
              <w:ind w:right="5"/>
              <w:spacing w:after="0"/>
              <w:rPr>
                <w:sz w:val="20"/>
                <w:szCs w:val="20"/>
                <w:color w:val="auto"/>
              </w:rPr>
            </w:pPr>
            <w:r>
              <w:rPr>
                <w:rFonts w:ascii="Arial" w:cs="Arial" w:eastAsia="Arial" w:hAnsi="Arial"/>
                <w:sz w:val="15"/>
                <w:szCs w:val="15"/>
                <w:color w:val="auto"/>
              </w:rPr>
              <w:t>353,975</w:t>
            </w:r>
          </w:p>
        </w:tc>
      </w:tr>
      <w:tr>
        <w:trPr>
          <w:trHeight w:val="306"/>
        </w:trPr>
        <w:tc>
          <w:tcPr>
            <w:tcW w:w="4820" w:type="dxa"/>
            <w:vAlign w:val="bottom"/>
            <w:shd w:val="clear" w:color="auto" w:fill="F7F1EC"/>
          </w:tcPr>
          <w:p>
            <w:pPr>
              <w:ind w:left="60"/>
              <w:spacing w:after="0"/>
              <w:rPr>
                <w:sz w:val="20"/>
                <w:szCs w:val="20"/>
                <w:color w:val="auto"/>
              </w:rPr>
            </w:pPr>
            <w:r>
              <w:rPr>
                <w:rFonts w:ascii="Arial" w:cs="Arial" w:eastAsia="Arial" w:hAnsi="Arial"/>
                <w:sz w:val="15"/>
                <w:szCs w:val="15"/>
                <w:color w:val="auto"/>
              </w:rPr>
              <w:t>Allison H. Mnookin</w:t>
            </w:r>
          </w:p>
        </w:tc>
        <w:tc>
          <w:tcPr>
            <w:tcW w:w="1320" w:type="dxa"/>
            <w:vAlign w:val="bottom"/>
            <w:shd w:val="clear" w:color="auto" w:fill="F7F1EC"/>
          </w:tcPr>
          <w:p>
            <w:pPr>
              <w:ind w:left="440"/>
              <w:spacing w:after="0"/>
              <w:rPr>
                <w:sz w:val="20"/>
                <w:szCs w:val="20"/>
                <w:color w:val="auto"/>
              </w:rPr>
            </w:pPr>
            <w:r>
              <w:rPr>
                <w:rFonts w:ascii="Arial" w:cs="Arial" w:eastAsia="Arial" w:hAnsi="Arial"/>
                <w:sz w:val="15"/>
                <w:szCs w:val="15"/>
                <w:color w:val="auto"/>
              </w:rPr>
              <w:t>140,000</w:t>
            </w:r>
          </w:p>
        </w:tc>
        <w:tc>
          <w:tcPr>
            <w:tcW w:w="1020" w:type="dxa"/>
            <w:vAlign w:val="bottom"/>
            <w:shd w:val="clear" w:color="auto" w:fill="F7F1EC"/>
          </w:tcPr>
          <w:p>
            <w:pPr>
              <w:ind w:left="140"/>
              <w:spacing w:after="0"/>
              <w:rPr>
                <w:sz w:val="20"/>
                <w:szCs w:val="20"/>
                <w:color w:val="auto"/>
              </w:rPr>
            </w:pPr>
            <w:r>
              <w:rPr>
                <w:rFonts w:ascii="Arial" w:cs="Arial" w:eastAsia="Arial" w:hAnsi="Arial"/>
                <w:sz w:val="15"/>
                <w:szCs w:val="15"/>
                <w:color w:val="auto"/>
              </w:rPr>
              <w:t>224,245</w:t>
            </w:r>
            <w:r>
              <w:rPr>
                <w:rFonts w:ascii="Arial" w:cs="Arial" w:eastAsia="Arial" w:hAnsi="Arial"/>
                <w:sz w:val="22"/>
                <w:szCs w:val="22"/>
                <w:color w:val="auto"/>
                <w:vertAlign w:val="superscript"/>
              </w:rPr>
              <w:t>(4)</w:t>
            </w:r>
          </w:p>
        </w:tc>
        <w:tc>
          <w:tcPr>
            <w:tcW w:w="800" w:type="dxa"/>
            <w:vAlign w:val="bottom"/>
            <w:shd w:val="clear" w:color="auto" w:fill="F7F1EC"/>
          </w:tcPr>
          <w:p>
            <w:pPr>
              <w:jc w:val="right"/>
              <w:ind w:right="5"/>
              <w:spacing w:after="0"/>
              <w:rPr>
                <w:sz w:val="20"/>
                <w:szCs w:val="20"/>
                <w:color w:val="auto"/>
              </w:rPr>
            </w:pPr>
            <w:r>
              <w:rPr>
                <w:rFonts w:ascii="Arial" w:cs="Arial" w:eastAsia="Arial" w:hAnsi="Arial"/>
                <w:sz w:val="15"/>
                <w:szCs w:val="15"/>
                <w:color w:val="auto"/>
              </w:rPr>
              <w:t>364,245</w:t>
            </w:r>
          </w:p>
        </w:tc>
      </w:tr>
      <w:tr>
        <w:trPr>
          <w:trHeight w:val="306"/>
        </w:trPr>
        <w:tc>
          <w:tcPr>
            <w:tcW w:w="4820" w:type="dxa"/>
            <w:vAlign w:val="bottom"/>
          </w:tcPr>
          <w:p>
            <w:pPr>
              <w:ind w:left="60"/>
              <w:spacing w:after="0"/>
              <w:rPr>
                <w:sz w:val="20"/>
                <w:szCs w:val="20"/>
                <w:color w:val="auto"/>
              </w:rPr>
            </w:pPr>
            <w:r>
              <w:rPr>
                <w:rFonts w:ascii="Arial" w:cs="Arial" w:eastAsia="Arial" w:hAnsi="Arial"/>
                <w:sz w:val="15"/>
                <w:szCs w:val="15"/>
                <w:color w:val="auto"/>
              </w:rPr>
              <w:t>Anne M. Mulcahy</w:t>
            </w:r>
          </w:p>
        </w:tc>
        <w:tc>
          <w:tcPr>
            <w:tcW w:w="1320" w:type="dxa"/>
            <w:vAlign w:val="bottom"/>
          </w:tcPr>
          <w:p>
            <w:pPr>
              <w:ind w:left="440"/>
              <w:spacing w:after="0"/>
              <w:rPr>
                <w:sz w:val="20"/>
                <w:szCs w:val="20"/>
                <w:color w:val="auto"/>
              </w:rPr>
            </w:pPr>
            <w:r>
              <w:rPr>
                <w:rFonts w:ascii="Arial" w:cs="Arial" w:eastAsia="Arial" w:hAnsi="Arial"/>
                <w:sz w:val="15"/>
                <w:szCs w:val="15"/>
                <w:color w:val="auto"/>
              </w:rPr>
              <w:t>134,730</w:t>
            </w:r>
            <w:r>
              <w:rPr>
                <w:rFonts w:ascii="Arial" w:cs="Arial" w:eastAsia="Arial" w:hAnsi="Arial"/>
                <w:sz w:val="22"/>
                <w:szCs w:val="22"/>
                <w:color w:val="auto"/>
                <w:vertAlign w:val="superscript"/>
              </w:rPr>
              <w:t>(3)</w:t>
            </w:r>
          </w:p>
        </w:tc>
        <w:tc>
          <w:tcPr>
            <w:tcW w:w="1020" w:type="dxa"/>
            <w:vAlign w:val="bottom"/>
          </w:tcPr>
          <w:p>
            <w:pPr>
              <w:ind w:left="140"/>
              <w:spacing w:after="0"/>
              <w:rPr>
                <w:sz w:val="20"/>
                <w:szCs w:val="20"/>
                <w:color w:val="auto"/>
              </w:rPr>
            </w:pPr>
            <w:r>
              <w:rPr>
                <w:rFonts w:ascii="Arial" w:cs="Arial" w:eastAsia="Arial" w:hAnsi="Arial"/>
                <w:sz w:val="15"/>
                <w:szCs w:val="15"/>
                <w:color w:val="auto"/>
              </w:rPr>
              <w:t>224,245</w:t>
            </w:r>
          </w:p>
        </w:tc>
        <w:tc>
          <w:tcPr>
            <w:tcW w:w="800" w:type="dxa"/>
            <w:vAlign w:val="bottom"/>
          </w:tcPr>
          <w:p>
            <w:pPr>
              <w:jc w:val="right"/>
              <w:ind w:right="5"/>
              <w:spacing w:after="0"/>
              <w:rPr>
                <w:sz w:val="20"/>
                <w:szCs w:val="20"/>
                <w:color w:val="auto"/>
              </w:rPr>
            </w:pPr>
            <w:r>
              <w:rPr>
                <w:rFonts w:ascii="Arial" w:cs="Arial" w:eastAsia="Arial" w:hAnsi="Arial"/>
                <w:sz w:val="15"/>
                <w:szCs w:val="15"/>
                <w:color w:val="auto"/>
              </w:rPr>
              <w:t>358,975</w:t>
            </w:r>
          </w:p>
        </w:tc>
      </w:tr>
      <w:tr>
        <w:trPr>
          <w:trHeight w:val="306"/>
        </w:trPr>
        <w:tc>
          <w:tcPr>
            <w:tcW w:w="4820" w:type="dxa"/>
            <w:vAlign w:val="bottom"/>
            <w:shd w:val="clear" w:color="auto" w:fill="F7F1EC"/>
          </w:tcPr>
          <w:p>
            <w:pPr>
              <w:ind w:left="60"/>
              <w:spacing w:after="0"/>
              <w:rPr>
                <w:sz w:val="20"/>
                <w:szCs w:val="20"/>
                <w:color w:val="auto"/>
              </w:rPr>
            </w:pPr>
            <w:r>
              <w:rPr>
                <w:rFonts w:ascii="Arial" w:cs="Arial" w:eastAsia="Arial" w:hAnsi="Arial"/>
                <w:sz w:val="15"/>
                <w:szCs w:val="15"/>
                <w:color w:val="auto"/>
              </w:rPr>
              <w:t>James S. Putnam</w:t>
            </w:r>
          </w:p>
        </w:tc>
        <w:tc>
          <w:tcPr>
            <w:tcW w:w="1320" w:type="dxa"/>
            <w:vAlign w:val="bottom"/>
            <w:shd w:val="clear" w:color="auto" w:fill="F7F1EC"/>
          </w:tcPr>
          <w:p>
            <w:pPr>
              <w:ind w:left="440"/>
              <w:spacing w:after="0"/>
              <w:rPr>
                <w:sz w:val="20"/>
                <w:szCs w:val="20"/>
                <w:color w:val="auto"/>
              </w:rPr>
            </w:pPr>
            <w:r>
              <w:rPr>
                <w:rFonts w:ascii="Arial" w:cs="Arial" w:eastAsia="Arial" w:hAnsi="Arial"/>
                <w:sz w:val="15"/>
                <w:szCs w:val="15"/>
                <w:color w:val="auto"/>
              </w:rPr>
              <w:t>257,500</w:t>
            </w:r>
          </w:p>
        </w:tc>
        <w:tc>
          <w:tcPr>
            <w:tcW w:w="1020" w:type="dxa"/>
            <w:vAlign w:val="bottom"/>
            <w:shd w:val="clear" w:color="auto" w:fill="F7F1EC"/>
          </w:tcPr>
          <w:p>
            <w:pPr>
              <w:ind w:left="140"/>
              <w:spacing w:after="0"/>
              <w:rPr>
                <w:sz w:val="20"/>
                <w:szCs w:val="20"/>
                <w:color w:val="auto"/>
              </w:rPr>
            </w:pPr>
            <w:r>
              <w:rPr>
                <w:rFonts w:ascii="Arial" w:cs="Arial" w:eastAsia="Arial" w:hAnsi="Arial"/>
                <w:sz w:val="15"/>
                <w:szCs w:val="15"/>
                <w:color w:val="auto"/>
              </w:rPr>
              <w:t>224,245</w:t>
            </w:r>
            <w:r>
              <w:rPr>
                <w:rFonts w:ascii="Arial" w:cs="Arial" w:eastAsia="Arial" w:hAnsi="Arial"/>
                <w:sz w:val="22"/>
                <w:szCs w:val="22"/>
                <w:color w:val="auto"/>
                <w:vertAlign w:val="superscript"/>
              </w:rPr>
              <w:t>(4)</w:t>
            </w:r>
          </w:p>
        </w:tc>
        <w:tc>
          <w:tcPr>
            <w:tcW w:w="800" w:type="dxa"/>
            <w:vAlign w:val="bottom"/>
            <w:shd w:val="clear" w:color="auto" w:fill="F7F1EC"/>
          </w:tcPr>
          <w:p>
            <w:pPr>
              <w:jc w:val="right"/>
              <w:ind w:right="5"/>
              <w:spacing w:after="0"/>
              <w:rPr>
                <w:sz w:val="20"/>
                <w:szCs w:val="20"/>
                <w:color w:val="auto"/>
              </w:rPr>
            </w:pPr>
            <w:r>
              <w:rPr>
                <w:rFonts w:ascii="Arial" w:cs="Arial" w:eastAsia="Arial" w:hAnsi="Arial"/>
                <w:sz w:val="15"/>
                <w:szCs w:val="15"/>
                <w:color w:val="auto"/>
              </w:rPr>
              <w:t>481,745</w:t>
            </w:r>
          </w:p>
        </w:tc>
      </w:tr>
      <w:tr>
        <w:trPr>
          <w:trHeight w:val="306"/>
        </w:trPr>
        <w:tc>
          <w:tcPr>
            <w:tcW w:w="4820" w:type="dxa"/>
            <w:vAlign w:val="bottom"/>
          </w:tcPr>
          <w:p>
            <w:pPr>
              <w:ind w:left="60"/>
              <w:spacing w:after="0"/>
              <w:rPr>
                <w:sz w:val="20"/>
                <w:szCs w:val="20"/>
                <w:color w:val="auto"/>
              </w:rPr>
            </w:pPr>
            <w:r>
              <w:rPr>
                <w:rFonts w:ascii="Arial" w:cs="Arial" w:eastAsia="Arial" w:hAnsi="Arial"/>
                <w:sz w:val="15"/>
                <w:szCs w:val="15"/>
                <w:color w:val="auto"/>
              </w:rPr>
              <w:t>Richard P. Schifter</w:t>
            </w:r>
          </w:p>
        </w:tc>
        <w:tc>
          <w:tcPr>
            <w:tcW w:w="1320" w:type="dxa"/>
            <w:vAlign w:val="bottom"/>
          </w:tcPr>
          <w:p>
            <w:pPr>
              <w:ind w:left="440"/>
              <w:spacing w:after="0"/>
              <w:rPr>
                <w:sz w:val="20"/>
                <w:szCs w:val="20"/>
                <w:color w:val="auto"/>
              </w:rPr>
            </w:pPr>
            <w:r>
              <w:rPr>
                <w:rFonts w:ascii="Arial" w:cs="Arial" w:eastAsia="Arial" w:hAnsi="Arial"/>
                <w:sz w:val="15"/>
                <w:szCs w:val="15"/>
                <w:color w:val="auto"/>
              </w:rPr>
              <w:t>129,730</w:t>
            </w:r>
            <w:r>
              <w:rPr>
                <w:rFonts w:ascii="Arial" w:cs="Arial" w:eastAsia="Arial" w:hAnsi="Arial"/>
                <w:sz w:val="22"/>
                <w:szCs w:val="22"/>
                <w:color w:val="auto"/>
                <w:vertAlign w:val="superscript"/>
              </w:rPr>
              <w:t>(3)</w:t>
            </w:r>
          </w:p>
        </w:tc>
        <w:tc>
          <w:tcPr>
            <w:tcW w:w="1020" w:type="dxa"/>
            <w:vAlign w:val="bottom"/>
          </w:tcPr>
          <w:p>
            <w:pPr>
              <w:ind w:left="140"/>
              <w:spacing w:after="0"/>
              <w:rPr>
                <w:sz w:val="20"/>
                <w:szCs w:val="20"/>
                <w:color w:val="auto"/>
              </w:rPr>
            </w:pPr>
            <w:r>
              <w:rPr>
                <w:rFonts w:ascii="Arial" w:cs="Arial" w:eastAsia="Arial" w:hAnsi="Arial"/>
                <w:sz w:val="15"/>
                <w:szCs w:val="15"/>
                <w:color w:val="auto"/>
              </w:rPr>
              <w:t>224,245</w:t>
            </w:r>
            <w:r>
              <w:rPr>
                <w:rFonts w:ascii="Arial" w:cs="Arial" w:eastAsia="Arial" w:hAnsi="Arial"/>
                <w:sz w:val="22"/>
                <w:szCs w:val="22"/>
                <w:color w:val="auto"/>
                <w:vertAlign w:val="superscript"/>
              </w:rPr>
              <w:t>(4)</w:t>
            </w:r>
          </w:p>
        </w:tc>
        <w:tc>
          <w:tcPr>
            <w:tcW w:w="800" w:type="dxa"/>
            <w:vAlign w:val="bottom"/>
          </w:tcPr>
          <w:p>
            <w:pPr>
              <w:jc w:val="right"/>
              <w:ind w:right="5"/>
              <w:spacing w:after="0"/>
              <w:rPr>
                <w:sz w:val="20"/>
                <w:szCs w:val="20"/>
                <w:color w:val="auto"/>
              </w:rPr>
            </w:pPr>
            <w:r>
              <w:rPr>
                <w:rFonts w:ascii="Arial" w:cs="Arial" w:eastAsia="Arial" w:hAnsi="Arial"/>
                <w:sz w:val="15"/>
                <w:szCs w:val="15"/>
                <w:color w:val="auto"/>
              </w:rPr>
              <w:t>353,975</w:t>
            </w:r>
          </w:p>
        </w:tc>
      </w:tr>
      <w:tr>
        <w:trPr>
          <w:trHeight w:val="306"/>
        </w:trPr>
        <w:tc>
          <w:tcPr>
            <w:tcW w:w="4820" w:type="dxa"/>
            <w:vAlign w:val="bottom"/>
            <w:shd w:val="clear" w:color="auto" w:fill="F7F1EC"/>
          </w:tcPr>
          <w:p>
            <w:pPr>
              <w:ind w:left="60"/>
              <w:spacing w:after="0"/>
              <w:rPr>
                <w:sz w:val="20"/>
                <w:szCs w:val="20"/>
                <w:color w:val="auto"/>
              </w:rPr>
            </w:pPr>
            <w:r>
              <w:rPr>
                <w:rFonts w:ascii="Arial" w:cs="Arial" w:eastAsia="Arial" w:hAnsi="Arial"/>
                <w:sz w:val="15"/>
                <w:szCs w:val="15"/>
                <w:color w:val="auto"/>
              </w:rPr>
              <w:t>Corey E. Thomas</w:t>
            </w:r>
          </w:p>
        </w:tc>
        <w:tc>
          <w:tcPr>
            <w:tcW w:w="1320" w:type="dxa"/>
            <w:vAlign w:val="bottom"/>
            <w:shd w:val="clear" w:color="auto" w:fill="F7F1EC"/>
          </w:tcPr>
          <w:p>
            <w:pPr>
              <w:ind w:left="440"/>
              <w:spacing w:after="0"/>
              <w:rPr>
                <w:sz w:val="20"/>
                <w:szCs w:val="20"/>
                <w:color w:val="auto"/>
              </w:rPr>
            </w:pPr>
            <w:r>
              <w:rPr>
                <w:rFonts w:ascii="Arial" w:cs="Arial" w:eastAsia="Arial" w:hAnsi="Arial"/>
                <w:sz w:val="15"/>
                <w:szCs w:val="15"/>
                <w:color w:val="auto"/>
              </w:rPr>
              <w:t>139,730</w:t>
            </w:r>
            <w:r>
              <w:rPr>
                <w:rFonts w:ascii="Arial" w:cs="Arial" w:eastAsia="Arial" w:hAnsi="Arial"/>
                <w:sz w:val="22"/>
                <w:szCs w:val="22"/>
                <w:color w:val="auto"/>
                <w:vertAlign w:val="superscript"/>
              </w:rPr>
              <w:t>(3)</w:t>
            </w:r>
          </w:p>
        </w:tc>
        <w:tc>
          <w:tcPr>
            <w:tcW w:w="1020" w:type="dxa"/>
            <w:vAlign w:val="bottom"/>
            <w:shd w:val="clear" w:color="auto" w:fill="F7F1EC"/>
          </w:tcPr>
          <w:p>
            <w:pPr>
              <w:ind w:left="140"/>
              <w:spacing w:after="0"/>
              <w:rPr>
                <w:sz w:val="20"/>
                <w:szCs w:val="20"/>
                <w:color w:val="auto"/>
              </w:rPr>
            </w:pPr>
            <w:r>
              <w:rPr>
                <w:rFonts w:ascii="Arial" w:cs="Arial" w:eastAsia="Arial" w:hAnsi="Arial"/>
                <w:sz w:val="15"/>
                <w:szCs w:val="15"/>
                <w:color w:val="auto"/>
              </w:rPr>
              <w:t>224,245</w:t>
            </w:r>
            <w:r>
              <w:rPr>
                <w:rFonts w:ascii="Arial" w:cs="Arial" w:eastAsia="Arial" w:hAnsi="Arial"/>
                <w:sz w:val="22"/>
                <w:szCs w:val="22"/>
                <w:color w:val="auto"/>
                <w:vertAlign w:val="superscript"/>
              </w:rPr>
              <w:t>(4)</w:t>
            </w:r>
          </w:p>
        </w:tc>
        <w:tc>
          <w:tcPr>
            <w:tcW w:w="800" w:type="dxa"/>
            <w:vAlign w:val="bottom"/>
            <w:shd w:val="clear" w:color="auto" w:fill="F7F1EC"/>
          </w:tcPr>
          <w:p>
            <w:pPr>
              <w:jc w:val="right"/>
              <w:ind w:right="5"/>
              <w:spacing w:after="0"/>
              <w:rPr>
                <w:sz w:val="20"/>
                <w:szCs w:val="20"/>
                <w:color w:val="auto"/>
              </w:rPr>
            </w:pPr>
            <w:r>
              <w:rPr>
                <w:rFonts w:ascii="Arial" w:cs="Arial" w:eastAsia="Arial" w:hAnsi="Arial"/>
                <w:sz w:val="15"/>
                <w:szCs w:val="15"/>
                <w:color w:val="auto"/>
              </w:rPr>
              <w:t>363,975</w:t>
            </w:r>
          </w:p>
        </w:tc>
      </w:tr>
    </w:tbl>
    <w:p>
      <w:pPr>
        <w:spacing w:after="0" w:line="715" w:lineRule="exact"/>
        <w:rPr>
          <w:sz w:val="20"/>
          <w:szCs w:val="20"/>
          <w:color w:val="auto"/>
        </w:rPr>
      </w:pPr>
    </w:p>
    <w:p>
      <w:pPr>
        <w:sectPr>
          <w:pgSz w:w="11900" w:h="16838" w:orient="portrait"/>
          <w:cols w:equalWidth="0" w:num="2">
            <w:col w:w="2160" w:space="560"/>
            <w:col w:w="7980"/>
          </w:cols>
          <w:pgMar w:left="320" w:top="464" w:right="879" w:bottom="1440" w:gutter="0" w:footer="0" w:header="0"/>
        </w:sectPr>
      </w:pPr>
    </w:p>
    <w:p>
      <w:pPr>
        <w:spacing w:after="0" w:line="200" w:lineRule="exact"/>
        <w:rPr>
          <w:sz w:val="20"/>
          <w:szCs w:val="20"/>
          <w:color w:val="auto"/>
        </w:rPr>
      </w:pPr>
    </w:p>
    <w:p>
      <w:pPr>
        <w:spacing w:after="0" w:line="385" w:lineRule="exact"/>
        <w:rPr>
          <w:sz w:val="20"/>
          <w:szCs w:val="20"/>
          <w:color w:val="auto"/>
        </w:rPr>
      </w:pPr>
    </w:p>
    <w:p>
      <w:pPr>
        <w:ind w:left="420"/>
        <w:spacing w:after="0"/>
        <w:tabs>
          <w:tab w:leader="none" w:pos="2380" w:val="left"/>
          <w:tab w:leader="none" w:pos="2800" w:val="left"/>
        </w:tabs>
        <w:rPr>
          <w:sz w:val="20"/>
          <w:szCs w:val="20"/>
          <w:color w:val="auto"/>
        </w:rPr>
      </w:pPr>
      <w:r>
        <w:rPr>
          <w:rFonts w:ascii="Arial" w:cs="Arial" w:eastAsia="Arial" w:hAnsi="Arial"/>
          <w:sz w:val="30"/>
          <w:szCs w:val="30"/>
          <w:color w:val="000000"/>
          <w:vertAlign w:val="superscript"/>
        </w:rPr>
        <w:t xml:space="preserve">             </w:t>
      </w:r>
      <w:r>
        <w:rPr>
          <w:sz w:val="20"/>
          <w:szCs w:val="20"/>
          <w:color w:val="auto"/>
        </w:rPr>
        <w:tab/>
      </w:r>
      <w:r>
        <w:rPr>
          <w:rFonts w:ascii="Arial" w:cs="Arial" w:eastAsia="Arial" w:hAnsi="Arial"/>
          <w:sz w:val="31"/>
          <w:szCs w:val="31"/>
          <w:color w:val="auto"/>
          <w:vertAlign w:val="superscript"/>
        </w:rPr>
        <w:t xml:space="preserve">    </w:t>
      </w:r>
      <w:r>
        <w:rPr>
          <w:sz w:val="20"/>
          <w:szCs w:val="20"/>
          <w:color w:val="auto"/>
        </w:rPr>
        <w:tab/>
      </w:r>
      <w:r>
        <w:rPr>
          <w:rFonts w:ascii="Arial" w:cs="Arial" w:eastAsia="Arial" w:hAnsi="Arial"/>
          <w:sz w:val="15"/>
          <w:szCs w:val="15"/>
          <w:b w:val="1"/>
          <w:bCs w:val="1"/>
          <w:color w:val="002B5F"/>
        </w:rPr>
        <w:t xml:space="preserve">36  </w:t>
      </w:r>
      <w:r>
        <w:rPr>
          <w:rFonts w:ascii="Arial" w:cs="Arial" w:eastAsia="Arial" w:hAnsi="Arial"/>
          <w:sz w:val="20"/>
          <w:szCs w:val="20"/>
          <w:color w:val="002B5F"/>
        </w:rPr>
        <w:t>|</w:t>
      </w:r>
      <w:r>
        <w:rPr>
          <w:rFonts w:ascii="Arial" w:cs="Arial" w:eastAsia="Arial" w:hAnsi="Arial"/>
          <w:sz w:val="15"/>
          <w:szCs w:val="15"/>
          <w:b w:val="1"/>
          <w:bCs w:val="1"/>
          <w:color w:val="002B5F"/>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6111875</wp:posOffset>
            </wp:positionH>
            <wp:positionV relativeFrom="paragraph">
              <wp:posOffset>-208915</wp:posOffset>
            </wp:positionV>
            <wp:extent cx="769620" cy="971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69620" cy="97155"/>
                    </a:xfrm>
                    <a:prstGeom prst="rect">
                      <a:avLst/>
                    </a:prstGeom>
                    <a:noFill/>
                  </pic:spPr>
                </pic:pic>
              </a:graphicData>
            </a:graphic>
          </wp:anchor>
        </w:drawing>
      </w:r>
    </w:p>
    <w:p>
      <w:pPr>
        <w:sectPr>
          <w:pgSz w:w="11900" w:h="16838" w:orient="portrait"/>
          <w:cols w:equalWidth="0" w:num="1">
            <w:col w:w="10700"/>
          </w:cols>
          <w:pgMar w:left="320" w:top="464" w:right="879" w:bottom="1440" w:gutter="0" w:footer="0" w:header="0"/>
          <w:type w:val="continuous"/>
        </w:sectPr>
      </w:pPr>
    </w:p>
    <w:bookmarkStart w:id="44" w:name="page45"/>
    <w:bookmarkEnd w:id="4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5334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81215" cy="5334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5617845</wp:posOffset>
            </wp:positionH>
            <wp:positionV relativeFrom="paragraph">
              <wp:posOffset>253365</wp:posOffset>
            </wp:positionV>
            <wp:extent cx="1256030" cy="74720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256030" cy="747204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left="2760"/>
        <w:spacing w:after="0"/>
        <w:rPr>
          <w:sz w:val="20"/>
          <w:szCs w:val="20"/>
          <w:color w:val="auto"/>
        </w:rPr>
      </w:pPr>
      <w:r>
        <w:rPr>
          <w:rFonts w:ascii="Arial" w:cs="Arial" w:eastAsia="Arial" w:hAnsi="Arial"/>
          <w:sz w:val="17"/>
          <w:szCs w:val="17"/>
          <w:b w:val="1"/>
          <w:bCs w:val="1"/>
          <w:color w:val="002B5F"/>
        </w:rPr>
        <w:t>Non-Employee Director Compensation Mix</w:t>
      </w:r>
    </w:p>
    <w:p>
      <w:pPr>
        <w:spacing w:after="0" w:line="44" w:lineRule="exact"/>
        <w:rPr>
          <w:sz w:val="20"/>
          <w:szCs w:val="20"/>
          <w:color w:val="auto"/>
        </w:rPr>
      </w:pPr>
    </w:p>
    <w:tbl>
      <w:tblPr>
        <w:tblLayout w:type="fixed"/>
        <w:tblInd w:w="8880" w:type="dxa"/>
        <w:tblCellMar>
          <w:top w:w="0" w:type="dxa"/>
          <w:left w:w="0" w:type="dxa"/>
          <w:bottom w:w="0" w:type="dxa"/>
          <w:right w:w="0" w:type="dxa"/>
        </w:tblCellMar>
      </w:tblPr>
      <w:tr>
        <w:trPr>
          <w:trHeight w:val="172"/>
        </w:trPr>
        <w:tc>
          <w:tcPr>
            <w:tcW w:w="200" w:type="dxa"/>
            <w:vAlign w:val="bottom"/>
          </w:tcPr>
          <w:p>
            <w:pPr>
              <w:spacing w:after="0"/>
              <w:rPr>
                <w:sz w:val="20"/>
                <w:szCs w:val="20"/>
                <w:color w:val="auto"/>
              </w:rPr>
            </w:pPr>
            <w:r>
              <w:rPr>
                <w:rFonts w:ascii="Arial" w:cs="Arial" w:eastAsia="Arial" w:hAnsi="Arial"/>
                <w:sz w:val="15"/>
                <w:szCs w:val="15"/>
                <w:color w:val="auto"/>
              </w:rPr>
              <w:t> </w:t>
            </w:r>
          </w:p>
        </w:tc>
        <w:tc>
          <w:tcPr>
            <w:tcW w:w="1280" w:type="dxa"/>
            <w:vAlign w:val="bottom"/>
          </w:tcPr>
          <w:p>
            <w:pPr>
              <w:ind w:left="140"/>
              <w:spacing w:after="0"/>
              <w:rPr>
                <w:sz w:val="20"/>
                <w:szCs w:val="20"/>
                <w:color w:val="auto"/>
              </w:rPr>
            </w:pPr>
            <w:r>
              <w:rPr>
                <w:rFonts w:ascii="Arial" w:cs="Arial" w:eastAsia="Arial" w:hAnsi="Arial"/>
                <w:sz w:val="12"/>
                <w:szCs w:val="12"/>
                <w:color w:val="FFFFFF"/>
              </w:rPr>
              <w:t>General</w:t>
            </w:r>
          </w:p>
        </w:tc>
        <w:tc>
          <w:tcPr>
            <w:tcW w:w="440" w:type="dxa"/>
            <w:vAlign w:val="bottom"/>
          </w:tcPr>
          <w:p>
            <w:pPr>
              <w:ind w:left="80"/>
              <w:spacing w:after="0"/>
              <w:rPr>
                <w:sz w:val="20"/>
                <w:szCs w:val="20"/>
                <w:color w:val="auto"/>
              </w:rPr>
            </w:pPr>
            <w:r>
              <w:rPr>
                <w:rFonts w:ascii="Arial" w:cs="Arial" w:eastAsia="Arial" w:hAnsi="Arial"/>
                <w:sz w:val="15"/>
                <w:szCs w:val="15"/>
                <w:color w:val="auto"/>
              </w:rPr>
              <w:t xml:space="preserve">       </w:t>
            </w:r>
          </w:p>
        </w:tc>
      </w:tr>
      <w:tr>
        <w:trPr>
          <w:trHeight w:val="158"/>
        </w:trPr>
        <w:tc>
          <w:tcPr>
            <w:tcW w:w="200" w:type="dxa"/>
            <w:vAlign w:val="bottom"/>
          </w:tcPr>
          <w:p>
            <w:pPr>
              <w:spacing w:after="0"/>
              <w:rPr>
                <w:sz w:val="13"/>
                <w:szCs w:val="13"/>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Information</w:t>
            </w:r>
          </w:p>
        </w:tc>
        <w:tc>
          <w:tcPr>
            <w:tcW w:w="440" w:type="dxa"/>
            <w:vAlign w:val="bottom"/>
          </w:tcPr>
          <w:p>
            <w:pPr>
              <w:spacing w:after="0"/>
              <w:rPr>
                <w:sz w:val="13"/>
                <w:szCs w:val="13"/>
                <w:color w:val="auto"/>
              </w:rPr>
            </w:pPr>
          </w:p>
        </w:tc>
      </w:tr>
      <w:tr>
        <w:trPr>
          <w:trHeight w:val="233"/>
        </w:trPr>
        <w:tc>
          <w:tcPr>
            <w:tcW w:w="200" w:type="dxa"/>
            <w:vAlign w:val="bottom"/>
          </w:tcPr>
          <w:p>
            <w:pPr>
              <w:spacing w:after="0"/>
              <w:rPr>
                <w:sz w:val="20"/>
                <w:szCs w:val="20"/>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General Information</w:t>
            </w:r>
          </w:p>
        </w:tc>
        <w:tc>
          <w:tcPr>
            <w:tcW w:w="440" w:type="dxa"/>
            <w:vAlign w:val="bottom"/>
          </w:tcPr>
          <w:p>
            <w:pPr>
              <w:spacing w:after="0"/>
              <w:rPr>
                <w:sz w:val="20"/>
                <w:szCs w:val="20"/>
                <w:color w:val="auto"/>
              </w:rPr>
            </w:pPr>
          </w:p>
        </w:tc>
      </w:tr>
      <w:tr>
        <w:trPr>
          <w:trHeight w:val="128"/>
        </w:trPr>
        <w:tc>
          <w:tcPr>
            <w:tcW w:w="200" w:type="dxa"/>
            <w:vAlign w:val="bottom"/>
          </w:tcPr>
          <w:p>
            <w:pPr>
              <w:spacing w:after="0"/>
              <w:rPr>
                <w:sz w:val="11"/>
                <w:szCs w:val="11"/>
                <w:color w:val="auto"/>
              </w:rPr>
            </w:pPr>
          </w:p>
        </w:tc>
        <w:tc>
          <w:tcPr>
            <w:tcW w:w="1280" w:type="dxa"/>
            <w:vAlign w:val="bottom"/>
          </w:tcPr>
          <w:p>
            <w:pPr>
              <w:ind w:left="140"/>
              <w:spacing w:after="0" w:line="128" w:lineRule="exact"/>
              <w:rPr>
                <w:sz w:val="20"/>
                <w:szCs w:val="20"/>
                <w:color w:val="auto"/>
              </w:rPr>
            </w:pPr>
            <w:r>
              <w:rPr>
                <w:rFonts w:ascii="Arial" w:cs="Arial" w:eastAsia="Arial" w:hAnsi="Arial"/>
                <w:sz w:val="12"/>
                <w:szCs w:val="12"/>
                <w:color w:val="FFFFFF"/>
              </w:rPr>
              <w:t>About Corporate</w:t>
            </w:r>
          </w:p>
        </w:tc>
        <w:tc>
          <w:tcPr>
            <w:tcW w:w="440" w:type="dxa"/>
            <w:vAlign w:val="bottom"/>
          </w:tcPr>
          <w:p>
            <w:pPr>
              <w:spacing w:after="0"/>
              <w:rPr>
                <w:sz w:val="11"/>
                <w:szCs w:val="11"/>
                <w:color w:val="auto"/>
              </w:rPr>
            </w:pPr>
          </w:p>
        </w:tc>
      </w:tr>
      <w:tr>
        <w:trPr>
          <w:trHeight w:val="128"/>
        </w:trPr>
        <w:tc>
          <w:tcPr>
            <w:tcW w:w="200" w:type="dxa"/>
            <w:vAlign w:val="bottom"/>
          </w:tcPr>
          <w:p>
            <w:pPr>
              <w:spacing w:after="0"/>
              <w:rPr>
                <w:sz w:val="11"/>
                <w:szCs w:val="11"/>
                <w:color w:val="auto"/>
              </w:rPr>
            </w:pPr>
          </w:p>
        </w:tc>
        <w:tc>
          <w:tcPr>
            <w:tcW w:w="1280" w:type="dxa"/>
            <w:vAlign w:val="bottom"/>
          </w:tcPr>
          <w:p>
            <w:pPr>
              <w:ind w:left="140"/>
              <w:spacing w:after="0" w:line="128" w:lineRule="exact"/>
              <w:rPr>
                <w:sz w:val="20"/>
                <w:szCs w:val="20"/>
                <w:color w:val="auto"/>
              </w:rPr>
            </w:pPr>
            <w:r>
              <w:rPr>
                <w:rFonts w:ascii="Arial" w:cs="Arial" w:eastAsia="Arial" w:hAnsi="Arial"/>
                <w:sz w:val="12"/>
                <w:szCs w:val="12"/>
                <w:color w:val="FFFFFF"/>
              </w:rPr>
              <w:t>Governance</w:t>
            </w:r>
          </w:p>
        </w:tc>
        <w:tc>
          <w:tcPr>
            <w:tcW w:w="440" w:type="dxa"/>
            <w:vAlign w:val="bottom"/>
          </w:tcPr>
          <w:p>
            <w:pPr>
              <w:spacing w:after="0"/>
              <w:rPr>
                <w:sz w:val="11"/>
                <w:szCs w:val="11"/>
                <w:color w:val="auto"/>
              </w:rPr>
            </w:pPr>
          </w:p>
        </w:tc>
      </w:tr>
      <w:tr>
        <w:trPr>
          <w:trHeight w:val="128"/>
        </w:trPr>
        <w:tc>
          <w:tcPr>
            <w:tcW w:w="200" w:type="dxa"/>
            <w:vAlign w:val="bottom"/>
          </w:tcPr>
          <w:p>
            <w:pPr>
              <w:spacing w:after="0"/>
              <w:rPr>
                <w:sz w:val="11"/>
                <w:szCs w:val="11"/>
                <w:color w:val="auto"/>
              </w:rPr>
            </w:pPr>
          </w:p>
        </w:tc>
        <w:tc>
          <w:tcPr>
            <w:tcW w:w="1280" w:type="dxa"/>
            <w:vAlign w:val="bottom"/>
          </w:tcPr>
          <w:p>
            <w:pPr>
              <w:ind w:left="140"/>
              <w:spacing w:after="0" w:line="128" w:lineRule="exact"/>
              <w:rPr>
                <w:sz w:val="20"/>
                <w:szCs w:val="20"/>
                <w:color w:val="auto"/>
              </w:rPr>
            </w:pPr>
            <w:r>
              <w:rPr>
                <w:rFonts w:ascii="Arial" w:cs="Arial" w:eastAsia="Arial" w:hAnsi="Arial"/>
                <w:sz w:val="12"/>
                <w:szCs w:val="12"/>
                <w:color w:val="FFFFFF"/>
              </w:rPr>
              <w:t>and the Board of</w:t>
            </w:r>
          </w:p>
        </w:tc>
        <w:tc>
          <w:tcPr>
            <w:tcW w:w="440" w:type="dxa"/>
            <w:vAlign w:val="bottom"/>
          </w:tcPr>
          <w:p>
            <w:pPr>
              <w:spacing w:after="0"/>
              <w:rPr>
                <w:sz w:val="11"/>
                <w:szCs w:val="11"/>
                <w:color w:val="auto"/>
              </w:rPr>
            </w:pPr>
          </w:p>
        </w:tc>
      </w:tr>
      <w:tr>
        <w:trPr>
          <w:trHeight w:val="158"/>
        </w:trPr>
        <w:tc>
          <w:tcPr>
            <w:tcW w:w="200" w:type="dxa"/>
            <w:vAlign w:val="bottom"/>
          </w:tcPr>
          <w:p>
            <w:pPr>
              <w:spacing w:after="0"/>
              <w:rPr>
                <w:sz w:val="13"/>
                <w:szCs w:val="13"/>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Directors</w:t>
            </w:r>
          </w:p>
        </w:tc>
        <w:tc>
          <w:tcPr>
            <w:tcW w:w="440" w:type="dxa"/>
            <w:vAlign w:val="bottom"/>
          </w:tcPr>
          <w:p>
            <w:pPr>
              <w:spacing w:after="0"/>
              <w:rPr>
                <w:sz w:val="13"/>
                <w:szCs w:val="13"/>
                <w:color w:val="auto"/>
              </w:rPr>
            </w:pPr>
          </w:p>
        </w:tc>
      </w:tr>
      <w:tr>
        <w:trPr>
          <w:trHeight w:val="294"/>
        </w:trPr>
        <w:tc>
          <w:tcPr>
            <w:tcW w:w="200" w:type="dxa"/>
            <w:vAlign w:val="bottom"/>
          </w:tcPr>
          <w:p>
            <w:pPr>
              <w:spacing w:after="0"/>
              <w:rPr>
                <w:sz w:val="24"/>
                <w:szCs w:val="24"/>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Proposal 1</w:t>
            </w:r>
          </w:p>
        </w:tc>
        <w:tc>
          <w:tcPr>
            <w:tcW w:w="440" w:type="dxa"/>
            <w:vAlign w:val="bottom"/>
          </w:tcPr>
          <w:p>
            <w:pPr>
              <w:spacing w:after="0"/>
              <w:rPr>
                <w:sz w:val="24"/>
                <w:szCs w:val="24"/>
                <w:color w:val="auto"/>
              </w:rPr>
            </w:pPr>
          </w:p>
        </w:tc>
      </w:tr>
      <w:tr>
        <w:trPr>
          <w:trHeight w:val="263"/>
        </w:trPr>
        <w:tc>
          <w:tcPr>
            <w:tcW w:w="200" w:type="dxa"/>
            <w:vAlign w:val="bottom"/>
          </w:tcPr>
          <w:p>
            <w:pPr>
              <w:spacing w:after="0"/>
              <w:rPr>
                <w:sz w:val="22"/>
                <w:szCs w:val="22"/>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Information</w:t>
            </w:r>
          </w:p>
        </w:tc>
        <w:tc>
          <w:tcPr>
            <w:tcW w:w="440" w:type="dxa"/>
            <w:vAlign w:val="bottom"/>
          </w:tcPr>
          <w:p>
            <w:pPr>
              <w:spacing w:after="0"/>
              <w:rPr>
                <w:sz w:val="22"/>
                <w:szCs w:val="22"/>
                <w:color w:val="auto"/>
              </w:rPr>
            </w:pPr>
          </w:p>
        </w:tc>
      </w:tr>
      <w:tr>
        <w:trPr>
          <w:trHeight w:val="128"/>
        </w:trPr>
        <w:tc>
          <w:tcPr>
            <w:tcW w:w="200" w:type="dxa"/>
            <w:vAlign w:val="bottom"/>
          </w:tcPr>
          <w:p>
            <w:pPr>
              <w:spacing w:after="0"/>
              <w:rPr>
                <w:sz w:val="11"/>
                <w:szCs w:val="11"/>
                <w:color w:val="auto"/>
              </w:rPr>
            </w:pPr>
          </w:p>
        </w:tc>
        <w:tc>
          <w:tcPr>
            <w:tcW w:w="1280" w:type="dxa"/>
            <w:vAlign w:val="bottom"/>
          </w:tcPr>
          <w:p>
            <w:pPr>
              <w:ind w:left="140"/>
              <w:spacing w:after="0" w:line="128" w:lineRule="exact"/>
              <w:rPr>
                <w:sz w:val="20"/>
                <w:szCs w:val="20"/>
                <w:color w:val="auto"/>
              </w:rPr>
            </w:pPr>
            <w:r>
              <w:rPr>
                <w:rFonts w:ascii="Arial" w:cs="Arial" w:eastAsia="Arial" w:hAnsi="Arial"/>
                <w:sz w:val="12"/>
                <w:szCs w:val="12"/>
                <w:color w:val="FFFFFF"/>
              </w:rPr>
              <w:t>Regarding Board</w:t>
            </w:r>
          </w:p>
        </w:tc>
        <w:tc>
          <w:tcPr>
            <w:tcW w:w="440" w:type="dxa"/>
            <w:vAlign w:val="bottom"/>
          </w:tcPr>
          <w:p>
            <w:pPr>
              <w:spacing w:after="0"/>
              <w:rPr>
                <w:sz w:val="11"/>
                <w:szCs w:val="11"/>
                <w:color w:val="auto"/>
              </w:rPr>
            </w:pPr>
          </w:p>
        </w:tc>
      </w:tr>
      <w:tr>
        <w:trPr>
          <w:trHeight w:val="128"/>
        </w:trPr>
        <w:tc>
          <w:tcPr>
            <w:tcW w:w="200" w:type="dxa"/>
            <w:vAlign w:val="bottom"/>
          </w:tcPr>
          <w:p>
            <w:pPr>
              <w:spacing w:after="0"/>
              <w:rPr>
                <w:sz w:val="11"/>
                <w:szCs w:val="11"/>
                <w:color w:val="auto"/>
              </w:rPr>
            </w:pPr>
          </w:p>
        </w:tc>
        <w:tc>
          <w:tcPr>
            <w:tcW w:w="1280" w:type="dxa"/>
            <w:vAlign w:val="bottom"/>
          </w:tcPr>
          <w:p>
            <w:pPr>
              <w:ind w:left="140"/>
              <w:spacing w:after="0" w:line="128" w:lineRule="exact"/>
              <w:rPr>
                <w:sz w:val="20"/>
                <w:szCs w:val="20"/>
                <w:color w:val="auto"/>
              </w:rPr>
            </w:pPr>
            <w:r>
              <w:rPr>
                <w:rFonts w:ascii="Arial" w:cs="Arial" w:eastAsia="Arial" w:hAnsi="Arial"/>
                <w:sz w:val="12"/>
                <w:szCs w:val="12"/>
                <w:color w:val="FFFFFF"/>
              </w:rPr>
              <w:t>and Committee</w:t>
            </w:r>
          </w:p>
        </w:tc>
        <w:tc>
          <w:tcPr>
            <w:tcW w:w="440" w:type="dxa"/>
            <w:vAlign w:val="bottom"/>
          </w:tcPr>
          <w:p>
            <w:pPr>
              <w:spacing w:after="0"/>
              <w:rPr>
                <w:sz w:val="11"/>
                <w:szCs w:val="11"/>
                <w:color w:val="auto"/>
              </w:rPr>
            </w:pPr>
          </w:p>
        </w:tc>
      </w:tr>
      <w:tr>
        <w:trPr>
          <w:trHeight w:val="158"/>
        </w:trPr>
        <w:tc>
          <w:tcPr>
            <w:tcW w:w="200" w:type="dxa"/>
            <w:vAlign w:val="bottom"/>
          </w:tcPr>
          <w:p>
            <w:pPr>
              <w:spacing w:after="0"/>
              <w:rPr>
                <w:sz w:val="13"/>
                <w:szCs w:val="13"/>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Structure</w:t>
            </w:r>
          </w:p>
        </w:tc>
        <w:tc>
          <w:tcPr>
            <w:tcW w:w="440" w:type="dxa"/>
            <w:vAlign w:val="bottom"/>
          </w:tcPr>
          <w:p>
            <w:pPr>
              <w:spacing w:after="0"/>
              <w:rPr>
                <w:sz w:val="13"/>
                <w:szCs w:val="13"/>
                <w:color w:val="auto"/>
              </w:rPr>
            </w:pPr>
          </w:p>
        </w:tc>
      </w:tr>
      <w:tr>
        <w:trPr>
          <w:trHeight w:val="263"/>
        </w:trPr>
        <w:tc>
          <w:tcPr>
            <w:tcW w:w="200" w:type="dxa"/>
            <w:vAlign w:val="bottom"/>
          </w:tcPr>
          <w:p>
            <w:pPr>
              <w:spacing w:after="0"/>
              <w:rPr>
                <w:sz w:val="22"/>
                <w:szCs w:val="22"/>
                <w:color w:val="auto"/>
              </w:rPr>
            </w:pPr>
          </w:p>
        </w:tc>
        <w:tc>
          <w:tcPr>
            <w:tcW w:w="1280" w:type="dxa"/>
            <w:vAlign w:val="bottom"/>
          </w:tcPr>
          <w:p>
            <w:pPr>
              <w:ind w:left="140"/>
              <w:spacing w:after="0"/>
              <w:rPr>
                <w:sz w:val="20"/>
                <w:szCs w:val="20"/>
                <w:color w:val="auto"/>
              </w:rPr>
            </w:pPr>
            <w:r>
              <w:rPr>
                <w:rFonts w:ascii="Arial" w:cs="Arial" w:eastAsia="Arial" w:hAnsi="Arial"/>
                <w:sz w:val="12"/>
                <w:szCs w:val="12"/>
                <w:b w:val="1"/>
                <w:bCs w:val="1"/>
                <w:color w:val="FFFFFF"/>
              </w:rPr>
              <w:t>Board of Directors</w:t>
            </w:r>
          </w:p>
        </w:tc>
        <w:tc>
          <w:tcPr>
            <w:tcW w:w="440" w:type="dxa"/>
            <w:vAlign w:val="bottom"/>
          </w:tcPr>
          <w:p>
            <w:pPr>
              <w:spacing w:after="0"/>
              <w:rPr>
                <w:sz w:val="22"/>
                <w:szCs w:val="22"/>
                <w:color w:val="auto"/>
              </w:rPr>
            </w:pPr>
          </w:p>
        </w:tc>
      </w:tr>
      <w:tr>
        <w:trPr>
          <w:trHeight w:val="164"/>
        </w:trPr>
        <w:tc>
          <w:tcPr>
            <w:tcW w:w="200" w:type="dxa"/>
            <w:vAlign w:val="bottom"/>
          </w:tcPr>
          <w:p>
            <w:pPr>
              <w:spacing w:after="0"/>
              <w:rPr>
                <w:sz w:val="14"/>
                <w:szCs w:val="14"/>
                <w:color w:val="auto"/>
              </w:rPr>
            </w:pPr>
          </w:p>
        </w:tc>
        <w:tc>
          <w:tcPr>
            <w:tcW w:w="1280" w:type="dxa"/>
            <w:vAlign w:val="bottom"/>
          </w:tcPr>
          <w:p>
            <w:pPr>
              <w:ind w:left="140"/>
              <w:spacing w:after="0"/>
              <w:rPr>
                <w:sz w:val="20"/>
                <w:szCs w:val="20"/>
                <w:color w:val="auto"/>
              </w:rPr>
            </w:pPr>
            <w:r>
              <w:rPr>
                <w:rFonts w:ascii="Arial" w:cs="Arial" w:eastAsia="Arial" w:hAnsi="Arial"/>
                <w:sz w:val="12"/>
                <w:szCs w:val="12"/>
                <w:b w:val="1"/>
                <w:bCs w:val="1"/>
                <w:color w:val="FFFFFF"/>
              </w:rPr>
              <w:t>Compensation</w:t>
            </w:r>
          </w:p>
        </w:tc>
        <w:tc>
          <w:tcPr>
            <w:tcW w:w="440" w:type="dxa"/>
            <w:vAlign w:val="bottom"/>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1687195</wp:posOffset>
            </wp:positionH>
            <wp:positionV relativeFrom="paragraph">
              <wp:posOffset>-1461770</wp:posOffset>
            </wp:positionV>
            <wp:extent cx="2309495" cy="153162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2309495" cy="1531620"/>
                    </a:xfrm>
                    <a:prstGeom prst="rect">
                      <a:avLst/>
                    </a:prstGeom>
                    <a:noFill/>
                  </pic:spPr>
                </pic:pic>
              </a:graphicData>
            </a:graphic>
          </wp:anchor>
        </w:drawing>
      </w:r>
    </w:p>
    <w:p>
      <w:pPr>
        <w:sectPr>
          <w:pgSz w:w="11900" w:h="16838" w:orient="portrait"/>
          <w:cols w:equalWidth="0" w:num="1">
            <w:col w:w="10800"/>
          </w:cols>
          <w:pgMar w:left="320" w:top="464" w:right="779" w:bottom="1440" w:gutter="0" w:footer="0" w:header="0"/>
        </w:sectPr>
      </w:pPr>
    </w:p>
    <w:p>
      <w:pPr>
        <w:spacing w:after="0" w:line="206" w:lineRule="exact"/>
        <w:rPr>
          <w:sz w:val="20"/>
          <w:szCs w:val="20"/>
          <w:color w:val="auto"/>
        </w:rPr>
      </w:pPr>
    </w:p>
    <w:p>
      <w:pPr>
        <w:ind w:left="780" w:right="140" w:hanging="241"/>
        <w:spacing w:after="0" w:line="226" w:lineRule="auto"/>
        <w:tabs>
          <w:tab w:leader="none" w:pos="780" w:val="left"/>
        </w:tabs>
        <w:numPr>
          <w:ilvl w:val="0"/>
          <w:numId w:val="61"/>
        </w:numPr>
        <w:rPr>
          <w:rFonts w:ascii="Arial" w:cs="Arial" w:eastAsia="Arial" w:hAnsi="Arial"/>
          <w:sz w:val="12"/>
          <w:szCs w:val="12"/>
          <w:color w:val="auto"/>
        </w:rPr>
      </w:pPr>
      <w:r>
        <w:rPr>
          <w:rFonts w:ascii="Arial" w:cs="Arial" w:eastAsia="Arial" w:hAnsi="Arial"/>
          <w:sz w:val="12"/>
          <w:szCs w:val="12"/>
          <w:color w:val="auto"/>
        </w:rPr>
        <w:t>The amounts shown in this column represent the aggregate grant date fair value of restricted stock awards or, in the case of non-employee directors who elected to defer receipt of the equity portion of the annual service retainer, deferred stock units granted to our non-employee directors in 2025 in connection with the equity portion of the annual service retainer. The aggregate grant date fair value of the restricted stock awards and deferred stock units, as determined under Financial Accounting Standards Board (“FASB”) Accounting Standards Codification (“ASC”) Topic 718, was determined by multiplying the number of shares underlying the award by $372.50, which was the closing price per share of our Common Stock on the grant date. For information regarding the number of shares of restricted stock and unvested deferred stock units held by each non-employee director as of December 31, 2025, see the table in footnote 2 below. The amounts shown in this column do not include the value of any fully vested shares of Common Stock or deferred stock units that certain of our non-employee directors elected to receive in lieu of the cash portion of the annual service retainer. In accordance with SEC rules, such amounts are shown in the column “</w:t>
      </w:r>
      <w:r>
        <w:rPr>
          <w:rFonts w:ascii="Arial" w:cs="Arial" w:eastAsia="Arial" w:hAnsi="Arial"/>
          <w:sz w:val="12"/>
          <w:szCs w:val="12"/>
          <w:i w:val="1"/>
          <w:iCs w:val="1"/>
          <w:color w:val="auto"/>
        </w:rPr>
        <w:t>Fees</w:t>
      </w:r>
      <w:r>
        <w:rPr>
          <w:rFonts w:ascii="Arial" w:cs="Arial" w:eastAsia="Arial" w:hAnsi="Arial"/>
          <w:sz w:val="12"/>
          <w:szCs w:val="12"/>
          <w:color w:val="auto"/>
        </w:rPr>
        <w:t xml:space="preserve"> </w:t>
      </w:r>
      <w:r>
        <w:rPr>
          <w:rFonts w:ascii="Arial" w:cs="Arial" w:eastAsia="Arial" w:hAnsi="Arial"/>
          <w:sz w:val="12"/>
          <w:szCs w:val="12"/>
          <w:i w:val="1"/>
          <w:iCs w:val="1"/>
          <w:color w:val="auto"/>
        </w:rPr>
        <w:t>Earned or Paid in Cash.</w:t>
      </w:r>
      <w:r>
        <w:rPr>
          <w:rFonts w:ascii="Arial" w:cs="Arial" w:eastAsia="Arial" w:hAnsi="Arial"/>
          <w:sz w:val="12"/>
          <w:szCs w:val="12"/>
          <w:color w:val="auto"/>
        </w:rPr>
        <w:t>” Restricted stock carries the same voting and dividend rights as shares outstanding. Deferred stock units are credited</w:t>
      </w:r>
      <w:r>
        <w:rPr>
          <w:rFonts w:ascii="Arial" w:cs="Arial" w:eastAsia="Arial" w:hAnsi="Arial"/>
          <w:sz w:val="12"/>
          <w:szCs w:val="12"/>
          <w:i w:val="1"/>
          <w:iCs w:val="1"/>
          <w:color w:val="auto"/>
        </w:rPr>
        <w:t xml:space="preserve"> </w:t>
      </w:r>
      <w:r>
        <w:rPr>
          <w:rFonts w:ascii="Arial" w:cs="Arial" w:eastAsia="Arial" w:hAnsi="Arial"/>
          <w:sz w:val="12"/>
          <w:szCs w:val="12"/>
          <w:color w:val="auto"/>
        </w:rPr>
        <w:t>with dividend equivalents as and when dividends are paid, subject to any applicable vesting requirements associated with the award.</w:t>
      </w:r>
    </w:p>
    <w:p>
      <w:pPr>
        <w:spacing w:after="0" w:line="38" w:lineRule="exact"/>
        <w:rPr>
          <w:rFonts w:ascii="Arial" w:cs="Arial" w:eastAsia="Arial" w:hAnsi="Arial"/>
          <w:sz w:val="12"/>
          <w:szCs w:val="12"/>
          <w:color w:val="auto"/>
        </w:rPr>
      </w:pPr>
    </w:p>
    <w:p>
      <w:pPr>
        <w:jc w:val="both"/>
        <w:ind w:left="780" w:right="180" w:hanging="241"/>
        <w:spacing w:after="0" w:line="239" w:lineRule="auto"/>
        <w:tabs>
          <w:tab w:leader="none" w:pos="780" w:val="left"/>
        </w:tabs>
        <w:numPr>
          <w:ilvl w:val="0"/>
          <w:numId w:val="61"/>
        </w:numPr>
        <w:rPr>
          <w:rFonts w:ascii="Arial" w:cs="Arial" w:eastAsia="Arial" w:hAnsi="Arial"/>
          <w:sz w:val="12"/>
          <w:szCs w:val="12"/>
          <w:color w:val="auto"/>
        </w:rPr>
      </w:pPr>
      <w:r>
        <w:rPr>
          <w:rFonts w:ascii="Arial" w:cs="Arial" w:eastAsia="Arial" w:hAnsi="Arial"/>
          <w:sz w:val="12"/>
          <w:szCs w:val="12"/>
          <w:color w:val="auto"/>
        </w:rPr>
        <w:t>The following table shows the aggregate number of shares of restricted stock and unvested and vested deferred stock units held by each of our non-employee directors as of December 31, 2025. All restricted stock awards and unvested deferred stock units reported in the table below will vest in full on May 13, 2026.</w:t>
      </w:r>
    </w:p>
    <w:p>
      <w:pPr>
        <w:spacing w:after="0" w:line="86"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38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002B5F"/>
                <w:w w:val="95"/>
              </w:rPr>
              <w:t>Unvested</w:t>
            </w:r>
          </w:p>
        </w:tc>
        <w:tc>
          <w:tcPr>
            <w:tcW w:w="1160" w:type="dxa"/>
            <w:vAlign w:val="bottom"/>
          </w:tcPr>
          <w:p>
            <w:pPr>
              <w:spacing w:after="0"/>
              <w:rPr>
                <w:sz w:val="14"/>
                <w:szCs w:val="14"/>
                <w:color w:val="auto"/>
              </w:rPr>
            </w:pPr>
          </w:p>
        </w:tc>
      </w:tr>
      <w:tr>
        <w:trPr>
          <w:trHeight w:val="153"/>
        </w:trPr>
        <w:tc>
          <w:tcPr>
            <w:tcW w:w="3840" w:type="dxa"/>
            <w:vAlign w:val="bottom"/>
          </w:tcPr>
          <w:p>
            <w:pPr>
              <w:spacing w:after="0"/>
              <w:rPr>
                <w:sz w:val="13"/>
                <w:szCs w:val="13"/>
                <w:color w:val="auto"/>
              </w:rPr>
            </w:pPr>
          </w:p>
        </w:tc>
        <w:tc>
          <w:tcPr>
            <w:tcW w:w="1400" w:type="dxa"/>
            <w:vAlign w:val="bottom"/>
          </w:tcPr>
          <w:p>
            <w:pPr>
              <w:jc w:val="center"/>
              <w:ind w:left="26"/>
              <w:spacing w:after="0" w:line="153" w:lineRule="exact"/>
              <w:rPr>
                <w:sz w:val="20"/>
                <w:szCs w:val="20"/>
                <w:color w:val="auto"/>
              </w:rPr>
            </w:pPr>
            <w:r>
              <w:rPr>
                <w:rFonts w:ascii="Arial" w:cs="Arial" w:eastAsia="Arial" w:hAnsi="Arial"/>
                <w:sz w:val="14"/>
                <w:szCs w:val="14"/>
                <w:b w:val="1"/>
                <w:bCs w:val="1"/>
                <w:color w:val="002B5F"/>
                <w:w w:val="95"/>
              </w:rPr>
              <w:t>Restricted Stock</w:t>
            </w:r>
          </w:p>
        </w:tc>
        <w:tc>
          <w:tcPr>
            <w:tcW w:w="1160" w:type="dxa"/>
            <w:vAlign w:val="bottom"/>
          </w:tcPr>
          <w:p>
            <w:pPr>
              <w:jc w:val="center"/>
              <w:spacing w:after="0" w:line="153" w:lineRule="exact"/>
              <w:rPr>
                <w:sz w:val="20"/>
                <w:szCs w:val="20"/>
                <w:color w:val="auto"/>
              </w:rPr>
            </w:pPr>
            <w:r>
              <w:rPr>
                <w:rFonts w:ascii="Arial" w:cs="Arial" w:eastAsia="Arial" w:hAnsi="Arial"/>
                <w:sz w:val="14"/>
                <w:szCs w:val="14"/>
                <w:b w:val="1"/>
                <w:bCs w:val="1"/>
                <w:color w:val="002B5F"/>
                <w:w w:val="96"/>
              </w:rPr>
              <w:t>Deferred Stock</w:t>
            </w:r>
          </w:p>
        </w:tc>
        <w:tc>
          <w:tcPr>
            <w:tcW w:w="1160" w:type="dxa"/>
            <w:vAlign w:val="bottom"/>
          </w:tcPr>
          <w:p>
            <w:pPr>
              <w:jc w:val="center"/>
              <w:ind w:left="46"/>
              <w:spacing w:after="0" w:line="153" w:lineRule="exact"/>
              <w:rPr>
                <w:sz w:val="20"/>
                <w:szCs w:val="20"/>
                <w:color w:val="auto"/>
              </w:rPr>
            </w:pPr>
            <w:r>
              <w:rPr>
                <w:rFonts w:ascii="Arial" w:cs="Arial" w:eastAsia="Arial" w:hAnsi="Arial"/>
                <w:sz w:val="14"/>
                <w:szCs w:val="14"/>
                <w:b w:val="1"/>
                <w:bCs w:val="1"/>
                <w:color w:val="002B5F"/>
                <w:w w:val="96"/>
              </w:rPr>
              <w:t>Vested Deferred</w:t>
            </w:r>
          </w:p>
        </w:tc>
      </w:tr>
      <w:tr>
        <w:trPr>
          <w:trHeight w:val="153"/>
        </w:trPr>
        <w:tc>
          <w:tcPr>
            <w:tcW w:w="3840" w:type="dxa"/>
            <w:vAlign w:val="bottom"/>
          </w:tcPr>
          <w:p>
            <w:pPr>
              <w:spacing w:after="0"/>
              <w:rPr>
                <w:sz w:val="13"/>
                <w:szCs w:val="13"/>
                <w:color w:val="auto"/>
              </w:rPr>
            </w:pPr>
          </w:p>
        </w:tc>
        <w:tc>
          <w:tcPr>
            <w:tcW w:w="1400" w:type="dxa"/>
            <w:vAlign w:val="bottom"/>
          </w:tcPr>
          <w:p>
            <w:pPr>
              <w:jc w:val="center"/>
              <w:ind w:left="26"/>
              <w:spacing w:after="0" w:line="153" w:lineRule="exact"/>
              <w:rPr>
                <w:sz w:val="20"/>
                <w:szCs w:val="20"/>
                <w:color w:val="auto"/>
              </w:rPr>
            </w:pPr>
            <w:r>
              <w:rPr>
                <w:rFonts w:ascii="Arial" w:cs="Arial" w:eastAsia="Arial" w:hAnsi="Arial"/>
                <w:sz w:val="14"/>
                <w:szCs w:val="14"/>
                <w:b w:val="1"/>
                <w:bCs w:val="1"/>
                <w:color w:val="002B5F"/>
                <w:w w:val="98"/>
              </w:rPr>
              <w:t>Awards</w:t>
            </w:r>
          </w:p>
        </w:tc>
        <w:tc>
          <w:tcPr>
            <w:tcW w:w="1160" w:type="dxa"/>
            <w:vAlign w:val="bottom"/>
          </w:tcPr>
          <w:p>
            <w:pPr>
              <w:jc w:val="center"/>
              <w:spacing w:after="0" w:line="153" w:lineRule="exact"/>
              <w:rPr>
                <w:sz w:val="20"/>
                <w:szCs w:val="20"/>
                <w:color w:val="auto"/>
              </w:rPr>
            </w:pPr>
            <w:r>
              <w:rPr>
                <w:rFonts w:ascii="Arial" w:cs="Arial" w:eastAsia="Arial" w:hAnsi="Arial"/>
                <w:sz w:val="14"/>
                <w:szCs w:val="14"/>
                <w:b w:val="1"/>
                <w:bCs w:val="1"/>
                <w:color w:val="002B5F"/>
                <w:w w:val="97"/>
              </w:rPr>
              <w:t>Units</w:t>
            </w:r>
          </w:p>
        </w:tc>
        <w:tc>
          <w:tcPr>
            <w:tcW w:w="1160" w:type="dxa"/>
            <w:vAlign w:val="bottom"/>
          </w:tcPr>
          <w:p>
            <w:pPr>
              <w:jc w:val="center"/>
              <w:ind w:left="26"/>
              <w:spacing w:after="0" w:line="153" w:lineRule="exact"/>
              <w:rPr>
                <w:sz w:val="20"/>
                <w:szCs w:val="20"/>
                <w:color w:val="auto"/>
              </w:rPr>
            </w:pPr>
            <w:r>
              <w:rPr>
                <w:rFonts w:ascii="Arial" w:cs="Arial" w:eastAsia="Arial" w:hAnsi="Arial"/>
                <w:sz w:val="14"/>
                <w:szCs w:val="14"/>
                <w:b w:val="1"/>
                <w:bCs w:val="1"/>
                <w:color w:val="002B5F"/>
                <w:w w:val="96"/>
              </w:rPr>
              <w:t>Stock Units</w:t>
            </w:r>
          </w:p>
        </w:tc>
      </w:tr>
      <w:tr>
        <w:trPr>
          <w:trHeight w:val="206"/>
        </w:trPr>
        <w:tc>
          <w:tcPr>
            <w:tcW w:w="3840" w:type="dxa"/>
            <w:vAlign w:val="bottom"/>
            <w:tcBorders>
              <w:bottom w:val="single" w:sz="8" w:color="002B5F"/>
            </w:tcBorders>
          </w:tcPr>
          <w:p>
            <w:pPr>
              <w:ind w:left="60"/>
              <w:spacing w:after="0"/>
              <w:rPr>
                <w:sz w:val="20"/>
                <w:szCs w:val="20"/>
                <w:color w:val="auto"/>
              </w:rPr>
            </w:pPr>
            <w:r>
              <w:rPr>
                <w:rFonts w:ascii="Arial" w:cs="Arial" w:eastAsia="Arial" w:hAnsi="Arial"/>
                <w:sz w:val="14"/>
                <w:szCs w:val="14"/>
                <w:b w:val="1"/>
                <w:bCs w:val="1"/>
                <w:color w:val="002B5F"/>
              </w:rPr>
              <w:t>Name</w:t>
            </w:r>
          </w:p>
        </w:tc>
        <w:tc>
          <w:tcPr>
            <w:tcW w:w="1400" w:type="dxa"/>
            <w:vAlign w:val="bottom"/>
            <w:tcBorders>
              <w:bottom w:val="single" w:sz="8" w:color="002B5F"/>
            </w:tcBorders>
          </w:tcPr>
          <w:p>
            <w:pPr>
              <w:jc w:val="center"/>
              <w:ind w:left="26"/>
              <w:spacing w:after="0"/>
              <w:rPr>
                <w:sz w:val="20"/>
                <w:szCs w:val="20"/>
                <w:color w:val="auto"/>
              </w:rPr>
            </w:pPr>
            <w:r>
              <w:rPr>
                <w:rFonts w:ascii="Arial" w:cs="Arial" w:eastAsia="Arial" w:hAnsi="Arial"/>
                <w:sz w:val="14"/>
                <w:szCs w:val="14"/>
                <w:b w:val="1"/>
                <w:bCs w:val="1"/>
                <w:color w:val="002B5F"/>
              </w:rPr>
              <w:t>(#)</w:t>
            </w:r>
          </w:p>
        </w:tc>
        <w:tc>
          <w:tcPr>
            <w:tcW w:w="1160" w:type="dxa"/>
            <w:vAlign w:val="bottom"/>
            <w:tcBorders>
              <w:bottom w:val="single" w:sz="8" w:color="002B5F"/>
            </w:tcBorders>
          </w:tcPr>
          <w:p>
            <w:pPr>
              <w:jc w:val="center"/>
              <w:spacing w:after="0"/>
              <w:rPr>
                <w:sz w:val="20"/>
                <w:szCs w:val="20"/>
                <w:color w:val="auto"/>
              </w:rPr>
            </w:pPr>
            <w:r>
              <w:rPr>
                <w:rFonts w:ascii="Arial" w:cs="Arial" w:eastAsia="Arial" w:hAnsi="Arial"/>
                <w:sz w:val="14"/>
                <w:szCs w:val="14"/>
                <w:b w:val="1"/>
                <w:bCs w:val="1"/>
                <w:color w:val="002B5F"/>
                <w:w w:val="93"/>
              </w:rPr>
              <w:t>(#)</w:t>
            </w:r>
          </w:p>
        </w:tc>
        <w:tc>
          <w:tcPr>
            <w:tcW w:w="1160" w:type="dxa"/>
            <w:vAlign w:val="bottom"/>
            <w:tcBorders>
              <w:bottom w:val="single" w:sz="8" w:color="002B5F"/>
            </w:tcBorders>
          </w:tcPr>
          <w:p>
            <w:pPr>
              <w:jc w:val="center"/>
              <w:ind w:left="26"/>
              <w:spacing w:after="0"/>
              <w:rPr>
                <w:sz w:val="20"/>
                <w:szCs w:val="20"/>
                <w:color w:val="auto"/>
              </w:rPr>
            </w:pPr>
            <w:r>
              <w:rPr>
                <w:rFonts w:ascii="Arial" w:cs="Arial" w:eastAsia="Arial" w:hAnsi="Arial"/>
                <w:sz w:val="14"/>
                <w:szCs w:val="14"/>
                <w:b w:val="1"/>
                <w:bCs w:val="1"/>
                <w:color w:val="002B5F"/>
              </w:rPr>
              <w:t>(#)</w:t>
            </w:r>
          </w:p>
        </w:tc>
      </w:tr>
      <w:tr>
        <w:trPr>
          <w:trHeight w:val="274"/>
        </w:trPr>
        <w:tc>
          <w:tcPr>
            <w:tcW w:w="3840" w:type="dxa"/>
            <w:vAlign w:val="bottom"/>
            <w:tcBorders>
              <w:bottom w:val="single" w:sz="8" w:color="F7F1EC"/>
            </w:tcBorders>
            <w:shd w:val="clear" w:color="auto" w:fill="F7F1EC"/>
          </w:tcPr>
          <w:p>
            <w:pPr>
              <w:ind w:left="60"/>
              <w:spacing w:after="0"/>
              <w:rPr>
                <w:sz w:val="20"/>
                <w:szCs w:val="20"/>
                <w:color w:val="auto"/>
              </w:rPr>
            </w:pPr>
            <w:r>
              <w:rPr>
                <w:rFonts w:ascii="Arial" w:cs="Arial" w:eastAsia="Arial" w:hAnsi="Arial"/>
                <w:sz w:val="15"/>
                <w:szCs w:val="15"/>
                <w:color w:val="auto"/>
              </w:rPr>
              <w:t>Edward C. Bernard</w:t>
            </w:r>
          </w:p>
        </w:tc>
        <w:tc>
          <w:tcPr>
            <w:tcW w:w="1400" w:type="dxa"/>
            <w:vAlign w:val="bottom"/>
            <w:tcBorders>
              <w:bottom w:val="single" w:sz="8" w:color="F7F1EC"/>
            </w:tcBorders>
            <w:shd w:val="clear" w:color="auto" w:fill="F7F1EC"/>
          </w:tcPr>
          <w:p>
            <w:pPr>
              <w:jc w:val="right"/>
              <w:ind w:right="346"/>
              <w:spacing w:after="0"/>
              <w:rPr>
                <w:sz w:val="20"/>
                <w:szCs w:val="20"/>
                <w:color w:val="auto"/>
              </w:rPr>
            </w:pPr>
            <w:r>
              <w:rPr>
                <w:rFonts w:ascii="Arial" w:cs="Arial" w:eastAsia="Arial" w:hAnsi="Arial"/>
                <w:sz w:val="15"/>
                <w:szCs w:val="15"/>
                <w:color w:val="auto"/>
              </w:rPr>
              <w:t>—</w:t>
            </w:r>
          </w:p>
        </w:tc>
        <w:tc>
          <w:tcPr>
            <w:tcW w:w="1160" w:type="dxa"/>
            <w:vAlign w:val="bottom"/>
            <w:tcBorders>
              <w:bottom w:val="single" w:sz="8" w:color="F7F1EC"/>
            </w:tcBorders>
            <w:shd w:val="clear" w:color="auto" w:fill="F7F1EC"/>
          </w:tcPr>
          <w:p>
            <w:pPr>
              <w:jc w:val="right"/>
              <w:ind w:right="246"/>
              <w:spacing w:after="0"/>
              <w:rPr>
                <w:sz w:val="20"/>
                <w:szCs w:val="20"/>
                <w:color w:val="auto"/>
              </w:rPr>
            </w:pPr>
            <w:r>
              <w:rPr>
                <w:rFonts w:ascii="Arial" w:cs="Arial" w:eastAsia="Arial" w:hAnsi="Arial"/>
                <w:sz w:val="15"/>
                <w:szCs w:val="15"/>
                <w:color w:val="auto"/>
              </w:rPr>
              <w:t>602</w:t>
            </w:r>
          </w:p>
        </w:tc>
        <w:tc>
          <w:tcPr>
            <w:tcW w:w="1160" w:type="dxa"/>
            <w:vAlign w:val="bottom"/>
            <w:tcBorders>
              <w:bottom w:val="single" w:sz="8" w:color="F7F1EC"/>
            </w:tcBorders>
            <w:shd w:val="clear" w:color="auto" w:fill="F7F1EC"/>
          </w:tcPr>
          <w:p>
            <w:pPr>
              <w:jc w:val="right"/>
              <w:ind w:right="46"/>
              <w:spacing w:after="0"/>
              <w:rPr>
                <w:sz w:val="20"/>
                <w:szCs w:val="20"/>
                <w:color w:val="auto"/>
              </w:rPr>
            </w:pPr>
            <w:r>
              <w:rPr>
                <w:rFonts w:ascii="Arial" w:cs="Arial" w:eastAsia="Arial" w:hAnsi="Arial"/>
                <w:sz w:val="15"/>
                <w:szCs w:val="15"/>
                <w:color w:val="auto"/>
              </w:rPr>
              <w:t>8,890</w:t>
            </w:r>
          </w:p>
        </w:tc>
      </w:tr>
      <w:tr>
        <w:trPr>
          <w:trHeight w:val="265"/>
        </w:trPr>
        <w:tc>
          <w:tcPr>
            <w:tcW w:w="3840" w:type="dxa"/>
            <w:vAlign w:val="bottom"/>
          </w:tcPr>
          <w:p>
            <w:pPr>
              <w:ind w:left="60"/>
              <w:spacing w:after="0"/>
              <w:rPr>
                <w:sz w:val="20"/>
                <w:szCs w:val="20"/>
                <w:color w:val="auto"/>
              </w:rPr>
            </w:pPr>
            <w:r>
              <w:rPr>
                <w:rFonts w:ascii="Arial" w:cs="Arial" w:eastAsia="Arial" w:hAnsi="Arial"/>
                <w:sz w:val="15"/>
                <w:szCs w:val="15"/>
                <w:color w:val="auto"/>
              </w:rPr>
              <w:t>H. Paulett Eberhart</w:t>
            </w:r>
          </w:p>
        </w:tc>
        <w:tc>
          <w:tcPr>
            <w:tcW w:w="1400" w:type="dxa"/>
            <w:vAlign w:val="bottom"/>
          </w:tcPr>
          <w:p>
            <w:pPr>
              <w:jc w:val="right"/>
              <w:ind w:right="346"/>
              <w:spacing w:after="0"/>
              <w:rPr>
                <w:sz w:val="20"/>
                <w:szCs w:val="20"/>
                <w:color w:val="auto"/>
              </w:rPr>
            </w:pPr>
            <w:r>
              <w:rPr>
                <w:rFonts w:ascii="Arial" w:cs="Arial" w:eastAsia="Arial" w:hAnsi="Arial"/>
                <w:sz w:val="15"/>
                <w:szCs w:val="15"/>
                <w:color w:val="auto"/>
              </w:rPr>
              <w:t>—</w:t>
            </w:r>
          </w:p>
        </w:tc>
        <w:tc>
          <w:tcPr>
            <w:tcW w:w="1160" w:type="dxa"/>
            <w:vAlign w:val="bottom"/>
          </w:tcPr>
          <w:p>
            <w:pPr>
              <w:jc w:val="right"/>
              <w:ind w:right="246"/>
              <w:spacing w:after="0"/>
              <w:rPr>
                <w:sz w:val="20"/>
                <w:szCs w:val="20"/>
                <w:color w:val="auto"/>
              </w:rPr>
            </w:pPr>
            <w:r>
              <w:rPr>
                <w:rFonts w:ascii="Arial" w:cs="Arial" w:eastAsia="Arial" w:hAnsi="Arial"/>
                <w:sz w:val="15"/>
                <w:szCs w:val="15"/>
                <w:color w:val="auto"/>
              </w:rPr>
              <w:t>602</w:t>
            </w:r>
          </w:p>
        </w:tc>
        <w:tc>
          <w:tcPr>
            <w:tcW w:w="1160" w:type="dxa"/>
            <w:vAlign w:val="bottom"/>
          </w:tcPr>
          <w:p>
            <w:pPr>
              <w:jc w:val="right"/>
              <w:ind w:right="46"/>
              <w:spacing w:after="0"/>
              <w:rPr>
                <w:sz w:val="20"/>
                <w:szCs w:val="20"/>
                <w:color w:val="auto"/>
              </w:rPr>
            </w:pPr>
            <w:r>
              <w:rPr>
                <w:rFonts w:ascii="Arial" w:cs="Arial" w:eastAsia="Arial" w:hAnsi="Arial"/>
                <w:sz w:val="15"/>
                <w:szCs w:val="15"/>
                <w:color w:val="auto"/>
              </w:rPr>
              <w:t>8,141</w:t>
            </w:r>
          </w:p>
        </w:tc>
      </w:tr>
      <w:tr>
        <w:trPr>
          <w:trHeight w:val="41"/>
        </w:trPr>
        <w:tc>
          <w:tcPr>
            <w:tcW w:w="3840" w:type="dxa"/>
            <w:vAlign w:val="bottom"/>
          </w:tcPr>
          <w:p>
            <w:pPr>
              <w:spacing w:after="0"/>
              <w:rPr>
                <w:sz w:val="3"/>
                <w:szCs w:val="3"/>
                <w:color w:val="auto"/>
              </w:rPr>
            </w:pPr>
          </w:p>
        </w:tc>
        <w:tc>
          <w:tcPr>
            <w:tcW w:w="14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160" w:type="dxa"/>
            <w:vAlign w:val="bottom"/>
          </w:tcPr>
          <w:p>
            <w:pPr>
              <w:spacing w:after="0"/>
              <w:rPr>
                <w:sz w:val="3"/>
                <w:szCs w:val="3"/>
                <w:color w:val="auto"/>
              </w:rPr>
            </w:pPr>
          </w:p>
        </w:tc>
      </w:tr>
      <w:tr>
        <w:trPr>
          <w:trHeight w:val="286"/>
        </w:trPr>
        <w:tc>
          <w:tcPr>
            <w:tcW w:w="3840" w:type="dxa"/>
            <w:vAlign w:val="bottom"/>
            <w:tcBorders>
              <w:bottom w:val="single" w:sz="8" w:color="F7F1EC"/>
            </w:tcBorders>
            <w:shd w:val="clear" w:color="auto" w:fill="F7F1EC"/>
          </w:tcPr>
          <w:p>
            <w:pPr>
              <w:ind w:left="60"/>
              <w:spacing w:after="0"/>
              <w:rPr>
                <w:sz w:val="20"/>
                <w:szCs w:val="20"/>
                <w:color w:val="auto"/>
              </w:rPr>
            </w:pPr>
            <w:r>
              <w:rPr>
                <w:rFonts w:ascii="Arial" w:cs="Arial" w:eastAsia="Arial" w:hAnsi="Arial"/>
                <w:sz w:val="15"/>
                <w:szCs w:val="15"/>
                <w:color w:val="auto"/>
              </w:rPr>
              <w:t>William F. Glavin, Jr.</w:t>
            </w:r>
          </w:p>
        </w:tc>
        <w:tc>
          <w:tcPr>
            <w:tcW w:w="1400" w:type="dxa"/>
            <w:vAlign w:val="bottom"/>
            <w:tcBorders>
              <w:bottom w:val="single" w:sz="8" w:color="F7F1EC"/>
            </w:tcBorders>
            <w:shd w:val="clear" w:color="auto" w:fill="F7F1EC"/>
          </w:tcPr>
          <w:p>
            <w:pPr>
              <w:jc w:val="right"/>
              <w:ind w:right="346"/>
              <w:spacing w:after="0"/>
              <w:rPr>
                <w:sz w:val="20"/>
                <w:szCs w:val="20"/>
                <w:color w:val="auto"/>
              </w:rPr>
            </w:pPr>
            <w:r>
              <w:rPr>
                <w:rFonts w:ascii="Arial" w:cs="Arial" w:eastAsia="Arial" w:hAnsi="Arial"/>
                <w:sz w:val="15"/>
                <w:szCs w:val="15"/>
                <w:color w:val="auto"/>
              </w:rPr>
              <w:t>—</w:t>
            </w:r>
          </w:p>
        </w:tc>
        <w:tc>
          <w:tcPr>
            <w:tcW w:w="1160" w:type="dxa"/>
            <w:vAlign w:val="bottom"/>
            <w:tcBorders>
              <w:bottom w:val="single" w:sz="8" w:color="F7F1EC"/>
            </w:tcBorders>
            <w:shd w:val="clear" w:color="auto" w:fill="F7F1EC"/>
          </w:tcPr>
          <w:p>
            <w:pPr>
              <w:jc w:val="right"/>
              <w:ind w:right="246"/>
              <w:spacing w:after="0"/>
              <w:rPr>
                <w:sz w:val="20"/>
                <w:szCs w:val="20"/>
                <w:color w:val="auto"/>
              </w:rPr>
            </w:pPr>
            <w:r>
              <w:rPr>
                <w:rFonts w:ascii="Arial" w:cs="Arial" w:eastAsia="Arial" w:hAnsi="Arial"/>
                <w:sz w:val="15"/>
                <w:szCs w:val="15"/>
                <w:color w:val="auto"/>
              </w:rPr>
              <w:t>602</w:t>
            </w:r>
          </w:p>
        </w:tc>
        <w:tc>
          <w:tcPr>
            <w:tcW w:w="1160" w:type="dxa"/>
            <w:vAlign w:val="bottom"/>
            <w:tcBorders>
              <w:bottom w:val="single" w:sz="8" w:color="F7F1EC"/>
            </w:tcBorders>
            <w:shd w:val="clear" w:color="auto" w:fill="F7F1EC"/>
          </w:tcPr>
          <w:p>
            <w:pPr>
              <w:jc w:val="right"/>
              <w:ind w:right="46"/>
              <w:spacing w:after="0"/>
              <w:rPr>
                <w:sz w:val="20"/>
                <w:szCs w:val="20"/>
                <w:color w:val="auto"/>
              </w:rPr>
            </w:pPr>
            <w:r>
              <w:rPr>
                <w:rFonts w:ascii="Arial" w:cs="Arial" w:eastAsia="Arial" w:hAnsi="Arial"/>
                <w:sz w:val="15"/>
                <w:szCs w:val="15"/>
                <w:color w:val="auto"/>
              </w:rPr>
              <w:t>21,643</w:t>
            </w:r>
          </w:p>
        </w:tc>
      </w:tr>
      <w:tr>
        <w:trPr>
          <w:trHeight w:val="265"/>
        </w:trPr>
        <w:tc>
          <w:tcPr>
            <w:tcW w:w="3840" w:type="dxa"/>
            <w:vAlign w:val="bottom"/>
          </w:tcPr>
          <w:p>
            <w:pPr>
              <w:ind w:left="60"/>
              <w:spacing w:after="0"/>
              <w:rPr>
                <w:sz w:val="20"/>
                <w:szCs w:val="20"/>
                <w:color w:val="auto"/>
              </w:rPr>
            </w:pPr>
            <w:r>
              <w:rPr>
                <w:rFonts w:ascii="Arial" w:cs="Arial" w:eastAsia="Arial" w:hAnsi="Arial"/>
                <w:sz w:val="15"/>
                <w:szCs w:val="15"/>
                <w:color w:val="auto"/>
              </w:rPr>
              <w:t>Albert J. Ko</w:t>
            </w:r>
          </w:p>
        </w:tc>
        <w:tc>
          <w:tcPr>
            <w:tcW w:w="1400" w:type="dxa"/>
            <w:vAlign w:val="bottom"/>
          </w:tcPr>
          <w:p>
            <w:pPr>
              <w:jc w:val="right"/>
              <w:ind w:right="346"/>
              <w:spacing w:after="0"/>
              <w:rPr>
                <w:sz w:val="20"/>
                <w:szCs w:val="20"/>
                <w:color w:val="auto"/>
              </w:rPr>
            </w:pPr>
            <w:r>
              <w:rPr>
                <w:rFonts w:ascii="Arial" w:cs="Arial" w:eastAsia="Arial" w:hAnsi="Arial"/>
                <w:sz w:val="15"/>
                <w:szCs w:val="15"/>
                <w:color w:val="auto"/>
              </w:rPr>
              <w:t>602</w:t>
            </w:r>
          </w:p>
        </w:tc>
        <w:tc>
          <w:tcPr>
            <w:tcW w:w="1160" w:type="dxa"/>
            <w:vAlign w:val="bottom"/>
          </w:tcPr>
          <w:p>
            <w:pPr>
              <w:jc w:val="right"/>
              <w:ind w:right="246"/>
              <w:spacing w:after="0"/>
              <w:rPr>
                <w:sz w:val="20"/>
                <w:szCs w:val="20"/>
                <w:color w:val="auto"/>
              </w:rPr>
            </w:pPr>
            <w:r>
              <w:rPr>
                <w:rFonts w:ascii="Arial" w:cs="Arial" w:eastAsia="Arial" w:hAnsi="Arial"/>
                <w:sz w:val="15"/>
                <w:szCs w:val="15"/>
                <w:color w:val="auto"/>
              </w:rPr>
              <w:t>—</w:t>
            </w:r>
          </w:p>
        </w:tc>
        <w:tc>
          <w:tcPr>
            <w:tcW w:w="1160" w:type="dxa"/>
            <w:vAlign w:val="bottom"/>
          </w:tcPr>
          <w:p>
            <w:pPr>
              <w:jc w:val="right"/>
              <w:ind w:right="46"/>
              <w:spacing w:after="0"/>
              <w:rPr>
                <w:sz w:val="20"/>
                <w:szCs w:val="20"/>
                <w:color w:val="auto"/>
              </w:rPr>
            </w:pPr>
            <w:r>
              <w:rPr>
                <w:rFonts w:ascii="Arial" w:cs="Arial" w:eastAsia="Arial" w:hAnsi="Arial"/>
                <w:sz w:val="15"/>
                <w:szCs w:val="15"/>
                <w:color w:val="auto"/>
              </w:rPr>
              <w:t>—</w:t>
            </w:r>
          </w:p>
        </w:tc>
      </w:tr>
      <w:tr>
        <w:trPr>
          <w:trHeight w:val="41"/>
        </w:trPr>
        <w:tc>
          <w:tcPr>
            <w:tcW w:w="3840" w:type="dxa"/>
            <w:vAlign w:val="bottom"/>
          </w:tcPr>
          <w:p>
            <w:pPr>
              <w:spacing w:after="0"/>
              <w:rPr>
                <w:sz w:val="3"/>
                <w:szCs w:val="3"/>
                <w:color w:val="auto"/>
              </w:rPr>
            </w:pPr>
          </w:p>
        </w:tc>
        <w:tc>
          <w:tcPr>
            <w:tcW w:w="14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160" w:type="dxa"/>
            <w:vAlign w:val="bottom"/>
          </w:tcPr>
          <w:p>
            <w:pPr>
              <w:spacing w:after="0"/>
              <w:rPr>
                <w:sz w:val="3"/>
                <w:szCs w:val="3"/>
                <w:color w:val="auto"/>
              </w:rPr>
            </w:pPr>
          </w:p>
        </w:tc>
      </w:tr>
      <w:tr>
        <w:trPr>
          <w:trHeight w:val="286"/>
        </w:trPr>
        <w:tc>
          <w:tcPr>
            <w:tcW w:w="3840" w:type="dxa"/>
            <w:vAlign w:val="bottom"/>
            <w:tcBorders>
              <w:bottom w:val="single" w:sz="8" w:color="F7F1EC"/>
            </w:tcBorders>
            <w:shd w:val="clear" w:color="auto" w:fill="F7F1EC"/>
          </w:tcPr>
          <w:p>
            <w:pPr>
              <w:ind w:left="60"/>
              <w:spacing w:after="0"/>
              <w:rPr>
                <w:sz w:val="20"/>
                <w:szCs w:val="20"/>
                <w:color w:val="auto"/>
              </w:rPr>
            </w:pPr>
            <w:r>
              <w:rPr>
                <w:rFonts w:ascii="Arial" w:cs="Arial" w:eastAsia="Arial" w:hAnsi="Arial"/>
                <w:sz w:val="15"/>
                <w:szCs w:val="15"/>
                <w:color w:val="auto"/>
              </w:rPr>
              <w:t>Allison H. Mnookin</w:t>
            </w:r>
          </w:p>
        </w:tc>
        <w:tc>
          <w:tcPr>
            <w:tcW w:w="1400" w:type="dxa"/>
            <w:vAlign w:val="bottom"/>
            <w:tcBorders>
              <w:bottom w:val="single" w:sz="8" w:color="F7F1EC"/>
            </w:tcBorders>
            <w:shd w:val="clear" w:color="auto" w:fill="F7F1EC"/>
          </w:tcPr>
          <w:p>
            <w:pPr>
              <w:jc w:val="right"/>
              <w:ind w:right="346"/>
              <w:spacing w:after="0"/>
              <w:rPr>
                <w:sz w:val="20"/>
                <w:szCs w:val="20"/>
                <w:color w:val="auto"/>
              </w:rPr>
            </w:pPr>
            <w:r>
              <w:rPr>
                <w:rFonts w:ascii="Arial" w:cs="Arial" w:eastAsia="Arial" w:hAnsi="Arial"/>
                <w:sz w:val="15"/>
                <w:szCs w:val="15"/>
                <w:color w:val="auto"/>
              </w:rPr>
              <w:t>—</w:t>
            </w:r>
          </w:p>
        </w:tc>
        <w:tc>
          <w:tcPr>
            <w:tcW w:w="1160" w:type="dxa"/>
            <w:vAlign w:val="bottom"/>
            <w:tcBorders>
              <w:bottom w:val="single" w:sz="8" w:color="F7F1EC"/>
            </w:tcBorders>
            <w:shd w:val="clear" w:color="auto" w:fill="F7F1EC"/>
          </w:tcPr>
          <w:p>
            <w:pPr>
              <w:jc w:val="right"/>
              <w:ind w:right="246"/>
              <w:spacing w:after="0"/>
              <w:rPr>
                <w:sz w:val="20"/>
                <w:szCs w:val="20"/>
                <w:color w:val="auto"/>
              </w:rPr>
            </w:pPr>
            <w:r>
              <w:rPr>
                <w:rFonts w:ascii="Arial" w:cs="Arial" w:eastAsia="Arial" w:hAnsi="Arial"/>
                <w:sz w:val="15"/>
                <w:szCs w:val="15"/>
                <w:color w:val="auto"/>
              </w:rPr>
              <w:t>602</w:t>
            </w:r>
          </w:p>
        </w:tc>
        <w:tc>
          <w:tcPr>
            <w:tcW w:w="1160" w:type="dxa"/>
            <w:vAlign w:val="bottom"/>
            <w:tcBorders>
              <w:bottom w:val="single" w:sz="8" w:color="F7F1EC"/>
            </w:tcBorders>
            <w:shd w:val="clear" w:color="auto" w:fill="F7F1EC"/>
          </w:tcPr>
          <w:p>
            <w:pPr>
              <w:jc w:val="right"/>
              <w:ind w:right="46"/>
              <w:spacing w:after="0"/>
              <w:rPr>
                <w:sz w:val="20"/>
                <w:szCs w:val="20"/>
                <w:color w:val="auto"/>
              </w:rPr>
            </w:pPr>
            <w:r>
              <w:rPr>
                <w:rFonts w:ascii="Arial" w:cs="Arial" w:eastAsia="Arial" w:hAnsi="Arial"/>
                <w:sz w:val="15"/>
                <w:szCs w:val="15"/>
                <w:color w:val="auto"/>
              </w:rPr>
              <w:t>5,537</w:t>
            </w:r>
          </w:p>
        </w:tc>
      </w:tr>
      <w:tr>
        <w:trPr>
          <w:trHeight w:val="265"/>
        </w:trPr>
        <w:tc>
          <w:tcPr>
            <w:tcW w:w="3840" w:type="dxa"/>
            <w:vAlign w:val="bottom"/>
          </w:tcPr>
          <w:p>
            <w:pPr>
              <w:ind w:left="60"/>
              <w:spacing w:after="0"/>
              <w:rPr>
                <w:sz w:val="20"/>
                <w:szCs w:val="20"/>
                <w:color w:val="auto"/>
              </w:rPr>
            </w:pPr>
            <w:r>
              <w:rPr>
                <w:rFonts w:ascii="Arial" w:cs="Arial" w:eastAsia="Arial" w:hAnsi="Arial"/>
                <w:sz w:val="15"/>
                <w:szCs w:val="15"/>
                <w:color w:val="auto"/>
              </w:rPr>
              <w:t>Anne M. Mulcahy</w:t>
            </w:r>
          </w:p>
        </w:tc>
        <w:tc>
          <w:tcPr>
            <w:tcW w:w="1400" w:type="dxa"/>
            <w:vAlign w:val="bottom"/>
          </w:tcPr>
          <w:p>
            <w:pPr>
              <w:jc w:val="right"/>
              <w:ind w:right="346"/>
              <w:spacing w:after="0"/>
              <w:rPr>
                <w:sz w:val="20"/>
                <w:szCs w:val="20"/>
                <w:color w:val="auto"/>
              </w:rPr>
            </w:pPr>
            <w:r>
              <w:rPr>
                <w:rFonts w:ascii="Arial" w:cs="Arial" w:eastAsia="Arial" w:hAnsi="Arial"/>
                <w:sz w:val="15"/>
                <w:szCs w:val="15"/>
                <w:color w:val="auto"/>
              </w:rPr>
              <w:t>602</w:t>
            </w:r>
          </w:p>
        </w:tc>
        <w:tc>
          <w:tcPr>
            <w:tcW w:w="1160" w:type="dxa"/>
            <w:vAlign w:val="bottom"/>
          </w:tcPr>
          <w:p>
            <w:pPr>
              <w:jc w:val="right"/>
              <w:ind w:right="246"/>
              <w:spacing w:after="0"/>
              <w:rPr>
                <w:sz w:val="20"/>
                <w:szCs w:val="20"/>
                <w:color w:val="auto"/>
              </w:rPr>
            </w:pPr>
            <w:r>
              <w:rPr>
                <w:rFonts w:ascii="Arial" w:cs="Arial" w:eastAsia="Arial" w:hAnsi="Arial"/>
                <w:sz w:val="15"/>
                <w:szCs w:val="15"/>
                <w:color w:val="auto"/>
              </w:rPr>
              <w:t>—</w:t>
            </w:r>
          </w:p>
        </w:tc>
        <w:tc>
          <w:tcPr>
            <w:tcW w:w="1160" w:type="dxa"/>
            <w:vAlign w:val="bottom"/>
          </w:tcPr>
          <w:p>
            <w:pPr>
              <w:jc w:val="right"/>
              <w:ind w:right="46"/>
              <w:spacing w:after="0"/>
              <w:rPr>
                <w:sz w:val="20"/>
                <w:szCs w:val="20"/>
                <w:color w:val="auto"/>
              </w:rPr>
            </w:pPr>
            <w:r>
              <w:rPr>
                <w:rFonts w:ascii="Arial" w:cs="Arial" w:eastAsia="Arial" w:hAnsi="Arial"/>
                <w:sz w:val="15"/>
                <w:szCs w:val="15"/>
                <w:color w:val="auto"/>
              </w:rPr>
              <w:t>—</w:t>
            </w:r>
          </w:p>
        </w:tc>
      </w:tr>
      <w:tr>
        <w:trPr>
          <w:trHeight w:val="41"/>
        </w:trPr>
        <w:tc>
          <w:tcPr>
            <w:tcW w:w="3840" w:type="dxa"/>
            <w:vAlign w:val="bottom"/>
          </w:tcPr>
          <w:p>
            <w:pPr>
              <w:spacing w:after="0"/>
              <w:rPr>
                <w:sz w:val="3"/>
                <w:szCs w:val="3"/>
                <w:color w:val="auto"/>
              </w:rPr>
            </w:pPr>
          </w:p>
        </w:tc>
        <w:tc>
          <w:tcPr>
            <w:tcW w:w="14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160" w:type="dxa"/>
            <w:vAlign w:val="bottom"/>
          </w:tcPr>
          <w:p>
            <w:pPr>
              <w:spacing w:after="0"/>
              <w:rPr>
                <w:sz w:val="3"/>
                <w:szCs w:val="3"/>
                <w:color w:val="auto"/>
              </w:rPr>
            </w:pPr>
          </w:p>
        </w:tc>
      </w:tr>
      <w:tr>
        <w:trPr>
          <w:trHeight w:val="286"/>
        </w:trPr>
        <w:tc>
          <w:tcPr>
            <w:tcW w:w="3840" w:type="dxa"/>
            <w:vAlign w:val="bottom"/>
            <w:tcBorders>
              <w:bottom w:val="single" w:sz="8" w:color="F7F1EC"/>
            </w:tcBorders>
            <w:shd w:val="clear" w:color="auto" w:fill="F7F1EC"/>
          </w:tcPr>
          <w:p>
            <w:pPr>
              <w:ind w:left="60"/>
              <w:spacing w:after="0"/>
              <w:rPr>
                <w:sz w:val="20"/>
                <w:szCs w:val="20"/>
                <w:color w:val="auto"/>
              </w:rPr>
            </w:pPr>
            <w:r>
              <w:rPr>
                <w:rFonts w:ascii="Arial" w:cs="Arial" w:eastAsia="Arial" w:hAnsi="Arial"/>
                <w:sz w:val="15"/>
                <w:szCs w:val="15"/>
                <w:color w:val="auto"/>
              </w:rPr>
              <w:t>James S. Putnam</w:t>
            </w:r>
          </w:p>
        </w:tc>
        <w:tc>
          <w:tcPr>
            <w:tcW w:w="1400" w:type="dxa"/>
            <w:vAlign w:val="bottom"/>
            <w:tcBorders>
              <w:bottom w:val="single" w:sz="8" w:color="F7F1EC"/>
            </w:tcBorders>
            <w:shd w:val="clear" w:color="auto" w:fill="F7F1EC"/>
          </w:tcPr>
          <w:p>
            <w:pPr>
              <w:jc w:val="right"/>
              <w:ind w:right="346"/>
              <w:spacing w:after="0"/>
              <w:rPr>
                <w:sz w:val="20"/>
                <w:szCs w:val="20"/>
                <w:color w:val="auto"/>
              </w:rPr>
            </w:pPr>
            <w:r>
              <w:rPr>
                <w:rFonts w:ascii="Arial" w:cs="Arial" w:eastAsia="Arial" w:hAnsi="Arial"/>
                <w:sz w:val="15"/>
                <w:szCs w:val="15"/>
                <w:color w:val="auto"/>
              </w:rPr>
              <w:t>—</w:t>
            </w:r>
          </w:p>
        </w:tc>
        <w:tc>
          <w:tcPr>
            <w:tcW w:w="1160" w:type="dxa"/>
            <w:vAlign w:val="bottom"/>
            <w:tcBorders>
              <w:bottom w:val="single" w:sz="8" w:color="F7F1EC"/>
            </w:tcBorders>
            <w:shd w:val="clear" w:color="auto" w:fill="F7F1EC"/>
          </w:tcPr>
          <w:p>
            <w:pPr>
              <w:jc w:val="right"/>
              <w:ind w:right="246"/>
              <w:spacing w:after="0"/>
              <w:rPr>
                <w:sz w:val="20"/>
                <w:szCs w:val="20"/>
                <w:color w:val="auto"/>
              </w:rPr>
            </w:pPr>
            <w:r>
              <w:rPr>
                <w:rFonts w:ascii="Arial" w:cs="Arial" w:eastAsia="Arial" w:hAnsi="Arial"/>
                <w:sz w:val="15"/>
                <w:szCs w:val="15"/>
                <w:color w:val="auto"/>
              </w:rPr>
              <w:t>602</w:t>
            </w:r>
          </w:p>
        </w:tc>
        <w:tc>
          <w:tcPr>
            <w:tcW w:w="1160" w:type="dxa"/>
            <w:vAlign w:val="bottom"/>
            <w:tcBorders>
              <w:bottom w:val="single" w:sz="8" w:color="F7F1EC"/>
            </w:tcBorders>
            <w:shd w:val="clear" w:color="auto" w:fill="F7F1EC"/>
          </w:tcPr>
          <w:p>
            <w:pPr>
              <w:jc w:val="right"/>
              <w:ind w:right="46"/>
              <w:spacing w:after="0"/>
              <w:rPr>
                <w:sz w:val="20"/>
                <w:szCs w:val="20"/>
                <w:color w:val="auto"/>
              </w:rPr>
            </w:pPr>
            <w:r>
              <w:rPr>
                <w:rFonts w:ascii="Arial" w:cs="Arial" w:eastAsia="Arial" w:hAnsi="Arial"/>
                <w:sz w:val="15"/>
                <w:szCs w:val="15"/>
                <w:color w:val="auto"/>
              </w:rPr>
              <w:t>13,877</w:t>
            </w:r>
          </w:p>
        </w:tc>
      </w:tr>
      <w:tr>
        <w:trPr>
          <w:trHeight w:val="265"/>
        </w:trPr>
        <w:tc>
          <w:tcPr>
            <w:tcW w:w="3840" w:type="dxa"/>
            <w:vAlign w:val="bottom"/>
          </w:tcPr>
          <w:p>
            <w:pPr>
              <w:ind w:left="60"/>
              <w:spacing w:after="0"/>
              <w:rPr>
                <w:sz w:val="20"/>
                <w:szCs w:val="20"/>
                <w:color w:val="auto"/>
              </w:rPr>
            </w:pPr>
            <w:r>
              <w:rPr>
                <w:rFonts w:ascii="Arial" w:cs="Arial" w:eastAsia="Arial" w:hAnsi="Arial"/>
                <w:sz w:val="15"/>
                <w:szCs w:val="15"/>
                <w:color w:val="auto"/>
              </w:rPr>
              <w:t>Richard P. Schifter</w:t>
            </w:r>
          </w:p>
        </w:tc>
        <w:tc>
          <w:tcPr>
            <w:tcW w:w="1400" w:type="dxa"/>
            <w:vAlign w:val="bottom"/>
          </w:tcPr>
          <w:p>
            <w:pPr>
              <w:jc w:val="right"/>
              <w:ind w:right="346"/>
              <w:spacing w:after="0"/>
              <w:rPr>
                <w:sz w:val="20"/>
                <w:szCs w:val="20"/>
                <w:color w:val="auto"/>
              </w:rPr>
            </w:pPr>
            <w:r>
              <w:rPr>
                <w:rFonts w:ascii="Arial" w:cs="Arial" w:eastAsia="Arial" w:hAnsi="Arial"/>
                <w:sz w:val="15"/>
                <w:szCs w:val="15"/>
                <w:color w:val="auto"/>
              </w:rPr>
              <w:t>—</w:t>
            </w:r>
          </w:p>
        </w:tc>
        <w:tc>
          <w:tcPr>
            <w:tcW w:w="1160" w:type="dxa"/>
            <w:vAlign w:val="bottom"/>
          </w:tcPr>
          <w:p>
            <w:pPr>
              <w:jc w:val="right"/>
              <w:ind w:right="246"/>
              <w:spacing w:after="0"/>
              <w:rPr>
                <w:sz w:val="20"/>
                <w:szCs w:val="20"/>
                <w:color w:val="auto"/>
              </w:rPr>
            </w:pPr>
            <w:r>
              <w:rPr>
                <w:rFonts w:ascii="Arial" w:cs="Arial" w:eastAsia="Arial" w:hAnsi="Arial"/>
                <w:sz w:val="15"/>
                <w:szCs w:val="15"/>
                <w:color w:val="auto"/>
              </w:rPr>
              <w:t>602</w:t>
            </w:r>
          </w:p>
        </w:tc>
        <w:tc>
          <w:tcPr>
            <w:tcW w:w="1160" w:type="dxa"/>
            <w:vAlign w:val="bottom"/>
          </w:tcPr>
          <w:p>
            <w:pPr>
              <w:jc w:val="right"/>
              <w:ind w:right="46"/>
              <w:spacing w:after="0"/>
              <w:rPr>
                <w:sz w:val="20"/>
                <w:szCs w:val="20"/>
                <w:color w:val="auto"/>
              </w:rPr>
            </w:pPr>
            <w:r>
              <w:rPr>
                <w:rFonts w:ascii="Arial" w:cs="Arial" w:eastAsia="Arial" w:hAnsi="Arial"/>
                <w:sz w:val="15"/>
                <w:szCs w:val="15"/>
                <w:color w:val="auto"/>
              </w:rPr>
              <w:t>27,301</w:t>
            </w:r>
          </w:p>
        </w:tc>
      </w:tr>
      <w:tr>
        <w:trPr>
          <w:trHeight w:val="41"/>
        </w:trPr>
        <w:tc>
          <w:tcPr>
            <w:tcW w:w="3840" w:type="dxa"/>
            <w:vAlign w:val="bottom"/>
          </w:tcPr>
          <w:p>
            <w:pPr>
              <w:spacing w:after="0"/>
              <w:rPr>
                <w:sz w:val="3"/>
                <w:szCs w:val="3"/>
                <w:color w:val="auto"/>
              </w:rPr>
            </w:pPr>
          </w:p>
        </w:tc>
        <w:tc>
          <w:tcPr>
            <w:tcW w:w="14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160" w:type="dxa"/>
            <w:vAlign w:val="bottom"/>
          </w:tcPr>
          <w:p>
            <w:pPr>
              <w:spacing w:after="0"/>
              <w:rPr>
                <w:sz w:val="3"/>
                <w:szCs w:val="3"/>
                <w:color w:val="auto"/>
              </w:rPr>
            </w:pPr>
          </w:p>
        </w:tc>
      </w:tr>
      <w:tr>
        <w:trPr>
          <w:trHeight w:val="265"/>
        </w:trPr>
        <w:tc>
          <w:tcPr>
            <w:tcW w:w="3840" w:type="dxa"/>
            <w:vAlign w:val="bottom"/>
            <w:shd w:val="clear" w:color="auto" w:fill="F7F1EC"/>
          </w:tcPr>
          <w:p>
            <w:pPr>
              <w:ind w:left="60"/>
              <w:spacing w:after="0"/>
              <w:rPr>
                <w:sz w:val="20"/>
                <w:szCs w:val="20"/>
                <w:color w:val="auto"/>
              </w:rPr>
            </w:pPr>
            <w:r>
              <w:rPr>
                <w:rFonts w:ascii="Arial" w:cs="Arial" w:eastAsia="Arial" w:hAnsi="Arial"/>
                <w:sz w:val="15"/>
                <w:szCs w:val="15"/>
                <w:color w:val="auto"/>
              </w:rPr>
              <w:t>Corey E. Thomas</w:t>
            </w:r>
          </w:p>
        </w:tc>
        <w:tc>
          <w:tcPr>
            <w:tcW w:w="1400" w:type="dxa"/>
            <w:vAlign w:val="bottom"/>
            <w:shd w:val="clear" w:color="auto" w:fill="F7F1EC"/>
          </w:tcPr>
          <w:p>
            <w:pPr>
              <w:jc w:val="right"/>
              <w:ind w:right="346"/>
              <w:spacing w:after="0"/>
              <w:rPr>
                <w:sz w:val="20"/>
                <w:szCs w:val="20"/>
                <w:color w:val="auto"/>
              </w:rPr>
            </w:pPr>
            <w:r>
              <w:rPr>
                <w:rFonts w:ascii="Arial" w:cs="Arial" w:eastAsia="Arial" w:hAnsi="Arial"/>
                <w:sz w:val="15"/>
                <w:szCs w:val="15"/>
                <w:color w:val="auto"/>
              </w:rPr>
              <w:t>—</w:t>
            </w:r>
          </w:p>
        </w:tc>
        <w:tc>
          <w:tcPr>
            <w:tcW w:w="1160" w:type="dxa"/>
            <w:vAlign w:val="bottom"/>
            <w:shd w:val="clear" w:color="auto" w:fill="F7F1EC"/>
          </w:tcPr>
          <w:p>
            <w:pPr>
              <w:jc w:val="right"/>
              <w:ind w:right="246"/>
              <w:spacing w:after="0"/>
              <w:rPr>
                <w:sz w:val="20"/>
                <w:szCs w:val="20"/>
                <w:color w:val="auto"/>
              </w:rPr>
            </w:pPr>
            <w:r>
              <w:rPr>
                <w:rFonts w:ascii="Arial" w:cs="Arial" w:eastAsia="Arial" w:hAnsi="Arial"/>
                <w:sz w:val="15"/>
                <w:szCs w:val="15"/>
                <w:color w:val="auto"/>
              </w:rPr>
              <w:t>602</w:t>
            </w:r>
          </w:p>
        </w:tc>
        <w:tc>
          <w:tcPr>
            <w:tcW w:w="1160" w:type="dxa"/>
            <w:vAlign w:val="bottom"/>
            <w:shd w:val="clear" w:color="auto" w:fill="F7F1EC"/>
          </w:tcPr>
          <w:p>
            <w:pPr>
              <w:jc w:val="right"/>
              <w:ind w:right="46"/>
              <w:spacing w:after="0"/>
              <w:rPr>
                <w:sz w:val="20"/>
                <w:szCs w:val="20"/>
                <w:color w:val="auto"/>
              </w:rPr>
            </w:pPr>
            <w:r>
              <w:rPr>
                <w:rFonts w:ascii="Arial" w:cs="Arial" w:eastAsia="Arial" w:hAnsi="Arial"/>
                <w:sz w:val="15"/>
                <w:szCs w:val="15"/>
                <w:color w:val="auto"/>
              </w:rPr>
              <w:t>12,155</w:t>
            </w:r>
          </w:p>
        </w:tc>
      </w:tr>
      <w:tr>
        <w:trPr>
          <w:trHeight w:val="41"/>
        </w:trPr>
        <w:tc>
          <w:tcPr>
            <w:tcW w:w="3840" w:type="dxa"/>
            <w:vAlign w:val="bottom"/>
            <w:shd w:val="clear" w:color="auto" w:fill="F7F1EC"/>
          </w:tcPr>
          <w:p>
            <w:pPr>
              <w:spacing w:after="0"/>
              <w:rPr>
                <w:sz w:val="3"/>
                <w:szCs w:val="3"/>
                <w:color w:val="auto"/>
              </w:rPr>
            </w:pPr>
          </w:p>
        </w:tc>
        <w:tc>
          <w:tcPr>
            <w:tcW w:w="1400" w:type="dxa"/>
            <w:vAlign w:val="bottom"/>
            <w:shd w:val="clear" w:color="auto" w:fill="F7F1EC"/>
          </w:tcPr>
          <w:p>
            <w:pPr>
              <w:spacing w:after="0"/>
              <w:rPr>
                <w:sz w:val="3"/>
                <w:szCs w:val="3"/>
                <w:color w:val="auto"/>
              </w:rPr>
            </w:pPr>
          </w:p>
        </w:tc>
        <w:tc>
          <w:tcPr>
            <w:tcW w:w="1160" w:type="dxa"/>
            <w:vAlign w:val="bottom"/>
            <w:shd w:val="clear" w:color="auto" w:fill="F7F1EC"/>
          </w:tcPr>
          <w:p>
            <w:pPr>
              <w:spacing w:after="0"/>
              <w:rPr>
                <w:sz w:val="3"/>
                <w:szCs w:val="3"/>
                <w:color w:val="auto"/>
              </w:rPr>
            </w:pPr>
          </w:p>
        </w:tc>
        <w:tc>
          <w:tcPr>
            <w:tcW w:w="1160" w:type="dxa"/>
            <w:vAlign w:val="bottom"/>
            <w:shd w:val="clear" w:color="auto" w:fill="F7F1EC"/>
          </w:tcPr>
          <w:p>
            <w:pPr>
              <w:spacing w:after="0"/>
              <w:rPr>
                <w:sz w:val="3"/>
                <w:szCs w:val="3"/>
                <w:color w:val="auto"/>
              </w:rPr>
            </w:pPr>
          </w:p>
        </w:tc>
      </w:tr>
    </w:tbl>
    <w:p>
      <w:pPr>
        <w:spacing w:after="0" w:line="97" w:lineRule="exact"/>
        <w:rPr>
          <w:sz w:val="20"/>
          <w:szCs w:val="20"/>
          <w:color w:val="auto"/>
        </w:rPr>
      </w:pPr>
    </w:p>
    <w:p>
      <w:pPr>
        <w:ind w:left="780" w:right="100" w:hanging="241"/>
        <w:spacing w:after="0" w:line="230" w:lineRule="auto"/>
        <w:tabs>
          <w:tab w:leader="none" w:pos="780" w:val="left"/>
        </w:tabs>
        <w:numPr>
          <w:ilvl w:val="0"/>
          <w:numId w:val="62"/>
        </w:numPr>
        <w:rPr>
          <w:rFonts w:ascii="Arial" w:cs="Arial" w:eastAsia="Arial" w:hAnsi="Arial"/>
          <w:sz w:val="12"/>
          <w:szCs w:val="12"/>
          <w:color w:val="auto"/>
        </w:rPr>
      </w:pPr>
      <w:r>
        <w:rPr>
          <w:rFonts w:ascii="Arial" w:cs="Arial" w:eastAsia="Arial" w:hAnsi="Arial"/>
          <w:sz w:val="12"/>
          <w:szCs w:val="12"/>
          <w:color w:val="auto"/>
        </w:rPr>
        <w:t>This amount includes the value of fully vested shares of Common Stock or, as described below, deferred stock units that the director elected to receive in lieu of the cash portion of the director’s annual service retainer. The aggregate grant date fair value of these shares and deferred stock units, as determined under FASB ASC Topic 718, was determined by multiplying the number of shares underlying the award by $372.50, which represents the closing price per share of our Common Stock on the grant date. Each of Messrs. Bernard, Glavin, Schifter and Thomas delivered a written deferral election under the Deferred Plan pursuant to which the director elected to defer receipt of the cash portion of the annual service retainer and instead receive deferred stock units of equivalent value.</w:t>
      </w:r>
    </w:p>
    <w:p>
      <w:pPr>
        <w:spacing w:after="0" w:line="36" w:lineRule="exact"/>
        <w:rPr>
          <w:rFonts w:ascii="Arial" w:cs="Arial" w:eastAsia="Arial" w:hAnsi="Arial"/>
          <w:sz w:val="12"/>
          <w:szCs w:val="12"/>
          <w:color w:val="auto"/>
        </w:rPr>
      </w:pPr>
    </w:p>
    <w:p>
      <w:pPr>
        <w:ind w:left="780" w:right="100" w:hanging="241"/>
        <w:spacing w:after="0" w:line="239" w:lineRule="auto"/>
        <w:tabs>
          <w:tab w:leader="none" w:pos="780" w:val="left"/>
        </w:tabs>
        <w:numPr>
          <w:ilvl w:val="0"/>
          <w:numId w:val="62"/>
        </w:numPr>
        <w:rPr>
          <w:rFonts w:ascii="Arial" w:cs="Arial" w:eastAsia="Arial" w:hAnsi="Arial"/>
          <w:sz w:val="12"/>
          <w:szCs w:val="12"/>
          <w:color w:val="auto"/>
        </w:rPr>
      </w:pPr>
      <w:r>
        <w:rPr>
          <w:rFonts w:ascii="Arial" w:cs="Arial" w:eastAsia="Arial" w:hAnsi="Arial"/>
          <w:sz w:val="12"/>
          <w:szCs w:val="12"/>
          <w:color w:val="auto"/>
        </w:rPr>
        <w:t>Each of Messrs. Bernard, Glavin, Putnam, Schifter and Thomas and Mses. Eberhart and Mnookin delivered a written deferral election under the Deferred Plan pursuant to which the director elected to defer receipt of the equity portion of his or her annual service retainer and instead receive deferred stock units of equivalent value.</w:t>
      </w:r>
    </w:p>
    <w:p>
      <w:pPr>
        <w:spacing w:after="0" w:line="20" w:lineRule="exact"/>
        <w:rPr>
          <w:sz w:val="20"/>
          <w:szCs w:val="20"/>
          <w:color w:val="auto"/>
        </w:rPr>
      </w:pPr>
      <w:r>
        <w:rPr>
          <w:sz w:val="20"/>
          <w:szCs w:val="20"/>
          <w:color w:val="auto"/>
        </w:rPr>
        <w:br w:type="column"/>
      </w:r>
    </w:p>
    <w:p>
      <w:pPr>
        <w:spacing w:after="0" w:line="110" w:lineRule="exact"/>
        <w:rPr>
          <w:sz w:val="20"/>
          <w:szCs w:val="20"/>
          <w:color w:val="auto"/>
        </w:rPr>
      </w:pPr>
    </w:p>
    <w:p>
      <w:pPr>
        <w:spacing w:after="0"/>
        <w:rPr>
          <w:sz w:val="20"/>
          <w:szCs w:val="20"/>
          <w:color w:val="auto"/>
        </w:rPr>
      </w:pPr>
      <w:r>
        <w:rPr>
          <w:rFonts w:ascii="Arial" w:cs="Arial" w:eastAsia="Arial" w:hAnsi="Arial"/>
          <w:sz w:val="12"/>
          <w:szCs w:val="12"/>
          <w:color w:val="FFFFFF"/>
        </w:rPr>
        <w:t>Compensation</w:t>
      </w:r>
    </w:p>
    <w:p>
      <w:pPr>
        <w:spacing w:after="0" w:line="224" w:lineRule="auto"/>
        <w:rPr>
          <w:sz w:val="20"/>
          <w:szCs w:val="20"/>
          <w:color w:val="auto"/>
        </w:rPr>
      </w:pPr>
      <w:r>
        <w:rPr>
          <w:rFonts w:ascii="Arial" w:cs="Arial" w:eastAsia="Arial" w:hAnsi="Arial"/>
          <w:sz w:val="12"/>
          <w:szCs w:val="12"/>
          <w:color w:val="FFFFFF"/>
        </w:rPr>
        <w:t>Discussion and</w:t>
      </w:r>
    </w:p>
    <w:p>
      <w:pPr>
        <w:spacing w:after="0"/>
        <w:rPr>
          <w:sz w:val="20"/>
          <w:szCs w:val="20"/>
          <w:color w:val="auto"/>
        </w:rPr>
      </w:pPr>
      <w:r>
        <w:rPr>
          <w:rFonts w:ascii="Arial" w:cs="Arial" w:eastAsia="Arial" w:hAnsi="Arial"/>
          <w:sz w:val="12"/>
          <w:szCs w:val="12"/>
          <w:color w:val="FFFFFF"/>
        </w:rPr>
        <w:t>Analysis</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Report of the</w:t>
      </w:r>
    </w:p>
    <w:p>
      <w:pPr>
        <w:spacing w:after="0" w:line="224" w:lineRule="auto"/>
        <w:rPr>
          <w:sz w:val="20"/>
          <w:szCs w:val="20"/>
          <w:color w:val="auto"/>
        </w:rPr>
      </w:pPr>
      <w:r>
        <w:rPr>
          <w:rFonts w:ascii="Arial" w:cs="Arial" w:eastAsia="Arial" w:hAnsi="Arial"/>
          <w:sz w:val="12"/>
          <w:szCs w:val="12"/>
          <w:color w:val="FFFFFF"/>
        </w:rPr>
        <w:t>Compensation</w:t>
      </w:r>
    </w:p>
    <w:p>
      <w:pPr>
        <w:spacing w:after="0" w:line="222" w:lineRule="auto"/>
        <w:rPr>
          <w:sz w:val="20"/>
          <w:szCs w:val="20"/>
          <w:color w:val="auto"/>
        </w:rPr>
      </w:pPr>
      <w:r>
        <w:rPr>
          <w:rFonts w:ascii="Arial" w:cs="Arial" w:eastAsia="Arial" w:hAnsi="Arial"/>
          <w:sz w:val="12"/>
          <w:szCs w:val="12"/>
          <w:color w:val="FFFFFF"/>
        </w:rPr>
        <w:t>and Human</w:t>
      </w:r>
    </w:p>
    <w:p>
      <w:pPr>
        <w:spacing w:after="0" w:line="222" w:lineRule="auto"/>
        <w:rPr>
          <w:sz w:val="20"/>
          <w:szCs w:val="20"/>
          <w:color w:val="auto"/>
        </w:rPr>
      </w:pPr>
      <w:r>
        <w:rPr>
          <w:rFonts w:ascii="Arial" w:cs="Arial" w:eastAsia="Arial" w:hAnsi="Arial"/>
          <w:sz w:val="12"/>
          <w:szCs w:val="12"/>
          <w:color w:val="FFFFFF"/>
        </w:rPr>
        <w:t>Resources</w:t>
      </w:r>
    </w:p>
    <w:p>
      <w:pPr>
        <w:spacing w:after="0" w:line="222" w:lineRule="auto"/>
        <w:rPr>
          <w:sz w:val="20"/>
          <w:szCs w:val="20"/>
          <w:color w:val="auto"/>
        </w:rPr>
      </w:pPr>
      <w:r>
        <w:rPr>
          <w:rFonts w:ascii="Arial" w:cs="Arial" w:eastAsia="Arial" w:hAnsi="Arial"/>
          <w:sz w:val="12"/>
          <w:szCs w:val="12"/>
          <w:color w:val="FFFFFF"/>
        </w:rPr>
        <w:t>Committee of the</w:t>
      </w:r>
    </w:p>
    <w:p>
      <w:pPr>
        <w:spacing w:after="0"/>
        <w:rPr>
          <w:sz w:val="20"/>
          <w:szCs w:val="20"/>
          <w:color w:val="auto"/>
        </w:rPr>
      </w:pPr>
      <w:r>
        <w:rPr>
          <w:rFonts w:ascii="Arial" w:cs="Arial" w:eastAsia="Arial" w:hAnsi="Arial"/>
          <w:sz w:val="11"/>
          <w:szCs w:val="11"/>
          <w:color w:val="FFFFFF"/>
        </w:rPr>
        <w:t>Board of Directors</w:t>
      </w:r>
    </w:p>
    <w:p>
      <w:pPr>
        <w:spacing w:after="0" w:line="155" w:lineRule="exact"/>
        <w:rPr>
          <w:sz w:val="20"/>
          <w:szCs w:val="20"/>
          <w:color w:val="auto"/>
        </w:rPr>
      </w:pPr>
    </w:p>
    <w:p>
      <w:pPr>
        <w:spacing w:after="0"/>
        <w:rPr>
          <w:sz w:val="20"/>
          <w:szCs w:val="20"/>
          <w:color w:val="auto"/>
        </w:rPr>
      </w:pPr>
      <w:r>
        <w:rPr>
          <w:rFonts w:ascii="Arial" w:cs="Arial" w:eastAsia="Arial" w:hAnsi="Arial"/>
          <w:sz w:val="12"/>
          <w:szCs w:val="12"/>
          <w:color w:val="FFFFFF"/>
        </w:rPr>
        <w:t>Compensation of</w:t>
      </w:r>
    </w:p>
    <w:p>
      <w:pPr>
        <w:spacing w:after="0" w:line="224" w:lineRule="auto"/>
        <w:rPr>
          <w:sz w:val="20"/>
          <w:szCs w:val="20"/>
          <w:color w:val="auto"/>
        </w:rPr>
      </w:pPr>
      <w:r>
        <w:rPr>
          <w:rFonts w:ascii="Arial" w:cs="Arial" w:eastAsia="Arial" w:hAnsi="Arial"/>
          <w:sz w:val="12"/>
          <w:szCs w:val="12"/>
          <w:color w:val="FFFFFF"/>
        </w:rPr>
        <w:t>Named Executive</w:t>
      </w:r>
    </w:p>
    <w:p>
      <w:pPr>
        <w:spacing w:after="0"/>
        <w:rPr>
          <w:sz w:val="20"/>
          <w:szCs w:val="20"/>
          <w:color w:val="auto"/>
        </w:rPr>
      </w:pPr>
      <w:r>
        <w:rPr>
          <w:rFonts w:ascii="Arial" w:cs="Arial" w:eastAsia="Arial" w:hAnsi="Arial"/>
          <w:sz w:val="12"/>
          <w:szCs w:val="12"/>
          <w:color w:val="FFFFFF"/>
        </w:rPr>
        <w:t>Officers</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Pay Versus</w:t>
      </w:r>
    </w:p>
    <w:p>
      <w:pPr>
        <w:spacing w:after="0" w:line="224" w:lineRule="auto"/>
        <w:rPr>
          <w:sz w:val="20"/>
          <w:szCs w:val="20"/>
          <w:color w:val="auto"/>
        </w:rPr>
      </w:pPr>
      <w:r>
        <w:rPr>
          <w:rFonts w:ascii="Arial" w:cs="Arial" w:eastAsia="Arial" w:hAnsi="Arial"/>
          <w:sz w:val="12"/>
          <w:szCs w:val="12"/>
          <w:color w:val="FFFFFF"/>
        </w:rPr>
        <w:t>Performance</w:t>
      </w:r>
    </w:p>
    <w:p>
      <w:pPr>
        <w:spacing w:after="0"/>
        <w:rPr>
          <w:sz w:val="20"/>
          <w:szCs w:val="20"/>
          <w:color w:val="auto"/>
        </w:rPr>
      </w:pPr>
      <w:r>
        <w:rPr>
          <w:rFonts w:ascii="Arial" w:cs="Arial" w:eastAsia="Arial" w:hAnsi="Arial"/>
          <w:sz w:val="12"/>
          <w:szCs w:val="12"/>
          <w:color w:val="FFFFFF"/>
        </w:rPr>
        <w:t>Disclosure</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Security</w:t>
      </w:r>
    </w:p>
    <w:p>
      <w:pPr>
        <w:spacing w:after="0" w:line="224" w:lineRule="auto"/>
        <w:rPr>
          <w:sz w:val="20"/>
          <w:szCs w:val="20"/>
          <w:color w:val="auto"/>
        </w:rPr>
      </w:pPr>
      <w:r>
        <w:rPr>
          <w:rFonts w:ascii="Arial" w:cs="Arial" w:eastAsia="Arial" w:hAnsi="Arial"/>
          <w:sz w:val="12"/>
          <w:szCs w:val="12"/>
          <w:color w:val="FFFFFF"/>
        </w:rPr>
        <w:t>Ownership of</w:t>
      </w:r>
    </w:p>
    <w:p>
      <w:pPr>
        <w:spacing w:after="0" w:line="222" w:lineRule="auto"/>
        <w:rPr>
          <w:sz w:val="20"/>
          <w:szCs w:val="20"/>
          <w:color w:val="auto"/>
        </w:rPr>
      </w:pPr>
      <w:r>
        <w:rPr>
          <w:rFonts w:ascii="Arial" w:cs="Arial" w:eastAsia="Arial" w:hAnsi="Arial"/>
          <w:sz w:val="12"/>
          <w:szCs w:val="12"/>
          <w:color w:val="FFFFFF"/>
        </w:rPr>
        <w:t>Certain Beneficial</w:t>
      </w:r>
    </w:p>
    <w:p>
      <w:pPr>
        <w:spacing w:after="0" w:line="222" w:lineRule="auto"/>
        <w:rPr>
          <w:sz w:val="20"/>
          <w:szCs w:val="20"/>
          <w:color w:val="auto"/>
        </w:rPr>
      </w:pPr>
      <w:r>
        <w:rPr>
          <w:rFonts w:ascii="Arial" w:cs="Arial" w:eastAsia="Arial" w:hAnsi="Arial"/>
          <w:sz w:val="12"/>
          <w:szCs w:val="12"/>
          <w:color w:val="FFFFFF"/>
        </w:rPr>
        <w:t>Owners and</w:t>
      </w:r>
    </w:p>
    <w:p>
      <w:pPr>
        <w:spacing w:after="0"/>
        <w:rPr>
          <w:sz w:val="20"/>
          <w:szCs w:val="20"/>
          <w:color w:val="auto"/>
        </w:rPr>
      </w:pPr>
      <w:r>
        <w:rPr>
          <w:rFonts w:ascii="Arial" w:cs="Arial" w:eastAsia="Arial" w:hAnsi="Arial"/>
          <w:sz w:val="12"/>
          <w:szCs w:val="12"/>
          <w:color w:val="FFFFFF"/>
        </w:rPr>
        <w:t>Management</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Certain</w:t>
      </w:r>
    </w:p>
    <w:p>
      <w:pPr>
        <w:spacing w:after="0" w:line="224" w:lineRule="auto"/>
        <w:rPr>
          <w:sz w:val="20"/>
          <w:szCs w:val="20"/>
          <w:color w:val="auto"/>
        </w:rPr>
      </w:pPr>
      <w:r>
        <w:rPr>
          <w:rFonts w:ascii="Arial" w:cs="Arial" w:eastAsia="Arial" w:hAnsi="Arial"/>
          <w:sz w:val="12"/>
          <w:szCs w:val="12"/>
          <w:color w:val="FFFFFF"/>
        </w:rPr>
        <w:t>Relationships and</w:t>
      </w:r>
    </w:p>
    <w:p>
      <w:pPr>
        <w:spacing w:after="0" w:line="222" w:lineRule="auto"/>
        <w:rPr>
          <w:sz w:val="20"/>
          <w:szCs w:val="20"/>
          <w:color w:val="auto"/>
        </w:rPr>
      </w:pPr>
      <w:r>
        <w:rPr>
          <w:rFonts w:ascii="Arial" w:cs="Arial" w:eastAsia="Arial" w:hAnsi="Arial"/>
          <w:sz w:val="12"/>
          <w:szCs w:val="12"/>
          <w:color w:val="FFFFFF"/>
        </w:rPr>
        <w:t>Related Party</w:t>
      </w:r>
    </w:p>
    <w:p>
      <w:pPr>
        <w:spacing w:after="0"/>
        <w:rPr>
          <w:sz w:val="20"/>
          <w:szCs w:val="20"/>
          <w:color w:val="auto"/>
        </w:rPr>
      </w:pPr>
      <w:r>
        <w:rPr>
          <w:rFonts w:ascii="Arial" w:cs="Arial" w:eastAsia="Arial" w:hAnsi="Arial"/>
          <w:sz w:val="12"/>
          <w:szCs w:val="12"/>
          <w:color w:val="FFFFFF"/>
        </w:rPr>
        <w:t>Transactions</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Proposal 2</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FFFFFF"/>
        </w:rPr>
        <w:t>Report of the</w:t>
      </w:r>
    </w:p>
    <w:p>
      <w:pPr>
        <w:spacing w:after="0" w:line="224" w:lineRule="auto"/>
        <w:rPr>
          <w:sz w:val="20"/>
          <w:szCs w:val="20"/>
          <w:color w:val="auto"/>
        </w:rPr>
      </w:pPr>
      <w:r>
        <w:rPr>
          <w:rFonts w:ascii="Arial" w:cs="Arial" w:eastAsia="Arial" w:hAnsi="Arial"/>
          <w:sz w:val="12"/>
          <w:szCs w:val="12"/>
          <w:color w:val="FFFFFF"/>
        </w:rPr>
        <w:t>Audit and Risk</w:t>
      </w:r>
    </w:p>
    <w:p>
      <w:pPr>
        <w:spacing w:after="0" w:line="222" w:lineRule="auto"/>
        <w:rPr>
          <w:sz w:val="20"/>
          <w:szCs w:val="20"/>
          <w:color w:val="auto"/>
        </w:rPr>
      </w:pPr>
      <w:r>
        <w:rPr>
          <w:rFonts w:ascii="Arial" w:cs="Arial" w:eastAsia="Arial" w:hAnsi="Arial"/>
          <w:sz w:val="12"/>
          <w:szCs w:val="12"/>
          <w:color w:val="FFFFFF"/>
        </w:rPr>
        <w:t>Committee of the</w:t>
      </w:r>
    </w:p>
    <w:p>
      <w:pPr>
        <w:spacing w:after="0"/>
        <w:rPr>
          <w:sz w:val="20"/>
          <w:szCs w:val="20"/>
          <w:color w:val="auto"/>
        </w:rPr>
      </w:pPr>
      <w:r>
        <w:rPr>
          <w:rFonts w:ascii="Arial" w:cs="Arial" w:eastAsia="Arial" w:hAnsi="Arial"/>
          <w:sz w:val="11"/>
          <w:szCs w:val="11"/>
          <w:color w:val="FFFFFF"/>
        </w:rPr>
        <w:t>Board of Directors</w:t>
      </w:r>
    </w:p>
    <w:p>
      <w:pPr>
        <w:spacing w:after="0" w:line="155" w:lineRule="exact"/>
        <w:rPr>
          <w:sz w:val="20"/>
          <w:szCs w:val="20"/>
          <w:color w:val="auto"/>
        </w:rPr>
      </w:pPr>
    </w:p>
    <w:p>
      <w:pPr>
        <w:spacing w:after="0"/>
        <w:rPr>
          <w:sz w:val="20"/>
          <w:szCs w:val="20"/>
          <w:color w:val="auto"/>
        </w:rPr>
      </w:pPr>
      <w:r>
        <w:rPr>
          <w:rFonts w:ascii="Arial" w:cs="Arial" w:eastAsia="Arial" w:hAnsi="Arial"/>
          <w:sz w:val="12"/>
          <w:szCs w:val="12"/>
          <w:color w:val="FFFFFF"/>
        </w:rPr>
        <w:t>Proposal 3</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FFFFFF"/>
        </w:rPr>
        <w:t>Proposal 4</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FFFFFF"/>
        </w:rPr>
        <w:t>Proposal 5</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FFFFFF"/>
        </w:rPr>
        <w:t>Proposal 6</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FFFFFF"/>
        </w:rPr>
        <w:t>Stockholder</w:t>
      </w:r>
    </w:p>
    <w:p>
      <w:pPr>
        <w:spacing w:after="0" w:line="224" w:lineRule="auto"/>
        <w:rPr>
          <w:sz w:val="20"/>
          <w:szCs w:val="20"/>
          <w:color w:val="auto"/>
        </w:rPr>
      </w:pPr>
      <w:r>
        <w:rPr>
          <w:rFonts w:ascii="Arial" w:cs="Arial" w:eastAsia="Arial" w:hAnsi="Arial"/>
          <w:sz w:val="12"/>
          <w:szCs w:val="12"/>
          <w:color w:val="FFFFFF"/>
        </w:rPr>
        <w:t>Proposals and</w:t>
      </w:r>
    </w:p>
    <w:p>
      <w:pPr>
        <w:spacing w:after="0"/>
        <w:rPr>
          <w:sz w:val="20"/>
          <w:szCs w:val="20"/>
          <w:color w:val="auto"/>
        </w:rPr>
      </w:pPr>
      <w:r>
        <w:rPr>
          <w:rFonts w:ascii="Arial" w:cs="Arial" w:eastAsia="Arial" w:hAnsi="Arial"/>
          <w:sz w:val="12"/>
          <w:szCs w:val="12"/>
          <w:color w:val="FFFFFF"/>
        </w:rPr>
        <w:t>Other Matters</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Delinquent</w:t>
      </w:r>
    </w:p>
    <w:p>
      <w:pPr>
        <w:spacing w:after="0" w:line="224" w:lineRule="auto"/>
        <w:rPr>
          <w:sz w:val="20"/>
          <w:szCs w:val="20"/>
          <w:color w:val="auto"/>
        </w:rPr>
      </w:pPr>
      <w:r>
        <w:rPr>
          <w:rFonts w:ascii="Arial" w:cs="Arial" w:eastAsia="Arial" w:hAnsi="Arial"/>
          <w:sz w:val="12"/>
          <w:szCs w:val="12"/>
          <w:color w:val="FFFFFF"/>
        </w:rPr>
        <w:t>Section 16(a)</w:t>
      </w:r>
    </w:p>
    <w:p>
      <w:pPr>
        <w:spacing w:after="0"/>
        <w:rPr>
          <w:sz w:val="20"/>
          <w:szCs w:val="20"/>
          <w:color w:val="auto"/>
        </w:rPr>
      </w:pPr>
      <w:r>
        <w:rPr>
          <w:rFonts w:ascii="Arial" w:cs="Arial" w:eastAsia="Arial" w:hAnsi="Arial"/>
          <w:sz w:val="12"/>
          <w:szCs w:val="12"/>
          <w:color w:val="FFFFFF"/>
        </w:rPr>
        <w:t>Reports</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Other</w:t>
      </w:r>
    </w:p>
    <w:p>
      <w:pPr>
        <w:spacing w:after="0" w:line="2" w:lineRule="exact"/>
        <w:rPr>
          <w:sz w:val="20"/>
          <w:szCs w:val="20"/>
          <w:color w:val="auto"/>
        </w:rPr>
      </w:pPr>
    </w:p>
    <w:p>
      <w:pPr>
        <w:spacing w:after="0"/>
        <w:rPr>
          <w:sz w:val="20"/>
          <w:szCs w:val="20"/>
          <w:color w:val="auto"/>
        </w:rPr>
      </w:pPr>
      <w:r>
        <w:rPr>
          <w:rFonts w:ascii="Arial" w:cs="Arial" w:eastAsia="Arial" w:hAnsi="Arial"/>
          <w:sz w:val="12"/>
          <w:szCs w:val="12"/>
          <w:color w:val="FFFFFF"/>
        </w:rPr>
        <w:t>Information</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Appendix A</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FFFFFF"/>
        </w:rPr>
        <w:t>Appendix B</w:t>
      </w:r>
    </w:p>
    <w:p>
      <w:pPr>
        <w:spacing w:after="0" w:line="200" w:lineRule="exact"/>
        <w:rPr>
          <w:sz w:val="20"/>
          <w:szCs w:val="20"/>
          <w:color w:val="auto"/>
        </w:rPr>
      </w:pPr>
    </w:p>
    <w:p>
      <w:pPr>
        <w:sectPr>
          <w:pgSz w:w="11900" w:h="16838" w:orient="portrait"/>
          <w:cols w:equalWidth="0" w:num="2">
            <w:col w:w="8500" w:space="720"/>
            <w:col w:w="1580"/>
          </w:cols>
          <w:pgMar w:left="320" w:top="464" w:right="7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6380"/>
        <w:spacing w:after="0"/>
        <w:tabs>
          <w:tab w:leader="none" w:pos="8500" w:val="left"/>
          <w:tab w:leader="none" w:pos="9960" w:val="left"/>
        </w:tabs>
        <w:rPr>
          <w:sz w:val="20"/>
          <w:szCs w:val="20"/>
          <w:color w:val="auto"/>
        </w:rPr>
      </w:pPr>
      <w:r>
        <w:rPr>
          <w:rFonts w:ascii="Arial" w:cs="Arial" w:eastAsia="Arial" w:hAnsi="Arial"/>
          <w:sz w:val="15"/>
          <w:szCs w:val="15"/>
          <w:b w:val="1"/>
          <w:bCs w:val="1"/>
          <w:color w:val="002B5F"/>
        </w:rPr>
        <w:t xml:space="preserve">2026 Proxy Statement  </w:t>
      </w:r>
      <w:r>
        <w:rPr>
          <w:rFonts w:ascii="Arial" w:cs="Arial" w:eastAsia="Arial" w:hAnsi="Arial"/>
          <w:sz w:val="20"/>
          <w:szCs w:val="20"/>
          <w:color w:val="002B5F"/>
        </w:rPr>
        <w:t>|</w:t>
      </w:r>
      <w:r>
        <w:rPr>
          <w:rFonts w:ascii="Arial" w:cs="Arial" w:eastAsia="Arial" w:hAnsi="Arial"/>
          <w:sz w:val="15"/>
          <w:szCs w:val="15"/>
          <w:b w:val="1"/>
          <w:bCs w:val="1"/>
          <w:color w:val="002B5F"/>
        </w:rPr>
        <w:t xml:space="preserve">  37</w:t>
      </w:r>
      <w:r>
        <w:rPr>
          <w:sz w:val="20"/>
          <w:szCs w:val="20"/>
          <w:color w:val="auto"/>
        </w:rPr>
        <w:tab/>
      </w:r>
      <w:r>
        <w:rPr>
          <w:rFonts w:ascii="Arial" w:cs="Arial" w:eastAsia="Arial" w:hAnsi="Arial"/>
          <w:sz w:val="17"/>
          <w:szCs w:val="17"/>
          <w:color w:val="auto"/>
        </w:rPr>
        <w:t xml:space="preserve">    </w:t>
      </w:r>
      <w:r>
        <w:rPr>
          <w:sz w:val="20"/>
          <w:szCs w:val="20"/>
          <w:color w:val="auto"/>
        </w:rPr>
        <w:tab/>
      </w:r>
      <w:r>
        <w:rPr>
          <w:rFonts w:ascii="Arial" w:cs="Arial" w:eastAsia="Arial" w:hAnsi="Arial"/>
          <w:sz w:val="17"/>
          <w:szCs w:val="17"/>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268605</wp:posOffset>
            </wp:positionH>
            <wp:positionV relativeFrom="paragraph">
              <wp:posOffset>-128905</wp:posOffset>
            </wp:positionV>
            <wp:extent cx="762000" cy="971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62000" cy="97155"/>
                    </a:xfrm>
                    <a:prstGeom prst="rect">
                      <a:avLst/>
                    </a:prstGeom>
                    <a:noFill/>
                  </pic:spPr>
                </pic:pic>
              </a:graphicData>
            </a:graphic>
          </wp:anchor>
        </w:drawing>
      </w:r>
    </w:p>
    <w:p>
      <w:pPr>
        <w:sectPr>
          <w:pgSz w:w="11900" w:h="16838" w:orient="portrait"/>
          <w:cols w:equalWidth="0" w:num="1">
            <w:col w:w="10800"/>
          </w:cols>
          <w:pgMar w:left="320" w:top="464" w:right="779" w:bottom="1440" w:gutter="0" w:footer="0" w:header="0"/>
          <w:type w:val="continuous"/>
        </w:sectPr>
      </w:pPr>
    </w:p>
    <w:bookmarkStart w:id="45" w:name="page46"/>
    <w:bookmarkEnd w:id="45"/>
    <w:p>
      <w:pPr>
        <w:spacing w:after="0"/>
        <w:rPr>
          <w:sz w:val="20"/>
          <w:szCs w:val="20"/>
          <w:color w:val="auto"/>
        </w:rPr>
      </w:pPr>
      <w:r>
        <w:rPr>
          <w:rFonts w:ascii="Times New Roman" w:cs="Times New Roman" w:eastAsia="Times New Roman" w:hAnsi="Times New Roman"/>
          <w:sz w:val="17"/>
          <w:szCs w:val="17"/>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268605</wp:posOffset>
            </wp:positionH>
            <wp:positionV relativeFrom="paragraph">
              <wp:posOffset>253365</wp:posOffset>
            </wp:positionV>
            <wp:extent cx="1183005" cy="745617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183005" cy="7456170"/>
                    </a:xfrm>
                    <a:prstGeom prst="rect">
                      <a:avLst/>
                    </a:prstGeom>
                    <a:noFill/>
                  </pic:spPr>
                </pic:pic>
              </a:graphicData>
            </a:graphic>
          </wp:anchor>
        </w:drawing>
      </w:r>
    </w:p>
    <w:p>
      <w:pPr>
        <w:spacing w:after="0" w:line="200" w:lineRule="exact"/>
        <w:rPr>
          <w:sz w:val="20"/>
          <w:szCs w:val="20"/>
          <w:color w:val="auto"/>
        </w:rPr>
      </w:pPr>
    </w:p>
    <w:p>
      <w:pPr>
        <w:spacing w:after="0" w:line="304" w:lineRule="exact"/>
        <w:rPr>
          <w:sz w:val="20"/>
          <w:szCs w:val="20"/>
          <w:color w:val="auto"/>
        </w:rPr>
      </w:pPr>
    </w:p>
    <w:p>
      <w:pPr>
        <w:ind w:left="1120" w:right="460" w:hanging="672"/>
        <w:spacing w:after="0" w:line="382" w:lineRule="auto"/>
        <w:tabs>
          <w:tab w:leader="none" w:pos="610" w:val="left"/>
        </w:tabs>
        <w:numPr>
          <w:ilvl w:val="0"/>
          <w:numId w:val="63"/>
        </w:numPr>
        <w:rPr>
          <w:rFonts w:ascii="Arial" w:cs="Arial" w:eastAsia="Arial" w:hAnsi="Arial"/>
          <w:sz w:val="24"/>
          <w:szCs w:val="24"/>
          <w:color w:val="auto"/>
          <w:vertAlign w:val="subscript"/>
        </w:rPr>
      </w:pPr>
      <w:r>
        <w:rPr>
          <w:rFonts w:ascii="Arial" w:cs="Arial" w:eastAsia="Arial" w:hAnsi="Arial"/>
          <w:sz w:val="24"/>
          <w:szCs w:val="24"/>
          <w:color w:val="000000"/>
          <w:vertAlign w:val="subscript"/>
        </w:rPr>
        <w:t xml:space="preserve">     </w:t>
      </w:r>
      <w:r>
        <w:rPr>
          <w:rFonts w:ascii="Arial" w:cs="Arial" w:eastAsia="Arial" w:hAnsi="Arial"/>
          <w:sz w:val="10"/>
          <w:szCs w:val="10"/>
          <w:color w:val="FFFFFF"/>
        </w:rPr>
        <w:t xml:space="preserve"> General Information</w:t>
      </w:r>
    </w:p>
    <w:p>
      <w:pPr>
        <w:spacing w:after="0" w:line="1" w:lineRule="exact"/>
        <w:rPr>
          <w:sz w:val="20"/>
          <w:szCs w:val="20"/>
          <w:color w:val="auto"/>
        </w:rPr>
      </w:pPr>
    </w:p>
    <w:p>
      <w:pPr>
        <w:ind w:left="1120"/>
        <w:spacing w:after="0"/>
        <w:rPr>
          <w:sz w:val="20"/>
          <w:szCs w:val="20"/>
          <w:color w:val="auto"/>
        </w:rPr>
      </w:pPr>
      <w:r>
        <w:rPr>
          <w:rFonts w:ascii="Arial" w:cs="Arial" w:eastAsia="Arial" w:hAnsi="Arial"/>
          <w:sz w:val="11"/>
          <w:szCs w:val="11"/>
          <w:color w:val="FFFFFF"/>
        </w:rPr>
        <w:t>General Information</w:t>
      </w:r>
    </w:p>
    <w:p>
      <w:pPr>
        <w:spacing w:after="0" w:line="3"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About Corporate</w:t>
      </w:r>
    </w:p>
    <w:p>
      <w:pPr>
        <w:ind w:left="1120"/>
        <w:spacing w:after="0" w:line="221" w:lineRule="auto"/>
        <w:rPr>
          <w:sz w:val="20"/>
          <w:szCs w:val="20"/>
          <w:color w:val="auto"/>
        </w:rPr>
      </w:pPr>
      <w:r>
        <w:rPr>
          <w:rFonts w:ascii="Arial" w:cs="Arial" w:eastAsia="Arial" w:hAnsi="Arial"/>
          <w:sz w:val="12"/>
          <w:szCs w:val="12"/>
          <w:color w:val="FFFFFF"/>
        </w:rPr>
        <w:t>Governance</w:t>
      </w:r>
    </w:p>
    <w:p>
      <w:pPr>
        <w:ind w:left="1120"/>
        <w:spacing w:after="0" w:line="222" w:lineRule="auto"/>
        <w:rPr>
          <w:sz w:val="20"/>
          <w:szCs w:val="20"/>
          <w:color w:val="auto"/>
        </w:rPr>
      </w:pPr>
      <w:r>
        <w:rPr>
          <w:rFonts w:ascii="Arial" w:cs="Arial" w:eastAsia="Arial" w:hAnsi="Arial"/>
          <w:sz w:val="12"/>
          <w:szCs w:val="12"/>
          <w:color w:val="FFFFFF"/>
        </w:rPr>
        <w:t>and the Board of</w:t>
      </w:r>
    </w:p>
    <w:p>
      <w:pPr>
        <w:spacing w:after="0" w:line="1"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Directors</w:t>
      </w:r>
    </w:p>
    <w:p>
      <w:pPr>
        <w:spacing w:after="0" w:line="144" w:lineRule="exact"/>
        <w:rPr>
          <w:sz w:val="20"/>
          <w:szCs w:val="20"/>
          <w:color w:val="auto"/>
        </w:rPr>
      </w:pPr>
    </w:p>
    <w:p>
      <w:pPr>
        <w:jc w:val="center"/>
        <w:ind w:left="620"/>
        <w:spacing w:after="0"/>
        <w:rPr>
          <w:sz w:val="20"/>
          <w:szCs w:val="20"/>
          <w:color w:val="auto"/>
        </w:rPr>
      </w:pPr>
      <w:r>
        <w:rPr>
          <w:rFonts w:ascii="Arial" w:cs="Arial" w:eastAsia="Arial" w:hAnsi="Arial"/>
          <w:sz w:val="12"/>
          <w:szCs w:val="12"/>
          <w:color w:val="FFFFFF"/>
        </w:rPr>
        <w:t>Proposal 1</w:t>
      </w:r>
    </w:p>
    <w:p>
      <w:pPr>
        <w:spacing w:after="0" w:line="156"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Information</w:t>
      </w:r>
    </w:p>
    <w:p>
      <w:pPr>
        <w:ind w:left="1120"/>
        <w:spacing w:after="0" w:line="224" w:lineRule="auto"/>
        <w:rPr>
          <w:sz w:val="20"/>
          <w:szCs w:val="20"/>
          <w:color w:val="auto"/>
        </w:rPr>
      </w:pPr>
      <w:r>
        <w:rPr>
          <w:rFonts w:ascii="Arial" w:cs="Arial" w:eastAsia="Arial" w:hAnsi="Arial"/>
          <w:sz w:val="12"/>
          <w:szCs w:val="12"/>
          <w:color w:val="FFFFFF"/>
        </w:rPr>
        <w:t>Regarding Board</w:t>
      </w:r>
    </w:p>
    <w:p>
      <w:pPr>
        <w:ind w:left="1120"/>
        <w:spacing w:after="0" w:line="222" w:lineRule="auto"/>
        <w:rPr>
          <w:sz w:val="20"/>
          <w:szCs w:val="20"/>
          <w:color w:val="auto"/>
        </w:rPr>
      </w:pPr>
      <w:r>
        <w:rPr>
          <w:rFonts w:ascii="Arial" w:cs="Arial" w:eastAsia="Arial" w:hAnsi="Arial"/>
          <w:sz w:val="12"/>
          <w:szCs w:val="12"/>
          <w:color w:val="FFFFFF"/>
        </w:rPr>
        <w:t>and Committee</w:t>
      </w:r>
    </w:p>
    <w:p>
      <w:pPr>
        <w:ind w:left="1120"/>
        <w:spacing w:after="0"/>
        <w:rPr>
          <w:sz w:val="20"/>
          <w:szCs w:val="20"/>
          <w:color w:val="auto"/>
        </w:rPr>
      </w:pPr>
      <w:r>
        <w:rPr>
          <w:rFonts w:ascii="Arial" w:cs="Arial" w:eastAsia="Arial" w:hAnsi="Arial"/>
          <w:sz w:val="12"/>
          <w:szCs w:val="12"/>
          <w:color w:val="FFFFFF"/>
        </w:rPr>
        <w:t>Structure</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Board of Directors</w:t>
      </w:r>
    </w:p>
    <w:p>
      <w:pPr>
        <w:spacing w:after="0" w:line="2"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Compensation</w:t>
      </w:r>
    </w:p>
    <w:p>
      <w:pPr>
        <w:spacing w:after="0" w:line="144" w:lineRule="exact"/>
        <w:rPr>
          <w:sz w:val="20"/>
          <w:szCs w:val="20"/>
          <w:color w:val="auto"/>
        </w:rPr>
      </w:pPr>
    </w:p>
    <w:p>
      <w:pPr>
        <w:ind w:left="1120" w:right="160"/>
        <w:spacing w:after="0" w:line="244" w:lineRule="auto"/>
        <w:rPr>
          <w:sz w:val="20"/>
          <w:szCs w:val="20"/>
          <w:color w:val="auto"/>
        </w:rPr>
      </w:pPr>
      <w:r>
        <w:rPr>
          <w:rFonts w:ascii="Arial" w:cs="Arial" w:eastAsia="Arial" w:hAnsi="Arial"/>
          <w:sz w:val="12"/>
          <w:szCs w:val="12"/>
          <w:b w:val="1"/>
          <w:bCs w:val="1"/>
          <w:color w:val="FFFFFF"/>
        </w:rPr>
        <w:t>Compensation Discussion and Analysis</w:t>
      </w:r>
    </w:p>
    <w:p>
      <w:pPr>
        <w:spacing w:after="0" w:line="128"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Report of the</w:t>
      </w:r>
    </w:p>
    <w:p>
      <w:pPr>
        <w:ind w:left="1120"/>
        <w:spacing w:after="0" w:line="224" w:lineRule="auto"/>
        <w:rPr>
          <w:sz w:val="20"/>
          <w:szCs w:val="20"/>
          <w:color w:val="auto"/>
        </w:rPr>
      </w:pPr>
      <w:r>
        <w:rPr>
          <w:rFonts w:ascii="Arial" w:cs="Arial" w:eastAsia="Arial" w:hAnsi="Arial"/>
          <w:sz w:val="12"/>
          <w:szCs w:val="12"/>
          <w:color w:val="FFFFFF"/>
        </w:rPr>
        <w:t>Compensation</w:t>
      </w:r>
    </w:p>
    <w:p>
      <w:pPr>
        <w:ind w:left="1120"/>
        <w:spacing w:after="0" w:line="222" w:lineRule="auto"/>
        <w:rPr>
          <w:sz w:val="20"/>
          <w:szCs w:val="20"/>
          <w:color w:val="auto"/>
        </w:rPr>
      </w:pPr>
      <w:r>
        <w:rPr>
          <w:rFonts w:ascii="Arial" w:cs="Arial" w:eastAsia="Arial" w:hAnsi="Arial"/>
          <w:sz w:val="12"/>
          <w:szCs w:val="12"/>
          <w:color w:val="FFFFFF"/>
        </w:rPr>
        <w:t>and Human</w:t>
      </w:r>
    </w:p>
    <w:p>
      <w:pPr>
        <w:ind w:left="1120"/>
        <w:spacing w:after="0" w:line="222" w:lineRule="auto"/>
        <w:rPr>
          <w:sz w:val="20"/>
          <w:szCs w:val="20"/>
          <w:color w:val="auto"/>
        </w:rPr>
      </w:pPr>
      <w:r>
        <w:rPr>
          <w:rFonts w:ascii="Arial" w:cs="Arial" w:eastAsia="Arial" w:hAnsi="Arial"/>
          <w:sz w:val="12"/>
          <w:szCs w:val="12"/>
          <w:color w:val="FFFFFF"/>
        </w:rPr>
        <w:t>Resources</w:t>
      </w:r>
    </w:p>
    <w:p>
      <w:pPr>
        <w:ind w:left="1120"/>
        <w:spacing w:after="0" w:line="222" w:lineRule="auto"/>
        <w:rPr>
          <w:sz w:val="20"/>
          <w:szCs w:val="20"/>
          <w:color w:val="auto"/>
        </w:rPr>
      </w:pPr>
      <w:r>
        <w:rPr>
          <w:rFonts w:ascii="Arial" w:cs="Arial" w:eastAsia="Arial" w:hAnsi="Arial"/>
          <w:sz w:val="12"/>
          <w:szCs w:val="12"/>
          <w:color w:val="FFFFFF"/>
        </w:rPr>
        <w:t>Committee of the</w:t>
      </w:r>
    </w:p>
    <w:p>
      <w:pPr>
        <w:ind w:left="1120"/>
        <w:spacing w:after="0"/>
        <w:rPr>
          <w:sz w:val="20"/>
          <w:szCs w:val="20"/>
          <w:color w:val="auto"/>
        </w:rPr>
      </w:pPr>
      <w:r>
        <w:rPr>
          <w:rFonts w:ascii="Arial" w:cs="Arial" w:eastAsia="Arial" w:hAnsi="Arial"/>
          <w:sz w:val="12"/>
          <w:szCs w:val="12"/>
          <w:color w:val="FFFFFF"/>
        </w:rPr>
        <w:t>Board of Directors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Compensation of</w:t>
      </w:r>
    </w:p>
    <w:p>
      <w:pPr>
        <w:ind w:left="1120"/>
        <w:spacing w:after="0" w:line="224" w:lineRule="auto"/>
        <w:rPr>
          <w:sz w:val="20"/>
          <w:szCs w:val="20"/>
          <w:color w:val="auto"/>
        </w:rPr>
      </w:pPr>
      <w:r>
        <w:rPr>
          <w:rFonts w:ascii="Arial" w:cs="Arial" w:eastAsia="Arial" w:hAnsi="Arial"/>
          <w:sz w:val="12"/>
          <w:szCs w:val="12"/>
          <w:color w:val="FFFFFF"/>
        </w:rPr>
        <w:t>Named Executive</w:t>
      </w:r>
    </w:p>
    <w:p>
      <w:pPr>
        <w:ind w:left="1120"/>
        <w:spacing w:after="0"/>
        <w:rPr>
          <w:sz w:val="20"/>
          <w:szCs w:val="20"/>
          <w:color w:val="auto"/>
        </w:rPr>
      </w:pPr>
      <w:r>
        <w:rPr>
          <w:rFonts w:ascii="Arial" w:cs="Arial" w:eastAsia="Arial" w:hAnsi="Arial"/>
          <w:sz w:val="12"/>
          <w:szCs w:val="12"/>
          <w:color w:val="FFFFFF"/>
        </w:rPr>
        <w:t>Officers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Pay Versus</w:t>
      </w:r>
    </w:p>
    <w:p>
      <w:pPr>
        <w:ind w:left="1120"/>
        <w:spacing w:after="0" w:line="224" w:lineRule="auto"/>
        <w:rPr>
          <w:sz w:val="20"/>
          <w:szCs w:val="20"/>
          <w:color w:val="auto"/>
        </w:rPr>
      </w:pPr>
      <w:r>
        <w:rPr>
          <w:rFonts w:ascii="Arial" w:cs="Arial" w:eastAsia="Arial" w:hAnsi="Arial"/>
          <w:sz w:val="12"/>
          <w:szCs w:val="12"/>
          <w:color w:val="FFFFFF"/>
        </w:rPr>
        <w:t>Performance</w:t>
      </w:r>
    </w:p>
    <w:p>
      <w:pPr>
        <w:ind w:left="1120"/>
        <w:spacing w:after="0"/>
        <w:rPr>
          <w:sz w:val="20"/>
          <w:szCs w:val="20"/>
          <w:color w:val="auto"/>
        </w:rPr>
      </w:pPr>
      <w:r>
        <w:rPr>
          <w:rFonts w:ascii="Arial" w:cs="Arial" w:eastAsia="Arial" w:hAnsi="Arial"/>
          <w:sz w:val="12"/>
          <w:szCs w:val="12"/>
          <w:color w:val="FFFFFF"/>
        </w:rPr>
        <w:t>Disclosure</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Security</w:t>
      </w:r>
    </w:p>
    <w:p>
      <w:pPr>
        <w:ind w:left="1120"/>
        <w:spacing w:after="0" w:line="224" w:lineRule="auto"/>
        <w:rPr>
          <w:sz w:val="20"/>
          <w:szCs w:val="20"/>
          <w:color w:val="auto"/>
        </w:rPr>
      </w:pPr>
      <w:r>
        <w:rPr>
          <w:rFonts w:ascii="Arial" w:cs="Arial" w:eastAsia="Arial" w:hAnsi="Arial"/>
          <w:sz w:val="12"/>
          <w:szCs w:val="12"/>
          <w:color w:val="FFFFFF"/>
        </w:rPr>
        <w:t>Ownership of</w:t>
      </w:r>
    </w:p>
    <w:p>
      <w:pPr>
        <w:ind w:left="1120"/>
        <w:spacing w:after="0" w:line="222" w:lineRule="auto"/>
        <w:rPr>
          <w:sz w:val="20"/>
          <w:szCs w:val="20"/>
          <w:color w:val="auto"/>
        </w:rPr>
      </w:pPr>
      <w:r>
        <w:rPr>
          <w:rFonts w:ascii="Arial" w:cs="Arial" w:eastAsia="Arial" w:hAnsi="Arial"/>
          <w:sz w:val="12"/>
          <w:szCs w:val="12"/>
          <w:color w:val="FFFFFF"/>
        </w:rPr>
        <w:t>Certain Beneficial</w:t>
      </w:r>
    </w:p>
    <w:p>
      <w:pPr>
        <w:ind w:left="1120"/>
        <w:spacing w:after="0" w:line="222" w:lineRule="auto"/>
        <w:rPr>
          <w:sz w:val="20"/>
          <w:szCs w:val="20"/>
          <w:color w:val="auto"/>
        </w:rPr>
      </w:pPr>
      <w:r>
        <w:rPr>
          <w:rFonts w:ascii="Arial" w:cs="Arial" w:eastAsia="Arial" w:hAnsi="Arial"/>
          <w:sz w:val="12"/>
          <w:szCs w:val="12"/>
          <w:color w:val="FFFFFF"/>
        </w:rPr>
        <w:t>Owners and</w:t>
      </w:r>
    </w:p>
    <w:p>
      <w:pPr>
        <w:ind w:left="1120"/>
        <w:spacing w:after="0"/>
        <w:rPr>
          <w:sz w:val="20"/>
          <w:szCs w:val="20"/>
          <w:color w:val="auto"/>
        </w:rPr>
      </w:pPr>
      <w:r>
        <w:rPr>
          <w:rFonts w:ascii="Arial" w:cs="Arial" w:eastAsia="Arial" w:hAnsi="Arial"/>
          <w:sz w:val="12"/>
          <w:szCs w:val="12"/>
          <w:color w:val="FFFFFF"/>
        </w:rPr>
        <w:t>Management</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Certain</w:t>
      </w:r>
    </w:p>
    <w:p>
      <w:pPr>
        <w:ind w:left="1120"/>
        <w:spacing w:after="0" w:line="224" w:lineRule="auto"/>
        <w:rPr>
          <w:sz w:val="20"/>
          <w:szCs w:val="20"/>
          <w:color w:val="auto"/>
        </w:rPr>
      </w:pPr>
      <w:r>
        <w:rPr>
          <w:rFonts w:ascii="Arial" w:cs="Arial" w:eastAsia="Arial" w:hAnsi="Arial"/>
          <w:sz w:val="12"/>
          <w:szCs w:val="12"/>
          <w:color w:val="FFFFFF"/>
        </w:rPr>
        <w:t>Relationships and</w:t>
      </w:r>
    </w:p>
    <w:p>
      <w:pPr>
        <w:ind w:left="1120"/>
        <w:spacing w:after="0" w:line="222" w:lineRule="auto"/>
        <w:rPr>
          <w:sz w:val="20"/>
          <w:szCs w:val="20"/>
          <w:color w:val="auto"/>
        </w:rPr>
      </w:pPr>
      <w:r>
        <w:rPr>
          <w:rFonts w:ascii="Arial" w:cs="Arial" w:eastAsia="Arial" w:hAnsi="Arial"/>
          <w:sz w:val="12"/>
          <w:szCs w:val="12"/>
          <w:color w:val="FFFFFF"/>
        </w:rPr>
        <w:t>Related Party</w:t>
      </w:r>
    </w:p>
    <w:p>
      <w:pPr>
        <w:ind w:left="1120"/>
        <w:spacing w:after="0"/>
        <w:rPr>
          <w:sz w:val="20"/>
          <w:szCs w:val="20"/>
          <w:color w:val="auto"/>
        </w:rPr>
      </w:pPr>
      <w:r>
        <w:rPr>
          <w:rFonts w:ascii="Arial" w:cs="Arial" w:eastAsia="Arial" w:hAnsi="Arial"/>
          <w:sz w:val="12"/>
          <w:szCs w:val="12"/>
          <w:color w:val="FFFFFF"/>
        </w:rPr>
        <w:t>Transactions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Proposal 2</w:t>
      </w:r>
    </w:p>
    <w:p>
      <w:pPr>
        <w:spacing w:after="0" w:line="156"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Report of the</w:t>
      </w:r>
    </w:p>
    <w:p>
      <w:pPr>
        <w:ind w:left="1120"/>
        <w:spacing w:after="0" w:line="224" w:lineRule="auto"/>
        <w:rPr>
          <w:sz w:val="20"/>
          <w:szCs w:val="20"/>
          <w:color w:val="auto"/>
        </w:rPr>
      </w:pPr>
      <w:r>
        <w:rPr>
          <w:rFonts w:ascii="Arial" w:cs="Arial" w:eastAsia="Arial" w:hAnsi="Arial"/>
          <w:sz w:val="12"/>
          <w:szCs w:val="12"/>
          <w:color w:val="FFFFFF"/>
        </w:rPr>
        <w:t>Audit and Risk</w:t>
      </w:r>
    </w:p>
    <w:p>
      <w:pPr>
        <w:ind w:left="1120"/>
        <w:spacing w:after="0" w:line="222" w:lineRule="auto"/>
        <w:rPr>
          <w:sz w:val="20"/>
          <w:szCs w:val="20"/>
          <w:color w:val="auto"/>
        </w:rPr>
      </w:pPr>
      <w:r>
        <w:rPr>
          <w:rFonts w:ascii="Arial" w:cs="Arial" w:eastAsia="Arial" w:hAnsi="Arial"/>
          <w:sz w:val="12"/>
          <w:szCs w:val="12"/>
          <w:color w:val="FFFFFF"/>
        </w:rPr>
        <w:t>Committee of the</w:t>
      </w:r>
    </w:p>
    <w:p>
      <w:pPr>
        <w:ind w:left="1120"/>
        <w:spacing w:after="0"/>
        <w:rPr>
          <w:sz w:val="20"/>
          <w:szCs w:val="20"/>
          <w:color w:val="auto"/>
        </w:rPr>
      </w:pPr>
      <w:r>
        <w:rPr>
          <w:rFonts w:ascii="Arial" w:cs="Arial" w:eastAsia="Arial" w:hAnsi="Arial"/>
          <w:sz w:val="12"/>
          <w:szCs w:val="12"/>
          <w:color w:val="FFFFFF"/>
        </w:rPr>
        <w:t>Board of Directors</w:t>
      </w:r>
    </w:p>
    <w:p>
      <w:pPr>
        <w:spacing w:after="0" w:line="144" w:lineRule="exact"/>
        <w:rPr>
          <w:sz w:val="20"/>
          <w:szCs w:val="20"/>
          <w:color w:val="auto"/>
        </w:rPr>
      </w:pPr>
    </w:p>
    <w:p>
      <w:pPr>
        <w:jc w:val="center"/>
        <w:ind w:left="620"/>
        <w:spacing w:after="0"/>
        <w:rPr>
          <w:sz w:val="20"/>
          <w:szCs w:val="20"/>
          <w:color w:val="auto"/>
        </w:rPr>
      </w:pPr>
      <w:r>
        <w:rPr>
          <w:rFonts w:ascii="Arial" w:cs="Arial" w:eastAsia="Arial" w:hAnsi="Arial"/>
          <w:sz w:val="12"/>
          <w:szCs w:val="12"/>
          <w:color w:val="FFFFFF"/>
        </w:rPr>
        <w:t>Proposal 3</w:t>
      </w:r>
    </w:p>
    <w:p>
      <w:pPr>
        <w:spacing w:after="0" w:line="156" w:lineRule="exact"/>
        <w:rPr>
          <w:sz w:val="20"/>
          <w:szCs w:val="20"/>
          <w:color w:val="auto"/>
        </w:rPr>
      </w:pPr>
    </w:p>
    <w:p>
      <w:pPr>
        <w:jc w:val="center"/>
        <w:ind w:left="620"/>
        <w:spacing w:after="0"/>
        <w:rPr>
          <w:sz w:val="20"/>
          <w:szCs w:val="20"/>
          <w:color w:val="auto"/>
        </w:rPr>
      </w:pPr>
      <w:r>
        <w:rPr>
          <w:rFonts w:ascii="Arial" w:cs="Arial" w:eastAsia="Arial" w:hAnsi="Arial"/>
          <w:sz w:val="12"/>
          <w:szCs w:val="12"/>
          <w:color w:val="FFFFFF"/>
        </w:rPr>
        <w:t>Proposal 4</w:t>
      </w:r>
    </w:p>
    <w:p>
      <w:pPr>
        <w:spacing w:after="0" w:line="156" w:lineRule="exact"/>
        <w:rPr>
          <w:sz w:val="20"/>
          <w:szCs w:val="20"/>
          <w:color w:val="auto"/>
        </w:rPr>
      </w:pPr>
    </w:p>
    <w:p>
      <w:pPr>
        <w:jc w:val="center"/>
        <w:ind w:left="620"/>
        <w:spacing w:after="0"/>
        <w:rPr>
          <w:sz w:val="20"/>
          <w:szCs w:val="20"/>
          <w:color w:val="auto"/>
        </w:rPr>
      </w:pPr>
      <w:r>
        <w:rPr>
          <w:rFonts w:ascii="Arial" w:cs="Arial" w:eastAsia="Arial" w:hAnsi="Arial"/>
          <w:sz w:val="12"/>
          <w:szCs w:val="12"/>
          <w:color w:val="FFFFFF"/>
        </w:rPr>
        <w:t>Proposal 5</w:t>
      </w:r>
    </w:p>
    <w:p>
      <w:pPr>
        <w:spacing w:after="0" w:line="156"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Proposal 6</w:t>
      </w:r>
    </w:p>
    <w:p>
      <w:pPr>
        <w:spacing w:after="0" w:line="156"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Stockholder</w:t>
      </w:r>
    </w:p>
    <w:p>
      <w:pPr>
        <w:ind w:left="1120"/>
        <w:spacing w:after="0" w:line="224" w:lineRule="auto"/>
        <w:rPr>
          <w:sz w:val="20"/>
          <w:szCs w:val="20"/>
          <w:color w:val="auto"/>
        </w:rPr>
      </w:pPr>
      <w:r>
        <w:rPr>
          <w:rFonts w:ascii="Arial" w:cs="Arial" w:eastAsia="Arial" w:hAnsi="Arial"/>
          <w:sz w:val="12"/>
          <w:szCs w:val="12"/>
          <w:color w:val="FFFFFF"/>
        </w:rPr>
        <w:t>Proposals and</w:t>
      </w:r>
    </w:p>
    <w:p>
      <w:pPr>
        <w:ind w:left="1120"/>
        <w:spacing w:after="0"/>
        <w:rPr>
          <w:sz w:val="20"/>
          <w:szCs w:val="20"/>
          <w:color w:val="auto"/>
        </w:rPr>
      </w:pPr>
      <w:r>
        <w:rPr>
          <w:rFonts w:ascii="Arial" w:cs="Arial" w:eastAsia="Arial" w:hAnsi="Arial"/>
          <w:sz w:val="12"/>
          <w:szCs w:val="12"/>
          <w:color w:val="FFFFFF"/>
        </w:rPr>
        <w:t>Other Matters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Delinquent</w:t>
      </w:r>
    </w:p>
    <w:p>
      <w:pPr>
        <w:ind w:left="1120"/>
        <w:spacing w:after="0" w:line="224" w:lineRule="auto"/>
        <w:rPr>
          <w:sz w:val="20"/>
          <w:szCs w:val="20"/>
          <w:color w:val="auto"/>
        </w:rPr>
      </w:pPr>
      <w:r>
        <w:rPr>
          <w:rFonts w:ascii="Arial" w:cs="Arial" w:eastAsia="Arial" w:hAnsi="Arial"/>
          <w:sz w:val="12"/>
          <w:szCs w:val="12"/>
          <w:color w:val="FFFFFF"/>
        </w:rPr>
        <w:t>Section 16(a)</w:t>
      </w:r>
    </w:p>
    <w:p>
      <w:pPr>
        <w:ind w:left="1120"/>
        <w:spacing w:after="0"/>
        <w:rPr>
          <w:sz w:val="20"/>
          <w:szCs w:val="20"/>
          <w:color w:val="auto"/>
        </w:rPr>
      </w:pPr>
      <w:r>
        <w:rPr>
          <w:rFonts w:ascii="Arial" w:cs="Arial" w:eastAsia="Arial" w:hAnsi="Arial"/>
          <w:sz w:val="12"/>
          <w:szCs w:val="12"/>
          <w:color w:val="FFFFFF"/>
        </w:rPr>
        <w:t>Reports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Other</w:t>
      </w:r>
    </w:p>
    <w:p>
      <w:pPr>
        <w:spacing w:after="0" w:line="2"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Information</w:t>
      </w:r>
    </w:p>
    <w:p>
      <w:pPr>
        <w:spacing w:after="0" w:line="144" w:lineRule="exact"/>
        <w:rPr>
          <w:sz w:val="20"/>
          <w:szCs w:val="20"/>
          <w:color w:val="auto"/>
        </w:rPr>
      </w:pPr>
    </w:p>
    <w:p>
      <w:pPr>
        <w:jc w:val="center"/>
        <w:ind w:left="660"/>
        <w:spacing w:after="0"/>
        <w:rPr>
          <w:sz w:val="20"/>
          <w:szCs w:val="20"/>
          <w:color w:val="auto"/>
        </w:rPr>
      </w:pPr>
      <w:r>
        <w:rPr>
          <w:rFonts w:ascii="Arial" w:cs="Arial" w:eastAsia="Arial" w:hAnsi="Arial"/>
          <w:sz w:val="12"/>
          <w:szCs w:val="12"/>
          <w:color w:val="FFFFFF"/>
        </w:rPr>
        <w:t>Appendix A</w:t>
      </w:r>
    </w:p>
    <w:p>
      <w:pPr>
        <w:spacing w:after="0" w:line="156" w:lineRule="exact"/>
        <w:rPr>
          <w:sz w:val="20"/>
          <w:szCs w:val="20"/>
          <w:color w:val="auto"/>
        </w:rPr>
      </w:pPr>
    </w:p>
    <w:p>
      <w:pPr>
        <w:jc w:val="center"/>
        <w:ind w:left="660"/>
        <w:spacing w:after="0"/>
        <w:rPr>
          <w:sz w:val="20"/>
          <w:szCs w:val="20"/>
          <w:color w:val="auto"/>
        </w:rPr>
      </w:pPr>
      <w:r>
        <w:rPr>
          <w:rFonts w:ascii="Arial" w:cs="Arial" w:eastAsia="Arial" w:hAnsi="Arial"/>
          <w:sz w:val="12"/>
          <w:szCs w:val="12"/>
          <w:color w:val="FFFFFF"/>
        </w:rPr>
        <w:t>Appendix 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47"/>
          <w:szCs w:val="47"/>
          <w:b w:val="1"/>
          <w:bCs w:val="1"/>
          <w:color w:val="002B5F"/>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-1737995</wp:posOffset>
            </wp:positionH>
            <wp:positionV relativeFrom="paragraph">
              <wp:posOffset>-948055</wp:posOffset>
            </wp:positionV>
            <wp:extent cx="7181215" cy="5334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81215" cy="5334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145415</wp:posOffset>
            </wp:positionV>
            <wp:extent cx="506539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5065395" cy="825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24"/>
          <w:szCs w:val="24"/>
          <w:color w:val="B95827"/>
        </w:rPr>
        <w:t>Executive Summary</w:t>
      </w:r>
    </w:p>
    <w:p>
      <w:pPr>
        <w:spacing w:after="0" w:line="117" w:lineRule="exact"/>
        <w:rPr>
          <w:sz w:val="20"/>
          <w:szCs w:val="20"/>
          <w:color w:val="auto"/>
        </w:rPr>
      </w:pPr>
    </w:p>
    <w:p>
      <w:pPr>
        <w:jc w:val="both"/>
        <w:ind w:right="60"/>
        <w:spacing w:after="0" w:line="268" w:lineRule="auto"/>
        <w:rPr>
          <w:sz w:val="20"/>
          <w:szCs w:val="20"/>
          <w:color w:val="auto"/>
        </w:rPr>
      </w:pPr>
      <w:r>
        <w:rPr>
          <w:rFonts w:ascii="Arial" w:cs="Arial" w:eastAsia="Arial" w:hAnsi="Arial"/>
          <w:sz w:val="15"/>
          <w:szCs w:val="15"/>
          <w:color w:val="auto"/>
        </w:rPr>
        <w:t>This Compensation Discussion and Analysis (“CD&amp;A”) describes the actions taken by the Compensation Committee with respect to 2025 compensation for our executive officers, including our named executive officers (“NEOs”). Under SEC rules, our NEOs for 2025 were:</w:t>
      </w:r>
    </w:p>
    <w:p>
      <w:pPr>
        <w:spacing w:after="0" w:line="191" w:lineRule="exact"/>
        <w:rPr>
          <w:sz w:val="20"/>
          <w:szCs w:val="20"/>
          <w:color w:val="auto"/>
        </w:rPr>
      </w:pPr>
    </w:p>
    <w:tbl>
      <w:tblPr>
        <w:tblLayout w:type="fixed"/>
        <w:tblInd w:w="20" w:type="dxa"/>
        <w:tblCellMar>
          <w:top w:w="0" w:type="dxa"/>
          <w:left w:w="0" w:type="dxa"/>
          <w:bottom w:w="0" w:type="dxa"/>
          <w:right w:w="0" w:type="dxa"/>
        </w:tblCellMar>
      </w:tblPr>
      <w:tr>
        <w:trPr>
          <w:trHeight w:val="194"/>
        </w:trPr>
        <w:tc>
          <w:tcPr>
            <w:tcW w:w="2640" w:type="dxa"/>
            <w:vAlign w:val="bottom"/>
            <w:tcBorders>
              <w:bottom w:val="single" w:sz="8" w:color="002B5F"/>
            </w:tcBorders>
          </w:tcPr>
          <w:p>
            <w:pPr>
              <w:ind w:left="60"/>
              <w:spacing w:after="0"/>
              <w:rPr>
                <w:sz w:val="20"/>
                <w:szCs w:val="20"/>
                <w:color w:val="auto"/>
              </w:rPr>
            </w:pPr>
            <w:r>
              <w:rPr>
                <w:rFonts w:ascii="Arial" w:cs="Arial" w:eastAsia="Arial" w:hAnsi="Arial"/>
                <w:sz w:val="14"/>
                <w:szCs w:val="14"/>
                <w:b w:val="1"/>
                <w:bCs w:val="1"/>
                <w:color w:val="002B5F"/>
              </w:rPr>
              <w:t>Named Executive Officer</w:t>
            </w:r>
          </w:p>
        </w:tc>
        <w:tc>
          <w:tcPr>
            <w:tcW w:w="5320" w:type="dxa"/>
            <w:vAlign w:val="bottom"/>
            <w:tcBorders>
              <w:bottom w:val="single" w:sz="8" w:color="002B5F"/>
            </w:tcBorders>
          </w:tcPr>
          <w:p>
            <w:pPr>
              <w:ind w:left="140"/>
              <w:spacing w:after="0"/>
              <w:rPr>
                <w:sz w:val="20"/>
                <w:szCs w:val="20"/>
                <w:color w:val="auto"/>
              </w:rPr>
            </w:pPr>
            <w:r>
              <w:rPr>
                <w:rFonts w:ascii="Arial" w:cs="Arial" w:eastAsia="Arial" w:hAnsi="Arial"/>
                <w:sz w:val="14"/>
                <w:szCs w:val="14"/>
                <w:b w:val="1"/>
                <w:bCs w:val="1"/>
                <w:color w:val="002B5F"/>
              </w:rPr>
              <w:t>Title</w:t>
            </w:r>
          </w:p>
        </w:tc>
      </w:tr>
      <w:tr>
        <w:trPr>
          <w:trHeight w:val="274"/>
        </w:trPr>
        <w:tc>
          <w:tcPr>
            <w:tcW w:w="2640" w:type="dxa"/>
            <w:vAlign w:val="bottom"/>
            <w:tcBorders>
              <w:bottom w:val="single" w:sz="8" w:color="F7F1EC"/>
            </w:tcBorders>
            <w:shd w:val="clear" w:color="auto" w:fill="F7F1EC"/>
          </w:tcPr>
          <w:p>
            <w:pPr>
              <w:ind w:left="60"/>
              <w:spacing w:after="0"/>
              <w:rPr>
                <w:sz w:val="20"/>
                <w:szCs w:val="20"/>
                <w:color w:val="auto"/>
              </w:rPr>
            </w:pPr>
            <w:r>
              <w:rPr>
                <w:rFonts w:ascii="Arial" w:cs="Arial" w:eastAsia="Arial" w:hAnsi="Arial"/>
                <w:sz w:val="15"/>
                <w:szCs w:val="15"/>
                <w:color w:val="auto"/>
              </w:rPr>
              <w:t>Richard Steinmeier</w:t>
            </w:r>
          </w:p>
        </w:tc>
        <w:tc>
          <w:tcPr>
            <w:tcW w:w="5320" w:type="dxa"/>
            <w:vAlign w:val="bottom"/>
            <w:tcBorders>
              <w:bottom w:val="single" w:sz="8" w:color="F7F1EC"/>
            </w:tcBorders>
            <w:shd w:val="clear" w:color="auto" w:fill="F7F1EC"/>
          </w:tcPr>
          <w:p>
            <w:pPr>
              <w:ind w:left="140"/>
              <w:spacing w:after="0"/>
              <w:rPr>
                <w:sz w:val="20"/>
                <w:szCs w:val="20"/>
                <w:color w:val="auto"/>
              </w:rPr>
            </w:pPr>
            <w:r>
              <w:rPr>
                <w:rFonts w:ascii="Arial" w:cs="Arial" w:eastAsia="Arial" w:hAnsi="Arial"/>
                <w:sz w:val="15"/>
                <w:szCs w:val="15"/>
                <w:color w:val="auto"/>
              </w:rPr>
              <w:t>Chief Executive Officer</w:t>
            </w:r>
          </w:p>
        </w:tc>
      </w:tr>
      <w:tr>
        <w:trPr>
          <w:trHeight w:val="265"/>
        </w:trPr>
        <w:tc>
          <w:tcPr>
            <w:tcW w:w="2640" w:type="dxa"/>
            <w:vAlign w:val="bottom"/>
          </w:tcPr>
          <w:p>
            <w:pPr>
              <w:ind w:left="60"/>
              <w:spacing w:after="0"/>
              <w:rPr>
                <w:sz w:val="20"/>
                <w:szCs w:val="20"/>
                <w:color w:val="auto"/>
              </w:rPr>
            </w:pPr>
            <w:r>
              <w:rPr>
                <w:rFonts w:ascii="Arial" w:cs="Arial" w:eastAsia="Arial" w:hAnsi="Arial"/>
                <w:sz w:val="15"/>
                <w:szCs w:val="15"/>
                <w:color w:val="auto"/>
              </w:rPr>
              <w:t>Matthew Audette</w:t>
            </w:r>
          </w:p>
        </w:tc>
        <w:tc>
          <w:tcPr>
            <w:tcW w:w="5320" w:type="dxa"/>
            <w:vAlign w:val="bottom"/>
          </w:tcPr>
          <w:p>
            <w:pPr>
              <w:ind w:left="140"/>
              <w:spacing w:after="0"/>
              <w:rPr>
                <w:sz w:val="20"/>
                <w:szCs w:val="20"/>
                <w:color w:val="auto"/>
              </w:rPr>
            </w:pPr>
            <w:r>
              <w:rPr>
                <w:rFonts w:ascii="Arial" w:cs="Arial" w:eastAsia="Arial" w:hAnsi="Arial"/>
                <w:sz w:val="15"/>
                <w:szCs w:val="15"/>
                <w:color w:val="auto"/>
              </w:rPr>
              <w:t>President and Chief Financial Officer</w:t>
            </w:r>
          </w:p>
        </w:tc>
      </w:tr>
      <w:tr>
        <w:trPr>
          <w:trHeight w:val="41"/>
        </w:trPr>
        <w:tc>
          <w:tcPr>
            <w:tcW w:w="2640" w:type="dxa"/>
            <w:vAlign w:val="bottom"/>
          </w:tcPr>
          <w:p>
            <w:pPr>
              <w:spacing w:after="0"/>
              <w:rPr>
                <w:sz w:val="3"/>
                <w:szCs w:val="3"/>
                <w:color w:val="auto"/>
              </w:rPr>
            </w:pPr>
          </w:p>
        </w:tc>
        <w:tc>
          <w:tcPr>
            <w:tcW w:w="5320" w:type="dxa"/>
            <w:vAlign w:val="bottom"/>
          </w:tcPr>
          <w:p>
            <w:pPr>
              <w:spacing w:after="0"/>
              <w:rPr>
                <w:sz w:val="3"/>
                <w:szCs w:val="3"/>
                <w:color w:val="auto"/>
              </w:rPr>
            </w:pPr>
          </w:p>
        </w:tc>
      </w:tr>
      <w:tr>
        <w:trPr>
          <w:trHeight w:val="286"/>
        </w:trPr>
        <w:tc>
          <w:tcPr>
            <w:tcW w:w="2640" w:type="dxa"/>
            <w:vAlign w:val="bottom"/>
            <w:tcBorders>
              <w:bottom w:val="single" w:sz="8" w:color="F7F1EC"/>
            </w:tcBorders>
            <w:shd w:val="clear" w:color="auto" w:fill="F7F1EC"/>
          </w:tcPr>
          <w:p>
            <w:pPr>
              <w:ind w:left="60"/>
              <w:spacing w:after="0"/>
              <w:rPr>
                <w:sz w:val="20"/>
                <w:szCs w:val="20"/>
                <w:color w:val="auto"/>
              </w:rPr>
            </w:pPr>
            <w:r>
              <w:rPr>
                <w:rFonts w:ascii="Arial" w:cs="Arial" w:eastAsia="Arial" w:hAnsi="Arial"/>
                <w:sz w:val="15"/>
                <w:szCs w:val="15"/>
                <w:color w:val="auto"/>
              </w:rPr>
              <w:t>Matthew Enyedi</w:t>
            </w:r>
          </w:p>
        </w:tc>
        <w:tc>
          <w:tcPr>
            <w:tcW w:w="5320" w:type="dxa"/>
            <w:vAlign w:val="bottom"/>
            <w:tcBorders>
              <w:bottom w:val="single" w:sz="8" w:color="F7F1EC"/>
            </w:tcBorders>
            <w:shd w:val="clear" w:color="auto" w:fill="F7F1EC"/>
          </w:tcPr>
          <w:p>
            <w:pPr>
              <w:ind w:left="140"/>
              <w:spacing w:after="0"/>
              <w:rPr>
                <w:sz w:val="20"/>
                <w:szCs w:val="20"/>
                <w:color w:val="auto"/>
              </w:rPr>
            </w:pPr>
            <w:r>
              <w:rPr>
                <w:rFonts w:ascii="Arial" w:cs="Arial" w:eastAsia="Arial" w:hAnsi="Arial"/>
                <w:sz w:val="15"/>
                <w:szCs w:val="15"/>
                <w:color w:val="auto"/>
              </w:rPr>
              <w:t>Group Managing Director, Chief Client Officer</w:t>
            </w:r>
          </w:p>
        </w:tc>
      </w:tr>
      <w:tr>
        <w:trPr>
          <w:trHeight w:val="265"/>
        </w:trPr>
        <w:tc>
          <w:tcPr>
            <w:tcW w:w="2640" w:type="dxa"/>
            <w:vAlign w:val="bottom"/>
          </w:tcPr>
          <w:p>
            <w:pPr>
              <w:ind w:left="60"/>
              <w:spacing w:after="0"/>
              <w:rPr>
                <w:sz w:val="20"/>
                <w:szCs w:val="20"/>
                <w:color w:val="auto"/>
              </w:rPr>
            </w:pPr>
            <w:r>
              <w:rPr>
                <w:rFonts w:ascii="Arial" w:cs="Arial" w:eastAsia="Arial" w:hAnsi="Arial"/>
                <w:sz w:val="15"/>
                <w:szCs w:val="15"/>
                <w:color w:val="auto"/>
              </w:rPr>
              <w:t>Greg Gates</w:t>
            </w:r>
          </w:p>
        </w:tc>
        <w:tc>
          <w:tcPr>
            <w:tcW w:w="5320" w:type="dxa"/>
            <w:vAlign w:val="bottom"/>
          </w:tcPr>
          <w:p>
            <w:pPr>
              <w:ind w:left="140"/>
              <w:spacing w:after="0"/>
              <w:rPr>
                <w:sz w:val="20"/>
                <w:szCs w:val="20"/>
                <w:color w:val="auto"/>
              </w:rPr>
            </w:pPr>
            <w:r>
              <w:rPr>
                <w:rFonts w:ascii="Arial" w:cs="Arial" w:eastAsia="Arial" w:hAnsi="Arial"/>
                <w:sz w:val="15"/>
                <w:szCs w:val="15"/>
                <w:color w:val="auto"/>
              </w:rPr>
              <w:t>Group Managing Director, Chief Technology and Information Officer</w:t>
            </w:r>
          </w:p>
        </w:tc>
      </w:tr>
      <w:tr>
        <w:trPr>
          <w:trHeight w:val="41"/>
        </w:trPr>
        <w:tc>
          <w:tcPr>
            <w:tcW w:w="2640" w:type="dxa"/>
            <w:vAlign w:val="bottom"/>
          </w:tcPr>
          <w:p>
            <w:pPr>
              <w:spacing w:after="0"/>
              <w:rPr>
                <w:sz w:val="3"/>
                <w:szCs w:val="3"/>
                <w:color w:val="auto"/>
              </w:rPr>
            </w:pPr>
          </w:p>
        </w:tc>
        <w:tc>
          <w:tcPr>
            <w:tcW w:w="5320" w:type="dxa"/>
            <w:vAlign w:val="bottom"/>
          </w:tcPr>
          <w:p>
            <w:pPr>
              <w:spacing w:after="0"/>
              <w:rPr>
                <w:sz w:val="3"/>
                <w:szCs w:val="3"/>
                <w:color w:val="auto"/>
              </w:rPr>
            </w:pPr>
          </w:p>
        </w:tc>
      </w:tr>
      <w:tr>
        <w:trPr>
          <w:trHeight w:val="265"/>
        </w:trPr>
        <w:tc>
          <w:tcPr>
            <w:tcW w:w="2640" w:type="dxa"/>
            <w:vAlign w:val="bottom"/>
            <w:shd w:val="clear" w:color="auto" w:fill="F7F1EC"/>
          </w:tcPr>
          <w:p>
            <w:pPr>
              <w:ind w:left="60"/>
              <w:spacing w:after="0"/>
              <w:rPr>
                <w:sz w:val="20"/>
                <w:szCs w:val="20"/>
                <w:color w:val="auto"/>
              </w:rPr>
            </w:pPr>
            <w:r>
              <w:rPr>
                <w:rFonts w:ascii="Arial" w:cs="Arial" w:eastAsia="Arial" w:hAnsi="Arial"/>
                <w:sz w:val="15"/>
                <w:szCs w:val="15"/>
                <w:color w:val="auto"/>
              </w:rPr>
              <w:t>Aneri Jambusaria</w:t>
            </w:r>
          </w:p>
        </w:tc>
        <w:tc>
          <w:tcPr>
            <w:tcW w:w="5320" w:type="dxa"/>
            <w:vAlign w:val="bottom"/>
            <w:shd w:val="clear" w:color="auto" w:fill="F7F1EC"/>
          </w:tcPr>
          <w:p>
            <w:pPr>
              <w:ind w:left="140"/>
              <w:spacing w:after="0"/>
              <w:rPr>
                <w:sz w:val="20"/>
                <w:szCs w:val="20"/>
                <w:color w:val="auto"/>
              </w:rPr>
            </w:pPr>
            <w:r>
              <w:rPr>
                <w:rFonts w:ascii="Arial" w:cs="Arial" w:eastAsia="Arial" w:hAnsi="Arial"/>
                <w:sz w:val="15"/>
                <w:szCs w:val="15"/>
                <w:color w:val="auto"/>
              </w:rPr>
              <w:t>Group Managing Director, Chief Wealth Officer</w:t>
            </w:r>
          </w:p>
        </w:tc>
      </w:tr>
      <w:tr>
        <w:trPr>
          <w:trHeight w:val="41"/>
        </w:trPr>
        <w:tc>
          <w:tcPr>
            <w:tcW w:w="2640" w:type="dxa"/>
            <w:vAlign w:val="bottom"/>
            <w:shd w:val="clear" w:color="auto" w:fill="F7F1EC"/>
          </w:tcPr>
          <w:p>
            <w:pPr>
              <w:spacing w:after="0"/>
              <w:rPr>
                <w:sz w:val="3"/>
                <w:szCs w:val="3"/>
                <w:color w:val="auto"/>
              </w:rPr>
            </w:pPr>
          </w:p>
        </w:tc>
        <w:tc>
          <w:tcPr>
            <w:tcW w:w="5320" w:type="dxa"/>
            <w:vAlign w:val="bottom"/>
            <w:shd w:val="clear" w:color="auto" w:fill="F7F1EC"/>
          </w:tcPr>
          <w:p>
            <w:pPr>
              <w:spacing w:after="0"/>
              <w:rPr>
                <w:sz w:val="3"/>
                <w:szCs w:val="3"/>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color w:val="002B5F"/>
        </w:rPr>
        <w:t>SUMMARY OF 2025 CORPORATE PERFORMANCE</w:t>
      </w:r>
    </w:p>
    <w:p>
      <w:pPr>
        <w:spacing w:after="0" w:line="103" w:lineRule="exact"/>
        <w:rPr>
          <w:sz w:val="20"/>
          <w:szCs w:val="20"/>
          <w:color w:val="auto"/>
        </w:rPr>
      </w:pPr>
    </w:p>
    <w:p>
      <w:pPr>
        <w:ind w:right="100"/>
        <w:spacing w:after="0" w:line="287" w:lineRule="auto"/>
        <w:rPr>
          <w:sz w:val="20"/>
          <w:szCs w:val="20"/>
          <w:color w:val="auto"/>
        </w:rPr>
      </w:pPr>
      <w:r>
        <w:rPr>
          <w:rFonts w:ascii="Arial" w:cs="Arial" w:eastAsia="Arial" w:hAnsi="Arial"/>
          <w:sz w:val="15"/>
          <w:szCs w:val="15"/>
          <w:color w:val="auto"/>
        </w:rPr>
        <w:t>The following information is intended to provide additional context for the Compensation Committee’s assessment of the Company’s overall performance in 2025 for compensation-related purposes.</w:t>
      </w:r>
    </w:p>
    <w:p>
      <w:pPr>
        <w:spacing w:after="0" w:line="47" w:lineRule="exact"/>
        <w:rPr>
          <w:sz w:val="20"/>
          <w:szCs w:val="20"/>
          <w:color w:val="auto"/>
        </w:rPr>
      </w:pPr>
    </w:p>
    <w:p>
      <w:pPr>
        <w:ind w:right="60"/>
        <w:spacing w:after="0" w:line="261" w:lineRule="auto"/>
        <w:rPr>
          <w:sz w:val="20"/>
          <w:szCs w:val="20"/>
          <w:color w:val="auto"/>
        </w:rPr>
      </w:pPr>
      <w:r>
        <w:rPr>
          <w:rFonts w:ascii="Arial" w:cs="Arial" w:eastAsia="Arial" w:hAnsi="Arial"/>
          <w:sz w:val="15"/>
          <w:szCs w:val="15"/>
          <w:color w:val="auto"/>
        </w:rPr>
        <w:t>As discussed below, the Compensation Committee established a bonus pool funding framework in January 2025 that assigned equal weighting to the achievement of the Company’s 2025 financial performance targets and 2025 business goals (together, the “2025 Corporate Goals”). The Compensation Committee retained a limited amount of discretion to adjust bonus pool funding based on its assessment of key drivers of the Company’s performance.</w:t>
      </w:r>
    </w:p>
    <w:p>
      <w:pPr>
        <w:spacing w:after="0" w:line="66" w:lineRule="exact"/>
        <w:rPr>
          <w:sz w:val="20"/>
          <w:szCs w:val="20"/>
          <w:color w:val="auto"/>
        </w:rPr>
      </w:pPr>
    </w:p>
    <w:p>
      <w:pPr>
        <w:ind w:right="60"/>
        <w:spacing w:after="0" w:line="255" w:lineRule="auto"/>
        <w:rPr>
          <w:sz w:val="20"/>
          <w:szCs w:val="20"/>
          <w:color w:val="auto"/>
        </w:rPr>
      </w:pPr>
      <w:r>
        <w:rPr>
          <w:rFonts w:ascii="Arial" w:cs="Arial" w:eastAsia="Arial" w:hAnsi="Arial"/>
          <w:sz w:val="15"/>
          <w:szCs w:val="15"/>
          <w:color w:val="auto"/>
        </w:rPr>
        <w:t>The Company delivered solid business and financial results in 2025. The Company’s total advisory and brokerage assets increased 36% year-over-year to reach a new high of $2.4 trillion as of December 31, 2025. The increase was driven by continued organic growth, the Company’s acquisition of Commonwealth Financial Network and higher equity markets. Total organic net new assets of $147 billion in 2025 translated to an 8% growth rate. Organic growth was driven by strength across our affiliation models, including the onboarding of the retail wealth management businesses of Wintrust Financial and First Horizon. Organic growth, combined with a favorable macro environment and expense discipline, led to solid financial performance.</w:t>
      </w:r>
    </w:p>
    <w:p>
      <w:pPr>
        <w:spacing w:after="0" w:line="70" w:lineRule="exact"/>
        <w:rPr>
          <w:sz w:val="20"/>
          <w:szCs w:val="20"/>
          <w:color w:val="auto"/>
        </w:rPr>
      </w:pPr>
    </w:p>
    <w:p>
      <w:pPr>
        <w:ind w:right="80"/>
        <w:spacing w:after="0" w:line="255" w:lineRule="auto"/>
        <w:rPr>
          <w:sz w:val="20"/>
          <w:szCs w:val="20"/>
          <w:color w:val="auto"/>
        </w:rPr>
      </w:pPr>
      <w:r>
        <w:rPr>
          <w:rFonts w:ascii="Arial" w:cs="Arial" w:eastAsia="Arial" w:hAnsi="Arial"/>
          <w:sz w:val="15"/>
          <w:szCs w:val="15"/>
          <w:color w:val="auto"/>
        </w:rPr>
        <w:t>The Company’s gross profit increased 24% year-over-year to $5.6 billion for 2025. Core general and administrative expense (“Core G&amp;A”) increased 22% from the prior year to $1.9 billion, which was below the Company’s target range for 2025. The gross profit and Core G&amp;A results contributed to EBITDA of $2.2 billion and Adjusted EBITDA of $2.9 billion, which reflected year-over-year increases of 3% and 31%, respectively. Gross profit, Core G&amp;A, EBITDA and Adjusted EBITDA are non-GAAP financial measures that are described under “</w:t>
      </w:r>
      <w:r>
        <w:rPr>
          <w:rFonts w:ascii="Arial" w:cs="Arial" w:eastAsia="Arial" w:hAnsi="Arial"/>
          <w:sz w:val="15"/>
          <w:szCs w:val="15"/>
          <w:i w:val="1"/>
          <w:iCs w:val="1"/>
          <w:color w:val="auto"/>
        </w:rPr>
        <w:t>Non-GAAP Financial Measures</w:t>
      </w:r>
      <w:r>
        <w:rPr>
          <w:rFonts w:ascii="Arial" w:cs="Arial" w:eastAsia="Arial" w:hAnsi="Arial"/>
          <w:sz w:val="15"/>
          <w:szCs w:val="15"/>
          <w:color w:val="auto"/>
        </w:rPr>
        <w:t>” in Appendix A. The Company’s share price appreciated 9% in 2025. For additional discussion and analysis of the Company’s 2025 financial performance, please refer to the Annual Report.</w:t>
      </w:r>
    </w:p>
    <w:p>
      <w:pPr>
        <w:spacing w:after="0" w:line="70" w:lineRule="exact"/>
        <w:rPr>
          <w:sz w:val="20"/>
          <w:szCs w:val="20"/>
          <w:color w:val="auto"/>
        </w:rPr>
      </w:pPr>
    </w:p>
    <w:p>
      <w:pPr>
        <w:ind w:right="120"/>
        <w:spacing w:after="0" w:line="268" w:lineRule="auto"/>
        <w:rPr>
          <w:sz w:val="20"/>
          <w:szCs w:val="20"/>
          <w:color w:val="auto"/>
        </w:rPr>
      </w:pPr>
      <w:r>
        <w:rPr>
          <w:rFonts w:ascii="Arial" w:cs="Arial" w:eastAsia="Arial" w:hAnsi="Arial"/>
          <w:sz w:val="15"/>
          <w:szCs w:val="15"/>
          <w:color w:val="auto"/>
        </w:rPr>
        <w:t>As discussed below, the Compensation Committee determined that the Company exceeded its 2025 financial performance targets and met its 2025 business goals. As a result, the 2025 bonus pool was funded above the target level and the annual cash bonus awards to our employees were generally</w:t>
      </w:r>
    </w:p>
    <w:p>
      <w:pPr>
        <w:spacing w:after="0" w:line="2358" w:lineRule="exact"/>
        <w:rPr>
          <w:sz w:val="20"/>
          <w:szCs w:val="20"/>
          <w:color w:val="auto"/>
        </w:rPr>
      </w:pPr>
    </w:p>
    <w:p>
      <w:pPr>
        <w:sectPr>
          <w:pgSz w:w="11900" w:h="16838" w:orient="portrait"/>
          <w:cols w:equalWidth="0" w:num="2">
            <w:col w:w="2160" w:space="560"/>
            <w:col w:w="7980"/>
          </w:cols>
          <w:pgMar w:left="320" w:top="464" w:right="879" w:bottom="1440" w:gutter="0" w:footer="0" w:header="0"/>
        </w:sectPr>
      </w:pPr>
    </w:p>
    <w:p>
      <w:pPr>
        <w:spacing w:after="0" w:line="200" w:lineRule="exact"/>
        <w:rPr>
          <w:sz w:val="20"/>
          <w:szCs w:val="20"/>
          <w:color w:val="auto"/>
        </w:rPr>
      </w:pPr>
    </w:p>
    <w:p>
      <w:pPr>
        <w:spacing w:after="0" w:line="385" w:lineRule="exact"/>
        <w:rPr>
          <w:sz w:val="20"/>
          <w:szCs w:val="20"/>
          <w:color w:val="auto"/>
        </w:rPr>
      </w:pPr>
    </w:p>
    <w:p>
      <w:pPr>
        <w:ind w:left="420"/>
        <w:spacing w:after="0"/>
        <w:tabs>
          <w:tab w:leader="none" w:pos="2380" w:val="left"/>
          <w:tab w:leader="none" w:pos="2800" w:val="left"/>
        </w:tabs>
        <w:rPr>
          <w:sz w:val="20"/>
          <w:szCs w:val="20"/>
          <w:color w:val="auto"/>
        </w:rPr>
      </w:pPr>
      <w:r>
        <w:rPr>
          <w:rFonts w:ascii="Arial" w:cs="Arial" w:eastAsia="Arial" w:hAnsi="Arial"/>
          <w:sz w:val="30"/>
          <w:szCs w:val="30"/>
          <w:color w:val="000000"/>
          <w:vertAlign w:val="superscript"/>
        </w:rPr>
        <w:t xml:space="preserve">             </w:t>
      </w:r>
      <w:r>
        <w:rPr>
          <w:sz w:val="20"/>
          <w:szCs w:val="20"/>
          <w:color w:val="auto"/>
        </w:rPr>
        <w:tab/>
      </w:r>
      <w:r>
        <w:rPr>
          <w:rFonts w:ascii="Arial" w:cs="Arial" w:eastAsia="Arial" w:hAnsi="Arial"/>
          <w:sz w:val="31"/>
          <w:szCs w:val="31"/>
          <w:color w:val="auto"/>
          <w:vertAlign w:val="superscript"/>
        </w:rPr>
        <w:t xml:space="preserve">    </w:t>
      </w:r>
      <w:r>
        <w:rPr>
          <w:sz w:val="20"/>
          <w:szCs w:val="20"/>
          <w:color w:val="auto"/>
        </w:rPr>
        <w:tab/>
      </w:r>
      <w:r>
        <w:rPr>
          <w:rFonts w:ascii="Arial" w:cs="Arial" w:eastAsia="Arial" w:hAnsi="Arial"/>
          <w:sz w:val="15"/>
          <w:szCs w:val="15"/>
          <w:b w:val="1"/>
          <w:bCs w:val="1"/>
          <w:color w:val="002B5F"/>
        </w:rPr>
        <w:t xml:space="preserve">38  </w:t>
      </w:r>
      <w:r>
        <w:rPr>
          <w:rFonts w:ascii="Arial" w:cs="Arial" w:eastAsia="Arial" w:hAnsi="Arial"/>
          <w:sz w:val="20"/>
          <w:szCs w:val="20"/>
          <w:color w:val="002B5F"/>
        </w:rPr>
        <w:t>|</w:t>
      </w:r>
      <w:r>
        <w:rPr>
          <w:rFonts w:ascii="Arial" w:cs="Arial" w:eastAsia="Arial" w:hAnsi="Arial"/>
          <w:sz w:val="15"/>
          <w:szCs w:val="15"/>
          <w:b w:val="1"/>
          <w:bCs w:val="1"/>
          <w:color w:val="002B5F"/>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6111875</wp:posOffset>
            </wp:positionH>
            <wp:positionV relativeFrom="paragraph">
              <wp:posOffset>-208915</wp:posOffset>
            </wp:positionV>
            <wp:extent cx="769620" cy="971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69620" cy="97155"/>
                    </a:xfrm>
                    <a:prstGeom prst="rect">
                      <a:avLst/>
                    </a:prstGeom>
                    <a:noFill/>
                  </pic:spPr>
                </pic:pic>
              </a:graphicData>
            </a:graphic>
          </wp:anchor>
        </w:drawing>
      </w:r>
    </w:p>
    <w:p>
      <w:pPr>
        <w:sectPr>
          <w:pgSz w:w="11900" w:h="16838" w:orient="portrait"/>
          <w:cols w:equalWidth="0" w:num="1">
            <w:col w:w="10700"/>
          </w:cols>
          <w:pgMar w:left="320" w:top="464" w:right="879" w:bottom="1440" w:gutter="0" w:footer="0" w:header="0"/>
          <w:type w:val="continuous"/>
        </w:sectPr>
      </w:pPr>
    </w:p>
    <w:bookmarkStart w:id="46" w:name="page47"/>
    <w:bookmarkEnd w:id="46"/>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5334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81215" cy="5334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5617845</wp:posOffset>
            </wp:positionH>
            <wp:positionV relativeFrom="paragraph">
              <wp:posOffset>260985</wp:posOffset>
            </wp:positionV>
            <wp:extent cx="1256030" cy="74720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256030" cy="7472045"/>
                    </a:xfrm>
                    <a:prstGeom prst="rect">
                      <a:avLst/>
                    </a:prstGeom>
                    <a:noFill/>
                  </pic:spPr>
                </pic:pic>
              </a:graphicData>
            </a:graphic>
          </wp:anchor>
        </w:drawing>
      </w:r>
    </w:p>
    <w:p>
      <w:pPr>
        <w:sectPr>
          <w:pgSz w:w="11900" w:h="16838" w:orient="portrait"/>
          <w:cols w:equalWidth="0" w:num="1">
            <w:col w:w="10800"/>
          </w:cols>
          <w:pgMar w:left="320" w:top="464" w:right="779" w:bottom="1440" w:gutter="0" w:footer="0" w:header="0"/>
        </w:sectPr>
      </w:pPr>
    </w:p>
    <w:p>
      <w:pPr>
        <w:spacing w:after="0" w:line="200" w:lineRule="exact"/>
        <w:rPr>
          <w:sz w:val="20"/>
          <w:szCs w:val="20"/>
          <w:color w:val="auto"/>
        </w:rPr>
      </w:pPr>
    </w:p>
    <w:p>
      <w:pPr>
        <w:spacing w:after="0" w:line="288" w:lineRule="exact"/>
        <w:rPr>
          <w:sz w:val="20"/>
          <w:szCs w:val="20"/>
          <w:color w:val="auto"/>
        </w:rPr>
      </w:pPr>
    </w:p>
    <w:p>
      <w:pPr>
        <w:ind w:left="540" w:right="180"/>
        <w:spacing w:after="0" w:line="287" w:lineRule="auto"/>
        <w:rPr>
          <w:sz w:val="20"/>
          <w:szCs w:val="20"/>
          <w:color w:val="auto"/>
        </w:rPr>
      </w:pPr>
      <w:r>
        <w:rPr>
          <w:rFonts w:ascii="Arial" w:cs="Arial" w:eastAsia="Arial" w:hAnsi="Arial"/>
          <w:sz w:val="15"/>
          <w:szCs w:val="15"/>
          <w:color w:val="auto"/>
        </w:rPr>
        <w:t>paid at target level, or above target level for high performing employees, including our NEOs. This approach is consistent with the Compensation Committee’s philosophy and past practice.</w:t>
      </w:r>
    </w:p>
    <w:p>
      <w:pPr>
        <w:spacing w:after="0" w:line="106" w:lineRule="exact"/>
        <w:rPr>
          <w:sz w:val="20"/>
          <w:szCs w:val="20"/>
          <w:color w:val="auto"/>
        </w:rPr>
      </w:pPr>
    </w:p>
    <w:p>
      <w:pPr>
        <w:jc w:val="center"/>
        <w:ind w:left="4820"/>
        <w:spacing w:after="0"/>
        <w:rPr>
          <w:sz w:val="20"/>
          <w:szCs w:val="20"/>
          <w:color w:val="auto"/>
        </w:rPr>
      </w:pPr>
      <w:r>
        <w:rPr>
          <w:rFonts w:ascii="Arial" w:cs="Arial" w:eastAsia="Arial" w:hAnsi="Arial"/>
          <w:sz w:val="16"/>
          <w:szCs w:val="16"/>
          <w:b w:val="1"/>
          <w:bCs w:val="1"/>
          <w:color w:val="002B5F"/>
        </w:rPr>
        <w:t>Total Advisory and Brokerage Assets</w:t>
      </w:r>
    </w:p>
    <w:p>
      <w:pPr>
        <w:spacing w:after="0" w:line="23" w:lineRule="exact"/>
        <w:rPr>
          <w:sz w:val="20"/>
          <w:szCs w:val="20"/>
          <w:color w:val="auto"/>
        </w:rPr>
      </w:pPr>
    </w:p>
    <w:p>
      <w:pPr>
        <w:jc w:val="center"/>
        <w:ind w:left="4820"/>
        <w:spacing w:after="0"/>
        <w:rPr>
          <w:sz w:val="20"/>
          <w:szCs w:val="20"/>
          <w:color w:val="auto"/>
        </w:rPr>
      </w:pPr>
      <w:r>
        <w:rPr>
          <w:rFonts w:ascii="Arial" w:cs="Arial" w:eastAsia="Arial" w:hAnsi="Arial"/>
          <w:sz w:val="17"/>
          <w:szCs w:val="17"/>
          <w:b w:val="1"/>
          <w:bCs w:val="1"/>
          <w:color w:val="002B5F"/>
        </w:rPr>
        <w:t>($ in billions)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3251200</wp:posOffset>
            </wp:positionH>
            <wp:positionV relativeFrom="paragraph">
              <wp:posOffset>71120</wp:posOffset>
            </wp:positionV>
            <wp:extent cx="1734185" cy="129667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734185" cy="1296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540" w:right="3920"/>
        <w:spacing w:after="0" w:line="256" w:lineRule="auto"/>
        <w:rPr>
          <w:sz w:val="20"/>
          <w:szCs w:val="20"/>
          <w:color w:val="auto"/>
        </w:rPr>
      </w:pPr>
      <w:r>
        <w:rPr>
          <w:rFonts w:ascii="Arial" w:cs="Arial" w:eastAsia="Arial" w:hAnsi="Arial"/>
          <w:sz w:val="15"/>
          <w:szCs w:val="15"/>
          <w:color w:val="auto"/>
        </w:rPr>
        <w:t>Total advisory and brokerage assets, which reflect net new assets in addition to market movement, were $2.4 trillion as of December 31, 2025, a 36% increase from the prior year balance of $1.7 trillion. Total net new assets in 2025 were $432 billion, including $285 billion from completed acquisitions.</w:t>
      </w:r>
    </w:p>
    <w:p>
      <w:pPr>
        <w:spacing w:after="0" w:line="283" w:lineRule="exact"/>
        <w:rPr>
          <w:sz w:val="20"/>
          <w:szCs w:val="20"/>
          <w:color w:val="auto"/>
        </w:rPr>
      </w:pPr>
    </w:p>
    <w:p>
      <w:pPr>
        <w:ind w:left="6000"/>
        <w:spacing w:after="0"/>
        <w:rPr>
          <w:sz w:val="20"/>
          <w:szCs w:val="20"/>
          <w:color w:val="auto"/>
        </w:rPr>
      </w:pPr>
      <w:r>
        <w:rPr>
          <w:rFonts w:ascii="Arial" w:cs="Arial" w:eastAsia="Arial" w:hAnsi="Arial"/>
          <w:sz w:val="17"/>
          <w:szCs w:val="17"/>
          <w:b w:val="1"/>
          <w:bCs w:val="1"/>
          <w:color w:val="002B5F"/>
        </w:rPr>
        <w:t>Gross Profit</w:t>
      </w:r>
    </w:p>
    <w:p>
      <w:pPr>
        <w:spacing w:after="0" w:line="12" w:lineRule="exact"/>
        <w:rPr>
          <w:sz w:val="20"/>
          <w:szCs w:val="20"/>
          <w:color w:val="auto"/>
        </w:rPr>
      </w:pPr>
    </w:p>
    <w:p>
      <w:pPr>
        <w:ind w:left="5940"/>
        <w:spacing w:after="0"/>
        <w:rPr>
          <w:sz w:val="20"/>
          <w:szCs w:val="20"/>
          <w:color w:val="auto"/>
        </w:rPr>
      </w:pPr>
      <w:r>
        <w:rPr>
          <w:rFonts w:ascii="Arial" w:cs="Arial" w:eastAsia="Arial" w:hAnsi="Arial"/>
          <w:sz w:val="17"/>
          <w:szCs w:val="17"/>
          <w:b w:val="1"/>
          <w:bCs w:val="1"/>
          <w:color w:val="002B5F"/>
        </w:rPr>
        <w:t>($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3251200</wp:posOffset>
            </wp:positionH>
            <wp:positionV relativeFrom="paragraph">
              <wp:posOffset>71120</wp:posOffset>
            </wp:positionV>
            <wp:extent cx="1734185" cy="15074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734185" cy="1507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540" w:right="4020"/>
        <w:spacing w:after="0" w:line="287" w:lineRule="auto"/>
        <w:rPr>
          <w:sz w:val="20"/>
          <w:szCs w:val="20"/>
          <w:color w:val="auto"/>
        </w:rPr>
      </w:pPr>
      <w:r>
        <w:rPr>
          <w:rFonts w:ascii="Arial" w:cs="Arial" w:eastAsia="Arial" w:hAnsi="Arial"/>
          <w:sz w:val="15"/>
          <w:szCs w:val="15"/>
          <w:color w:val="auto"/>
        </w:rPr>
        <w:t>Gross profit increased to $5.6 billion in 2025, up 24% from the prior year.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2"/>
        </w:trPr>
        <w:tc>
          <w:tcPr>
            <w:tcW w:w="200" w:type="dxa"/>
            <w:vAlign w:val="bottom"/>
          </w:tcPr>
          <w:p>
            <w:pPr>
              <w:spacing w:after="0"/>
              <w:rPr>
                <w:sz w:val="20"/>
                <w:szCs w:val="20"/>
                <w:color w:val="auto"/>
              </w:rPr>
            </w:pPr>
            <w:r>
              <w:rPr>
                <w:rFonts w:ascii="Arial" w:cs="Arial" w:eastAsia="Arial" w:hAnsi="Arial"/>
                <w:sz w:val="15"/>
                <w:szCs w:val="15"/>
                <w:color w:val="auto"/>
              </w:rPr>
              <w:t> </w:t>
            </w:r>
          </w:p>
        </w:tc>
        <w:tc>
          <w:tcPr>
            <w:tcW w:w="1280" w:type="dxa"/>
            <w:vAlign w:val="bottom"/>
          </w:tcPr>
          <w:p>
            <w:pPr>
              <w:ind w:left="140"/>
              <w:spacing w:after="0"/>
              <w:rPr>
                <w:sz w:val="20"/>
                <w:szCs w:val="20"/>
                <w:color w:val="auto"/>
              </w:rPr>
            </w:pPr>
            <w:r>
              <w:rPr>
                <w:rFonts w:ascii="Arial" w:cs="Arial" w:eastAsia="Arial" w:hAnsi="Arial"/>
                <w:sz w:val="12"/>
                <w:szCs w:val="12"/>
                <w:color w:val="FFFFFF"/>
              </w:rPr>
              <w:t>General</w:t>
            </w:r>
          </w:p>
        </w:tc>
        <w:tc>
          <w:tcPr>
            <w:tcW w:w="440" w:type="dxa"/>
            <w:vAlign w:val="bottom"/>
          </w:tcPr>
          <w:p>
            <w:pPr>
              <w:ind w:left="80"/>
              <w:spacing w:after="0"/>
              <w:rPr>
                <w:sz w:val="20"/>
                <w:szCs w:val="20"/>
                <w:color w:val="auto"/>
              </w:rPr>
            </w:pPr>
            <w:r>
              <w:rPr>
                <w:rFonts w:ascii="Arial" w:cs="Arial" w:eastAsia="Arial" w:hAnsi="Arial"/>
                <w:sz w:val="15"/>
                <w:szCs w:val="15"/>
                <w:color w:val="auto"/>
              </w:rPr>
              <w:t xml:space="preserve">       </w:t>
            </w:r>
          </w:p>
        </w:tc>
      </w:tr>
      <w:tr>
        <w:trPr>
          <w:trHeight w:val="158"/>
        </w:trPr>
        <w:tc>
          <w:tcPr>
            <w:tcW w:w="200" w:type="dxa"/>
            <w:vAlign w:val="bottom"/>
          </w:tcPr>
          <w:p>
            <w:pPr>
              <w:spacing w:after="0"/>
              <w:rPr>
                <w:sz w:val="13"/>
                <w:szCs w:val="13"/>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Information</w:t>
            </w:r>
          </w:p>
        </w:tc>
        <w:tc>
          <w:tcPr>
            <w:tcW w:w="440" w:type="dxa"/>
            <w:vAlign w:val="bottom"/>
          </w:tcPr>
          <w:p>
            <w:pPr>
              <w:spacing w:after="0"/>
              <w:rPr>
                <w:sz w:val="13"/>
                <w:szCs w:val="13"/>
                <w:color w:val="auto"/>
              </w:rPr>
            </w:pPr>
          </w:p>
        </w:tc>
      </w:tr>
      <w:tr>
        <w:trPr>
          <w:trHeight w:val="233"/>
        </w:trPr>
        <w:tc>
          <w:tcPr>
            <w:tcW w:w="200" w:type="dxa"/>
            <w:vAlign w:val="bottom"/>
          </w:tcPr>
          <w:p>
            <w:pPr>
              <w:spacing w:after="0"/>
              <w:rPr>
                <w:sz w:val="20"/>
                <w:szCs w:val="20"/>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General Information</w:t>
            </w:r>
          </w:p>
        </w:tc>
        <w:tc>
          <w:tcPr>
            <w:tcW w:w="440" w:type="dxa"/>
            <w:vAlign w:val="bottom"/>
          </w:tcPr>
          <w:p>
            <w:pPr>
              <w:spacing w:after="0"/>
              <w:rPr>
                <w:sz w:val="20"/>
                <w:szCs w:val="20"/>
                <w:color w:val="auto"/>
              </w:rPr>
            </w:pPr>
          </w:p>
        </w:tc>
      </w:tr>
      <w:tr>
        <w:trPr>
          <w:trHeight w:val="128"/>
        </w:trPr>
        <w:tc>
          <w:tcPr>
            <w:tcW w:w="200" w:type="dxa"/>
            <w:vAlign w:val="bottom"/>
          </w:tcPr>
          <w:p>
            <w:pPr>
              <w:spacing w:after="0"/>
              <w:rPr>
                <w:sz w:val="11"/>
                <w:szCs w:val="11"/>
                <w:color w:val="auto"/>
              </w:rPr>
            </w:pPr>
          </w:p>
        </w:tc>
        <w:tc>
          <w:tcPr>
            <w:tcW w:w="1280" w:type="dxa"/>
            <w:vAlign w:val="bottom"/>
          </w:tcPr>
          <w:p>
            <w:pPr>
              <w:ind w:left="140"/>
              <w:spacing w:after="0" w:line="128" w:lineRule="exact"/>
              <w:rPr>
                <w:sz w:val="20"/>
                <w:szCs w:val="20"/>
                <w:color w:val="auto"/>
              </w:rPr>
            </w:pPr>
            <w:r>
              <w:rPr>
                <w:rFonts w:ascii="Arial" w:cs="Arial" w:eastAsia="Arial" w:hAnsi="Arial"/>
                <w:sz w:val="12"/>
                <w:szCs w:val="12"/>
                <w:color w:val="FFFFFF"/>
              </w:rPr>
              <w:t>About Corporate</w:t>
            </w:r>
          </w:p>
        </w:tc>
        <w:tc>
          <w:tcPr>
            <w:tcW w:w="440" w:type="dxa"/>
            <w:vAlign w:val="bottom"/>
          </w:tcPr>
          <w:p>
            <w:pPr>
              <w:spacing w:after="0"/>
              <w:rPr>
                <w:sz w:val="11"/>
                <w:szCs w:val="11"/>
                <w:color w:val="auto"/>
              </w:rPr>
            </w:pPr>
          </w:p>
        </w:tc>
      </w:tr>
      <w:tr>
        <w:trPr>
          <w:trHeight w:val="128"/>
        </w:trPr>
        <w:tc>
          <w:tcPr>
            <w:tcW w:w="200" w:type="dxa"/>
            <w:vAlign w:val="bottom"/>
          </w:tcPr>
          <w:p>
            <w:pPr>
              <w:spacing w:after="0"/>
              <w:rPr>
                <w:sz w:val="11"/>
                <w:szCs w:val="11"/>
                <w:color w:val="auto"/>
              </w:rPr>
            </w:pPr>
          </w:p>
        </w:tc>
        <w:tc>
          <w:tcPr>
            <w:tcW w:w="1280" w:type="dxa"/>
            <w:vAlign w:val="bottom"/>
          </w:tcPr>
          <w:p>
            <w:pPr>
              <w:ind w:left="140"/>
              <w:spacing w:after="0" w:line="128" w:lineRule="exact"/>
              <w:rPr>
                <w:sz w:val="20"/>
                <w:szCs w:val="20"/>
                <w:color w:val="auto"/>
              </w:rPr>
            </w:pPr>
            <w:r>
              <w:rPr>
                <w:rFonts w:ascii="Arial" w:cs="Arial" w:eastAsia="Arial" w:hAnsi="Arial"/>
                <w:sz w:val="12"/>
                <w:szCs w:val="12"/>
                <w:color w:val="FFFFFF"/>
              </w:rPr>
              <w:t>Governance</w:t>
            </w:r>
          </w:p>
        </w:tc>
        <w:tc>
          <w:tcPr>
            <w:tcW w:w="440" w:type="dxa"/>
            <w:vAlign w:val="bottom"/>
          </w:tcPr>
          <w:p>
            <w:pPr>
              <w:spacing w:after="0"/>
              <w:rPr>
                <w:sz w:val="11"/>
                <w:szCs w:val="11"/>
                <w:color w:val="auto"/>
              </w:rPr>
            </w:pPr>
          </w:p>
        </w:tc>
      </w:tr>
      <w:tr>
        <w:trPr>
          <w:trHeight w:val="128"/>
        </w:trPr>
        <w:tc>
          <w:tcPr>
            <w:tcW w:w="200" w:type="dxa"/>
            <w:vAlign w:val="bottom"/>
          </w:tcPr>
          <w:p>
            <w:pPr>
              <w:spacing w:after="0"/>
              <w:rPr>
                <w:sz w:val="11"/>
                <w:szCs w:val="11"/>
                <w:color w:val="auto"/>
              </w:rPr>
            </w:pPr>
          </w:p>
        </w:tc>
        <w:tc>
          <w:tcPr>
            <w:tcW w:w="1280" w:type="dxa"/>
            <w:vAlign w:val="bottom"/>
          </w:tcPr>
          <w:p>
            <w:pPr>
              <w:ind w:left="140"/>
              <w:spacing w:after="0" w:line="128" w:lineRule="exact"/>
              <w:rPr>
                <w:sz w:val="20"/>
                <w:szCs w:val="20"/>
                <w:color w:val="auto"/>
              </w:rPr>
            </w:pPr>
            <w:r>
              <w:rPr>
                <w:rFonts w:ascii="Arial" w:cs="Arial" w:eastAsia="Arial" w:hAnsi="Arial"/>
                <w:sz w:val="12"/>
                <w:szCs w:val="12"/>
                <w:color w:val="FFFFFF"/>
              </w:rPr>
              <w:t>and the Board of</w:t>
            </w:r>
          </w:p>
        </w:tc>
        <w:tc>
          <w:tcPr>
            <w:tcW w:w="440" w:type="dxa"/>
            <w:vAlign w:val="bottom"/>
          </w:tcPr>
          <w:p>
            <w:pPr>
              <w:spacing w:after="0"/>
              <w:rPr>
                <w:sz w:val="11"/>
                <w:szCs w:val="11"/>
                <w:color w:val="auto"/>
              </w:rPr>
            </w:pPr>
          </w:p>
        </w:tc>
      </w:tr>
      <w:tr>
        <w:trPr>
          <w:trHeight w:val="158"/>
        </w:trPr>
        <w:tc>
          <w:tcPr>
            <w:tcW w:w="200" w:type="dxa"/>
            <w:vAlign w:val="bottom"/>
          </w:tcPr>
          <w:p>
            <w:pPr>
              <w:spacing w:after="0"/>
              <w:rPr>
                <w:sz w:val="13"/>
                <w:szCs w:val="13"/>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Directors</w:t>
            </w:r>
          </w:p>
        </w:tc>
        <w:tc>
          <w:tcPr>
            <w:tcW w:w="440" w:type="dxa"/>
            <w:vAlign w:val="bottom"/>
          </w:tcPr>
          <w:p>
            <w:pPr>
              <w:spacing w:after="0"/>
              <w:rPr>
                <w:sz w:val="13"/>
                <w:szCs w:val="13"/>
                <w:color w:val="auto"/>
              </w:rPr>
            </w:pPr>
          </w:p>
        </w:tc>
      </w:tr>
      <w:tr>
        <w:trPr>
          <w:trHeight w:val="294"/>
        </w:trPr>
        <w:tc>
          <w:tcPr>
            <w:tcW w:w="200" w:type="dxa"/>
            <w:vAlign w:val="bottom"/>
          </w:tcPr>
          <w:p>
            <w:pPr>
              <w:spacing w:after="0"/>
              <w:rPr>
                <w:sz w:val="24"/>
                <w:szCs w:val="24"/>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Proposal 1</w:t>
            </w:r>
          </w:p>
        </w:tc>
        <w:tc>
          <w:tcPr>
            <w:tcW w:w="440" w:type="dxa"/>
            <w:vAlign w:val="bottom"/>
          </w:tcPr>
          <w:p>
            <w:pPr>
              <w:spacing w:after="0"/>
              <w:rPr>
                <w:sz w:val="24"/>
                <w:szCs w:val="24"/>
                <w:color w:val="auto"/>
              </w:rPr>
            </w:pPr>
          </w:p>
        </w:tc>
      </w:tr>
      <w:tr>
        <w:trPr>
          <w:trHeight w:val="263"/>
        </w:trPr>
        <w:tc>
          <w:tcPr>
            <w:tcW w:w="200" w:type="dxa"/>
            <w:vAlign w:val="bottom"/>
          </w:tcPr>
          <w:p>
            <w:pPr>
              <w:spacing w:after="0"/>
              <w:rPr>
                <w:sz w:val="22"/>
                <w:szCs w:val="22"/>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Information</w:t>
            </w:r>
          </w:p>
        </w:tc>
        <w:tc>
          <w:tcPr>
            <w:tcW w:w="440" w:type="dxa"/>
            <w:vAlign w:val="bottom"/>
          </w:tcPr>
          <w:p>
            <w:pPr>
              <w:spacing w:after="0"/>
              <w:rPr>
                <w:sz w:val="22"/>
                <w:szCs w:val="22"/>
                <w:color w:val="auto"/>
              </w:rPr>
            </w:pPr>
          </w:p>
        </w:tc>
      </w:tr>
      <w:tr>
        <w:trPr>
          <w:trHeight w:val="128"/>
        </w:trPr>
        <w:tc>
          <w:tcPr>
            <w:tcW w:w="200" w:type="dxa"/>
            <w:vAlign w:val="bottom"/>
          </w:tcPr>
          <w:p>
            <w:pPr>
              <w:spacing w:after="0"/>
              <w:rPr>
                <w:sz w:val="11"/>
                <w:szCs w:val="11"/>
                <w:color w:val="auto"/>
              </w:rPr>
            </w:pPr>
          </w:p>
        </w:tc>
        <w:tc>
          <w:tcPr>
            <w:tcW w:w="1280" w:type="dxa"/>
            <w:vAlign w:val="bottom"/>
          </w:tcPr>
          <w:p>
            <w:pPr>
              <w:ind w:left="140"/>
              <w:spacing w:after="0" w:line="128" w:lineRule="exact"/>
              <w:rPr>
                <w:sz w:val="20"/>
                <w:szCs w:val="20"/>
                <w:color w:val="auto"/>
              </w:rPr>
            </w:pPr>
            <w:r>
              <w:rPr>
                <w:rFonts w:ascii="Arial" w:cs="Arial" w:eastAsia="Arial" w:hAnsi="Arial"/>
                <w:sz w:val="12"/>
                <w:szCs w:val="12"/>
                <w:color w:val="FFFFFF"/>
              </w:rPr>
              <w:t>Regarding Board</w:t>
            </w:r>
          </w:p>
        </w:tc>
        <w:tc>
          <w:tcPr>
            <w:tcW w:w="440" w:type="dxa"/>
            <w:vAlign w:val="bottom"/>
          </w:tcPr>
          <w:p>
            <w:pPr>
              <w:spacing w:after="0"/>
              <w:rPr>
                <w:sz w:val="11"/>
                <w:szCs w:val="11"/>
                <w:color w:val="auto"/>
              </w:rPr>
            </w:pPr>
          </w:p>
        </w:tc>
      </w:tr>
      <w:tr>
        <w:trPr>
          <w:trHeight w:val="128"/>
        </w:trPr>
        <w:tc>
          <w:tcPr>
            <w:tcW w:w="200" w:type="dxa"/>
            <w:vAlign w:val="bottom"/>
          </w:tcPr>
          <w:p>
            <w:pPr>
              <w:spacing w:after="0"/>
              <w:rPr>
                <w:sz w:val="11"/>
                <w:szCs w:val="11"/>
                <w:color w:val="auto"/>
              </w:rPr>
            </w:pPr>
          </w:p>
        </w:tc>
        <w:tc>
          <w:tcPr>
            <w:tcW w:w="1280" w:type="dxa"/>
            <w:vAlign w:val="bottom"/>
          </w:tcPr>
          <w:p>
            <w:pPr>
              <w:ind w:left="140"/>
              <w:spacing w:after="0" w:line="128" w:lineRule="exact"/>
              <w:rPr>
                <w:sz w:val="20"/>
                <w:szCs w:val="20"/>
                <w:color w:val="auto"/>
              </w:rPr>
            </w:pPr>
            <w:r>
              <w:rPr>
                <w:rFonts w:ascii="Arial" w:cs="Arial" w:eastAsia="Arial" w:hAnsi="Arial"/>
                <w:sz w:val="12"/>
                <w:szCs w:val="12"/>
                <w:color w:val="FFFFFF"/>
              </w:rPr>
              <w:t>and Committee</w:t>
            </w:r>
          </w:p>
        </w:tc>
        <w:tc>
          <w:tcPr>
            <w:tcW w:w="440" w:type="dxa"/>
            <w:vAlign w:val="bottom"/>
          </w:tcPr>
          <w:p>
            <w:pPr>
              <w:spacing w:after="0"/>
              <w:rPr>
                <w:sz w:val="11"/>
                <w:szCs w:val="11"/>
                <w:color w:val="auto"/>
              </w:rPr>
            </w:pPr>
          </w:p>
        </w:tc>
      </w:tr>
      <w:tr>
        <w:trPr>
          <w:trHeight w:val="158"/>
        </w:trPr>
        <w:tc>
          <w:tcPr>
            <w:tcW w:w="200" w:type="dxa"/>
            <w:vAlign w:val="bottom"/>
          </w:tcPr>
          <w:p>
            <w:pPr>
              <w:spacing w:after="0"/>
              <w:rPr>
                <w:sz w:val="13"/>
                <w:szCs w:val="13"/>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Structure</w:t>
            </w:r>
          </w:p>
        </w:tc>
        <w:tc>
          <w:tcPr>
            <w:tcW w:w="440" w:type="dxa"/>
            <w:vAlign w:val="bottom"/>
          </w:tcPr>
          <w:p>
            <w:pPr>
              <w:spacing w:after="0"/>
              <w:rPr>
                <w:sz w:val="13"/>
                <w:szCs w:val="13"/>
                <w:color w:val="auto"/>
              </w:rPr>
            </w:pPr>
          </w:p>
        </w:tc>
      </w:tr>
      <w:tr>
        <w:trPr>
          <w:trHeight w:val="263"/>
        </w:trPr>
        <w:tc>
          <w:tcPr>
            <w:tcW w:w="200" w:type="dxa"/>
            <w:vAlign w:val="bottom"/>
          </w:tcPr>
          <w:p>
            <w:pPr>
              <w:spacing w:after="0"/>
              <w:rPr>
                <w:sz w:val="22"/>
                <w:szCs w:val="22"/>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Board of Directors</w:t>
            </w:r>
          </w:p>
        </w:tc>
        <w:tc>
          <w:tcPr>
            <w:tcW w:w="440" w:type="dxa"/>
            <w:vAlign w:val="bottom"/>
          </w:tcPr>
          <w:p>
            <w:pPr>
              <w:spacing w:after="0"/>
              <w:rPr>
                <w:sz w:val="22"/>
                <w:szCs w:val="22"/>
                <w:color w:val="auto"/>
              </w:rPr>
            </w:pPr>
          </w:p>
        </w:tc>
      </w:tr>
      <w:tr>
        <w:trPr>
          <w:trHeight w:val="158"/>
        </w:trPr>
        <w:tc>
          <w:tcPr>
            <w:tcW w:w="200" w:type="dxa"/>
            <w:vAlign w:val="bottom"/>
          </w:tcPr>
          <w:p>
            <w:pPr>
              <w:spacing w:after="0"/>
              <w:rPr>
                <w:sz w:val="13"/>
                <w:szCs w:val="13"/>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Compensation</w:t>
            </w:r>
          </w:p>
        </w:tc>
        <w:tc>
          <w:tcPr>
            <w:tcW w:w="440" w:type="dxa"/>
            <w:vAlign w:val="bottom"/>
          </w:tcPr>
          <w:p>
            <w:pPr>
              <w:spacing w:after="0"/>
              <w:rPr>
                <w:sz w:val="13"/>
                <w:szCs w:val="13"/>
                <w:color w:val="auto"/>
              </w:rPr>
            </w:pPr>
          </w:p>
        </w:tc>
      </w:tr>
    </w:tbl>
    <w:p>
      <w:pPr>
        <w:spacing w:after="0" w:line="135" w:lineRule="exact"/>
        <w:rPr>
          <w:sz w:val="20"/>
          <w:szCs w:val="20"/>
          <w:color w:val="auto"/>
        </w:rPr>
      </w:pPr>
    </w:p>
    <w:p>
      <w:pPr>
        <w:ind w:left="200"/>
        <w:spacing w:after="0"/>
        <w:rPr>
          <w:sz w:val="20"/>
          <w:szCs w:val="20"/>
          <w:color w:val="auto"/>
        </w:rPr>
      </w:pPr>
      <w:r>
        <w:rPr>
          <w:sz w:val="1"/>
          <w:szCs w:val="1"/>
          <w:color w:val="auto"/>
        </w:rPr>
        <w:drawing>
          <wp:inline distT="0" distB="0" distL="0" distR="0">
            <wp:extent cx="48895" cy="73025"/>
            <wp:effectExtent l="0" t="0" r="0" b="0"/>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48895" cy="73025"/>
                    </a:xfrm>
                    <a:prstGeom prst="rect">
                      <a:avLst/>
                    </a:prstGeom>
                    <a:noFill/>
                    <a:ln>
                      <a:noFill/>
                    </a:ln>
                  </pic:spPr>
                </pic:pic>
              </a:graphicData>
            </a:graphic>
          </wp:inline>
        </w:drawing>
      </w:r>
      <w:r>
        <w:rPr>
          <w:rFonts w:ascii="Arial" w:cs="Arial" w:eastAsia="Arial" w:hAnsi="Arial"/>
          <w:sz w:val="12"/>
          <w:szCs w:val="12"/>
          <w:b w:val="1"/>
          <w:bCs w:val="1"/>
          <w:color w:val="FFFFFF"/>
        </w:rPr>
        <w:t xml:space="preserve"> Compensation</w:t>
      </w:r>
    </w:p>
    <w:p>
      <w:pPr>
        <w:ind w:left="340"/>
        <w:spacing w:after="0" w:line="221" w:lineRule="auto"/>
        <w:rPr>
          <w:sz w:val="20"/>
          <w:szCs w:val="20"/>
          <w:color w:val="auto"/>
        </w:rPr>
      </w:pPr>
      <w:r>
        <w:rPr>
          <w:rFonts w:ascii="Arial" w:cs="Arial" w:eastAsia="Arial" w:hAnsi="Arial"/>
          <w:sz w:val="12"/>
          <w:szCs w:val="12"/>
          <w:b w:val="1"/>
          <w:bCs w:val="1"/>
          <w:color w:val="FFFFFF"/>
        </w:rPr>
        <w:t>Discussion and</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12"/>
          <w:szCs w:val="12"/>
          <w:b w:val="1"/>
          <w:bCs w:val="1"/>
          <w:color w:val="FFFFFF"/>
        </w:rPr>
        <w:t>Analysis</w:t>
      </w:r>
    </w:p>
    <w:p>
      <w:pPr>
        <w:spacing w:after="0" w:line="144" w:lineRule="exact"/>
        <w:rPr>
          <w:sz w:val="20"/>
          <w:szCs w:val="20"/>
          <w:color w:val="auto"/>
        </w:rPr>
      </w:pPr>
    </w:p>
    <w:p>
      <w:pPr>
        <w:ind w:left="340"/>
        <w:spacing w:after="0"/>
        <w:rPr>
          <w:sz w:val="20"/>
          <w:szCs w:val="20"/>
          <w:color w:val="auto"/>
        </w:rPr>
      </w:pPr>
      <w:r>
        <w:rPr>
          <w:rFonts w:ascii="Arial" w:cs="Arial" w:eastAsia="Arial" w:hAnsi="Arial"/>
          <w:sz w:val="12"/>
          <w:szCs w:val="12"/>
          <w:color w:val="FFFFFF"/>
        </w:rPr>
        <w:t>Report of the</w:t>
      </w:r>
    </w:p>
    <w:p>
      <w:pPr>
        <w:ind w:left="340"/>
        <w:spacing w:after="0" w:line="224" w:lineRule="auto"/>
        <w:rPr>
          <w:sz w:val="20"/>
          <w:szCs w:val="20"/>
          <w:color w:val="auto"/>
        </w:rPr>
      </w:pPr>
      <w:r>
        <w:rPr>
          <w:rFonts w:ascii="Arial" w:cs="Arial" w:eastAsia="Arial" w:hAnsi="Arial"/>
          <w:sz w:val="12"/>
          <w:szCs w:val="12"/>
          <w:color w:val="FFFFFF"/>
        </w:rPr>
        <w:t>Compensation</w:t>
      </w:r>
    </w:p>
    <w:p>
      <w:pPr>
        <w:ind w:left="340"/>
        <w:spacing w:after="0" w:line="222" w:lineRule="auto"/>
        <w:rPr>
          <w:sz w:val="20"/>
          <w:szCs w:val="20"/>
          <w:color w:val="auto"/>
        </w:rPr>
      </w:pPr>
      <w:r>
        <w:rPr>
          <w:rFonts w:ascii="Arial" w:cs="Arial" w:eastAsia="Arial" w:hAnsi="Arial"/>
          <w:sz w:val="12"/>
          <w:szCs w:val="12"/>
          <w:color w:val="FFFFFF"/>
        </w:rPr>
        <w:t>and Human</w:t>
      </w:r>
    </w:p>
    <w:p>
      <w:pPr>
        <w:ind w:left="340"/>
        <w:spacing w:after="0" w:line="222" w:lineRule="auto"/>
        <w:rPr>
          <w:sz w:val="20"/>
          <w:szCs w:val="20"/>
          <w:color w:val="auto"/>
        </w:rPr>
      </w:pPr>
      <w:r>
        <w:rPr>
          <w:rFonts w:ascii="Arial" w:cs="Arial" w:eastAsia="Arial" w:hAnsi="Arial"/>
          <w:sz w:val="12"/>
          <w:szCs w:val="12"/>
          <w:color w:val="FFFFFF"/>
        </w:rPr>
        <w:t>Resources</w:t>
      </w:r>
    </w:p>
    <w:p>
      <w:pPr>
        <w:ind w:left="340"/>
        <w:spacing w:after="0" w:line="222" w:lineRule="auto"/>
        <w:rPr>
          <w:sz w:val="20"/>
          <w:szCs w:val="20"/>
          <w:color w:val="auto"/>
        </w:rPr>
      </w:pPr>
      <w:r>
        <w:rPr>
          <w:rFonts w:ascii="Arial" w:cs="Arial" w:eastAsia="Arial" w:hAnsi="Arial"/>
          <w:sz w:val="12"/>
          <w:szCs w:val="12"/>
          <w:color w:val="FFFFFF"/>
        </w:rPr>
        <w:t>Committee of the</w:t>
      </w:r>
    </w:p>
    <w:p>
      <w:pPr>
        <w:ind w:left="340"/>
        <w:spacing w:after="0"/>
        <w:rPr>
          <w:sz w:val="20"/>
          <w:szCs w:val="20"/>
          <w:color w:val="auto"/>
        </w:rPr>
      </w:pPr>
      <w:r>
        <w:rPr>
          <w:rFonts w:ascii="Arial" w:cs="Arial" w:eastAsia="Arial" w:hAnsi="Arial"/>
          <w:sz w:val="12"/>
          <w:szCs w:val="12"/>
          <w:color w:val="FFFFFF"/>
        </w:rPr>
        <w:t>Board of Directors</w:t>
      </w:r>
    </w:p>
    <w:p>
      <w:pPr>
        <w:spacing w:after="0" w:line="144" w:lineRule="exact"/>
        <w:rPr>
          <w:sz w:val="20"/>
          <w:szCs w:val="20"/>
          <w:color w:val="auto"/>
        </w:rPr>
      </w:pPr>
    </w:p>
    <w:p>
      <w:pPr>
        <w:ind w:left="340"/>
        <w:spacing w:after="0"/>
        <w:rPr>
          <w:sz w:val="20"/>
          <w:szCs w:val="20"/>
          <w:color w:val="auto"/>
        </w:rPr>
      </w:pPr>
      <w:r>
        <w:rPr>
          <w:rFonts w:ascii="Arial" w:cs="Arial" w:eastAsia="Arial" w:hAnsi="Arial"/>
          <w:sz w:val="12"/>
          <w:szCs w:val="12"/>
          <w:color w:val="FFFFFF"/>
        </w:rPr>
        <w:t>Compensation of</w:t>
      </w:r>
    </w:p>
    <w:p>
      <w:pPr>
        <w:ind w:left="340"/>
        <w:spacing w:after="0" w:line="224" w:lineRule="auto"/>
        <w:rPr>
          <w:sz w:val="20"/>
          <w:szCs w:val="20"/>
          <w:color w:val="auto"/>
        </w:rPr>
      </w:pPr>
      <w:r>
        <w:rPr>
          <w:rFonts w:ascii="Arial" w:cs="Arial" w:eastAsia="Arial" w:hAnsi="Arial"/>
          <w:sz w:val="12"/>
          <w:szCs w:val="12"/>
          <w:color w:val="FFFFFF"/>
        </w:rPr>
        <w:t>Named Executive</w:t>
      </w:r>
    </w:p>
    <w:p>
      <w:pPr>
        <w:ind w:left="340"/>
        <w:spacing w:after="0"/>
        <w:rPr>
          <w:sz w:val="20"/>
          <w:szCs w:val="20"/>
          <w:color w:val="auto"/>
        </w:rPr>
      </w:pPr>
      <w:r>
        <w:rPr>
          <w:rFonts w:ascii="Arial" w:cs="Arial" w:eastAsia="Arial" w:hAnsi="Arial"/>
          <w:sz w:val="12"/>
          <w:szCs w:val="12"/>
          <w:color w:val="FFFFFF"/>
        </w:rPr>
        <w:t>Officers</w:t>
      </w:r>
    </w:p>
    <w:p>
      <w:pPr>
        <w:spacing w:after="0" w:line="144" w:lineRule="exact"/>
        <w:rPr>
          <w:sz w:val="20"/>
          <w:szCs w:val="20"/>
          <w:color w:val="auto"/>
        </w:rPr>
      </w:pPr>
    </w:p>
    <w:p>
      <w:pPr>
        <w:ind w:left="340"/>
        <w:spacing w:after="0"/>
        <w:rPr>
          <w:sz w:val="20"/>
          <w:szCs w:val="20"/>
          <w:color w:val="auto"/>
        </w:rPr>
      </w:pPr>
      <w:r>
        <w:rPr>
          <w:rFonts w:ascii="Arial" w:cs="Arial" w:eastAsia="Arial" w:hAnsi="Arial"/>
          <w:sz w:val="12"/>
          <w:szCs w:val="12"/>
          <w:color w:val="FFFFFF"/>
        </w:rPr>
        <w:t>Pay Versus</w:t>
      </w:r>
    </w:p>
    <w:p>
      <w:pPr>
        <w:ind w:left="340"/>
        <w:spacing w:after="0" w:line="224" w:lineRule="auto"/>
        <w:rPr>
          <w:sz w:val="20"/>
          <w:szCs w:val="20"/>
          <w:color w:val="auto"/>
        </w:rPr>
      </w:pPr>
      <w:r>
        <w:rPr>
          <w:rFonts w:ascii="Arial" w:cs="Arial" w:eastAsia="Arial" w:hAnsi="Arial"/>
          <w:sz w:val="12"/>
          <w:szCs w:val="12"/>
          <w:color w:val="FFFFFF"/>
        </w:rPr>
        <w:t>Performance</w:t>
      </w:r>
    </w:p>
    <w:p>
      <w:pPr>
        <w:ind w:left="340"/>
        <w:spacing w:after="0"/>
        <w:rPr>
          <w:sz w:val="20"/>
          <w:szCs w:val="20"/>
          <w:color w:val="auto"/>
        </w:rPr>
      </w:pPr>
      <w:r>
        <w:rPr>
          <w:rFonts w:ascii="Arial" w:cs="Arial" w:eastAsia="Arial" w:hAnsi="Arial"/>
          <w:sz w:val="12"/>
          <w:szCs w:val="12"/>
          <w:color w:val="FFFFFF"/>
        </w:rPr>
        <w:t>Disclosure</w:t>
      </w:r>
    </w:p>
    <w:p>
      <w:pPr>
        <w:spacing w:after="0" w:line="144" w:lineRule="exact"/>
        <w:rPr>
          <w:sz w:val="20"/>
          <w:szCs w:val="20"/>
          <w:color w:val="auto"/>
        </w:rPr>
      </w:pPr>
    </w:p>
    <w:p>
      <w:pPr>
        <w:ind w:left="340"/>
        <w:spacing w:after="0"/>
        <w:rPr>
          <w:sz w:val="20"/>
          <w:szCs w:val="20"/>
          <w:color w:val="auto"/>
        </w:rPr>
      </w:pPr>
      <w:r>
        <w:rPr>
          <w:rFonts w:ascii="Arial" w:cs="Arial" w:eastAsia="Arial" w:hAnsi="Arial"/>
          <w:sz w:val="12"/>
          <w:szCs w:val="12"/>
          <w:color w:val="FFFFFF"/>
        </w:rPr>
        <w:t>Security</w:t>
      </w:r>
    </w:p>
    <w:p>
      <w:pPr>
        <w:ind w:left="340"/>
        <w:spacing w:after="0" w:line="224" w:lineRule="auto"/>
        <w:rPr>
          <w:sz w:val="20"/>
          <w:szCs w:val="20"/>
          <w:color w:val="auto"/>
        </w:rPr>
      </w:pPr>
      <w:r>
        <w:rPr>
          <w:rFonts w:ascii="Arial" w:cs="Arial" w:eastAsia="Arial" w:hAnsi="Arial"/>
          <w:sz w:val="12"/>
          <w:szCs w:val="12"/>
          <w:color w:val="FFFFFF"/>
        </w:rPr>
        <w:t>Ownership of</w:t>
      </w:r>
    </w:p>
    <w:p>
      <w:pPr>
        <w:ind w:left="340"/>
        <w:spacing w:after="0" w:line="222" w:lineRule="auto"/>
        <w:rPr>
          <w:sz w:val="20"/>
          <w:szCs w:val="20"/>
          <w:color w:val="auto"/>
        </w:rPr>
      </w:pPr>
      <w:r>
        <w:rPr>
          <w:rFonts w:ascii="Arial" w:cs="Arial" w:eastAsia="Arial" w:hAnsi="Arial"/>
          <w:sz w:val="12"/>
          <w:szCs w:val="12"/>
          <w:color w:val="FFFFFF"/>
        </w:rPr>
        <w:t>Certain Beneficial</w:t>
      </w:r>
    </w:p>
    <w:p>
      <w:pPr>
        <w:ind w:left="340"/>
        <w:spacing w:after="0" w:line="222" w:lineRule="auto"/>
        <w:rPr>
          <w:sz w:val="20"/>
          <w:szCs w:val="20"/>
          <w:color w:val="auto"/>
        </w:rPr>
      </w:pPr>
      <w:r>
        <w:rPr>
          <w:rFonts w:ascii="Arial" w:cs="Arial" w:eastAsia="Arial" w:hAnsi="Arial"/>
          <w:sz w:val="12"/>
          <w:szCs w:val="12"/>
          <w:color w:val="FFFFFF"/>
        </w:rPr>
        <w:t>Owners and</w:t>
      </w:r>
    </w:p>
    <w:p>
      <w:pPr>
        <w:ind w:left="340"/>
        <w:spacing w:after="0"/>
        <w:rPr>
          <w:sz w:val="20"/>
          <w:szCs w:val="20"/>
          <w:color w:val="auto"/>
        </w:rPr>
      </w:pPr>
      <w:r>
        <w:rPr>
          <w:rFonts w:ascii="Arial" w:cs="Arial" w:eastAsia="Arial" w:hAnsi="Arial"/>
          <w:sz w:val="12"/>
          <w:szCs w:val="12"/>
          <w:color w:val="FFFFFF"/>
        </w:rPr>
        <w:t>Management</w:t>
      </w:r>
    </w:p>
    <w:p>
      <w:pPr>
        <w:spacing w:after="0" w:line="30" w:lineRule="exact"/>
        <w:rPr>
          <w:sz w:val="20"/>
          <w:szCs w:val="20"/>
          <w:color w:val="auto"/>
        </w:rPr>
      </w:pPr>
    </w:p>
    <w:p>
      <w:pPr>
        <w:sectPr>
          <w:pgSz w:w="11900" w:h="16838" w:orient="portrait"/>
          <w:cols w:equalWidth="0" w:num="2">
            <w:col w:w="8160" w:space="720"/>
            <w:col w:w="1920"/>
          </w:cols>
          <w:pgMar w:left="320" w:top="464" w:right="779" w:bottom="1440" w:gutter="0" w:footer="0" w:header="0"/>
          <w:type w:val="continuous"/>
        </w:sectPr>
      </w:pPr>
    </w:p>
    <w:p>
      <w:pPr>
        <w:jc w:val="center"/>
        <w:ind w:left="4480"/>
        <w:spacing w:after="0"/>
        <w:rPr>
          <w:sz w:val="20"/>
          <w:szCs w:val="20"/>
          <w:color w:val="auto"/>
        </w:rPr>
      </w:pPr>
      <w:r>
        <w:rPr>
          <w:rFonts w:ascii="Arial" w:cs="Arial" w:eastAsia="Arial" w:hAnsi="Arial"/>
          <w:sz w:val="17"/>
          <w:szCs w:val="17"/>
          <w:b w:val="1"/>
          <w:bCs w:val="1"/>
          <w:color w:val="002B5F"/>
        </w:rPr>
        <w:t>Adjusted EBITDA</w:t>
      </w:r>
    </w:p>
    <w:p>
      <w:pPr>
        <w:spacing w:after="0" w:line="12" w:lineRule="exact"/>
        <w:rPr>
          <w:sz w:val="20"/>
          <w:szCs w:val="20"/>
          <w:color w:val="auto"/>
        </w:rPr>
      </w:pPr>
    </w:p>
    <w:p>
      <w:pPr>
        <w:jc w:val="center"/>
        <w:ind w:left="4480"/>
        <w:spacing w:after="0"/>
        <w:rPr>
          <w:sz w:val="20"/>
          <w:szCs w:val="20"/>
          <w:color w:val="auto"/>
        </w:rPr>
      </w:pPr>
      <w:r>
        <w:rPr>
          <w:rFonts w:ascii="Arial" w:cs="Arial" w:eastAsia="Arial" w:hAnsi="Arial"/>
          <w:sz w:val="17"/>
          <w:szCs w:val="17"/>
          <w:b w:val="1"/>
          <w:bCs w:val="1"/>
          <w:color w:val="002B5F"/>
        </w:rPr>
        <w:t>($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3251200</wp:posOffset>
            </wp:positionH>
            <wp:positionV relativeFrom="paragraph">
              <wp:posOffset>71120</wp:posOffset>
            </wp:positionV>
            <wp:extent cx="1734185" cy="125603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734185" cy="1256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540" w:right="4200"/>
        <w:spacing w:after="0" w:line="258" w:lineRule="auto"/>
        <w:rPr>
          <w:sz w:val="20"/>
          <w:szCs w:val="20"/>
          <w:color w:val="auto"/>
        </w:rPr>
      </w:pPr>
      <w:r>
        <w:rPr>
          <w:rFonts w:ascii="Arial" w:cs="Arial" w:eastAsia="Arial" w:hAnsi="Arial"/>
          <w:sz w:val="15"/>
          <w:szCs w:val="15"/>
          <w:color w:val="auto"/>
        </w:rPr>
        <w:t>The increase in the Company’s gross profit during 2025 outpaced the increase in Core G&amp;A, leading to Adjusted EBITDA of $2.9 billion. This result reflected a 31% increase year-over-year and was above our 2025 performance target.</w:t>
      </w:r>
    </w:p>
    <w:p>
      <w:pPr>
        <w:spacing w:after="0" w:line="294" w:lineRule="exact"/>
        <w:rPr>
          <w:sz w:val="20"/>
          <w:szCs w:val="20"/>
          <w:color w:val="auto"/>
        </w:rPr>
      </w:pPr>
    </w:p>
    <w:p>
      <w:pPr>
        <w:jc w:val="center"/>
        <w:ind w:left="4480"/>
        <w:spacing w:after="0"/>
        <w:rPr>
          <w:sz w:val="20"/>
          <w:szCs w:val="20"/>
          <w:color w:val="auto"/>
        </w:rPr>
      </w:pPr>
      <w:r>
        <w:rPr>
          <w:rFonts w:ascii="Arial" w:cs="Arial" w:eastAsia="Arial" w:hAnsi="Arial"/>
          <w:sz w:val="16"/>
          <w:szCs w:val="16"/>
          <w:b w:val="1"/>
          <w:bCs w:val="1"/>
          <w:color w:val="002B5F"/>
        </w:rPr>
        <w:t>Capital Returned to Shareholders</w:t>
      </w:r>
    </w:p>
    <w:p>
      <w:pPr>
        <w:spacing w:after="0" w:line="23" w:lineRule="exact"/>
        <w:rPr>
          <w:sz w:val="20"/>
          <w:szCs w:val="20"/>
          <w:color w:val="auto"/>
        </w:rPr>
      </w:pPr>
    </w:p>
    <w:p>
      <w:pPr>
        <w:jc w:val="center"/>
        <w:ind w:left="4480"/>
        <w:spacing w:after="0"/>
        <w:rPr>
          <w:sz w:val="20"/>
          <w:szCs w:val="20"/>
          <w:color w:val="auto"/>
        </w:rPr>
      </w:pPr>
      <w:r>
        <w:rPr>
          <w:rFonts w:ascii="Arial" w:cs="Arial" w:eastAsia="Arial" w:hAnsi="Arial"/>
          <w:sz w:val="17"/>
          <w:szCs w:val="17"/>
          <w:b w:val="1"/>
          <w:bCs w:val="1"/>
          <w:color w:val="002B5F"/>
        </w:rPr>
        <w:t>($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3251200</wp:posOffset>
            </wp:positionH>
            <wp:positionV relativeFrom="paragraph">
              <wp:posOffset>71120</wp:posOffset>
            </wp:positionV>
            <wp:extent cx="1734185" cy="10375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734185" cy="1037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both"/>
        <w:ind w:left="540" w:right="4220"/>
        <w:spacing w:after="0" w:line="268" w:lineRule="auto"/>
        <w:rPr>
          <w:sz w:val="20"/>
          <w:szCs w:val="20"/>
          <w:color w:val="auto"/>
        </w:rPr>
      </w:pPr>
      <w:r>
        <w:rPr>
          <w:rFonts w:ascii="Arial" w:cs="Arial" w:eastAsia="Arial" w:hAnsi="Arial"/>
          <w:sz w:val="15"/>
          <w:szCs w:val="15"/>
          <w:color w:val="auto"/>
        </w:rPr>
        <w:t>$194 million of capital was returned to shareholders in 2025, through $94 million of dividends and $100 million of share repurchases.</w:t>
      </w:r>
    </w:p>
    <w:p>
      <w:pPr>
        <w:spacing w:after="0" w:line="20" w:lineRule="exact"/>
        <w:rPr>
          <w:sz w:val="20"/>
          <w:szCs w:val="20"/>
          <w:color w:val="auto"/>
        </w:rPr>
      </w:pPr>
      <w:r>
        <w:rPr>
          <w:sz w:val="20"/>
          <w:szCs w:val="20"/>
          <w:color w:val="auto"/>
        </w:rPr>
        <w:br w:type="column"/>
      </w:r>
    </w:p>
    <w:p>
      <w:pPr>
        <w:spacing w:after="0" w:line="94" w:lineRule="exact"/>
        <w:rPr>
          <w:sz w:val="20"/>
          <w:szCs w:val="20"/>
          <w:color w:val="auto"/>
        </w:rPr>
      </w:pPr>
    </w:p>
    <w:p>
      <w:pPr>
        <w:spacing w:after="0"/>
        <w:rPr>
          <w:sz w:val="20"/>
          <w:szCs w:val="20"/>
          <w:color w:val="auto"/>
        </w:rPr>
      </w:pPr>
      <w:r>
        <w:rPr>
          <w:rFonts w:ascii="Arial" w:cs="Arial" w:eastAsia="Arial" w:hAnsi="Arial"/>
          <w:sz w:val="12"/>
          <w:szCs w:val="12"/>
          <w:color w:val="FFFFFF"/>
        </w:rPr>
        <w:t>Certain</w:t>
      </w:r>
    </w:p>
    <w:p>
      <w:pPr>
        <w:spacing w:after="0" w:line="224" w:lineRule="auto"/>
        <w:rPr>
          <w:sz w:val="20"/>
          <w:szCs w:val="20"/>
          <w:color w:val="auto"/>
        </w:rPr>
      </w:pPr>
      <w:r>
        <w:rPr>
          <w:rFonts w:ascii="Arial" w:cs="Arial" w:eastAsia="Arial" w:hAnsi="Arial"/>
          <w:sz w:val="12"/>
          <w:szCs w:val="12"/>
          <w:color w:val="FFFFFF"/>
        </w:rPr>
        <w:t>Relationships and</w:t>
      </w:r>
    </w:p>
    <w:p>
      <w:pPr>
        <w:spacing w:after="0" w:line="222" w:lineRule="auto"/>
        <w:rPr>
          <w:sz w:val="20"/>
          <w:szCs w:val="20"/>
          <w:color w:val="auto"/>
        </w:rPr>
      </w:pPr>
      <w:r>
        <w:rPr>
          <w:rFonts w:ascii="Arial" w:cs="Arial" w:eastAsia="Arial" w:hAnsi="Arial"/>
          <w:sz w:val="12"/>
          <w:szCs w:val="12"/>
          <w:color w:val="FFFFFF"/>
        </w:rPr>
        <w:t>Related Party</w:t>
      </w:r>
    </w:p>
    <w:p>
      <w:pPr>
        <w:spacing w:after="0"/>
        <w:rPr>
          <w:sz w:val="20"/>
          <w:szCs w:val="20"/>
          <w:color w:val="auto"/>
        </w:rPr>
      </w:pPr>
      <w:r>
        <w:rPr>
          <w:rFonts w:ascii="Arial" w:cs="Arial" w:eastAsia="Arial" w:hAnsi="Arial"/>
          <w:sz w:val="12"/>
          <w:szCs w:val="12"/>
          <w:color w:val="FFFFFF"/>
        </w:rPr>
        <w:t>Transactions</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Proposal 2</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FFFFFF"/>
        </w:rPr>
        <w:t>Report of the</w:t>
      </w:r>
    </w:p>
    <w:p>
      <w:pPr>
        <w:spacing w:after="0" w:line="224" w:lineRule="auto"/>
        <w:rPr>
          <w:sz w:val="20"/>
          <w:szCs w:val="20"/>
          <w:color w:val="auto"/>
        </w:rPr>
      </w:pPr>
      <w:r>
        <w:rPr>
          <w:rFonts w:ascii="Arial" w:cs="Arial" w:eastAsia="Arial" w:hAnsi="Arial"/>
          <w:sz w:val="12"/>
          <w:szCs w:val="12"/>
          <w:color w:val="FFFFFF"/>
        </w:rPr>
        <w:t>Audit and Risk</w:t>
      </w:r>
    </w:p>
    <w:p>
      <w:pPr>
        <w:spacing w:after="0" w:line="222" w:lineRule="auto"/>
        <w:rPr>
          <w:sz w:val="20"/>
          <w:szCs w:val="20"/>
          <w:color w:val="auto"/>
        </w:rPr>
      </w:pPr>
      <w:r>
        <w:rPr>
          <w:rFonts w:ascii="Arial" w:cs="Arial" w:eastAsia="Arial" w:hAnsi="Arial"/>
          <w:sz w:val="12"/>
          <w:szCs w:val="12"/>
          <w:color w:val="FFFFFF"/>
        </w:rPr>
        <w:t>Committee of the</w:t>
      </w:r>
    </w:p>
    <w:p>
      <w:pPr>
        <w:spacing w:after="0"/>
        <w:rPr>
          <w:sz w:val="20"/>
          <w:szCs w:val="20"/>
          <w:color w:val="auto"/>
        </w:rPr>
      </w:pPr>
      <w:r>
        <w:rPr>
          <w:rFonts w:ascii="Arial" w:cs="Arial" w:eastAsia="Arial" w:hAnsi="Arial"/>
          <w:sz w:val="11"/>
          <w:szCs w:val="11"/>
          <w:color w:val="FFFFFF"/>
        </w:rPr>
        <w:t>Board of Directors</w:t>
      </w:r>
    </w:p>
    <w:p>
      <w:pPr>
        <w:spacing w:after="0" w:line="155" w:lineRule="exact"/>
        <w:rPr>
          <w:sz w:val="20"/>
          <w:szCs w:val="20"/>
          <w:color w:val="auto"/>
        </w:rPr>
      </w:pPr>
    </w:p>
    <w:p>
      <w:pPr>
        <w:spacing w:after="0"/>
        <w:rPr>
          <w:sz w:val="20"/>
          <w:szCs w:val="20"/>
          <w:color w:val="auto"/>
        </w:rPr>
      </w:pPr>
      <w:r>
        <w:rPr>
          <w:rFonts w:ascii="Arial" w:cs="Arial" w:eastAsia="Arial" w:hAnsi="Arial"/>
          <w:sz w:val="12"/>
          <w:szCs w:val="12"/>
          <w:color w:val="FFFFFF"/>
        </w:rPr>
        <w:t>Proposal 3</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FFFFFF"/>
        </w:rPr>
        <w:t>Proposal 4</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FFFFFF"/>
        </w:rPr>
        <w:t>Proposal 5</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FFFFFF"/>
        </w:rPr>
        <w:t>Proposal 6</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FFFFFF"/>
        </w:rPr>
        <w:t>Stockholder</w:t>
      </w:r>
    </w:p>
    <w:p>
      <w:pPr>
        <w:spacing w:after="0" w:line="224" w:lineRule="auto"/>
        <w:rPr>
          <w:sz w:val="20"/>
          <w:szCs w:val="20"/>
          <w:color w:val="auto"/>
        </w:rPr>
      </w:pPr>
      <w:r>
        <w:rPr>
          <w:rFonts w:ascii="Arial" w:cs="Arial" w:eastAsia="Arial" w:hAnsi="Arial"/>
          <w:sz w:val="12"/>
          <w:szCs w:val="12"/>
          <w:color w:val="FFFFFF"/>
        </w:rPr>
        <w:t>Proposals and</w:t>
      </w:r>
    </w:p>
    <w:p>
      <w:pPr>
        <w:spacing w:after="0"/>
        <w:rPr>
          <w:sz w:val="20"/>
          <w:szCs w:val="20"/>
          <w:color w:val="auto"/>
        </w:rPr>
      </w:pPr>
      <w:r>
        <w:rPr>
          <w:rFonts w:ascii="Arial" w:cs="Arial" w:eastAsia="Arial" w:hAnsi="Arial"/>
          <w:sz w:val="12"/>
          <w:szCs w:val="12"/>
          <w:color w:val="FFFFFF"/>
        </w:rPr>
        <w:t>Other Matters</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Delinquent</w:t>
      </w:r>
    </w:p>
    <w:p>
      <w:pPr>
        <w:spacing w:after="0" w:line="224" w:lineRule="auto"/>
        <w:rPr>
          <w:sz w:val="20"/>
          <w:szCs w:val="20"/>
          <w:color w:val="auto"/>
        </w:rPr>
      </w:pPr>
      <w:r>
        <w:rPr>
          <w:rFonts w:ascii="Arial" w:cs="Arial" w:eastAsia="Arial" w:hAnsi="Arial"/>
          <w:sz w:val="12"/>
          <w:szCs w:val="12"/>
          <w:color w:val="FFFFFF"/>
        </w:rPr>
        <w:t>Section 16(a)</w:t>
      </w:r>
    </w:p>
    <w:p>
      <w:pPr>
        <w:spacing w:after="0"/>
        <w:rPr>
          <w:sz w:val="20"/>
          <w:szCs w:val="20"/>
          <w:color w:val="auto"/>
        </w:rPr>
      </w:pPr>
      <w:r>
        <w:rPr>
          <w:rFonts w:ascii="Arial" w:cs="Arial" w:eastAsia="Arial" w:hAnsi="Arial"/>
          <w:sz w:val="12"/>
          <w:szCs w:val="12"/>
          <w:color w:val="FFFFFF"/>
        </w:rPr>
        <w:t>Reports</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Other</w:t>
      </w:r>
    </w:p>
    <w:p>
      <w:pPr>
        <w:spacing w:after="0" w:line="2" w:lineRule="exact"/>
        <w:rPr>
          <w:sz w:val="20"/>
          <w:szCs w:val="20"/>
          <w:color w:val="auto"/>
        </w:rPr>
      </w:pPr>
    </w:p>
    <w:p>
      <w:pPr>
        <w:spacing w:after="0"/>
        <w:rPr>
          <w:sz w:val="20"/>
          <w:szCs w:val="20"/>
          <w:color w:val="auto"/>
        </w:rPr>
      </w:pPr>
      <w:r>
        <w:rPr>
          <w:rFonts w:ascii="Arial" w:cs="Arial" w:eastAsia="Arial" w:hAnsi="Arial"/>
          <w:sz w:val="12"/>
          <w:szCs w:val="12"/>
          <w:color w:val="FFFFFF"/>
        </w:rPr>
        <w:t>Information</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Appendix A</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FFFFFF"/>
        </w:rPr>
        <w:t>Appendix B</w:t>
      </w:r>
    </w:p>
    <w:p>
      <w:pPr>
        <w:spacing w:after="0" w:line="200" w:lineRule="exact"/>
        <w:rPr>
          <w:sz w:val="20"/>
          <w:szCs w:val="20"/>
          <w:color w:val="auto"/>
        </w:rPr>
      </w:pPr>
    </w:p>
    <w:p>
      <w:pPr>
        <w:sectPr>
          <w:pgSz w:w="11900" w:h="16838" w:orient="portrait"/>
          <w:cols w:equalWidth="0" w:num="2">
            <w:col w:w="8500" w:space="720"/>
            <w:col w:w="1580"/>
          </w:cols>
          <w:pgMar w:left="320" w:top="464" w:right="7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6380"/>
        <w:spacing w:after="0"/>
        <w:tabs>
          <w:tab w:leader="none" w:pos="8500" w:val="left"/>
          <w:tab w:leader="none" w:pos="9960" w:val="left"/>
        </w:tabs>
        <w:rPr>
          <w:sz w:val="20"/>
          <w:szCs w:val="20"/>
          <w:color w:val="auto"/>
        </w:rPr>
      </w:pPr>
      <w:r>
        <w:rPr>
          <w:rFonts w:ascii="Arial" w:cs="Arial" w:eastAsia="Arial" w:hAnsi="Arial"/>
          <w:sz w:val="15"/>
          <w:szCs w:val="15"/>
          <w:b w:val="1"/>
          <w:bCs w:val="1"/>
          <w:color w:val="002B5F"/>
        </w:rPr>
        <w:t xml:space="preserve">2026 Proxy Statement  </w:t>
      </w:r>
      <w:r>
        <w:rPr>
          <w:rFonts w:ascii="Arial" w:cs="Arial" w:eastAsia="Arial" w:hAnsi="Arial"/>
          <w:sz w:val="20"/>
          <w:szCs w:val="20"/>
          <w:color w:val="002B5F"/>
        </w:rPr>
        <w:t>|</w:t>
      </w:r>
      <w:r>
        <w:rPr>
          <w:rFonts w:ascii="Arial" w:cs="Arial" w:eastAsia="Arial" w:hAnsi="Arial"/>
          <w:sz w:val="15"/>
          <w:szCs w:val="15"/>
          <w:b w:val="1"/>
          <w:bCs w:val="1"/>
          <w:color w:val="002B5F"/>
        </w:rPr>
        <w:t xml:space="preserve">  39</w:t>
      </w:r>
      <w:r>
        <w:rPr>
          <w:sz w:val="20"/>
          <w:szCs w:val="20"/>
          <w:color w:val="auto"/>
        </w:rPr>
        <w:tab/>
      </w:r>
      <w:r>
        <w:rPr>
          <w:rFonts w:ascii="Arial" w:cs="Arial" w:eastAsia="Arial" w:hAnsi="Arial"/>
          <w:sz w:val="17"/>
          <w:szCs w:val="17"/>
          <w:color w:val="auto"/>
        </w:rPr>
        <w:t xml:space="preserve">    </w:t>
      </w:r>
      <w:r>
        <w:rPr>
          <w:sz w:val="20"/>
          <w:szCs w:val="20"/>
          <w:color w:val="auto"/>
        </w:rPr>
        <w:tab/>
      </w:r>
      <w:r>
        <w:rPr>
          <w:rFonts w:ascii="Arial" w:cs="Arial" w:eastAsia="Arial" w:hAnsi="Arial"/>
          <w:sz w:val="17"/>
          <w:szCs w:val="17"/>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268605</wp:posOffset>
            </wp:positionH>
            <wp:positionV relativeFrom="paragraph">
              <wp:posOffset>-128905</wp:posOffset>
            </wp:positionV>
            <wp:extent cx="762000" cy="971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62000" cy="97155"/>
                    </a:xfrm>
                    <a:prstGeom prst="rect">
                      <a:avLst/>
                    </a:prstGeom>
                    <a:noFill/>
                  </pic:spPr>
                </pic:pic>
              </a:graphicData>
            </a:graphic>
          </wp:anchor>
        </w:drawing>
      </w:r>
    </w:p>
    <w:p>
      <w:pPr>
        <w:sectPr>
          <w:pgSz w:w="11900" w:h="16838" w:orient="portrait"/>
          <w:cols w:equalWidth="0" w:num="1">
            <w:col w:w="10800"/>
          </w:cols>
          <w:pgMar w:left="320" w:top="464" w:right="779" w:bottom="1440" w:gutter="0" w:footer="0" w:header="0"/>
          <w:type w:val="continuous"/>
        </w:sectPr>
      </w:pPr>
    </w:p>
    <w:bookmarkStart w:id="47" w:name="page48"/>
    <w:bookmarkEnd w:id="47"/>
    <w:p>
      <w:pPr>
        <w:spacing w:after="0"/>
        <w:rPr>
          <w:sz w:val="20"/>
          <w:szCs w:val="20"/>
          <w:color w:val="auto"/>
        </w:rPr>
      </w:pPr>
      <w:r>
        <w:rPr>
          <w:rFonts w:ascii="Times New Roman" w:cs="Times New Roman" w:eastAsia="Times New Roman" w:hAnsi="Times New Roman"/>
          <w:sz w:val="17"/>
          <w:szCs w:val="17"/>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268605</wp:posOffset>
            </wp:positionH>
            <wp:positionV relativeFrom="paragraph">
              <wp:posOffset>253365</wp:posOffset>
            </wp:positionV>
            <wp:extent cx="1183005" cy="745617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183005" cy="7456170"/>
                    </a:xfrm>
                    <a:prstGeom prst="rect">
                      <a:avLst/>
                    </a:prstGeom>
                    <a:noFill/>
                  </pic:spPr>
                </pic:pic>
              </a:graphicData>
            </a:graphic>
          </wp:anchor>
        </w:drawing>
      </w:r>
    </w:p>
    <w:p>
      <w:pPr>
        <w:spacing w:after="0" w:line="200" w:lineRule="exact"/>
        <w:rPr>
          <w:sz w:val="20"/>
          <w:szCs w:val="20"/>
          <w:color w:val="auto"/>
        </w:rPr>
      </w:pPr>
    </w:p>
    <w:p>
      <w:pPr>
        <w:spacing w:after="0" w:line="304" w:lineRule="exact"/>
        <w:rPr>
          <w:sz w:val="20"/>
          <w:szCs w:val="20"/>
          <w:color w:val="auto"/>
        </w:rPr>
      </w:pPr>
    </w:p>
    <w:p>
      <w:pPr>
        <w:ind w:left="1120" w:right="460" w:hanging="672"/>
        <w:spacing w:after="0" w:line="382" w:lineRule="auto"/>
        <w:tabs>
          <w:tab w:leader="none" w:pos="610" w:val="left"/>
        </w:tabs>
        <w:numPr>
          <w:ilvl w:val="0"/>
          <w:numId w:val="64"/>
        </w:numPr>
        <w:rPr>
          <w:rFonts w:ascii="Arial" w:cs="Arial" w:eastAsia="Arial" w:hAnsi="Arial"/>
          <w:sz w:val="24"/>
          <w:szCs w:val="24"/>
          <w:color w:val="auto"/>
          <w:vertAlign w:val="subscript"/>
        </w:rPr>
      </w:pPr>
      <w:r>
        <w:rPr>
          <w:rFonts w:ascii="Arial" w:cs="Arial" w:eastAsia="Arial" w:hAnsi="Arial"/>
          <w:sz w:val="24"/>
          <w:szCs w:val="24"/>
          <w:color w:val="000000"/>
          <w:vertAlign w:val="subscript"/>
        </w:rPr>
        <w:t xml:space="preserve">     </w:t>
      </w:r>
      <w:r>
        <w:rPr>
          <w:rFonts w:ascii="Arial" w:cs="Arial" w:eastAsia="Arial" w:hAnsi="Arial"/>
          <w:sz w:val="10"/>
          <w:szCs w:val="10"/>
          <w:color w:val="FFFFFF"/>
        </w:rPr>
        <w:t xml:space="preserve"> General Information</w:t>
      </w:r>
    </w:p>
    <w:p>
      <w:pPr>
        <w:spacing w:after="0" w:line="1" w:lineRule="exact"/>
        <w:rPr>
          <w:sz w:val="20"/>
          <w:szCs w:val="20"/>
          <w:color w:val="auto"/>
        </w:rPr>
      </w:pPr>
    </w:p>
    <w:p>
      <w:pPr>
        <w:ind w:left="1120"/>
        <w:spacing w:after="0"/>
        <w:rPr>
          <w:sz w:val="20"/>
          <w:szCs w:val="20"/>
          <w:color w:val="auto"/>
        </w:rPr>
      </w:pPr>
      <w:r>
        <w:rPr>
          <w:rFonts w:ascii="Arial" w:cs="Arial" w:eastAsia="Arial" w:hAnsi="Arial"/>
          <w:sz w:val="11"/>
          <w:szCs w:val="11"/>
          <w:color w:val="FFFFFF"/>
        </w:rPr>
        <w:t>General Information</w:t>
      </w:r>
    </w:p>
    <w:p>
      <w:pPr>
        <w:spacing w:after="0" w:line="3"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About Corporate</w:t>
      </w:r>
    </w:p>
    <w:p>
      <w:pPr>
        <w:ind w:left="1120"/>
        <w:spacing w:after="0" w:line="221" w:lineRule="auto"/>
        <w:rPr>
          <w:sz w:val="20"/>
          <w:szCs w:val="20"/>
          <w:color w:val="auto"/>
        </w:rPr>
      </w:pPr>
      <w:r>
        <w:rPr>
          <w:rFonts w:ascii="Arial" w:cs="Arial" w:eastAsia="Arial" w:hAnsi="Arial"/>
          <w:sz w:val="12"/>
          <w:szCs w:val="12"/>
          <w:color w:val="FFFFFF"/>
        </w:rPr>
        <w:t>Governance</w:t>
      </w:r>
    </w:p>
    <w:p>
      <w:pPr>
        <w:ind w:left="1120"/>
        <w:spacing w:after="0" w:line="222" w:lineRule="auto"/>
        <w:rPr>
          <w:sz w:val="20"/>
          <w:szCs w:val="20"/>
          <w:color w:val="auto"/>
        </w:rPr>
      </w:pPr>
      <w:r>
        <w:rPr>
          <w:rFonts w:ascii="Arial" w:cs="Arial" w:eastAsia="Arial" w:hAnsi="Arial"/>
          <w:sz w:val="12"/>
          <w:szCs w:val="12"/>
          <w:color w:val="FFFFFF"/>
        </w:rPr>
        <w:t>and the Board of</w:t>
      </w:r>
    </w:p>
    <w:p>
      <w:pPr>
        <w:spacing w:after="0" w:line="1"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Directors</w:t>
      </w:r>
    </w:p>
    <w:p>
      <w:pPr>
        <w:spacing w:after="0" w:line="144" w:lineRule="exact"/>
        <w:rPr>
          <w:sz w:val="20"/>
          <w:szCs w:val="20"/>
          <w:color w:val="auto"/>
        </w:rPr>
      </w:pPr>
    </w:p>
    <w:p>
      <w:pPr>
        <w:jc w:val="center"/>
        <w:ind w:left="620"/>
        <w:spacing w:after="0"/>
        <w:rPr>
          <w:sz w:val="20"/>
          <w:szCs w:val="20"/>
          <w:color w:val="auto"/>
        </w:rPr>
      </w:pPr>
      <w:r>
        <w:rPr>
          <w:rFonts w:ascii="Arial" w:cs="Arial" w:eastAsia="Arial" w:hAnsi="Arial"/>
          <w:sz w:val="12"/>
          <w:szCs w:val="12"/>
          <w:color w:val="FFFFFF"/>
        </w:rPr>
        <w:t>Proposal 1</w:t>
      </w:r>
    </w:p>
    <w:p>
      <w:pPr>
        <w:spacing w:after="0" w:line="156"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Information</w:t>
      </w:r>
    </w:p>
    <w:p>
      <w:pPr>
        <w:ind w:left="1120"/>
        <w:spacing w:after="0" w:line="224" w:lineRule="auto"/>
        <w:rPr>
          <w:sz w:val="20"/>
          <w:szCs w:val="20"/>
          <w:color w:val="auto"/>
        </w:rPr>
      </w:pPr>
      <w:r>
        <w:rPr>
          <w:rFonts w:ascii="Arial" w:cs="Arial" w:eastAsia="Arial" w:hAnsi="Arial"/>
          <w:sz w:val="12"/>
          <w:szCs w:val="12"/>
          <w:color w:val="FFFFFF"/>
        </w:rPr>
        <w:t>Regarding Board</w:t>
      </w:r>
    </w:p>
    <w:p>
      <w:pPr>
        <w:ind w:left="1120"/>
        <w:spacing w:after="0" w:line="222" w:lineRule="auto"/>
        <w:rPr>
          <w:sz w:val="20"/>
          <w:szCs w:val="20"/>
          <w:color w:val="auto"/>
        </w:rPr>
      </w:pPr>
      <w:r>
        <w:rPr>
          <w:rFonts w:ascii="Arial" w:cs="Arial" w:eastAsia="Arial" w:hAnsi="Arial"/>
          <w:sz w:val="12"/>
          <w:szCs w:val="12"/>
          <w:color w:val="FFFFFF"/>
        </w:rPr>
        <w:t>and Committee</w:t>
      </w:r>
    </w:p>
    <w:p>
      <w:pPr>
        <w:ind w:left="1120"/>
        <w:spacing w:after="0"/>
        <w:rPr>
          <w:sz w:val="20"/>
          <w:szCs w:val="20"/>
          <w:color w:val="auto"/>
        </w:rPr>
      </w:pPr>
      <w:r>
        <w:rPr>
          <w:rFonts w:ascii="Arial" w:cs="Arial" w:eastAsia="Arial" w:hAnsi="Arial"/>
          <w:sz w:val="12"/>
          <w:szCs w:val="12"/>
          <w:color w:val="FFFFFF"/>
        </w:rPr>
        <w:t>Structure</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Board of Directors</w:t>
      </w:r>
    </w:p>
    <w:p>
      <w:pPr>
        <w:spacing w:after="0" w:line="2"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Compensation</w:t>
      </w:r>
    </w:p>
    <w:p>
      <w:pPr>
        <w:spacing w:after="0" w:line="144" w:lineRule="exact"/>
        <w:rPr>
          <w:sz w:val="20"/>
          <w:szCs w:val="20"/>
          <w:color w:val="auto"/>
        </w:rPr>
      </w:pPr>
    </w:p>
    <w:p>
      <w:pPr>
        <w:ind w:left="1120" w:right="160"/>
        <w:spacing w:after="0" w:line="244" w:lineRule="auto"/>
        <w:rPr>
          <w:sz w:val="20"/>
          <w:szCs w:val="20"/>
          <w:color w:val="auto"/>
        </w:rPr>
      </w:pPr>
      <w:r>
        <w:rPr>
          <w:rFonts w:ascii="Arial" w:cs="Arial" w:eastAsia="Arial" w:hAnsi="Arial"/>
          <w:sz w:val="12"/>
          <w:szCs w:val="12"/>
          <w:b w:val="1"/>
          <w:bCs w:val="1"/>
          <w:color w:val="FFFFFF"/>
        </w:rPr>
        <w:t>Compensation Discussion and Analysis</w:t>
      </w:r>
    </w:p>
    <w:p>
      <w:pPr>
        <w:spacing w:after="0" w:line="128"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Report of the</w:t>
      </w:r>
    </w:p>
    <w:p>
      <w:pPr>
        <w:ind w:left="1120"/>
        <w:spacing w:after="0" w:line="224" w:lineRule="auto"/>
        <w:rPr>
          <w:sz w:val="20"/>
          <w:szCs w:val="20"/>
          <w:color w:val="auto"/>
        </w:rPr>
      </w:pPr>
      <w:r>
        <w:rPr>
          <w:rFonts w:ascii="Arial" w:cs="Arial" w:eastAsia="Arial" w:hAnsi="Arial"/>
          <w:sz w:val="12"/>
          <w:szCs w:val="12"/>
          <w:color w:val="FFFFFF"/>
        </w:rPr>
        <w:t>Compensation</w:t>
      </w:r>
    </w:p>
    <w:p>
      <w:pPr>
        <w:ind w:left="1120"/>
        <w:spacing w:after="0" w:line="222" w:lineRule="auto"/>
        <w:rPr>
          <w:sz w:val="20"/>
          <w:szCs w:val="20"/>
          <w:color w:val="auto"/>
        </w:rPr>
      </w:pPr>
      <w:r>
        <w:rPr>
          <w:rFonts w:ascii="Arial" w:cs="Arial" w:eastAsia="Arial" w:hAnsi="Arial"/>
          <w:sz w:val="12"/>
          <w:szCs w:val="12"/>
          <w:color w:val="FFFFFF"/>
        </w:rPr>
        <w:t>and Human</w:t>
      </w:r>
    </w:p>
    <w:p>
      <w:pPr>
        <w:ind w:left="1120"/>
        <w:spacing w:after="0" w:line="222" w:lineRule="auto"/>
        <w:rPr>
          <w:sz w:val="20"/>
          <w:szCs w:val="20"/>
          <w:color w:val="auto"/>
        </w:rPr>
      </w:pPr>
      <w:r>
        <w:rPr>
          <w:rFonts w:ascii="Arial" w:cs="Arial" w:eastAsia="Arial" w:hAnsi="Arial"/>
          <w:sz w:val="12"/>
          <w:szCs w:val="12"/>
          <w:color w:val="FFFFFF"/>
        </w:rPr>
        <w:t>Resources</w:t>
      </w:r>
    </w:p>
    <w:p>
      <w:pPr>
        <w:ind w:left="1120"/>
        <w:spacing w:after="0" w:line="222" w:lineRule="auto"/>
        <w:rPr>
          <w:sz w:val="20"/>
          <w:szCs w:val="20"/>
          <w:color w:val="auto"/>
        </w:rPr>
      </w:pPr>
      <w:r>
        <w:rPr>
          <w:rFonts w:ascii="Arial" w:cs="Arial" w:eastAsia="Arial" w:hAnsi="Arial"/>
          <w:sz w:val="12"/>
          <w:szCs w:val="12"/>
          <w:color w:val="FFFFFF"/>
        </w:rPr>
        <w:t>Committee of the</w:t>
      </w:r>
    </w:p>
    <w:p>
      <w:pPr>
        <w:ind w:left="1120"/>
        <w:spacing w:after="0"/>
        <w:rPr>
          <w:sz w:val="20"/>
          <w:szCs w:val="20"/>
          <w:color w:val="auto"/>
        </w:rPr>
      </w:pPr>
      <w:r>
        <w:rPr>
          <w:rFonts w:ascii="Arial" w:cs="Arial" w:eastAsia="Arial" w:hAnsi="Arial"/>
          <w:sz w:val="12"/>
          <w:szCs w:val="12"/>
          <w:color w:val="FFFFFF"/>
        </w:rPr>
        <w:t>Board of Directors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Compensation of</w:t>
      </w:r>
    </w:p>
    <w:p>
      <w:pPr>
        <w:ind w:left="1120"/>
        <w:spacing w:after="0" w:line="224" w:lineRule="auto"/>
        <w:rPr>
          <w:sz w:val="20"/>
          <w:szCs w:val="20"/>
          <w:color w:val="auto"/>
        </w:rPr>
      </w:pPr>
      <w:r>
        <w:rPr>
          <w:rFonts w:ascii="Arial" w:cs="Arial" w:eastAsia="Arial" w:hAnsi="Arial"/>
          <w:sz w:val="12"/>
          <w:szCs w:val="12"/>
          <w:color w:val="FFFFFF"/>
        </w:rPr>
        <w:t>Named Executive</w:t>
      </w:r>
    </w:p>
    <w:p>
      <w:pPr>
        <w:ind w:left="1120"/>
        <w:spacing w:after="0"/>
        <w:rPr>
          <w:sz w:val="20"/>
          <w:szCs w:val="20"/>
          <w:color w:val="auto"/>
        </w:rPr>
      </w:pPr>
      <w:r>
        <w:rPr>
          <w:rFonts w:ascii="Arial" w:cs="Arial" w:eastAsia="Arial" w:hAnsi="Arial"/>
          <w:sz w:val="12"/>
          <w:szCs w:val="12"/>
          <w:color w:val="FFFFFF"/>
        </w:rPr>
        <w:t>Officers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Pay Versus</w:t>
      </w:r>
    </w:p>
    <w:p>
      <w:pPr>
        <w:ind w:left="1120"/>
        <w:spacing w:after="0" w:line="224" w:lineRule="auto"/>
        <w:rPr>
          <w:sz w:val="20"/>
          <w:szCs w:val="20"/>
          <w:color w:val="auto"/>
        </w:rPr>
      </w:pPr>
      <w:r>
        <w:rPr>
          <w:rFonts w:ascii="Arial" w:cs="Arial" w:eastAsia="Arial" w:hAnsi="Arial"/>
          <w:sz w:val="12"/>
          <w:szCs w:val="12"/>
          <w:color w:val="FFFFFF"/>
        </w:rPr>
        <w:t>Performance</w:t>
      </w:r>
    </w:p>
    <w:p>
      <w:pPr>
        <w:ind w:left="1120"/>
        <w:spacing w:after="0"/>
        <w:rPr>
          <w:sz w:val="20"/>
          <w:szCs w:val="20"/>
          <w:color w:val="auto"/>
        </w:rPr>
      </w:pPr>
      <w:r>
        <w:rPr>
          <w:rFonts w:ascii="Arial" w:cs="Arial" w:eastAsia="Arial" w:hAnsi="Arial"/>
          <w:sz w:val="12"/>
          <w:szCs w:val="12"/>
          <w:color w:val="FFFFFF"/>
        </w:rPr>
        <w:t>Disclosure</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Security</w:t>
      </w:r>
    </w:p>
    <w:p>
      <w:pPr>
        <w:ind w:left="1120"/>
        <w:spacing w:after="0" w:line="224" w:lineRule="auto"/>
        <w:rPr>
          <w:sz w:val="20"/>
          <w:szCs w:val="20"/>
          <w:color w:val="auto"/>
        </w:rPr>
      </w:pPr>
      <w:r>
        <w:rPr>
          <w:rFonts w:ascii="Arial" w:cs="Arial" w:eastAsia="Arial" w:hAnsi="Arial"/>
          <w:sz w:val="12"/>
          <w:szCs w:val="12"/>
          <w:color w:val="FFFFFF"/>
        </w:rPr>
        <w:t>Ownership of</w:t>
      </w:r>
    </w:p>
    <w:p>
      <w:pPr>
        <w:ind w:left="1120"/>
        <w:spacing w:after="0" w:line="222" w:lineRule="auto"/>
        <w:rPr>
          <w:sz w:val="20"/>
          <w:szCs w:val="20"/>
          <w:color w:val="auto"/>
        </w:rPr>
      </w:pPr>
      <w:r>
        <w:rPr>
          <w:rFonts w:ascii="Arial" w:cs="Arial" w:eastAsia="Arial" w:hAnsi="Arial"/>
          <w:sz w:val="12"/>
          <w:szCs w:val="12"/>
          <w:color w:val="FFFFFF"/>
        </w:rPr>
        <w:t>Certain Beneficial</w:t>
      </w:r>
    </w:p>
    <w:p>
      <w:pPr>
        <w:ind w:left="1120"/>
        <w:spacing w:after="0" w:line="222" w:lineRule="auto"/>
        <w:rPr>
          <w:sz w:val="20"/>
          <w:szCs w:val="20"/>
          <w:color w:val="auto"/>
        </w:rPr>
      </w:pPr>
      <w:r>
        <w:rPr>
          <w:rFonts w:ascii="Arial" w:cs="Arial" w:eastAsia="Arial" w:hAnsi="Arial"/>
          <w:sz w:val="12"/>
          <w:szCs w:val="12"/>
          <w:color w:val="FFFFFF"/>
        </w:rPr>
        <w:t>Owners and</w:t>
      </w:r>
    </w:p>
    <w:p>
      <w:pPr>
        <w:ind w:left="1120"/>
        <w:spacing w:after="0"/>
        <w:rPr>
          <w:sz w:val="20"/>
          <w:szCs w:val="20"/>
          <w:color w:val="auto"/>
        </w:rPr>
      </w:pPr>
      <w:r>
        <w:rPr>
          <w:rFonts w:ascii="Arial" w:cs="Arial" w:eastAsia="Arial" w:hAnsi="Arial"/>
          <w:sz w:val="12"/>
          <w:szCs w:val="12"/>
          <w:color w:val="FFFFFF"/>
        </w:rPr>
        <w:t>Management</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Certain</w:t>
      </w:r>
    </w:p>
    <w:p>
      <w:pPr>
        <w:ind w:left="1120"/>
        <w:spacing w:after="0" w:line="224" w:lineRule="auto"/>
        <w:rPr>
          <w:sz w:val="20"/>
          <w:szCs w:val="20"/>
          <w:color w:val="auto"/>
        </w:rPr>
      </w:pPr>
      <w:r>
        <w:rPr>
          <w:rFonts w:ascii="Arial" w:cs="Arial" w:eastAsia="Arial" w:hAnsi="Arial"/>
          <w:sz w:val="12"/>
          <w:szCs w:val="12"/>
          <w:color w:val="FFFFFF"/>
        </w:rPr>
        <w:t>Relationships and</w:t>
      </w:r>
    </w:p>
    <w:p>
      <w:pPr>
        <w:ind w:left="1120"/>
        <w:spacing w:after="0" w:line="222" w:lineRule="auto"/>
        <w:rPr>
          <w:sz w:val="20"/>
          <w:szCs w:val="20"/>
          <w:color w:val="auto"/>
        </w:rPr>
      </w:pPr>
      <w:r>
        <w:rPr>
          <w:rFonts w:ascii="Arial" w:cs="Arial" w:eastAsia="Arial" w:hAnsi="Arial"/>
          <w:sz w:val="12"/>
          <w:szCs w:val="12"/>
          <w:color w:val="FFFFFF"/>
        </w:rPr>
        <w:t>Related Party</w:t>
      </w:r>
    </w:p>
    <w:p>
      <w:pPr>
        <w:ind w:left="1120"/>
        <w:spacing w:after="0"/>
        <w:rPr>
          <w:sz w:val="20"/>
          <w:szCs w:val="20"/>
          <w:color w:val="auto"/>
        </w:rPr>
      </w:pPr>
      <w:r>
        <w:rPr>
          <w:rFonts w:ascii="Arial" w:cs="Arial" w:eastAsia="Arial" w:hAnsi="Arial"/>
          <w:sz w:val="12"/>
          <w:szCs w:val="12"/>
          <w:color w:val="FFFFFF"/>
        </w:rPr>
        <w:t>Transactions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Proposal 2</w:t>
      </w:r>
    </w:p>
    <w:p>
      <w:pPr>
        <w:spacing w:after="0" w:line="156"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Report of the</w:t>
      </w:r>
    </w:p>
    <w:p>
      <w:pPr>
        <w:ind w:left="1120"/>
        <w:spacing w:after="0" w:line="224" w:lineRule="auto"/>
        <w:rPr>
          <w:sz w:val="20"/>
          <w:szCs w:val="20"/>
          <w:color w:val="auto"/>
        </w:rPr>
      </w:pPr>
      <w:r>
        <w:rPr>
          <w:rFonts w:ascii="Arial" w:cs="Arial" w:eastAsia="Arial" w:hAnsi="Arial"/>
          <w:sz w:val="12"/>
          <w:szCs w:val="12"/>
          <w:color w:val="FFFFFF"/>
        </w:rPr>
        <w:t>Audit and Risk</w:t>
      </w:r>
    </w:p>
    <w:p>
      <w:pPr>
        <w:ind w:left="1120"/>
        <w:spacing w:after="0" w:line="222" w:lineRule="auto"/>
        <w:rPr>
          <w:sz w:val="20"/>
          <w:szCs w:val="20"/>
          <w:color w:val="auto"/>
        </w:rPr>
      </w:pPr>
      <w:r>
        <w:rPr>
          <w:rFonts w:ascii="Arial" w:cs="Arial" w:eastAsia="Arial" w:hAnsi="Arial"/>
          <w:sz w:val="12"/>
          <w:szCs w:val="12"/>
          <w:color w:val="FFFFFF"/>
        </w:rPr>
        <w:t>Committee of the</w:t>
      </w:r>
    </w:p>
    <w:p>
      <w:pPr>
        <w:ind w:left="1120"/>
        <w:spacing w:after="0"/>
        <w:rPr>
          <w:sz w:val="20"/>
          <w:szCs w:val="20"/>
          <w:color w:val="auto"/>
        </w:rPr>
      </w:pPr>
      <w:r>
        <w:rPr>
          <w:rFonts w:ascii="Arial" w:cs="Arial" w:eastAsia="Arial" w:hAnsi="Arial"/>
          <w:sz w:val="12"/>
          <w:szCs w:val="12"/>
          <w:color w:val="FFFFFF"/>
        </w:rPr>
        <w:t>Board of Directors</w:t>
      </w:r>
    </w:p>
    <w:p>
      <w:pPr>
        <w:spacing w:after="0" w:line="144" w:lineRule="exact"/>
        <w:rPr>
          <w:sz w:val="20"/>
          <w:szCs w:val="20"/>
          <w:color w:val="auto"/>
        </w:rPr>
      </w:pPr>
    </w:p>
    <w:p>
      <w:pPr>
        <w:jc w:val="center"/>
        <w:ind w:left="620"/>
        <w:spacing w:after="0"/>
        <w:rPr>
          <w:sz w:val="20"/>
          <w:szCs w:val="20"/>
          <w:color w:val="auto"/>
        </w:rPr>
      </w:pPr>
      <w:r>
        <w:rPr>
          <w:rFonts w:ascii="Arial" w:cs="Arial" w:eastAsia="Arial" w:hAnsi="Arial"/>
          <w:sz w:val="12"/>
          <w:szCs w:val="12"/>
          <w:color w:val="FFFFFF"/>
        </w:rPr>
        <w:t>Proposal 3</w:t>
      </w:r>
    </w:p>
    <w:p>
      <w:pPr>
        <w:spacing w:after="0" w:line="156" w:lineRule="exact"/>
        <w:rPr>
          <w:sz w:val="20"/>
          <w:szCs w:val="20"/>
          <w:color w:val="auto"/>
        </w:rPr>
      </w:pPr>
    </w:p>
    <w:p>
      <w:pPr>
        <w:jc w:val="center"/>
        <w:ind w:left="620"/>
        <w:spacing w:after="0"/>
        <w:rPr>
          <w:sz w:val="20"/>
          <w:szCs w:val="20"/>
          <w:color w:val="auto"/>
        </w:rPr>
      </w:pPr>
      <w:r>
        <w:rPr>
          <w:rFonts w:ascii="Arial" w:cs="Arial" w:eastAsia="Arial" w:hAnsi="Arial"/>
          <w:sz w:val="12"/>
          <w:szCs w:val="12"/>
          <w:color w:val="FFFFFF"/>
        </w:rPr>
        <w:t>Proposal 4</w:t>
      </w:r>
    </w:p>
    <w:p>
      <w:pPr>
        <w:spacing w:after="0" w:line="156" w:lineRule="exact"/>
        <w:rPr>
          <w:sz w:val="20"/>
          <w:szCs w:val="20"/>
          <w:color w:val="auto"/>
        </w:rPr>
      </w:pPr>
    </w:p>
    <w:p>
      <w:pPr>
        <w:jc w:val="center"/>
        <w:ind w:left="620"/>
        <w:spacing w:after="0"/>
        <w:rPr>
          <w:sz w:val="20"/>
          <w:szCs w:val="20"/>
          <w:color w:val="auto"/>
        </w:rPr>
      </w:pPr>
      <w:r>
        <w:rPr>
          <w:rFonts w:ascii="Arial" w:cs="Arial" w:eastAsia="Arial" w:hAnsi="Arial"/>
          <w:sz w:val="12"/>
          <w:szCs w:val="12"/>
          <w:color w:val="FFFFFF"/>
        </w:rPr>
        <w:t>Proposal 5</w:t>
      </w:r>
    </w:p>
    <w:p>
      <w:pPr>
        <w:spacing w:after="0" w:line="156"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Proposal 6</w:t>
      </w:r>
    </w:p>
    <w:p>
      <w:pPr>
        <w:spacing w:after="0" w:line="156"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Stockholder</w:t>
      </w:r>
    </w:p>
    <w:p>
      <w:pPr>
        <w:ind w:left="1120"/>
        <w:spacing w:after="0" w:line="224" w:lineRule="auto"/>
        <w:rPr>
          <w:sz w:val="20"/>
          <w:szCs w:val="20"/>
          <w:color w:val="auto"/>
        </w:rPr>
      </w:pPr>
      <w:r>
        <w:rPr>
          <w:rFonts w:ascii="Arial" w:cs="Arial" w:eastAsia="Arial" w:hAnsi="Arial"/>
          <w:sz w:val="12"/>
          <w:szCs w:val="12"/>
          <w:color w:val="FFFFFF"/>
        </w:rPr>
        <w:t>Proposals and</w:t>
      </w:r>
    </w:p>
    <w:p>
      <w:pPr>
        <w:ind w:left="1120"/>
        <w:spacing w:after="0"/>
        <w:rPr>
          <w:sz w:val="20"/>
          <w:szCs w:val="20"/>
          <w:color w:val="auto"/>
        </w:rPr>
      </w:pPr>
      <w:r>
        <w:rPr>
          <w:rFonts w:ascii="Arial" w:cs="Arial" w:eastAsia="Arial" w:hAnsi="Arial"/>
          <w:sz w:val="12"/>
          <w:szCs w:val="12"/>
          <w:color w:val="FFFFFF"/>
        </w:rPr>
        <w:t>Other Matters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Delinquent</w:t>
      </w:r>
    </w:p>
    <w:p>
      <w:pPr>
        <w:ind w:left="1120"/>
        <w:spacing w:after="0" w:line="224" w:lineRule="auto"/>
        <w:rPr>
          <w:sz w:val="20"/>
          <w:szCs w:val="20"/>
          <w:color w:val="auto"/>
        </w:rPr>
      </w:pPr>
      <w:r>
        <w:rPr>
          <w:rFonts w:ascii="Arial" w:cs="Arial" w:eastAsia="Arial" w:hAnsi="Arial"/>
          <w:sz w:val="12"/>
          <w:szCs w:val="12"/>
          <w:color w:val="FFFFFF"/>
        </w:rPr>
        <w:t>Section 16(a)</w:t>
      </w:r>
    </w:p>
    <w:p>
      <w:pPr>
        <w:ind w:left="1120"/>
        <w:spacing w:after="0"/>
        <w:rPr>
          <w:sz w:val="20"/>
          <w:szCs w:val="20"/>
          <w:color w:val="auto"/>
        </w:rPr>
      </w:pPr>
      <w:r>
        <w:rPr>
          <w:rFonts w:ascii="Arial" w:cs="Arial" w:eastAsia="Arial" w:hAnsi="Arial"/>
          <w:sz w:val="12"/>
          <w:szCs w:val="12"/>
          <w:color w:val="FFFFFF"/>
        </w:rPr>
        <w:t>Reports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Other</w:t>
      </w:r>
    </w:p>
    <w:p>
      <w:pPr>
        <w:spacing w:after="0" w:line="2"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Information</w:t>
      </w:r>
    </w:p>
    <w:p>
      <w:pPr>
        <w:spacing w:after="0" w:line="144" w:lineRule="exact"/>
        <w:rPr>
          <w:sz w:val="20"/>
          <w:szCs w:val="20"/>
          <w:color w:val="auto"/>
        </w:rPr>
      </w:pPr>
    </w:p>
    <w:p>
      <w:pPr>
        <w:jc w:val="center"/>
        <w:ind w:left="660"/>
        <w:spacing w:after="0"/>
        <w:rPr>
          <w:sz w:val="20"/>
          <w:szCs w:val="20"/>
          <w:color w:val="auto"/>
        </w:rPr>
      </w:pPr>
      <w:r>
        <w:rPr>
          <w:rFonts w:ascii="Arial" w:cs="Arial" w:eastAsia="Arial" w:hAnsi="Arial"/>
          <w:sz w:val="12"/>
          <w:szCs w:val="12"/>
          <w:color w:val="FFFFFF"/>
        </w:rPr>
        <w:t>Appendix A</w:t>
      </w:r>
    </w:p>
    <w:p>
      <w:pPr>
        <w:spacing w:after="0" w:line="156" w:lineRule="exact"/>
        <w:rPr>
          <w:sz w:val="20"/>
          <w:szCs w:val="20"/>
          <w:color w:val="auto"/>
        </w:rPr>
      </w:pPr>
    </w:p>
    <w:p>
      <w:pPr>
        <w:jc w:val="center"/>
        <w:ind w:left="660"/>
        <w:spacing w:after="0"/>
        <w:rPr>
          <w:sz w:val="20"/>
          <w:szCs w:val="20"/>
          <w:color w:val="auto"/>
        </w:rPr>
      </w:pPr>
      <w:r>
        <w:rPr>
          <w:rFonts w:ascii="Arial" w:cs="Arial" w:eastAsia="Arial" w:hAnsi="Arial"/>
          <w:sz w:val="12"/>
          <w:szCs w:val="12"/>
          <w:color w:val="FFFFFF"/>
        </w:rPr>
        <w:t>Appendix 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tabs>
          <w:tab w:leader="none" w:pos="7880" w:val="left"/>
        </w:tabs>
        <w:rPr>
          <w:sz w:val="20"/>
          <w:szCs w:val="20"/>
          <w:color w:val="auto"/>
        </w:rPr>
      </w:pPr>
      <w:r>
        <w:rPr>
          <w:rFonts w:ascii="Arial" w:cs="Arial" w:eastAsia="Arial" w:hAnsi="Arial"/>
          <w:sz w:val="34"/>
          <w:szCs w:val="34"/>
          <w:b w:val="1"/>
          <w:bCs w:val="1"/>
          <w:color w:val="002B5F"/>
          <w:vertAlign w:val="subscript"/>
        </w:rPr>
        <w:t xml:space="preserve"> </w:t>
      </w:r>
      <w:r>
        <w:rPr>
          <w:rFonts w:ascii="Arial" w:cs="Arial" w:eastAsia="Arial" w:hAnsi="Arial"/>
          <w:sz w:val="17"/>
          <w:szCs w:val="17"/>
          <w:b w:val="1"/>
          <w:bCs w:val="1"/>
          <w:color w:val="002B5F"/>
        </w:rPr>
        <w:t xml:space="preserve"> COMPENSATION PHILOSOPHY</w:t>
      </w:r>
      <w:r>
        <w:rPr>
          <w:sz w:val="20"/>
          <w:szCs w:val="20"/>
          <w:color w:val="auto"/>
        </w:rPr>
        <w:tab/>
      </w:r>
      <w:r>
        <w:rPr>
          <w:rFonts w:ascii="Arial" w:cs="Arial" w:eastAsia="Arial" w:hAnsi="Arial"/>
          <w:sz w:val="30"/>
          <w:szCs w:val="30"/>
          <w:color w:val="auto"/>
          <w:vertAlign w:val="subscript"/>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-1737995</wp:posOffset>
            </wp:positionH>
            <wp:positionV relativeFrom="paragraph">
              <wp:posOffset>-973455</wp:posOffset>
            </wp:positionV>
            <wp:extent cx="7181215" cy="5334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81215" cy="5334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-333375</wp:posOffset>
            </wp:positionV>
            <wp:extent cx="5065395" cy="451421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5065395" cy="4514215"/>
                    </a:xfrm>
                    <a:prstGeom prst="rect">
                      <a:avLst/>
                    </a:prstGeom>
                    <a:noFill/>
                  </pic:spPr>
                </pic:pic>
              </a:graphicData>
            </a:graphic>
          </wp:anchor>
        </w:drawing>
      </w:r>
    </w:p>
    <w:p>
      <w:pPr>
        <w:spacing w:after="0" w:line="30" w:lineRule="exact"/>
        <w:rPr>
          <w:sz w:val="20"/>
          <w:szCs w:val="20"/>
          <w:color w:val="auto"/>
        </w:rPr>
      </w:pPr>
    </w:p>
    <w:p>
      <w:pPr>
        <w:ind w:left="160" w:right="320"/>
        <w:spacing w:after="0" w:line="255" w:lineRule="auto"/>
        <w:rPr>
          <w:sz w:val="20"/>
          <w:szCs w:val="20"/>
          <w:color w:val="auto"/>
        </w:rPr>
      </w:pPr>
      <w:r>
        <w:rPr>
          <w:rFonts w:ascii="Arial" w:cs="Arial" w:eastAsia="Arial" w:hAnsi="Arial"/>
          <w:sz w:val="15"/>
          <w:szCs w:val="15"/>
          <w:color w:val="auto"/>
        </w:rPr>
        <w:t>Under the oversight of the Compensation Committee, our executive compensation program rewards sustained positive financial and operating performance. Our executive compensation program is designed to align our executives’ compensation to the performance of the Company while avoiding practices that may create unwarranted risk.</w:t>
      </w:r>
    </w:p>
    <w:p>
      <w:pPr>
        <w:spacing w:after="0" w:line="95" w:lineRule="exact"/>
        <w:rPr>
          <w:sz w:val="20"/>
          <w:szCs w:val="20"/>
          <w:color w:val="auto"/>
        </w:rPr>
      </w:pPr>
    </w:p>
    <w:p>
      <w:pPr>
        <w:jc w:val="center"/>
        <w:ind w:right="620"/>
        <w:spacing w:after="0"/>
        <w:rPr>
          <w:sz w:val="20"/>
          <w:szCs w:val="20"/>
          <w:color w:val="auto"/>
        </w:rPr>
      </w:pPr>
      <w:r>
        <w:rPr>
          <w:rFonts w:ascii="Arial" w:cs="Arial" w:eastAsia="Arial" w:hAnsi="Arial"/>
          <w:sz w:val="15"/>
          <w:szCs w:val="15"/>
          <w:color w:val="auto"/>
        </w:rPr>
        <w:t>The design and operation of our executive compensation program reflect the following basic objectives:</w:t>
      </w:r>
    </w:p>
    <w:p>
      <w:pPr>
        <w:spacing w:after="0" w:line="134" w:lineRule="exact"/>
        <w:rPr>
          <w:sz w:val="20"/>
          <w:szCs w:val="20"/>
          <w:color w:val="auto"/>
        </w:rPr>
      </w:pPr>
    </w:p>
    <w:p>
      <w:pPr>
        <w:ind w:left="360" w:hanging="198"/>
        <w:spacing w:after="0"/>
        <w:tabs>
          <w:tab w:leader="none" w:pos="360" w:val="left"/>
        </w:tabs>
        <w:numPr>
          <w:ilvl w:val="0"/>
          <w:numId w:val="65"/>
        </w:numPr>
        <w:rPr>
          <w:rFonts w:ascii="Arial" w:cs="Arial" w:eastAsia="Arial" w:hAnsi="Arial"/>
          <w:sz w:val="15"/>
          <w:szCs w:val="15"/>
          <w:color w:val="auto"/>
        </w:rPr>
      </w:pPr>
      <w:r>
        <w:rPr>
          <w:rFonts w:ascii="Arial" w:cs="Arial" w:eastAsia="Arial" w:hAnsi="Arial"/>
          <w:sz w:val="15"/>
          <w:szCs w:val="15"/>
          <w:color w:val="auto"/>
        </w:rPr>
        <w:t>aligning the interests of our executive officers with the interests of our Company and its stakeholders;</w:t>
      </w:r>
    </w:p>
    <w:p>
      <w:pPr>
        <w:spacing w:after="0" w:line="108" w:lineRule="exact"/>
        <w:rPr>
          <w:rFonts w:ascii="Arial" w:cs="Arial" w:eastAsia="Arial" w:hAnsi="Arial"/>
          <w:sz w:val="15"/>
          <w:szCs w:val="15"/>
          <w:color w:val="auto"/>
        </w:rPr>
      </w:pPr>
    </w:p>
    <w:p>
      <w:pPr>
        <w:ind w:left="360" w:right="140" w:hanging="198"/>
        <w:spacing w:after="0" w:line="287" w:lineRule="auto"/>
        <w:tabs>
          <w:tab w:leader="none" w:pos="360" w:val="left"/>
        </w:tabs>
        <w:numPr>
          <w:ilvl w:val="0"/>
          <w:numId w:val="65"/>
        </w:numPr>
        <w:rPr>
          <w:rFonts w:ascii="Arial" w:cs="Arial" w:eastAsia="Arial" w:hAnsi="Arial"/>
          <w:sz w:val="15"/>
          <w:szCs w:val="15"/>
          <w:color w:val="auto"/>
        </w:rPr>
      </w:pPr>
      <w:r>
        <w:rPr>
          <w:rFonts w:ascii="Arial" w:cs="Arial" w:eastAsia="Arial" w:hAnsi="Arial"/>
          <w:sz w:val="15"/>
          <w:szCs w:val="15"/>
          <w:color w:val="auto"/>
        </w:rPr>
        <w:t>linking our executive officers’ compensation to the achievement of both short-term and long-term strategic and operational goals; and</w:t>
      </w:r>
    </w:p>
    <w:p>
      <w:pPr>
        <w:spacing w:after="0" w:line="46" w:lineRule="exact"/>
        <w:rPr>
          <w:rFonts w:ascii="Arial" w:cs="Arial" w:eastAsia="Arial" w:hAnsi="Arial"/>
          <w:sz w:val="15"/>
          <w:szCs w:val="15"/>
          <w:color w:val="auto"/>
        </w:rPr>
      </w:pPr>
    </w:p>
    <w:p>
      <w:pPr>
        <w:ind w:left="360" w:right="180" w:hanging="198"/>
        <w:spacing w:after="0" w:line="287" w:lineRule="auto"/>
        <w:tabs>
          <w:tab w:leader="none" w:pos="360" w:val="left"/>
        </w:tabs>
        <w:numPr>
          <w:ilvl w:val="0"/>
          <w:numId w:val="65"/>
        </w:numPr>
        <w:rPr>
          <w:rFonts w:ascii="Arial" w:cs="Arial" w:eastAsia="Arial" w:hAnsi="Arial"/>
          <w:sz w:val="15"/>
          <w:szCs w:val="15"/>
          <w:color w:val="auto"/>
        </w:rPr>
      </w:pPr>
      <w:r>
        <w:rPr>
          <w:rFonts w:ascii="Arial" w:cs="Arial" w:eastAsia="Arial" w:hAnsi="Arial"/>
          <w:sz w:val="15"/>
          <w:szCs w:val="15"/>
          <w:color w:val="auto"/>
        </w:rPr>
        <w:t>attracting, motivating and retaining highly qualified executive officers who are passionate about the mission of our Company.</w:t>
      </w:r>
    </w:p>
    <w:p>
      <w:pPr>
        <w:spacing w:after="0" w:line="47" w:lineRule="exact"/>
        <w:rPr>
          <w:sz w:val="20"/>
          <w:szCs w:val="20"/>
          <w:color w:val="auto"/>
        </w:rPr>
      </w:pPr>
    </w:p>
    <w:p>
      <w:pPr>
        <w:ind w:left="160"/>
        <w:spacing w:after="0"/>
        <w:rPr>
          <w:sz w:val="20"/>
          <w:szCs w:val="20"/>
          <w:color w:val="auto"/>
        </w:rPr>
      </w:pPr>
      <w:r>
        <w:rPr>
          <w:rFonts w:ascii="Arial" w:cs="Arial" w:eastAsia="Arial" w:hAnsi="Arial"/>
          <w:sz w:val="15"/>
          <w:szCs w:val="15"/>
          <w:color w:val="auto"/>
        </w:rPr>
        <w:t>We seek to achieve these objectives through the following guiding compensation principles:</w:t>
      </w:r>
    </w:p>
    <w:p>
      <w:pPr>
        <w:spacing w:after="0" w:line="108" w:lineRule="exact"/>
        <w:rPr>
          <w:sz w:val="20"/>
          <w:szCs w:val="20"/>
          <w:color w:val="auto"/>
        </w:rPr>
      </w:pPr>
    </w:p>
    <w:p>
      <w:pPr>
        <w:ind w:left="360" w:right="380" w:hanging="198"/>
        <w:spacing w:after="0" w:line="287" w:lineRule="auto"/>
        <w:tabs>
          <w:tab w:leader="none" w:pos="360" w:val="left"/>
        </w:tabs>
        <w:numPr>
          <w:ilvl w:val="0"/>
          <w:numId w:val="66"/>
        </w:numPr>
        <w:rPr>
          <w:rFonts w:ascii="Arial" w:cs="Arial" w:eastAsia="Arial" w:hAnsi="Arial"/>
          <w:sz w:val="15"/>
          <w:szCs w:val="15"/>
          <w:color w:val="auto"/>
        </w:rPr>
      </w:pPr>
      <w:r>
        <w:rPr>
          <w:rFonts w:ascii="Arial" w:cs="Arial" w:eastAsia="Arial" w:hAnsi="Arial"/>
          <w:sz w:val="15"/>
          <w:szCs w:val="15"/>
          <w:color w:val="auto"/>
        </w:rPr>
        <w:t>paying compensation that is competitive with that offered for similar positions within companies in our peer group;</w:t>
      </w:r>
    </w:p>
    <w:p>
      <w:pPr>
        <w:spacing w:after="0" w:line="46" w:lineRule="exact"/>
        <w:rPr>
          <w:rFonts w:ascii="Arial" w:cs="Arial" w:eastAsia="Arial" w:hAnsi="Arial"/>
          <w:sz w:val="15"/>
          <w:szCs w:val="15"/>
          <w:color w:val="auto"/>
        </w:rPr>
      </w:pPr>
    </w:p>
    <w:p>
      <w:pPr>
        <w:ind w:left="360" w:right="160" w:hanging="198"/>
        <w:spacing w:after="0" w:line="287" w:lineRule="auto"/>
        <w:tabs>
          <w:tab w:leader="none" w:pos="360" w:val="left"/>
        </w:tabs>
        <w:numPr>
          <w:ilvl w:val="0"/>
          <w:numId w:val="66"/>
        </w:numPr>
        <w:rPr>
          <w:rFonts w:ascii="Arial" w:cs="Arial" w:eastAsia="Arial" w:hAnsi="Arial"/>
          <w:sz w:val="15"/>
          <w:szCs w:val="15"/>
          <w:color w:val="auto"/>
        </w:rPr>
      </w:pPr>
      <w:r>
        <w:rPr>
          <w:rFonts w:ascii="Arial" w:cs="Arial" w:eastAsia="Arial" w:hAnsi="Arial"/>
          <w:sz w:val="15"/>
          <w:szCs w:val="15"/>
          <w:color w:val="auto"/>
        </w:rPr>
        <w:t>striking an appropriate balance between short-term and long-term compensation, as well as cash- and equity-based compensation;</w:t>
      </w:r>
    </w:p>
    <w:p>
      <w:pPr>
        <w:spacing w:after="0" w:line="46" w:lineRule="exact"/>
        <w:rPr>
          <w:rFonts w:ascii="Arial" w:cs="Arial" w:eastAsia="Arial" w:hAnsi="Arial"/>
          <w:sz w:val="15"/>
          <w:szCs w:val="15"/>
          <w:color w:val="auto"/>
        </w:rPr>
      </w:pPr>
    </w:p>
    <w:p>
      <w:pPr>
        <w:ind w:left="360" w:right="480" w:hanging="198"/>
        <w:spacing w:after="0" w:line="287" w:lineRule="auto"/>
        <w:tabs>
          <w:tab w:leader="none" w:pos="360" w:val="left"/>
        </w:tabs>
        <w:numPr>
          <w:ilvl w:val="0"/>
          <w:numId w:val="66"/>
        </w:numPr>
        <w:rPr>
          <w:rFonts w:ascii="Arial" w:cs="Arial" w:eastAsia="Arial" w:hAnsi="Arial"/>
          <w:sz w:val="15"/>
          <w:szCs w:val="15"/>
          <w:color w:val="auto"/>
        </w:rPr>
      </w:pPr>
      <w:r>
        <w:rPr>
          <w:rFonts w:ascii="Arial" w:cs="Arial" w:eastAsia="Arial" w:hAnsi="Arial"/>
          <w:sz w:val="15"/>
          <w:szCs w:val="15"/>
          <w:color w:val="auto"/>
        </w:rPr>
        <w:t>linking short-term and long-term performance-based compensation primarily to objective and quantifiable performance measures;</w:t>
      </w:r>
    </w:p>
    <w:p>
      <w:pPr>
        <w:spacing w:after="0" w:line="46" w:lineRule="exact"/>
        <w:rPr>
          <w:rFonts w:ascii="Arial" w:cs="Arial" w:eastAsia="Arial" w:hAnsi="Arial"/>
          <w:sz w:val="15"/>
          <w:szCs w:val="15"/>
          <w:color w:val="auto"/>
        </w:rPr>
      </w:pPr>
    </w:p>
    <w:p>
      <w:pPr>
        <w:ind w:left="360" w:hanging="198"/>
        <w:spacing w:after="0"/>
        <w:tabs>
          <w:tab w:leader="none" w:pos="360" w:val="left"/>
        </w:tabs>
        <w:numPr>
          <w:ilvl w:val="0"/>
          <w:numId w:val="66"/>
        </w:numPr>
        <w:rPr>
          <w:rFonts w:ascii="Arial" w:cs="Arial" w:eastAsia="Arial" w:hAnsi="Arial"/>
          <w:sz w:val="15"/>
          <w:szCs w:val="15"/>
          <w:color w:val="auto"/>
        </w:rPr>
      </w:pPr>
      <w:r>
        <w:rPr>
          <w:rFonts w:ascii="Arial" w:cs="Arial" w:eastAsia="Arial" w:hAnsi="Arial"/>
          <w:sz w:val="15"/>
          <w:szCs w:val="15"/>
          <w:color w:val="auto"/>
        </w:rPr>
        <w:t>rewarding Company and business unit performance, as well as individual performance and potential; and</w:t>
      </w:r>
    </w:p>
    <w:p>
      <w:pPr>
        <w:spacing w:after="0" w:line="108" w:lineRule="exact"/>
        <w:rPr>
          <w:rFonts w:ascii="Arial" w:cs="Arial" w:eastAsia="Arial" w:hAnsi="Arial"/>
          <w:sz w:val="15"/>
          <w:szCs w:val="15"/>
          <w:color w:val="auto"/>
        </w:rPr>
      </w:pPr>
    </w:p>
    <w:p>
      <w:pPr>
        <w:ind w:left="360" w:hanging="198"/>
        <w:spacing w:after="0"/>
        <w:tabs>
          <w:tab w:leader="none" w:pos="360" w:val="left"/>
        </w:tabs>
        <w:numPr>
          <w:ilvl w:val="0"/>
          <w:numId w:val="66"/>
        </w:numPr>
        <w:rPr>
          <w:rFonts w:ascii="Arial" w:cs="Arial" w:eastAsia="Arial" w:hAnsi="Arial"/>
          <w:sz w:val="15"/>
          <w:szCs w:val="15"/>
          <w:color w:val="auto"/>
        </w:rPr>
      </w:pPr>
      <w:r>
        <w:rPr>
          <w:rFonts w:ascii="Arial" w:cs="Arial" w:eastAsia="Arial" w:hAnsi="Arial"/>
          <w:sz w:val="15"/>
          <w:szCs w:val="15"/>
          <w:color w:val="auto"/>
        </w:rPr>
        <w:t>using equity-based compensation for a significant portion of total compensation.</w:t>
      </w:r>
    </w:p>
    <w:p>
      <w:pPr>
        <w:spacing w:after="0" w:line="108" w:lineRule="exact"/>
        <w:rPr>
          <w:sz w:val="20"/>
          <w:szCs w:val="20"/>
          <w:color w:val="auto"/>
        </w:rPr>
      </w:pPr>
    </w:p>
    <w:p>
      <w:pPr>
        <w:ind w:left="160"/>
        <w:spacing w:after="0"/>
        <w:rPr>
          <w:sz w:val="20"/>
          <w:szCs w:val="20"/>
          <w:color w:val="auto"/>
        </w:rPr>
      </w:pPr>
      <w:r>
        <w:rPr>
          <w:rFonts w:ascii="Arial" w:cs="Arial" w:eastAsia="Arial" w:hAnsi="Arial"/>
          <w:sz w:val="15"/>
          <w:szCs w:val="15"/>
          <w:color w:val="auto"/>
        </w:rPr>
        <w:t>Each year’s compensation decisions for each executive officer may take into account:</w:t>
      </w:r>
    </w:p>
    <w:p>
      <w:pPr>
        <w:spacing w:after="0" w:line="108" w:lineRule="exact"/>
        <w:rPr>
          <w:sz w:val="20"/>
          <w:szCs w:val="20"/>
          <w:color w:val="auto"/>
        </w:rPr>
      </w:pPr>
    </w:p>
    <w:p>
      <w:pPr>
        <w:ind w:left="360" w:right="740" w:hanging="198"/>
        <w:spacing w:after="0" w:line="287" w:lineRule="auto"/>
        <w:tabs>
          <w:tab w:leader="none" w:pos="360" w:val="left"/>
        </w:tabs>
        <w:numPr>
          <w:ilvl w:val="0"/>
          <w:numId w:val="67"/>
        </w:numPr>
        <w:rPr>
          <w:rFonts w:ascii="Arial" w:cs="Arial" w:eastAsia="Arial" w:hAnsi="Arial"/>
          <w:sz w:val="15"/>
          <w:szCs w:val="15"/>
          <w:color w:val="auto"/>
        </w:rPr>
      </w:pPr>
      <w:r>
        <w:rPr>
          <w:rFonts w:ascii="Arial" w:cs="Arial" w:eastAsia="Arial" w:hAnsi="Arial"/>
          <w:sz w:val="15"/>
          <w:szCs w:val="15"/>
          <w:color w:val="auto"/>
        </w:rPr>
        <w:t>the scope and scale of the executive officer’s role, including its overall impact to the Company and its criticality to realizing the Company’s strategic objectives;</w:t>
      </w:r>
    </w:p>
    <w:p>
      <w:pPr>
        <w:spacing w:after="0" w:line="46" w:lineRule="exact"/>
        <w:rPr>
          <w:rFonts w:ascii="Arial" w:cs="Arial" w:eastAsia="Arial" w:hAnsi="Arial"/>
          <w:sz w:val="15"/>
          <w:szCs w:val="15"/>
          <w:color w:val="auto"/>
        </w:rPr>
      </w:pPr>
    </w:p>
    <w:p>
      <w:pPr>
        <w:ind w:left="360" w:hanging="198"/>
        <w:spacing w:after="0"/>
        <w:tabs>
          <w:tab w:leader="none" w:pos="360" w:val="left"/>
        </w:tabs>
        <w:numPr>
          <w:ilvl w:val="0"/>
          <w:numId w:val="67"/>
        </w:numPr>
        <w:rPr>
          <w:rFonts w:ascii="Arial" w:cs="Arial" w:eastAsia="Arial" w:hAnsi="Arial"/>
          <w:sz w:val="15"/>
          <w:szCs w:val="15"/>
          <w:color w:val="auto"/>
        </w:rPr>
      </w:pPr>
      <w:r>
        <w:rPr>
          <w:rFonts w:ascii="Arial" w:cs="Arial" w:eastAsia="Arial" w:hAnsi="Arial"/>
          <w:sz w:val="15"/>
          <w:szCs w:val="15"/>
          <w:color w:val="auto"/>
        </w:rPr>
        <w:t>the executive officer’s performance record, with a focus on rewarding high performance;</w:t>
      </w:r>
    </w:p>
    <w:p>
      <w:pPr>
        <w:spacing w:after="0" w:line="108" w:lineRule="exact"/>
        <w:rPr>
          <w:rFonts w:ascii="Arial" w:cs="Arial" w:eastAsia="Arial" w:hAnsi="Arial"/>
          <w:sz w:val="15"/>
          <w:szCs w:val="15"/>
          <w:color w:val="auto"/>
        </w:rPr>
      </w:pPr>
    </w:p>
    <w:p>
      <w:pPr>
        <w:ind w:left="360" w:right="520" w:hanging="198"/>
        <w:spacing w:after="0" w:line="287" w:lineRule="auto"/>
        <w:tabs>
          <w:tab w:leader="none" w:pos="360" w:val="left"/>
        </w:tabs>
        <w:numPr>
          <w:ilvl w:val="0"/>
          <w:numId w:val="67"/>
        </w:numPr>
        <w:rPr>
          <w:rFonts w:ascii="Arial" w:cs="Arial" w:eastAsia="Arial" w:hAnsi="Arial"/>
          <w:sz w:val="15"/>
          <w:szCs w:val="15"/>
          <w:color w:val="auto"/>
        </w:rPr>
      </w:pPr>
      <w:r>
        <w:rPr>
          <w:rFonts w:ascii="Arial" w:cs="Arial" w:eastAsia="Arial" w:hAnsi="Arial"/>
          <w:sz w:val="15"/>
          <w:szCs w:val="15"/>
          <w:color w:val="auto"/>
        </w:rPr>
        <w:t>market data, including benchmarking data, with the goal of aligning the compensation of high-performing executive officers to a market-competitive range; and</w:t>
      </w:r>
    </w:p>
    <w:p>
      <w:pPr>
        <w:spacing w:after="0" w:line="46" w:lineRule="exact"/>
        <w:rPr>
          <w:rFonts w:ascii="Arial" w:cs="Arial" w:eastAsia="Arial" w:hAnsi="Arial"/>
          <w:sz w:val="15"/>
          <w:szCs w:val="15"/>
          <w:color w:val="auto"/>
        </w:rPr>
      </w:pPr>
    </w:p>
    <w:p>
      <w:pPr>
        <w:ind w:left="360" w:right="880" w:hanging="198"/>
        <w:spacing w:after="0" w:line="287" w:lineRule="auto"/>
        <w:tabs>
          <w:tab w:leader="none" w:pos="360" w:val="left"/>
        </w:tabs>
        <w:numPr>
          <w:ilvl w:val="0"/>
          <w:numId w:val="67"/>
        </w:numPr>
        <w:rPr>
          <w:rFonts w:ascii="Arial" w:cs="Arial" w:eastAsia="Arial" w:hAnsi="Arial"/>
          <w:sz w:val="15"/>
          <w:szCs w:val="15"/>
          <w:color w:val="auto"/>
        </w:rPr>
      </w:pPr>
      <w:r>
        <w:rPr>
          <w:rFonts w:ascii="Arial" w:cs="Arial" w:eastAsia="Arial" w:hAnsi="Arial"/>
          <w:sz w:val="15"/>
          <w:szCs w:val="15"/>
          <w:color w:val="auto"/>
        </w:rPr>
        <w:t>the risk and impact of role disruption, with the goal of supporting high-performing executive officers’ commitment to the Company.</w:t>
      </w:r>
    </w:p>
    <w:p>
      <w:pPr>
        <w:spacing w:after="0" w:line="4182" w:lineRule="exact"/>
        <w:rPr>
          <w:sz w:val="20"/>
          <w:szCs w:val="20"/>
          <w:color w:val="auto"/>
        </w:rPr>
      </w:pPr>
    </w:p>
    <w:p>
      <w:pPr>
        <w:sectPr>
          <w:pgSz w:w="11900" w:h="16838" w:orient="portrait"/>
          <w:cols w:equalWidth="0" w:num="2">
            <w:col w:w="2160" w:space="560"/>
            <w:col w:w="7940"/>
          </w:cols>
          <w:pgMar w:left="320" w:top="464" w:right="919" w:bottom="1440" w:gutter="0" w:footer="0" w:header="0"/>
        </w:sectPr>
      </w:pPr>
    </w:p>
    <w:p>
      <w:pPr>
        <w:spacing w:after="0" w:line="200" w:lineRule="exact"/>
        <w:rPr>
          <w:sz w:val="20"/>
          <w:szCs w:val="20"/>
          <w:color w:val="auto"/>
        </w:rPr>
      </w:pPr>
    </w:p>
    <w:p>
      <w:pPr>
        <w:spacing w:after="0" w:line="385" w:lineRule="exact"/>
        <w:rPr>
          <w:sz w:val="20"/>
          <w:szCs w:val="20"/>
          <w:color w:val="auto"/>
        </w:rPr>
      </w:pPr>
    </w:p>
    <w:p>
      <w:pPr>
        <w:ind w:left="420"/>
        <w:spacing w:after="0"/>
        <w:tabs>
          <w:tab w:leader="none" w:pos="2380" w:val="left"/>
          <w:tab w:leader="none" w:pos="2800" w:val="left"/>
        </w:tabs>
        <w:rPr>
          <w:sz w:val="20"/>
          <w:szCs w:val="20"/>
          <w:color w:val="auto"/>
        </w:rPr>
      </w:pPr>
      <w:r>
        <w:rPr>
          <w:rFonts w:ascii="Arial" w:cs="Arial" w:eastAsia="Arial" w:hAnsi="Arial"/>
          <w:sz w:val="30"/>
          <w:szCs w:val="30"/>
          <w:color w:val="000000"/>
          <w:vertAlign w:val="superscript"/>
        </w:rPr>
        <w:t xml:space="preserve">             </w:t>
      </w:r>
      <w:r>
        <w:rPr>
          <w:sz w:val="20"/>
          <w:szCs w:val="20"/>
          <w:color w:val="auto"/>
        </w:rPr>
        <w:tab/>
      </w:r>
      <w:r>
        <w:rPr>
          <w:rFonts w:ascii="Arial" w:cs="Arial" w:eastAsia="Arial" w:hAnsi="Arial"/>
          <w:sz w:val="31"/>
          <w:szCs w:val="31"/>
          <w:color w:val="auto"/>
          <w:vertAlign w:val="superscript"/>
        </w:rPr>
        <w:t xml:space="preserve">    </w:t>
      </w:r>
      <w:r>
        <w:rPr>
          <w:sz w:val="20"/>
          <w:szCs w:val="20"/>
          <w:color w:val="auto"/>
        </w:rPr>
        <w:tab/>
      </w:r>
      <w:r>
        <w:rPr>
          <w:rFonts w:ascii="Arial" w:cs="Arial" w:eastAsia="Arial" w:hAnsi="Arial"/>
          <w:sz w:val="15"/>
          <w:szCs w:val="15"/>
          <w:b w:val="1"/>
          <w:bCs w:val="1"/>
          <w:color w:val="002B5F"/>
        </w:rPr>
        <w:t xml:space="preserve">40  </w:t>
      </w:r>
      <w:r>
        <w:rPr>
          <w:rFonts w:ascii="Arial" w:cs="Arial" w:eastAsia="Arial" w:hAnsi="Arial"/>
          <w:sz w:val="20"/>
          <w:szCs w:val="20"/>
          <w:color w:val="002B5F"/>
        </w:rPr>
        <w:t>|</w:t>
      </w:r>
      <w:r>
        <w:rPr>
          <w:rFonts w:ascii="Arial" w:cs="Arial" w:eastAsia="Arial" w:hAnsi="Arial"/>
          <w:sz w:val="15"/>
          <w:szCs w:val="15"/>
          <w:b w:val="1"/>
          <w:bCs w:val="1"/>
          <w:color w:val="002B5F"/>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6111875</wp:posOffset>
            </wp:positionH>
            <wp:positionV relativeFrom="paragraph">
              <wp:posOffset>-208915</wp:posOffset>
            </wp:positionV>
            <wp:extent cx="769620" cy="971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69620" cy="97155"/>
                    </a:xfrm>
                    <a:prstGeom prst="rect">
                      <a:avLst/>
                    </a:prstGeom>
                    <a:noFill/>
                  </pic:spPr>
                </pic:pic>
              </a:graphicData>
            </a:graphic>
          </wp:anchor>
        </w:drawing>
      </w:r>
    </w:p>
    <w:p>
      <w:pPr>
        <w:sectPr>
          <w:pgSz w:w="11900" w:h="16838" w:orient="portrait"/>
          <w:cols w:equalWidth="0" w:num="1">
            <w:col w:w="10660"/>
          </w:cols>
          <w:pgMar w:left="320" w:top="464" w:right="919" w:bottom="1440" w:gutter="0" w:footer="0" w:header="0"/>
          <w:type w:val="continuous"/>
        </w:sectPr>
      </w:pPr>
    </w:p>
    <w:bookmarkStart w:id="48" w:name="page49"/>
    <w:bookmarkEnd w:id="48"/>
    <w:tbl>
      <w:tblPr>
        <w:tblLayout w:type="fixed"/>
        <w:tblInd w:w="0" w:type="dxa"/>
        <w:tblCellMar>
          <w:top w:w="0" w:type="dxa"/>
          <w:left w:w="0" w:type="dxa"/>
          <w:bottom w:w="0" w:type="dxa"/>
          <w:right w:w="0" w:type="dxa"/>
        </w:tblCellMar>
      </w:tblPr>
      <w:tr>
        <w:trPr>
          <w:trHeight w:val="195"/>
        </w:trPr>
        <w:tc>
          <w:tcPr>
            <w:tcW w:w="824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0000EE"/>
              </w:rPr>
              <w:t>Table of Contents</w:t>
            </w: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3"/>
        </w:trPr>
        <w:tc>
          <w:tcPr>
            <w:tcW w:w="540" w:type="dxa"/>
            <w:vAlign w:val="bottom"/>
            <w:tcBorders>
              <w:top w:val="single" w:sz="8" w:color="0000EE"/>
            </w:tcBorders>
          </w:tcPr>
          <w:p>
            <w:pPr>
              <w:spacing w:after="0"/>
              <w:rPr>
                <w:sz w:val="24"/>
                <w:szCs w:val="24"/>
                <w:color w:val="auto"/>
              </w:rPr>
            </w:pPr>
          </w:p>
        </w:tc>
        <w:tc>
          <w:tcPr>
            <w:tcW w:w="740" w:type="dxa"/>
            <w:vAlign w:val="bottom"/>
            <w:tcBorders>
              <w:top w:val="single" w:sz="8" w:color="0000EE"/>
            </w:tcBorders>
          </w:tcPr>
          <w:p>
            <w:pPr>
              <w:spacing w:after="0"/>
              <w:rPr>
                <w:sz w:val="24"/>
                <w:szCs w:val="24"/>
                <w:color w:val="auto"/>
              </w:rPr>
            </w:pPr>
          </w:p>
        </w:tc>
        <w:tc>
          <w:tcPr>
            <w:tcW w:w="6960" w:type="dxa"/>
            <w:vAlign w:val="bottom"/>
          </w:tcPr>
          <w:p>
            <w:pPr>
              <w:spacing w:after="0"/>
              <w:rPr>
                <w:sz w:val="24"/>
                <w:szCs w:val="24"/>
                <w:color w:val="auto"/>
              </w:rPr>
            </w:pPr>
          </w:p>
        </w:tc>
        <w:tc>
          <w:tcPr>
            <w:tcW w:w="840" w:type="dxa"/>
            <w:vAlign w:val="bottom"/>
            <w:gridSpan w:val="2"/>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540" w:type="dxa"/>
            <w:vAlign w:val="bottom"/>
          </w:tcPr>
          <w:p>
            <w:pPr>
              <w:spacing w:after="0"/>
              <w:rPr>
                <w:sz w:val="18"/>
                <w:szCs w:val="18"/>
                <w:color w:val="auto"/>
              </w:rPr>
            </w:pPr>
          </w:p>
        </w:tc>
        <w:tc>
          <w:tcPr>
            <w:tcW w:w="7700" w:type="dxa"/>
            <w:vAlign w:val="bottom"/>
            <w:tcBorders>
              <w:top w:val="single" w:sz="8" w:color="002B5F"/>
            </w:tcBorders>
            <w:gridSpan w:val="2"/>
          </w:tcPr>
          <w:p>
            <w:pPr>
              <w:spacing w:after="0"/>
              <w:rPr>
                <w:sz w:val="20"/>
                <w:szCs w:val="20"/>
                <w:color w:val="auto"/>
              </w:rPr>
            </w:pPr>
            <w:r>
              <w:rPr>
                <w:rFonts w:ascii="Arial" w:cs="Arial" w:eastAsia="Arial" w:hAnsi="Arial"/>
                <w:sz w:val="17"/>
                <w:szCs w:val="17"/>
                <w:b w:val="1"/>
                <w:bCs w:val="1"/>
                <w:color w:val="002B5F"/>
              </w:rPr>
              <w:t> </w:t>
            </w:r>
          </w:p>
        </w:tc>
        <w:tc>
          <w:tcPr>
            <w:tcW w:w="180" w:type="dxa"/>
            <w:vAlign w:val="bottom"/>
            <w:tcBorders>
              <w:top w:val="single" w:sz="8" w:color="002B5F"/>
            </w:tcBorders>
          </w:tcPr>
          <w:p>
            <w:pPr>
              <w:ind w:left="80"/>
              <w:spacing w:after="0"/>
              <w:rPr>
                <w:sz w:val="20"/>
                <w:szCs w:val="20"/>
                <w:color w:val="auto"/>
              </w:rPr>
            </w:pPr>
            <w:r>
              <w:rPr>
                <w:rFonts w:ascii="Arial" w:cs="Arial" w:eastAsia="Arial" w:hAnsi="Arial"/>
                <w:sz w:val="17"/>
                <w:szCs w:val="17"/>
                <w:b w:val="1"/>
                <w:bCs w:val="1"/>
                <w:color w:val="002B5F"/>
              </w:rPr>
              <w:t> </w:t>
            </w:r>
          </w:p>
        </w:tc>
        <w:tc>
          <w:tcPr>
            <w:tcW w:w="660" w:type="dxa"/>
            <w:vAlign w:val="bottom"/>
          </w:tcPr>
          <w:p>
            <w:pPr>
              <w:spacing w:after="0"/>
              <w:rPr>
                <w:sz w:val="18"/>
                <w:szCs w:val="18"/>
                <w:color w:val="auto"/>
              </w:rPr>
            </w:pPr>
          </w:p>
        </w:tc>
        <w:tc>
          <w:tcPr>
            <w:tcW w:w="1200" w:type="dxa"/>
            <w:vAlign w:val="bottom"/>
            <w:vMerge w:val="restart"/>
          </w:tcPr>
          <w:p>
            <w:pPr>
              <w:ind w:left="140"/>
              <w:spacing w:after="0"/>
              <w:rPr>
                <w:sz w:val="20"/>
                <w:szCs w:val="20"/>
                <w:color w:val="auto"/>
              </w:rPr>
            </w:pPr>
            <w:r>
              <w:rPr>
                <w:rFonts w:ascii="Arial" w:cs="Arial" w:eastAsia="Arial" w:hAnsi="Arial"/>
                <w:sz w:val="12"/>
                <w:szCs w:val="12"/>
                <w:color w:val="FFFFFF"/>
              </w:rPr>
              <w:t>General</w:t>
            </w:r>
          </w:p>
        </w:tc>
        <w:tc>
          <w:tcPr>
            <w:tcW w:w="0" w:type="dxa"/>
            <w:vAlign w:val="bottom"/>
          </w:tcPr>
          <w:p>
            <w:pPr>
              <w:spacing w:after="0"/>
              <w:rPr>
                <w:sz w:val="1"/>
                <w:szCs w:val="1"/>
                <w:color w:val="auto"/>
              </w:rPr>
            </w:pPr>
          </w:p>
        </w:tc>
      </w:tr>
      <w:tr>
        <w:trPr>
          <w:trHeight w:val="170"/>
        </w:trPr>
        <w:tc>
          <w:tcPr>
            <w:tcW w:w="540" w:type="dxa"/>
            <w:vAlign w:val="bottom"/>
          </w:tcPr>
          <w:p>
            <w:pPr>
              <w:spacing w:after="0"/>
              <w:rPr>
                <w:sz w:val="14"/>
                <w:szCs w:val="14"/>
                <w:color w:val="auto"/>
              </w:rPr>
            </w:pPr>
          </w:p>
        </w:tc>
        <w:tc>
          <w:tcPr>
            <w:tcW w:w="7700" w:type="dxa"/>
            <w:vAlign w:val="bottom"/>
            <w:gridSpan w:val="2"/>
          </w:tcPr>
          <w:p>
            <w:pPr>
              <w:ind w:left="160"/>
              <w:spacing w:after="0" w:line="170" w:lineRule="exact"/>
              <w:rPr>
                <w:sz w:val="20"/>
                <w:szCs w:val="20"/>
                <w:color w:val="auto"/>
              </w:rPr>
            </w:pPr>
            <w:r>
              <w:rPr>
                <w:rFonts w:ascii="Arial" w:cs="Arial" w:eastAsia="Arial" w:hAnsi="Arial"/>
                <w:sz w:val="17"/>
                <w:szCs w:val="17"/>
                <w:b w:val="1"/>
                <w:bCs w:val="1"/>
                <w:color w:val="002B5F"/>
              </w:rPr>
              <w:t>COMPENSATION GOVERNANCE</w:t>
            </w:r>
          </w:p>
        </w:tc>
        <w:tc>
          <w:tcPr>
            <w:tcW w:w="180" w:type="dxa"/>
            <w:vAlign w:val="bottom"/>
          </w:tcPr>
          <w:p>
            <w:pPr>
              <w:spacing w:after="0"/>
              <w:rPr>
                <w:sz w:val="14"/>
                <w:szCs w:val="14"/>
                <w:color w:val="auto"/>
              </w:rPr>
            </w:pPr>
          </w:p>
        </w:tc>
        <w:tc>
          <w:tcPr>
            <w:tcW w:w="660" w:type="dxa"/>
            <w:vAlign w:val="bottom"/>
          </w:tcPr>
          <w:p>
            <w:pPr>
              <w:ind w:left="460"/>
              <w:spacing w:after="0" w:line="170" w:lineRule="exact"/>
              <w:rPr>
                <w:sz w:val="20"/>
                <w:szCs w:val="20"/>
                <w:color w:val="auto"/>
              </w:rPr>
            </w:pPr>
            <w:r>
              <w:rPr>
                <w:rFonts w:ascii="Arial" w:cs="Arial" w:eastAsia="Arial" w:hAnsi="Arial"/>
                <w:sz w:val="15"/>
                <w:szCs w:val="15"/>
                <w:color w:val="auto"/>
              </w:rPr>
              <w:t> </w:t>
            </w:r>
          </w:p>
        </w:tc>
        <w:tc>
          <w:tcPr>
            <w:tcW w:w="12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5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9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0" w:type="dxa"/>
            <w:vAlign w:val="bottom"/>
          </w:tcPr>
          <w:p>
            <w:pPr>
              <w:ind w:left="140"/>
              <w:spacing w:after="0"/>
              <w:rPr>
                <w:sz w:val="20"/>
                <w:szCs w:val="20"/>
                <w:color w:val="auto"/>
              </w:rPr>
            </w:pPr>
            <w:r>
              <w:rPr>
                <w:rFonts w:ascii="Arial" w:cs="Arial" w:eastAsia="Arial" w:hAnsi="Arial"/>
                <w:sz w:val="12"/>
                <w:szCs w:val="12"/>
                <w:color w:val="FFFFFF"/>
              </w:rPr>
              <w:t>Information</w:t>
            </w:r>
          </w:p>
        </w:tc>
        <w:tc>
          <w:tcPr>
            <w:tcW w:w="0" w:type="dxa"/>
            <w:vAlign w:val="bottom"/>
          </w:tcPr>
          <w:p>
            <w:pPr>
              <w:spacing w:after="0"/>
              <w:rPr>
                <w:sz w:val="1"/>
                <w:szCs w:val="1"/>
                <w:color w:val="auto"/>
              </w:rPr>
            </w:pPr>
          </w:p>
        </w:tc>
      </w:tr>
      <w:tr>
        <w:trPr>
          <w:trHeight w:val="179"/>
        </w:trPr>
        <w:tc>
          <w:tcPr>
            <w:tcW w:w="540" w:type="dxa"/>
            <w:vAlign w:val="bottom"/>
          </w:tcPr>
          <w:p>
            <w:pPr>
              <w:spacing w:after="0"/>
              <w:rPr>
                <w:sz w:val="15"/>
                <w:szCs w:val="15"/>
                <w:color w:val="auto"/>
              </w:rPr>
            </w:pPr>
          </w:p>
        </w:tc>
        <w:tc>
          <w:tcPr>
            <w:tcW w:w="7700" w:type="dxa"/>
            <w:vAlign w:val="bottom"/>
            <w:gridSpan w:val="2"/>
          </w:tcPr>
          <w:p>
            <w:pPr>
              <w:ind w:left="160"/>
              <w:spacing w:after="0"/>
              <w:rPr>
                <w:sz w:val="20"/>
                <w:szCs w:val="20"/>
                <w:color w:val="auto"/>
              </w:rPr>
            </w:pPr>
            <w:r>
              <w:rPr>
                <w:rFonts w:ascii="Arial" w:cs="Arial" w:eastAsia="Arial" w:hAnsi="Arial"/>
                <w:sz w:val="15"/>
                <w:szCs w:val="15"/>
                <w:color w:val="auto"/>
              </w:rPr>
              <w:t>In order to implement our compensation philosophy, and to promote strong governance and alignment with</w:t>
            </w: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0" w:type="dxa"/>
            <w:vAlign w:val="bottom"/>
            <w:vMerge w:val="restart"/>
          </w:tcPr>
          <w:p>
            <w:pPr>
              <w:ind w:left="140"/>
              <w:spacing w:after="0"/>
              <w:rPr>
                <w:sz w:val="20"/>
                <w:szCs w:val="20"/>
                <w:color w:val="auto"/>
              </w:rPr>
            </w:pPr>
            <w:r>
              <w:rPr>
                <w:rFonts w:ascii="Arial" w:cs="Arial" w:eastAsia="Arial" w:hAnsi="Arial"/>
                <w:sz w:val="12"/>
                <w:szCs w:val="12"/>
                <w:color w:val="FFFFFF"/>
                <w:w w:val="98"/>
              </w:rPr>
              <w:t>General Information</w:t>
            </w:r>
          </w:p>
        </w:tc>
        <w:tc>
          <w:tcPr>
            <w:tcW w:w="0" w:type="dxa"/>
            <w:vAlign w:val="bottom"/>
          </w:tcPr>
          <w:p>
            <w:pPr>
              <w:spacing w:after="0"/>
              <w:rPr>
                <w:sz w:val="1"/>
                <w:szCs w:val="1"/>
                <w:color w:val="auto"/>
              </w:rPr>
            </w:pPr>
          </w:p>
        </w:tc>
      </w:tr>
      <w:tr>
        <w:trPr>
          <w:trHeight w:val="46"/>
        </w:trPr>
        <w:tc>
          <w:tcPr>
            <w:tcW w:w="540" w:type="dxa"/>
            <w:vAlign w:val="bottom"/>
          </w:tcPr>
          <w:p>
            <w:pPr>
              <w:spacing w:after="0"/>
              <w:rPr>
                <w:sz w:val="3"/>
                <w:szCs w:val="3"/>
                <w:color w:val="auto"/>
              </w:rPr>
            </w:pPr>
          </w:p>
        </w:tc>
        <w:tc>
          <w:tcPr>
            <w:tcW w:w="7700" w:type="dxa"/>
            <w:vAlign w:val="bottom"/>
            <w:gridSpan w:val="2"/>
            <w:vMerge w:val="restart"/>
          </w:tcPr>
          <w:p>
            <w:pPr>
              <w:ind w:left="160"/>
              <w:spacing w:after="0"/>
              <w:rPr>
                <w:sz w:val="20"/>
                <w:szCs w:val="20"/>
                <w:color w:val="auto"/>
              </w:rPr>
            </w:pPr>
            <w:r>
              <w:rPr>
                <w:rFonts w:ascii="Arial" w:cs="Arial" w:eastAsia="Arial" w:hAnsi="Arial"/>
                <w:sz w:val="15"/>
                <w:szCs w:val="15"/>
                <w:color w:val="auto"/>
              </w:rPr>
              <w:t>stakeholder interests, we do the following:</w:t>
            </w:r>
          </w:p>
        </w:tc>
        <w:tc>
          <w:tcPr>
            <w:tcW w:w="1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28"/>
        </w:trPr>
        <w:tc>
          <w:tcPr>
            <w:tcW w:w="540" w:type="dxa"/>
            <w:vAlign w:val="bottom"/>
          </w:tcPr>
          <w:p>
            <w:pPr>
              <w:spacing w:after="0"/>
              <w:rPr>
                <w:sz w:val="11"/>
                <w:szCs w:val="11"/>
                <w:color w:val="auto"/>
              </w:rPr>
            </w:pPr>
          </w:p>
        </w:tc>
        <w:tc>
          <w:tcPr>
            <w:tcW w:w="770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0" w:type="dxa"/>
            <w:vAlign w:val="bottom"/>
          </w:tcPr>
          <w:p>
            <w:pPr>
              <w:ind w:left="140"/>
              <w:spacing w:after="0" w:line="128" w:lineRule="exact"/>
              <w:rPr>
                <w:sz w:val="20"/>
                <w:szCs w:val="20"/>
                <w:color w:val="auto"/>
              </w:rPr>
            </w:pPr>
            <w:r>
              <w:rPr>
                <w:rFonts w:ascii="Arial" w:cs="Arial" w:eastAsia="Arial" w:hAnsi="Arial"/>
                <w:sz w:val="12"/>
                <w:szCs w:val="12"/>
                <w:color w:val="FFFFFF"/>
              </w:rPr>
              <w:t>About Corporate</w:t>
            </w:r>
          </w:p>
        </w:tc>
        <w:tc>
          <w:tcPr>
            <w:tcW w:w="0" w:type="dxa"/>
            <w:vAlign w:val="bottom"/>
          </w:tcPr>
          <w:p>
            <w:pPr>
              <w:spacing w:after="0"/>
              <w:rPr>
                <w:sz w:val="1"/>
                <w:szCs w:val="1"/>
                <w:color w:val="auto"/>
              </w:rPr>
            </w:pPr>
          </w:p>
        </w:tc>
      </w:tr>
      <w:tr>
        <w:trPr>
          <w:trHeight w:val="128"/>
        </w:trPr>
        <w:tc>
          <w:tcPr>
            <w:tcW w:w="540" w:type="dxa"/>
            <w:vAlign w:val="bottom"/>
          </w:tcPr>
          <w:p>
            <w:pPr>
              <w:spacing w:after="0"/>
              <w:rPr>
                <w:sz w:val="11"/>
                <w:szCs w:val="11"/>
                <w:color w:val="auto"/>
              </w:rPr>
            </w:pPr>
          </w:p>
        </w:tc>
        <w:tc>
          <w:tcPr>
            <w:tcW w:w="7700" w:type="dxa"/>
            <w:vAlign w:val="bottom"/>
            <w:gridSpan w:val="2"/>
            <w:vMerge w:val="restart"/>
          </w:tcPr>
          <w:p>
            <w:pPr>
              <w:ind w:left="160"/>
              <w:spacing w:after="0" w:line="173" w:lineRule="exact"/>
              <w:rPr>
                <w:sz w:val="20"/>
                <w:szCs w:val="20"/>
                <w:color w:val="auto"/>
              </w:rPr>
            </w:pPr>
            <w:r>
              <w:rPr>
                <w:rFonts w:ascii="MS PGothic" w:cs="MS PGothic" w:eastAsia="MS PGothic" w:hAnsi="MS PGothic"/>
                <w:sz w:val="15"/>
                <w:szCs w:val="15"/>
                <w:color w:val="auto"/>
              </w:rPr>
              <w:t>✓</w:t>
            </w:r>
            <w:r>
              <w:rPr>
                <w:rFonts w:ascii="Arial" w:cs="Arial" w:eastAsia="Arial" w:hAnsi="Arial"/>
                <w:sz w:val="15"/>
                <w:szCs w:val="15"/>
                <w:color w:val="auto"/>
              </w:rPr>
              <w:t xml:space="preserve">    maintain a pay mix that emphasizes variable, performance-based compensation over fixed compensation;</w:t>
            </w: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0" w:type="dxa"/>
            <w:vAlign w:val="bottom"/>
          </w:tcPr>
          <w:p>
            <w:pPr>
              <w:ind w:left="140"/>
              <w:spacing w:after="0" w:line="128" w:lineRule="exact"/>
              <w:rPr>
                <w:sz w:val="20"/>
                <w:szCs w:val="20"/>
                <w:color w:val="auto"/>
              </w:rPr>
            </w:pPr>
            <w:r>
              <w:rPr>
                <w:rFonts w:ascii="Arial" w:cs="Arial" w:eastAsia="Arial" w:hAnsi="Arial"/>
                <w:sz w:val="12"/>
                <w:szCs w:val="12"/>
                <w:color w:val="FFFFFF"/>
              </w:rPr>
              <w:t>Governance</w:t>
            </w:r>
          </w:p>
        </w:tc>
        <w:tc>
          <w:tcPr>
            <w:tcW w:w="0" w:type="dxa"/>
            <w:vAlign w:val="bottom"/>
          </w:tcPr>
          <w:p>
            <w:pPr>
              <w:spacing w:after="0"/>
              <w:rPr>
                <w:sz w:val="1"/>
                <w:szCs w:val="1"/>
                <w:color w:val="auto"/>
              </w:rPr>
            </w:pPr>
          </w:p>
        </w:tc>
      </w:tr>
      <w:tr>
        <w:trPr>
          <w:trHeight w:val="133"/>
        </w:trPr>
        <w:tc>
          <w:tcPr>
            <w:tcW w:w="540" w:type="dxa"/>
            <w:vAlign w:val="bottom"/>
          </w:tcPr>
          <w:p>
            <w:pPr>
              <w:spacing w:after="0"/>
              <w:rPr>
                <w:sz w:val="11"/>
                <w:szCs w:val="11"/>
                <w:color w:val="auto"/>
              </w:rPr>
            </w:pPr>
          </w:p>
        </w:tc>
        <w:tc>
          <w:tcPr>
            <w:tcW w:w="770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0" w:type="dxa"/>
            <w:vAlign w:val="bottom"/>
          </w:tcPr>
          <w:p>
            <w:pPr>
              <w:ind w:left="140"/>
              <w:spacing w:after="0" w:line="133" w:lineRule="exact"/>
              <w:rPr>
                <w:sz w:val="20"/>
                <w:szCs w:val="20"/>
                <w:color w:val="auto"/>
              </w:rPr>
            </w:pPr>
            <w:r>
              <w:rPr>
                <w:rFonts w:ascii="Arial" w:cs="Arial" w:eastAsia="Arial" w:hAnsi="Arial"/>
                <w:sz w:val="12"/>
                <w:szCs w:val="12"/>
                <w:color w:val="FFFFFF"/>
              </w:rPr>
              <w:t>and the Board of</w:t>
            </w:r>
          </w:p>
        </w:tc>
        <w:tc>
          <w:tcPr>
            <w:tcW w:w="0" w:type="dxa"/>
            <w:vAlign w:val="bottom"/>
          </w:tcPr>
          <w:p>
            <w:pPr>
              <w:spacing w:after="0"/>
              <w:rPr>
                <w:sz w:val="1"/>
                <w:szCs w:val="1"/>
                <w:color w:val="auto"/>
              </w:rPr>
            </w:pPr>
          </w:p>
        </w:tc>
      </w:tr>
      <w:tr>
        <w:trPr>
          <w:trHeight w:val="158"/>
        </w:trPr>
        <w:tc>
          <w:tcPr>
            <w:tcW w:w="540" w:type="dxa"/>
            <w:vAlign w:val="bottom"/>
          </w:tcPr>
          <w:p>
            <w:pPr>
              <w:spacing w:after="0"/>
              <w:rPr>
                <w:sz w:val="13"/>
                <w:szCs w:val="13"/>
                <w:color w:val="auto"/>
              </w:rPr>
            </w:pPr>
          </w:p>
        </w:tc>
        <w:tc>
          <w:tcPr>
            <w:tcW w:w="7700" w:type="dxa"/>
            <w:vAlign w:val="bottom"/>
            <w:gridSpan w:val="2"/>
            <w:vMerge w:val="restart"/>
          </w:tcPr>
          <w:p>
            <w:pPr>
              <w:ind w:left="160"/>
              <w:spacing w:after="0" w:line="173" w:lineRule="exact"/>
              <w:rPr>
                <w:sz w:val="20"/>
                <w:szCs w:val="20"/>
                <w:color w:val="auto"/>
              </w:rPr>
            </w:pPr>
            <w:r>
              <w:rPr>
                <w:rFonts w:ascii="MS PGothic" w:cs="MS PGothic" w:eastAsia="MS PGothic" w:hAnsi="MS PGothic"/>
                <w:sz w:val="15"/>
                <w:szCs w:val="15"/>
                <w:color w:val="auto"/>
              </w:rPr>
              <w:t>✓</w:t>
            </w:r>
            <w:r>
              <w:rPr>
                <w:rFonts w:ascii="Arial" w:cs="Arial" w:eastAsia="Arial" w:hAnsi="Arial"/>
                <w:sz w:val="15"/>
                <w:szCs w:val="15"/>
                <w:color w:val="auto"/>
              </w:rPr>
              <w:t xml:space="preserve">    maintain stock ownership guidelines for executive officers;</w:t>
            </w: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0" w:type="dxa"/>
            <w:vAlign w:val="bottom"/>
          </w:tcPr>
          <w:p>
            <w:pPr>
              <w:ind w:left="140"/>
              <w:spacing w:after="0"/>
              <w:rPr>
                <w:sz w:val="20"/>
                <w:szCs w:val="20"/>
                <w:color w:val="auto"/>
              </w:rPr>
            </w:pPr>
            <w:r>
              <w:rPr>
                <w:rFonts w:ascii="Arial" w:cs="Arial" w:eastAsia="Arial" w:hAnsi="Arial"/>
                <w:sz w:val="12"/>
                <w:szCs w:val="12"/>
                <w:color w:val="FFFFFF"/>
              </w:rPr>
              <w:t>Directors</w:t>
            </w:r>
          </w:p>
        </w:tc>
        <w:tc>
          <w:tcPr>
            <w:tcW w:w="0" w:type="dxa"/>
            <w:vAlign w:val="bottom"/>
          </w:tcPr>
          <w:p>
            <w:pPr>
              <w:spacing w:after="0"/>
              <w:rPr>
                <w:sz w:val="1"/>
                <w:szCs w:val="1"/>
                <w:color w:val="auto"/>
              </w:rPr>
            </w:pPr>
          </w:p>
        </w:tc>
      </w:tr>
      <w:tr>
        <w:trPr>
          <w:trHeight w:val="206"/>
        </w:trPr>
        <w:tc>
          <w:tcPr>
            <w:tcW w:w="540" w:type="dxa"/>
            <w:vAlign w:val="bottom"/>
          </w:tcPr>
          <w:p>
            <w:pPr>
              <w:spacing w:after="0"/>
              <w:rPr>
                <w:sz w:val="17"/>
                <w:szCs w:val="17"/>
                <w:color w:val="auto"/>
              </w:rPr>
            </w:pPr>
          </w:p>
        </w:tc>
        <w:tc>
          <w:tcPr>
            <w:tcW w:w="770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0" w:type="dxa"/>
            <w:vAlign w:val="bottom"/>
            <w:vMerge w:val="restart"/>
          </w:tcPr>
          <w:p>
            <w:pPr>
              <w:ind w:left="140"/>
              <w:spacing w:after="0"/>
              <w:rPr>
                <w:sz w:val="20"/>
                <w:szCs w:val="20"/>
                <w:color w:val="auto"/>
              </w:rPr>
            </w:pPr>
            <w:r>
              <w:rPr>
                <w:rFonts w:ascii="Arial" w:cs="Arial" w:eastAsia="Arial" w:hAnsi="Arial"/>
                <w:sz w:val="12"/>
                <w:szCs w:val="12"/>
                <w:color w:val="FFFFFF"/>
              </w:rPr>
              <w:t>Proposal 1</w:t>
            </w:r>
          </w:p>
        </w:tc>
        <w:tc>
          <w:tcPr>
            <w:tcW w:w="0" w:type="dxa"/>
            <w:vAlign w:val="bottom"/>
          </w:tcPr>
          <w:p>
            <w:pPr>
              <w:spacing w:after="0"/>
              <w:rPr>
                <w:sz w:val="1"/>
                <w:szCs w:val="1"/>
                <w:color w:val="auto"/>
              </w:rPr>
            </w:pPr>
          </w:p>
        </w:tc>
      </w:tr>
      <w:tr>
        <w:trPr>
          <w:trHeight w:val="83"/>
        </w:trPr>
        <w:tc>
          <w:tcPr>
            <w:tcW w:w="540" w:type="dxa"/>
            <w:vAlign w:val="bottom"/>
          </w:tcPr>
          <w:p>
            <w:pPr>
              <w:spacing w:after="0"/>
              <w:rPr>
                <w:sz w:val="7"/>
                <w:szCs w:val="7"/>
                <w:color w:val="auto"/>
              </w:rPr>
            </w:pPr>
          </w:p>
        </w:tc>
        <w:tc>
          <w:tcPr>
            <w:tcW w:w="7700" w:type="dxa"/>
            <w:vAlign w:val="bottom"/>
            <w:gridSpan w:val="2"/>
            <w:vMerge w:val="restart"/>
          </w:tcPr>
          <w:p>
            <w:pPr>
              <w:ind w:left="160"/>
              <w:spacing w:after="0" w:line="173" w:lineRule="exact"/>
              <w:rPr>
                <w:sz w:val="20"/>
                <w:szCs w:val="20"/>
                <w:color w:val="auto"/>
              </w:rPr>
            </w:pPr>
            <w:r>
              <w:rPr>
                <w:rFonts w:ascii="MS PGothic" w:cs="MS PGothic" w:eastAsia="MS PGothic" w:hAnsi="MS PGothic"/>
                <w:sz w:val="15"/>
                <w:szCs w:val="15"/>
                <w:color w:val="auto"/>
              </w:rPr>
              <w:t>✓</w:t>
            </w:r>
            <w:r>
              <w:rPr>
                <w:rFonts w:ascii="Arial" w:cs="Arial" w:eastAsia="Arial" w:hAnsi="Arial"/>
                <w:sz w:val="15"/>
                <w:szCs w:val="15"/>
                <w:color w:val="auto"/>
              </w:rPr>
              <w:t xml:space="preserve">    maintain compensation clawback policies that, subject to limited exceptions, require the Company to</w:t>
            </w:r>
          </w:p>
        </w:tc>
        <w:tc>
          <w:tcPr>
            <w:tcW w:w="180" w:type="dxa"/>
            <w:vAlign w:val="bottom"/>
          </w:tcPr>
          <w:p>
            <w:pPr>
              <w:spacing w:after="0"/>
              <w:rPr>
                <w:sz w:val="7"/>
                <w:szCs w:val="7"/>
                <w:color w:val="auto"/>
              </w:rPr>
            </w:pPr>
          </w:p>
        </w:tc>
        <w:tc>
          <w:tcPr>
            <w:tcW w:w="660" w:type="dxa"/>
            <w:vAlign w:val="bottom"/>
          </w:tcPr>
          <w:p>
            <w:pPr>
              <w:spacing w:after="0"/>
              <w:rPr>
                <w:sz w:val="7"/>
                <w:szCs w:val="7"/>
                <w:color w:val="auto"/>
              </w:rPr>
            </w:pPr>
          </w:p>
        </w:tc>
        <w:tc>
          <w:tcPr>
            <w:tcW w:w="12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0"/>
        </w:trPr>
        <w:tc>
          <w:tcPr>
            <w:tcW w:w="540" w:type="dxa"/>
            <w:vAlign w:val="bottom"/>
          </w:tcPr>
          <w:p>
            <w:pPr>
              <w:spacing w:after="0"/>
              <w:rPr>
                <w:sz w:val="15"/>
                <w:szCs w:val="15"/>
                <w:color w:val="auto"/>
              </w:rPr>
            </w:pPr>
          </w:p>
        </w:tc>
        <w:tc>
          <w:tcPr>
            <w:tcW w:w="770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0" w:type="dxa"/>
            <w:vAlign w:val="bottom"/>
            <w:vMerge w:val="restart"/>
          </w:tcPr>
          <w:p>
            <w:pPr>
              <w:ind w:left="140"/>
              <w:spacing w:after="0"/>
              <w:rPr>
                <w:sz w:val="20"/>
                <w:szCs w:val="20"/>
                <w:color w:val="auto"/>
              </w:rPr>
            </w:pPr>
            <w:r>
              <w:rPr>
                <w:rFonts w:ascii="Arial" w:cs="Arial" w:eastAsia="Arial" w:hAnsi="Arial"/>
                <w:sz w:val="12"/>
                <w:szCs w:val="12"/>
                <w:color w:val="FFFFFF"/>
              </w:rPr>
              <w:t>Information</w:t>
            </w:r>
          </w:p>
        </w:tc>
        <w:tc>
          <w:tcPr>
            <w:tcW w:w="0" w:type="dxa"/>
            <w:vAlign w:val="bottom"/>
          </w:tcPr>
          <w:p>
            <w:pPr>
              <w:spacing w:after="0"/>
              <w:rPr>
                <w:sz w:val="1"/>
                <w:szCs w:val="1"/>
                <w:color w:val="auto"/>
              </w:rPr>
            </w:pPr>
          </w:p>
        </w:tc>
      </w:tr>
      <w:tr>
        <w:trPr>
          <w:trHeight w:val="84"/>
        </w:trPr>
        <w:tc>
          <w:tcPr>
            <w:tcW w:w="540" w:type="dxa"/>
            <w:vAlign w:val="bottom"/>
          </w:tcPr>
          <w:p>
            <w:pPr>
              <w:spacing w:after="0"/>
              <w:rPr>
                <w:sz w:val="7"/>
                <w:szCs w:val="7"/>
                <w:color w:val="auto"/>
              </w:rPr>
            </w:pPr>
          </w:p>
        </w:tc>
        <w:tc>
          <w:tcPr>
            <w:tcW w:w="7700" w:type="dxa"/>
            <w:vAlign w:val="bottom"/>
            <w:gridSpan w:val="2"/>
            <w:vMerge w:val="restart"/>
          </w:tcPr>
          <w:p>
            <w:pPr>
              <w:ind w:left="460"/>
              <w:spacing w:after="0"/>
              <w:rPr>
                <w:sz w:val="20"/>
                <w:szCs w:val="20"/>
                <w:color w:val="auto"/>
              </w:rPr>
            </w:pPr>
            <w:r>
              <w:rPr>
                <w:rFonts w:ascii="Arial" w:cs="Arial" w:eastAsia="Arial" w:hAnsi="Arial"/>
                <w:sz w:val="15"/>
                <w:szCs w:val="15"/>
                <w:color w:val="auto"/>
              </w:rPr>
              <w:t>recoup cash and equity incentive-based compensation from executive officers in the event of certain</w:t>
            </w:r>
          </w:p>
        </w:tc>
        <w:tc>
          <w:tcPr>
            <w:tcW w:w="180" w:type="dxa"/>
            <w:vAlign w:val="bottom"/>
          </w:tcPr>
          <w:p>
            <w:pPr>
              <w:spacing w:after="0"/>
              <w:rPr>
                <w:sz w:val="7"/>
                <w:szCs w:val="7"/>
                <w:color w:val="auto"/>
              </w:rPr>
            </w:pPr>
          </w:p>
        </w:tc>
        <w:tc>
          <w:tcPr>
            <w:tcW w:w="660" w:type="dxa"/>
            <w:vAlign w:val="bottom"/>
          </w:tcPr>
          <w:p>
            <w:pPr>
              <w:spacing w:after="0"/>
              <w:rPr>
                <w:sz w:val="7"/>
                <w:szCs w:val="7"/>
                <w:color w:val="auto"/>
              </w:rPr>
            </w:pPr>
          </w:p>
        </w:tc>
        <w:tc>
          <w:tcPr>
            <w:tcW w:w="12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0"/>
        </w:trPr>
        <w:tc>
          <w:tcPr>
            <w:tcW w:w="540" w:type="dxa"/>
            <w:vAlign w:val="bottom"/>
          </w:tcPr>
          <w:p>
            <w:pPr>
              <w:spacing w:after="0"/>
              <w:rPr>
                <w:sz w:val="10"/>
                <w:szCs w:val="10"/>
                <w:color w:val="auto"/>
              </w:rPr>
            </w:pPr>
          </w:p>
        </w:tc>
        <w:tc>
          <w:tcPr>
            <w:tcW w:w="770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0" w:type="dxa"/>
            <w:vAlign w:val="bottom"/>
          </w:tcPr>
          <w:p>
            <w:pPr>
              <w:ind w:left="140"/>
              <w:spacing w:after="0" w:line="120" w:lineRule="exact"/>
              <w:rPr>
                <w:sz w:val="20"/>
                <w:szCs w:val="20"/>
                <w:color w:val="auto"/>
              </w:rPr>
            </w:pPr>
            <w:r>
              <w:rPr>
                <w:rFonts w:ascii="Arial" w:cs="Arial" w:eastAsia="Arial" w:hAnsi="Arial"/>
                <w:sz w:val="12"/>
                <w:szCs w:val="12"/>
                <w:color w:val="FFFFFF"/>
              </w:rPr>
              <w:t>Regarding Board</w:t>
            </w:r>
          </w:p>
        </w:tc>
        <w:tc>
          <w:tcPr>
            <w:tcW w:w="0" w:type="dxa"/>
            <w:vAlign w:val="bottom"/>
          </w:tcPr>
          <w:p>
            <w:pPr>
              <w:spacing w:after="0"/>
              <w:rPr>
                <w:sz w:val="1"/>
                <w:szCs w:val="1"/>
                <w:color w:val="auto"/>
              </w:rPr>
            </w:pPr>
          </w:p>
        </w:tc>
      </w:tr>
      <w:tr>
        <w:trPr>
          <w:trHeight w:val="135"/>
        </w:trPr>
        <w:tc>
          <w:tcPr>
            <w:tcW w:w="540" w:type="dxa"/>
            <w:vAlign w:val="bottom"/>
          </w:tcPr>
          <w:p>
            <w:pPr>
              <w:spacing w:after="0"/>
              <w:rPr>
                <w:sz w:val="11"/>
                <w:szCs w:val="11"/>
                <w:color w:val="auto"/>
              </w:rPr>
            </w:pPr>
          </w:p>
        </w:tc>
        <w:tc>
          <w:tcPr>
            <w:tcW w:w="7700" w:type="dxa"/>
            <w:vAlign w:val="bottom"/>
            <w:gridSpan w:val="2"/>
          </w:tcPr>
          <w:p>
            <w:pPr>
              <w:ind w:left="460"/>
              <w:spacing w:after="0" w:line="136" w:lineRule="exact"/>
              <w:rPr>
                <w:sz w:val="20"/>
                <w:szCs w:val="20"/>
                <w:color w:val="auto"/>
              </w:rPr>
            </w:pPr>
            <w:r>
              <w:rPr>
                <w:rFonts w:ascii="Arial" w:cs="Arial" w:eastAsia="Arial" w:hAnsi="Arial"/>
                <w:sz w:val="15"/>
                <w:szCs w:val="15"/>
                <w:color w:val="auto"/>
              </w:rPr>
              <w:t>financial restatements, and also allow the Company to recoup cash and both time- and incentive-based</w:t>
            </w: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0" w:type="dxa"/>
            <w:vAlign w:val="bottom"/>
          </w:tcPr>
          <w:p>
            <w:pPr>
              <w:ind w:left="140"/>
              <w:spacing w:after="0" w:line="136" w:lineRule="exact"/>
              <w:rPr>
                <w:sz w:val="20"/>
                <w:szCs w:val="20"/>
                <w:color w:val="auto"/>
              </w:rPr>
            </w:pPr>
            <w:r>
              <w:rPr>
                <w:rFonts w:ascii="Arial" w:cs="Arial" w:eastAsia="Arial" w:hAnsi="Arial"/>
                <w:sz w:val="12"/>
                <w:szCs w:val="12"/>
                <w:color w:val="FFFFFF"/>
              </w:rPr>
              <w:t>and Committee</w:t>
            </w:r>
          </w:p>
        </w:tc>
        <w:tc>
          <w:tcPr>
            <w:tcW w:w="0" w:type="dxa"/>
            <w:vAlign w:val="bottom"/>
          </w:tcPr>
          <w:p>
            <w:pPr>
              <w:spacing w:after="0"/>
              <w:rPr>
                <w:sz w:val="1"/>
                <w:szCs w:val="1"/>
                <w:color w:val="auto"/>
              </w:rPr>
            </w:pPr>
          </w:p>
        </w:tc>
      </w:tr>
      <w:tr>
        <w:trPr>
          <w:trHeight w:val="197"/>
        </w:trPr>
        <w:tc>
          <w:tcPr>
            <w:tcW w:w="540" w:type="dxa"/>
            <w:vAlign w:val="bottom"/>
          </w:tcPr>
          <w:p>
            <w:pPr>
              <w:spacing w:after="0"/>
              <w:rPr>
                <w:sz w:val="17"/>
                <w:szCs w:val="17"/>
                <w:color w:val="auto"/>
              </w:rPr>
            </w:pPr>
          </w:p>
        </w:tc>
        <w:tc>
          <w:tcPr>
            <w:tcW w:w="7700" w:type="dxa"/>
            <w:vAlign w:val="bottom"/>
            <w:gridSpan w:val="2"/>
          </w:tcPr>
          <w:p>
            <w:pPr>
              <w:ind w:left="460"/>
              <w:spacing w:after="0"/>
              <w:rPr>
                <w:sz w:val="20"/>
                <w:szCs w:val="20"/>
                <w:color w:val="auto"/>
              </w:rPr>
            </w:pPr>
            <w:r>
              <w:rPr>
                <w:rFonts w:ascii="Arial" w:cs="Arial" w:eastAsia="Arial" w:hAnsi="Arial"/>
                <w:sz w:val="15"/>
                <w:szCs w:val="15"/>
                <w:color w:val="auto"/>
              </w:rPr>
              <w:t>equity compensation from executive officers in broader circumstances, including those involving willful</w:t>
            </w: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0" w:type="dxa"/>
            <w:vAlign w:val="bottom"/>
          </w:tcPr>
          <w:p>
            <w:pPr>
              <w:ind w:left="140"/>
              <w:spacing w:after="0"/>
              <w:rPr>
                <w:sz w:val="20"/>
                <w:szCs w:val="20"/>
                <w:color w:val="auto"/>
              </w:rPr>
            </w:pPr>
            <w:r>
              <w:rPr>
                <w:rFonts w:ascii="Arial" w:cs="Arial" w:eastAsia="Arial" w:hAnsi="Arial"/>
                <w:sz w:val="12"/>
                <w:szCs w:val="12"/>
                <w:color w:val="FFFFFF"/>
              </w:rPr>
              <w:t>Structure</w:t>
            </w:r>
          </w:p>
        </w:tc>
        <w:tc>
          <w:tcPr>
            <w:tcW w:w="0" w:type="dxa"/>
            <w:vAlign w:val="bottom"/>
          </w:tcPr>
          <w:p>
            <w:pPr>
              <w:spacing w:after="0"/>
              <w:rPr>
                <w:sz w:val="1"/>
                <w:szCs w:val="1"/>
                <w:color w:val="auto"/>
              </w:rPr>
            </w:pPr>
          </w:p>
        </w:tc>
      </w:tr>
      <w:tr>
        <w:trPr>
          <w:trHeight w:val="201"/>
        </w:trPr>
        <w:tc>
          <w:tcPr>
            <w:tcW w:w="540" w:type="dxa"/>
            <w:vAlign w:val="bottom"/>
          </w:tcPr>
          <w:p>
            <w:pPr>
              <w:spacing w:after="0"/>
              <w:rPr>
                <w:sz w:val="17"/>
                <w:szCs w:val="17"/>
                <w:color w:val="auto"/>
              </w:rPr>
            </w:pPr>
          </w:p>
        </w:tc>
        <w:tc>
          <w:tcPr>
            <w:tcW w:w="7700" w:type="dxa"/>
            <w:vAlign w:val="bottom"/>
            <w:gridSpan w:val="2"/>
          </w:tcPr>
          <w:p>
            <w:pPr>
              <w:ind w:left="460"/>
              <w:spacing w:after="0"/>
              <w:rPr>
                <w:sz w:val="20"/>
                <w:szCs w:val="20"/>
                <w:color w:val="auto"/>
              </w:rPr>
            </w:pPr>
            <w:r>
              <w:rPr>
                <w:rFonts w:ascii="Arial" w:cs="Arial" w:eastAsia="Arial" w:hAnsi="Arial"/>
                <w:sz w:val="15"/>
                <w:szCs w:val="15"/>
                <w:color w:val="auto"/>
              </w:rPr>
              <w:t>misconduct;</w:t>
            </w: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0" w:type="dxa"/>
            <w:vAlign w:val="bottom"/>
            <w:vMerge w:val="restart"/>
          </w:tcPr>
          <w:p>
            <w:pPr>
              <w:ind w:left="140"/>
              <w:spacing w:after="0"/>
              <w:rPr>
                <w:sz w:val="20"/>
                <w:szCs w:val="20"/>
                <w:color w:val="auto"/>
              </w:rPr>
            </w:pPr>
            <w:r>
              <w:rPr>
                <w:rFonts w:ascii="Arial" w:cs="Arial" w:eastAsia="Arial" w:hAnsi="Arial"/>
                <w:sz w:val="12"/>
                <w:szCs w:val="12"/>
                <w:color w:val="FFFFFF"/>
              </w:rPr>
              <w:t>Board of Directors</w:t>
            </w:r>
          </w:p>
        </w:tc>
        <w:tc>
          <w:tcPr>
            <w:tcW w:w="0" w:type="dxa"/>
            <w:vAlign w:val="bottom"/>
          </w:tcPr>
          <w:p>
            <w:pPr>
              <w:spacing w:after="0"/>
              <w:rPr>
                <w:sz w:val="1"/>
                <w:szCs w:val="1"/>
                <w:color w:val="auto"/>
              </w:rPr>
            </w:pPr>
          </w:p>
        </w:tc>
      </w:tr>
      <w:tr>
        <w:trPr>
          <w:trHeight w:val="24"/>
        </w:trPr>
        <w:tc>
          <w:tcPr>
            <w:tcW w:w="540" w:type="dxa"/>
            <w:vAlign w:val="bottom"/>
          </w:tcPr>
          <w:p>
            <w:pPr>
              <w:spacing w:after="0"/>
              <w:rPr>
                <w:sz w:val="2"/>
                <w:szCs w:val="2"/>
                <w:color w:val="auto"/>
              </w:rPr>
            </w:pPr>
          </w:p>
        </w:tc>
        <w:tc>
          <w:tcPr>
            <w:tcW w:w="740" w:type="dxa"/>
            <w:vAlign w:val="bottom"/>
          </w:tcPr>
          <w:p>
            <w:pPr>
              <w:spacing w:after="0"/>
              <w:rPr>
                <w:sz w:val="2"/>
                <w:szCs w:val="2"/>
                <w:color w:val="auto"/>
              </w:rPr>
            </w:pPr>
          </w:p>
        </w:tc>
        <w:tc>
          <w:tcPr>
            <w:tcW w:w="6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8"/>
        </w:trPr>
        <w:tc>
          <w:tcPr>
            <w:tcW w:w="540" w:type="dxa"/>
            <w:vAlign w:val="bottom"/>
          </w:tcPr>
          <w:p>
            <w:pPr>
              <w:spacing w:after="0"/>
              <w:rPr>
                <w:sz w:val="13"/>
                <w:szCs w:val="13"/>
                <w:color w:val="auto"/>
              </w:rPr>
            </w:pPr>
          </w:p>
        </w:tc>
        <w:tc>
          <w:tcPr>
            <w:tcW w:w="7700" w:type="dxa"/>
            <w:vAlign w:val="bottom"/>
            <w:gridSpan w:val="2"/>
            <w:vMerge w:val="restart"/>
          </w:tcPr>
          <w:p>
            <w:pPr>
              <w:ind w:left="160"/>
              <w:spacing w:after="0" w:line="173" w:lineRule="exact"/>
              <w:rPr>
                <w:sz w:val="20"/>
                <w:szCs w:val="20"/>
                <w:color w:val="auto"/>
              </w:rPr>
            </w:pPr>
            <w:r>
              <w:rPr>
                <w:rFonts w:ascii="MS PGothic" w:cs="MS PGothic" w:eastAsia="MS PGothic" w:hAnsi="MS PGothic"/>
                <w:sz w:val="15"/>
                <w:szCs w:val="15"/>
                <w:color w:val="auto"/>
              </w:rPr>
              <w:t>✓</w:t>
            </w:r>
            <w:r>
              <w:rPr>
                <w:rFonts w:ascii="Arial" w:cs="Arial" w:eastAsia="Arial" w:hAnsi="Arial"/>
                <w:sz w:val="15"/>
                <w:szCs w:val="15"/>
                <w:color w:val="auto"/>
              </w:rPr>
              <w:t xml:space="preserve">    retain an independent compensation consultant engaged by, and reporting directly to, the Compensation</w:t>
            </w: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0" w:type="dxa"/>
            <w:vAlign w:val="bottom"/>
          </w:tcPr>
          <w:p>
            <w:pPr>
              <w:ind w:left="140"/>
              <w:spacing w:after="0"/>
              <w:rPr>
                <w:sz w:val="20"/>
                <w:szCs w:val="20"/>
                <w:color w:val="auto"/>
              </w:rPr>
            </w:pPr>
            <w:r>
              <w:rPr>
                <w:rFonts w:ascii="Arial" w:cs="Arial" w:eastAsia="Arial" w:hAnsi="Arial"/>
                <w:sz w:val="12"/>
                <w:szCs w:val="12"/>
                <w:color w:val="FFFFFF"/>
              </w:rPr>
              <w:t>Compensation</w:t>
            </w:r>
          </w:p>
        </w:tc>
        <w:tc>
          <w:tcPr>
            <w:tcW w:w="0" w:type="dxa"/>
            <w:vAlign w:val="bottom"/>
          </w:tcPr>
          <w:p>
            <w:pPr>
              <w:spacing w:after="0"/>
              <w:rPr>
                <w:sz w:val="1"/>
                <w:szCs w:val="1"/>
                <w:color w:val="auto"/>
              </w:rPr>
            </w:pPr>
          </w:p>
        </w:tc>
      </w:tr>
      <w:tr>
        <w:trPr>
          <w:trHeight w:val="121"/>
        </w:trPr>
        <w:tc>
          <w:tcPr>
            <w:tcW w:w="540" w:type="dxa"/>
            <w:vAlign w:val="bottom"/>
          </w:tcPr>
          <w:p>
            <w:pPr>
              <w:spacing w:after="0"/>
              <w:rPr>
                <w:sz w:val="10"/>
                <w:szCs w:val="10"/>
                <w:color w:val="auto"/>
              </w:rPr>
            </w:pPr>
          </w:p>
        </w:tc>
        <w:tc>
          <w:tcPr>
            <w:tcW w:w="770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5334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81215" cy="53340"/>
                    </a:xfrm>
                    <a:prstGeom prst="rect">
                      <a:avLst/>
                    </a:prstGeom>
                    <a:noFill/>
                  </pic:spPr>
                </pic:pic>
              </a:graphicData>
            </a:graphic>
          </wp:anchor>
        </w:drawing>
        <w:drawing>
          <wp:anchor simplePos="0" relativeHeight="251657728" behindDoc="1" locked="0" layoutInCell="0" allowOverlap="1">
            <wp:simplePos x="0" y="0"/>
            <wp:positionH relativeFrom="column">
              <wp:posOffset>341630</wp:posOffset>
            </wp:positionH>
            <wp:positionV relativeFrom="paragraph">
              <wp:posOffset>-1859280</wp:posOffset>
            </wp:positionV>
            <wp:extent cx="6532245" cy="74720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532245" cy="74720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       </w:t>
      </w:r>
    </w:p>
    <w:p>
      <w:pPr>
        <w:spacing w:after="0" w:line="2623" w:lineRule="exact"/>
        <w:rPr>
          <w:sz w:val="20"/>
          <w:szCs w:val="20"/>
          <w:color w:val="auto"/>
        </w:rPr>
      </w:pPr>
    </w:p>
    <w:p>
      <w:pPr>
        <w:sectPr>
          <w:pgSz w:w="11900" w:h="16838" w:orient="portrait"/>
          <w:cols w:equalWidth="0" w:num="2">
            <w:col w:w="10280" w:space="160"/>
            <w:col w:w="360"/>
          </w:cols>
          <w:pgMar w:left="320" w:top="455" w:right="7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6380"/>
        <w:spacing w:after="0"/>
        <w:tabs>
          <w:tab w:leader="none" w:pos="8500" w:val="left"/>
          <w:tab w:leader="none" w:pos="9960" w:val="left"/>
        </w:tabs>
        <w:rPr>
          <w:sz w:val="20"/>
          <w:szCs w:val="20"/>
          <w:color w:val="auto"/>
        </w:rPr>
      </w:pPr>
      <w:r>
        <w:rPr>
          <w:rFonts w:ascii="Arial" w:cs="Arial" w:eastAsia="Arial" w:hAnsi="Arial"/>
          <w:sz w:val="15"/>
          <w:szCs w:val="15"/>
          <w:b w:val="1"/>
          <w:bCs w:val="1"/>
          <w:color w:val="002B5F"/>
        </w:rPr>
        <w:t xml:space="preserve">2026 Proxy Statement  </w:t>
      </w:r>
      <w:r>
        <w:rPr>
          <w:rFonts w:ascii="Arial" w:cs="Arial" w:eastAsia="Arial" w:hAnsi="Arial"/>
          <w:sz w:val="20"/>
          <w:szCs w:val="20"/>
          <w:color w:val="002B5F"/>
        </w:rPr>
        <w:t>|</w:t>
      </w:r>
      <w:r>
        <w:rPr>
          <w:rFonts w:ascii="Arial" w:cs="Arial" w:eastAsia="Arial" w:hAnsi="Arial"/>
          <w:sz w:val="15"/>
          <w:szCs w:val="15"/>
          <w:b w:val="1"/>
          <w:bCs w:val="1"/>
          <w:color w:val="002B5F"/>
        </w:rPr>
        <w:t xml:space="preserve">  41</w:t>
      </w:r>
      <w:r>
        <w:rPr>
          <w:sz w:val="20"/>
          <w:szCs w:val="20"/>
          <w:color w:val="auto"/>
        </w:rPr>
        <w:tab/>
      </w:r>
      <w:r>
        <w:rPr>
          <w:rFonts w:ascii="Arial" w:cs="Arial" w:eastAsia="Arial" w:hAnsi="Arial"/>
          <w:sz w:val="17"/>
          <w:szCs w:val="17"/>
          <w:color w:val="auto"/>
        </w:rPr>
        <w:t xml:space="preserve">    </w:t>
      </w:r>
      <w:r>
        <w:rPr>
          <w:sz w:val="20"/>
          <w:szCs w:val="20"/>
          <w:color w:val="auto"/>
        </w:rPr>
        <w:tab/>
      </w:r>
      <w:r>
        <w:rPr>
          <w:rFonts w:ascii="Arial" w:cs="Arial" w:eastAsia="Arial" w:hAnsi="Arial"/>
          <w:sz w:val="17"/>
          <w:szCs w:val="17"/>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268605</wp:posOffset>
            </wp:positionH>
            <wp:positionV relativeFrom="paragraph">
              <wp:posOffset>-128905</wp:posOffset>
            </wp:positionV>
            <wp:extent cx="762000" cy="971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62000" cy="971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       </w:t>
      </w:r>
    </w:p>
    <w:p>
      <w:pPr>
        <w:sectPr>
          <w:pgSz w:w="11900" w:h="16838" w:orient="portrait"/>
          <w:cols w:equalWidth="0" w:num="2">
            <w:col w:w="10200" w:space="120"/>
            <w:col w:w="480"/>
          </w:cols>
          <w:pgMar w:left="320" w:top="455" w:right="779" w:bottom="1440" w:gutter="0" w:footer="0" w:header="0"/>
          <w:type w:val="continuous"/>
        </w:sectPr>
      </w:pPr>
    </w:p>
    <w:bookmarkStart w:id="49" w:name="page50"/>
    <w:bookmarkEnd w:id="49"/>
    <w:p>
      <w:pPr>
        <w:spacing w:after="0"/>
        <w:rPr>
          <w:sz w:val="20"/>
          <w:szCs w:val="20"/>
          <w:color w:val="auto"/>
        </w:rPr>
      </w:pPr>
      <w:r>
        <w:rPr>
          <w:rFonts w:ascii="Times New Roman" w:cs="Times New Roman" w:eastAsia="Times New Roman" w:hAnsi="Times New Roman"/>
          <w:sz w:val="17"/>
          <w:szCs w:val="17"/>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268605</wp:posOffset>
            </wp:positionH>
            <wp:positionV relativeFrom="paragraph">
              <wp:posOffset>253365</wp:posOffset>
            </wp:positionV>
            <wp:extent cx="1183005" cy="745617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183005" cy="7456170"/>
                    </a:xfrm>
                    <a:prstGeom prst="rect">
                      <a:avLst/>
                    </a:prstGeom>
                    <a:noFill/>
                  </pic:spPr>
                </pic:pic>
              </a:graphicData>
            </a:graphic>
          </wp:anchor>
        </w:drawing>
      </w:r>
    </w:p>
    <w:p>
      <w:pPr>
        <w:spacing w:after="0" w:line="200" w:lineRule="exact"/>
        <w:rPr>
          <w:sz w:val="20"/>
          <w:szCs w:val="20"/>
          <w:color w:val="auto"/>
        </w:rPr>
      </w:pPr>
    </w:p>
    <w:p>
      <w:pPr>
        <w:spacing w:after="0" w:line="304" w:lineRule="exact"/>
        <w:rPr>
          <w:sz w:val="20"/>
          <w:szCs w:val="20"/>
          <w:color w:val="auto"/>
        </w:rPr>
      </w:pPr>
    </w:p>
    <w:p>
      <w:pPr>
        <w:ind w:left="1120" w:right="460" w:hanging="672"/>
        <w:spacing w:after="0" w:line="382" w:lineRule="auto"/>
        <w:tabs>
          <w:tab w:leader="none" w:pos="610" w:val="left"/>
        </w:tabs>
        <w:numPr>
          <w:ilvl w:val="0"/>
          <w:numId w:val="68"/>
        </w:numPr>
        <w:rPr>
          <w:rFonts w:ascii="Arial" w:cs="Arial" w:eastAsia="Arial" w:hAnsi="Arial"/>
          <w:sz w:val="24"/>
          <w:szCs w:val="24"/>
          <w:color w:val="auto"/>
          <w:vertAlign w:val="subscript"/>
        </w:rPr>
      </w:pPr>
      <w:r>
        <w:rPr>
          <w:rFonts w:ascii="Arial" w:cs="Arial" w:eastAsia="Arial" w:hAnsi="Arial"/>
          <w:sz w:val="24"/>
          <w:szCs w:val="24"/>
          <w:color w:val="000000"/>
          <w:vertAlign w:val="subscript"/>
        </w:rPr>
        <w:t xml:space="preserve">     </w:t>
      </w:r>
      <w:r>
        <w:rPr>
          <w:rFonts w:ascii="Arial" w:cs="Arial" w:eastAsia="Arial" w:hAnsi="Arial"/>
          <w:sz w:val="10"/>
          <w:szCs w:val="10"/>
          <w:color w:val="FFFFFF"/>
        </w:rPr>
        <w:t xml:space="preserve"> General Information</w:t>
      </w:r>
    </w:p>
    <w:p>
      <w:pPr>
        <w:spacing w:after="0" w:line="1" w:lineRule="exact"/>
        <w:rPr>
          <w:sz w:val="20"/>
          <w:szCs w:val="20"/>
          <w:color w:val="auto"/>
        </w:rPr>
      </w:pPr>
    </w:p>
    <w:p>
      <w:pPr>
        <w:ind w:left="1120"/>
        <w:spacing w:after="0"/>
        <w:rPr>
          <w:sz w:val="20"/>
          <w:szCs w:val="20"/>
          <w:color w:val="auto"/>
        </w:rPr>
      </w:pPr>
      <w:r>
        <w:rPr>
          <w:rFonts w:ascii="Arial" w:cs="Arial" w:eastAsia="Arial" w:hAnsi="Arial"/>
          <w:sz w:val="11"/>
          <w:szCs w:val="11"/>
          <w:color w:val="FFFFFF"/>
        </w:rPr>
        <w:t>General Information</w:t>
      </w:r>
    </w:p>
    <w:p>
      <w:pPr>
        <w:spacing w:after="0" w:line="3"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About Corporate</w:t>
      </w:r>
    </w:p>
    <w:p>
      <w:pPr>
        <w:ind w:left="1120"/>
        <w:spacing w:after="0" w:line="221" w:lineRule="auto"/>
        <w:rPr>
          <w:sz w:val="20"/>
          <w:szCs w:val="20"/>
          <w:color w:val="auto"/>
        </w:rPr>
      </w:pPr>
      <w:r>
        <w:rPr>
          <w:rFonts w:ascii="Arial" w:cs="Arial" w:eastAsia="Arial" w:hAnsi="Arial"/>
          <w:sz w:val="12"/>
          <w:szCs w:val="12"/>
          <w:color w:val="FFFFFF"/>
        </w:rPr>
        <w:t>Governance</w:t>
      </w:r>
    </w:p>
    <w:p>
      <w:pPr>
        <w:ind w:left="1120"/>
        <w:spacing w:after="0" w:line="222" w:lineRule="auto"/>
        <w:rPr>
          <w:sz w:val="20"/>
          <w:szCs w:val="20"/>
          <w:color w:val="auto"/>
        </w:rPr>
      </w:pPr>
      <w:r>
        <w:rPr>
          <w:rFonts w:ascii="Arial" w:cs="Arial" w:eastAsia="Arial" w:hAnsi="Arial"/>
          <w:sz w:val="12"/>
          <w:szCs w:val="12"/>
          <w:color w:val="FFFFFF"/>
        </w:rPr>
        <w:t>and the Board of</w:t>
      </w:r>
    </w:p>
    <w:p>
      <w:pPr>
        <w:spacing w:after="0" w:line="1"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Directors</w:t>
      </w:r>
    </w:p>
    <w:p>
      <w:pPr>
        <w:spacing w:after="0" w:line="144" w:lineRule="exact"/>
        <w:rPr>
          <w:sz w:val="20"/>
          <w:szCs w:val="20"/>
          <w:color w:val="auto"/>
        </w:rPr>
      </w:pPr>
    </w:p>
    <w:p>
      <w:pPr>
        <w:jc w:val="center"/>
        <w:ind w:left="620"/>
        <w:spacing w:after="0"/>
        <w:rPr>
          <w:sz w:val="20"/>
          <w:szCs w:val="20"/>
          <w:color w:val="auto"/>
        </w:rPr>
      </w:pPr>
      <w:r>
        <w:rPr>
          <w:rFonts w:ascii="Arial" w:cs="Arial" w:eastAsia="Arial" w:hAnsi="Arial"/>
          <w:sz w:val="12"/>
          <w:szCs w:val="12"/>
          <w:color w:val="FFFFFF"/>
        </w:rPr>
        <w:t>Proposal 1</w:t>
      </w:r>
    </w:p>
    <w:p>
      <w:pPr>
        <w:spacing w:after="0" w:line="156"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Information</w:t>
      </w:r>
    </w:p>
    <w:p>
      <w:pPr>
        <w:ind w:left="1120"/>
        <w:spacing w:after="0" w:line="224" w:lineRule="auto"/>
        <w:rPr>
          <w:sz w:val="20"/>
          <w:szCs w:val="20"/>
          <w:color w:val="auto"/>
        </w:rPr>
      </w:pPr>
      <w:r>
        <w:rPr>
          <w:rFonts w:ascii="Arial" w:cs="Arial" w:eastAsia="Arial" w:hAnsi="Arial"/>
          <w:sz w:val="12"/>
          <w:szCs w:val="12"/>
          <w:color w:val="FFFFFF"/>
        </w:rPr>
        <w:t>Regarding Board</w:t>
      </w:r>
    </w:p>
    <w:p>
      <w:pPr>
        <w:ind w:left="1120"/>
        <w:spacing w:after="0" w:line="222" w:lineRule="auto"/>
        <w:rPr>
          <w:sz w:val="20"/>
          <w:szCs w:val="20"/>
          <w:color w:val="auto"/>
        </w:rPr>
      </w:pPr>
      <w:r>
        <w:rPr>
          <w:rFonts w:ascii="Arial" w:cs="Arial" w:eastAsia="Arial" w:hAnsi="Arial"/>
          <w:sz w:val="12"/>
          <w:szCs w:val="12"/>
          <w:color w:val="FFFFFF"/>
        </w:rPr>
        <w:t>and Committee</w:t>
      </w:r>
    </w:p>
    <w:p>
      <w:pPr>
        <w:ind w:left="1120"/>
        <w:spacing w:after="0"/>
        <w:rPr>
          <w:sz w:val="20"/>
          <w:szCs w:val="20"/>
          <w:color w:val="auto"/>
        </w:rPr>
      </w:pPr>
      <w:r>
        <w:rPr>
          <w:rFonts w:ascii="Arial" w:cs="Arial" w:eastAsia="Arial" w:hAnsi="Arial"/>
          <w:sz w:val="12"/>
          <w:szCs w:val="12"/>
          <w:color w:val="FFFFFF"/>
        </w:rPr>
        <w:t>Structure</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Board of Directors</w:t>
      </w:r>
    </w:p>
    <w:p>
      <w:pPr>
        <w:spacing w:after="0" w:line="2"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Compensation</w:t>
      </w:r>
    </w:p>
    <w:p>
      <w:pPr>
        <w:spacing w:after="0" w:line="144" w:lineRule="exact"/>
        <w:rPr>
          <w:sz w:val="20"/>
          <w:szCs w:val="20"/>
          <w:color w:val="auto"/>
        </w:rPr>
      </w:pPr>
    </w:p>
    <w:p>
      <w:pPr>
        <w:ind w:left="1120" w:right="160"/>
        <w:spacing w:after="0" w:line="244" w:lineRule="auto"/>
        <w:rPr>
          <w:sz w:val="20"/>
          <w:szCs w:val="20"/>
          <w:color w:val="auto"/>
        </w:rPr>
      </w:pPr>
      <w:r>
        <w:rPr>
          <w:rFonts w:ascii="Arial" w:cs="Arial" w:eastAsia="Arial" w:hAnsi="Arial"/>
          <w:sz w:val="12"/>
          <w:szCs w:val="12"/>
          <w:b w:val="1"/>
          <w:bCs w:val="1"/>
          <w:color w:val="FFFFFF"/>
        </w:rPr>
        <w:t>Compensation Discussion and Analysis</w:t>
      </w:r>
    </w:p>
    <w:p>
      <w:pPr>
        <w:spacing w:after="0" w:line="128"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Report of the</w:t>
      </w:r>
    </w:p>
    <w:p>
      <w:pPr>
        <w:ind w:left="1120"/>
        <w:spacing w:after="0" w:line="224" w:lineRule="auto"/>
        <w:rPr>
          <w:sz w:val="20"/>
          <w:szCs w:val="20"/>
          <w:color w:val="auto"/>
        </w:rPr>
      </w:pPr>
      <w:r>
        <w:rPr>
          <w:rFonts w:ascii="Arial" w:cs="Arial" w:eastAsia="Arial" w:hAnsi="Arial"/>
          <w:sz w:val="12"/>
          <w:szCs w:val="12"/>
          <w:color w:val="FFFFFF"/>
        </w:rPr>
        <w:t>Compensation</w:t>
      </w:r>
    </w:p>
    <w:p>
      <w:pPr>
        <w:ind w:left="1120"/>
        <w:spacing w:after="0" w:line="222" w:lineRule="auto"/>
        <w:rPr>
          <w:sz w:val="20"/>
          <w:szCs w:val="20"/>
          <w:color w:val="auto"/>
        </w:rPr>
      </w:pPr>
      <w:r>
        <w:rPr>
          <w:rFonts w:ascii="Arial" w:cs="Arial" w:eastAsia="Arial" w:hAnsi="Arial"/>
          <w:sz w:val="12"/>
          <w:szCs w:val="12"/>
          <w:color w:val="FFFFFF"/>
        </w:rPr>
        <w:t>and Human</w:t>
      </w:r>
    </w:p>
    <w:p>
      <w:pPr>
        <w:ind w:left="1120"/>
        <w:spacing w:after="0" w:line="222" w:lineRule="auto"/>
        <w:rPr>
          <w:sz w:val="20"/>
          <w:szCs w:val="20"/>
          <w:color w:val="auto"/>
        </w:rPr>
      </w:pPr>
      <w:r>
        <w:rPr>
          <w:rFonts w:ascii="Arial" w:cs="Arial" w:eastAsia="Arial" w:hAnsi="Arial"/>
          <w:sz w:val="12"/>
          <w:szCs w:val="12"/>
          <w:color w:val="FFFFFF"/>
        </w:rPr>
        <w:t>Resources</w:t>
      </w:r>
    </w:p>
    <w:p>
      <w:pPr>
        <w:ind w:left="1120"/>
        <w:spacing w:after="0" w:line="222" w:lineRule="auto"/>
        <w:rPr>
          <w:sz w:val="20"/>
          <w:szCs w:val="20"/>
          <w:color w:val="auto"/>
        </w:rPr>
      </w:pPr>
      <w:r>
        <w:rPr>
          <w:rFonts w:ascii="Arial" w:cs="Arial" w:eastAsia="Arial" w:hAnsi="Arial"/>
          <w:sz w:val="12"/>
          <w:szCs w:val="12"/>
          <w:color w:val="FFFFFF"/>
        </w:rPr>
        <w:t>Committee of the</w:t>
      </w:r>
    </w:p>
    <w:p>
      <w:pPr>
        <w:ind w:left="1120"/>
        <w:spacing w:after="0"/>
        <w:rPr>
          <w:sz w:val="20"/>
          <w:szCs w:val="20"/>
          <w:color w:val="auto"/>
        </w:rPr>
      </w:pPr>
      <w:r>
        <w:rPr>
          <w:rFonts w:ascii="Arial" w:cs="Arial" w:eastAsia="Arial" w:hAnsi="Arial"/>
          <w:sz w:val="12"/>
          <w:szCs w:val="12"/>
          <w:color w:val="FFFFFF"/>
        </w:rPr>
        <w:t>Board of Directors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Compensation of</w:t>
      </w:r>
    </w:p>
    <w:p>
      <w:pPr>
        <w:ind w:left="1120"/>
        <w:spacing w:after="0" w:line="224" w:lineRule="auto"/>
        <w:rPr>
          <w:sz w:val="20"/>
          <w:szCs w:val="20"/>
          <w:color w:val="auto"/>
        </w:rPr>
      </w:pPr>
      <w:r>
        <w:rPr>
          <w:rFonts w:ascii="Arial" w:cs="Arial" w:eastAsia="Arial" w:hAnsi="Arial"/>
          <w:sz w:val="12"/>
          <w:szCs w:val="12"/>
          <w:color w:val="FFFFFF"/>
        </w:rPr>
        <w:t>Named Executive</w:t>
      </w:r>
    </w:p>
    <w:p>
      <w:pPr>
        <w:ind w:left="1120"/>
        <w:spacing w:after="0"/>
        <w:rPr>
          <w:sz w:val="20"/>
          <w:szCs w:val="20"/>
          <w:color w:val="auto"/>
        </w:rPr>
      </w:pPr>
      <w:r>
        <w:rPr>
          <w:rFonts w:ascii="Arial" w:cs="Arial" w:eastAsia="Arial" w:hAnsi="Arial"/>
          <w:sz w:val="12"/>
          <w:szCs w:val="12"/>
          <w:color w:val="FFFFFF"/>
        </w:rPr>
        <w:t>Officers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Pay Versus</w:t>
      </w:r>
    </w:p>
    <w:p>
      <w:pPr>
        <w:ind w:left="1120"/>
        <w:spacing w:after="0" w:line="224" w:lineRule="auto"/>
        <w:rPr>
          <w:sz w:val="20"/>
          <w:szCs w:val="20"/>
          <w:color w:val="auto"/>
        </w:rPr>
      </w:pPr>
      <w:r>
        <w:rPr>
          <w:rFonts w:ascii="Arial" w:cs="Arial" w:eastAsia="Arial" w:hAnsi="Arial"/>
          <w:sz w:val="12"/>
          <w:szCs w:val="12"/>
          <w:color w:val="FFFFFF"/>
        </w:rPr>
        <w:t>Performance</w:t>
      </w:r>
    </w:p>
    <w:p>
      <w:pPr>
        <w:ind w:left="1120"/>
        <w:spacing w:after="0"/>
        <w:rPr>
          <w:sz w:val="20"/>
          <w:szCs w:val="20"/>
          <w:color w:val="auto"/>
        </w:rPr>
      </w:pPr>
      <w:r>
        <w:rPr>
          <w:rFonts w:ascii="Arial" w:cs="Arial" w:eastAsia="Arial" w:hAnsi="Arial"/>
          <w:sz w:val="12"/>
          <w:szCs w:val="12"/>
          <w:color w:val="FFFFFF"/>
        </w:rPr>
        <w:t>Disclosure</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Security</w:t>
      </w:r>
    </w:p>
    <w:p>
      <w:pPr>
        <w:ind w:left="1120"/>
        <w:spacing w:after="0" w:line="224" w:lineRule="auto"/>
        <w:rPr>
          <w:sz w:val="20"/>
          <w:szCs w:val="20"/>
          <w:color w:val="auto"/>
        </w:rPr>
      </w:pPr>
      <w:r>
        <w:rPr>
          <w:rFonts w:ascii="Arial" w:cs="Arial" w:eastAsia="Arial" w:hAnsi="Arial"/>
          <w:sz w:val="12"/>
          <w:szCs w:val="12"/>
          <w:color w:val="FFFFFF"/>
        </w:rPr>
        <w:t>Ownership of</w:t>
      </w:r>
    </w:p>
    <w:p>
      <w:pPr>
        <w:ind w:left="1120"/>
        <w:spacing w:after="0" w:line="222" w:lineRule="auto"/>
        <w:rPr>
          <w:sz w:val="20"/>
          <w:szCs w:val="20"/>
          <w:color w:val="auto"/>
        </w:rPr>
      </w:pPr>
      <w:r>
        <w:rPr>
          <w:rFonts w:ascii="Arial" w:cs="Arial" w:eastAsia="Arial" w:hAnsi="Arial"/>
          <w:sz w:val="12"/>
          <w:szCs w:val="12"/>
          <w:color w:val="FFFFFF"/>
        </w:rPr>
        <w:t>Certain Beneficial</w:t>
      </w:r>
    </w:p>
    <w:p>
      <w:pPr>
        <w:ind w:left="1120"/>
        <w:spacing w:after="0" w:line="222" w:lineRule="auto"/>
        <w:rPr>
          <w:sz w:val="20"/>
          <w:szCs w:val="20"/>
          <w:color w:val="auto"/>
        </w:rPr>
      </w:pPr>
      <w:r>
        <w:rPr>
          <w:rFonts w:ascii="Arial" w:cs="Arial" w:eastAsia="Arial" w:hAnsi="Arial"/>
          <w:sz w:val="12"/>
          <w:szCs w:val="12"/>
          <w:color w:val="FFFFFF"/>
        </w:rPr>
        <w:t>Owners and</w:t>
      </w:r>
    </w:p>
    <w:p>
      <w:pPr>
        <w:ind w:left="1120"/>
        <w:spacing w:after="0"/>
        <w:rPr>
          <w:sz w:val="20"/>
          <w:szCs w:val="20"/>
          <w:color w:val="auto"/>
        </w:rPr>
      </w:pPr>
      <w:r>
        <w:rPr>
          <w:rFonts w:ascii="Arial" w:cs="Arial" w:eastAsia="Arial" w:hAnsi="Arial"/>
          <w:sz w:val="12"/>
          <w:szCs w:val="12"/>
          <w:color w:val="FFFFFF"/>
        </w:rPr>
        <w:t>Management</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Certain</w:t>
      </w:r>
    </w:p>
    <w:p>
      <w:pPr>
        <w:ind w:left="1120"/>
        <w:spacing w:after="0" w:line="224" w:lineRule="auto"/>
        <w:rPr>
          <w:sz w:val="20"/>
          <w:szCs w:val="20"/>
          <w:color w:val="auto"/>
        </w:rPr>
      </w:pPr>
      <w:r>
        <w:rPr>
          <w:rFonts w:ascii="Arial" w:cs="Arial" w:eastAsia="Arial" w:hAnsi="Arial"/>
          <w:sz w:val="12"/>
          <w:szCs w:val="12"/>
          <w:color w:val="FFFFFF"/>
        </w:rPr>
        <w:t>Relationships and</w:t>
      </w:r>
    </w:p>
    <w:p>
      <w:pPr>
        <w:ind w:left="1120"/>
        <w:spacing w:after="0" w:line="222" w:lineRule="auto"/>
        <w:rPr>
          <w:sz w:val="20"/>
          <w:szCs w:val="20"/>
          <w:color w:val="auto"/>
        </w:rPr>
      </w:pPr>
      <w:r>
        <w:rPr>
          <w:rFonts w:ascii="Arial" w:cs="Arial" w:eastAsia="Arial" w:hAnsi="Arial"/>
          <w:sz w:val="12"/>
          <w:szCs w:val="12"/>
          <w:color w:val="FFFFFF"/>
        </w:rPr>
        <w:t>Related Party</w:t>
      </w:r>
    </w:p>
    <w:p>
      <w:pPr>
        <w:ind w:left="1120"/>
        <w:spacing w:after="0"/>
        <w:rPr>
          <w:sz w:val="20"/>
          <w:szCs w:val="20"/>
          <w:color w:val="auto"/>
        </w:rPr>
      </w:pPr>
      <w:r>
        <w:rPr>
          <w:rFonts w:ascii="Arial" w:cs="Arial" w:eastAsia="Arial" w:hAnsi="Arial"/>
          <w:sz w:val="12"/>
          <w:szCs w:val="12"/>
          <w:color w:val="FFFFFF"/>
        </w:rPr>
        <w:t>Transactions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Proposal 2</w:t>
      </w:r>
    </w:p>
    <w:p>
      <w:pPr>
        <w:spacing w:after="0" w:line="156"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Report of the</w:t>
      </w:r>
    </w:p>
    <w:p>
      <w:pPr>
        <w:ind w:left="1120"/>
        <w:spacing w:after="0" w:line="224" w:lineRule="auto"/>
        <w:rPr>
          <w:sz w:val="20"/>
          <w:szCs w:val="20"/>
          <w:color w:val="auto"/>
        </w:rPr>
      </w:pPr>
      <w:r>
        <w:rPr>
          <w:rFonts w:ascii="Arial" w:cs="Arial" w:eastAsia="Arial" w:hAnsi="Arial"/>
          <w:sz w:val="12"/>
          <w:szCs w:val="12"/>
          <w:color w:val="FFFFFF"/>
        </w:rPr>
        <w:t>Audit and Risk</w:t>
      </w:r>
    </w:p>
    <w:p>
      <w:pPr>
        <w:ind w:left="1120"/>
        <w:spacing w:after="0" w:line="222" w:lineRule="auto"/>
        <w:rPr>
          <w:sz w:val="20"/>
          <w:szCs w:val="20"/>
          <w:color w:val="auto"/>
        </w:rPr>
      </w:pPr>
      <w:r>
        <w:rPr>
          <w:rFonts w:ascii="Arial" w:cs="Arial" w:eastAsia="Arial" w:hAnsi="Arial"/>
          <w:sz w:val="12"/>
          <w:szCs w:val="12"/>
          <w:color w:val="FFFFFF"/>
        </w:rPr>
        <w:t>Committee of the</w:t>
      </w:r>
    </w:p>
    <w:p>
      <w:pPr>
        <w:ind w:left="1120"/>
        <w:spacing w:after="0"/>
        <w:rPr>
          <w:sz w:val="20"/>
          <w:szCs w:val="20"/>
          <w:color w:val="auto"/>
        </w:rPr>
      </w:pPr>
      <w:r>
        <w:rPr>
          <w:rFonts w:ascii="Arial" w:cs="Arial" w:eastAsia="Arial" w:hAnsi="Arial"/>
          <w:sz w:val="12"/>
          <w:szCs w:val="12"/>
          <w:color w:val="FFFFFF"/>
        </w:rPr>
        <w:t>Board of Directors</w:t>
      </w:r>
    </w:p>
    <w:p>
      <w:pPr>
        <w:spacing w:after="0" w:line="144" w:lineRule="exact"/>
        <w:rPr>
          <w:sz w:val="20"/>
          <w:szCs w:val="20"/>
          <w:color w:val="auto"/>
        </w:rPr>
      </w:pPr>
    </w:p>
    <w:p>
      <w:pPr>
        <w:jc w:val="center"/>
        <w:ind w:left="620"/>
        <w:spacing w:after="0"/>
        <w:rPr>
          <w:sz w:val="20"/>
          <w:szCs w:val="20"/>
          <w:color w:val="auto"/>
        </w:rPr>
      </w:pPr>
      <w:r>
        <w:rPr>
          <w:rFonts w:ascii="Arial" w:cs="Arial" w:eastAsia="Arial" w:hAnsi="Arial"/>
          <w:sz w:val="12"/>
          <w:szCs w:val="12"/>
          <w:color w:val="FFFFFF"/>
        </w:rPr>
        <w:t>Proposal 3</w:t>
      </w:r>
    </w:p>
    <w:p>
      <w:pPr>
        <w:spacing w:after="0" w:line="156" w:lineRule="exact"/>
        <w:rPr>
          <w:sz w:val="20"/>
          <w:szCs w:val="20"/>
          <w:color w:val="auto"/>
        </w:rPr>
      </w:pPr>
    </w:p>
    <w:p>
      <w:pPr>
        <w:jc w:val="center"/>
        <w:ind w:left="620"/>
        <w:spacing w:after="0"/>
        <w:rPr>
          <w:sz w:val="20"/>
          <w:szCs w:val="20"/>
          <w:color w:val="auto"/>
        </w:rPr>
      </w:pPr>
      <w:r>
        <w:rPr>
          <w:rFonts w:ascii="Arial" w:cs="Arial" w:eastAsia="Arial" w:hAnsi="Arial"/>
          <w:sz w:val="12"/>
          <w:szCs w:val="12"/>
          <w:color w:val="FFFFFF"/>
        </w:rPr>
        <w:t>Proposal 4</w:t>
      </w:r>
    </w:p>
    <w:p>
      <w:pPr>
        <w:spacing w:after="0" w:line="156" w:lineRule="exact"/>
        <w:rPr>
          <w:sz w:val="20"/>
          <w:szCs w:val="20"/>
          <w:color w:val="auto"/>
        </w:rPr>
      </w:pPr>
    </w:p>
    <w:p>
      <w:pPr>
        <w:jc w:val="center"/>
        <w:ind w:left="620"/>
        <w:spacing w:after="0"/>
        <w:rPr>
          <w:sz w:val="20"/>
          <w:szCs w:val="20"/>
          <w:color w:val="auto"/>
        </w:rPr>
      </w:pPr>
      <w:r>
        <w:rPr>
          <w:rFonts w:ascii="Arial" w:cs="Arial" w:eastAsia="Arial" w:hAnsi="Arial"/>
          <w:sz w:val="12"/>
          <w:szCs w:val="12"/>
          <w:color w:val="FFFFFF"/>
        </w:rPr>
        <w:t>Proposal 5</w:t>
      </w:r>
    </w:p>
    <w:p>
      <w:pPr>
        <w:spacing w:after="0" w:line="156"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Proposal 6</w:t>
      </w:r>
    </w:p>
    <w:p>
      <w:pPr>
        <w:spacing w:after="0" w:line="156"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Stockholder</w:t>
      </w:r>
    </w:p>
    <w:p>
      <w:pPr>
        <w:ind w:left="1120"/>
        <w:spacing w:after="0" w:line="224" w:lineRule="auto"/>
        <w:rPr>
          <w:sz w:val="20"/>
          <w:szCs w:val="20"/>
          <w:color w:val="auto"/>
        </w:rPr>
      </w:pPr>
      <w:r>
        <w:rPr>
          <w:rFonts w:ascii="Arial" w:cs="Arial" w:eastAsia="Arial" w:hAnsi="Arial"/>
          <w:sz w:val="12"/>
          <w:szCs w:val="12"/>
          <w:color w:val="FFFFFF"/>
        </w:rPr>
        <w:t>Proposals and</w:t>
      </w:r>
    </w:p>
    <w:p>
      <w:pPr>
        <w:ind w:left="1120"/>
        <w:spacing w:after="0"/>
        <w:rPr>
          <w:sz w:val="20"/>
          <w:szCs w:val="20"/>
          <w:color w:val="auto"/>
        </w:rPr>
      </w:pPr>
      <w:r>
        <w:rPr>
          <w:rFonts w:ascii="Arial" w:cs="Arial" w:eastAsia="Arial" w:hAnsi="Arial"/>
          <w:sz w:val="12"/>
          <w:szCs w:val="12"/>
          <w:color w:val="FFFFFF"/>
        </w:rPr>
        <w:t>Other Matters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Delinquent</w:t>
      </w:r>
    </w:p>
    <w:p>
      <w:pPr>
        <w:ind w:left="1120"/>
        <w:spacing w:after="0" w:line="224" w:lineRule="auto"/>
        <w:rPr>
          <w:sz w:val="20"/>
          <w:szCs w:val="20"/>
          <w:color w:val="auto"/>
        </w:rPr>
      </w:pPr>
      <w:r>
        <w:rPr>
          <w:rFonts w:ascii="Arial" w:cs="Arial" w:eastAsia="Arial" w:hAnsi="Arial"/>
          <w:sz w:val="12"/>
          <w:szCs w:val="12"/>
          <w:color w:val="FFFFFF"/>
        </w:rPr>
        <w:t>Section 16(a)</w:t>
      </w:r>
    </w:p>
    <w:p>
      <w:pPr>
        <w:ind w:left="1120"/>
        <w:spacing w:after="0"/>
        <w:rPr>
          <w:sz w:val="20"/>
          <w:szCs w:val="20"/>
          <w:color w:val="auto"/>
        </w:rPr>
      </w:pPr>
      <w:r>
        <w:rPr>
          <w:rFonts w:ascii="Arial" w:cs="Arial" w:eastAsia="Arial" w:hAnsi="Arial"/>
          <w:sz w:val="12"/>
          <w:szCs w:val="12"/>
          <w:color w:val="FFFFFF"/>
        </w:rPr>
        <w:t>Reports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Other</w:t>
      </w:r>
    </w:p>
    <w:p>
      <w:pPr>
        <w:spacing w:after="0" w:line="2"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Information</w:t>
      </w:r>
    </w:p>
    <w:p>
      <w:pPr>
        <w:spacing w:after="0" w:line="144" w:lineRule="exact"/>
        <w:rPr>
          <w:sz w:val="20"/>
          <w:szCs w:val="20"/>
          <w:color w:val="auto"/>
        </w:rPr>
      </w:pPr>
    </w:p>
    <w:p>
      <w:pPr>
        <w:jc w:val="center"/>
        <w:ind w:left="660"/>
        <w:spacing w:after="0"/>
        <w:rPr>
          <w:sz w:val="20"/>
          <w:szCs w:val="20"/>
          <w:color w:val="auto"/>
        </w:rPr>
      </w:pPr>
      <w:r>
        <w:rPr>
          <w:rFonts w:ascii="Arial" w:cs="Arial" w:eastAsia="Arial" w:hAnsi="Arial"/>
          <w:sz w:val="12"/>
          <w:szCs w:val="12"/>
          <w:color w:val="FFFFFF"/>
        </w:rPr>
        <w:t>Appendix A</w:t>
      </w:r>
    </w:p>
    <w:p>
      <w:pPr>
        <w:spacing w:after="0" w:line="156" w:lineRule="exact"/>
        <w:rPr>
          <w:sz w:val="20"/>
          <w:szCs w:val="20"/>
          <w:color w:val="auto"/>
        </w:rPr>
      </w:pPr>
    </w:p>
    <w:p>
      <w:pPr>
        <w:jc w:val="center"/>
        <w:ind w:left="660"/>
        <w:spacing w:after="0"/>
        <w:rPr>
          <w:sz w:val="20"/>
          <w:szCs w:val="20"/>
          <w:color w:val="auto"/>
        </w:rPr>
      </w:pPr>
      <w:r>
        <w:rPr>
          <w:rFonts w:ascii="Arial" w:cs="Arial" w:eastAsia="Arial" w:hAnsi="Arial"/>
          <w:sz w:val="12"/>
          <w:szCs w:val="12"/>
          <w:color w:val="FFFFFF"/>
        </w:rPr>
        <w:t>Appendix 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right="80"/>
        <w:spacing w:after="0" w:line="287" w:lineRule="auto"/>
        <w:rPr>
          <w:sz w:val="20"/>
          <w:szCs w:val="20"/>
          <w:color w:val="auto"/>
        </w:rPr>
      </w:pPr>
      <w:r>
        <w:rPr>
          <w:rFonts w:ascii="Arial" w:cs="Arial" w:eastAsia="Arial" w:hAnsi="Arial"/>
          <w:sz w:val="15"/>
          <w:szCs w:val="15"/>
          <w:color w:val="auto"/>
        </w:rPr>
        <w:t>value over a sustained period of time, which supports the alignment between the interests of our NEOs and those of our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-1737995</wp:posOffset>
            </wp:positionH>
            <wp:positionV relativeFrom="paragraph">
              <wp:posOffset>-894080</wp:posOffset>
            </wp:positionV>
            <wp:extent cx="7181215" cy="5334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81215" cy="53340"/>
                    </a:xfrm>
                    <a:prstGeom prst="rect">
                      <a:avLst/>
                    </a:prstGeom>
                    <a:noFill/>
                  </pic:spPr>
                </pic:pic>
              </a:graphicData>
            </a:graphic>
          </wp:anchor>
        </w:drawing>
      </w:r>
    </w:p>
    <w:p>
      <w:pPr>
        <w:spacing w:after="0" w:line="27" w:lineRule="exact"/>
        <w:rPr>
          <w:sz w:val="20"/>
          <w:szCs w:val="20"/>
          <w:color w:val="auto"/>
        </w:rPr>
      </w:pPr>
    </w:p>
    <w:p>
      <w:pPr>
        <w:spacing w:after="0" w:line="261" w:lineRule="auto"/>
        <w:rPr>
          <w:sz w:val="20"/>
          <w:szCs w:val="20"/>
          <w:color w:val="auto"/>
        </w:rPr>
      </w:pPr>
      <w:r>
        <w:rPr>
          <w:rFonts w:ascii="Arial" w:cs="Arial" w:eastAsia="Arial" w:hAnsi="Arial"/>
          <w:sz w:val="15"/>
          <w:szCs w:val="15"/>
          <w:color w:val="auto"/>
        </w:rPr>
        <w:t>The charts below show that variable compensation comprised 93% of the 2025 total target compensation mix for our chief executive officer (“CEO”), Mr. Steinmeier, and 84% of the 2025 average total target compensation mix for our other NEOs. Total target compensation consists of base salary, target annual cash bonus and the annual LTI awards, with PSUs valued at target.</w:t>
      </w:r>
    </w:p>
    <w:p>
      <w:pPr>
        <w:spacing w:after="0" w:line="190" w:lineRule="exact"/>
        <w:rPr>
          <w:sz w:val="20"/>
          <w:szCs w:val="20"/>
          <w:color w:val="auto"/>
        </w:rPr>
      </w:pPr>
    </w:p>
    <w:p>
      <w:pPr>
        <w:ind w:left="800"/>
        <w:spacing w:after="0"/>
        <w:tabs>
          <w:tab w:leader="none" w:pos="4860" w:val="left"/>
        </w:tabs>
        <w:rPr>
          <w:sz w:val="20"/>
          <w:szCs w:val="20"/>
          <w:color w:val="auto"/>
        </w:rPr>
      </w:pPr>
      <w:r>
        <w:rPr>
          <w:rFonts w:ascii="Arial" w:cs="Arial" w:eastAsia="Arial" w:hAnsi="Arial"/>
          <w:sz w:val="17"/>
          <w:szCs w:val="17"/>
          <w:b w:val="1"/>
          <w:bCs w:val="1"/>
          <w:color w:val="002B5F"/>
        </w:rPr>
        <w:t>CEO Target Compensation Mix</w:t>
      </w:r>
      <w:r>
        <w:rPr>
          <w:sz w:val="20"/>
          <w:szCs w:val="20"/>
          <w:color w:val="auto"/>
        </w:rPr>
        <w:tab/>
      </w:r>
      <w:r>
        <w:rPr>
          <w:rFonts w:ascii="Arial" w:cs="Arial" w:eastAsia="Arial" w:hAnsi="Arial"/>
          <w:sz w:val="16"/>
          <w:szCs w:val="16"/>
          <w:b w:val="1"/>
          <w:bCs w:val="1"/>
          <w:color w:val="002B5F"/>
        </w:rPr>
        <w:t>NEO Target Compensation Mix</w:t>
      </w:r>
    </w:p>
    <w:p>
      <w:pPr>
        <w:spacing w:after="0" w:line="12" w:lineRule="exact"/>
        <w:rPr>
          <w:sz w:val="20"/>
          <w:szCs w:val="20"/>
          <w:color w:val="auto"/>
        </w:rPr>
      </w:pPr>
    </w:p>
    <w:p>
      <w:pPr>
        <w:ind w:left="5460"/>
        <w:spacing w:after="0"/>
        <w:rPr>
          <w:sz w:val="20"/>
          <w:szCs w:val="20"/>
          <w:color w:val="auto"/>
        </w:rPr>
      </w:pPr>
      <w:r>
        <w:rPr>
          <w:rFonts w:ascii="Arial" w:cs="Arial" w:eastAsia="Arial" w:hAnsi="Arial"/>
          <w:sz w:val="17"/>
          <w:szCs w:val="17"/>
          <w:b w:val="1"/>
          <w:bCs w:val="1"/>
          <w:color w:val="002B5F"/>
        </w:rPr>
        <w:t>(excluding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648970</wp:posOffset>
            </wp:positionH>
            <wp:positionV relativeFrom="paragraph">
              <wp:posOffset>224790</wp:posOffset>
            </wp:positionV>
            <wp:extent cx="3784600" cy="19773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3784600" cy="19773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5"/>
          <w:szCs w:val="15"/>
          <w:color w:val="auto"/>
        </w:rPr>
        <w:t>The chart below shows the total 2025 compensation paid or granted to our NEOs, by component.</w:t>
      </w:r>
    </w:p>
    <w:p>
      <w:pPr>
        <w:spacing w:after="0" w:line="206"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002B5F"/>
        </w:rPr>
        <w:t>NEO Compensation Mix</w:t>
      </w:r>
    </w:p>
    <w:p>
      <w:pPr>
        <w:spacing w:after="0" w:line="12"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002B5F"/>
        </w:rPr>
        <w:t>($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235585</wp:posOffset>
            </wp:positionH>
            <wp:positionV relativeFrom="paragraph">
              <wp:posOffset>144145</wp:posOffset>
            </wp:positionV>
            <wp:extent cx="4611370" cy="32092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4611370" cy="3209290"/>
                    </a:xfrm>
                    <a:prstGeom prst="rect">
                      <a:avLst/>
                    </a:prstGeom>
                    <a:noFill/>
                  </pic:spPr>
                </pic:pic>
              </a:graphicData>
            </a:graphic>
          </wp:anchor>
        </w:drawing>
      </w:r>
    </w:p>
    <w:p>
      <w:pPr>
        <w:spacing w:after="0" w:line="4962" w:lineRule="exact"/>
        <w:rPr>
          <w:sz w:val="20"/>
          <w:szCs w:val="20"/>
          <w:color w:val="auto"/>
        </w:rPr>
      </w:pPr>
    </w:p>
    <w:p>
      <w:pPr>
        <w:sectPr>
          <w:pgSz w:w="11900" w:h="16838" w:orient="portrait"/>
          <w:cols w:equalWidth="0" w:num="2">
            <w:col w:w="2160" w:space="560"/>
            <w:col w:w="7920"/>
          </w:cols>
          <w:pgMar w:left="320" w:top="464" w:right="9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420"/>
        <w:spacing w:after="0"/>
        <w:tabs>
          <w:tab w:leader="none" w:pos="2380" w:val="left"/>
          <w:tab w:leader="none" w:pos="2800" w:val="left"/>
        </w:tabs>
        <w:rPr>
          <w:sz w:val="20"/>
          <w:szCs w:val="20"/>
          <w:color w:val="auto"/>
        </w:rPr>
      </w:pPr>
      <w:r>
        <w:rPr>
          <w:rFonts w:ascii="Arial" w:cs="Arial" w:eastAsia="Arial" w:hAnsi="Arial"/>
          <w:sz w:val="30"/>
          <w:szCs w:val="30"/>
          <w:color w:val="000000"/>
          <w:vertAlign w:val="superscript"/>
        </w:rPr>
        <w:t xml:space="preserve">             </w:t>
      </w:r>
      <w:r>
        <w:rPr>
          <w:sz w:val="20"/>
          <w:szCs w:val="20"/>
          <w:color w:val="auto"/>
        </w:rPr>
        <w:tab/>
      </w:r>
      <w:r>
        <w:rPr>
          <w:rFonts w:ascii="Arial" w:cs="Arial" w:eastAsia="Arial" w:hAnsi="Arial"/>
          <w:sz w:val="31"/>
          <w:szCs w:val="31"/>
          <w:color w:val="auto"/>
          <w:vertAlign w:val="superscript"/>
        </w:rPr>
        <w:t xml:space="preserve">    </w:t>
      </w:r>
      <w:r>
        <w:rPr>
          <w:sz w:val="20"/>
          <w:szCs w:val="20"/>
          <w:color w:val="auto"/>
        </w:rPr>
        <w:tab/>
      </w:r>
      <w:r>
        <w:rPr>
          <w:rFonts w:ascii="Arial" w:cs="Arial" w:eastAsia="Arial" w:hAnsi="Arial"/>
          <w:sz w:val="15"/>
          <w:szCs w:val="15"/>
          <w:b w:val="1"/>
          <w:bCs w:val="1"/>
          <w:color w:val="002B5F"/>
        </w:rPr>
        <w:t xml:space="preserve">42  </w:t>
      </w:r>
      <w:r>
        <w:rPr>
          <w:rFonts w:ascii="Arial" w:cs="Arial" w:eastAsia="Arial" w:hAnsi="Arial"/>
          <w:sz w:val="20"/>
          <w:szCs w:val="20"/>
          <w:color w:val="002B5F"/>
        </w:rPr>
        <w:t>|</w:t>
      </w:r>
      <w:r>
        <w:rPr>
          <w:rFonts w:ascii="Arial" w:cs="Arial" w:eastAsia="Arial" w:hAnsi="Arial"/>
          <w:sz w:val="15"/>
          <w:szCs w:val="15"/>
          <w:b w:val="1"/>
          <w:bCs w:val="1"/>
          <w:color w:val="002B5F"/>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6111875</wp:posOffset>
            </wp:positionH>
            <wp:positionV relativeFrom="paragraph">
              <wp:posOffset>-208915</wp:posOffset>
            </wp:positionV>
            <wp:extent cx="769620" cy="971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69620" cy="97155"/>
                    </a:xfrm>
                    <a:prstGeom prst="rect">
                      <a:avLst/>
                    </a:prstGeom>
                    <a:noFill/>
                  </pic:spPr>
                </pic:pic>
              </a:graphicData>
            </a:graphic>
          </wp:anchor>
        </w:drawing>
      </w:r>
    </w:p>
    <w:p>
      <w:pPr>
        <w:sectPr>
          <w:pgSz w:w="11900" w:h="16838" w:orient="portrait"/>
          <w:cols w:equalWidth="0" w:num="1">
            <w:col w:w="10640"/>
          </w:cols>
          <w:pgMar w:left="320" w:top="464" w:right="939" w:bottom="1440" w:gutter="0" w:footer="0" w:header="0"/>
          <w:type w:val="continuous"/>
        </w:sectPr>
      </w:pPr>
    </w:p>
    <w:bookmarkStart w:id="50" w:name="page51"/>
    <w:bookmarkEnd w:id="5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5334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81215" cy="5334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5617845</wp:posOffset>
            </wp:positionH>
            <wp:positionV relativeFrom="paragraph">
              <wp:posOffset>253365</wp:posOffset>
            </wp:positionV>
            <wp:extent cx="1256030" cy="74720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256030" cy="7472045"/>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ind w:left="540"/>
        <w:spacing w:after="0"/>
        <w:rPr>
          <w:sz w:val="20"/>
          <w:szCs w:val="20"/>
          <w:color w:val="auto"/>
        </w:rPr>
      </w:pPr>
      <w:r>
        <w:rPr>
          <w:rFonts w:ascii="Arial" w:cs="Arial" w:eastAsia="Arial" w:hAnsi="Arial"/>
          <w:sz w:val="24"/>
          <w:szCs w:val="24"/>
          <w:color w:val="B95827"/>
        </w:rPr>
        <w:t>Base Salary</w:t>
      </w:r>
    </w:p>
    <w:tbl>
      <w:tblPr>
        <w:tblLayout w:type="fixed"/>
        <w:tblInd w:w="540" w:type="dxa"/>
        <w:tblCellMar>
          <w:top w:w="0" w:type="dxa"/>
          <w:left w:w="0" w:type="dxa"/>
          <w:bottom w:w="0" w:type="dxa"/>
          <w:right w:w="0" w:type="dxa"/>
        </w:tblCellMar>
      </w:tblPr>
      <w:tr>
        <w:trPr>
          <w:trHeight w:val="146"/>
        </w:trPr>
        <w:tc>
          <w:tcPr>
            <w:tcW w:w="8540" w:type="dxa"/>
            <w:vAlign w:val="bottom"/>
          </w:tcPr>
          <w:p>
            <w:pPr>
              <w:ind w:left="8340"/>
              <w:spacing w:after="0" w:line="146" w:lineRule="exact"/>
              <w:rPr>
                <w:sz w:val="20"/>
                <w:szCs w:val="20"/>
                <w:color w:val="auto"/>
              </w:rPr>
            </w:pPr>
            <w:r>
              <w:rPr>
                <w:rFonts w:ascii="Arial" w:cs="Arial" w:eastAsia="Arial" w:hAnsi="Arial"/>
                <w:sz w:val="15"/>
                <w:szCs w:val="15"/>
                <w:color w:val="auto"/>
              </w:rPr>
              <w:t> </w:t>
            </w:r>
          </w:p>
        </w:tc>
        <w:tc>
          <w:tcPr>
            <w:tcW w:w="1280" w:type="dxa"/>
            <w:vAlign w:val="bottom"/>
          </w:tcPr>
          <w:p>
            <w:pPr>
              <w:ind w:left="140"/>
              <w:spacing w:after="0"/>
              <w:rPr>
                <w:sz w:val="20"/>
                <w:szCs w:val="20"/>
                <w:color w:val="auto"/>
              </w:rPr>
            </w:pPr>
            <w:r>
              <w:rPr>
                <w:rFonts w:ascii="Arial" w:cs="Arial" w:eastAsia="Arial" w:hAnsi="Arial"/>
                <w:sz w:val="12"/>
                <w:szCs w:val="12"/>
                <w:color w:val="FFFFFF"/>
              </w:rPr>
              <w:t>General</w:t>
            </w:r>
          </w:p>
        </w:tc>
        <w:tc>
          <w:tcPr>
            <w:tcW w:w="440" w:type="dxa"/>
            <w:vAlign w:val="bottom"/>
          </w:tcPr>
          <w:p>
            <w:pPr>
              <w:ind w:left="80"/>
              <w:spacing w:after="0" w:line="146" w:lineRule="exact"/>
              <w:rPr>
                <w:sz w:val="20"/>
                <w:szCs w:val="20"/>
                <w:color w:val="auto"/>
              </w:rPr>
            </w:pPr>
            <w:r>
              <w:rPr>
                <w:rFonts w:ascii="Arial" w:cs="Arial" w:eastAsia="Arial" w:hAnsi="Arial"/>
                <w:sz w:val="15"/>
                <w:szCs w:val="15"/>
                <w:color w:val="auto"/>
              </w:rPr>
              <w:t xml:space="preserve">       </w:t>
            </w:r>
          </w:p>
        </w:tc>
        <w:tc>
          <w:tcPr>
            <w:tcW w:w="0" w:type="dxa"/>
            <w:vAlign w:val="bottom"/>
          </w:tcPr>
          <w:p>
            <w:pPr>
              <w:spacing w:after="0"/>
              <w:rPr>
                <w:sz w:val="1"/>
                <w:szCs w:val="1"/>
                <w:color w:val="auto"/>
              </w:rPr>
            </w:pPr>
          </w:p>
        </w:tc>
      </w:tr>
      <w:tr>
        <w:trPr>
          <w:trHeight w:val="154"/>
        </w:trPr>
        <w:tc>
          <w:tcPr>
            <w:tcW w:w="8540" w:type="dxa"/>
            <w:vAlign w:val="bottom"/>
          </w:tcPr>
          <w:p>
            <w:pPr>
              <w:spacing w:after="0" w:line="154" w:lineRule="exact"/>
              <w:rPr>
                <w:sz w:val="20"/>
                <w:szCs w:val="20"/>
                <w:color w:val="auto"/>
              </w:rPr>
            </w:pPr>
            <w:r>
              <w:rPr>
                <w:rFonts w:ascii="Arial" w:cs="Arial" w:eastAsia="Arial" w:hAnsi="Arial"/>
                <w:sz w:val="15"/>
                <w:szCs w:val="15"/>
                <w:color w:val="auto"/>
              </w:rPr>
              <w:t>We pay our NEOs base salaries to provide a level of competitive and stable income. The base salaries of our NEOs</w:t>
            </w:r>
          </w:p>
        </w:tc>
        <w:tc>
          <w:tcPr>
            <w:tcW w:w="1280" w:type="dxa"/>
            <w:vAlign w:val="bottom"/>
          </w:tcPr>
          <w:p>
            <w:pPr>
              <w:ind w:left="140"/>
              <w:spacing w:after="0"/>
              <w:rPr>
                <w:sz w:val="20"/>
                <w:szCs w:val="20"/>
                <w:color w:val="auto"/>
              </w:rPr>
            </w:pPr>
            <w:r>
              <w:rPr>
                <w:rFonts w:ascii="Arial" w:cs="Arial" w:eastAsia="Arial" w:hAnsi="Arial"/>
                <w:sz w:val="12"/>
                <w:szCs w:val="12"/>
                <w:color w:val="FFFFFF"/>
              </w:rPr>
              <w:t>Information</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8540" w:type="dxa"/>
            <w:vAlign w:val="bottom"/>
          </w:tcPr>
          <w:p>
            <w:pPr>
              <w:spacing w:after="0"/>
              <w:rPr>
                <w:sz w:val="20"/>
                <w:szCs w:val="20"/>
                <w:color w:val="auto"/>
              </w:rPr>
            </w:pPr>
            <w:r>
              <w:rPr>
                <w:rFonts w:ascii="Arial" w:cs="Arial" w:eastAsia="Arial" w:hAnsi="Arial"/>
                <w:sz w:val="15"/>
                <w:szCs w:val="15"/>
                <w:color w:val="auto"/>
              </w:rPr>
              <w:t>are set based on the responsibilities of the individual, taking into account the individual’s skills, experience and prior</w:t>
            </w:r>
          </w:p>
        </w:tc>
        <w:tc>
          <w:tcPr>
            <w:tcW w:w="1280" w:type="dxa"/>
            <w:vAlign w:val="bottom"/>
            <w:vMerge w:val="restart"/>
          </w:tcPr>
          <w:p>
            <w:pPr>
              <w:ind w:left="140"/>
              <w:spacing w:after="0"/>
              <w:rPr>
                <w:sz w:val="20"/>
                <w:szCs w:val="20"/>
                <w:color w:val="auto"/>
              </w:rPr>
            </w:pPr>
            <w:r>
              <w:rPr>
                <w:rFonts w:ascii="Arial" w:cs="Arial" w:eastAsia="Arial" w:hAnsi="Arial"/>
                <w:sz w:val="12"/>
                <w:szCs w:val="12"/>
                <w:color w:val="FFFFFF"/>
              </w:rPr>
              <w:t>General Information</w:t>
            </w: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8"/>
        </w:trPr>
        <w:tc>
          <w:tcPr>
            <w:tcW w:w="8540" w:type="dxa"/>
            <w:vAlign w:val="bottom"/>
            <w:vMerge w:val="restart"/>
          </w:tcPr>
          <w:p>
            <w:pPr>
              <w:spacing w:after="0"/>
              <w:rPr>
                <w:sz w:val="20"/>
                <w:szCs w:val="20"/>
                <w:color w:val="auto"/>
              </w:rPr>
            </w:pPr>
            <w:r>
              <w:rPr>
                <w:rFonts w:ascii="Arial" w:cs="Arial" w:eastAsia="Arial" w:hAnsi="Arial"/>
                <w:sz w:val="15"/>
                <w:szCs w:val="15"/>
                <w:color w:val="auto"/>
              </w:rPr>
              <w:t>compensation levels, as well as market compensation levels of our peer group and other survey data, as described</w:t>
            </w:r>
          </w:p>
        </w:tc>
        <w:tc>
          <w:tcPr>
            <w:tcW w:w="128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0"/>
        </w:trPr>
        <w:tc>
          <w:tcPr>
            <w:tcW w:w="8540" w:type="dxa"/>
            <w:vAlign w:val="bottom"/>
            <w:vMerge w:val="continue"/>
          </w:tcPr>
          <w:p>
            <w:pPr>
              <w:spacing w:after="0"/>
              <w:rPr>
                <w:sz w:val="10"/>
                <w:szCs w:val="10"/>
                <w:color w:val="auto"/>
              </w:rPr>
            </w:pPr>
          </w:p>
        </w:tc>
        <w:tc>
          <w:tcPr>
            <w:tcW w:w="1280" w:type="dxa"/>
            <w:vAlign w:val="bottom"/>
          </w:tcPr>
          <w:p>
            <w:pPr>
              <w:ind w:left="140"/>
              <w:spacing w:after="0" w:line="121" w:lineRule="exact"/>
              <w:rPr>
                <w:sz w:val="20"/>
                <w:szCs w:val="20"/>
                <w:color w:val="auto"/>
              </w:rPr>
            </w:pPr>
            <w:r>
              <w:rPr>
                <w:rFonts w:ascii="Arial" w:cs="Arial" w:eastAsia="Arial" w:hAnsi="Arial"/>
                <w:sz w:val="12"/>
                <w:szCs w:val="12"/>
                <w:color w:val="FFFFFF"/>
              </w:rPr>
              <w:t>About Corporate</w:t>
            </w: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8540" w:type="dxa"/>
            <w:vAlign w:val="bottom"/>
          </w:tcPr>
          <w:p>
            <w:pPr>
              <w:spacing w:after="0" w:line="153" w:lineRule="exact"/>
              <w:rPr>
                <w:sz w:val="20"/>
                <w:szCs w:val="20"/>
                <w:color w:val="auto"/>
              </w:rPr>
            </w:pPr>
            <w:r>
              <w:rPr>
                <w:rFonts w:ascii="Arial" w:cs="Arial" w:eastAsia="Arial" w:hAnsi="Arial"/>
                <w:sz w:val="15"/>
                <w:szCs w:val="15"/>
                <w:color w:val="auto"/>
              </w:rPr>
              <w:t>below. The Compensation Committee reviews base salaries for our NEOs at least annually, although salary</w:t>
            </w:r>
          </w:p>
        </w:tc>
        <w:tc>
          <w:tcPr>
            <w:tcW w:w="1280" w:type="dxa"/>
            <w:vAlign w:val="bottom"/>
          </w:tcPr>
          <w:p>
            <w:pPr>
              <w:ind w:left="140"/>
              <w:spacing w:after="0"/>
              <w:rPr>
                <w:sz w:val="20"/>
                <w:szCs w:val="20"/>
                <w:color w:val="auto"/>
              </w:rPr>
            </w:pPr>
            <w:r>
              <w:rPr>
                <w:rFonts w:ascii="Arial" w:cs="Arial" w:eastAsia="Arial" w:hAnsi="Arial"/>
                <w:sz w:val="12"/>
                <w:szCs w:val="12"/>
                <w:color w:val="FFFFFF"/>
              </w:rPr>
              <w:t>Governance</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0"/>
        </w:trPr>
        <w:tc>
          <w:tcPr>
            <w:tcW w:w="8540" w:type="dxa"/>
            <w:vAlign w:val="bottom"/>
            <w:vMerge w:val="restart"/>
          </w:tcPr>
          <w:p>
            <w:pPr>
              <w:spacing w:after="0"/>
              <w:rPr>
                <w:sz w:val="20"/>
                <w:szCs w:val="20"/>
                <w:color w:val="auto"/>
              </w:rPr>
            </w:pPr>
            <w:r>
              <w:rPr>
                <w:rFonts w:ascii="Arial" w:cs="Arial" w:eastAsia="Arial" w:hAnsi="Arial"/>
                <w:sz w:val="15"/>
                <w:szCs w:val="15"/>
                <w:color w:val="auto"/>
              </w:rPr>
              <w:t>changes may occur on a less or more frequent basis in the Compensation Committee’s discretion.</w:t>
            </w:r>
          </w:p>
        </w:tc>
        <w:tc>
          <w:tcPr>
            <w:tcW w:w="1280" w:type="dxa"/>
            <w:vAlign w:val="bottom"/>
          </w:tcPr>
          <w:p>
            <w:pPr>
              <w:ind w:left="140"/>
              <w:spacing w:after="0" w:line="110" w:lineRule="exact"/>
              <w:rPr>
                <w:sz w:val="20"/>
                <w:szCs w:val="20"/>
                <w:color w:val="auto"/>
              </w:rPr>
            </w:pPr>
            <w:r>
              <w:rPr>
                <w:rFonts w:ascii="Arial" w:cs="Arial" w:eastAsia="Arial" w:hAnsi="Arial"/>
                <w:sz w:val="12"/>
                <w:szCs w:val="12"/>
                <w:color w:val="FFFFFF"/>
              </w:rPr>
              <w:t>and the Board of</w:t>
            </w: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8540" w:type="dxa"/>
            <w:vAlign w:val="bottom"/>
            <w:vMerge w:val="continue"/>
          </w:tcPr>
          <w:p>
            <w:pPr>
              <w:spacing w:after="0"/>
              <w:rPr>
                <w:sz w:val="10"/>
                <w:szCs w:val="10"/>
                <w:color w:val="auto"/>
              </w:rPr>
            </w:pPr>
          </w:p>
        </w:tc>
        <w:tc>
          <w:tcPr>
            <w:tcW w:w="1280" w:type="dxa"/>
            <w:vAlign w:val="bottom"/>
            <w:vMerge w:val="restart"/>
          </w:tcPr>
          <w:p>
            <w:pPr>
              <w:ind w:left="140"/>
              <w:spacing w:after="0"/>
              <w:rPr>
                <w:sz w:val="20"/>
                <w:szCs w:val="20"/>
                <w:color w:val="auto"/>
              </w:rPr>
            </w:pPr>
            <w:r>
              <w:rPr>
                <w:rFonts w:ascii="Arial" w:cs="Arial" w:eastAsia="Arial" w:hAnsi="Arial"/>
                <w:sz w:val="12"/>
                <w:szCs w:val="12"/>
                <w:color w:val="FFFFFF"/>
              </w:rPr>
              <w:t>Directors</w:t>
            </w: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1"/>
        </w:trPr>
        <w:tc>
          <w:tcPr>
            <w:tcW w:w="85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8"/>
        </w:trPr>
        <w:tc>
          <w:tcPr>
            <w:tcW w:w="8540" w:type="dxa"/>
            <w:vAlign w:val="bottom"/>
          </w:tcPr>
          <w:p>
            <w:pPr>
              <w:spacing w:after="0"/>
              <w:rPr>
                <w:sz w:val="20"/>
                <w:szCs w:val="20"/>
                <w:color w:val="auto"/>
              </w:rPr>
            </w:pPr>
            <w:r>
              <w:rPr>
                <w:rFonts w:ascii="Arial" w:cs="Arial" w:eastAsia="Arial" w:hAnsi="Arial"/>
                <w:sz w:val="15"/>
                <w:szCs w:val="15"/>
                <w:color w:val="auto"/>
              </w:rPr>
              <w:t>Generally, the Compensation Committee will increase an NEO’s base salary when individual performance, job</w:t>
            </w:r>
          </w:p>
        </w:tc>
        <w:tc>
          <w:tcPr>
            <w:tcW w:w="1280" w:type="dxa"/>
            <w:vAlign w:val="bottom"/>
            <w:vMerge w:val="restart"/>
          </w:tcPr>
          <w:p>
            <w:pPr>
              <w:ind w:left="140"/>
              <w:spacing w:after="0"/>
              <w:rPr>
                <w:sz w:val="20"/>
                <w:szCs w:val="20"/>
                <w:color w:val="auto"/>
              </w:rPr>
            </w:pPr>
            <w:r>
              <w:rPr>
                <w:rFonts w:ascii="Arial" w:cs="Arial" w:eastAsia="Arial" w:hAnsi="Arial"/>
                <w:sz w:val="12"/>
                <w:szCs w:val="12"/>
                <w:color w:val="FFFFFF"/>
              </w:rPr>
              <w:t>Proposal 1</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6"/>
        </w:trPr>
        <w:tc>
          <w:tcPr>
            <w:tcW w:w="8540" w:type="dxa"/>
            <w:vAlign w:val="bottom"/>
            <w:vMerge w:val="restart"/>
          </w:tcPr>
          <w:p>
            <w:pPr>
              <w:spacing w:after="0"/>
              <w:rPr>
                <w:sz w:val="20"/>
                <w:szCs w:val="20"/>
                <w:color w:val="auto"/>
              </w:rPr>
            </w:pPr>
            <w:r>
              <w:rPr>
                <w:rFonts w:ascii="Arial" w:cs="Arial" w:eastAsia="Arial" w:hAnsi="Arial"/>
                <w:sz w:val="15"/>
                <w:szCs w:val="15"/>
                <w:color w:val="auto"/>
              </w:rPr>
              <w:t>scope, role change or market compensation data indicate that an increase is warranted.</w:t>
            </w:r>
          </w:p>
        </w:tc>
        <w:tc>
          <w:tcPr>
            <w:tcW w:w="1280" w:type="dxa"/>
            <w:vAlign w:val="bottom"/>
            <w:vMerge w:val="continue"/>
          </w:tcPr>
          <w:p>
            <w:pPr>
              <w:spacing w:after="0"/>
              <w:rPr>
                <w:sz w:val="6"/>
                <w:szCs w:val="6"/>
                <w:color w:val="auto"/>
              </w:rPr>
            </w:pPr>
          </w:p>
        </w:tc>
        <w:tc>
          <w:tcPr>
            <w:tcW w:w="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5"/>
        </w:trPr>
        <w:tc>
          <w:tcPr>
            <w:tcW w:w="854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1" w:lineRule="exact"/>
        <w:rPr>
          <w:sz w:val="20"/>
          <w:szCs w:val="20"/>
          <w:color w:val="auto"/>
        </w:rPr>
      </w:pPr>
    </w:p>
    <w:p>
      <w:pPr>
        <w:sectPr>
          <w:pgSz w:w="11900" w:h="16838" w:orient="portrait"/>
          <w:cols w:equalWidth="0" w:num="1">
            <w:col w:w="10800"/>
          </w:cols>
          <w:pgMar w:left="320" w:top="464" w:right="779" w:bottom="1440" w:gutter="0" w:footer="0" w:header="0"/>
        </w:sectPr>
      </w:pPr>
    </w:p>
    <w:p>
      <w:pPr>
        <w:spacing w:after="0" w:line="69"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With regard to our NEOs’ base salaries for 2025:</w:t>
      </w:r>
    </w:p>
    <w:p>
      <w:pPr>
        <w:spacing w:after="0" w:line="121" w:lineRule="exact"/>
        <w:rPr>
          <w:sz w:val="20"/>
          <w:szCs w:val="20"/>
          <w:color w:val="auto"/>
        </w:rPr>
      </w:pPr>
    </w:p>
    <w:p>
      <w:pPr>
        <w:ind w:left="800" w:right="440" w:hanging="261"/>
        <w:spacing w:after="0" w:line="287" w:lineRule="auto"/>
        <w:tabs>
          <w:tab w:leader="none" w:pos="800" w:val="left"/>
        </w:tabs>
        <w:numPr>
          <w:ilvl w:val="0"/>
          <w:numId w:val="69"/>
        </w:numPr>
        <w:rPr>
          <w:rFonts w:ascii="Arial" w:cs="Arial" w:eastAsia="Arial" w:hAnsi="Arial"/>
          <w:sz w:val="15"/>
          <w:szCs w:val="15"/>
          <w:color w:val="auto"/>
        </w:rPr>
      </w:pPr>
      <w:r>
        <w:rPr>
          <w:rFonts w:ascii="Arial" w:cs="Arial" w:eastAsia="Arial" w:hAnsi="Arial"/>
          <w:sz w:val="15"/>
          <w:szCs w:val="15"/>
          <w:color w:val="auto"/>
        </w:rPr>
        <w:t>Mr. Steinmeier’s base salary was unchanged from October 2024 when his base salary was set at $900,000 following his appointment as CEO;</w:t>
      </w:r>
    </w:p>
    <w:p>
      <w:pPr>
        <w:spacing w:after="0" w:line="59" w:lineRule="exact"/>
        <w:rPr>
          <w:rFonts w:ascii="Arial" w:cs="Arial" w:eastAsia="Arial" w:hAnsi="Arial"/>
          <w:sz w:val="15"/>
          <w:szCs w:val="15"/>
          <w:color w:val="auto"/>
        </w:rPr>
      </w:pPr>
    </w:p>
    <w:p>
      <w:pPr>
        <w:ind w:left="800" w:right="660" w:hanging="261"/>
        <w:spacing w:after="0" w:line="287" w:lineRule="auto"/>
        <w:tabs>
          <w:tab w:leader="none" w:pos="800" w:val="left"/>
        </w:tabs>
        <w:numPr>
          <w:ilvl w:val="0"/>
          <w:numId w:val="69"/>
        </w:numPr>
        <w:rPr>
          <w:rFonts w:ascii="Arial" w:cs="Arial" w:eastAsia="Arial" w:hAnsi="Arial"/>
          <w:sz w:val="15"/>
          <w:szCs w:val="15"/>
          <w:color w:val="auto"/>
        </w:rPr>
      </w:pPr>
      <w:r>
        <w:rPr>
          <w:rFonts w:ascii="Arial" w:cs="Arial" w:eastAsia="Arial" w:hAnsi="Arial"/>
          <w:sz w:val="15"/>
          <w:szCs w:val="15"/>
          <w:color w:val="auto"/>
        </w:rPr>
        <w:t>Mr. Audette’s base salary was unchanged from October 2024 when his base salary was set at $750,000 following his appointment as president and chief financial officer;</w:t>
      </w:r>
    </w:p>
    <w:p>
      <w:pPr>
        <w:spacing w:after="0" w:line="59" w:lineRule="exact"/>
        <w:rPr>
          <w:rFonts w:ascii="Arial" w:cs="Arial" w:eastAsia="Arial" w:hAnsi="Arial"/>
          <w:sz w:val="15"/>
          <w:szCs w:val="15"/>
          <w:color w:val="auto"/>
        </w:rPr>
      </w:pPr>
    </w:p>
    <w:p>
      <w:pPr>
        <w:ind w:left="800" w:hanging="261"/>
        <w:spacing w:after="0"/>
        <w:tabs>
          <w:tab w:leader="none" w:pos="800" w:val="left"/>
        </w:tabs>
        <w:numPr>
          <w:ilvl w:val="0"/>
          <w:numId w:val="69"/>
        </w:numPr>
        <w:rPr>
          <w:rFonts w:ascii="Arial" w:cs="Arial" w:eastAsia="Arial" w:hAnsi="Arial"/>
          <w:sz w:val="15"/>
          <w:szCs w:val="15"/>
          <w:color w:val="auto"/>
        </w:rPr>
      </w:pPr>
      <w:r>
        <w:rPr>
          <w:rFonts w:ascii="Arial" w:cs="Arial" w:eastAsia="Arial" w:hAnsi="Arial"/>
          <w:sz w:val="15"/>
          <w:szCs w:val="15"/>
          <w:color w:val="auto"/>
        </w:rPr>
        <w:t>Mr. Enyedi’s base salary increased from $525,000 to $600,000;</w:t>
      </w:r>
    </w:p>
    <w:p>
      <w:pPr>
        <w:spacing w:after="0" w:line="121" w:lineRule="exact"/>
        <w:rPr>
          <w:rFonts w:ascii="Arial" w:cs="Arial" w:eastAsia="Arial" w:hAnsi="Arial"/>
          <w:sz w:val="15"/>
          <w:szCs w:val="15"/>
          <w:color w:val="auto"/>
        </w:rPr>
      </w:pPr>
    </w:p>
    <w:p>
      <w:pPr>
        <w:ind w:left="800" w:hanging="261"/>
        <w:spacing w:after="0"/>
        <w:tabs>
          <w:tab w:leader="none" w:pos="800" w:val="left"/>
        </w:tabs>
        <w:numPr>
          <w:ilvl w:val="0"/>
          <w:numId w:val="69"/>
        </w:numPr>
        <w:rPr>
          <w:rFonts w:ascii="Arial" w:cs="Arial" w:eastAsia="Arial" w:hAnsi="Arial"/>
          <w:sz w:val="15"/>
          <w:szCs w:val="15"/>
          <w:color w:val="auto"/>
        </w:rPr>
      </w:pPr>
      <w:r>
        <w:rPr>
          <w:rFonts w:ascii="Arial" w:cs="Arial" w:eastAsia="Arial" w:hAnsi="Arial"/>
          <w:sz w:val="15"/>
          <w:szCs w:val="15"/>
          <w:color w:val="auto"/>
        </w:rPr>
        <w:t>Mr. Gates’s base salary increased from $550,000 to $600,000; and</w:t>
      </w:r>
    </w:p>
    <w:p>
      <w:pPr>
        <w:spacing w:after="0" w:line="121" w:lineRule="exact"/>
        <w:rPr>
          <w:rFonts w:ascii="Arial" w:cs="Arial" w:eastAsia="Arial" w:hAnsi="Arial"/>
          <w:sz w:val="15"/>
          <w:szCs w:val="15"/>
          <w:color w:val="auto"/>
        </w:rPr>
      </w:pPr>
    </w:p>
    <w:p>
      <w:pPr>
        <w:ind w:left="800" w:hanging="261"/>
        <w:spacing w:after="0"/>
        <w:tabs>
          <w:tab w:leader="none" w:pos="800" w:val="left"/>
        </w:tabs>
        <w:numPr>
          <w:ilvl w:val="0"/>
          <w:numId w:val="69"/>
        </w:numPr>
        <w:rPr>
          <w:rFonts w:ascii="Arial" w:cs="Arial" w:eastAsia="Arial" w:hAnsi="Arial"/>
          <w:sz w:val="15"/>
          <w:szCs w:val="15"/>
          <w:color w:val="auto"/>
        </w:rPr>
      </w:pPr>
      <w:r>
        <w:rPr>
          <w:rFonts w:ascii="Arial" w:cs="Arial" w:eastAsia="Arial" w:hAnsi="Arial"/>
          <w:sz w:val="15"/>
          <w:szCs w:val="15"/>
          <w:color w:val="auto"/>
        </w:rPr>
        <w:t>Ms. Jambusaria’s base salary increased from $425,000 to $500,000.</w:t>
      </w:r>
    </w:p>
    <w:p>
      <w:pPr>
        <w:spacing w:after="0" w:line="108" w:lineRule="exact"/>
        <w:rPr>
          <w:sz w:val="20"/>
          <w:szCs w:val="20"/>
          <w:color w:val="auto"/>
        </w:rPr>
      </w:pPr>
    </w:p>
    <w:p>
      <w:pPr>
        <w:ind w:left="540" w:right="100"/>
        <w:spacing w:after="0" w:line="255" w:lineRule="auto"/>
        <w:rPr>
          <w:sz w:val="20"/>
          <w:szCs w:val="20"/>
          <w:color w:val="auto"/>
        </w:rPr>
      </w:pPr>
      <w:r>
        <w:rPr>
          <w:rFonts w:ascii="Arial" w:cs="Arial" w:eastAsia="Arial" w:hAnsi="Arial"/>
          <w:sz w:val="15"/>
          <w:szCs w:val="15"/>
          <w:color w:val="auto"/>
        </w:rPr>
        <w:t>In increasing our NEOs’ base salaries, the Compensation Committee considered the competitiveness and mix of each executive’s total compensation opportunity based on benchmarking data prepared by the Compensation Consultant. This benchmarking data included compensation data for comparable roles at relevant peer companies and other survey data, as described further in the “</w:t>
      </w:r>
      <w:r>
        <w:rPr>
          <w:rFonts w:ascii="Arial" w:cs="Arial" w:eastAsia="Arial" w:hAnsi="Arial"/>
          <w:sz w:val="15"/>
          <w:szCs w:val="15"/>
          <w:i w:val="1"/>
          <w:iCs w:val="1"/>
          <w:color w:val="auto"/>
        </w:rPr>
        <w:t>Benchmarking</w:t>
      </w:r>
      <w:r>
        <w:rPr>
          <w:rFonts w:ascii="Arial" w:cs="Arial" w:eastAsia="Arial" w:hAnsi="Arial"/>
          <w:sz w:val="15"/>
          <w:szCs w:val="15"/>
          <w:color w:val="auto"/>
        </w:rPr>
        <w:t xml:space="preserve"> ” section (“Benchmarking Data”). In each case, the Compensation Committee’s determination to increase the NEO’s base salary and its determination of the magnitude of such increase were made to more closely align such salary level with market levels on the basis of the Benchmarking Data and in consultation with the Compensation Consultant.</w:t>
      </w:r>
    </w:p>
    <w:p>
      <w:pPr>
        <w:spacing w:after="0" w:line="70" w:lineRule="exact"/>
        <w:rPr>
          <w:sz w:val="20"/>
          <w:szCs w:val="20"/>
          <w:color w:val="auto"/>
        </w:rPr>
      </w:pPr>
    </w:p>
    <w:p>
      <w:pPr>
        <w:ind w:left="540" w:right="320"/>
        <w:spacing w:after="0" w:line="287" w:lineRule="auto"/>
        <w:rPr>
          <w:sz w:val="20"/>
          <w:szCs w:val="20"/>
          <w:color w:val="auto"/>
        </w:rPr>
      </w:pPr>
      <w:r>
        <w:rPr>
          <w:rFonts w:ascii="Arial" w:cs="Arial" w:eastAsia="Arial" w:hAnsi="Arial"/>
          <w:sz w:val="15"/>
          <w:szCs w:val="15"/>
          <w:color w:val="auto"/>
        </w:rPr>
        <w:t>The 2025 salary compensation for all of our NEOs appears in the Summary Compensation Table that follows this CD&amp;A.</w:t>
      </w:r>
    </w:p>
    <w:p>
      <w:pPr>
        <w:spacing w:after="0" w:line="139" w:lineRule="exact"/>
        <w:rPr>
          <w:sz w:val="20"/>
          <w:szCs w:val="20"/>
          <w:color w:val="auto"/>
        </w:rPr>
      </w:pPr>
    </w:p>
    <w:p>
      <w:pPr>
        <w:ind w:left="540"/>
        <w:spacing w:after="0"/>
        <w:rPr>
          <w:sz w:val="20"/>
          <w:szCs w:val="20"/>
          <w:color w:val="auto"/>
        </w:rPr>
      </w:pPr>
      <w:r>
        <w:rPr>
          <w:rFonts w:ascii="Arial" w:cs="Arial" w:eastAsia="Arial" w:hAnsi="Arial"/>
          <w:sz w:val="24"/>
          <w:szCs w:val="24"/>
          <w:color w:val="B95827"/>
        </w:rPr>
        <w:t>Annual Cash Bonus Awards</w:t>
      </w:r>
    </w:p>
    <w:p>
      <w:pPr>
        <w:spacing w:after="0" w:line="117" w:lineRule="exact"/>
        <w:rPr>
          <w:sz w:val="20"/>
          <w:szCs w:val="20"/>
          <w:color w:val="auto"/>
        </w:rPr>
      </w:pPr>
    </w:p>
    <w:p>
      <w:pPr>
        <w:ind w:left="540" w:right="80"/>
        <w:spacing w:after="0" w:line="256" w:lineRule="auto"/>
        <w:rPr>
          <w:sz w:val="20"/>
          <w:szCs w:val="20"/>
          <w:color w:val="auto"/>
        </w:rPr>
      </w:pPr>
      <w:r>
        <w:rPr>
          <w:rFonts w:ascii="Arial" w:cs="Arial" w:eastAsia="Arial" w:hAnsi="Arial"/>
          <w:sz w:val="15"/>
          <w:szCs w:val="15"/>
          <w:color w:val="auto"/>
        </w:rPr>
        <w:t>We provide annual cash bonus awards to tie a significant portion of the overall cash compensation of our senior executives, including our NEOs, to the achievement of annually established, key short-term financial performance targets and business goals of the Company. See “</w:t>
      </w:r>
      <w:r>
        <w:rPr>
          <w:rFonts w:ascii="Arial" w:cs="Arial" w:eastAsia="Arial" w:hAnsi="Arial"/>
          <w:sz w:val="15"/>
          <w:szCs w:val="15"/>
          <w:i w:val="1"/>
          <w:iCs w:val="1"/>
          <w:color w:val="auto"/>
        </w:rPr>
        <w:t>Bonus Pool Funding Framework</w:t>
      </w:r>
      <w:r>
        <w:rPr>
          <w:rFonts w:ascii="Arial" w:cs="Arial" w:eastAsia="Arial" w:hAnsi="Arial"/>
          <w:sz w:val="15"/>
          <w:szCs w:val="15"/>
          <w:color w:val="auto"/>
        </w:rPr>
        <w:t>” and “</w:t>
      </w:r>
      <w:r>
        <w:rPr>
          <w:rFonts w:ascii="Arial" w:cs="Arial" w:eastAsia="Arial" w:hAnsi="Arial"/>
          <w:sz w:val="15"/>
          <w:szCs w:val="15"/>
          <w:i w:val="1"/>
          <w:iCs w:val="1"/>
          <w:color w:val="auto"/>
        </w:rPr>
        <w:t>2025 Business Goals</w:t>
      </w:r>
      <w:r>
        <w:rPr>
          <w:rFonts w:ascii="Arial" w:cs="Arial" w:eastAsia="Arial" w:hAnsi="Arial"/>
          <w:sz w:val="15"/>
          <w:szCs w:val="15"/>
          <w:color w:val="auto"/>
        </w:rPr>
        <w:t xml:space="preserve"> </w:t>
      </w:r>
      <w:r>
        <w:rPr>
          <w:rFonts w:ascii="Arial" w:cs="Arial" w:eastAsia="Arial" w:hAnsi="Arial"/>
          <w:sz w:val="15"/>
          <w:szCs w:val="15"/>
          <w:i w:val="1"/>
          <w:iCs w:val="1"/>
          <w:color w:val="auto"/>
        </w:rPr>
        <w:t>Performance Evaluation</w:t>
      </w:r>
      <w:r>
        <w:rPr>
          <w:rFonts w:ascii="Arial" w:cs="Arial" w:eastAsia="Arial" w:hAnsi="Arial"/>
          <w:sz w:val="15"/>
          <w:szCs w:val="15"/>
          <w:color w:val="auto"/>
        </w:rPr>
        <w:t>” below for a description of these targets and goals and our 2025 performance against them.</w:t>
      </w:r>
      <w:r>
        <w:rPr>
          <w:rFonts w:ascii="Arial" w:cs="Arial" w:eastAsia="Arial" w:hAnsi="Arial"/>
          <w:sz w:val="15"/>
          <w:szCs w:val="15"/>
          <w:i w:val="1"/>
          <w:iCs w:val="1"/>
          <w:color w:val="auto"/>
        </w:rPr>
        <w:t xml:space="preserve"> </w:t>
      </w:r>
      <w:r>
        <w:rPr>
          <w:rFonts w:ascii="Arial" w:cs="Arial" w:eastAsia="Arial" w:hAnsi="Arial"/>
          <w:sz w:val="15"/>
          <w:szCs w:val="15"/>
          <w:color w:val="auto"/>
        </w:rPr>
        <w:t>The Compensation Committee believes that our NEOs, as key members of the Company’s leadership team, share responsibility for supporting the financial and business goals and performance of the Company.</w:t>
      </w:r>
    </w:p>
    <w:p>
      <w:pPr>
        <w:spacing w:after="0" w:line="70" w:lineRule="exact"/>
        <w:rPr>
          <w:sz w:val="20"/>
          <w:szCs w:val="20"/>
          <w:color w:val="auto"/>
        </w:rPr>
      </w:pPr>
    </w:p>
    <w:p>
      <w:pPr>
        <w:ind w:left="540"/>
        <w:spacing w:after="0"/>
        <w:rPr>
          <w:sz w:val="20"/>
          <w:szCs w:val="20"/>
          <w:color w:val="auto"/>
        </w:rPr>
      </w:pPr>
      <w:r>
        <w:rPr>
          <w:rFonts w:ascii="Arial" w:cs="Arial" w:eastAsia="Arial" w:hAnsi="Arial"/>
          <w:sz w:val="15"/>
          <w:szCs w:val="15"/>
          <w:color w:val="auto"/>
        </w:rPr>
        <w:t>At the beginning of 2025, the Compensation Committee established:</w:t>
      </w:r>
    </w:p>
    <w:p>
      <w:pPr>
        <w:spacing w:after="0" w:line="121" w:lineRule="exact"/>
        <w:rPr>
          <w:sz w:val="20"/>
          <w:szCs w:val="20"/>
          <w:color w:val="auto"/>
        </w:rPr>
      </w:pPr>
    </w:p>
    <w:p>
      <w:pPr>
        <w:ind w:left="800" w:hanging="261"/>
        <w:spacing w:after="0"/>
        <w:tabs>
          <w:tab w:leader="none" w:pos="800" w:val="left"/>
        </w:tabs>
        <w:numPr>
          <w:ilvl w:val="0"/>
          <w:numId w:val="70"/>
        </w:numPr>
        <w:rPr>
          <w:rFonts w:ascii="Arial" w:cs="Arial" w:eastAsia="Arial" w:hAnsi="Arial"/>
          <w:sz w:val="15"/>
          <w:szCs w:val="15"/>
          <w:color w:val="auto"/>
        </w:rPr>
      </w:pPr>
      <w:r>
        <w:rPr>
          <w:rFonts w:ascii="Arial" w:cs="Arial" w:eastAsia="Arial" w:hAnsi="Arial"/>
          <w:sz w:val="15"/>
          <w:szCs w:val="15"/>
          <w:color w:val="auto"/>
        </w:rPr>
        <w:t>the target cash bonus award amounts for each NEO; and</w:t>
      </w:r>
    </w:p>
    <w:p>
      <w:pPr>
        <w:spacing w:after="0" w:line="121" w:lineRule="exact"/>
        <w:rPr>
          <w:rFonts w:ascii="Arial" w:cs="Arial" w:eastAsia="Arial" w:hAnsi="Arial"/>
          <w:sz w:val="15"/>
          <w:szCs w:val="15"/>
          <w:color w:val="auto"/>
        </w:rPr>
      </w:pPr>
    </w:p>
    <w:p>
      <w:pPr>
        <w:ind w:left="800" w:right="100" w:hanging="261"/>
        <w:spacing w:after="0" w:line="268" w:lineRule="auto"/>
        <w:tabs>
          <w:tab w:leader="none" w:pos="800" w:val="left"/>
        </w:tabs>
        <w:numPr>
          <w:ilvl w:val="0"/>
          <w:numId w:val="70"/>
        </w:numPr>
        <w:rPr>
          <w:rFonts w:ascii="Arial" w:cs="Arial" w:eastAsia="Arial" w:hAnsi="Arial"/>
          <w:sz w:val="15"/>
          <w:szCs w:val="15"/>
          <w:color w:val="auto"/>
        </w:rPr>
      </w:pPr>
      <w:r>
        <w:rPr>
          <w:rFonts w:ascii="Arial" w:cs="Arial" w:eastAsia="Arial" w:hAnsi="Arial"/>
          <w:sz w:val="15"/>
          <w:szCs w:val="15"/>
          <w:color w:val="auto"/>
        </w:rPr>
        <w:t>a bonus pool funding framework that provided a potential range of bonus pool funding based on the level of achievement of the Company’s 2025 Corporate Goals, which were approved by the Board and consisted of both financial and business goals.</w:t>
      </w:r>
    </w:p>
    <w:p>
      <w:pPr>
        <w:spacing w:after="0" w:line="158" w:lineRule="exact"/>
        <w:rPr>
          <w:sz w:val="20"/>
          <w:szCs w:val="20"/>
          <w:color w:val="auto"/>
        </w:rPr>
      </w:pPr>
    </w:p>
    <w:p>
      <w:pPr>
        <w:ind w:left="540"/>
        <w:spacing w:after="0"/>
        <w:rPr>
          <w:sz w:val="20"/>
          <w:szCs w:val="20"/>
          <w:color w:val="auto"/>
        </w:rPr>
      </w:pPr>
      <w:r>
        <w:rPr>
          <w:rFonts w:ascii="Arial" w:cs="Arial" w:eastAsia="Arial" w:hAnsi="Arial"/>
          <w:sz w:val="17"/>
          <w:szCs w:val="17"/>
          <w:b w:val="1"/>
          <w:bCs w:val="1"/>
          <w:color w:val="002B5F"/>
        </w:rPr>
        <w:t>TARGET BONUS AWARD AMOUNTS</w:t>
      </w:r>
    </w:p>
    <w:p>
      <w:pPr>
        <w:spacing w:after="0" w:line="103" w:lineRule="exact"/>
        <w:rPr>
          <w:sz w:val="20"/>
          <w:szCs w:val="20"/>
          <w:color w:val="auto"/>
        </w:rPr>
      </w:pPr>
    </w:p>
    <w:p>
      <w:pPr>
        <w:ind w:left="540" w:right="420"/>
        <w:spacing w:after="0" w:line="268" w:lineRule="auto"/>
        <w:rPr>
          <w:sz w:val="20"/>
          <w:szCs w:val="20"/>
          <w:color w:val="auto"/>
        </w:rPr>
      </w:pPr>
      <w:r>
        <w:rPr>
          <w:rFonts w:ascii="Arial" w:cs="Arial" w:eastAsia="Arial" w:hAnsi="Arial"/>
          <w:sz w:val="15"/>
          <w:szCs w:val="15"/>
          <w:color w:val="auto"/>
        </w:rPr>
        <w:t>The Compensation Committee sets individual target bonus award amounts for each of our executive officers, including our NEOs, by taking into account the Benchmarking Data, the nature of their role and their potential to drive the strategy, planning, execution and outcomes related to the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FFFFFF"/>
        </w:rPr>
        <w:t>Information</w:t>
      </w:r>
    </w:p>
    <w:p>
      <w:pPr>
        <w:spacing w:after="0" w:line="224" w:lineRule="auto"/>
        <w:rPr>
          <w:sz w:val="20"/>
          <w:szCs w:val="20"/>
          <w:color w:val="auto"/>
        </w:rPr>
      </w:pPr>
      <w:r>
        <w:rPr>
          <w:rFonts w:ascii="Arial" w:cs="Arial" w:eastAsia="Arial" w:hAnsi="Arial"/>
          <w:sz w:val="12"/>
          <w:szCs w:val="12"/>
          <w:color w:val="FFFFFF"/>
        </w:rPr>
        <w:t>Regarding Board</w:t>
      </w:r>
    </w:p>
    <w:p>
      <w:pPr>
        <w:spacing w:after="0" w:line="222" w:lineRule="auto"/>
        <w:rPr>
          <w:sz w:val="20"/>
          <w:szCs w:val="20"/>
          <w:color w:val="auto"/>
        </w:rPr>
      </w:pPr>
      <w:r>
        <w:rPr>
          <w:rFonts w:ascii="Arial" w:cs="Arial" w:eastAsia="Arial" w:hAnsi="Arial"/>
          <w:sz w:val="12"/>
          <w:szCs w:val="12"/>
          <w:color w:val="FFFFFF"/>
        </w:rPr>
        <w:t>and Committee</w:t>
      </w:r>
    </w:p>
    <w:p>
      <w:pPr>
        <w:spacing w:after="0"/>
        <w:rPr>
          <w:sz w:val="20"/>
          <w:szCs w:val="20"/>
          <w:color w:val="auto"/>
        </w:rPr>
      </w:pPr>
      <w:r>
        <w:rPr>
          <w:rFonts w:ascii="Arial" w:cs="Arial" w:eastAsia="Arial" w:hAnsi="Arial"/>
          <w:sz w:val="12"/>
          <w:szCs w:val="12"/>
          <w:color w:val="FFFFFF"/>
        </w:rPr>
        <w:t>Structure</w:t>
      </w:r>
    </w:p>
    <w:p>
      <w:pPr>
        <w:spacing w:after="0" w:line="144" w:lineRule="exact"/>
        <w:rPr>
          <w:sz w:val="20"/>
          <w:szCs w:val="20"/>
          <w:color w:val="auto"/>
        </w:rPr>
      </w:pPr>
    </w:p>
    <w:p>
      <w:pPr>
        <w:spacing w:after="0"/>
        <w:rPr>
          <w:sz w:val="20"/>
          <w:szCs w:val="20"/>
          <w:color w:val="auto"/>
        </w:rPr>
      </w:pPr>
      <w:r>
        <w:rPr>
          <w:rFonts w:ascii="Arial" w:cs="Arial" w:eastAsia="Arial" w:hAnsi="Arial"/>
          <w:sz w:val="11"/>
          <w:szCs w:val="11"/>
          <w:color w:val="FFFFFF"/>
        </w:rPr>
        <w:t>Board of Directors</w:t>
      </w:r>
    </w:p>
    <w:p>
      <w:pPr>
        <w:spacing w:after="0" w:line="13" w:lineRule="exact"/>
        <w:rPr>
          <w:sz w:val="20"/>
          <w:szCs w:val="20"/>
          <w:color w:val="auto"/>
        </w:rPr>
      </w:pPr>
    </w:p>
    <w:p>
      <w:pPr>
        <w:spacing w:after="0"/>
        <w:rPr>
          <w:sz w:val="20"/>
          <w:szCs w:val="20"/>
          <w:color w:val="auto"/>
        </w:rPr>
      </w:pPr>
      <w:r>
        <w:rPr>
          <w:rFonts w:ascii="Arial" w:cs="Arial" w:eastAsia="Arial" w:hAnsi="Arial"/>
          <w:sz w:val="12"/>
          <w:szCs w:val="12"/>
          <w:color w:val="FFFFFF"/>
        </w:rPr>
        <w:t>Compensation</w:t>
      </w:r>
    </w:p>
    <w:p>
      <w:pPr>
        <w:spacing w:after="0" w:line="144" w:lineRule="exact"/>
        <w:rPr>
          <w:sz w:val="20"/>
          <w:szCs w:val="20"/>
          <w:color w:val="auto"/>
        </w:rPr>
      </w:pPr>
    </w:p>
    <w:p>
      <w:pPr>
        <w:ind w:right="700"/>
        <w:spacing w:after="0" w:line="244" w:lineRule="auto"/>
        <w:rPr>
          <w:sz w:val="20"/>
          <w:szCs w:val="20"/>
          <w:color w:val="auto"/>
        </w:rPr>
      </w:pPr>
      <w:r>
        <w:rPr>
          <w:rFonts w:ascii="Arial" w:cs="Arial" w:eastAsia="Arial" w:hAnsi="Arial"/>
          <w:sz w:val="12"/>
          <w:szCs w:val="12"/>
          <w:b w:val="1"/>
          <w:bCs w:val="1"/>
          <w:color w:val="FFFFFF"/>
        </w:rPr>
        <w:t>Compensation Discussion and Analysis</w:t>
      </w:r>
    </w:p>
    <w:p>
      <w:pPr>
        <w:spacing w:after="0" w:line="128" w:lineRule="exact"/>
        <w:rPr>
          <w:sz w:val="20"/>
          <w:szCs w:val="20"/>
          <w:color w:val="auto"/>
        </w:rPr>
      </w:pPr>
    </w:p>
    <w:p>
      <w:pPr>
        <w:spacing w:after="0"/>
        <w:rPr>
          <w:sz w:val="20"/>
          <w:szCs w:val="20"/>
          <w:color w:val="auto"/>
        </w:rPr>
      </w:pPr>
      <w:r>
        <w:rPr>
          <w:rFonts w:ascii="Arial" w:cs="Arial" w:eastAsia="Arial" w:hAnsi="Arial"/>
          <w:sz w:val="12"/>
          <w:szCs w:val="12"/>
          <w:color w:val="FFFFFF"/>
        </w:rPr>
        <w:t>Report of the</w:t>
      </w:r>
    </w:p>
    <w:p>
      <w:pPr>
        <w:spacing w:after="0" w:line="224" w:lineRule="auto"/>
        <w:rPr>
          <w:sz w:val="20"/>
          <w:szCs w:val="20"/>
          <w:color w:val="auto"/>
        </w:rPr>
      </w:pPr>
      <w:r>
        <w:rPr>
          <w:rFonts w:ascii="Arial" w:cs="Arial" w:eastAsia="Arial" w:hAnsi="Arial"/>
          <w:sz w:val="12"/>
          <w:szCs w:val="12"/>
          <w:color w:val="FFFFFF"/>
        </w:rPr>
        <w:t>Compensation</w:t>
      </w:r>
    </w:p>
    <w:p>
      <w:pPr>
        <w:spacing w:after="0" w:line="222" w:lineRule="auto"/>
        <w:rPr>
          <w:sz w:val="20"/>
          <w:szCs w:val="20"/>
          <w:color w:val="auto"/>
        </w:rPr>
      </w:pPr>
      <w:r>
        <w:rPr>
          <w:rFonts w:ascii="Arial" w:cs="Arial" w:eastAsia="Arial" w:hAnsi="Arial"/>
          <w:sz w:val="12"/>
          <w:szCs w:val="12"/>
          <w:color w:val="FFFFFF"/>
        </w:rPr>
        <w:t>and Human</w:t>
      </w:r>
    </w:p>
    <w:p>
      <w:pPr>
        <w:spacing w:after="0" w:line="222" w:lineRule="auto"/>
        <w:rPr>
          <w:sz w:val="20"/>
          <w:szCs w:val="20"/>
          <w:color w:val="auto"/>
        </w:rPr>
      </w:pPr>
      <w:r>
        <w:rPr>
          <w:rFonts w:ascii="Arial" w:cs="Arial" w:eastAsia="Arial" w:hAnsi="Arial"/>
          <w:sz w:val="12"/>
          <w:szCs w:val="12"/>
          <w:color w:val="FFFFFF"/>
        </w:rPr>
        <w:t>Resources</w:t>
      </w:r>
    </w:p>
    <w:p>
      <w:pPr>
        <w:spacing w:after="0" w:line="222" w:lineRule="auto"/>
        <w:rPr>
          <w:sz w:val="20"/>
          <w:szCs w:val="20"/>
          <w:color w:val="auto"/>
        </w:rPr>
      </w:pPr>
      <w:r>
        <w:rPr>
          <w:rFonts w:ascii="Arial" w:cs="Arial" w:eastAsia="Arial" w:hAnsi="Arial"/>
          <w:sz w:val="12"/>
          <w:szCs w:val="12"/>
          <w:color w:val="FFFFFF"/>
        </w:rPr>
        <w:t>Committee of the</w:t>
      </w:r>
    </w:p>
    <w:p>
      <w:pPr>
        <w:spacing w:after="0"/>
        <w:rPr>
          <w:sz w:val="20"/>
          <w:szCs w:val="20"/>
          <w:color w:val="auto"/>
        </w:rPr>
      </w:pPr>
      <w:r>
        <w:rPr>
          <w:rFonts w:ascii="Arial" w:cs="Arial" w:eastAsia="Arial" w:hAnsi="Arial"/>
          <w:sz w:val="11"/>
          <w:szCs w:val="11"/>
          <w:color w:val="FFFFFF"/>
        </w:rPr>
        <w:t>Board of Directors</w:t>
      </w:r>
    </w:p>
    <w:p>
      <w:pPr>
        <w:spacing w:after="0" w:line="155" w:lineRule="exact"/>
        <w:rPr>
          <w:sz w:val="20"/>
          <w:szCs w:val="20"/>
          <w:color w:val="auto"/>
        </w:rPr>
      </w:pPr>
    </w:p>
    <w:p>
      <w:pPr>
        <w:spacing w:after="0"/>
        <w:rPr>
          <w:sz w:val="20"/>
          <w:szCs w:val="20"/>
          <w:color w:val="auto"/>
        </w:rPr>
      </w:pPr>
      <w:r>
        <w:rPr>
          <w:rFonts w:ascii="Arial" w:cs="Arial" w:eastAsia="Arial" w:hAnsi="Arial"/>
          <w:sz w:val="12"/>
          <w:szCs w:val="12"/>
          <w:color w:val="FFFFFF"/>
        </w:rPr>
        <w:t>Compensation of</w:t>
      </w:r>
    </w:p>
    <w:p>
      <w:pPr>
        <w:spacing w:after="0" w:line="224" w:lineRule="auto"/>
        <w:rPr>
          <w:sz w:val="20"/>
          <w:szCs w:val="20"/>
          <w:color w:val="auto"/>
        </w:rPr>
      </w:pPr>
      <w:r>
        <w:rPr>
          <w:rFonts w:ascii="Arial" w:cs="Arial" w:eastAsia="Arial" w:hAnsi="Arial"/>
          <w:sz w:val="12"/>
          <w:szCs w:val="12"/>
          <w:color w:val="FFFFFF"/>
        </w:rPr>
        <w:t>Named Executive</w:t>
      </w:r>
    </w:p>
    <w:p>
      <w:pPr>
        <w:spacing w:after="0"/>
        <w:rPr>
          <w:sz w:val="20"/>
          <w:szCs w:val="20"/>
          <w:color w:val="auto"/>
        </w:rPr>
      </w:pPr>
      <w:r>
        <w:rPr>
          <w:rFonts w:ascii="Arial" w:cs="Arial" w:eastAsia="Arial" w:hAnsi="Arial"/>
          <w:sz w:val="12"/>
          <w:szCs w:val="12"/>
          <w:color w:val="FFFFFF"/>
        </w:rPr>
        <w:t>Officers</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Pay Versus</w:t>
      </w:r>
    </w:p>
    <w:p>
      <w:pPr>
        <w:spacing w:after="0" w:line="224" w:lineRule="auto"/>
        <w:rPr>
          <w:sz w:val="20"/>
          <w:szCs w:val="20"/>
          <w:color w:val="auto"/>
        </w:rPr>
      </w:pPr>
      <w:r>
        <w:rPr>
          <w:rFonts w:ascii="Arial" w:cs="Arial" w:eastAsia="Arial" w:hAnsi="Arial"/>
          <w:sz w:val="12"/>
          <w:szCs w:val="12"/>
          <w:color w:val="FFFFFF"/>
        </w:rPr>
        <w:t>Performance</w:t>
      </w:r>
    </w:p>
    <w:p>
      <w:pPr>
        <w:spacing w:after="0"/>
        <w:rPr>
          <w:sz w:val="20"/>
          <w:szCs w:val="20"/>
          <w:color w:val="auto"/>
        </w:rPr>
      </w:pPr>
      <w:r>
        <w:rPr>
          <w:rFonts w:ascii="Arial" w:cs="Arial" w:eastAsia="Arial" w:hAnsi="Arial"/>
          <w:sz w:val="12"/>
          <w:szCs w:val="12"/>
          <w:color w:val="FFFFFF"/>
        </w:rPr>
        <w:t>Disclosure</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Security</w:t>
      </w:r>
    </w:p>
    <w:p>
      <w:pPr>
        <w:spacing w:after="0" w:line="224" w:lineRule="auto"/>
        <w:rPr>
          <w:sz w:val="20"/>
          <w:szCs w:val="20"/>
          <w:color w:val="auto"/>
        </w:rPr>
      </w:pPr>
      <w:r>
        <w:rPr>
          <w:rFonts w:ascii="Arial" w:cs="Arial" w:eastAsia="Arial" w:hAnsi="Arial"/>
          <w:sz w:val="12"/>
          <w:szCs w:val="12"/>
          <w:color w:val="FFFFFF"/>
        </w:rPr>
        <w:t>Ownership of</w:t>
      </w:r>
    </w:p>
    <w:p>
      <w:pPr>
        <w:spacing w:after="0" w:line="222" w:lineRule="auto"/>
        <w:rPr>
          <w:sz w:val="20"/>
          <w:szCs w:val="20"/>
          <w:color w:val="auto"/>
        </w:rPr>
      </w:pPr>
      <w:r>
        <w:rPr>
          <w:rFonts w:ascii="Arial" w:cs="Arial" w:eastAsia="Arial" w:hAnsi="Arial"/>
          <w:sz w:val="12"/>
          <w:szCs w:val="12"/>
          <w:color w:val="FFFFFF"/>
        </w:rPr>
        <w:t>Certain Beneficial</w:t>
      </w:r>
    </w:p>
    <w:p>
      <w:pPr>
        <w:spacing w:after="0" w:line="222" w:lineRule="auto"/>
        <w:rPr>
          <w:sz w:val="20"/>
          <w:szCs w:val="20"/>
          <w:color w:val="auto"/>
        </w:rPr>
      </w:pPr>
      <w:r>
        <w:rPr>
          <w:rFonts w:ascii="Arial" w:cs="Arial" w:eastAsia="Arial" w:hAnsi="Arial"/>
          <w:sz w:val="12"/>
          <w:szCs w:val="12"/>
          <w:color w:val="FFFFFF"/>
        </w:rPr>
        <w:t>Owners and</w:t>
      </w:r>
    </w:p>
    <w:p>
      <w:pPr>
        <w:spacing w:after="0"/>
        <w:rPr>
          <w:sz w:val="20"/>
          <w:szCs w:val="20"/>
          <w:color w:val="auto"/>
        </w:rPr>
      </w:pPr>
      <w:r>
        <w:rPr>
          <w:rFonts w:ascii="Arial" w:cs="Arial" w:eastAsia="Arial" w:hAnsi="Arial"/>
          <w:sz w:val="12"/>
          <w:szCs w:val="12"/>
          <w:color w:val="FFFFFF"/>
        </w:rPr>
        <w:t>Management</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Certain</w:t>
      </w:r>
    </w:p>
    <w:p>
      <w:pPr>
        <w:spacing w:after="0" w:line="224" w:lineRule="auto"/>
        <w:rPr>
          <w:sz w:val="20"/>
          <w:szCs w:val="20"/>
          <w:color w:val="auto"/>
        </w:rPr>
      </w:pPr>
      <w:r>
        <w:rPr>
          <w:rFonts w:ascii="Arial" w:cs="Arial" w:eastAsia="Arial" w:hAnsi="Arial"/>
          <w:sz w:val="12"/>
          <w:szCs w:val="12"/>
          <w:color w:val="FFFFFF"/>
        </w:rPr>
        <w:t>Relationships and</w:t>
      </w:r>
    </w:p>
    <w:p>
      <w:pPr>
        <w:spacing w:after="0" w:line="222" w:lineRule="auto"/>
        <w:rPr>
          <w:sz w:val="20"/>
          <w:szCs w:val="20"/>
          <w:color w:val="auto"/>
        </w:rPr>
      </w:pPr>
      <w:r>
        <w:rPr>
          <w:rFonts w:ascii="Arial" w:cs="Arial" w:eastAsia="Arial" w:hAnsi="Arial"/>
          <w:sz w:val="12"/>
          <w:szCs w:val="12"/>
          <w:color w:val="FFFFFF"/>
        </w:rPr>
        <w:t>Related Party</w:t>
      </w:r>
    </w:p>
    <w:p>
      <w:pPr>
        <w:spacing w:after="0"/>
        <w:rPr>
          <w:sz w:val="20"/>
          <w:szCs w:val="20"/>
          <w:color w:val="auto"/>
        </w:rPr>
      </w:pPr>
      <w:r>
        <w:rPr>
          <w:rFonts w:ascii="Arial" w:cs="Arial" w:eastAsia="Arial" w:hAnsi="Arial"/>
          <w:sz w:val="12"/>
          <w:szCs w:val="12"/>
          <w:color w:val="FFFFFF"/>
        </w:rPr>
        <w:t>Transactions</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Proposal 2</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FFFFFF"/>
        </w:rPr>
        <w:t>Report of the</w:t>
      </w:r>
    </w:p>
    <w:p>
      <w:pPr>
        <w:spacing w:after="0" w:line="224" w:lineRule="auto"/>
        <w:rPr>
          <w:sz w:val="20"/>
          <w:szCs w:val="20"/>
          <w:color w:val="auto"/>
        </w:rPr>
      </w:pPr>
      <w:r>
        <w:rPr>
          <w:rFonts w:ascii="Arial" w:cs="Arial" w:eastAsia="Arial" w:hAnsi="Arial"/>
          <w:sz w:val="12"/>
          <w:szCs w:val="12"/>
          <w:color w:val="FFFFFF"/>
        </w:rPr>
        <w:t>Audit and Risk</w:t>
      </w:r>
    </w:p>
    <w:p>
      <w:pPr>
        <w:spacing w:after="0" w:line="222" w:lineRule="auto"/>
        <w:rPr>
          <w:sz w:val="20"/>
          <w:szCs w:val="20"/>
          <w:color w:val="auto"/>
        </w:rPr>
      </w:pPr>
      <w:r>
        <w:rPr>
          <w:rFonts w:ascii="Arial" w:cs="Arial" w:eastAsia="Arial" w:hAnsi="Arial"/>
          <w:sz w:val="12"/>
          <w:szCs w:val="12"/>
          <w:color w:val="FFFFFF"/>
        </w:rPr>
        <w:t>Committee of the</w:t>
      </w:r>
    </w:p>
    <w:p>
      <w:pPr>
        <w:spacing w:after="0"/>
        <w:rPr>
          <w:sz w:val="20"/>
          <w:szCs w:val="20"/>
          <w:color w:val="auto"/>
        </w:rPr>
      </w:pPr>
      <w:r>
        <w:rPr>
          <w:rFonts w:ascii="Arial" w:cs="Arial" w:eastAsia="Arial" w:hAnsi="Arial"/>
          <w:sz w:val="11"/>
          <w:szCs w:val="11"/>
          <w:color w:val="FFFFFF"/>
        </w:rPr>
        <w:t>Board of Directors</w:t>
      </w:r>
    </w:p>
    <w:p>
      <w:pPr>
        <w:spacing w:after="0" w:line="155" w:lineRule="exact"/>
        <w:rPr>
          <w:sz w:val="20"/>
          <w:szCs w:val="20"/>
          <w:color w:val="auto"/>
        </w:rPr>
      </w:pPr>
    </w:p>
    <w:p>
      <w:pPr>
        <w:spacing w:after="0"/>
        <w:rPr>
          <w:sz w:val="20"/>
          <w:szCs w:val="20"/>
          <w:color w:val="auto"/>
        </w:rPr>
      </w:pPr>
      <w:r>
        <w:rPr>
          <w:rFonts w:ascii="Arial" w:cs="Arial" w:eastAsia="Arial" w:hAnsi="Arial"/>
          <w:sz w:val="12"/>
          <w:szCs w:val="12"/>
          <w:color w:val="FFFFFF"/>
        </w:rPr>
        <w:t>Proposal 3</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FFFFFF"/>
        </w:rPr>
        <w:t>Proposal 4</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FFFFFF"/>
        </w:rPr>
        <w:t>Proposal 5</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FFFFFF"/>
        </w:rPr>
        <w:t>Proposal 6</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FFFFFF"/>
        </w:rPr>
        <w:t>Stockholder</w:t>
      </w:r>
    </w:p>
    <w:p>
      <w:pPr>
        <w:spacing w:after="0" w:line="224" w:lineRule="auto"/>
        <w:rPr>
          <w:sz w:val="20"/>
          <w:szCs w:val="20"/>
          <w:color w:val="auto"/>
        </w:rPr>
      </w:pPr>
      <w:r>
        <w:rPr>
          <w:rFonts w:ascii="Arial" w:cs="Arial" w:eastAsia="Arial" w:hAnsi="Arial"/>
          <w:sz w:val="12"/>
          <w:szCs w:val="12"/>
          <w:color w:val="FFFFFF"/>
        </w:rPr>
        <w:t>Proposals and</w:t>
      </w:r>
    </w:p>
    <w:p>
      <w:pPr>
        <w:spacing w:after="0"/>
        <w:rPr>
          <w:sz w:val="20"/>
          <w:szCs w:val="20"/>
          <w:color w:val="auto"/>
        </w:rPr>
      </w:pPr>
      <w:r>
        <w:rPr>
          <w:rFonts w:ascii="Arial" w:cs="Arial" w:eastAsia="Arial" w:hAnsi="Arial"/>
          <w:sz w:val="12"/>
          <w:szCs w:val="12"/>
          <w:color w:val="FFFFFF"/>
        </w:rPr>
        <w:t>Other Matters</w:t>
      </w:r>
    </w:p>
    <w:p>
      <w:pPr>
        <w:spacing w:after="0" w:line="143" w:lineRule="exact"/>
        <w:rPr>
          <w:sz w:val="20"/>
          <w:szCs w:val="20"/>
          <w:color w:val="auto"/>
        </w:rPr>
      </w:pPr>
    </w:p>
    <w:p>
      <w:pPr>
        <w:sectPr>
          <w:pgSz w:w="11900" w:h="16838" w:orient="portrait"/>
          <w:cols w:equalWidth="0" w:num="2">
            <w:col w:w="8500" w:space="720"/>
            <w:col w:w="1580"/>
          </w:cols>
          <w:pgMar w:left="320" w:top="464" w:right="779" w:bottom="1440" w:gutter="0" w:footer="0" w:header="0"/>
          <w:type w:val="continuous"/>
        </w:sectPr>
      </w:pPr>
    </w:p>
    <w:p>
      <w:pPr>
        <w:ind w:left="9220"/>
        <w:spacing w:after="0"/>
        <w:rPr>
          <w:sz w:val="20"/>
          <w:szCs w:val="20"/>
          <w:color w:val="auto"/>
        </w:rPr>
      </w:pPr>
      <w:r>
        <w:rPr>
          <w:rFonts w:ascii="Arial" w:cs="Arial" w:eastAsia="Arial" w:hAnsi="Arial"/>
          <w:sz w:val="12"/>
          <w:szCs w:val="12"/>
          <w:color w:val="FFFFFF"/>
        </w:rPr>
        <w:t>Delinquent</w:t>
      </w:r>
    </w:p>
    <w:p>
      <w:pPr>
        <w:ind w:left="9220"/>
        <w:spacing w:after="0" w:line="224" w:lineRule="auto"/>
        <w:rPr>
          <w:sz w:val="20"/>
          <w:szCs w:val="20"/>
          <w:color w:val="auto"/>
        </w:rPr>
      </w:pPr>
      <w:r>
        <w:rPr>
          <w:rFonts w:ascii="Arial" w:cs="Arial" w:eastAsia="Arial" w:hAnsi="Arial"/>
          <w:sz w:val="12"/>
          <w:szCs w:val="12"/>
          <w:color w:val="FFFFFF"/>
        </w:rPr>
        <w:t>Section 16(a)</w:t>
      </w:r>
    </w:p>
    <w:p>
      <w:pPr>
        <w:ind w:left="9220"/>
        <w:spacing w:after="0"/>
        <w:rPr>
          <w:sz w:val="20"/>
          <w:szCs w:val="20"/>
          <w:color w:val="auto"/>
        </w:rPr>
      </w:pPr>
      <w:r>
        <w:rPr>
          <w:rFonts w:ascii="Arial" w:cs="Arial" w:eastAsia="Arial" w:hAnsi="Arial"/>
          <w:sz w:val="12"/>
          <w:szCs w:val="12"/>
          <w:color w:val="FFFFFF"/>
        </w:rPr>
        <w:t>Reports</w:t>
      </w:r>
    </w:p>
    <w:p>
      <w:pPr>
        <w:spacing w:after="0" w:line="144" w:lineRule="exact"/>
        <w:rPr>
          <w:sz w:val="20"/>
          <w:szCs w:val="20"/>
          <w:color w:val="auto"/>
        </w:rPr>
      </w:pPr>
    </w:p>
    <w:p>
      <w:pPr>
        <w:ind w:left="9220"/>
        <w:spacing w:after="0"/>
        <w:rPr>
          <w:sz w:val="20"/>
          <w:szCs w:val="20"/>
          <w:color w:val="auto"/>
        </w:rPr>
      </w:pPr>
      <w:r>
        <w:rPr>
          <w:rFonts w:ascii="Arial" w:cs="Arial" w:eastAsia="Arial" w:hAnsi="Arial"/>
          <w:sz w:val="12"/>
          <w:szCs w:val="12"/>
          <w:color w:val="FFFFFF"/>
        </w:rPr>
        <w:t>Other</w:t>
      </w:r>
    </w:p>
    <w:p>
      <w:pPr>
        <w:spacing w:after="0" w:line="2" w:lineRule="exact"/>
        <w:rPr>
          <w:sz w:val="20"/>
          <w:szCs w:val="20"/>
          <w:color w:val="auto"/>
        </w:rPr>
      </w:pPr>
    </w:p>
    <w:p>
      <w:pPr>
        <w:ind w:left="9220"/>
        <w:spacing w:after="0"/>
        <w:rPr>
          <w:sz w:val="20"/>
          <w:szCs w:val="20"/>
          <w:color w:val="auto"/>
        </w:rPr>
      </w:pPr>
      <w:r>
        <w:rPr>
          <w:rFonts w:ascii="Arial" w:cs="Arial" w:eastAsia="Arial" w:hAnsi="Arial"/>
          <w:sz w:val="12"/>
          <w:szCs w:val="12"/>
          <w:color w:val="FFFFFF"/>
        </w:rPr>
        <w:t>Information</w:t>
      </w:r>
    </w:p>
    <w:p>
      <w:pPr>
        <w:spacing w:after="0" w:line="144" w:lineRule="exact"/>
        <w:rPr>
          <w:sz w:val="20"/>
          <w:szCs w:val="20"/>
          <w:color w:val="auto"/>
        </w:rPr>
      </w:pPr>
    </w:p>
    <w:p>
      <w:pPr>
        <w:ind w:left="9220"/>
        <w:spacing w:after="0"/>
        <w:rPr>
          <w:sz w:val="20"/>
          <w:szCs w:val="20"/>
          <w:color w:val="auto"/>
        </w:rPr>
      </w:pPr>
      <w:r>
        <w:rPr>
          <w:rFonts w:ascii="Arial" w:cs="Arial" w:eastAsia="Arial" w:hAnsi="Arial"/>
          <w:sz w:val="12"/>
          <w:szCs w:val="12"/>
          <w:color w:val="FFFFFF"/>
        </w:rPr>
        <w:t>Appendix A</w:t>
      </w:r>
    </w:p>
    <w:p>
      <w:pPr>
        <w:spacing w:after="0" w:line="156" w:lineRule="exact"/>
        <w:rPr>
          <w:sz w:val="20"/>
          <w:szCs w:val="20"/>
          <w:color w:val="auto"/>
        </w:rPr>
      </w:pPr>
    </w:p>
    <w:p>
      <w:pPr>
        <w:ind w:left="9220"/>
        <w:spacing w:after="0"/>
        <w:rPr>
          <w:sz w:val="20"/>
          <w:szCs w:val="20"/>
          <w:color w:val="auto"/>
        </w:rPr>
      </w:pPr>
      <w:r>
        <w:rPr>
          <w:rFonts w:ascii="Arial" w:cs="Arial" w:eastAsia="Arial" w:hAnsi="Arial"/>
          <w:sz w:val="12"/>
          <w:szCs w:val="12"/>
          <w:color w:val="FFFFFF"/>
        </w:rPr>
        <w:t>Appendix 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6380"/>
        <w:spacing w:after="0"/>
        <w:tabs>
          <w:tab w:leader="none" w:pos="8500" w:val="left"/>
          <w:tab w:leader="none" w:pos="9960" w:val="left"/>
        </w:tabs>
        <w:rPr>
          <w:sz w:val="20"/>
          <w:szCs w:val="20"/>
          <w:color w:val="auto"/>
        </w:rPr>
      </w:pPr>
      <w:r>
        <w:rPr>
          <w:rFonts w:ascii="Arial" w:cs="Arial" w:eastAsia="Arial" w:hAnsi="Arial"/>
          <w:sz w:val="15"/>
          <w:szCs w:val="15"/>
          <w:b w:val="1"/>
          <w:bCs w:val="1"/>
          <w:color w:val="002B5F"/>
        </w:rPr>
        <w:t xml:space="preserve">2026 Proxy Statement  </w:t>
      </w:r>
      <w:r>
        <w:rPr>
          <w:rFonts w:ascii="Arial" w:cs="Arial" w:eastAsia="Arial" w:hAnsi="Arial"/>
          <w:sz w:val="20"/>
          <w:szCs w:val="20"/>
          <w:color w:val="002B5F"/>
        </w:rPr>
        <w:t>|</w:t>
      </w:r>
      <w:r>
        <w:rPr>
          <w:rFonts w:ascii="Arial" w:cs="Arial" w:eastAsia="Arial" w:hAnsi="Arial"/>
          <w:sz w:val="15"/>
          <w:szCs w:val="15"/>
          <w:b w:val="1"/>
          <w:bCs w:val="1"/>
          <w:color w:val="002B5F"/>
        </w:rPr>
        <w:t xml:space="preserve">  43</w:t>
      </w:r>
      <w:r>
        <w:rPr>
          <w:sz w:val="20"/>
          <w:szCs w:val="20"/>
          <w:color w:val="auto"/>
        </w:rPr>
        <w:tab/>
      </w:r>
      <w:r>
        <w:rPr>
          <w:rFonts w:ascii="Arial" w:cs="Arial" w:eastAsia="Arial" w:hAnsi="Arial"/>
          <w:sz w:val="17"/>
          <w:szCs w:val="17"/>
          <w:color w:val="auto"/>
        </w:rPr>
        <w:t xml:space="preserve">    </w:t>
      </w:r>
      <w:r>
        <w:rPr>
          <w:sz w:val="20"/>
          <w:szCs w:val="20"/>
          <w:color w:val="auto"/>
        </w:rPr>
        <w:tab/>
      </w:r>
      <w:r>
        <w:rPr>
          <w:rFonts w:ascii="Arial" w:cs="Arial" w:eastAsia="Arial" w:hAnsi="Arial"/>
          <w:sz w:val="17"/>
          <w:szCs w:val="17"/>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268605</wp:posOffset>
            </wp:positionH>
            <wp:positionV relativeFrom="paragraph">
              <wp:posOffset>-128905</wp:posOffset>
            </wp:positionV>
            <wp:extent cx="762000" cy="971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62000" cy="97155"/>
                    </a:xfrm>
                    <a:prstGeom prst="rect">
                      <a:avLst/>
                    </a:prstGeom>
                    <a:noFill/>
                  </pic:spPr>
                </pic:pic>
              </a:graphicData>
            </a:graphic>
          </wp:anchor>
        </w:drawing>
      </w:r>
    </w:p>
    <w:p>
      <w:pPr>
        <w:sectPr>
          <w:pgSz w:w="11900" w:h="16838" w:orient="portrait"/>
          <w:cols w:equalWidth="0" w:num="1">
            <w:col w:w="10800"/>
          </w:cols>
          <w:pgMar w:left="320" w:top="464" w:right="779" w:bottom="1440" w:gutter="0" w:footer="0" w:header="0"/>
          <w:type w:val="continuous"/>
        </w:sectPr>
      </w:pPr>
    </w:p>
    <w:bookmarkStart w:id="51" w:name="page52"/>
    <w:bookmarkEnd w:id="51"/>
    <w:p>
      <w:pPr>
        <w:spacing w:after="0"/>
        <w:rPr>
          <w:sz w:val="20"/>
          <w:szCs w:val="20"/>
          <w:color w:val="auto"/>
        </w:rPr>
      </w:pPr>
      <w:r>
        <w:rPr>
          <w:rFonts w:ascii="Times New Roman" w:cs="Times New Roman" w:eastAsia="Times New Roman" w:hAnsi="Times New Roman"/>
          <w:sz w:val="17"/>
          <w:szCs w:val="17"/>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268605</wp:posOffset>
            </wp:positionH>
            <wp:positionV relativeFrom="paragraph">
              <wp:posOffset>253365</wp:posOffset>
            </wp:positionV>
            <wp:extent cx="1183005" cy="745617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183005" cy="7456170"/>
                    </a:xfrm>
                    <a:prstGeom prst="rect">
                      <a:avLst/>
                    </a:prstGeom>
                    <a:noFill/>
                  </pic:spPr>
                </pic:pic>
              </a:graphicData>
            </a:graphic>
          </wp:anchor>
        </w:drawing>
      </w:r>
    </w:p>
    <w:p>
      <w:pPr>
        <w:spacing w:after="0" w:line="200" w:lineRule="exact"/>
        <w:rPr>
          <w:sz w:val="20"/>
          <w:szCs w:val="20"/>
          <w:color w:val="auto"/>
        </w:rPr>
      </w:pPr>
    </w:p>
    <w:p>
      <w:pPr>
        <w:spacing w:after="0" w:line="304" w:lineRule="exact"/>
        <w:rPr>
          <w:sz w:val="20"/>
          <w:szCs w:val="20"/>
          <w:color w:val="auto"/>
        </w:rPr>
      </w:pPr>
    </w:p>
    <w:p>
      <w:pPr>
        <w:ind w:left="1120" w:right="460" w:hanging="672"/>
        <w:spacing w:after="0" w:line="382" w:lineRule="auto"/>
        <w:tabs>
          <w:tab w:leader="none" w:pos="610" w:val="left"/>
        </w:tabs>
        <w:numPr>
          <w:ilvl w:val="0"/>
          <w:numId w:val="71"/>
        </w:numPr>
        <w:rPr>
          <w:rFonts w:ascii="Arial" w:cs="Arial" w:eastAsia="Arial" w:hAnsi="Arial"/>
          <w:sz w:val="24"/>
          <w:szCs w:val="24"/>
          <w:color w:val="auto"/>
          <w:vertAlign w:val="subscript"/>
        </w:rPr>
      </w:pPr>
      <w:r>
        <w:rPr>
          <w:rFonts w:ascii="Arial" w:cs="Arial" w:eastAsia="Arial" w:hAnsi="Arial"/>
          <w:sz w:val="24"/>
          <w:szCs w:val="24"/>
          <w:color w:val="000000"/>
          <w:vertAlign w:val="subscript"/>
        </w:rPr>
        <w:t xml:space="preserve">     </w:t>
      </w:r>
      <w:r>
        <w:rPr>
          <w:rFonts w:ascii="Arial" w:cs="Arial" w:eastAsia="Arial" w:hAnsi="Arial"/>
          <w:sz w:val="10"/>
          <w:szCs w:val="10"/>
          <w:color w:val="FFFFFF"/>
        </w:rPr>
        <w:t xml:space="preserve"> General Information</w:t>
      </w:r>
    </w:p>
    <w:p>
      <w:pPr>
        <w:spacing w:after="0" w:line="1" w:lineRule="exact"/>
        <w:rPr>
          <w:sz w:val="20"/>
          <w:szCs w:val="20"/>
          <w:color w:val="auto"/>
        </w:rPr>
      </w:pPr>
    </w:p>
    <w:p>
      <w:pPr>
        <w:ind w:left="1120"/>
        <w:spacing w:after="0"/>
        <w:rPr>
          <w:sz w:val="20"/>
          <w:szCs w:val="20"/>
          <w:color w:val="auto"/>
        </w:rPr>
      </w:pPr>
      <w:r>
        <w:rPr>
          <w:rFonts w:ascii="Arial" w:cs="Arial" w:eastAsia="Arial" w:hAnsi="Arial"/>
          <w:sz w:val="11"/>
          <w:szCs w:val="11"/>
          <w:color w:val="FFFFFF"/>
        </w:rPr>
        <w:t>General Information</w:t>
      </w:r>
    </w:p>
    <w:p>
      <w:pPr>
        <w:spacing w:after="0" w:line="3"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About Corporate</w:t>
      </w:r>
    </w:p>
    <w:p>
      <w:pPr>
        <w:ind w:left="1120"/>
        <w:spacing w:after="0" w:line="221" w:lineRule="auto"/>
        <w:rPr>
          <w:sz w:val="20"/>
          <w:szCs w:val="20"/>
          <w:color w:val="auto"/>
        </w:rPr>
      </w:pPr>
      <w:r>
        <w:rPr>
          <w:rFonts w:ascii="Arial" w:cs="Arial" w:eastAsia="Arial" w:hAnsi="Arial"/>
          <w:sz w:val="12"/>
          <w:szCs w:val="12"/>
          <w:color w:val="FFFFFF"/>
        </w:rPr>
        <w:t>Governance</w:t>
      </w:r>
    </w:p>
    <w:p>
      <w:pPr>
        <w:ind w:left="1120"/>
        <w:spacing w:after="0" w:line="222" w:lineRule="auto"/>
        <w:rPr>
          <w:sz w:val="20"/>
          <w:szCs w:val="20"/>
          <w:color w:val="auto"/>
        </w:rPr>
      </w:pPr>
      <w:r>
        <w:rPr>
          <w:rFonts w:ascii="Arial" w:cs="Arial" w:eastAsia="Arial" w:hAnsi="Arial"/>
          <w:sz w:val="12"/>
          <w:szCs w:val="12"/>
          <w:color w:val="FFFFFF"/>
        </w:rPr>
        <w:t>and the Board of</w:t>
      </w:r>
    </w:p>
    <w:p>
      <w:pPr>
        <w:spacing w:after="0" w:line="1"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Directors</w:t>
      </w:r>
    </w:p>
    <w:p>
      <w:pPr>
        <w:spacing w:after="0" w:line="144" w:lineRule="exact"/>
        <w:rPr>
          <w:sz w:val="20"/>
          <w:szCs w:val="20"/>
          <w:color w:val="auto"/>
        </w:rPr>
      </w:pPr>
    </w:p>
    <w:p>
      <w:pPr>
        <w:jc w:val="center"/>
        <w:ind w:left="620"/>
        <w:spacing w:after="0"/>
        <w:rPr>
          <w:sz w:val="20"/>
          <w:szCs w:val="20"/>
          <w:color w:val="auto"/>
        </w:rPr>
      </w:pPr>
      <w:r>
        <w:rPr>
          <w:rFonts w:ascii="Arial" w:cs="Arial" w:eastAsia="Arial" w:hAnsi="Arial"/>
          <w:sz w:val="12"/>
          <w:szCs w:val="12"/>
          <w:color w:val="FFFFFF"/>
        </w:rPr>
        <w:t>Proposal 1</w:t>
      </w:r>
    </w:p>
    <w:p>
      <w:pPr>
        <w:spacing w:after="0" w:line="156"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Information</w:t>
      </w:r>
    </w:p>
    <w:p>
      <w:pPr>
        <w:ind w:left="1120"/>
        <w:spacing w:after="0" w:line="224" w:lineRule="auto"/>
        <w:rPr>
          <w:sz w:val="20"/>
          <w:szCs w:val="20"/>
          <w:color w:val="auto"/>
        </w:rPr>
      </w:pPr>
      <w:r>
        <w:rPr>
          <w:rFonts w:ascii="Arial" w:cs="Arial" w:eastAsia="Arial" w:hAnsi="Arial"/>
          <w:sz w:val="12"/>
          <w:szCs w:val="12"/>
          <w:color w:val="FFFFFF"/>
        </w:rPr>
        <w:t>Regarding Board</w:t>
      </w:r>
    </w:p>
    <w:p>
      <w:pPr>
        <w:ind w:left="1120"/>
        <w:spacing w:after="0" w:line="222" w:lineRule="auto"/>
        <w:rPr>
          <w:sz w:val="20"/>
          <w:szCs w:val="20"/>
          <w:color w:val="auto"/>
        </w:rPr>
      </w:pPr>
      <w:r>
        <w:rPr>
          <w:rFonts w:ascii="Arial" w:cs="Arial" w:eastAsia="Arial" w:hAnsi="Arial"/>
          <w:sz w:val="12"/>
          <w:szCs w:val="12"/>
          <w:color w:val="FFFFFF"/>
        </w:rPr>
        <w:t>and Committee</w:t>
      </w:r>
    </w:p>
    <w:p>
      <w:pPr>
        <w:ind w:left="1120"/>
        <w:spacing w:after="0"/>
        <w:rPr>
          <w:sz w:val="20"/>
          <w:szCs w:val="20"/>
          <w:color w:val="auto"/>
        </w:rPr>
      </w:pPr>
      <w:r>
        <w:rPr>
          <w:rFonts w:ascii="Arial" w:cs="Arial" w:eastAsia="Arial" w:hAnsi="Arial"/>
          <w:sz w:val="12"/>
          <w:szCs w:val="12"/>
          <w:color w:val="FFFFFF"/>
        </w:rPr>
        <w:t>Structure</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Board of Directors</w:t>
      </w:r>
    </w:p>
    <w:p>
      <w:pPr>
        <w:spacing w:after="0" w:line="2"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Compensation</w:t>
      </w:r>
    </w:p>
    <w:p>
      <w:pPr>
        <w:spacing w:after="0" w:line="144" w:lineRule="exact"/>
        <w:rPr>
          <w:sz w:val="20"/>
          <w:szCs w:val="20"/>
          <w:color w:val="auto"/>
        </w:rPr>
      </w:pPr>
    </w:p>
    <w:p>
      <w:pPr>
        <w:ind w:left="1120" w:right="160"/>
        <w:spacing w:after="0" w:line="244" w:lineRule="auto"/>
        <w:rPr>
          <w:sz w:val="20"/>
          <w:szCs w:val="20"/>
          <w:color w:val="auto"/>
        </w:rPr>
      </w:pPr>
      <w:r>
        <w:rPr>
          <w:rFonts w:ascii="Arial" w:cs="Arial" w:eastAsia="Arial" w:hAnsi="Arial"/>
          <w:sz w:val="12"/>
          <w:szCs w:val="12"/>
          <w:b w:val="1"/>
          <w:bCs w:val="1"/>
          <w:color w:val="FFFFFF"/>
        </w:rPr>
        <w:t>Compensation Discussion and Analysis</w:t>
      </w:r>
    </w:p>
    <w:p>
      <w:pPr>
        <w:spacing w:after="0" w:line="128"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Report of the</w:t>
      </w:r>
    </w:p>
    <w:p>
      <w:pPr>
        <w:ind w:left="1120"/>
        <w:spacing w:after="0" w:line="224" w:lineRule="auto"/>
        <w:rPr>
          <w:sz w:val="20"/>
          <w:szCs w:val="20"/>
          <w:color w:val="auto"/>
        </w:rPr>
      </w:pPr>
      <w:r>
        <w:rPr>
          <w:rFonts w:ascii="Arial" w:cs="Arial" w:eastAsia="Arial" w:hAnsi="Arial"/>
          <w:sz w:val="12"/>
          <w:szCs w:val="12"/>
          <w:color w:val="FFFFFF"/>
        </w:rPr>
        <w:t>Compensation</w:t>
      </w:r>
    </w:p>
    <w:p>
      <w:pPr>
        <w:ind w:left="1120"/>
        <w:spacing w:after="0" w:line="222" w:lineRule="auto"/>
        <w:rPr>
          <w:sz w:val="20"/>
          <w:szCs w:val="20"/>
          <w:color w:val="auto"/>
        </w:rPr>
      </w:pPr>
      <w:r>
        <w:rPr>
          <w:rFonts w:ascii="Arial" w:cs="Arial" w:eastAsia="Arial" w:hAnsi="Arial"/>
          <w:sz w:val="12"/>
          <w:szCs w:val="12"/>
          <w:color w:val="FFFFFF"/>
        </w:rPr>
        <w:t>and Human</w:t>
      </w:r>
    </w:p>
    <w:p>
      <w:pPr>
        <w:ind w:left="1120"/>
        <w:spacing w:after="0" w:line="222" w:lineRule="auto"/>
        <w:rPr>
          <w:sz w:val="20"/>
          <w:szCs w:val="20"/>
          <w:color w:val="auto"/>
        </w:rPr>
      </w:pPr>
      <w:r>
        <w:rPr>
          <w:rFonts w:ascii="Arial" w:cs="Arial" w:eastAsia="Arial" w:hAnsi="Arial"/>
          <w:sz w:val="12"/>
          <w:szCs w:val="12"/>
          <w:color w:val="FFFFFF"/>
        </w:rPr>
        <w:t>Resources</w:t>
      </w:r>
    </w:p>
    <w:p>
      <w:pPr>
        <w:ind w:left="1120"/>
        <w:spacing w:after="0" w:line="222" w:lineRule="auto"/>
        <w:rPr>
          <w:sz w:val="20"/>
          <w:szCs w:val="20"/>
          <w:color w:val="auto"/>
        </w:rPr>
      </w:pPr>
      <w:r>
        <w:rPr>
          <w:rFonts w:ascii="Arial" w:cs="Arial" w:eastAsia="Arial" w:hAnsi="Arial"/>
          <w:sz w:val="12"/>
          <w:szCs w:val="12"/>
          <w:color w:val="FFFFFF"/>
        </w:rPr>
        <w:t>Committee of the</w:t>
      </w:r>
    </w:p>
    <w:p>
      <w:pPr>
        <w:ind w:left="1120"/>
        <w:spacing w:after="0"/>
        <w:rPr>
          <w:sz w:val="20"/>
          <w:szCs w:val="20"/>
          <w:color w:val="auto"/>
        </w:rPr>
      </w:pPr>
      <w:r>
        <w:rPr>
          <w:rFonts w:ascii="Arial" w:cs="Arial" w:eastAsia="Arial" w:hAnsi="Arial"/>
          <w:sz w:val="12"/>
          <w:szCs w:val="12"/>
          <w:color w:val="FFFFFF"/>
        </w:rPr>
        <w:t>Board of Directors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Compensation of</w:t>
      </w:r>
    </w:p>
    <w:p>
      <w:pPr>
        <w:ind w:left="1120"/>
        <w:spacing w:after="0" w:line="224" w:lineRule="auto"/>
        <w:rPr>
          <w:sz w:val="20"/>
          <w:szCs w:val="20"/>
          <w:color w:val="auto"/>
        </w:rPr>
      </w:pPr>
      <w:r>
        <w:rPr>
          <w:rFonts w:ascii="Arial" w:cs="Arial" w:eastAsia="Arial" w:hAnsi="Arial"/>
          <w:sz w:val="12"/>
          <w:szCs w:val="12"/>
          <w:color w:val="FFFFFF"/>
        </w:rPr>
        <w:t>Named Executive</w:t>
      </w:r>
    </w:p>
    <w:p>
      <w:pPr>
        <w:ind w:left="1120"/>
        <w:spacing w:after="0"/>
        <w:rPr>
          <w:sz w:val="20"/>
          <w:szCs w:val="20"/>
          <w:color w:val="auto"/>
        </w:rPr>
      </w:pPr>
      <w:r>
        <w:rPr>
          <w:rFonts w:ascii="Arial" w:cs="Arial" w:eastAsia="Arial" w:hAnsi="Arial"/>
          <w:sz w:val="12"/>
          <w:szCs w:val="12"/>
          <w:color w:val="FFFFFF"/>
        </w:rPr>
        <w:t>Officers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Pay Versus</w:t>
      </w:r>
    </w:p>
    <w:p>
      <w:pPr>
        <w:ind w:left="1120"/>
        <w:spacing w:after="0" w:line="224" w:lineRule="auto"/>
        <w:rPr>
          <w:sz w:val="20"/>
          <w:szCs w:val="20"/>
          <w:color w:val="auto"/>
        </w:rPr>
      </w:pPr>
      <w:r>
        <w:rPr>
          <w:rFonts w:ascii="Arial" w:cs="Arial" w:eastAsia="Arial" w:hAnsi="Arial"/>
          <w:sz w:val="12"/>
          <w:szCs w:val="12"/>
          <w:color w:val="FFFFFF"/>
        </w:rPr>
        <w:t>Performance</w:t>
      </w:r>
    </w:p>
    <w:p>
      <w:pPr>
        <w:ind w:left="1120"/>
        <w:spacing w:after="0"/>
        <w:rPr>
          <w:sz w:val="20"/>
          <w:szCs w:val="20"/>
          <w:color w:val="auto"/>
        </w:rPr>
      </w:pPr>
      <w:r>
        <w:rPr>
          <w:rFonts w:ascii="Arial" w:cs="Arial" w:eastAsia="Arial" w:hAnsi="Arial"/>
          <w:sz w:val="12"/>
          <w:szCs w:val="12"/>
          <w:color w:val="FFFFFF"/>
        </w:rPr>
        <w:t>Disclosure</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Security</w:t>
      </w:r>
    </w:p>
    <w:p>
      <w:pPr>
        <w:ind w:left="1120"/>
        <w:spacing w:after="0" w:line="224" w:lineRule="auto"/>
        <w:rPr>
          <w:sz w:val="20"/>
          <w:szCs w:val="20"/>
          <w:color w:val="auto"/>
        </w:rPr>
      </w:pPr>
      <w:r>
        <w:rPr>
          <w:rFonts w:ascii="Arial" w:cs="Arial" w:eastAsia="Arial" w:hAnsi="Arial"/>
          <w:sz w:val="12"/>
          <w:szCs w:val="12"/>
          <w:color w:val="FFFFFF"/>
        </w:rPr>
        <w:t>Ownership of</w:t>
      </w:r>
    </w:p>
    <w:p>
      <w:pPr>
        <w:ind w:left="1120"/>
        <w:spacing w:after="0" w:line="222" w:lineRule="auto"/>
        <w:rPr>
          <w:sz w:val="20"/>
          <w:szCs w:val="20"/>
          <w:color w:val="auto"/>
        </w:rPr>
      </w:pPr>
      <w:r>
        <w:rPr>
          <w:rFonts w:ascii="Arial" w:cs="Arial" w:eastAsia="Arial" w:hAnsi="Arial"/>
          <w:sz w:val="12"/>
          <w:szCs w:val="12"/>
          <w:color w:val="FFFFFF"/>
        </w:rPr>
        <w:t>Certain Beneficial</w:t>
      </w:r>
    </w:p>
    <w:p>
      <w:pPr>
        <w:ind w:left="1120"/>
        <w:spacing w:after="0" w:line="222" w:lineRule="auto"/>
        <w:rPr>
          <w:sz w:val="20"/>
          <w:szCs w:val="20"/>
          <w:color w:val="auto"/>
        </w:rPr>
      </w:pPr>
      <w:r>
        <w:rPr>
          <w:rFonts w:ascii="Arial" w:cs="Arial" w:eastAsia="Arial" w:hAnsi="Arial"/>
          <w:sz w:val="12"/>
          <w:szCs w:val="12"/>
          <w:color w:val="FFFFFF"/>
        </w:rPr>
        <w:t>Owners and</w:t>
      </w:r>
    </w:p>
    <w:p>
      <w:pPr>
        <w:ind w:left="1120"/>
        <w:spacing w:after="0"/>
        <w:rPr>
          <w:sz w:val="20"/>
          <w:szCs w:val="20"/>
          <w:color w:val="auto"/>
        </w:rPr>
      </w:pPr>
      <w:r>
        <w:rPr>
          <w:rFonts w:ascii="Arial" w:cs="Arial" w:eastAsia="Arial" w:hAnsi="Arial"/>
          <w:sz w:val="12"/>
          <w:szCs w:val="12"/>
          <w:color w:val="FFFFFF"/>
        </w:rPr>
        <w:t>Management</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Certain</w:t>
      </w:r>
    </w:p>
    <w:p>
      <w:pPr>
        <w:ind w:left="1120"/>
        <w:spacing w:after="0" w:line="224" w:lineRule="auto"/>
        <w:rPr>
          <w:sz w:val="20"/>
          <w:szCs w:val="20"/>
          <w:color w:val="auto"/>
        </w:rPr>
      </w:pPr>
      <w:r>
        <w:rPr>
          <w:rFonts w:ascii="Arial" w:cs="Arial" w:eastAsia="Arial" w:hAnsi="Arial"/>
          <w:sz w:val="12"/>
          <w:szCs w:val="12"/>
          <w:color w:val="FFFFFF"/>
        </w:rPr>
        <w:t>Relationships and</w:t>
      </w:r>
    </w:p>
    <w:p>
      <w:pPr>
        <w:ind w:left="1120"/>
        <w:spacing w:after="0" w:line="222" w:lineRule="auto"/>
        <w:rPr>
          <w:sz w:val="20"/>
          <w:szCs w:val="20"/>
          <w:color w:val="auto"/>
        </w:rPr>
      </w:pPr>
      <w:r>
        <w:rPr>
          <w:rFonts w:ascii="Arial" w:cs="Arial" w:eastAsia="Arial" w:hAnsi="Arial"/>
          <w:sz w:val="12"/>
          <w:szCs w:val="12"/>
          <w:color w:val="FFFFFF"/>
        </w:rPr>
        <w:t>Related Party</w:t>
      </w:r>
    </w:p>
    <w:p>
      <w:pPr>
        <w:ind w:left="1120"/>
        <w:spacing w:after="0"/>
        <w:rPr>
          <w:sz w:val="20"/>
          <w:szCs w:val="20"/>
          <w:color w:val="auto"/>
        </w:rPr>
      </w:pPr>
      <w:r>
        <w:rPr>
          <w:rFonts w:ascii="Arial" w:cs="Arial" w:eastAsia="Arial" w:hAnsi="Arial"/>
          <w:sz w:val="12"/>
          <w:szCs w:val="12"/>
          <w:color w:val="FFFFFF"/>
        </w:rPr>
        <w:t>Transactions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Proposal 2</w:t>
      </w:r>
    </w:p>
    <w:p>
      <w:pPr>
        <w:spacing w:after="0" w:line="156"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Report of the</w:t>
      </w:r>
    </w:p>
    <w:p>
      <w:pPr>
        <w:ind w:left="1120"/>
        <w:spacing w:after="0" w:line="224" w:lineRule="auto"/>
        <w:rPr>
          <w:sz w:val="20"/>
          <w:szCs w:val="20"/>
          <w:color w:val="auto"/>
        </w:rPr>
      </w:pPr>
      <w:r>
        <w:rPr>
          <w:rFonts w:ascii="Arial" w:cs="Arial" w:eastAsia="Arial" w:hAnsi="Arial"/>
          <w:sz w:val="12"/>
          <w:szCs w:val="12"/>
          <w:color w:val="FFFFFF"/>
        </w:rPr>
        <w:t>Audit and Risk</w:t>
      </w:r>
    </w:p>
    <w:p>
      <w:pPr>
        <w:ind w:left="1120"/>
        <w:spacing w:after="0" w:line="222" w:lineRule="auto"/>
        <w:rPr>
          <w:sz w:val="20"/>
          <w:szCs w:val="20"/>
          <w:color w:val="auto"/>
        </w:rPr>
      </w:pPr>
      <w:r>
        <w:rPr>
          <w:rFonts w:ascii="Arial" w:cs="Arial" w:eastAsia="Arial" w:hAnsi="Arial"/>
          <w:sz w:val="12"/>
          <w:szCs w:val="12"/>
          <w:color w:val="FFFFFF"/>
        </w:rPr>
        <w:t>Committee of the</w:t>
      </w:r>
    </w:p>
    <w:p>
      <w:pPr>
        <w:ind w:left="1120"/>
        <w:spacing w:after="0"/>
        <w:rPr>
          <w:sz w:val="20"/>
          <w:szCs w:val="20"/>
          <w:color w:val="auto"/>
        </w:rPr>
      </w:pPr>
      <w:r>
        <w:rPr>
          <w:rFonts w:ascii="Arial" w:cs="Arial" w:eastAsia="Arial" w:hAnsi="Arial"/>
          <w:sz w:val="12"/>
          <w:szCs w:val="12"/>
          <w:color w:val="FFFFFF"/>
        </w:rPr>
        <w:t>Board of Directors</w:t>
      </w:r>
    </w:p>
    <w:p>
      <w:pPr>
        <w:spacing w:after="0" w:line="144" w:lineRule="exact"/>
        <w:rPr>
          <w:sz w:val="20"/>
          <w:szCs w:val="20"/>
          <w:color w:val="auto"/>
        </w:rPr>
      </w:pPr>
    </w:p>
    <w:p>
      <w:pPr>
        <w:jc w:val="center"/>
        <w:ind w:left="620"/>
        <w:spacing w:after="0"/>
        <w:rPr>
          <w:sz w:val="20"/>
          <w:szCs w:val="20"/>
          <w:color w:val="auto"/>
        </w:rPr>
      </w:pPr>
      <w:r>
        <w:rPr>
          <w:rFonts w:ascii="Arial" w:cs="Arial" w:eastAsia="Arial" w:hAnsi="Arial"/>
          <w:sz w:val="12"/>
          <w:szCs w:val="12"/>
          <w:color w:val="FFFFFF"/>
        </w:rPr>
        <w:t>Proposal 3</w:t>
      </w:r>
    </w:p>
    <w:p>
      <w:pPr>
        <w:spacing w:after="0" w:line="156" w:lineRule="exact"/>
        <w:rPr>
          <w:sz w:val="20"/>
          <w:szCs w:val="20"/>
          <w:color w:val="auto"/>
        </w:rPr>
      </w:pPr>
    </w:p>
    <w:p>
      <w:pPr>
        <w:jc w:val="center"/>
        <w:ind w:left="620"/>
        <w:spacing w:after="0"/>
        <w:rPr>
          <w:sz w:val="20"/>
          <w:szCs w:val="20"/>
          <w:color w:val="auto"/>
        </w:rPr>
      </w:pPr>
      <w:r>
        <w:rPr>
          <w:rFonts w:ascii="Arial" w:cs="Arial" w:eastAsia="Arial" w:hAnsi="Arial"/>
          <w:sz w:val="12"/>
          <w:szCs w:val="12"/>
          <w:color w:val="FFFFFF"/>
        </w:rPr>
        <w:t>Proposal 4</w:t>
      </w:r>
    </w:p>
    <w:p>
      <w:pPr>
        <w:spacing w:after="0" w:line="156" w:lineRule="exact"/>
        <w:rPr>
          <w:sz w:val="20"/>
          <w:szCs w:val="20"/>
          <w:color w:val="auto"/>
        </w:rPr>
      </w:pPr>
    </w:p>
    <w:p>
      <w:pPr>
        <w:jc w:val="center"/>
        <w:ind w:left="620"/>
        <w:spacing w:after="0"/>
        <w:rPr>
          <w:sz w:val="20"/>
          <w:szCs w:val="20"/>
          <w:color w:val="auto"/>
        </w:rPr>
      </w:pPr>
      <w:r>
        <w:rPr>
          <w:rFonts w:ascii="Arial" w:cs="Arial" w:eastAsia="Arial" w:hAnsi="Arial"/>
          <w:sz w:val="12"/>
          <w:szCs w:val="12"/>
          <w:color w:val="FFFFFF"/>
        </w:rPr>
        <w:t>Proposal 5</w:t>
      </w:r>
    </w:p>
    <w:p>
      <w:pPr>
        <w:spacing w:after="0" w:line="156"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Proposal 6</w:t>
      </w:r>
    </w:p>
    <w:p>
      <w:pPr>
        <w:spacing w:after="0" w:line="156"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Stockholder</w:t>
      </w:r>
    </w:p>
    <w:p>
      <w:pPr>
        <w:ind w:left="1120"/>
        <w:spacing w:after="0" w:line="224" w:lineRule="auto"/>
        <w:rPr>
          <w:sz w:val="20"/>
          <w:szCs w:val="20"/>
          <w:color w:val="auto"/>
        </w:rPr>
      </w:pPr>
      <w:r>
        <w:rPr>
          <w:rFonts w:ascii="Arial" w:cs="Arial" w:eastAsia="Arial" w:hAnsi="Arial"/>
          <w:sz w:val="12"/>
          <w:szCs w:val="12"/>
          <w:color w:val="FFFFFF"/>
        </w:rPr>
        <w:t>Proposals and</w:t>
      </w:r>
    </w:p>
    <w:p>
      <w:pPr>
        <w:ind w:left="1120"/>
        <w:spacing w:after="0"/>
        <w:rPr>
          <w:sz w:val="20"/>
          <w:szCs w:val="20"/>
          <w:color w:val="auto"/>
        </w:rPr>
      </w:pPr>
      <w:r>
        <w:rPr>
          <w:rFonts w:ascii="Arial" w:cs="Arial" w:eastAsia="Arial" w:hAnsi="Arial"/>
          <w:sz w:val="12"/>
          <w:szCs w:val="12"/>
          <w:color w:val="FFFFFF"/>
        </w:rPr>
        <w:t>Other Matters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Delinquent</w:t>
      </w:r>
    </w:p>
    <w:p>
      <w:pPr>
        <w:ind w:left="1120"/>
        <w:spacing w:after="0" w:line="224" w:lineRule="auto"/>
        <w:rPr>
          <w:sz w:val="20"/>
          <w:szCs w:val="20"/>
          <w:color w:val="auto"/>
        </w:rPr>
      </w:pPr>
      <w:r>
        <w:rPr>
          <w:rFonts w:ascii="Arial" w:cs="Arial" w:eastAsia="Arial" w:hAnsi="Arial"/>
          <w:sz w:val="12"/>
          <w:szCs w:val="12"/>
          <w:color w:val="FFFFFF"/>
        </w:rPr>
        <w:t>Section 16(a)</w:t>
      </w:r>
    </w:p>
    <w:p>
      <w:pPr>
        <w:ind w:left="1120"/>
        <w:spacing w:after="0"/>
        <w:rPr>
          <w:sz w:val="20"/>
          <w:szCs w:val="20"/>
          <w:color w:val="auto"/>
        </w:rPr>
      </w:pPr>
      <w:r>
        <w:rPr>
          <w:rFonts w:ascii="Arial" w:cs="Arial" w:eastAsia="Arial" w:hAnsi="Arial"/>
          <w:sz w:val="12"/>
          <w:szCs w:val="12"/>
          <w:color w:val="FFFFFF"/>
        </w:rPr>
        <w:t>Reports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Other</w:t>
      </w:r>
    </w:p>
    <w:p>
      <w:pPr>
        <w:spacing w:after="0" w:line="2"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Information</w:t>
      </w:r>
    </w:p>
    <w:p>
      <w:pPr>
        <w:spacing w:after="0" w:line="144" w:lineRule="exact"/>
        <w:rPr>
          <w:sz w:val="20"/>
          <w:szCs w:val="20"/>
          <w:color w:val="auto"/>
        </w:rPr>
      </w:pPr>
    </w:p>
    <w:p>
      <w:pPr>
        <w:jc w:val="center"/>
        <w:ind w:left="660"/>
        <w:spacing w:after="0"/>
        <w:rPr>
          <w:sz w:val="20"/>
          <w:szCs w:val="20"/>
          <w:color w:val="auto"/>
        </w:rPr>
      </w:pPr>
      <w:r>
        <w:rPr>
          <w:rFonts w:ascii="Arial" w:cs="Arial" w:eastAsia="Arial" w:hAnsi="Arial"/>
          <w:sz w:val="12"/>
          <w:szCs w:val="12"/>
          <w:color w:val="FFFFFF"/>
        </w:rPr>
        <w:t>Appendix A</w:t>
      </w:r>
    </w:p>
    <w:p>
      <w:pPr>
        <w:spacing w:after="0" w:line="156" w:lineRule="exact"/>
        <w:rPr>
          <w:sz w:val="20"/>
          <w:szCs w:val="20"/>
          <w:color w:val="auto"/>
        </w:rPr>
      </w:pPr>
    </w:p>
    <w:p>
      <w:pPr>
        <w:jc w:val="center"/>
        <w:ind w:left="660"/>
        <w:spacing w:after="0"/>
        <w:rPr>
          <w:sz w:val="20"/>
          <w:szCs w:val="20"/>
          <w:color w:val="auto"/>
        </w:rPr>
      </w:pPr>
      <w:r>
        <w:rPr>
          <w:rFonts w:ascii="Arial" w:cs="Arial" w:eastAsia="Arial" w:hAnsi="Arial"/>
          <w:sz w:val="12"/>
          <w:szCs w:val="12"/>
          <w:color w:val="FFFFFF"/>
        </w:rPr>
        <w:t>Appendix 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right="200"/>
        <w:spacing w:after="0" w:line="287" w:lineRule="auto"/>
        <w:rPr>
          <w:sz w:val="20"/>
          <w:szCs w:val="20"/>
          <w:color w:val="auto"/>
        </w:rPr>
      </w:pPr>
      <w:r>
        <w:rPr>
          <w:rFonts w:ascii="Arial" w:cs="Arial" w:eastAsia="Arial" w:hAnsi="Arial"/>
          <w:sz w:val="15"/>
          <w:szCs w:val="15"/>
          <w:color w:val="auto"/>
        </w:rPr>
        <w:t>achievement of the Company’s 2025 Corporate Goals, rather than focusing only on their individual business unit or function.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-1737995</wp:posOffset>
            </wp:positionH>
            <wp:positionV relativeFrom="paragraph">
              <wp:posOffset>-894080</wp:posOffset>
            </wp:positionV>
            <wp:extent cx="7181215" cy="5334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81215" cy="53340"/>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b w:val="1"/>
          <w:bCs w:val="1"/>
          <w:color w:val="002B5F"/>
        </w:rPr>
        <w:t>BONUS POOL FUNDING FRAMEWORK</w:t>
      </w:r>
    </w:p>
    <w:p>
      <w:pPr>
        <w:spacing w:after="0" w:line="103" w:lineRule="exact"/>
        <w:rPr>
          <w:sz w:val="20"/>
          <w:szCs w:val="20"/>
          <w:color w:val="auto"/>
        </w:rPr>
      </w:pPr>
    </w:p>
    <w:p>
      <w:pPr>
        <w:ind w:right="40"/>
        <w:spacing w:after="0" w:line="256" w:lineRule="auto"/>
        <w:rPr>
          <w:sz w:val="20"/>
          <w:szCs w:val="20"/>
          <w:color w:val="auto"/>
        </w:rPr>
      </w:pPr>
      <w:r>
        <w:rPr>
          <w:rFonts w:ascii="Arial" w:cs="Arial" w:eastAsia="Arial" w:hAnsi="Arial"/>
          <w:sz w:val="15"/>
          <w:szCs w:val="15"/>
          <w:color w:val="auto"/>
        </w:rPr>
        <w:t>In establishing the 2025 bonus pool funding framework at the beginning of 2025, the Compensation Committee maintained the same general approach to assessing corporate performance that it has used since 2018. In this approach, bonus pool funding is determined by the Compensation Committee based on the Company’s achievement of pre-established financial and business goals (the “2025 Financial Performance Goals” and “2025 Business Goals,” respectively), with the Compensation Committee reserving limited discretion to adjust funding based on its assessments of key drivers of the Company’s performance.</w:t>
      </w:r>
    </w:p>
    <w:p>
      <w:pPr>
        <w:spacing w:after="0" w:line="70" w:lineRule="exact"/>
        <w:rPr>
          <w:sz w:val="20"/>
          <w:szCs w:val="20"/>
          <w:color w:val="auto"/>
        </w:rPr>
      </w:pPr>
    </w:p>
    <w:p>
      <w:pPr>
        <w:spacing w:after="0" w:line="251" w:lineRule="auto"/>
        <w:rPr>
          <w:sz w:val="20"/>
          <w:szCs w:val="20"/>
          <w:color w:val="auto"/>
        </w:rPr>
      </w:pPr>
      <w:r>
        <w:rPr>
          <w:rFonts w:ascii="Arial" w:cs="Arial" w:eastAsia="Arial" w:hAnsi="Arial"/>
          <w:sz w:val="15"/>
          <w:szCs w:val="15"/>
          <w:color w:val="auto"/>
        </w:rPr>
        <w:t>The Compensation Committee assessed the Company’s 2025 Financial Performance Goals based on metrics approved by the Board of Directors at the beginning of the year. Consistent with its historical practice, the Compensation Committee selected Incentive EBITDA as the primary metric to evaluate the 2025 Financial Performance Goals. Incentive EBITDA is a non-GAAP financial measure that is described under “</w:t>
      </w:r>
      <w:r>
        <w:rPr>
          <w:rFonts w:ascii="Arial" w:cs="Arial" w:eastAsia="Arial" w:hAnsi="Arial"/>
          <w:sz w:val="15"/>
          <w:szCs w:val="15"/>
          <w:i w:val="1"/>
          <w:iCs w:val="1"/>
          <w:color w:val="auto"/>
        </w:rPr>
        <w:t>Non-GAAP</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Financial Measures” </w:t>
      </w:r>
      <w:r>
        <w:rPr>
          <w:rFonts w:ascii="Arial" w:cs="Arial" w:eastAsia="Arial" w:hAnsi="Arial"/>
          <w:sz w:val="15"/>
          <w:szCs w:val="15"/>
          <w:color w:val="auto"/>
        </w:rPr>
        <w:t>in Appendix A. In addition, the Compensation Committee again selected relative TSR as a</w:t>
      </w:r>
      <w:r>
        <w:rPr>
          <w:rFonts w:ascii="Arial" w:cs="Arial" w:eastAsia="Arial" w:hAnsi="Arial"/>
          <w:sz w:val="15"/>
          <w:szCs w:val="15"/>
          <w:i w:val="1"/>
          <w:iCs w:val="1"/>
          <w:color w:val="auto"/>
        </w:rPr>
        <w:t xml:space="preserve"> </w:t>
      </w:r>
      <w:r>
        <w:rPr>
          <w:rFonts w:ascii="Arial" w:cs="Arial" w:eastAsia="Arial" w:hAnsi="Arial"/>
          <w:sz w:val="15"/>
          <w:szCs w:val="15"/>
          <w:color w:val="auto"/>
        </w:rPr>
        <w:t>secondary metric to evaluate the Company’s 2025 Financial Performance Goals, and determined that the Company’s TSR for 2025 would be evaluated according to its percentile rank among a comparator group consisting of companies in the (1) Asset Management &amp; Custody Banks and (2) Investment Banking &amp; Brokerage Sub-Industry classifications of the Standard &amp; Poor’s 1500 Capital Markets Industry classification (the “Comparator Group”), the same classifications used for the comparator group in 2024. In selecting these financial performance metrics, the Compensation Committee believed that Incentive EBITDA continued to serve as a useful metric in assessing the Company’s earnings from operations because it excludes certain items that are not representative of the performance of the Company’s core business, such as certain acquisitions or integrations during the performance period. The Compensation Committee introduced relative TSR as a secondary metric in 2021 because it believed it is meaningful for assessing the Company’s financial performance relative to companies facing a similar level of macroeconomic sensitivity.</w:t>
      </w:r>
    </w:p>
    <w:p>
      <w:pPr>
        <w:spacing w:after="0" w:line="255" w:lineRule="exact"/>
        <w:rPr>
          <w:sz w:val="20"/>
          <w:szCs w:val="20"/>
          <w:color w:val="auto"/>
        </w:rPr>
      </w:pPr>
    </w:p>
    <w:p>
      <w:pPr>
        <w:jc w:val="both"/>
        <w:ind w:right="60"/>
        <w:spacing w:after="0" w:line="268" w:lineRule="auto"/>
        <w:rPr>
          <w:sz w:val="20"/>
          <w:szCs w:val="20"/>
          <w:color w:val="auto"/>
        </w:rPr>
      </w:pPr>
      <w:r>
        <w:rPr>
          <w:rFonts w:ascii="Arial" w:cs="Arial" w:eastAsia="Arial" w:hAnsi="Arial"/>
          <w:sz w:val="15"/>
          <w:szCs w:val="15"/>
          <w:color w:val="auto"/>
        </w:rPr>
        <w:t>In addition to financial performance, the Compensation Committee assessed the following four 2025 Business Goals under the bonus pool funding framework, which were also approved by the Board of Directors at the beginning of the year, along with underlying initiatives and quantitative key results:</w:t>
      </w:r>
    </w:p>
    <w:p>
      <w:pPr>
        <w:spacing w:after="0" w:line="73" w:lineRule="exact"/>
        <w:rPr>
          <w:sz w:val="20"/>
          <w:szCs w:val="20"/>
          <w:color w:val="auto"/>
        </w:rPr>
      </w:pPr>
    </w:p>
    <w:p>
      <w:pPr>
        <w:ind w:left="280" w:right="60" w:hanging="273"/>
        <w:spacing w:after="0" w:line="287" w:lineRule="auto"/>
        <w:tabs>
          <w:tab w:leader="none" w:pos="280" w:val="left"/>
        </w:tabs>
        <w:numPr>
          <w:ilvl w:val="0"/>
          <w:numId w:val="72"/>
        </w:numPr>
        <w:rPr>
          <w:rFonts w:ascii="Arial" w:cs="Arial" w:eastAsia="Arial" w:hAnsi="Arial"/>
          <w:sz w:val="15"/>
          <w:szCs w:val="15"/>
          <w:color w:val="auto"/>
        </w:rPr>
      </w:pPr>
      <w:r>
        <w:rPr>
          <w:rFonts w:ascii="Arial" w:cs="Arial" w:eastAsia="Arial" w:hAnsi="Arial"/>
          <w:sz w:val="15"/>
          <w:szCs w:val="15"/>
          <w:b w:val="1"/>
          <w:bCs w:val="1"/>
          <w:i w:val="1"/>
          <w:iCs w:val="1"/>
          <w:color w:val="auto"/>
        </w:rPr>
        <w:t>Compete for all advisors (the “Compete Goal”)</w:t>
      </w:r>
      <w:r>
        <w:rPr>
          <w:rFonts w:ascii="Arial" w:cs="Arial" w:eastAsia="Arial" w:hAnsi="Arial"/>
          <w:sz w:val="15"/>
          <w:szCs w:val="15"/>
          <w:color w:val="auto"/>
        </w:rPr>
        <w:t>, focused on delivering unprecedented flexibility to compete for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every advisor;</w:t>
      </w:r>
    </w:p>
    <w:p>
      <w:pPr>
        <w:spacing w:after="0" w:line="59" w:lineRule="exact"/>
        <w:rPr>
          <w:rFonts w:ascii="Arial" w:cs="Arial" w:eastAsia="Arial" w:hAnsi="Arial"/>
          <w:sz w:val="15"/>
          <w:szCs w:val="15"/>
          <w:color w:val="auto"/>
        </w:rPr>
      </w:pPr>
    </w:p>
    <w:p>
      <w:pPr>
        <w:ind w:left="280" w:hanging="273"/>
        <w:spacing w:after="0" w:line="261" w:lineRule="auto"/>
        <w:tabs>
          <w:tab w:leader="none" w:pos="280" w:val="left"/>
        </w:tabs>
        <w:numPr>
          <w:ilvl w:val="0"/>
          <w:numId w:val="72"/>
        </w:numPr>
        <w:rPr>
          <w:rFonts w:ascii="Arial" w:cs="Arial" w:eastAsia="Arial" w:hAnsi="Arial"/>
          <w:sz w:val="15"/>
          <w:szCs w:val="15"/>
          <w:color w:val="auto"/>
        </w:rPr>
      </w:pPr>
      <w:r>
        <w:rPr>
          <w:rFonts w:ascii="Arial" w:cs="Arial" w:eastAsia="Arial" w:hAnsi="Arial"/>
          <w:sz w:val="15"/>
          <w:szCs w:val="15"/>
          <w:b w:val="1"/>
          <w:bCs w:val="1"/>
          <w:i w:val="1"/>
          <w:iCs w:val="1"/>
          <w:color w:val="auto"/>
        </w:rPr>
        <w:t>Maximize advisor success through durable differentiation (the “Differentiation Goal”)</w:t>
      </w:r>
      <w:r>
        <w:rPr>
          <w:rFonts w:ascii="Arial" w:cs="Arial" w:eastAsia="Arial" w:hAnsi="Arial"/>
          <w:sz w:val="15"/>
          <w:szCs w:val="15"/>
          <w:color w:val="auto"/>
        </w:rPr>
        <w:t>, focused on enriching</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the end-investor experience, expanding the breadth and depth of advice; delivering a world-class wealth management platform; partnering in building the perfect business; providing an extraordinary operating platform; and transforming the advisor experience;</w:t>
      </w:r>
    </w:p>
    <w:p>
      <w:pPr>
        <w:spacing w:after="0" w:line="79" w:lineRule="exact"/>
        <w:rPr>
          <w:rFonts w:ascii="Arial" w:cs="Arial" w:eastAsia="Arial" w:hAnsi="Arial"/>
          <w:sz w:val="15"/>
          <w:szCs w:val="15"/>
          <w:color w:val="auto"/>
        </w:rPr>
      </w:pPr>
    </w:p>
    <w:p>
      <w:pPr>
        <w:ind w:left="280" w:right="100" w:hanging="273"/>
        <w:spacing w:after="0" w:line="287" w:lineRule="auto"/>
        <w:tabs>
          <w:tab w:leader="none" w:pos="280" w:val="left"/>
        </w:tabs>
        <w:numPr>
          <w:ilvl w:val="0"/>
          <w:numId w:val="72"/>
        </w:numPr>
        <w:rPr>
          <w:rFonts w:ascii="Arial" w:cs="Arial" w:eastAsia="Arial" w:hAnsi="Arial"/>
          <w:sz w:val="15"/>
          <w:szCs w:val="15"/>
          <w:color w:val="auto"/>
        </w:rPr>
      </w:pPr>
      <w:r>
        <w:rPr>
          <w:rFonts w:ascii="Arial" w:cs="Arial" w:eastAsia="Arial" w:hAnsi="Arial"/>
          <w:sz w:val="15"/>
          <w:szCs w:val="15"/>
          <w:b w:val="1"/>
          <w:bCs w:val="1"/>
          <w:i w:val="1"/>
          <w:iCs w:val="1"/>
          <w:color w:val="auto"/>
        </w:rPr>
        <w:t>Advisor lifecycle solutions (the “Solutions Goal”)</w:t>
      </w:r>
      <w:r>
        <w:rPr>
          <w:rFonts w:ascii="Arial" w:cs="Arial" w:eastAsia="Arial" w:hAnsi="Arial"/>
          <w:sz w:val="15"/>
          <w:szCs w:val="15"/>
          <w:color w:val="auto"/>
        </w:rPr>
        <w:t>, focused on empowering advisors with key lifecycle capital</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solutions; and</w:t>
      </w:r>
    </w:p>
    <w:p>
      <w:pPr>
        <w:spacing w:after="0" w:line="59" w:lineRule="exact"/>
        <w:rPr>
          <w:rFonts w:ascii="Arial" w:cs="Arial" w:eastAsia="Arial" w:hAnsi="Arial"/>
          <w:sz w:val="15"/>
          <w:szCs w:val="15"/>
          <w:color w:val="auto"/>
        </w:rPr>
      </w:pPr>
    </w:p>
    <w:p>
      <w:pPr>
        <w:ind w:left="280" w:hanging="273"/>
        <w:spacing w:after="0"/>
        <w:tabs>
          <w:tab w:leader="none" w:pos="280" w:val="left"/>
        </w:tabs>
        <w:numPr>
          <w:ilvl w:val="0"/>
          <w:numId w:val="72"/>
        </w:numPr>
        <w:rPr>
          <w:rFonts w:ascii="Arial" w:cs="Arial" w:eastAsia="Arial" w:hAnsi="Arial"/>
          <w:sz w:val="15"/>
          <w:szCs w:val="15"/>
          <w:color w:val="auto"/>
        </w:rPr>
      </w:pPr>
      <w:r>
        <w:rPr>
          <w:rFonts w:ascii="Arial" w:cs="Arial" w:eastAsia="Arial" w:hAnsi="Arial"/>
          <w:sz w:val="15"/>
          <w:szCs w:val="15"/>
          <w:b w:val="1"/>
          <w:bCs w:val="1"/>
          <w:i w:val="1"/>
          <w:iCs w:val="1"/>
          <w:color w:val="auto"/>
        </w:rPr>
        <w:t>Strategic enablers (the “Enablers Goal”)</w:t>
      </w:r>
      <w:r>
        <w:rPr>
          <w:rFonts w:ascii="Arial" w:cs="Arial" w:eastAsia="Arial" w:hAnsi="Arial"/>
          <w:sz w:val="15"/>
          <w:szCs w:val="15"/>
          <w:color w:val="auto"/>
        </w:rPr>
        <w:t>, focused on people, technology and data enablement.</w:t>
      </w:r>
    </w:p>
    <w:p>
      <w:pPr>
        <w:spacing w:after="0" w:line="3631" w:lineRule="exact"/>
        <w:rPr>
          <w:sz w:val="20"/>
          <w:szCs w:val="20"/>
          <w:color w:val="auto"/>
        </w:rPr>
      </w:pPr>
    </w:p>
    <w:p>
      <w:pPr>
        <w:sectPr>
          <w:pgSz w:w="11900" w:h="16838" w:orient="portrait"/>
          <w:cols w:equalWidth="0" w:num="2">
            <w:col w:w="2160" w:space="560"/>
            <w:col w:w="7960"/>
          </w:cols>
          <w:pgMar w:left="320" w:top="464" w:right="899" w:bottom="1440" w:gutter="0" w:footer="0" w:header="0"/>
        </w:sectPr>
      </w:pPr>
    </w:p>
    <w:p>
      <w:pPr>
        <w:spacing w:after="0" w:line="200" w:lineRule="exact"/>
        <w:rPr>
          <w:sz w:val="20"/>
          <w:szCs w:val="20"/>
          <w:color w:val="auto"/>
        </w:rPr>
      </w:pPr>
    </w:p>
    <w:p>
      <w:pPr>
        <w:spacing w:after="0" w:line="385" w:lineRule="exact"/>
        <w:rPr>
          <w:sz w:val="20"/>
          <w:szCs w:val="20"/>
          <w:color w:val="auto"/>
        </w:rPr>
      </w:pPr>
    </w:p>
    <w:p>
      <w:pPr>
        <w:ind w:left="420"/>
        <w:spacing w:after="0"/>
        <w:tabs>
          <w:tab w:leader="none" w:pos="2380" w:val="left"/>
          <w:tab w:leader="none" w:pos="2800" w:val="left"/>
        </w:tabs>
        <w:rPr>
          <w:sz w:val="20"/>
          <w:szCs w:val="20"/>
          <w:color w:val="auto"/>
        </w:rPr>
      </w:pPr>
      <w:r>
        <w:rPr>
          <w:rFonts w:ascii="Arial" w:cs="Arial" w:eastAsia="Arial" w:hAnsi="Arial"/>
          <w:sz w:val="30"/>
          <w:szCs w:val="30"/>
          <w:color w:val="000000"/>
          <w:vertAlign w:val="superscript"/>
        </w:rPr>
        <w:t xml:space="preserve">             </w:t>
      </w:r>
      <w:r>
        <w:rPr>
          <w:sz w:val="20"/>
          <w:szCs w:val="20"/>
          <w:color w:val="auto"/>
        </w:rPr>
        <w:tab/>
      </w:r>
      <w:r>
        <w:rPr>
          <w:rFonts w:ascii="Arial" w:cs="Arial" w:eastAsia="Arial" w:hAnsi="Arial"/>
          <w:sz w:val="31"/>
          <w:szCs w:val="31"/>
          <w:color w:val="auto"/>
          <w:vertAlign w:val="superscript"/>
        </w:rPr>
        <w:t xml:space="preserve">    </w:t>
      </w:r>
      <w:r>
        <w:rPr>
          <w:sz w:val="20"/>
          <w:szCs w:val="20"/>
          <w:color w:val="auto"/>
        </w:rPr>
        <w:tab/>
      </w:r>
      <w:r>
        <w:rPr>
          <w:rFonts w:ascii="Arial" w:cs="Arial" w:eastAsia="Arial" w:hAnsi="Arial"/>
          <w:sz w:val="15"/>
          <w:szCs w:val="15"/>
          <w:b w:val="1"/>
          <w:bCs w:val="1"/>
          <w:color w:val="002B5F"/>
        </w:rPr>
        <w:t xml:space="preserve">44  </w:t>
      </w:r>
      <w:r>
        <w:rPr>
          <w:rFonts w:ascii="Arial" w:cs="Arial" w:eastAsia="Arial" w:hAnsi="Arial"/>
          <w:sz w:val="20"/>
          <w:szCs w:val="20"/>
          <w:color w:val="002B5F"/>
        </w:rPr>
        <w:t>|</w:t>
      </w:r>
      <w:r>
        <w:rPr>
          <w:rFonts w:ascii="Arial" w:cs="Arial" w:eastAsia="Arial" w:hAnsi="Arial"/>
          <w:sz w:val="15"/>
          <w:szCs w:val="15"/>
          <w:b w:val="1"/>
          <w:bCs w:val="1"/>
          <w:color w:val="002B5F"/>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6111875</wp:posOffset>
            </wp:positionH>
            <wp:positionV relativeFrom="paragraph">
              <wp:posOffset>-208915</wp:posOffset>
            </wp:positionV>
            <wp:extent cx="769620" cy="971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69620" cy="97155"/>
                    </a:xfrm>
                    <a:prstGeom prst="rect">
                      <a:avLst/>
                    </a:prstGeom>
                    <a:noFill/>
                  </pic:spPr>
                </pic:pic>
              </a:graphicData>
            </a:graphic>
          </wp:anchor>
        </w:drawing>
      </w:r>
    </w:p>
    <w:p>
      <w:pPr>
        <w:sectPr>
          <w:pgSz w:w="11900" w:h="16838" w:orient="portrait"/>
          <w:cols w:equalWidth="0" w:num="1">
            <w:col w:w="10680"/>
          </w:cols>
          <w:pgMar w:left="320" w:top="464" w:right="899" w:bottom="1440" w:gutter="0" w:footer="0" w:header="0"/>
          <w:type w:val="continuous"/>
        </w:sectPr>
      </w:pPr>
    </w:p>
    <w:bookmarkStart w:id="52" w:name="page53"/>
    <w:bookmarkEnd w:id="5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5334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81215" cy="5334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5617845</wp:posOffset>
            </wp:positionH>
            <wp:positionV relativeFrom="paragraph">
              <wp:posOffset>253365</wp:posOffset>
            </wp:positionV>
            <wp:extent cx="1256030" cy="74720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256030" cy="7472045"/>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tbl>
      <w:tblPr>
        <w:tblLayout w:type="fixed"/>
        <w:tblInd w:w="540" w:type="dxa"/>
        <w:tblCellMar>
          <w:top w:w="0" w:type="dxa"/>
          <w:left w:w="0" w:type="dxa"/>
          <w:bottom w:w="0" w:type="dxa"/>
          <w:right w:w="0" w:type="dxa"/>
        </w:tblCellMar>
      </w:tblPr>
      <w:tr>
        <w:trPr>
          <w:trHeight w:val="179"/>
        </w:trPr>
        <w:tc>
          <w:tcPr>
            <w:tcW w:w="7900" w:type="dxa"/>
            <w:vAlign w:val="bottom"/>
          </w:tcPr>
          <w:p>
            <w:pPr>
              <w:spacing w:after="0"/>
              <w:rPr>
                <w:sz w:val="20"/>
                <w:szCs w:val="20"/>
                <w:color w:val="auto"/>
              </w:rPr>
            </w:pPr>
            <w:r>
              <w:rPr>
                <w:rFonts w:ascii="Arial" w:cs="Arial" w:eastAsia="Arial" w:hAnsi="Arial"/>
                <w:sz w:val="15"/>
                <w:szCs w:val="15"/>
                <w:color w:val="auto"/>
              </w:rPr>
              <w:t>To determine the bonus pool funding for 2025, the Compensation Committee assigned the following baseline</w:t>
            </w:r>
          </w:p>
        </w:tc>
        <w:tc>
          <w:tcPr>
            <w:tcW w:w="6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7900" w:type="dxa"/>
            <w:vAlign w:val="bottom"/>
          </w:tcPr>
          <w:p>
            <w:pPr>
              <w:spacing w:after="0"/>
              <w:rPr>
                <w:sz w:val="20"/>
                <w:szCs w:val="20"/>
                <w:color w:val="auto"/>
              </w:rPr>
            </w:pPr>
            <w:r>
              <w:rPr>
                <w:rFonts w:ascii="Arial" w:cs="Arial" w:eastAsia="Arial" w:hAnsi="Arial"/>
                <w:sz w:val="15"/>
                <w:szCs w:val="15"/>
                <w:color w:val="auto"/>
              </w:rPr>
              <w:t>weightings, which reflected equal weighting of the achievement of the Company’s 2025 Financial Performance</w:t>
            </w:r>
          </w:p>
        </w:tc>
        <w:tc>
          <w:tcPr>
            <w:tcW w:w="640" w:type="dxa"/>
            <w:vAlign w:val="bottom"/>
            <w:vMerge w:val="restart"/>
          </w:tcPr>
          <w:p>
            <w:pPr>
              <w:ind w:left="440"/>
              <w:spacing w:after="0"/>
              <w:rPr>
                <w:sz w:val="20"/>
                <w:szCs w:val="20"/>
                <w:color w:val="auto"/>
              </w:rPr>
            </w:pPr>
            <w:r>
              <w:rPr>
                <w:rFonts w:ascii="Arial" w:cs="Arial" w:eastAsia="Arial" w:hAnsi="Arial"/>
                <w:sz w:val="15"/>
                <w:szCs w:val="15"/>
                <w:color w:val="auto"/>
              </w:rPr>
              <w:t> </w:t>
            </w:r>
          </w:p>
        </w:tc>
        <w:tc>
          <w:tcPr>
            <w:tcW w:w="1280" w:type="dxa"/>
            <w:vAlign w:val="bottom"/>
            <w:vMerge w:val="restart"/>
          </w:tcPr>
          <w:p>
            <w:pPr>
              <w:ind w:left="140"/>
              <w:spacing w:after="0"/>
              <w:rPr>
                <w:sz w:val="20"/>
                <w:szCs w:val="20"/>
                <w:color w:val="auto"/>
              </w:rPr>
            </w:pPr>
            <w:r>
              <w:rPr>
                <w:rFonts w:ascii="Arial" w:cs="Arial" w:eastAsia="Arial" w:hAnsi="Arial"/>
                <w:sz w:val="12"/>
                <w:szCs w:val="12"/>
                <w:color w:val="FFFFFF"/>
              </w:rPr>
              <w:t>General</w:t>
            </w:r>
          </w:p>
        </w:tc>
        <w:tc>
          <w:tcPr>
            <w:tcW w:w="440" w:type="dxa"/>
            <w:vAlign w:val="bottom"/>
            <w:vMerge w:val="restart"/>
          </w:tcPr>
          <w:p>
            <w:pPr>
              <w:ind w:left="80"/>
              <w:spacing w:after="0"/>
              <w:rPr>
                <w:sz w:val="20"/>
                <w:szCs w:val="20"/>
                <w:color w:val="auto"/>
              </w:rPr>
            </w:pPr>
            <w:r>
              <w:rPr>
                <w:rFonts w:ascii="Arial" w:cs="Arial" w:eastAsia="Arial" w:hAnsi="Arial"/>
                <w:sz w:val="15"/>
                <w:szCs w:val="15"/>
                <w:color w:val="auto"/>
              </w:rPr>
              <w:t xml:space="preserve">       </w:t>
            </w:r>
          </w:p>
        </w:tc>
        <w:tc>
          <w:tcPr>
            <w:tcW w:w="0" w:type="dxa"/>
            <w:vAlign w:val="bottom"/>
          </w:tcPr>
          <w:p>
            <w:pPr>
              <w:spacing w:after="0"/>
              <w:rPr>
                <w:sz w:val="1"/>
                <w:szCs w:val="1"/>
                <w:color w:val="auto"/>
              </w:rPr>
            </w:pPr>
          </w:p>
        </w:tc>
      </w:tr>
      <w:tr>
        <w:trPr>
          <w:trHeight w:val="51"/>
        </w:trPr>
        <w:tc>
          <w:tcPr>
            <w:tcW w:w="7900" w:type="dxa"/>
            <w:vAlign w:val="bottom"/>
            <w:vMerge w:val="restart"/>
          </w:tcPr>
          <w:p>
            <w:pPr>
              <w:spacing w:after="0"/>
              <w:rPr>
                <w:sz w:val="20"/>
                <w:szCs w:val="20"/>
                <w:color w:val="auto"/>
              </w:rPr>
            </w:pPr>
            <w:r>
              <w:rPr>
                <w:rFonts w:ascii="Arial" w:cs="Arial" w:eastAsia="Arial" w:hAnsi="Arial"/>
                <w:sz w:val="15"/>
                <w:szCs w:val="15"/>
                <w:color w:val="auto"/>
              </w:rPr>
              <w:t>Goals, on the one hand, and 2025 Business Goals, on the other:</w:t>
            </w:r>
          </w:p>
        </w:tc>
        <w:tc>
          <w:tcPr>
            <w:tcW w:w="640" w:type="dxa"/>
            <w:vAlign w:val="bottom"/>
            <w:vMerge w:val="continue"/>
          </w:tcPr>
          <w:p>
            <w:pPr>
              <w:spacing w:after="0"/>
              <w:rPr>
                <w:sz w:val="4"/>
                <w:szCs w:val="4"/>
                <w:color w:val="auto"/>
              </w:rPr>
            </w:pPr>
          </w:p>
        </w:tc>
        <w:tc>
          <w:tcPr>
            <w:tcW w:w="1280" w:type="dxa"/>
            <w:vAlign w:val="bottom"/>
            <w:vMerge w:val="continue"/>
          </w:tcPr>
          <w:p>
            <w:pPr>
              <w:spacing w:after="0"/>
              <w:rPr>
                <w:sz w:val="4"/>
                <w:szCs w:val="4"/>
                <w:color w:val="auto"/>
              </w:rPr>
            </w:pPr>
          </w:p>
        </w:tc>
        <w:tc>
          <w:tcPr>
            <w:tcW w:w="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8"/>
        </w:trPr>
        <w:tc>
          <w:tcPr>
            <w:tcW w:w="7900" w:type="dxa"/>
            <w:vAlign w:val="bottom"/>
            <w:vMerge w:val="continue"/>
          </w:tcPr>
          <w:p>
            <w:pPr>
              <w:spacing w:after="0"/>
              <w:rPr>
                <w:sz w:val="13"/>
                <w:szCs w:val="13"/>
                <w:color w:val="auto"/>
              </w:rPr>
            </w:pPr>
          </w:p>
        </w:tc>
        <w:tc>
          <w:tcPr>
            <w:tcW w:w="640" w:type="dxa"/>
            <w:vAlign w:val="bottom"/>
          </w:tcPr>
          <w:p>
            <w:pPr>
              <w:spacing w:after="0"/>
              <w:rPr>
                <w:sz w:val="13"/>
                <w:szCs w:val="13"/>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Information</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3"/>
        </w:trPr>
        <w:tc>
          <w:tcPr>
            <w:tcW w:w="7900" w:type="dxa"/>
            <w:vAlign w:val="bottom"/>
            <w:vMerge w:val="restart"/>
          </w:tcPr>
          <w:p>
            <w:pPr>
              <w:ind w:left="2780"/>
              <w:spacing w:after="0"/>
              <w:rPr>
                <w:sz w:val="20"/>
                <w:szCs w:val="20"/>
                <w:color w:val="auto"/>
              </w:rPr>
            </w:pPr>
            <w:r>
              <w:rPr>
                <w:rFonts w:ascii="Arial" w:cs="Arial" w:eastAsia="Arial" w:hAnsi="Arial"/>
                <w:sz w:val="17"/>
                <w:szCs w:val="17"/>
                <w:b w:val="1"/>
                <w:bCs w:val="1"/>
                <w:color w:val="002B5F"/>
              </w:rPr>
              <w:t>Baseline Criteria Weightings</w:t>
            </w:r>
          </w:p>
        </w:tc>
        <w:tc>
          <w:tcPr>
            <w:tcW w:w="640" w:type="dxa"/>
            <w:vAlign w:val="bottom"/>
          </w:tcPr>
          <w:p>
            <w:pPr>
              <w:spacing w:after="0"/>
              <w:rPr>
                <w:sz w:val="20"/>
                <w:szCs w:val="20"/>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General Information</w:t>
            </w: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8"/>
        </w:trPr>
        <w:tc>
          <w:tcPr>
            <w:tcW w:w="7900" w:type="dxa"/>
            <w:vAlign w:val="bottom"/>
            <w:vMerge w:val="continue"/>
          </w:tcPr>
          <w:p>
            <w:pPr>
              <w:spacing w:after="0"/>
              <w:rPr>
                <w:sz w:val="11"/>
                <w:szCs w:val="11"/>
                <w:color w:val="auto"/>
              </w:rPr>
            </w:pPr>
          </w:p>
        </w:tc>
        <w:tc>
          <w:tcPr>
            <w:tcW w:w="640" w:type="dxa"/>
            <w:vAlign w:val="bottom"/>
          </w:tcPr>
          <w:p>
            <w:pPr>
              <w:spacing w:after="0"/>
              <w:rPr>
                <w:sz w:val="11"/>
                <w:szCs w:val="11"/>
                <w:color w:val="auto"/>
              </w:rPr>
            </w:pPr>
          </w:p>
        </w:tc>
        <w:tc>
          <w:tcPr>
            <w:tcW w:w="1280" w:type="dxa"/>
            <w:vAlign w:val="bottom"/>
          </w:tcPr>
          <w:p>
            <w:pPr>
              <w:ind w:left="140"/>
              <w:spacing w:after="0" w:line="128" w:lineRule="exact"/>
              <w:rPr>
                <w:sz w:val="20"/>
                <w:szCs w:val="20"/>
                <w:color w:val="auto"/>
              </w:rPr>
            </w:pPr>
            <w:r>
              <w:rPr>
                <w:rFonts w:ascii="Arial" w:cs="Arial" w:eastAsia="Arial" w:hAnsi="Arial"/>
                <w:sz w:val="12"/>
                <w:szCs w:val="12"/>
                <w:color w:val="FFFFFF"/>
              </w:rPr>
              <w:t>About Corporate</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79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80" w:type="dxa"/>
            <w:vAlign w:val="bottom"/>
          </w:tcPr>
          <w:p>
            <w:pPr>
              <w:ind w:left="140"/>
              <w:spacing w:after="0" w:line="128" w:lineRule="exact"/>
              <w:rPr>
                <w:sz w:val="20"/>
                <w:szCs w:val="20"/>
                <w:color w:val="auto"/>
              </w:rPr>
            </w:pPr>
            <w:r>
              <w:rPr>
                <w:rFonts w:ascii="Arial" w:cs="Arial" w:eastAsia="Arial" w:hAnsi="Arial"/>
                <w:sz w:val="12"/>
                <w:szCs w:val="12"/>
                <w:color w:val="FFFFFF"/>
              </w:rPr>
              <w:t>Governance</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79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80" w:type="dxa"/>
            <w:vAlign w:val="bottom"/>
          </w:tcPr>
          <w:p>
            <w:pPr>
              <w:ind w:left="140"/>
              <w:spacing w:after="0" w:line="128" w:lineRule="exact"/>
              <w:rPr>
                <w:sz w:val="20"/>
                <w:szCs w:val="20"/>
                <w:color w:val="auto"/>
              </w:rPr>
            </w:pPr>
            <w:r>
              <w:rPr>
                <w:rFonts w:ascii="Arial" w:cs="Arial" w:eastAsia="Arial" w:hAnsi="Arial"/>
                <w:sz w:val="12"/>
                <w:szCs w:val="12"/>
                <w:color w:val="FFFFFF"/>
              </w:rPr>
              <w:t>and the Board of</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79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Directors</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4"/>
        </w:trPr>
        <w:tc>
          <w:tcPr>
            <w:tcW w:w="79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Proposal 1</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79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Information</w:t>
            </w:r>
          </w:p>
        </w:tc>
        <w:tc>
          <w:tcPr>
            <w:tcW w:w="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8"/>
        </w:trPr>
        <w:tc>
          <w:tcPr>
            <w:tcW w:w="79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80" w:type="dxa"/>
            <w:vAlign w:val="bottom"/>
          </w:tcPr>
          <w:p>
            <w:pPr>
              <w:ind w:left="140"/>
              <w:spacing w:after="0" w:line="128" w:lineRule="exact"/>
              <w:rPr>
                <w:sz w:val="20"/>
                <w:szCs w:val="20"/>
                <w:color w:val="auto"/>
              </w:rPr>
            </w:pPr>
            <w:r>
              <w:rPr>
                <w:rFonts w:ascii="Arial" w:cs="Arial" w:eastAsia="Arial" w:hAnsi="Arial"/>
                <w:sz w:val="12"/>
                <w:szCs w:val="12"/>
                <w:color w:val="FFFFFF"/>
              </w:rPr>
              <w:t>Regarding Board</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79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80" w:type="dxa"/>
            <w:vAlign w:val="bottom"/>
          </w:tcPr>
          <w:p>
            <w:pPr>
              <w:ind w:left="140"/>
              <w:spacing w:after="0" w:line="128" w:lineRule="exact"/>
              <w:rPr>
                <w:sz w:val="20"/>
                <w:szCs w:val="20"/>
                <w:color w:val="auto"/>
              </w:rPr>
            </w:pPr>
            <w:r>
              <w:rPr>
                <w:rFonts w:ascii="Arial" w:cs="Arial" w:eastAsia="Arial" w:hAnsi="Arial"/>
                <w:sz w:val="12"/>
                <w:szCs w:val="12"/>
                <w:color w:val="FFFFFF"/>
              </w:rPr>
              <w:t>and Committee</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79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Structure</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79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Board of Directors</w:t>
            </w:r>
          </w:p>
        </w:tc>
        <w:tc>
          <w:tcPr>
            <w:tcW w:w="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8"/>
        </w:trPr>
        <w:tc>
          <w:tcPr>
            <w:tcW w:w="79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Compensation</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79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280" w:type="dxa"/>
            <w:vAlign w:val="bottom"/>
          </w:tcPr>
          <w:p>
            <w:pPr>
              <w:ind w:left="140"/>
              <w:spacing w:after="0"/>
              <w:rPr>
                <w:sz w:val="20"/>
                <w:szCs w:val="20"/>
                <w:color w:val="auto"/>
              </w:rPr>
            </w:pPr>
            <w:r>
              <w:rPr>
                <w:rFonts w:ascii="Arial" w:cs="Arial" w:eastAsia="Arial" w:hAnsi="Arial"/>
                <w:sz w:val="12"/>
                <w:szCs w:val="12"/>
                <w:b w:val="1"/>
                <w:bCs w:val="1"/>
                <w:color w:val="FFFFFF"/>
              </w:rPr>
              <w:t>Compensation</w:t>
            </w:r>
          </w:p>
        </w:tc>
        <w:tc>
          <w:tcPr>
            <w:tcW w:w="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8"/>
        </w:trPr>
        <w:tc>
          <w:tcPr>
            <w:tcW w:w="79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80" w:type="dxa"/>
            <w:vAlign w:val="bottom"/>
          </w:tcPr>
          <w:p>
            <w:pPr>
              <w:ind w:left="140"/>
              <w:spacing w:after="0" w:line="128" w:lineRule="exact"/>
              <w:rPr>
                <w:sz w:val="20"/>
                <w:szCs w:val="20"/>
                <w:color w:val="auto"/>
              </w:rPr>
            </w:pPr>
            <w:r>
              <w:rPr>
                <w:rFonts w:ascii="Arial" w:cs="Arial" w:eastAsia="Arial" w:hAnsi="Arial"/>
                <w:sz w:val="12"/>
                <w:szCs w:val="12"/>
                <w:b w:val="1"/>
                <w:bCs w:val="1"/>
                <w:color w:val="FFFFFF"/>
              </w:rPr>
              <w:t>Discussion and</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79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80" w:type="dxa"/>
            <w:vAlign w:val="bottom"/>
          </w:tcPr>
          <w:p>
            <w:pPr>
              <w:ind w:left="140"/>
              <w:spacing w:after="0"/>
              <w:rPr>
                <w:sz w:val="20"/>
                <w:szCs w:val="20"/>
                <w:color w:val="auto"/>
              </w:rPr>
            </w:pPr>
            <w:r>
              <w:rPr>
                <w:rFonts w:ascii="Arial" w:cs="Arial" w:eastAsia="Arial" w:hAnsi="Arial"/>
                <w:sz w:val="12"/>
                <w:szCs w:val="12"/>
                <w:b w:val="1"/>
                <w:bCs w:val="1"/>
                <w:color w:val="FFFFFF"/>
              </w:rPr>
              <w:t>Analysis</w:t>
            </w: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1362710</wp:posOffset>
            </wp:positionH>
            <wp:positionV relativeFrom="paragraph">
              <wp:posOffset>-1340485</wp:posOffset>
            </wp:positionV>
            <wp:extent cx="2966085" cy="174244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2966085" cy="1742440"/>
                    </a:xfrm>
                    <a:prstGeom prst="rect">
                      <a:avLst/>
                    </a:prstGeom>
                    <a:noFill/>
                  </pic:spPr>
                </pic:pic>
              </a:graphicData>
            </a:graphic>
          </wp:anchor>
        </w:drawing>
      </w:r>
    </w:p>
    <w:p>
      <w:pPr>
        <w:sectPr>
          <w:pgSz w:w="11900" w:h="16838" w:orient="portrait"/>
          <w:cols w:equalWidth="0" w:num="1">
            <w:col w:w="10800"/>
          </w:cols>
          <w:pgMar w:left="320" w:top="464" w:right="7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540" w:right="380"/>
        <w:spacing w:after="0" w:line="258" w:lineRule="auto"/>
        <w:rPr>
          <w:sz w:val="20"/>
          <w:szCs w:val="20"/>
          <w:color w:val="auto"/>
        </w:rPr>
      </w:pPr>
      <w:r>
        <w:rPr>
          <w:rFonts w:ascii="Arial" w:cs="Arial" w:eastAsia="Arial" w:hAnsi="Arial"/>
          <w:sz w:val="15"/>
          <w:szCs w:val="15"/>
          <w:color w:val="auto"/>
        </w:rPr>
        <w:t>The Compensation Committee assigns baseline criteria weightings assuming performance at target, with the actual amount funded with respect to each component adjusted up or down depending on performance. Target performance as it related collectively to the 2025 Corporate Goals would have yielded a 2025 bonus pool funding of $136 million, subject to the discretion of the Compensation Committee to increase or decrease the bonus pool funding by up to 20%.</w:t>
      </w:r>
    </w:p>
    <w:p>
      <w:pPr>
        <w:spacing w:after="0" w:line="68" w:lineRule="exact"/>
        <w:rPr>
          <w:sz w:val="20"/>
          <w:szCs w:val="20"/>
          <w:color w:val="auto"/>
        </w:rPr>
      </w:pPr>
    </w:p>
    <w:p>
      <w:pPr>
        <w:ind w:left="540" w:right="600"/>
        <w:spacing w:after="0" w:line="287" w:lineRule="auto"/>
        <w:rPr>
          <w:sz w:val="20"/>
          <w:szCs w:val="20"/>
          <w:color w:val="auto"/>
        </w:rPr>
      </w:pPr>
      <w:r>
        <w:rPr>
          <w:rFonts w:ascii="Arial" w:cs="Arial" w:eastAsia="Arial" w:hAnsi="Arial"/>
          <w:sz w:val="15"/>
          <w:szCs w:val="15"/>
          <w:i w:val="1"/>
          <w:iCs w:val="1"/>
          <w:color w:val="auto"/>
        </w:rPr>
        <w:t>Financial Performance Goals (40% baseline weighting)</w:t>
      </w:r>
      <w:r>
        <w:rPr>
          <w:rFonts w:ascii="Arial" w:cs="Arial" w:eastAsia="Arial" w:hAnsi="Arial"/>
          <w:sz w:val="15"/>
          <w:szCs w:val="15"/>
          <w:color w:val="auto"/>
        </w:rPr>
        <w:t>. The Compensation Committee established the following</w:t>
      </w:r>
      <w:r>
        <w:rPr>
          <w:rFonts w:ascii="Arial" w:cs="Arial" w:eastAsia="Arial" w:hAnsi="Arial"/>
          <w:sz w:val="15"/>
          <w:szCs w:val="15"/>
          <w:i w:val="1"/>
          <w:iCs w:val="1"/>
          <w:color w:val="auto"/>
        </w:rPr>
        <w:t xml:space="preserve"> </w:t>
      </w:r>
      <w:r>
        <w:rPr>
          <w:rFonts w:ascii="Arial" w:cs="Arial" w:eastAsia="Arial" w:hAnsi="Arial"/>
          <w:sz w:val="15"/>
          <w:szCs w:val="15"/>
          <w:color w:val="auto"/>
        </w:rPr>
        <w:t>baseline weights for the Company’s two financial performance goals:</w:t>
      </w:r>
    </w:p>
    <w:p>
      <w:pPr>
        <w:spacing w:after="0" w:line="177" w:lineRule="exact"/>
        <w:rPr>
          <w:sz w:val="20"/>
          <w:szCs w:val="20"/>
          <w:color w:val="auto"/>
        </w:rPr>
      </w:pPr>
    </w:p>
    <w:tbl>
      <w:tblPr>
        <w:tblLayout w:type="fixed"/>
        <w:tblInd w:w="540" w:type="dxa"/>
        <w:tblCellMar>
          <w:top w:w="0" w:type="dxa"/>
          <w:left w:w="0" w:type="dxa"/>
          <w:bottom w:w="0" w:type="dxa"/>
          <w:right w:w="0" w:type="dxa"/>
        </w:tblCellMar>
      </w:tblPr>
      <w:tr>
        <w:trPr>
          <w:trHeight w:val="194"/>
        </w:trPr>
        <w:tc>
          <w:tcPr>
            <w:tcW w:w="5840" w:type="dxa"/>
            <w:vAlign w:val="bottom"/>
            <w:tcBorders>
              <w:bottom w:val="single" w:sz="8" w:color="002B5F"/>
            </w:tcBorders>
          </w:tcPr>
          <w:p>
            <w:pPr>
              <w:ind w:left="60"/>
              <w:spacing w:after="0"/>
              <w:rPr>
                <w:sz w:val="20"/>
                <w:szCs w:val="20"/>
                <w:color w:val="auto"/>
              </w:rPr>
            </w:pPr>
            <w:r>
              <w:rPr>
                <w:rFonts w:ascii="Arial" w:cs="Arial" w:eastAsia="Arial" w:hAnsi="Arial"/>
                <w:sz w:val="14"/>
                <w:szCs w:val="14"/>
                <w:b w:val="1"/>
                <w:bCs w:val="1"/>
                <w:color w:val="002B5F"/>
              </w:rPr>
              <w:t>Goal</w:t>
            </w:r>
          </w:p>
        </w:tc>
        <w:tc>
          <w:tcPr>
            <w:tcW w:w="2040" w:type="dxa"/>
            <w:vAlign w:val="bottom"/>
            <w:tcBorders>
              <w:bottom w:val="single" w:sz="8" w:color="002B5F"/>
            </w:tcBorders>
          </w:tcPr>
          <w:p>
            <w:pPr>
              <w:jc w:val="right"/>
              <w:spacing w:after="0"/>
              <w:rPr>
                <w:sz w:val="20"/>
                <w:szCs w:val="20"/>
                <w:color w:val="auto"/>
              </w:rPr>
            </w:pPr>
            <w:r>
              <w:rPr>
                <w:rFonts w:ascii="Arial" w:cs="Arial" w:eastAsia="Arial" w:hAnsi="Arial"/>
                <w:sz w:val="14"/>
                <w:szCs w:val="14"/>
                <w:b w:val="1"/>
                <w:bCs w:val="1"/>
                <w:color w:val="002B5F"/>
              </w:rPr>
              <w:t>Baseline Weight</w:t>
            </w:r>
          </w:p>
        </w:tc>
      </w:tr>
      <w:tr>
        <w:trPr>
          <w:trHeight w:val="274"/>
        </w:trPr>
        <w:tc>
          <w:tcPr>
            <w:tcW w:w="5840" w:type="dxa"/>
            <w:vAlign w:val="bottom"/>
            <w:tcBorders>
              <w:bottom w:val="single" w:sz="8" w:color="F7F1EC"/>
            </w:tcBorders>
            <w:shd w:val="clear" w:color="auto" w:fill="F7F1EC"/>
          </w:tcPr>
          <w:p>
            <w:pPr>
              <w:ind w:left="60"/>
              <w:spacing w:after="0"/>
              <w:rPr>
                <w:sz w:val="20"/>
                <w:szCs w:val="20"/>
                <w:color w:val="auto"/>
              </w:rPr>
            </w:pPr>
            <w:r>
              <w:rPr>
                <w:rFonts w:ascii="Arial" w:cs="Arial" w:eastAsia="Arial" w:hAnsi="Arial"/>
                <w:sz w:val="15"/>
                <w:szCs w:val="15"/>
                <w:color w:val="auto"/>
              </w:rPr>
              <w:t>Incentive EBITDA Goal</w:t>
            </w:r>
          </w:p>
        </w:tc>
        <w:tc>
          <w:tcPr>
            <w:tcW w:w="2040" w:type="dxa"/>
            <w:vAlign w:val="bottom"/>
            <w:tcBorders>
              <w:bottom w:val="single" w:sz="8" w:color="F7F1EC"/>
            </w:tcBorders>
            <w:shd w:val="clear" w:color="auto" w:fill="F7F1EC"/>
          </w:tcPr>
          <w:p>
            <w:pPr>
              <w:jc w:val="right"/>
              <w:ind w:right="186"/>
              <w:spacing w:after="0"/>
              <w:rPr>
                <w:sz w:val="20"/>
                <w:szCs w:val="20"/>
                <w:color w:val="auto"/>
              </w:rPr>
            </w:pPr>
            <w:r>
              <w:rPr>
                <w:rFonts w:ascii="Arial" w:cs="Arial" w:eastAsia="Arial" w:hAnsi="Arial"/>
                <w:sz w:val="15"/>
                <w:szCs w:val="15"/>
                <w:color w:val="auto"/>
              </w:rPr>
              <w:t>30%</w:t>
            </w:r>
          </w:p>
        </w:tc>
      </w:tr>
      <w:tr>
        <w:trPr>
          <w:trHeight w:val="265"/>
        </w:trPr>
        <w:tc>
          <w:tcPr>
            <w:tcW w:w="5840" w:type="dxa"/>
            <w:vAlign w:val="bottom"/>
          </w:tcPr>
          <w:p>
            <w:pPr>
              <w:ind w:left="60"/>
              <w:spacing w:after="0"/>
              <w:rPr>
                <w:sz w:val="20"/>
                <w:szCs w:val="20"/>
                <w:color w:val="auto"/>
              </w:rPr>
            </w:pPr>
            <w:r>
              <w:rPr>
                <w:rFonts w:ascii="Arial" w:cs="Arial" w:eastAsia="Arial" w:hAnsi="Arial"/>
                <w:sz w:val="15"/>
                <w:szCs w:val="15"/>
                <w:color w:val="auto"/>
              </w:rPr>
              <w:t>Relative TSR Goal</w:t>
            </w:r>
          </w:p>
        </w:tc>
        <w:tc>
          <w:tcPr>
            <w:tcW w:w="2040" w:type="dxa"/>
            <w:vAlign w:val="bottom"/>
          </w:tcPr>
          <w:p>
            <w:pPr>
              <w:jc w:val="right"/>
              <w:ind w:right="186"/>
              <w:spacing w:after="0"/>
              <w:rPr>
                <w:sz w:val="20"/>
                <w:szCs w:val="20"/>
                <w:color w:val="auto"/>
              </w:rPr>
            </w:pPr>
            <w:r>
              <w:rPr>
                <w:rFonts w:ascii="Arial" w:cs="Arial" w:eastAsia="Arial" w:hAnsi="Arial"/>
                <w:sz w:val="15"/>
                <w:szCs w:val="15"/>
                <w:color w:val="auto"/>
              </w:rPr>
              <w:t>10%</w:t>
            </w:r>
          </w:p>
        </w:tc>
      </w:tr>
      <w:tr>
        <w:trPr>
          <w:trHeight w:val="41"/>
        </w:trPr>
        <w:tc>
          <w:tcPr>
            <w:tcW w:w="5840" w:type="dxa"/>
            <w:vAlign w:val="bottom"/>
            <w:tcBorders>
              <w:bottom w:val="single" w:sz="8" w:color="002B5F"/>
            </w:tcBorders>
          </w:tcPr>
          <w:p>
            <w:pPr>
              <w:spacing w:after="0"/>
              <w:rPr>
                <w:sz w:val="3"/>
                <w:szCs w:val="3"/>
                <w:color w:val="auto"/>
              </w:rPr>
            </w:pPr>
          </w:p>
        </w:tc>
        <w:tc>
          <w:tcPr>
            <w:tcW w:w="2040" w:type="dxa"/>
            <w:vAlign w:val="bottom"/>
            <w:tcBorders>
              <w:bottom w:val="single" w:sz="8" w:color="002B5F"/>
            </w:tcBorders>
          </w:tcPr>
          <w:p>
            <w:pPr>
              <w:spacing w:after="0"/>
              <w:rPr>
                <w:sz w:val="3"/>
                <w:szCs w:val="3"/>
                <w:color w:val="auto"/>
              </w:rPr>
            </w:pPr>
          </w:p>
        </w:tc>
      </w:tr>
      <w:tr>
        <w:trPr>
          <w:trHeight w:val="266"/>
        </w:trPr>
        <w:tc>
          <w:tcPr>
            <w:tcW w:w="5840" w:type="dxa"/>
            <w:vAlign w:val="bottom"/>
            <w:tcBorders>
              <w:bottom w:val="single" w:sz="8" w:color="F7F1EC"/>
            </w:tcBorders>
            <w:shd w:val="clear" w:color="auto" w:fill="F7F1EC"/>
          </w:tcPr>
          <w:p>
            <w:pPr>
              <w:ind w:left="60"/>
              <w:spacing w:after="0"/>
              <w:rPr>
                <w:sz w:val="20"/>
                <w:szCs w:val="20"/>
                <w:color w:val="auto"/>
              </w:rPr>
            </w:pPr>
            <w:r>
              <w:rPr>
                <w:rFonts w:ascii="Arial" w:cs="Arial" w:eastAsia="Arial" w:hAnsi="Arial"/>
                <w:sz w:val="15"/>
                <w:szCs w:val="15"/>
                <w:color w:val="auto"/>
              </w:rPr>
              <w:t>Total Financial Performance</w:t>
            </w:r>
          </w:p>
        </w:tc>
        <w:tc>
          <w:tcPr>
            <w:tcW w:w="2040" w:type="dxa"/>
            <w:vAlign w:val="bottom"/>
            <w:tcBorders>
              <w:bottom w:val="single" w:sz="8" w:color="F7F1EC"/>
            </w:tcBorders>
            <w:shd w:val="clear" w:color="auto" w:fill="F7F1EC"/>
          </w:tcPr>
          <w:p>
            <w:pPr>
              <w:jc w:val="right"/>
              <w:ind w:right="186"/>
              <w:spacing w:after="0"/>
              <w:rPr>
                <w:sz w:val="20"/>
                <w:szCs w:val="20"/>
                <w:color w:val="auto"/>
              </w:rPr>
            </w:pPr>
            <w:r>
              <w:rPr>
                <w:rFonts w:ascii="Arial" w:cs="Arial" w:eastAsia="Arial" w:hAnsi="Arial"/>
                <w:sz w:val="15"/>
                <w:szCs w:val="15"/>
                <w:color w:val="auto"/>
              </w:rPr>
              <w:t>40%</w:t>
            </w:r>
          </w:p>
        </w:tc>
      </w:tr>
      <w:tr>
        <w:trPr>
          <w:trHeight w:val="20"/>
        </w:trPr>
        <w:tc>
          <w:tcPr>
            <w:tcW w:w="5840" w:type="dxa"/>
            <w:vAlign w:val="bottom"/>
            <w:shd w:val="clear" w:color="auto" w:fill="002B5F"/>
          </w:tcPr>
          <w:p>
            <w:pPr>
              <w:spacing w:after="0" w:line="20" w:lineRule="exact"/>
              <w:rPr>
                <w:sz w:val="1"/>
                <w:szCs w:val="1"/>
                <w:color w:val="auto"/>
              </w:rPr>
            </w:pPr>
          </w:p>
        </w:tc>
        <w:tc>
          <w:tcPr>
            <w:tcW w:w="2040" w:type="dxa"/>
            <w:vAlign w:val="bottom"/>
            <w:shd w:val="clear" w:color="auto" w:fill="002B5F"/>
          </w:tcPr>
          <w:p>
            <w:pPr>
              <w:spacing w:after="0" w:line="20" w:lineRule="exact"/>
              <w:rPr>
                <w:sz w:val="1"/>
                <w:szCs w:val="1"/>
                <w:color w:val="auto"/>
              </w:rPr>
            </w:pPr>
          </w:p>
        </w:tc>
      </w:tr>
    </w:tbl>
    <w:p>
      <w:pPr>
        <w:spacing w:after="0" w:line="90" w:lineRule="exact"/>
        <w:rPr>
          <w:sz w:val="20"/>
          <w:szCs w:val="20"/>
          <w:color w:val="auto"/>
        </w:rPr>
      </w:pPr>
    </w:p>
    <w:p>
      <w:pPr>
        <w:ind w:left="540" w:right="460"/>
        <w:spacing w:after="0" w:line="261" w:lineRule="auto"/>
        <w:rPr>
          <w:sz w:val="20"/>
          <w:szCs w:val="20"/>
          <w:color w:val="auto"/>
        </w:rPr>
      </w:pPr>
      <w:r>
        <w:rPr>
          <w:rFonts w:ascii="Arial" w:cs="Arial" w:eastAsia="Arial" w:hAnsi="Arial"/>
          <w:sz w:val="15"/>
          <w:szCs w:val="15"/>
          <w:color w:val="auto"/>
        </w:rPr>
        <w:t>For both financial performance goals, the range of potential bonus pool funding was scaled such that performance above target would yield a payout proportionately greater than the baseline and performance below target would yield a payout proportionately below the baseline. This approach was intended to ensure that the Company’s 2025 financial performance was a significant component of the overall bonus pool funding determination.</w:t>
      </w:r>
    </w:p>
    <w:p>
      <w:pPr>
        <w:spacing w:after="0" w:line="67" w:lineRule="exact"/>
        <w:rPr>
          <w:sz w:val="20"/>
          <w:szCs w:val="20"/>
          <w:color w:val="auto"/>
        </w:rPr>
      </w:pPr>
    </w:p>
    <w:p>
      <w:pPr>
        <w:ind w:left="540"/>
        <w:spacing w:after="0"/>
        <w:rPr>
          <w:sz w:val="20"/>
          <w:szCs w:val="20"/>
          <w:color w:val="auto"/>
        </w:rPr>
      </w:pPr>
      <w:r>
        <w:rPr>
          <w:rFonts w:ascii="Arial" w:cs="Arial" w:eastAsia="Arial" w:hAnsi="Arial"/>
          <w:sz w:val="15"/>
          <w:szCs w:val="15"/>
          <w:color w:val="auto"/>
        </w:rPr>
        <w:t>The range of potential bonus pool funding for the Company’s Incentive EBITDA goal is illustrated in the table below:</w:t>
      </w:r>
    </w:p>
    <w:p>
      <w:pPr>
        <w:spacing w:after="0" w:line="239" w:lineRule="exact"/>
        <w:rPr>
          <w:sz w:val="20"/>
          <w:szCs w:val="20"/>
          <w:color w:val="auto"/>
        </w:rPr>
      </w:pPr>
    </w:p>
    <w:tbl>
      <w:tblPr>
        <w:tblLayout w:type="fixed"/>
        <w:tblInd w:w="540" w:type="dxa"/>
        <w:tblCellMar>
          <w:top w:w="0" w:type="dxa"/>
          <w:left w:w="0" w:type="dxa"/>
          <w:bottom w:w="0" w:type="dxa"/>
          <w:right w:w="0" w:type="dxa"/>
        </w:tblCellMar>
      </w:tblPr>
      <w:tr>
        <w:trPr>
          <w:trHeight w:val="194"/>
        </w:trPr>
        <w:tc>
          <w:tcPr>
            <w:tcW w:w="6040" w:type="dxa"/>
            <w:vAlign w:val="bottom"/>
            <w:tcBorders>
              <w:bottom w:val="single" w:sz="8" w:color="002B5F"/>
            </w:tcBorders>
          </w:tcPr>
          <w:p>
            <w:pPr>
              <w:ind w:left="60"/>
              <w:spacing w:after="0"/>
              <w:rPr>
                <w:sz w:val="20"/>
                <w:szCs w:val="20"/>
                <w:color w:val="auto"/>
              </w:rPr>
            </w:pPr>
            <w:r>
              <w:rPr>
                <w:rFonts w:ascii="Arial" w:cs="Arial" w:eastAsia="Arial" w:hAnsi="Arial"/>
                <w:sz w:val="14"/>
                <w:szCs w:val="14"/>
                <w:b w:val="1"/>
                <w:bCs w:val="1"/>
                <w:color w:val="002B5F"/>
              </w:rPr>
              <w:t>Percentage of Target</w:t>
            </w:r>
          </w:p>
        </w:tc>
        <w:tc>
          <w:tcPr>
            <w:tcW w:w="1840" w:type="dxa"/>
            <w:vAlign w:val="bottom"/>
            <w:tcBorders>
              <w:bottom w:val="single" w:sz="8" w:color="002B5F"/>
            </w:tcBorders>
          </w:tcPr>
          <w:p>
            <w:pPr>
              <w:jc w:val="right"/>
              <w:spacing w:after="0"/>
              <w:rPr>
                <w:sz w:val="20"/>
                <w:szCs w:val="20"/>
                <w:color w:val="auto"/>
              </w:rPr>
            </w:pPr>
            <w:r>
              <w:rPr>
                <w:rFonts w:ascii="Arial" w:cs="Arial" w:eastAsia="Arial" w:hAnsi="Arial"/>
                <w:sz w:val="14"/>
                <w:szCs w:val="14"/>
                <w:b w:val="1"/>
                <w:bCs w:val="1"/>
                <w:color w:val="002B5F"/>
              </w:rPr>
              <w:t>Percent Payout</w:t>
            </w:r>
          </w:p>
        </w:tc>
      </w:tr>
      <w:tr>
        <w:trPr>
          <w:trHeight w:val="274"/>
        </w:trPr>
        <w:tc>
          <w:tcPr>
            <w:tcW w:w="6040" w:type="dxa"/>
            <w:vAlign w:val="bottom"/>
            <w:tcBorders>
              <w:bottom w:val="single" w:sz="8" w:color="F7F1EC"/>
            </w:tcBorders>
            <w:shd w:val="clear" w:color="auto" w:fill="F7F1EC"/>
          </w:tcPr>
          <w:p>
            <w:pPr>
              <w:ind w:left="60"/>
              <w:spacing w:after="0"/>
              <w:rPr>
                <w:sz w:val="20"/>
                <w:szCs w:val="20"/>
                <w:color w:val="auto"/>
              </w:rPr>
            </w:pPr>
            <w:r>
              <w:rPr>
                <w:rFonts w:ascii="Arial" w:cs="Arial" w:eastAsia="Arial" w:hAnsi="Arial"/>
                <w:sz w:val="15"/>
                <w:szCs w:val="15"/>
                <w:color w:val="auto"/>
              </w:rPr>
              <w:t>120%</w:t>
            </w:r>
          </w:p>
        </w:tc>
        <w:tc>
          <w:tcPr>
            <w:tcW w:w="1840" w:type="dxa"/>
            <w:vAlign w:val="bottom"/>
            <w:tcBorders>
              <w:bottom w:val="single" w:sz="8" w:color="F7F1EC"/>
            </w:tcBorders>
            <w:shd w:val="clear" w:color="auto" w:fill="F7F1EC"/>
          </w:tcPr>
          <w:p>
            <w:pPr>
              <w:jc w:val="right"/>
              <w:ind w:right="86"/>
              <w:spacing w:after="0"/>
              <w:rPr>
                <w:sz w:val="20"/>
                <w:szCs w:val="20"/>
                <w:color w:val="auto"/>
              </w:rPr>
            </w:pPr>
            <w:r>
              <w:rPr>
                <w:rFonts w:ascii="Arial" w:cs="Arial" w:eastAsia="Arial" w:hAnsi="Arial"/>
                <w:sz w:val="15"/>
                <w:szCs w:val="15"/>
                <w:color w:val="auto"/>
              </w:rPr>
              <w:t>150%</w:t>
            </w:r>
          </w:p>
        </w:tc>
      </w:tr>
      <w:tr>
        <w:trPr>
          <w:trHeight w:val="265"/>
        </w:trPr>
        <w:tc>
          <w:tcPr>
            <w:tcW w:w="6040" w:type="dxa"/>
            <w:vAlign w:val="bottom"/>
          </w:tcPr>
          <w:p>
            <w:pPr>
              <w:ind w:left="60"/>
              <w:spacing w:after="0"/>
              <w:rPr>
                <w:sz w:val="20"/>
                <w:szCs w:val="20"/>
                <w:color w:val="auto"/>
              </w:rPr>
            </w:pPr>
            <w:r>
              <w:rPr>
                <w:rFonts w:ascii="Arial" w:cs="Arial" w:eastAsia="Arial" w:hAnsi="Arial"/>
                <w:sz w:val="15"/>
                <w:szCs w:val="15"/>
                <w:color w:val="auto"/>
              </w:rPr>
              <w:t>100%</w:t>
            </w:r>
          </w:p>
        </w:tc>
        <w:tc>
          <w:tcPr>
            <w:tcW w:w="1840" w:type="dxa"/>
            <w:vAlign w:val="bottom"/>
          </w:tcPr>
          <w:p>
            <w:pPr>
              <w:jc w:val="right"/>
              <w:ind w:right="86"/>
              <w:spacing w:after="0"/>
              <w:rPr>
                <w:sz w:val="20"/>
                <w:szCs w:val="20"/>
                <w:color w:val="auto"/>
              </w:rPr>
            </w:pPr>
            <w:r>
              <w:rPr>
                <w:rFonts w:ascii="Arial" w:cs="Arial" w:eastAsia="Arial" w:hAnsi="Arial"/>
                <w:sz w:val="15"/>
                <w:szCs w:val="15"/>
                <w:color w:val="auto"/>
              </w:rPr>
              <w:t>100%</w:t>
            </w:r>
          </w:p>
        </w:tc>
      </w:tr>
      <w:tr>
        <w:trPr>
          <w:trHeight w:val="41"/>
        </w:trPr>
        <w:tc>
          <w:tcPr>
            <w:tcW w:w="6040" w:type="dxa"/>
            <w:vAlign w:val="bottom"/>
          </w:tcPr>
          <w:p>
            <w:pPr>
              <w:spacing w:after="0"/>
              <w:rPr>
                <w:sz w:val="3"/>
                <w:szCs w:val="3"/>
                <w:color w:val="auto"/>
              </w:rPr>
            </w:pPr>
          </w:p>
        </w:tc>
        <w:tc>
          <w:tcPr>
            <w:tcW w:w="1840" w:type="dxa"/>
            <w:vAlign w:val="bottom"/>
          </w:tcPr>
          <w:p>
            <w:pPr>
              <w:spacing w:after="0"/>
              <w:rPr>
                <w:sz w:val="3"/>
                <w:szCs w:val="3"/>
                <w:color w:val="auto"/>
              </w:rPr>
            </w:pPr>
          </w:p>
        </w:tc>
      </w:tr>
      <w:tr>
        <w:trPr>
          <w:trHeight w:val="265"/>
        </w:trPr>
        <w:tc>
          <w:tcPr>
            <w:tcW w:w="6040" w:type="dxa"/>
            <w:vAlign w:val="bottom"/>
            <w:shd w:val="clear" w:color="auto" w:fill="F7F1EC"/>
          </w:tcPr>
          <w:p>
            <w:pPr>
              <w:ind w:left="60"/>
              <w:spacing w:after="0"/>
              <w:rPr>
                <w:sz w:val="20"/>
                <w:szCs w:val="20"/>
                <w:color w:val="auto"/>
              </w:rPr>
            </w:pPr>
            <w:r>
              <w:rPr>
                <w:rFonts w:ascii="Arial" w:cs="Arial" w:eastAsia="Arial" w:hAnsi="Arial"/>
                <w:sz w:val="15"/>
                <w:szCs w:val="15"/>
                <w:color w:val="auto"/>
              </w:rPr>
              <w:t>80%</w:t>
            </w:r>
          </w:p>
        </w:tc>
        <w:tc>
          <w:tcPr>
            <w:tcW w:w="1840" w:type="dxa"/>
            <w:vAlign w:val="bottom"/>
            <w:shd w:val="clear" w:color="auto" w:fill="F7F1EC"/>
          </w:tcPr>
          <w:p>
            <w:pPr>
              <w:jc w:val="right"/>
              <w:ind w:right="86"/>
              <w:spacing w:after="0"/>
              <w:rPr>
                <w:sz w:val="20"/>
                <w:szCs w:val="20"/>
                <w:color w:val="auto"/>
              </w:rPr>
            </w:pPr>
            <w:r>
              <w:rPr>
                <w:rFonts w:ascii="Arial" w:cs="Arial" w:eastAsia="Arial" w:hAnsi="Arial"/>
                <w:sz w:val="15"/>
                <w:szCs w:val="15"/>
                <w:color w:val="auto"/>
              </w:rPr>
              <w:t>50%</w:t>
            </w:r>
          </w:p>
        </w:tc>
      </w:tr>
      <w:tr>
        <w:trPr>
          <w:trHeight w:val="41"/>
        </w:trPr>
        <w:tc>
          <w:tcPr>
            <w:tcW w:w="6040" w:type="dxa"/>
            <w:vAlign w:val="bottom"/>
            <w:shd w:val="clear" w:color="auto" w:fill="F7F1EC"/>
          </w:tcPr>
          <w:p>
            <w:pPr>
              <w:spacing w:after="0"/>
              <w:rPr>
                <w:sz w:val="3"/>
                <w:szCs w:val="3"/>
                <w:color w:val="auto"/>
              </w:rPr>
            </w:pPr>
          </w:p>
        </w:tc>
        <w:tc>
          <w:tcPr>
            <w:tcW w:w="1840" w:type="dxa"/>
            <w:vAlign w:val="bottom"/>
            <w:shd w:val="clear" w:color="auto" w:fill="F7F1EC"/>
          </w:tcPr>
          <w:p>
            <w:pPr>
              <w:spacing w:after="0"/>
              <w:rPr>
                <w:sz w:val="3"/>
                <w:szCs w:val="3"/>
                <w:color w:val="auto"/>
              </w:rPr>
            </w:pPr>
          </w:p>
        </w:tc>
      </w:tr>
    </w:tbl>
    <w:p>
      <w:pPr>
        <w:spacing w:after="0" w:line="90" w:lineRule="exact"/>
        <w:rPr>
          <w:sz w:val="20"/>
          <w:szCs w:val="20"/>
          <w:color w:val="auto"/>
        </w:rPr>
      </w:pPr>
    </w:p>
    <w:p>
      <w:pPr>
        <w:ind w:left="540" w:right="400"/>
        <w:spacing w:after="0" w:line="261" w:lineRule="auto"/>
        <w:rPr>
          <w:sz w:val="20"/>
          <w:szCs w:val="20"/>
          <w:color w:val="auto"/>
        </w:rPr>
      </w:pPr>
      <w:r>
        <w:rPr>
          <w:rFonts w:ascii="Arial" w:cs="Arial" w:eastAsia="Arial" w:hAnsi="Arial"/>
          <w:sz w:val="15"/>
          <w:szCs w:val="15"/>
          <w:color w:val="auto"/>
        </w:rPr>
        <w:t>The Company generated Incentive EBITDA of $2,793 million in 2025, which was 107% of the performance target of $2,620 million. Results were above the performance target due to favorable market conditions and disciplined expense management, particularly as related to reductions in our cost-to-serve. This level of achievement resulted in a funding level above target for this component of the bonus pool funding framework at a 117% payout.</w:t>
      </w:r>
    </w:p>
    <w:p>
      <w:pPr>
        <w:spacing w:after="0" w:line="66" w:lineRule="exact"/>
        <w:rPr>
          <w:sz w:val="20"/>
          <w:szCs w:val="20"/>
          <w:color w:val="auto"/>
        </w:rPr>
      </w:pPr>
    </w:p>
    <w:p>
      <w:pPr>
        <w:ind w:left="540" w:right="600"/>
        <w:spacing w:after="0" w:line="287" w:lineRule="auto"/>
        <w:rPr>
          <w:sz w:val="20"/>
          <w:szCs w:val="20"/>
          <w:color w:val="auto"/>
        </w:rPr>
      </w:pPr>
      <w:r>
        <w:rPr>
          <w:rFonts w:ascii="Arial" w:cs="Arial" w:eastAsia="Arial" w:hAnsi="Arial"/>
          <w:sz w:val="15"/>
          <w:szCs w:val="15"/>
          <w:color w:val="auto"/>
        </w:rPr>
        <w:t>In comparison, the Company generated Incentive EBITDA of $2,305 million in 2024, compared to a performance target of $2,340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right"/>
        <w:spacing w:after="0"/>
        <w:tabs>
          <w:tab w:leader="none" w:pos="200" w:val="left"/>
        </w:tabs>
        <w:rPr>
          <w:sz w:val="20"/>
          <w:szCs w:val="20"/>
          <w:color w:val="auto"/>
        </w:rPr>
      </w:pPr>
      <w:r>
        <w:rPr>
          <w:rFonts w:ascii="Arial" w:cs="Arial" w:eastAsia="Arial" w:hAnsi="Arial"/>
          <w:sz w:val="15"/>
          <w:szCs w:val="15"/>
          <w:b w:val="1"/>
          <w:bCs w:val="1"/>
          <w:color w:val="002B5F"/>
        </w:rPr>
        <w:t xml:space="preserve">2026 Proxy Statement  </w:t>
      </w:r>
      <w:r>
        <w:rPr>
          <w:rFonts w:ascii="Arial" w:cs="Arial" w:eastAsia="Arial" w:hAnsi="Arial"/>
          <w:sz w:val="20"/>
          <w:szCs w:val="20"/>
          <w:color w:val="002B5F"/>
        </w:rPr>
        <w:t>|</w:t>
      </w:r>
      <w:r>
        <w:rPr>
          <w:rFonts w:ascii="Arial" w:cs="Arial" w:eastAsia="Arial" w:hAnsi="Arial"/>
          <w:sz w:val="15"/>
          <w:szCs w:val="15"/>
          <w:b w:val="1"/>
          <w:bCs w:val="1"/>
          <w:color w:val="002B5F"/>
        </w:rPr>
        <w:t xml:space="preserve">  45</w:t>
      </w:r>
      <w:r>
        <w:rPr>
          <w:sz w:val="20"/>
          <w:szCs w:val="20"/>
          <w:color w:val="auto"/>
        </w:rPr>
        <w:tab/>
      </w:r>
      <w:r>
        <w:rPr>
          <w:rFonts w:ascii="Arial" w:cs="Arial" w:eastAsia="Arial" w:hAnsi="Arial"/>
          <w:sz w:val="17"/>
          <w:szCs w:val="17"/>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268605</wp:posOffset>
            </wp:positionH>
            <wp:positionV relativeFrom="paragraph">
              <wp:posOffset>-128905</wp:posOffset>
            </wp:positionV>
            <wp:extent cx="762000" cy="971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62000" cy="971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10" w:lineRule="exact"/>
        <w:rPr>
          <w:sz w:val="20"/>
          <w:szCs w:val="20"/>
          <w:color w:val="auto"/>
        </w:rPr>
      </w:pPr>
    </w:p>
    <w:p>
      <w:pPr>
        <w:spacing w:after="0"/>
        <w:rPr>
          <w:sz w:val="20"/>
          <w:szCs w:val="20"/>
          <w:color w:val="auto"/>
        </w:rPr>
      </w:pPr>
      <w:r>
        <w:rPr>
          <w:rFonts w:ascii="Arial" w:cs="Arial" w:eastAsia="Arial" w:hAnsi="Arial"/>
          <w:sz w:val="12"/>
          <w:szCs w:val="12"/>
          <w:color w:val="FFFFFF"/>
        </w:rPr>
        <w:t>Report of the</w:t>
      </w:r>
    </w:p>
    <w:p>
      <w:pPr>
        <w:spacing w:after="0" w:line="224" w:lineRule="auto"/>
        <w:rPr>
          <w:sz w:val="20"/>
          <w:szCs w:val="20"/>
          <w:color w:val="auto"/>
        </w:rPr>
      </w:pPr>
      <w:r>
        <w:rPr>
          <w:rFonts w:ascii="Arial" w:cs="Arial" w:eastAsia="Arial" w:hAnsi="Arial"/>
          <w:sz w:val="12"/>
          <w:szCs w:val="12"/>
          <w:color w:val="FFFFFF"/>
        </w:rPr>
        <w:t>Compensation</w:t>
      </w:r>
    </w:p>
    <w:p>
      <w:pPr>
        <w:spacing w:after="0" w:line="222" w:lineRule="auto"/>
        <w:rPr>
          <w:sz w:val="20"/>
          <w:szCs w:val="20"/>
          <w:color w:val="auto"/>
        </w:rPr>
      </w:pPr>
      <w:r>
        <w:rPr>
          <w:rFonts w:ascii="Arial" w:cs="Arial" w:eastAsia="Arial" w:hAnsi="Arial"/>
          <w:sz w:val="12"/>
          <w:szCs w:val="12"/>
          <w:color w:val="FFFFFF"/>
        </w:rPr>
        <w:t>and Human</w:t>
      </w:r>
    </w:p>
    <w:p>
      <w:pPr>
        <w:spacing w:after="0" w:line="222" w:lineRule="auto"/>
        <w:rPr>
          <w:sz w:val="20"/>
          <w:szCs w:val="20"/>
          <w:color w:val="auto"/>
        </w:rPr>
      </w:pPr>
      <w:r>
        <w:rPr>
          <w:rFonts w:ascii="Arial" w:cs="Arial" w:eastAsia="Arial" w:hAnsi="Arial"/>
          <w:sz w:val="12"/>
          <w:szCs w:val="12"/>
          <w:color w:val="FFFFFF"/>
        </w:rPr>
        <w:t>Resources</w:t>
      </w:r>
    </w:p>
    <w:p>
      <w:pPr>
        <w:spacing w:after="0" w:line="222" w:lineRule="auto"/>
        <w:rPr>
          <w:sz w:val="20"/>
          <w:szCs w:val="20"/>
          <w:color w:val="auto"/>
        </w:rPr>
      </w:pPr>
      <w:r>
        <w:rPr>
          <w:rFonts w:ascii="Arial" w:cs="Arial" w:eastAsia="Arial" w:hAnsi="Arial"/>
          <w:sz w:val="12"/>
          <w:szCs w:val="12"/>
          <w:color w:val="FFFFFF"/>
        </w:rPr>
        <w:t>Committee of the</w:t>
      </w:r>
    </w:p>
    <w:p>
      <w:pPr>
        <w:spacing w:after="0"/>
        <w:rPr>
          <w:sz w:val="20"/>
          <w:szCs w:val="20"/>
          <w:color w:val="auto"/>
        </w:rPr>
      </w:pPr>
      <w:r>
        <w:rPr>
          <w:rFonts w:ascii="Arial" w:cs="Arial" w:eastAsia="Arial" w:hAnsi="Arial"/>
          <w:sz w:val="12"/>
          <w:szCs w:val="12"/>
          <w:color w:val="FFFFFF"/>
        </w:rPr>
        <w:t>Board of Directors</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Compensation of</w:t>
      </w:r>
    </w:p>
    <w:p>
      <w:pPr>
        <w:spacing w:after="0" w:line="224" w:lineRule="auto"/>
        <w:rPr>
          <w:sz w:val="20"/>
          <w:szCs w:val="20"/>
          <w:color w:val="auto"/>
        </w:rPr>
      </w:pPr>
      <w:r>
        <w:rPr>
          <w:rFonts w:ascii="Arial" w:cs="Arial" w:eastAsia="Arial" w:hAnsi="Arial"/>
          <w:sz w:val="12"/>
          <w:szCs w:val="12"/>
          <w:color w:val="FFFFFF"/>
        </w:rPr>
        <w:t>Named Executive</w:t>
      </w:r>
    </w:p>
    <w:p>
      <w:pPr>
        <w:spacing w:after="0"/>
        <w:rPr>
          <w:sz w:val="20"/>
          <w:szCs w:val="20"/>
          <w:color w:val="auto"/>
        </w:rPr>
      </w:pPr>
      <w:r>
        <w:rPr>
          <w:rFonts w:ascii="Arial" w:cs="Arial" w:eastAsia="Arial" w:hAnsi="Arial"/>
          <w:sz w:val="12"/>
          <w:szCs w:val="12"/>
          <w:color w:val="FFFFFF"/>
        </w:rPr>
        <w:t>Officers</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Pay Versus</w:t>
      </w:r>
    </w:p>
    <w:p>
      <w:pPr>
        <w:spacing w:after="0" w:line="224" w:lineRule="auto"/>
        <w:rPr>
          <w:sz w:val="20"/>
          <w:szCs w:val="20"/>
          <w:color w:val="auto"/>
        </w:rPr>
      </w:pPr>
      <w:r>
        <w:rPr>
          <w:rFonts w:ascii="Arial" w:cs="Arial" w:eastAsia="Arial" w:hAnsi="Arial"/>
          <w:sz w:val="12"/>
          <w:szCs w:val="12"/>
          <w:color w:val="FFFFFF"/>
        </w:rPr>
        <w:t>Performance</w:t>
      </w:r>
    </w:p>
    <w:p>
      <w:pPr>
        <w:spacing w:after="0"/>
        <w:rPr>
          <w:sz w:val="20"/>
          <w:szCs w:val="20"/>
          <w:color w:val="auto"/>
        </w:rPr>
      </w:pPr>
      <w:r>
        <w:rPr>
          <w:rFonts w:ascii="Arial" w:cs="Arial" w:eastAsia="Arial" w:hAnsi="Arial"/>
          <w:sz w:val="12"/>
          <w:szCs w:val="12"/>
          <w:color w:val="FFFFFF"/>
        </w:rPr>
        <w:t>Disclosure</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Security</w:t>
      </w:r>
    </w:p>
    <w:p>
      <w:pPr>
        <w:spacing w:after="0" w:line="224" w:lineRule="auto"/>
        <w:rPr>
          <w:sz w:val="20"/>
          <w:szCs w:val="20"/>
          <w:color w:val="auto"/>
        </w:rPr>
      </w:pPr>
      <w:r>
        <w:rPr>
          <w:rFonts w:ascii="Arial" w:cs="Arial" w:eastAsia="Arial" w:hAnsi="Arial"/>
          <w:sz w:val="12"/>
          <w:szCs w:val="12"/>
          <w:color w:val="FFFFFF"/>
        </w:rPr>
        <w:t>Ownership of</w:t>
      </w:r>
    </w:p>
    <w:p>
      <w:pPr>
        <w:spacing w:after="0" w:line="222" w:lineRule="auto"/>
        <w:rPr>
          <w:sz w:val="20"/>
          <w:szCs w:val="20"/>
          <w:color w:val="auto"/>
        </w:rPr>
      </w:pPr>
      <w:r>
        <w:rPr>
          <w:rFonts w:ascii="Arial" w:cs="Arial" w:eastAsia="Arial" w:hAnsi="Arial"/>
          <w:sz w:val="12"/>
          <w:szCs w:val="12"/>
          <w:color w:val="FFFFFF"/>
        </w:rPr>
        <w:t>Certain Beneficial</w:t>
      </w:r>
    </w:p>
    <w:p>
      <w:pPr>
        <w:spacing w:after="0" w:line="222" w:lineRule="auto"/>
        <w:rPr>
          <w:sz w:val="20"/>
          <w:szCs w:val="20"/>
          <w:color w:val="auto"/>
        </w:rPr>
      </w:pPr>
      <w:r>
        <w:rPr>
          <w:rFonts w:ascii="Arial" w:cs="Arial" w:eastAsia="Arial" w:hAnsi="Arial"/>
          <w:sz w:val="12"/>
          <w:szCs w:val="12"/>
          <w:color w:val="FFFFFF"/>
        </w:rPr>
        <w:t>Owners and</w:t>
      </w:r>
    </w:p>
    <w:p>
      <w:pPr>
        <w:spacing w:after="0"/>
        <w:rPr>
          <w:sz w:val="20"/>
          <w:szCs w:val="20"/>
          <w:color w:val="auto"/>
        </w:rPr>
      </w:pPr>
      <w:r>
        <w:rPr>
          <w:rFonts w:ascii="Arial" w:cs="Arial" w:eastAsia="Arial" w:hAnsi="Arial"/>
          <w:sz w:val="12"/>
          <w:szCs w:val="12"/>
          <w:color w:val="FFFFFF"/>
        </w:rPr>
        <w:t>Management</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Certain</w:t>
      </w:r>
    </w:p>
    <w:p>
      <w:pPr>
        <w:spacing w:after="0" w:line="224" w:lineRule="auto"/>
        <w:rPr>
          <w:sz w:val="20"/>
          <w:szCs w:val="20"/>
          <w:color w:val="auto"/>
        </w:rPr>
      </w:pPr>
      <w:r>
        <w:rPr>
          <w:rFonts w:ascii="Arial" w:cs="Arial" w:eastAsia="Arial" w:hAnsi="Arial"/>
          <w:sz w:val="12"/>
          <w:szCs w:val="12"/>
          <w:color w:val="FFFFFF"/>
        </w:rPr>
        <w:t>Relationships and</w:t>
      </w:r>
    </w:p>
    <w:p>
      <w:pPr>
        <w:spacing w:after="0" w:line="222" w:lineRule="auto"/>
        <w:rPr>
          <w:sz w:val="20"/>
          <w:szCs w:val="20"/>
          <w:color w:val="auto"/>
        </w:rPr>
      </w:pPr>
      <w:r>
        <w:rPr>
          <w:rFonts w:ascii="Arial" w:cs="Arial" w:eastAsia="Arial" w:hAnsi="Arial"/>
          <w:sz w:val="12"/>
          <w:szCs w:val="12"/>
          <w:color w:val="FFFFFF"/>
        </w:rPr>
        <w:t>Related Party</w:t>
      </w:r>
    </w:p>
    <w:p>
      <w:pPr>
        <w:spacing w:after="0"/>
        <w:rPr>
          <w:sz w:val="20"/>
          <w:szCs w:val="20"/>
          <w:color w:val="auto"/>
        </w:rPr>
      </w:pPr>
      <w:r>
        <w:rPr>
          <w:rFonts w:ascii="Arial" w:cs="Arial" w:eastAsia="Arial" w:hAnsi="Arial"/>
          <w:sz w:val="12"/>
          <w:szCs w:val="12"/>
          <w:color w:val="FFFFFF"/>
        </w:rPr>
        <w:t>Transactions</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Proposal 2</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FFFFFF"/>
        </w:rPr>
        <w:t>Report of the</w:t>
      </w:r>
    </w:p>
    <w:p>
      <w:pPr>
        <w:spacing w:after="0" w:line="224" w:lineRule="auto"/>
        <w:rPr>
          <w:sz w:val="20"/>
          <w:szCs w:val="20"/>
          <w:color w:val="auto"/>
        </w:rPr>
      </w:pPr>
      <w:r>
        <w:rPr>
          <w:rFonts w:ascii="Arial" w:cs="Arial" w:eastAsia="Arial" w:hAnsi="Arial"/>
          <w:sz w:val="12"/>
          <w:szCs w:val="12"/>
          <w:color w:val="FFFFFF"/>
        </w:rPr>
        <w:t>Audit and Risk</w:t>
      </w:r>
    </w:p>
    <w:p>
      <w:pPr>
        <w:spacing w:after="0" w:line="222" w:lineRule="auto"/>
        <w:rPr>
          <w:sz w:val="20"/>
          <w:szCs w:val="20"/>
          <w:color w:val="auto"/>
        </w:rPr>
      </w:pPr>
      <w:r>
        <w:rPr>
          <w:rFonts w:ascii="Arial" w:cs="Arial" w:eastAsia="Arial" w:hAnsi="Arial"/>
          <w:sz w:val="12"/>
          <w:szCs w:val="12"/>
          <w:color w:val="FFFFFF"/>
        </w:rPr>
        <w:t>Committee of the</w:t>
      </w:r>
    </w:p>
    <w:p>
      <w:pPr>
        <w:spacing w:after="0"/>
        <w:rPr>
          <w:sz w:val="20"/>
          <w:szCs w:val="20"/>
          <w:color w:val="auto"/>
        </w:rPr>
      </w:pPr>
      <w:r>
        <w:rPr>
          <w:rFonts w:ascii="Arial" w:cs="Arial" w:eastAsia="Arial" w:hAnsi="Arial"/>
          <w:sz w:val="12"/>
          <w:szCs w:val="12"/>
          <w:color w:val="FFFFFF"/>
        </w:rPr>
        <w:t>Board of Directors</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Proposal 3</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FFFFFF"/>
        </w:rPr>
        <w:t>Proposal 4</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FFFFFF"/>
        </w:rPr>
        <w:t>Proposal 5</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FFFFFF"/>
        </w:rPr>
        <w:t>Proposal 6</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FFFFFF"/>
        </w:rPr>
        <w:t>Stockholder</w:t>
      </w:r>
    </w:p>
    <w:p>
      <w:pPr>
        <w:spacing w:after="0" w:line="224" w:lineRule="auto"/>
        <w:rPr>
          <w:sz w:val="20"/>
          <w:szCs w:val="20"/>
          <w:color w:val="auto"/>
        </w:rPr>
      </w:pPr>
      <w:r>
        <w:rPr>
          <w:rFonts w:ascii="Arial" w:cs="Arial" w:eastAsia="Arial" w:hAnsi="Arial"/>
          <w:sz w:val="12"/>
          <w:szCs w:val="12"/>
          <w:color w:val="FFFFFF"/>
        </w:rPr>
        <w:t>Proposals and</w:t>
      </w:r>
    </w:p>
    <w:p>
      <w:pPr>
        <w:spacing w:after="0"/>
        <w:rPr>
          <w:sz w:val="20"/>
          <w:szCs w:val="20"/>
          <w:color w:val="auto"/>
        </w:rPr>
      </w:pPr>
      <w:r>
        <w:rPr>
          <w:rFonts w:ascii="Arial" w:cs="Arial" w:eastAsia="Arial" w:hAnsi="Arial"/>
          <w:sz w:val="12"/>
          <w:szCs w:val="12"/>
          <w:color w:val="FFFFFF"/>
        </w:rPr>
        <w:t>Other Matters</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Delinquent</w:t>
      </w:r>
    </w:p>
    <w:p>
      <w:pPr>
        <w:spacing w:after="0" w:line="224" w:lineRule="auto"/>
        <w:rPr>
          <w:sz w:val="20"/>
          <w:szCs w:val="20"/>
          <w:color w:val="auto"/>
        </w:rPr>
      </w:pPr>
      <w:r>
        <w:rPr>
          <w:rFonts w:ascii="Arial" w:cs="Arial" w:eastAsia="Arial" w:hAnsi="Arial"/>
          <w:sz w:val="12"/>
          <w:szCs w:val="12"/>
          <w:color w:val="FFFFFF"/>
        </w:rPr>
        <w:t>Section 16(a)</w:t>
      </w:r>
    </w:p>
    <w:p>
      <w:pPr>
        <w:spacing w:after="0"/>
        <w:rPr>
          <w:sz w:val="20"/>
          <w:szCs w:val="20"/>
          <w:color w:val="auto"/>
        </w:rPr>
      </w:pPr>
      <w:r>
        <w:rPr>
          <w:rFonts w:ascii="Arial" w:cs="Arial" w:eastAsia="Arial" w:hAnsi="Arial"/>
          <w:sz w:val="12"/>
          <w:szCs w:val="12"/>
          <w:color w:val="FFFFFF"/>
        </w:rPr>
        <w:t>Reports</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Other</w:t>
      </w:r>
    </w:p>
    <w:p>
      <w:pPr>
        <w:spacing w:after="0" w:line="2" w:lineRule="exact"/>
        <w:rPr>
          <w:sz w:val="20"/>
          <w:szCs w:val="20"/>
          <w:color w:val="auto"/>
        </w:rPr>
      </w:pPr>
    </w:p>
    <w:p>
      <w:pPr>
        <w:spacing w:after="0"/>
        <w:rPr>
          <w:sz w:val="20"/>
          <w:szCs w:val="20"/>
          <w:color w:val="auto"/>
        </w:rPr>
      </w:pPr>
      <w:r>
        <w:rPr>
          <w:rFonts w:ascii="Arial" w:cs="Arial" w:eastAsia="Arial" w:hAnsi="Arial"/>
          <w:sz w:val="12"/>
          <w:szCs w:val="12"/>
          <w:color w:val="FFFFFF"/>
        </w:rPr>
        <w:t>Information</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Appendix A</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FFFFFF"/>
        </w:rPr>
        <w:t>Appendix 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right"/>
        <w:ind w:right="100"/>
        <w:spacing w:after="0"/>
        <w:rPr>
          <w:sz w:val="20"/>
          <w:szCs w:val="20"/>
          <w:color w:val="auto"/>
        </w:rPr>
      </w:pPr>
      <w:r>
        <w:rPr>
          <w:rFonts w:ascii="Arial" w:cs="Arial" w:eastAsia="Arial" w:hAnsi="Arial"/>
          <w:sz w:val="17"/>
          <w:szCs w:val="17"/>
          <w:color w:val="auto"/>
        </w:rPr>
        <w:t xml:space="preserve">             </w:t>
      </w:r>
    </w:p>
    <w:p>
      <w:pPr>
        <w:sectPr>
          <w:pgSz w:w="11900" w:h="16838" w:orient="portrait"/>
          <w:cols w:equalWidth="0" w:num="2">
            <w:col w:w="8740" w:space="480"/>
            <w:col w:w="1580"/>
          </w:cols>
          <w:pgMar w:left="320" w:top="464" w:right="779" w:bottom="1440" w:gutter="0" w:footer="0" w:header="0"/>
          <w:type w:val="continuous"/>
        </w:sectPr>
      </w:pPr>
    </w:p>
    <w:bookmarkStart w:id="53" w:name="page54"/>
    <w:bookmarkEnd w:id="53"/>
    <w:p>
      <w:pPr>
        <w:spacing w:after="0"/>
        <w:rPr>
          <w:sz w:val="20"/>
          <w:szCs w:val="20"/>
          <w:color w:val="auto"/>
        </w:rPr>
      </w:pPr>
      <w:r>
        <w:rPr>
          <w:rFonts w:ascii="Times New Roman" w:cs="Times New Roman" w:eastAsia="Times New Roman" w:hAnsi="Times New Roman"/>
          <w:sz w:val="17"/>
          <w:szCs w:val="17"/>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268605</wp:posOffset>
            </wp:positionH>
            <wp:positionV relativeFrom="paragraph">
              <wp:posOffset>253365</wp:posOffset>
            </wp:positionV>
            <wp:extent cx="1183005" cy="745617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183005" cy="7456170"/>
                    </a:xfrm>
                    <a:prstGeom prst="rect">
                      <a:avLst/>
                    </a:prstGeom>
                    <a:noFill/>
                  </pic:spPr>
                </pic:pic>
              </a:graphicData>
            </a:graphic>
          </wp:anchor>
        </w:drawing>
      </w:r>
    </w:p>
    <w:p>
      <w:pPr>
        <w:spacing w:after="0" w:line="200" w:lineRule="exact"/>
        <w:rPr>
          <w:sz w:val="20"/>
          <w:szCs w:val="20"/>
          <w:color w:val="auto"/>
        </w:rPr>
      </w:pPr>
    </w:p>
    <w:p>
      <w:pPr>
        <w:spacing w:after="0" w:line="304" w:lineRule="exact"/>
        <w:rPr>
          <w:sz w:val="20"/>
          <w:szCs w:val="20"/>
          <w:color w:val="auto"/>
        </w:rPr>
      </w:pPr>
    </w:p>
    <w:p>
      <w:pPr>
        <w:ind w:left="1120" w:right="460" w:hanging="672"/>
        <w:spacing w:after="0" w:line="382" w:lineRule="auto"/>
        <w:tabs>
          <w:tab w:leader="none" w:pos="610" w:val="left"/>
        </w:tabs>
        <w:numPr>
          <w:ilvl w:val="0"/>
          <w:numId w:val="73"/>
        </w:numPr>
        <w:rPr>
          <w:rFonts w:ascii="Arial" w:cs="Arial" w:eastAsia="Arial" w:hAnsi="Arial"/>
          <w:sz w:val="24"/>
          <w:szCs w:val="24"/>
          <w:color w:val="auto"/>
          <w:vertAlign w:val="subscript"/>
        </w:rPr>
      </w:pPr>
      <w:r>
        <w:rPr>
          <w:rFonts w:ascii="Arial" w:cs="Arial" w:eastAsia="Arial" w:hAnsi="Arial"/>
          <w:sz w:val="24"/>
          <w:szCs w:val="24"/>
          <w:color w:val="000000"/>
          <w:vertAlign w:val="subscript"/>
        </w:rPr>
        <w:t xml:space="preserve">     </w:t>
      </w:r>
      <w:r>
        <w:rPr>
          <w:rFonts w:ascii="Arial" w:cs="Arial" w:eastAsia="Arial" w:hAnsi="Arial"/>
          <w:sz w:val="10"/>
          <w:szCs w:val="10"/>
          <w:color w:val="FFFFFF"/>
        </w:rPr>
        <w:t xml:space="preserve"> General Information</w:t>
      </w:r>
    </w:p>
    <w:p>
      <w:pPr>
        <w:spacing w:after="0" w:line="1" w:lineRule="exact"/>
        <w:rPr>
          <w:sz w:val="20"/>
          <w:szCs w:val="20"/>
          <w:color w:val="auto"/>
        </w:rPr>
      </w:pPr>
    </w:p>
    <w:p>
      <w:pPr>
        <w:ind w:left="1120"/>
        <w:spacing w:after="0"/>
        <w:rPr>
          <w:sz w:val="20"/>
          <w:szCs w:val="20"/>
          <w:color w:val="auto"/>
        </w:rPr>
      </w:pPr>
      <w:r>
        <w:rPr>
          <w:rFonts w:ascii="Arial" w:cs="Arial" w:eastAsia="Arial" w:hAnsi="Arial"/>
          <w:sz w:val="11"/>
          <w:szCs w:val="11"/>
          <w:color w:val="FFFFFF"/>
        </w:rPr>
        <w:t>General Information</w:t>
      </w:r>
    </w:p>
    <w:p>
      <w:pPr>
        <w:spacing w:after="0" w:line="3"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About Corporate</w:t>
      </w:r>
    </w:p>
    <w:p>
      <w:pPr>
        <w:ind w:left="1120"/>
        <w:spacing w:after="0" w:line="221" w:lineRule="auto"/>
        <w:rPr>
          <w:sz w:val="20"/>
          <w:szCs w:val="20"/>
          <w:color w:val="auto"/>
        </w:rPr>
      </w:pPr>
      <w:r>
        <w:rPr>
          <w:rFonts w:ascii="Arial" w:cs="Arial" w:eastAsia="Arial" w:hAnsi="Arial"/>
          <w:sz w:val="12"/>
          <w:szCs w:val="12"/>
          <w:color w:val="FFFFFF"/>
        </w:rPr>
        <w:t>Governance</w:t>
      </w:r>
    </w:p>
    <w:p>
      <w:pPr>
        <w:ind w:left="1120"/>
        <w:spacing w:after="0" w:line="222" w:lineRule="auto"/>
        <w:rPr>
          <w:sz w:val="20"/>
          <w:szCs w:val="20"/>
          <w:color w:val="auto"/>
        </w:rPr>
      </w:pPr>
      <w:r>
        <w:rPr>
          <w:rFonts w:ascii="Arial" w:cs="Arial" w:eastAsia="Arial" w:hAnsi="Arial"/>
          <w:sz w:val="12"/>
          <w:szCs w:val="12"/>
          <w:color w:val="FFFFFF"/>
        </w:rPr>
        <w:t>and the Board of</w:t>
      </w:r>
    </w:p>
    <w:p>
      <w:pPr>
        <w:spacing w:after="0" w:line="1"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Directors</w:t>
      </w:r>
    </w:p>
    <w:p>
      <w:pPr>
        <w:spacing w:after="0" w:line="144" w:lineRule="exact"/>
        <w:rPr>
          <w:sz w:val="20"/>
          <w:szCs w:val="20"/>
          <w:color w:val="auto"/>
        </w:rPr>
      </w:pPr>
    </w:p>
    <w:p>
      <w:pPr>
        <w:jc w:val="center"/>
        <w:ind w:left="620"/>
        <w:spacing w:after="0"/>
        <w:rPr>
          <w:sz w:val="20"/>
          <w:szCs w:val="20"/>
          <w:color w:val="auto"/>
        </w:rPr>
      </w:pPr>
      <w:r>
        <w:rPr>
          <w:rFonts w:ascii="Arial" w:cs="Arial" w:eastAsia="Arial" w:hAnsi="Arial"/>
          <w:sz w:val="12"/>
          <w:szCs w:val="12"/>
          <w:color w:val="FFFFFF"/>
        </w:rPr>
        <w:t>Proposal 1</w:t>
      </w:r>
    </w:p>
    <w:p>
      <w:pPr>
        <w:spacing w:after="0" w:line="156"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Information</w:t>
      </w:r>
    </w:p>
    <w:p>
      <w:pPr>
        <w:ind w:left="1120"/>
        <w:spacing w:after="0" w:line="224" w:lineRule="auto"/>
        <w:rPr>
          <w:sz w:val="20"/>
          <w:szCs w:val="20"/>
          <w:color w:val="auto"/>
        </w:rPr>
      </w:pPr>
      <w:r>
        <w:rPr>
          <w:rFonts w:ascii="Arial" w:cs="Arial" w:eastAsia="Arial" w:hAnsi="Arial"/>
          <w:sz w:val="12"/>
          <w:szCs w:val="12"/>
          <w:color w:val="FFFFFF"/>
        </w:rPr>
        <w:t>Regarding Board</w:t>
      </w:r>
    </w:p>
    <w:p>
      <w:pPr>
        <w:ind w:left="1120"/>
        <w:spacing w:after="0" w:line="222" w:lineRule="auto"/>
        <w:rPr>
          <w:sz w:val="20"/>
          <w:szCs w:val="20"/>
          <w:color w:val="auto"/>
        </w:rPr>
      </w:pPr>
      <w:r>
        <w:rPr>
          <w:rFonts w:ascii="Arial" w:cs="Arial" w:eastAsia="Arial" w:hAnsi="Arial"/>
          <w:sz w:val="12"/>
          <w:szCs w:val="12"/>
          <w:color w:val="FFFFFF"/>
        </w:rPr>
        <w:t>and Committee</w:t>
      </w:r>
    </w:p>
    <w:p>
      <w:pPr>
        <w:ind w:left="1120"/>
        <w:spacing w:after="0"/>
        <w:rPr>
          <w:sz w:val="20"/>
          <w:szCs w:val="20"/>
          <w:color w:val="auto"/>
        </w:rPr>
      </w:pPr>
      <w:r>
        <w:rPr>
          <w:rFonts w:ascii="Arial" w:cs="Arial" w:eastAsia="Arial" w:hAnsi="Arial"/>
          <w:sz w:val="12"/>
          <w:szCs w:val="12"/>
          <w:color w:val="FFFFFF"/>
        </w:rPr>
        <w:t>Structure</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Board of Directors</w:t>
      </w:r>
    </w:p>
    <w:p>
      <w:pPr>
        <w:spacing w:after="0" w:line="2"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Compensation</w:t>
      </w:r>
    </w:p>
    <w:p>
      <w:pPr>
        <w:spacing w:after="0" w:line="144" w:lineRule="exact"/>
        <w:rPr>
          <w:sz w:val="20"/>
          <w:szCs w:val="20"/>
          <w:color w:val="auto"/>
        </w:rPr>
      </w:pPr>
    </w:p>
    <w:p>
      <w:pPr>
        <w:ind w:left="1120" w:right="160"/>
        <w:spacing w:after="0" w:line="244" w:lineRule="auto"/>
        <w:rPr>
          <w:sz w:val="20"/>
          <w:szCs w:val="20"/>
          <w:color w:val="auto"/>
        </w:rPr>
      </w:pPr>
      <w:r>
        <w:rPr>
          <w:rFonts w:ascii="Arial" w:cs="Arial" w:eastAsia="Arial" w:hAnsi="Arial"/>
          <w:sz w:val="12"/>
          <w:szCs w:val="12"/>
          <w:b w:val="1"/>
          <w:bCs w:val="1"/>
          <w:color w:val="FFFFFF"/>
        </w:rPr>
        <w:t>Compensation Discussion and Analysis</w:t>
      </w:r>
    </w:p>
    <w:p>
      <w:pPr>
        <w:spacing w:after="0" w:line="128"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Report of the</w:t>
      </w:r>
    </w:p>
    <w:p>
      <w:pPr>
        <w:ind w:left="1120"/>
        <w:spacing w:after="0" w:line="224" w:lineRule="auto"/>
        <w:rPr>
          <w:sz w:val="20"/>
          <w:szCs w:val="20"/>
          <w:color w:val="auto"/>
        </w:rPr>
      </w:pPr>
      <w:r>
        <w:rPr>
          <w:rFonts w:ascii="Arial" w:cs="Arial" w:eastAsia="Arial" w:hAnsi="Arial"/>
          <w:sz w:val="12"/>
          <w:szCs w:val="12"/>
          <w:color w:val="FFFFFF"/>
        </w:rPr>
        <w:t>Compensation</w:t>
      </w:r>
    </w:p>
    <w:p>
      <w:pPr>
        <w:ind w:left="1120"/>
        <w:spacing w:after="0" w:line="222" w:lineRule="auto"/>
        <w:rPr>
          <w:sz w:val="20"/>
          <w:szCs w:val="20"/>
          <w:color w:val="auto"/>
        </w:rPr>
      </w:pPr>
      <w:r>
        <w:rPr>
          <w:rFonts w:ascii="Arial" w:cs="Arial" w:eastAsia="Arial" w:hAnsi="Arial"/>
          <w:sz w:val="12"/>
          <w:szCs w:val="12"/>
          <w:color w:val="FFFFFF"/>
        </w:rPr>
        <w:t>and Human</w:t>
      </w:r>
    </w:p>
    <w:p>
      <w:pPr>
        <w:ind w:left="1120"/>
        <w:spacing w:after="0" w:line="222" w:lineRule="auto"/>
        <w:rPr>
          <w:sz w:val="20"/>
          <w:szCs w:val="20"/>
          <w:color w:val="auto"/>
        </w:rPr>
      </w:pPr>
      <w:r>
        <w:rPr>
          <w:rFonts w:ascii="Arial" w:cs="Arial" w:eastAsia="Arial" w:hAnsi="Arial"/>
          <w:sz w:val="12"/>
          <w:szCs w:val="12"/>
          <w:color w:val="FFFFFF"/>
        </w:rPr>
        <w:t>Resources</w:t>
      </w:r>
    </w:p>
    <w:p>
      <w:pPr>
        <w:ind w:left="1120"/>
        <w:spacing w:after="0" w:line="222" w:lineRule="auto"/>
        <w:rPr>
          <w:sz w:val="20"/>
          <w:szCs w:val="20"/>
          <w:color w:val="auto"/>
        </w:rPr>
      </w:pPr>
      <w:r>
        <w:rPr>
          <w:rFonts w:ascii="Arial" w:cs="Arial" w:eastAsia="Arial" w:hAnsi="Arial"/>
          <w:sz w:val="12"/>
          <w:szCs w:val="12"/>
          <w:color w:val="FFFFFF"/>
        </w:rPr>
        <w:t>Committee of the</w:t>
      </w:r>
    </w:p>
    <w:p>
      <w:pPr>
        <w:ind w:left="1120"/>
        <w:spacing w:after="0"/>
        <w:rPr>
          <w:sz w:val="20"/>
          <w:szCs w:val="20"/>
          <w:color w:val="auto"/>
        </w:rPr>
      </w:pPr>
      <w:r>
        <w:rPr>
          <w:rFonts w:ascii="Arial" w:cs="Arial" w:eastAsia="Arial" w:hAnsi="Arial"/>
          <w:sz w:val="12"/>
          <w:szCs w:val="12"/>
          <w:color w:val="FFFFFF"/>
        </w:rPr>
        <w:t>Board of Directors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Compensation of</w:t>
      </w:r>
    </w:p>
    <w:p>
      <w:pPr>
        <w:ind w:left="1120"/>
        <w:spacing w:after="0" w:line="224" w:lineRule="auto"/>
        <w:rPr>
          <w:sz w:val="20"/>
          <w:szCs w:val="20"/>
          <w:color w:val="auto"/>
        </w:rPr>
      </w:pPr>
      <w:r>
        <w:rPr>
          <w:rFonts w:ascii="Arial" w:cs="Arial" w:eastAsia="Arial" w:hAnsi="Arial"/>
          <w:sz w:val="12"/>
          <w:szCs w:val="12"/>
          <w:color w:val="FFFFFF"/>
        </w:rPr>
        <w:t>Named Executive</w:t>
      </w:r>
    </w:p>
    <w:p>
      <w:pPr>
        <w:ind w:left="1120"/>
        <w:spacing w:after="0"/>
        <w:rPr>
          <w:sz w:val="20"/>
          <w:szCs w:val="20"/>
          <w:color w:val="auto"/>
        </w:rPr>
      </w:pPr>
      <w:r>
        <w:rPr>
          <w:rFonts w:ascii="Arial" w:cs="Arial" w:eastAsia="Arial" w:hAnsi="Arial"/>
          <w:sz w:val="12"/>
          <w:szCs w:val="12"/>
          <w:color w:val="FFFFFF"/>
        </w:rPr>
        <w:t>Officers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Pay Versus</w:t>
      </w:r>
    </w:p>
    <w:p>
      <w:pPr>
        <w:ind w:left="1120"/>
        <w:spacing w:after="0" w:line="224" w:lineRule="auto"/>
        <w:rPr>
          <w:sz w:val="20"/>
          <w:szCs w:val="20"/>
          <w:color w:val="auto"/>
        </w:rPr>
      </w:pPr>
      <w:r>
        <w:rPr>
          <w:rFonts w:ascii="Arial" w:cs="Arial" w:eastAsia="Arial" w:hAnsi="Arial"/>
          <w:sz w:val="12"/>
          <w:szCs w:val="12"/>
          <w:color w:val="FFFFFF"/>
        </w:rPr>
        <w:t>Performance</w:t>
      </w:r>
    </w:p>
    <w:p>
      <w:pPr>
        <w:ind w:left="1120"/>
        <w:spacing w:after="0"/>
        <w:rPr>
          <w:sz w:val="20"/>
          <w:szCs w:val="20"/>
          <w:color w:val="auto"/>
        </w:rPr>
      </w:pPr>
      <w:r>
        <w:rPr>
          <w:rFonts w:ascii="Arial" w:cs="Arial" w:eastAsia="Arial" w:hAnsi="Arial"/>
          <w:sz w:val="12"/>
          <w:szCs w:val="12"/>
          <w:color w:val="FFFFFF"/>
        </w:rPr>
        <w:t>Disclosure</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Security</w:t>
      </w:r>
    </w:p>
    <w:p>
      <w:pPr>
        <w:ind w:left="1120"/>
        <w:spacing w:after="0" w:line="224" w:lineRule="auto"/>
        <w:rPr>
          <w:sz w:val="20"/>
          <w:szCs w:val="20"/>
          <w:color w:val="auto"/>
        </w:rPr>
      </w:pPr>
      <w:r>
        <w:rPr>
          <w:rFonts w:ascii="Arial" w:cs="Arial" w:eastAsia="Arial" w:hAnsi="Arial"/>
          <w:sz w:val="12"/>
          <w:szCs w:val="12"/>
          <w:color w:val="FFFFFF"/>
        </w:rPr>
        <w:t>Ownership of</w:t>
      </w:r>
    </w:p>
    <w:p>
      <w:pPr>
        <w:ind w:left="1120"/>
        <w:spacing w:after="0" w:line="222" w:lineRule="auto"/>
        <w:rPr>
          <w:sz w:val="20"/>
          <w:szCs w:val="20"/>
          <w:color w:val="auto"/>
        </w:rPr>
      </w:pPr>
      <w:r>
        <w:rPr>
          <w:rFonts w:ascii="Arial" w:cs="Arial" w:eastAsia="Arial" w:hAnsi="Arial"/>
          <w:sz w:val="12"/>
          <w:szCs w:val="12"/>
          <w:color w:val="FFFFFF"/>
        </w:rPr>
        <w:t>Certain Beneficial</w:t>
      </w:r>
    </w:p>
    <w:p>
      <w:pPr>
        <w:ind w:left="1120"/>
        <w:spacing w:after="0" w:line="222" w:lineRule="auto"/>
        <w:rPr>
          <w:sz w:val="20"/>
          <w:szCs w:val="20"/>
          <w:color w:val="auto"/>
        </w:rPr>
      </w:pPr>
      <w:r>
        <w:rPr>
          <w:rFonts w:ascii="Arial" w:cs="Arial" w:eastAsia="Arial" w:hAnsi="Arial"/>
          <w:sz w:val="12"/>
          <w:szCs w:val="12"/>
          <w:color w:val="FFFFFF"/>
        </w:rPr>
        <w:t>Owners and</w:t>
      </w:r>
    </w:p>
    <w:p>
      <w:pPr>
        <w:ind w:left="1120"/>
        <w:spacing w:after="0"/>
        <w:rPr>
          <w:sz w:val="20"/>
          <w:szCs w:val="20"/>
          <w:color w:val="auto"/>
        </w:rPr>
      </w:pPr>
      <w:r>
        <w:rPr>
          <w:rFonts w:ascii="Arial" w:cs="Arial" w:eastAsia="Arial" w:hAnsi="Arial"/>
          <w:sz w:val="12"/>
          <w:szCs w:val="12"/>
          <w:color w:val="FFFFFF"/>
        </w:rPr>
        <w:t>Management</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Certain</w:t>
      </w:r>
    </w:p>
    <w:p>
      <w:pPr>
        <w:ind w:left="1120"/>
        <w:spacing w:after="0" w:line="224" w:lineRule="auto"/>
        <w:rPr>
          <w:sz w:val="20"/>
          <w:szCs w:val="20"/>
          <w:color w:val="auto"/>
        </w:rPr>
      </w:pPr>
      <w:r>
        <w:rPr>
          <w:rFonts w:ascii="Arial" w:cs="Arial" w:eastAsia="Arial" w:hAnsi="Arial"/>
          <w:sz w:val="12"/>
          <w:szCs w:val="12"/>
          <w:color w:val="FFFFFF"/>
        </w:rPr>
        <w:t>Relationships and</w:t>
      </w:r>
    </w:p>
    <w:p>
      <w:pPr>
        <w:ind w:left="1120"/>
        <w:spacing w:after="0" w:line="222" w:lineRule="auto"/>
        <w:rPr>
          <w:sz w:val="20"/>
          <w:szCs w:val="20"/>
          <w:color w:val="auto"/>
        </w:rPr>
      </w:pPr>
      <w:r>
        <w:rPr>
          <w:rFonts w:ascii="Arial" w:cs="Arial" w:eastAsia="Arial" w:hAnsi="Arial"/>
          <w:sz w:val="12"/>
          <w:szCs w:val="12"/>
          <w:color w:val="FFFFFF"/>
        </w:rPr>
        <w:t>Related Party</w:t>
      </w:r>
    </w:p>
    <w:p>
      <w:pPr>
        <w:ind w:left="1120"/>
        <w:spacing w:after="0"/>
        <w:rPr>
          <w:sz w:val="20"/>
          <w:szCs w:val="20"/>
          <w:color w:val="auto"/>
        </w:rPr>
      </w:pPr>
      <w:r>
        <w:rPr>
          <w:rFonts w:ascii="Arial" w:cs="Arial" w:eastAsia="Arial" w:hAnsi="Arial"/>
          <w:sz w:val="12"/>
          <w:szCs w:val="12"/>
          <w:color w:val="FFFFFF"/>
        </w:rPr>
        <w:t>Transactions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Proposal 2</w:t>
      </w:r>
    </w:p>
    <w:p>
      <w:pPr>
        <w:spacing w:after="0" w:line="156"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Report of the</w:t>
      </w:r>
    </w:p>
    <w:p>
      <w:pPr>
        <w:ind w:left="1120"/>
        <w:spacing w:after="0" w:line="224" w:lineRule="auto"/>
        <w:rPr>
          <w:sz w:val="20"/>
          <w:szCs w:val="20"/>
          <w:color w:val="auto"/>
        </w:rPr>
      </w:pPr>
      <w:r>
        <w:rPr>
          <w:rFonts w:ascii="Arial" w:cs="Arial" w:eastAsia="Arial" w:hAnsi="Arial"/>
          <w:sz w:val="12"/>
          <w:szCs w:val="12"/>
          <w:color w:val="FFFFFF"/>
        </w:rPr>
        <w:t>Audit and Risk</w:t>
      </w:r>
    </w:p>
    <w:p>
      <w:pPr>
        <w:ind w:left="1120"/>
        <w:spacing w:after="0" w:line="222" w:lineRule="auto"/>
        <w:rPr>
          <w:sz w:val="20"/>
          <w:szCs w:val="20"/>
          <w:color w:val="auto"/>
        </w:rPr>
      </w:pPr>
      <w:r>
        <w:rPr>
          <w:rFonts w:ascii="Arial" w:cs="Arial" w:eastAsia="Arial" w:hAnsi="Arial"/>
          <w:sz w:val="12"/>
          <w:szCs w:val="12"/>
          <w:color w:val="FFFFFF"/>
        </w:rPr>
        <w:t>Committee of the</w:t>
      </w:r>
    </w:p>
    <w:p>
      <w:pPr>
        <w:ind w:left="1120"/>
        <w:spacing w:after="0"/>
        <w:rPr>
          <w:sz w:val="20"/>
          <w:szCs w:val="20"/>
          <w:color w:val="auto"/>
        </w:rPr>
      </w:pPr>
      <w:r>
        <w:rPr>
          <w:rFonts w:ascii="Arial" w:cs="Arial" w:eastAsia="Arial" w:hAnsi="Arial"/>
          <w:sz w:val="12"/>
          <w:szCs w:val="12"/>
          <w:color w:val="FFFFFF"/>
        </w:rPr>
        <w:t>Board of Directors</w:t>
      </w:r>
    </w:p>
    <w:p>
      <w:pPr>
        <w:spacing w:after="0" w:line="144" w:lineRule="exact"/>
        <w:rPr>
          <w:sz w:val="20"/>
          <w:szCs w:val="20"/>
          <w:color w:val="auto"/>
        </w:rPr>
      </w:pPr>
    </w:p>
    <w:p>
      <w:pPr>
        <w:jc w:val="center"/>
        <w:ind w:left="620"/>
        <w:spacing w:after="0"/>
        <w:rPr>
          <w:sz w:val="20"/>
          <w:szCs w:val="20"/>
          <w:color w:val="auto"/>
        </w:rPr>
      </w:pPr>
      <w:r>
        <w:rPr>
          <w:rFonts w:ascii="Arial" w:cs="Arial" w:eastAsia="Arial" w:hAnsi="Arial"/>
          <w:sz w:val="12"/>
          <w:szCs w:val="12"/>
          <w:color w:val="FFFFFF"/>
        </w:rPr>
        <w:t>Proposal 3</w:t>
      </w:r>
    </w:p>
    <w:p>
      <w:pPr>
        <w:spacing w:after="0" w:line="156" w:lineRule="exact"/>
        <w:rPr>
          <w:sz w:val="20"/>
          <w:szCs w:val="20"/>
          <w:color w:val="auto"/>
        </w:rPr>
      </w:pPr>
    </w:p>
    <w:p>
      <w:pPr>
        <w:jc w:val="center"/>
        <w:ind w:left="620"/>
        <w:spacing w:after="0"/>
        <w:rPr>
          <w:sz w:val="20"/>
          <w:szCs w:val="20"/>
          <w:color w:val="auto"/>
        </w:rPr>
      </w:pPr>
      <w:r>
        <w:rPr>
          <w:rFonts w:ascii="Arial" w:cs="Arial" w:eastAsia="Arial" w:hAnsi="Arial"/>
          <w:sz w:val="12"/>
          <w:szCs w:val="12"/>
          <w:color w:val="FFFFFF"/>
        </w:rPr>
        <w:t>Proposal 4</w:t>
      </w:r>
    </w:p>
    <w:p>
      <w:pPr>
        <w:spacing w:after="0" w:line="156" w:lineRule="exact"/>
        <w:rPr>
          <w:sz w:val="20"/>
          <w:szCs w:val="20"/>
          <w:color w:val="auto"/>
        </w:rPr>
      </w:pPr>
    </w:p>
    <w:p>
      <w:pPr>
        <w:jc w:val="center"/>
        <w:ind w:left="620"/>
        <w:spacing w:after="0"/>
        <w:rPr>
          <w:sz w:val="20"/>
          <w:szCs w:val="20"/>
          <w:color w:val="auto"/>
        </w:rPr>
      </w:pPr>
      <w:r>
        <w:rPr>
          <w:rFonts w:ascii="Arial" w:cs="Arial" w:eastAsia="Arial" w:hAnsi="Arial"/>
          <w:sz w:val="12"/>
          <w:szCs w:val="12"/>
          <w:color w:val="FFFFFF"/>
        </w:rPr>
        <w:t>Proposal 5</w:t>
      </w:r>
    </w:p>
    <w:p>
      <w:pPr>
        <w:spacing w:after="0" w:line="156"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Proposal 6</w:t>
      </w:r>
    </w:p>
    <w:p>
      <w:pPr>
        <w:spacing w:after="0" w:line="156"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Stockholder</w:t>
      </w:r>
    </w:p>
    <w:p>
      <w:pPr>
        <w:ind w:left="1120"/>
        <w:spacing w:after="0" w:line="224" w:lineRule="auto"/>
        <w:rPr>
          <w:sz w:val="20"/>
          <w:szCs w:val="20"/>
          <w:color w:val="auto"/>
        </w:rPr>
      </w:pPr>
      <w:r>
        <w:rPr>
          <w:rFonts w:ascii="Arial" w:cs="Arial" w:eastAsia="Arial" w:hAnsi="Arial"/>
          <w:sz w:val="12"/>
          <w:szCs w:val="12"/>
          <w:color w:val="FFFFFF"/>
        </w:rPr>
        <w:t>Proposals and</w:t>
      </w:r>
    </w:p>
    <w:p>
      <w:pPr>
        <w:ind w:left="1120"/>
        <w:spacing w:after="0"/>
        <w:rPr>
          <w:sz w:val="20"/>
          <w:szCs w:val="20"/>
          <w:color w:val="auto"/>
        </w:rPr>
      </w:pPr>
      <w:r>
        <w:rPr>
          <w:rFonts w:ascii="Arial" w:cs="Arial" w:eastAsia="Arial" w:hAnsi="Arial"/>
          <w:sz w:val="12"/>
          <w:szCs w:val="12"/>
          <w:color w:val="FFFFFF"/>
        </w:rPr>
        <w:t>Other Matters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Delinquent</w:t>
      </w:r>
    </w:p>
    <w:p>
      <w:pPr>
        <w:ind w:left="1120"/>
        <w:spacing w:after="0" w:line="224" w:lineRule="auto"/>
        <w:rPr>
          <w:sz w:val="20"/>
          <w:szCs w:val="20"/>
          <w:color w:val="auto"/>
        </w:rPr>
      </w:pPr>
      <w:r>
        <w:rPr>
          <w:rFonts w:ascii="Arial" w:cs="Arial" w:eastAsia="Arial" w:hAnsi="Arial"/>
          <w:sz w:val="12"/>
          <w:szCs w:val="12"/>
          <w:color w:val="FFFFFF"/>
        </w:rPr>
        <w:t>Section 16(a)</w:t>
      </w:r>
    </w:p>
    <w:p>
      <w:pPr>
        <w:ind w:left="1120"/>
        <w:spacing w:after="0"/>
        <w:rPr>
          <w:sz w:val="20"/>
          <w:szCs w:val="20"/>
          <w:color w:val="auto"/>
        </w:rPr>
      </w:pPr>
      <w:r>
        <w:rPr>
          <w:rFonts w:ascii="Arial" w:cs="Arial" w:eastAsia="Arial" w:hAnsi="Arial"/>
          <w:sz w:val="12"/>
          <w:szCs w:val="12"/>
          <w:color w:val="FFFFFF"/>
        </w:rPr>
        <w:t>Reports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Other</w:t>
      </w:r>
    </w:p>
    <w:p>
      <w:pPr>
        <w:spacing w:after="0" w:line="2"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Information</w:t>
      </w:r>
    </w:p>
    <w:p>
      <w:pPr>
        <w:spacing w:after="0" w:line="144" w:lineRule="exact"/>
        <w:rPr>
          <w:sz w:val="20"/>
          <w:szCs w:val="20"/>
          <w:color w:val="auto"/>
        </w:rPr>
      </w:pPr>
    </w:p>
    <w:p>
      <w:pPr>
        <w:jc w:val="center"/>
        <w:ind w:left="660"/>
        <w:spacing w:after="0"/>
        <w:rPr>
          <w:sz w:val="20"/>
          <w:szCs w:val="20"/>
          <w:color w:val="auto"/>
        </w:rPr>
      </w:pPr>
      <w:r>
        <w:rPr>
          <w:rFonts w:ascii="Arial" w:cs="Arial" w:eastAsia="Arial" w:hAnsi="Arial"/>
          <w:sz w:val="12"/>
          <w:szCs w:val="12"/>
          <w:color w:val="FFFFFF"/>
        </w:rPr>
        <w:t>Appendix A</w:t>
      </w:r>
    </w:p>
    <w:p>
      <w:pPr>
        <w:spacing w:after="0" w:line="156" w:lineRule="exact"/>
        <w:rPr>
          <w:sz w:val="20"/>
          <w:szCs w:val="20"/>
          <w:color w:val="auto"/>
        </w:rPr>
      </w:pPr>
    </w:p>
    <w:p>
      <w:pPr>
        <w:jc w:val="center"/>
        <w:ind w:left="660"/>
        <w:spacing w:after="0"/>
        <w:rPr>
          <w:sz w:val="20"/>
          <w:szCs w:val="20"/>
          <w:color w:val="auto"/>
        </w:rPr>
      </w:pPr>
      <w:r>
        <w:rPr>
          <w:rFonts w:ascii="Arial" w:cs="Arial" w:eastAsia="Arial" w:hAnsi="Arial"/>
          <w:sz w:val="12"/>
          <w:szCs w:val="12"/>
          <w:color w:val="FFFFFF"/>
        </w:rPr>
        <w:t>Appendix 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5"/>
          <w:szCs w:val="15"/>
          <w:color w:val="auto"/>
        </w:rPr>
        <w:t>The range of potential bonus funding for the Company’s relative TSR goal is illustrated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-1737995</wp:posOffset>
            </wp:positionH>
            <wp:positionV relativeFrom="paragraph">
              <wp:posOffset>-741045</wp:posOffset>
            </wp:positionV>
            <wp:extent cx="7181215" cy="5334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81215" cy="53340"/>
                    </a:xfrm>
                    <a:prstGeom prst="rect">
                      <a:avLst/>
                    </a:prstGeom>
                    <a:noFill/>
                  </pic:spPr>
                </pic:pic>
              </a:graphicData>
            </a:graphic>
          </wp:anchor>
        </w:drawing>
      </w:r>
    </w:p>
    <w:p>
      <w:pPr>
        <w:spacing w:after="0" w:line="219" w:lineRule="exact"/>
        <w:rPr>
          <w:sz w:val="20"/>
          <w:szCs w:val="20"/>
          <w:color w:val="auto"/>
        </w:rPr>
      </w:pPr>
    </w:p>
    <w:tbl>
      <w:tblPr>
        <w:tblLayout w:type="fixed"/>
        <w:tblInd w:w="20" w:type="dxa"/>
        <w:tblCellMar>
          <w:top w:w="0" w:type="dxa"/>
          <w:left w:w="0" w:type="dxa"/>
          <w:bottom w:w="0" w:type="dxa"/>
          <w:right w:w="0" w:type="dxa"/>
        </w:tblCellMar>
      </w:tblPr>
      <w:tr>
        <w:trPr>
          <w:trHeight w:val="194"/>
        </w:trPr>
        <w:tc>
          <w:tcPr>
            <w:tcW w:w="6180" w:type="dxa"/>
            <w:vAlign w:val="bottom"/>
            <w:tcBorders>
              <w:bottom w:val="single" w:sz="8" w:color="002B5F"/>
            </w:tcBorders>
          </w:tcPr>
          <w:p>
            <w:pPr>
              <w:ind w:left="60"/>
              <w:spacing w:after="0"/>
              <w:rPr>
                <w:sz w:val="20"/>
                <w:szCs w:val="20"/>
                <w:color w:val="auto"/>
              </w:rPr>
            </w:pPr>
            <w:r>
              <w:rPr>
                <w:rFonts w:ascii="Arial" w:cs="Arial" w:eastAsia="Arial" w:hAnsi="Arial"/>
                <w:sz w:val="14"/>
                <w:szCs w:val="14"/>
                <w:b w:val="1"/>
                <w:bCs w:val="1"/>
                <w:color w:val="002B5F"/>
              </w:rPr>
              <w:t>Relative TSR Percentile Rank (based on Comparator Group)</w:t>
            </w:r>
          </w:p>
        </w:tc>
        <w:tc>
          <w:tcPr>
            <w:tcW w:w="1780" w:type="dxa"/>
            <w:vAlign w:val="bottom"/>
            <w:tcBorders>
              <w:bottom w:val="single" w:sz="8" w:color="002B5F"/>
            </w:tcBorders>
          </w:tcPr>
          <w:p>
            <w:pPr>
              <w:jc w:val="right"/>
              <w:spacing w:after="0"/>
              <w:rPr>
                <w:sz w:val="20"/>
                <w:szCs w:val="20"/>
                <w:color w:val="auto"/>
              </w:rPr>
            </w:pPr>
            <w:r>
              <w:rPr>
                <w:rFonts w:ascii="Arial" w:cs="Arial" w:eastAsia="Arial" w:hAnsi="Arial"/>
                <w:sz w:val="14"/>
                <w:szCs w:val="14"/>
                <w:b w:val="1"/>
                <w:bCs w:val="1"/>
                <w:color w:val="002B5F"/>
              </w:rPr>
              <w:t>Percent Payout</w:t>
            </w:r>
          </w:p>
        </w:tc>
      </w:tr>
      <w:tr>
        <w:trPr>
          <w:trHeight w:val="274"/>
        </w:trPr>
        <w:tc>
          <w:tcPr>
            <w:tcW w:w="6180" w:type="dxa"/>
            <w:vAlign w:val="bottom"/>
            <w:tcBorders>
              <w:bottom w:val="single" w:sz="8" w:color="F7F1EC"/>
            </w:tcBorders>
            <w:shd w:val="clear" w:color="auto" w:fill="F7F1EC"/>
          </w:tcPr>
          <w:p>
            <w:pPr>
              <w:ind w:left="60"/>
              <w:spacing w:after="0"/>
              <w:rPr>
                <w:sz w:val="20"/>
                <w:szCs w:val="20"/>
                <w:color w:val="auto"/>
              </w:rPr>
            </w:pPr>
            <w:r>
              <w:rPr>
                <w:rFonts w:ascii="Arial" w:cs="Arial" w:eastAsia="Arial" w:hAnsi="Arial"/>
                <w:sz w:val="15"/>
                <w:szCs w:val="15"/>
                <w:color w:val="auto"/>
              </w:rPr>
              <w:t>80th</w:t>
            </w:r>
          </w:p>
        </w:tc>
        <w:tc>
          <w:tcPr>
            <w:tcW w:w="1780" w:type="dxa"/>
            <w:vAlign w:val="bottom"/>
            <w:tcBorders>
              <w:bottom w:val="single" w:sz="8" w:color="F7F1EC"/>
            </w:tcBorders>
            <w:shd w:val="clear" w:color="auto" w:fill="F7F1EC"/>
          </w:tcPr>
          <w:p>
            <w:pPr>
              <w:jc w:val="right"/>
              <w:ind w:right="86"/>
              <w:spacing w:after="0"/>
              <w:rPr>
                <w:sz w:val="20"/>
                <w:szCs w:val="20"/>
                <w:color w:val="auto"/>
              </w:rPr>
            </w:pPr>
            <w:r>
              <w:rPr>
                <w:rFonts w:ascii="Arial" w:cs="Arial" w:eastAsia="Arial" w:hAnsi="Arial"/>
                <w:sz w:val="15"/>
                <w:szCs w:val="15"/>
                <w:color w:val="auto"/>
              </w:rPr>
              <w:t>150%</w:t>
            </w:r>
          </w:p>
        </w:tc>
      </w:tr>
      <w:tr>
        <w:trPr>
          <w:trHeight w:val="265"/>
        </w:trPr>
        <w:tc>
          <w:tcPr>
            <w:tcW w:w="6180" w:type="dxa"/>
            <w:vAlign w:val="bottom"/>
          </w:tcPr>
          <w:p>
            <w:pPr>
              <w:ind w:left="60"/>
              <w:spacing w:after="0"/>
              <w:rPr>
                <w:sz w:val="20"/>
                <w:szCs w:val="20"/>
                <w:color w:val="auto"/>
              </w:rPr>
            </w:pPr>
            <w:r>
              <w:rPr>
                <w:rFonts w:ascii="Arial" w:cs="Arial" w:eastAsia="Arial" w:hAnsi="Arial"/>
                <w:sz w:val="15"/>
                <w:szCs w:val="15"/>
                <w:color w:val="auto"/>
              </w:rPr>
              <w:t>50th</w:t>
            </w:r>
          </w:p>
        </w:tc>
        <w:tc>
          <w:tcPr>
            <w:tcW w:w="1780" w:type="dxa"/>
            <w:vAlign w:val="bottom"/>
          </w:tcPr>
          <w:p>
            <w:pPr>
              <w:jc w:val="right"/>
              <w:ind w:right="86"/>
              <w:spacing w:after="0"/>
              <w:rPr>
                <w:sz w:val="20"/>
                <w:szCs w:val="20"/>
                <w:color w:val="auto"/>
              </w:rPr>
            </w:pPr>
            <w:r>
              <w:rPr>
                <w:rFonts w:ascii="Arial" w:cs="Arial" w:eastAsia="Arial" w:hAnsi="Arial"/>
                <w:sz w:val="15"/>
                <w:szCs w:val="15"/>
                <w:color w:val="auto"/>
              </w:rPr>
              <w:t>100%</w:t>
            </w:r>
          </w:p>
        </w:tc>
      </w:tr>
      <w:tr>
        <w:trPr>
          <w:trHeight w:val="41"/>
        </w:trPr>
        <w:tc>
          <w:tcPr>
            <w:tcW w:w="6180" w:type="dxa"/>
            <w:vAlign w:val="bottom"/>
          </w:tcPr>
          <w:p>
            <w:pPr>
              <w:spacing w:after="0"/>
              <w:rPr>
                <w:sz w:val="3"/>
                <w:szCs w:val="3"/>
                <w:color w:val="auto"/>
              </w:rPr>
            </w:pPr>
          </w:p>
        </w:tc>
        <w:tc>
          <w:tcPr>
            <w:tcW w:w="1780" w:type="dxa"/>
            <w:vAlign w:val="bottom"/>
          </w:tcPr>
          <w:p>
            <w:pPr>
              <w:spacing w:after="0"/>
              <w:rPr>
                <w:sz w:val="3"/>
                <w:szCs w:val="3"/>
                <w:color w:val="auto"/>
              </w:rPr>
            </w:pPr>
          </w:p>
        </w:tc>
      </w:tr>
      <w:tr>
        <w:trPr>
          <w:trHeight w:val="265"/>
        </w:trPr>
        <w:tc>
          <w:tcPr>
            <w:tcW w:w="6180" w:type="dxa"/>
            <w:vAlign w:val="bottom"/>
            <w:shd w:val="clear" w:color="auto" w:fill="F7F1EC"/>
          </w:tcPr>
          <w:p>
            <w:pPr>
              <w:ind w:left="60"/>
              <w:spacing w:after="0"/>
              <w:rPr>
                <w:sz w:val="20"/>
                <w:szCs w:val="20"/>
                <w:color w:val="auto"/>
              </w:rPr>
            </w:pPr>
            <w:r>
              <w:rPr>
                <w:rFonts w:ascii="Arial" w:cs="Arial" w:eastAsia="Arial" w:hAnsi="Arial"/>
                <w:sz w:val="15"/>
                <w:szCs w:val="15"/>
                <w:color w:val="auto"/>
              </w:rPr>
              <w:t>25th</w:t>
            </w:r>
          </w:p>
        </w:tc>
        <w:tc>
          <w:tcPr>
            <w:tcW w:w="1780" w:type="dxa"/>
            <w:vAlign w:val="bottom"/>
            <w:shd w:val="clear" w:color="auto" w:fill="F7F1EC"/>
          </w:tcPr>
          <w:p>
            <w:pPr>
              <w:jc w:val="right"/>
              <w:ind w:right="86"/>
              <w:spacing w:after="0"/>
              <w:rPr>
                <w:sz w:val="20"/>
                <w:szCs w:val="20"/>
                <w:color w:val="auto"/>
              </w:rPr>
            </w:pPr>
            <w:r>
              <w:rPr>
                <w:rFonts w:ascii="Arial" w:cs="Arial" w:eastAsia="Arial" w:hAnsi="Arial"/>
                <w:sz w:val="15"/>
                <w:szCs w:val="15"/>
                <w:color w:val="auto"/>
              </w:rPr>
              <w:t>50%</w:t>
            </w:r>
          </w:p>
        </w:tc>
      </w:tr>
      <w:tr>
        <w:trPr>
          <w:trHeight w:val="41"/>
        </w:trPr>
        <w:tc>
          <w:tcPr>
            <w:tcW w:w="6180" w:type="dxa"/>
            <w:vAlign w:val="bottom"/>
            <w:shd w:val="clear" w:color="auto" w:fill="F7F1EC"/>
          </w:tcPr>
          <w:p>
            <w:pPr>
              <w:spacing w:after="0"/>
              <w:rPr>
                <w:sz w:val="3"/>
                <w:szCs w:val="3"/>
                <w:color w:val="auto"/>
              </w:rPr>
            </w:pPr>
          </w:p>
        </w:tc>
        <w:tc>
          <w:tcPr>
            <w:tcW w:w="1780" w:type="dxa"/>
            <w:vAlign w:val="bottom"/>
            <w:shd w:val="clear" w:color="auto" w:fill="F7F1EC"/>
          </w:tcPr>
          <w:p>
            <w:pPr>
              <w:spacing w:after="0"/>
              <w:rPr>
                <w:sz w:val="3"/>
                <w:szCs w:val="3"/>
                <w:color w:val="auto"/>
              </w:rPr>
            </w:pPr>
          </w:p>
        </w:tc>
      </w:tr>
    </w:tbl>
    <w:p>
      <w:pPr>
        <w:spacing w:after="0" w:line="90" w:lineRule="exact"/>
        <w:rPr>
          <w:sz w:val="20"/>
          <w:szCs w:val="20"/>
          <w:color w:val="auto"/>
        </w:rPr>
      </w:pPr>
    </w:p>
    <w:p>
      <w:pPr>
        <w:ind w:right="40"/>
        <w:spacing w:after="0" w:line="258" w:lineRule="auto"/>
        <w:rPr>
          <w:sz w:val="20"/>
          <w:szCs w:val="20"/>
          <w:color w:val="auto"/>
        </w:rPr>
      </w:pPr>
      <w:r>
        <w:rPr>
          <w:rFonts w:ascii="Arial" w:cs="Arial" w:eastAsia="Arial" w:hAnsi="Arial"/>
          <w:sz w:val="15"/>
          <w:szCs w:val="15"/>
          <w:color w:val="auto"/>
        </w:rPr>
        <w:t>The Company attained relative TSR in the 59th percentile of the Comparator Group. The results were driven by stock price appreciation that we attribute to our strong business performance in relation to our peers, in particular the focused execution of our strategy, our industry-leading organic growth, our acquisition of Commonwealth Financial Network and our progress driving improved operating leverage. This level of achievement corresponded to a 115% payout, which was above target for this component of the bonus pool funding framework.</w:t>
      </w:r>
    </w:p>
    <w:p>
      <w:pPr>
        <w:spacing w:after="0" w:line="68" w:lineRule="exact"/>
        <w:rPr>
          <w:sz w:val="20"/>
          <w:szCs w:val="20"/>
          <w:color w:val="auto"/>
        </w:rPr>
      </w:pPr>
    </w:p>
    <w:p>
      <w:pPr>
        <w:ind w:right="120"/>
        <w:spacing w:after="0" w:line="268" w:lineRule="auto"/>
        <w:rPr>
          <w:sz w:val="20"/>
          <w:szCs w:val="20"/>
          <w:color w:val="auto"/>
        </w:rPr>
      </w:pPr>
      <w:r>
        <w:rPr>
          <w:rFonts w:ascii="Arial" w:cs="Arial" w:eastAsia="Arial" w:hAnsi="Arial"/>
          <w:sz w:val="15"/>
          <w:szCs w:val="15"/>
          <w:color w:val="auto"/>
        </w:rPr>
        <w:t>The collective level of achievement of the Incentive EBITDA goal and relative TSR goal resulted in a funding level of 47% for the financial performance component of the 2025 bonus pool funding framework, which was seven percentage points above its baseline weighting of 40%.</w:t>
      </w:r>
    </w:p>
    <w:p>
      <w:pPr>
        <w:spacing w:after="0" w:line="60" w:lineRule="exact"/>
        <w:rPr>
          <w:sz w:val="20"/>
          <w:szCs w:val="20"/>
          <w:color w:val="auto"/>
        </w:rPr>
      </w:pPr>
    </w:p>
    <w:p>
      <w:pPr>
        <w:ind w:right="140"/>
        <w:spacing w:after="0" w:line="287" w:lineRule="auto"/>
        <w:rPr>
          <w:sz w:val="20"/>
          <w:szCs w:val="20"/>
          <w:color w:val="auto"/>
        </w:rPr>
      </w:pPr>
      <w:r>
        <w:rPr>
          <w:rFonts w:ascii="Arial" w:cs="Arial" w:eastAsia="Arial" w:hAnsi="Arial"/>
          <w:sz w:val="15"/>
          <w:szCs w:val="15"/>
          <w:i w:val="1"/>
          <w:iCs w:val="1"/>
          <w:color w:val="auto"/>
        </w:rPr>
        <w:t>2025 Business Goals (40% baseline weighting)</w:t>
      </w:r>
      <w:r>
        <w:rPr>
          <w:rFonts w:ascii="Arial" w:cs="Arial" w:eastAsia="Arial" w:hAnsi="Arial"/>
          <w:sz w:val="15"/>
          <w:szCs w:val="15"/>
          <w:color w:val="auto"/>
        </w:rPr>
        <w:t>. The Compensation Committee established the following weightings</w:t>
      </w:r>
      <w:r>
        <w:rPr>
          <w:rFonts w:ascii="Arial" w:cs="Arial" w:eastAsia="Arial" w:hAnsi="Arial"/>
          <w:sz w:val="15"/>
          <w:szCs w:val="15"/>
          <w:i w:val="1"/>
          <w:iCs w:val="1"/>
          <w:color w:val="auto"/>
        </w:rPr>
        <w:t xml:space="preserve"> </w:t>
      </w:r>
      <w:r>
        <w:rPr>
          <w:rFonts w:ascii="Arial" w:cs="Arial" w:eastAsia="Arial" w:hAnsi="Arial"/>
          <w:sz w:val="15"/>
          <w:szCs w:val="15"/>
          <w:color w:val="auto"/>
        </w:rPr>
        <w:t>for the 2025 Business Goals:</w:t>
      </w:r>
    </w:p>
    <w:p>
      <w:pPr>
        <w:spacing w:after="0" w:line="177" w:lineRule="exact"/>
        <w:rPr>
          <w:sz w:val="20"/>
          <w:szCs w:val="20"/>
          <w:color w:val="auto"/>
        </w:rPr>
      </w:pPr>
    </w:p>
    <w:tbl>
      <w:tblPr>
        <w:tblLayout w:type="fixed"/>
        <w:tblInd w:w="20" w:type="dxa"/>
        <w:tblCellMar>
          <w:top w:w="0" w:type="dxa"/>
          <w:left w:w="0" w:type="dxa"/>
          <w:bottom w:w="0" w:type="dxa"/>
          <w:right w:w="0" w:type="dxa"/>
        </w:tblCellMar>
      </w:tblPr>
      <w:tr>
        <w:trPr>
          <w:trHeight w:val="194"/>
        </w:trPr>
        <w:tc>
          <w:tcPr>
            <w:tcW w:w="5920" w:type="dxa"/>
            <w:vAlign w:val="bottom"/>
            <w:tcBorders>
              <w:bottom w:val="single" w:sz="8" w:color="002B5F"/>
            </w:tcBorders>
          </w:tcPr>
          <w:p>
            <w:pPr>
              <w:ind w:left="60"/>
              <w:spacing w:after="0"/>
              <w:rPr>
                <w:sz w:val="20"/>
                <w:szCs w:val="20"/>
                <w:color w:val="auto"/>
              </w:rPr>
            </w:pPr>
            <w:r>
              <w:rPr>
                <w:rFonts w:ascii="Arial" w:cs="Arial" w:eastAsia="Arial" w:hAnsi="Arial"/>
                <w:sz w:val="14"/>
                <w:szCs w:val="14"/>
                <w:b w:val="1"/>
                <w:bCs w:val="1"/>
                <w:color w:val="002B5F"/>
              </w:rPr>
              <w:t>Goal</w:t>
            </w:r>
          </w:p>
        </w:tc>
        <w:tc>
          <w:tcPr>
            <w:tcW w:w="2040" w:type="dxa"/>
            <w:vAlign w:val="bottom"/>
            <w:tcBorders>
              <w:bottom w:val="single" w:sz="8" w:color="002B5F"/>
            </w:tcBorders>
          </w:tcPr>
          <w:p>
            <w:pPr>
              <w:jc w:val="right"/>
              <w:spacing w:after="0"/>
              <w:rPr>
                <w:sz w:val="20"/>
                <w:szCs w:val="20"/>
                <w:color w:val="auto"/>
              </w:rPr>
            </w:pPr>
            <w:r>
              <w:rPr>
                <w:rFonts w:ascii="Arial" w:cs="Arial" w:eastAsia="Arial" w:hAnsi="Arial"/>
                <w:sz w:val="14"/>
                <w:szCs w:val="14"/>
                <w:b w:val="1"/>
                <w:bCs w:val="1"/>
                <w:color w:val="002B5F"/>
              </w:rPr>
              <w:t>Baseline Weight</w:t>
            </w:r>
          </w:p>
        </w:tc>
      </w:tr>
      <w:tr>
        <w:trPr>
          <w:trHeight w:val="274"/>
        </w:trPr>
        <w:tc>
          <w:tcPr>
            <w:tcW w:w="5920" w:type="dxa"/>
            <w:vAlign w:val="bottom"/>
            <w:tcBorders>
              <w:bottom w:val="single" w:sz="8" w:color="F7F1EC"/>
            </w:tcBorders>
            <w:shd w:val="clear" w:color="auto" w:fill="F7F1EC"/>
          </w:tcPr>
          <w:p>
            <w:pPr>
              <w:ind w:left="60"/>
              <w:spacing w:after="0"/>
              <w:rPr>
                <w:sz w:val="20"/>
                <w:szCs w:val="20"/>
                <w:color w:val="auto"/>
              </w:rPr>
            </w:pPr>
            <w:r>
              <w:rPr>
                <w:rFonts w:ascii="Arial" w:cs="Arial" w:eastAsia="Arial" w:hAnsi="Arial"/>
                <w:sz w:val="15"/>
                <w:szCs w:val="15"/>
                <w:color w:val="auto"/>
              </w:rPr>
              <w:t>Compete Goal</w:t>
            </w:r>
          </w:p>
        </w:tc>
        <w:tc>
          <w:tcPr>
            <w:tcW w:w="2040" w:type="dxa"/>
            <w:vAlign w:val="bottom"/>
            <w:tcBorders>
              <w:bottom w:val="single" w:sz="8" w:color="F7F1EC"/>
            </w:tcBorders>
            <w:shd w:val="clear" w:color="auto" w:fill="F7F1EC"/>
          </w:tcPr>
          <w:p>
            <w:pPr>
              <w:jc w:val="right"/>
              <w:ind w:right="185"/>
              <w:spacing w:after="0"/>
              <w:rPr>
                <w:sz w:val="20"/>
                <w:szCs w:val="20"/>
                <w:color w:val="auto"/>
              </w:rPr>
            </w:pPr>
            <w:r>
              <w:rPr>
                <w:rFonts w:ascii="Arial" w:cs="Arial" w:eastAsia="Arial" w:hAnsi="Arial"/>
                <w:sz w:val="15"/>
                <w:szCs w:val="15"/>
                <w:color w:val="auto"/>
              </w:rPr>
              <w:t>10%</w:t>
            </w:r>
          </w:p>
        </w:tc>
      </w:tr>
      <w:tr>
        <w:trPr>
          <w:trHeight w:val="265"/>
        </w:trPr>
        <w:tc>
          <w:tcPr>
            <w:tcW w:w="5920" w:type="dxa"/>
            <w:vAlign w:val="bottom"/>
          </w:tcPr>
          <w:p>
            <w:pPr>
              <w:ind w:left="60"/>
              <w:spacing w:after="0"/>
              <w:rPr>
                <w:sz w:val="20"/>
                <w:szCs w:val="20"/>
                <w:color w:val="auto"/>
              </w:rPr>
            </w:pPr>
            <w:r>
              <w:rPr>
                <w:rFonts w:ascii="Arial" w:cs="Arial" w:eastAsia="Arial" w:hAnsi="Arial"/>
                <w:sz w:val="15"/>
                <w:szCs w:val="15"/>
                <w:color w:val="auto"/>
              </w:rPr>
              <w:t>Differentiation Goal</w:t>
            </w:r>
          </w:p>
        </w:tc>
        <w:tc>
          <w:tcPr>
            <w:tcW w:w="2040" w:type="dxa"/>
            <w:vAlign w:val="bottom"/>
          </w:tcPr>
          <w:p>
            <w:pPr>
              <w:jc w:val="right"/>
              <w:ind w:right="185"/>
              <w:spacing w:after="0"/>
              <w:rPr>
                <w:sz w:val="20"/>
                <w:szCs w:val="20"/>
                <w:color w:val="auto"/>
              </w:rPr>
            </w:pPr>
            <w:r>
              <w:rPr>
                <w:rFonts w:ascii="Arial" w:cs="Arial" w:eastAsia="Arial" w:hAnsi="Arial"/>
                <w:sz w:val="15"/>
                <w:szCs w:val="15"/>
                <w:color w:val="auto"/>
              </w:rPr>
              <w:t>10%</w:t>
            </w:r>
          </w:p>
        </w:tc>
      </w:tr>
      <w:tr>
        <w:trPr>
          <w:trHeight w:val="41"/>
        </w:trPr>
        <w:tc>
          <w:tcPr>
            <w:tcW w:w="5920" w:type="dxa"/>
            <w:vAlign w:val="bottom"/>
          </w:tcPr>
          <w:p>
            <w:pPr>
              <w:spacing w:after="0"/>
              <w:rPr>
                <w:sz w:val="3"/>
                <w:szCs w:val="3"/>
                <w:color w:val="auto"/>
              </w:rPr>
            </w:pPr>
          </w:p>
        </w:tc>
        <w:tc>
          <w:tcPr>
            <w:tcW w:w="2040" w:type="dxa"/>
            <w:vAlign w:val="bottom"/>
          </w:tcPr>
          <w:p>
            <w:pPr>
              <w:spacing w:after="0"/>
              <w:rPr>
                <w:sz w:val="3"/>
                <w:szCs w:val="3"/>
                <w:color w:val="auto"/>
              </w:rPr>
            </w:pPr>
          </w:p>
        </w:tc>
      </w:tr>
      <w:tr>
        <w:trPr>
          <w:trHeight w:val="286"/>
        </w:trPr>
        <w:tc>
          <w:tcPr>
            <w:tcW w:w="5920" w:type="dxa"/>
            <w:vAlign w:val="bottom"/>
            <w:tcBorders>
              <w:bottom w:val="single" w:sz="8" w:color="F7F1EC"/>
            </w:tcBorders>
            <w:shd w:val="clear" w:color="auto" w:fill="F7F1EC"/>
          </w:tcPr>
          <w:p>
            <w:pPr>
              <w:ind w:left="60"/>
              <w:spacing w:after="0"/>
              <w:rPr>
                <w:sz w:val="20"/>
                <w:szCs w:val="20"/>
                <w:color w:val="auto"/>
              </w:rPr>
            </w:pPr>
            <w:r>
              <w:rPr>
                <w:rFonts w:ascii="Arial" w:cs="Arial" w:eastAsia="Arial" w:hAnsi="Arial"/>
                <w:sz w:val="15"/>
                <w:szCs w:val="15"/>
                <w:color w:val="auto"/>
              </w:rPr>
              <w:t>Solutions Goal</w:t>
            </w:r>
          </w:p>
        </w:tc>
        <w:tc>
          <w:tcPr>
            <w:tcW w:w="2040" w:type="dxa"/>
            <w:vAlign w:val="bottom"/>
            <w:tcBorders>
              <w:bottom w:val="single" w:sz="8" w:color="F7F1EC"/>
            </w:tcBorders>
            <w:shd w:val="clear" w:color="auto" w:fill="F7F1EC"/>
          </w:tcPr>
          <w:p>
            <w:pPr>
              <w:jc w:val="right"/>
              <w:ind w:right="185"/>
              <w:spacing w:after="0"/>
              <w:rPr>
                <w:sz w:val="20"/>
                <w:szCs w:val="20"/>
                <w:color w:val="auto"/>
              </w:rPr>
            </w:pPr>
            <w:r>
              <w:rPr>
                <w:rFonts w:ascii="Arial" w:cs="Arial" w:eastAsia="Arial" w:hAnsi="Arial"/>
                <w:sz w:val="15"/>
                <w:szCs w:val="15"/>
                <w:color w:val="auto"/>
              </w:rPr>
              <w:t>10%</w:t>
            </w:r>
          </w:p>
        </w:tc>
      </w:tr>
      <w:tr>
        <w:trPr>
          <w:trHeight w:val="265"/>
        </w:trPr>
        <w:tc>
          <w:tcPr>
            <w:tcW w:w="5920" w:type="dxa"/>
            <w:vAlign w:val="bottom"/>
          </w:tcPr>
          <w:p>
            <w:pPr>
              <w:ind w:left="60"/>
              <w:spacing w:after="0"/>
              <w:rPr>
                <w:sz w:val="20"/>
                <w:szCs w:val="20"/>
                <w:color w:val="auto"/>
              </w:rPr>
            </w:pPr>
            <w:r>
              <w:rPr>
                <w:rFonts w:ascii="Arial" w:cs="Arial" w:eastAsia="Arial" w:hAnsi="Arial"/>
                <w:sz w:val="15"/>
                <w:szCs w:val="15"/>
                <w:color w:val="auto"/>
              </w:rPr>
              <w:t>Enablers Goal</w:t>
            </w:r>
          </w:p>
        </w:tc>
        <w:tc>
          <w:tcPr>
            <w:tcW w:w="2040" w:type="dxa"/>
            <w:vAlign w:val="bottom"/>
          </w:tcPr>
          <w:p>
            <w:pPr>
              <w:jc w:val="right"/>
              <w:ind w:right="185"/>
              <w:spacing w:after="0"/>
              <w:rPr>
                <w:sz w:val="20"/>
                <w:szCs w:val="20"/>
                <w:color w:val="auto"/>
              </w:rPr>
            </w:pPr>
            <w:r>
              <w:rPr>
                <w:rFonts w:ascii="Arial" w:cs="Arial" w:eastAsia="Arial" w:hAnsi="Arial"/>
                <w:sz w:val="15"/>
                <w:szCs w:val="15"/>
                <w:color w:val="auto"/>
              </w:rPr>
              <w:t>10%</w:t>
            </w:r>
          </w:p>
        </w:tc>
      </w:tr>
      <w:tr>
        <w:trPr>
          <w:trHeight w:val="41"/>
        </w:trPr>
        <w:tc>
          <w:tcPr>
            <w:tcW w:w="5920" w:type="dxa"/>
            <w:vAlign w:val="bottom"/>
            <w:tcBorders>
              <w:bottom w:val="single" w:sz="8" w:color="002B5F"/>
            </w:tcBorders>
          </w:tcPr>
          <w:p>
            <w:pPr>
              <w:spacing w:after="0"/>
              <w:rPr>
                <w:sz w:val="3"/>
                <w:szCs w:val="3"/>
                <w:color w:val="auto"/>
              </w:rPr>
            </w:pPr>
          </w:p>
        </w:tc>
        <w:tc>
          <w:tcPr>
            <w:tcW w:w="2040" w:type="dxa"/>
            <w:vAlign w:val="bottom"/>
            <w:tcBorders>
              <w:bottom w:val="single" w:sz="8" w:color="002B5F"/>
            </w:tcBorders>
          </w:tcPr>
          <w:p>
            <w:pPr>
              <w:spacing w:after="0"/>
              <w:rPr>
                <w:sz w:val="3"/>
                <w:szCs w:val="3"/>
                <w:color w:val="auto"/>
              </w:rPr>
            </w:pPr>
          </w:p>
        </w:tc>
      </w:tr>
      <w:tr>
        <w:trPr>
          <w:trHeight w:val="266"/>
        </w:trPr>
        <w:tc>
          <w:tcPr>
            <w:tcW w:w="5920" w:type="dxa"/>
            <w:vAlign w:val="bottom"/>
            <w:tcBorders>
              <w:bottom w:val="single" w:sz="8" w:color="F7F1EC"/>
            </w:tcBorders>
            <w:shd w:val="clear" w:color="auto" w:fill="F7F1EC"/>
          </w:tcPr>
          <w:p>
            <w:pPr>
              <w:ind w:left="60"/>
              <w:spacing w:after="0"/>
              <w:rPr>
                <w:sz w:val="20"/>
                <w:szCs w:val="20"/>
                <w:color w:val="auto"/>
              </w:rPr>
            </w:pPr>
            <w:r>
              <w:rPr>
                <w:rFonts w:ascii="Arial" w:cs="Arial" w:eastAsia="Arial" w:hAnsi="Arial"/>
                <w:sz w:val="15"/>
                <w:szCs w:val="15"/>
                <w:color w:val="auto"/>
              </w:rPr>
              <w:t>Total 2025 Business Goals</w:t>
            </w:r>
          </w:p>
        </w:tc>
        <w:tc>
          <w:tcPr>
            <w:tcW w:w="2040" w:type="dxa"/>
            <w:vAlign w:val="bottom"/>
            <w:tcBorders>
              <w:bottom w:val="single" w:sz="8" w:color="F7F1EC"/>
            </w:tcBorders>
            <w:shd w:val="clear" w:color="auto" w:fill="F7F1EC"/>
          </w:tcPr>
          <w:p>
            <w:pPr>
              <w:jc w:val="right"/>
              <w:ind w:right="185"/>
              <w:spacing w:after="0"/>
              <w:rPr>
                <w:sz w:val="20"/>
                <w:szCs w:val="20"/>
                <w:color w:val="auto"/>
              </w:rPr>
            </w:pPr>
            <w:r>
              <w:rPr>
                <w:rFonts w:ascii="Arial" w:cs="Arial" w:eastAsia="Arial" w:hAnsi="Arial"/>
                <w:sz w:val="15"/>
                <w:szCs w:val="15"/>
                <w:color w:val="auto"/>
              </w:rPr>
              <w:t>40%</w:t>
            </w:r>
          </w:p>
        </w:tc>
      </w:tr>
      <w:tr>
        <w:trPr>
          <w:trHeight w:val="20"/>
        </w:trPr>
        <w:tc>
          <w:tcPr>
            <w:tcW w:w="5920" w:type="dxa"/>
            <w:vAlign w:val="bottom"/>
            <w:shd w:val="clear" w:color="auto" w:fill="002B5F"/>
          </w:tcPr>
          <w:p>
            <w:pPr>
              <w:spacing w:after="0" w:line="20" w:lineRule="exact"/>
              <w:rPr>
                <w:sz w:val="1"/>
                <w:szCs w:val="1"/>
                <w:color w:val="auto"/>
              </w:rPr>
            </w:pPr>
          </w:p>
        </w:tc>
        <w:tc>
          <w:tcPr>
            <w:tcW w:w="2040" w:type="dxa"/>
            <w:vAlign w:val="bottom"/>
            <w:shd w:val="clear" w:color="auto" w:fill="002B5F"/>
          </w:tcPr>
          <w:p>
            <w:pPr>
              <w:spacing w:after="0" w:line="20" w:lineRule="exact"/>
              <w:rPr>
                <w:sz w:val="1"/>
                <w:szCs w:val="1"/>
                <w:color w:val="auto"/>
              </w:rPr>
            </w:pPr>
          </w:p>
        </w:tc>
      </w:tr>
    </w:tbl>
    <w:p>
      <w:pPr>
        <w:spacing w:after="0" w:line="90" w:lineRule="exact"/>
        <w:rPr>
          <w:sz w:val="20"/>
          <w:szCs w:val="20"/>
          <w:color w:val="auto"/>
        </w:rPr>
      </w:pPr>
    </w:p>
    <w:p>
      <w:pPr>
        <w:ind w:right="40"/>
        <w:spacing w:after="0" w:line="287" w:lineRule="auto"/>
        <w:rPr>
          <w:sz w:val="20"/>
          <w:szCs w:val="20"/>
          <w:color w:val="auto"/>
        </w:rPr>
      </w:pPr>
      <w:r>
        <w:rPr>
          <w:rFonts w:ascii="Arial" w:cs="Arial" w:eastAsia="Arial" w:hAnsi="Arial"/>
          <w:sz w:val="15"/>
          <w:szCs w:val="15"/>
          <w:color w:val="auto"/>
        </w:rPr>
        <w:t>The Compensation Committee assigned equal weightings to each of the 2025 Business Goals because it determined that each was a priority element of the Company’s longer-term strategy.</w:t>
      </w:r>
    </w:p>
    <w:p>
      <w:pPr>
        <w:spacing w:after="0" w:line="47" w:lineRule="exact"/>
        <w:rPr>
          <w:sz w:val="20"/>
          <w:szCs w:val="20"/>
          <w:color w:val="auto"/>
        </w:rPr>
      </w:pPr>
    </w:p>
    <w:p>
      <w:pPr>
        <w:ind w:right="40"/>
        <w:spacing w:after="0" w:line="268" w:lineRule="auto"/>
        <w:rPr>
          <w:sz w:val="20"/>
          <w:szCs w:val="20"/>
          <w:color w:val="auto"/>
        </w:rPr>
      </w:pPr>
      <w:r>
        <w:rPr>
          <w:rFonts w:ascii="Arial" w:cs="Arial" w:eastAsia="Arial" w:hAnsi="Arial"/>
          <w:sz w:val="15"/>
          <w:szCs w:val="15"/>
          <w:color w:val="auto"/>
        </w:rPr>
        <w:t>The Compensation Committee also established a range of bonus funding per goal using the performance rating scale below, with the payout for performance ratings between the levels listed below equal to the average of the payouts between such levels.</w:t>
      </w:r>
    </w:p>
    <w:p>
      <w:pPr>
        <w:spacing w:after="0" w:line="191" w:lineRule="exact"/>
        <w:rPr>
          <w:sz w:val="20"/>
          <w:szCs w:val="20"/>
          <w:color w:val="auto"/>
        </w:rPr>
      </w:pPr>
    </w:p>
    <w:tbl>
      <w:tblPr>
        <w:tblLayout w:type="fixed"/>
        <w:tblInd w:w="20" w:type="dxa"/>
        <w:tblCellMar>
          <w:top w:w="0" w:type="dxa"/>
          <w:left w:w="0" w:type="dxa"/>
          <w:bottom w:w="0" w:type="dxa"/>
          <w:right w:w="0" w:type="dxa"/>
        </w:tblCellMar>
      </w:tblPr>
      <w:tr>
        <w:trPr>
          <w:trHeight w:val="194"/>
        </w:trPr>
        <w:tc>
          <w:tcPr>
            <w:tcW w:w="6120" w:type="dxa"/>
            <w:vAlign w:val="bottom"/>
            <w:tcBorders>
              <w:bottom w:val="single" w:sz="8" w:color="002B5F"/>
            </w:tcBorders>
          </w:tcPr>
          <w:p>
            <w:pPr>
              <w:ind w:left="60"/>
              <w:spacing w:after="0"/>
              <w:rPr>
                <w:sz w:val="20"/>
                <w:szCs w:val="20"/>
                <w:color w:val="auto"/>
              </w:rPr>
            </w:pPr>
            <w:r>
              <w:rPr>
                <w:rFonts w:ascii="Arial" w:cs="Arial" w:eastAsia="Arial" w:hAnsi="Arial"/>
                <w:sz w:val="14"/>
                <w:szCs w:val="14"/>
                <w:b w:val="1"/>
                <w:bCs w:val="1"/>
                <w:color w:val="002B5F"/>
              </w:rPr>
              <w:t>Performance Rating</w:t>
            </w:r>
          </w:p>
        </w:tc>
        <w:tc>
          <w:tcPr>
            <w:tcW w:w="1840" w:type="dxa"/>
            <w:vAlign w:val="bottom"/>
            <w:tcBorders>
              <w:bottom w:val="single" w:sz="8" w:color="002B5F"/>
            </w:tcBorders>
          </w:tcPr>
          <w:p>
            <w:pPr>
              <w:jc w:val="right"/>
              <w:spacing w:after="0"/>
              <w:rPr>
                <w:sz w:val="20"/>
                <w:szCs w:val="20"/>
                <w:color w:val="auto"/>
              </w:rPr>
            </w:pPr>
            <w:r>
              <w:rPr>
                <w:rFonts w:ascii="Arial" w:cs="Arial" w:eastAsia="Arial" w:hAnsi="Arial"/>
                <w:sz w:val="14"/>
                <w:szCs w:val="14"/>
                <w:b w:val="1"/>
                <w:bCs w:val="1"/>
                <w:color w:val="002B5F"/>
              </w:rPr>
              <w:t>Percent Payout</w:t>
            </w:r>
          </w:p>
        </w:tc>
      </w:tr>
      <w:tr>
        <w:trPr>
          <w:trHeight w:val="274"/>
        </w:trPr>
        <w:tc>
          <w:tcPr>
            <w:tcW w:w="6120" w:type="dxa"/>
            <w:vAlign w:val="bottom"/>
            <w:tcBorders>
              <w:bottom w:val="single" w:sz="8" w:color="F7F1EC"/>
            </w:tcBorders>
            <w:shd w:val="clear" w:color="auto" w:fill="F7F1EC"/>
          </w:tcPr>
          <w:p>
            <w:pPr>
              <w:ind w:left="60"/>
              <w:spacing w:after="0"/>
              <w:rPr>
                <w:sz w:val="20"/>
                <w:szCs w:val="20"/>
                <w:color w:val="auto"/>
              </w:rPr>
            </w:pPr>
            <w:r>
              <w:rPr>
                <w:rFonts w:ascii="Arial" w:cs="Arial" w:eastAsia="Arial" w:hAnsi="Arial"/>
                <w:sz w:val="15"/>
                <w:szCs w:val="15"/>
                <w:color w:val="auto"/>
              </w:rPr>
              <w:t>Exceeds</w:t>
            </w:r>
          </w:p>
        </w:tc>
        <w:tc>
          <w:tcPr>
            <w:tcW w:w="1840" w:type="dxa"/>
            <w:vAlign w:val="bottom"/>
            <w:tcBorders>
              <w:bottom w:val="single" w:sz="8" w:color="F7F1EC"/>
            </w:tcBorders>
            <w:shd w:val="clear" w:color="auto" w:fill="F7F1EC"/>
          </w:tcPr>
          <w:p>
            <w:pPr>
              <w:jc w:val="right"/>
              <w:ind w:right="86"/>
              <w:spacing w:after="0"/>
              <w:rPr>
                <w:sz w:val="20"/>
                <w:szCs w:val="20"/>
                <w:color w:val="auto"/>
              </w:rPr>
            </w:pPr>
            <w:r>
              <w:rPr>
                <w:rFonts w:ascii="Arial" w:cs="Arial" w:eastAsia="Arial" w:hAnsi="Arial"/>
                <w:sz w:val="15"/>
                <w:szCs w:val="15"/>
                <w:color w:val="auto"/>
              </w:rPr>
              <w:t>150%</w:t>
            </w:r>
          </w:p>
        </w:tc>
      </w:tr>
      <w:tr>
        <w:trPr>
          <w:trHeight w:val="265"/>
        </w:trPr>
        <w:tc>
          <w:tcPr>
            <w:tcW w:w="6120" w:type="dxa"/>
            <w:vAlign w:val="bottom"/>
          </w:tcPr>
          <w:p>
            <w:pPr>
              <w:ind w:left="60"/>
              <w:spacing w:after="0"/>
              <w:rPr>
                <w:sz w:val="20"/>
                <w:szCs w:val="20"/>
                <w:color w:val="auto"/>
              </w:rPr>
            </w:pPr>
            <w:r>
              <w:rPr>
                <w:rFonts w:ascii="Arial" w:cs="Arial" w:eastAsia="Arial" w:hAnsi="Arial"/>
                <w:sz w:val="15"/>
                <w:szCs w:val="15"/>
                <w:color w:val="auto"/>
              </w:rPr>
              <w:t>Meets</w:t>
            </w:r>
          </w:p>
        </w:tc>
        <w:tc>
          <w:tcPr>
            <w:tcW w:w="1840" w:type="dxa"/>
            <w:vAlign w:val="bottom"/>
          </w:tcPr>
          <w:p>
            <w:pPr>
              <w:jc w:val="right"/>
              <w:ind w:right="86"/>
              <w:spacing w:after="0"/>
              <w:rPr>
                <w:sz w:val="20"/>
                <w:szCs w:val="20"/>
                <w:color w:val="auto"/>
              </w:rPr>
            </w:pPr>
            <w:r>
              <w:rPr>
                <w:rFonts w:ascii="Arial" w:cs="Arial" w:eastAsia="Arial" w:hAnsi="Arial"/>
                <w:sz w:val="15"/>
                <w:szCs w:val="15"/>
                <w:color w:val="auto"/>
              </w:rPr>
              <w:t>100%</w:t>
            </w:r>
          </w:p>
        </w:tc>
      </w:tr>
      <w:tr>
        <w:trPr>
          <w:trHeight w:val="41"/>
        </w:trPr>
        <w:tc>
          <w:tcPr>
            <w:tcW w:w="6120" w:type="dxa"/>
            <w:vAlign w:val="bottom"/>
          </w:tcPr>
          <w:p>
            <w:pPr>
              <w:spacing w:after="0"/>
              <w:rPr>
                <w:sz w:val="3"/>
                <w:szCs w:val="3"/>
                <w:color w:val="auto"/>
              </w:rPr>
            </w:pPr>
          </w:p>
        </w:tc>
        <w:tc>
          <w:tcPr>
            <w:tcW w:w="1840" w:type="dxa"/>
            <w:vAlign w:val="bottom"/>
          </w:tcPr>
          <w:p>
            <w:pPr>
              <w:spacing w:after="0"/>
              <w:rPr>
                <w:sz w:val="3"/>
                <w:szCs w:val="3"/>
                <w:color w:val="auto"/>
              </w:rPr>
            </w:pPr>
          </w:p>
        </w:tc>
      </w:tr>
      <w:tr>
        <w:trPr>
          <w:trHeight w:val="265"/>
        </w:trPr>
        <w:tc>
          <w:tcPr>
            <w:tcW w:w="6120" w:type="dxa"/>
            <w:vAlign w:val="bottom"/>
            <w:shd w:val="clear" w:color="auto" w:fill="F7F1EC"/>
          </w:tcPr>
          <w:p>
            <w:pPr>
              <w:ind w:left="60"/>
              <w:spacing w:after="0"/>
              <w:rPr>
                <w:sz w:val="20"/>
                <w:szCs w:val="20"/>
                <w:color w:val="auto"/>
              </w:rPr>
            </w:pPr>
            <w:r>
              <w:rPr>
                <w:rFonts w:ascii="Arial" w:cs="Arial" w:eastAsia="Arial" w:hAnsi="Arial"/>
                <w:sz w:val="15"/>
                <w:szCs w:val="15"/>
                <w:color w:val="auto"/>
              </w:rPr>
              <w:t>Partially meets</w:t>
            </w:r>
          </w:p>
        </w:tc>
        <w:tc>
          <w:tcPr>
            <w:tcW w:w="1840" w:type="dxa"/>
            <w:vAlign w:val="bottom"/>
            <w:shd w:val="clear" w:color="auto" w:fill="F7F1EC"/>
          </w:tcPr>
          <w:p>
            <w:pPr>
              <w:jc w:val="right"/>
              <w:ind w:right="86"/>
              <w:spacing w:after="0"/>
              <w:rPr>
                <w:sz w:val="20"/>
                <w:szCs w:val="20"/>
                <w:color w:val="auto"/>
              </w:rPr>
            </w:pPr>
            <w:r>
              <w:rPr>
                <w:rFonts w:ascii="Arial" w:cs="Arial" w:eastAsia="Arial" w:hAnsi="Arial"/>
                <w:sz w:val="15"/>
                <w:szCs w:val="15"/>
                <w:color w:val="auto"/>
              </w:rPr>
              <w:t>75%</w:t>
            </w:r>
          </w:p>
        </w:tc>
      </w:tr>
      <w:tr>
        <w:trPr>
          <w:trHeight w:val="41"/>
        </w:trPr>
        <w:tc>
          <w:tcPr>
            <w:tcW w:w="6120" w:type="dxa"/>
            <w:vAlign w:val="bottom"/>
            <w:shd w:val="clear" w:color="auto" w:fill="F7F1EC"/>
          </w:tcPr>
          <w:p>
            <w:pPr>
              <w:spacing w:after="0"/>
              <w:rPr>
                <w:sz w:val="3"/>
                <w:szCs w:val="3"/>
                <w:color w:val="auto"/>
              </w:rPr>
            </w:pPr>
          </w:p>
        </w:tc>
        <w:tc>
          <w:tcPr>
            <w:tcW w:w="1840" w:type="dxa"/>
            <w:vAlign w:val="bottom"/>
            <w:shd w:val="clear" w:color="auto" w:fill="F7F1EC"/>
          </w:tcPr>
          <w:p>
            <w:pPr>
              <w:spacing w:after="0"/>
              <w:rPr>
                <w:sz w:val="3"/>
                <w:szCs w:val="3"/>
                <w:color w:val="auto"/>
              </w:rPr>
            </w:pPr>
          </w:p>
        </w:tc>
      </w:tr>
    </w:tbl>
    <w:p>
      <w:pPr>
        <w:spacing w:after="0" w:line="90" w:lineRule="exact"/>
        <w:rPr>
          <w:sz w:val="20"/>
          <w:szCs w:val="20"/>
          <w:color w:val="auto"/>
        </w:rPr>
      </w:pPr>
    </w:p>
    <w:p>
      <w:pPr>
        <w:spacing w:after="0"/>
        <w:rPr>
          <w:sz w:val="20"/>
          <w:szCs w:val="20"/>
          <w:color w:val="auto"/>
        </w:rPr>
      </w:pPr>
      <w:r>
        <w:rPr>
          <w:rFonts w:ascii="Arial" w:cs="Arial" w:eastAsia="Arial" w:hAnsi="Arial"/>
          <w:sz w:val="15"/>
          <w:szCs w:val="15"/>
          <w:color w:val="auto"/>
        </w:rPr>
        <w:t>As further described under “</w:t>
      </w:r>
      <w:r>
        <w:rPr>
          <w:rFonts w:ascii="Arial" w:cs="Arial" w:eastAsia="Arial" w:hAnsi="Arial"/>
          <w:sz w:val="15"/>
          <w:szCs w:val="15"/>
          <w:i w:val="1"/>
          <w:iCs w:val="1"/>
          <w:color w:val="auto"/>
        </w:rPr>
        <w:t>2025 Business Goals Performance Evaluation,</w:t>
      </w:r>
      <w:r>
        <w:rPr>
          <w:rFonts w:ascii="Arial" w:cs="Arial" w:eastAsia="Arial" w:hAnsi="Arial"/>
          <w:sz w:val="15"/>
          <w:szCs w:val="15"/>
          <w:color w:val="auto"/>
        </w:rPr>
        <w:t>” the Compensation Committee rated:</w:t>
      </w:r>
    </w:p>
    <w:p>
      <w:pPr>
        <w:spacing w:after="0" w:line="121" w:lineRule="exact"/>
        <w:rPr>
          <w:sz w:val="20"/>
          <w:szCs w:val="20"/>
          <w:color w:val="auto"/>
        </w:rPr>
      </w:pPr>
    </w:p>
    <w:p>
      <w:pPr>
        <w:ind w:left="280" w:hanging="273"/>
        <w:spacing w:after="0"/>
        <w:tabs>
          <w:tab w:leader="none" w:pos="280" w:val="left"/>
        </w:tabs>
        <w:numPr>
          <w:ilvl w:val="0"/>
          <w:numId w:val="74"/>
        </w:numPr>
        <w:rPr>
          <w:rFonts w:ascii="Arial" w:cs="Arial" w:eastAsia="Arial" w:hAnsi="Arial"/>
          <w:sz w:val="15"/>
          <w:szCs w:val="15"/>
          <w:color w:val="auto"/>
        </w:rPr>
      </w:pPr>
      <w:r>
        <w:rPr>
          <w:rFonts w:ascii="Arial" w:cs="Arial" w:eastAsia="Arial" w:hAnsi="Arial"/>
          <w:sz w:val="15"/>
          <w:szCs w:val="15"/>
          <w:color w:val="auto"/>
        </w:rPr>
        <w:t>the Compete Goal as “partially meets;”</w:t>
      </w:r>
    </w:p>
    <w:p>
      <w:pPr>
        <w:spacing w:after="0" w:line="121" w:lineRule="exact"/>
        <w:rPr>
          <w:rFonts w:ascii="Arial" w:cs="Arial" w:eastAsia="Arial" w:hAnsi="Arial"/>
          <w:sz w:val="15"/>
          <w:szCs w:val="15"/>
          <w:color w:val="auto"/>
        </w:rPr>
      </w:pPr>
    </w:p>
    <w:p>
      <w:pPr>
        <w:ind w:left="280" w:hanging="273"/>
        <w:spacing w:after="0"/>
        <w:tabs>
          <w:tab w:leader="none" w:pos="280" w:val="left"/>
        </w:tabs>
        <w:numPr>
          <w:ilvl w:val="0"/>
          <w:numId w:val="74"/>
        </w:numPr>
        <w:rPr>
          <w:rFonts w:ascii="Arial" w:cs="Arial" w:eastAsia="Arial" w:hAnsi="Arial"/>
          <w:sz w:val="15"/>
          <w:szCs w:val="15"/>
          <w:color w:val="auto"/>
        </w:rPr>
      </w:pPr>
      <w:r>
        <w:rPr>
          <w:rFonts w:ascii="Arial" w:cs="Arial" w:eastAsia="Arial" w:hAnsi="Arial"/>
          <w:sz w:val="15"/>
          <w:szCs w:val="15"/>
          <w:color w:val="auto"/>
        </w:rPr>
        <w:t>the Differentiation Goal as “meets/partially meets;”</w:t>
      </w:r>
    </w:p>
    <w:p>
      <w:pPr>
        <w:spacing w:after="0" w:line="121" w:lineRule="exact"/>
        <w:rPr>
          <w:rFonts w:ascii="Arial" w:cs="Arial" w:eastAsia="Arial" w:hAnsi="Arial"/>
          <w:sz w:val="15"/>
          <w:szCs w:val="15"/>
          <w:color w:val="auto"/>
        </w:rPr>
      </w:pPr>
    </w:p>
    <w:p>
      <w:pPr>
        <w:ind w:left="280" w:hanging="273"/>
        <w:spacing w:after="0"/>
        <w:tabs>
          <w:tab w:leader="none" w:pos="280" w:val="left"/>
        </w:tabs>
        <w:numPr>
          <w:ilvl w:val="0"/>
          <w:numId w:val="74"/>
        </w:numPr>
        <w:rPr>
          <w:rFonts w:ascii="Arial" w:cs="Arial" w:eastAsia="Arial" w:hAnsi="Arial"/>
          <w:sz w:val="15"/>
          <w:szCs w:val="15"/>
          <w:color w:val="auto"/>
        </w:rPr>
      </w:pPr>
      <w:r>
        <w:rPr>
          <w:rFonts w:ascii="Arial" w:cs="Arial" w:eastAsia="Arial" w:hAnsi="Arial"/>
          <w:sz w:val="15"/>
          <w:szCs w:val="15"/>
          <w:color w:val="auto"/>
        </w:rPr>
        <w:t>the Solutions Goal as “exceeds/meets;” and</w:t>
      </w:r>
    </w:p>
    <w:p>
      <w:pPr>
        <w:spacing w:after="0" w:line="121" w:lineRule="exact"/>
        <w:rPr>
          <w:rFonts w:ascii="Arial" w:cs="Arial" w:eastAsia="Arial" w:hAnsi="Arial"/>
          <w:sz w:val="15"/>
          <w:szCs w:val="15"/>
          <w:color w:val="auto"/>
        </w:rPr>
      </w:pPr>
    </w:p>
    <w:p>
      <w:pPr>
        <w:ind w:left="280" w:hanging="273"/>
        <w:spacing w:after="0"/>
        <w:tabs>
          <w:tab w:leader="none" w:pos="280" w:val="left"/>
        </w:tabs>
        <w:numPr>
          <w:ilvl w:val="0"/>
          <w:numId w:val="74"/>
        </w:numPr>
        <w:rPr>
          <w:rFonts w:ascii="Arial" w:cs="Arial" w:eastAsia="Arial" w:hAnsi="Arial"/>
          <w:sz w:val="15"/>
          <w:szCs w:val="15"/>
          <w:color w:val="auto"/>
        </w:rPr>
      </w:pPr>
      <w:r>
        <w:rPr>
          <w:rFonts w:ascii="Arial" w:cs="Arial" w:eastAsia="Arial" w:hAnsi="Arial"/>
          <w:sz w:val="15"/>
          <w:szCs w:val="15"/>
          <w:color w:val="auto"/>
        </w:rPr>
        <w:t>the Enablers Goal as “exceeds/meets.”</w:t>
      </w:r>
    </w:p>
    <w:p>
      <w:pPr>
        <w:spacing w:after="0" w:line="108" w:lineRule="exact"/>
        <w:rPr>
          <w:sz w:val="20"/>
          <w:szCs w:val="20"/>
          <w:color w:val="auto"/>
        </w:rPr>
      </w:pPr>
    </w:p>
    <w:p>
      <w:pPr>
        <w:ind w:right="280"/>
        <w:spacing w:after="0" w:line="268" w:lineRule="auto"/>
        <w:rPr>
          <w:sz w:val="20"/>
          <w:szCs w:val="20"/>
          <w:color w:val="auto"/>
        </w:rPr>
      </w:pPr>
      <w:r>
        <w:rPr>
          <w:rFonts w:ascii="Arial" w:cs="Arial" w:eastAsia="Arial" w:hAnsi="Arial"/>
          <w:sz w:val="15"/>
          <w:szCs w:val="15"/>
          <w:color w:val="auto"/>
        </w:rPr>
        <w:t>The collective level of achievement of the 2025 Business Goals resulted in a funding level of 41% for the 2025 Business Goals component of the 2025 bonus pool funding framework, which was one percentage point above its baseline weighting of 40%.</w:t>
      </w:r>
    </w:p>
    <w:p>
      <w:pPr>
        <w:spacing w:after="0" w:line="1069" w:lineRule="exact"/>
        <w:rPr>
          <w:sz w:val="20"/>
          <w:szCs w:val="20"/>
          <w:color w:val="auto"/>
        </w:rPr>
      </w:pPr>
    </w:p>
    <w:p>
      <w:pPr>
        <w:sectPr>
          <w:pgSz w:w="11900" w:h="16838" w:orient="portrait"/>
          <w:cols w:equalWidth="0" w:num="2">
            <w:col w:w="2160" w:space="560"/>
            <w:col w:w="7980"/>
          </w:cols>
          <w:pgMar w:left="320" w:top="464" w:right="879" w:bottom="1440" w:gutter="0" w:footer="0" w:header="0"/>
        </w:sectPr>
      </w:pPr>
    </w:p>
    <w:p>
      <w:pPr>
        <w:spacing w:after="0" w:line="200" w:lineRule="exact"/>
        <w:rPr>
          <w:sz w:val="20"/>
          <w:szCs w:val="20"/>
          <w:color w:val="auto"/>
        </w:rPr>
      </w:pPr>
    </w:p>
    <w:p>
      <w:pPr>
        <w:spacing w:after="0" w:line="385" w:lineRule="exact"/>
        <w:rPr>
          <w:sz w:val="20"/>
          <w:szCs w:val="20"/>
          <w:color w:val="auto"/>
        </w:rPr>
      </w:pPr>
    </w:p>
    <w:p>
      <w:pPr>
        <w:ind w:left="420"/>
        <w:spacing w:after="0"/>
        <w:tabs>
          <w:tab w:leader="none" w:pos="2380" w:val="left"/>
          <w:tab w:leader="none" w:pos="2800" w:val="left"/>
        </w:tabs>
        <w:rPr>
          <w:sz w:val="20"/>
          <w:szCs w:val="20"/>
          <w:color w:val="auto"/>
        </w:rPr>
      </w:pPr>
      <w:r>
        <w:rPr>
          <w:rFonts w:ascii="Arial" w:cs="Arial" w:eastAsia="Arial" w:hAnsi="Arial"/>
          <w:sz w:val="30"/>
          <w:szCs w:val="30"/>
          <w:color w:val="000000"/>
          <w:vertAlign w:val="superscript"/>
        </w:rPr>
        <w:t xml:space="preserve">             </w:t>
      </w:r>
      <w:r>
        <w:rPr>
          <w:sz w:val="20"/>
          <w:szCs w:val="20"/>
          <w:color w:val="auto"/>
        </w:rPr>
        <w:tab/>
      </w:r>
      <w:r>
        <w:rPr>
          <w:rFonts w:ascii="Arial" w:cs="Arial" w:eastAsia="Arial" w:hAnsi="Arial"/>
          <w:sz w:val="31"/>
          <w:szCs w:val="31"/>
          <w:color w:val="auto"/>
          <w:vertAlign w:val="superscript"/>
        </w:rPr>
        <w:t xml:space="preserve">    </w:t>
      </w:r>
      <w:r>
        <w:rPr>
          <w:sz w:val="20"/>
          <w:szCs w:val="20"/>
          <w:color w:val="auto"/>
        </w:rPr>
        <w:tab/>
      </w:r>
      <w:r>
        <w:rPr>
          <w:rFonts w:ascii="Arial" w:cs="Arial" w:eastAsia="Arial" w:hAnsi="Arial"/>
          <w:sz w:val="15"/>
          <w:szCs w:val="15"/>
          <w:b w:val="1"/>
          <w:bCs w:val="1"/>
          <w:color w:val="002B5F"/>
        </w:rPr>
        <w:t xml:space="preserve">46  </w:t>
      </w:r>
      <w:r>
        <w:rPr>
          <w:rFonts w:ascii="Arial" w:cs="Arial" w:eastAsia="Arial" w:hAnsi="Arial"/>
          <w:sz w:val="20"/>
          <w:szCs w:val="20"/>
          <w:color w:val="002B5F"/>
        </w:rPr>
        <w:t>|</w:t>
      </w:r>
      <w:r>
        <w:rPr>
          <w:rFonts w:ascii="Arial" w:cs="Arial" w:eastAsia="Arial" w:hAnsi="Arial"/>
          <w:sz w:val="15"/>
          <w:szCs w:val="15"/>
          <w:b w:val="1"/>
          <w:bCs w:val="1"/>
          <w:color w:val="002B5F"/>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6111875</wp:posOffset>
            </wp:positionH>
            <wp:positionV relativeFrom="paragraph">
              <wp:posOffset>-208915</wp:posOffset>
            </wp:positionV>
            <wp:extent cx="769620" cy="971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69620" cy="97155"/>
                    </a:xfrm>
                    <a:prstGeom prst="rect">
                      <a:avLst/>
                    </a:prstGeom>
                    <a:noFill/>
                  </pic:spPr>
                </pic:pic>
              </a:graphicData>
            </a:graphic>
          </wp:anchor>
        </w:drawing>
      </w:r>
    </w:p>
    <w:p>
      <w:pPr>
        <w:sectPr>
          <w:pgSz w:w="11900" w:h="16838" w:orient="portrait"/>
          <w:cols w:equalWidth="0" w:num="1">
            <w:col w:w="10700"/>
          </w:cols>
          <w:pgMar w:left="320" w:top="464" w:right="879" w:bottom="1440" w:gutter="0" w:footer="0" w:header="0"/>
          <w:type w:val="continuous"/>
        </w:sectPr>
      </w:pPr>
    </w:p>
    <w:bookmarkStart w:id="54" w:name="page55"/>
    <w:bookmarkEnd w:id="5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5334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81215" cy="5334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5617845</wp:posOffset>
            </wp:positionH>
            <wp:positionV relativeFrom="paragraph">
              <wp:posOffset>253365</wp:posOffset>
            </wp:positionV>
            <wp:extent cx="1256030" cy="74720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256030" cy="7472045"/>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tbl>
      <w:tblPr>
        <w:tblLayout w:type="fixed"/>
        <w:tblInd w:w="540" w:type="dxa"/>
        <w:tblCellMar>
          <w:top w:w="0" w:type="dxa"/>
          <w:left w:w="0" w:type="dxa"/>
          <w:bottom w:w="0" w:type="dxa"/>
          <w:right w:w="0" w:type="dxa"/>
        </w:tblCellMar>
      </w:tblPr>
      <w:tr>
        <w:trPr>
          <w:trHeight w:val="179"/>
        </w:trPr>
        <w:tc>
          <w:tcPr>
            <w:tcW w:w="8100" w:type="dxa"/>
            <w:vAlign w:val="bottom"/>
            <w:gridSpan w:val="2"/>
          </w:tcPr>
          <w:p>
            <w:pPr>
              <w:spacing w:after="0"/>
              <w:rPr>
                <w:sz w:val="20"/>
                <w:szCs w:val="20"/>
                <w:color w:val="auto"/>
              </w:rPr>
            </w:pPr>
            <w:r>
              <w:rPr>
                <w:rFonts w:ascii="Arial" w:cs="Arial" w:eastAsia="Arial" w:hAnsi="Arial"/>
                <w:sz w:val="15"/>
                <w:szCs w:val="15"/>
                <w:i w:val="1"/>
                <w:iCs w:val="1"/>
                <w:color w:val="auto"/>
              </w:rPr>
              <w:t xml:space="preserve">Committee Discretion (20% baseline weighting). </w:t>
            </w:r>
            <w:r>
              <w:rPr>
                <w:rFonts w:ascii="Arial" w:cs="Arial" w:eastAsia="Arial" w:hAnsi="Arial"/>
                <w:sz w:val="15"/>
                <w:szCs w:val="15"/>
                <w:color w:val="auto"/>
              </w:rPr>
              <w:t>In establishing the bonus pool funding framework in February 2025,</w:t>
            </w:r>
          </w:p>
        </w:tc>
        <w:tc>
          <w:tcPr>
            <w:tcW w:w="4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8100" w:type="dxa"/>
            <w:vAlign w:val="bottom"/>
            <w:gridSpan w:val="2"/>
          </w:tcPr>
          <w:p>
            <w:pPr>
              <w:spacing w:after="0"/>
              <w:rPr>
                <w:sz w:val="20"/>
                <w:szCs w:val="20"/>
                <w:color w:val="auto"/>
              </w:rPr>
            </w:pPr>
            <w:r>
              <w:rPr>
                <w:rFonts w:ascii="Arial" w:cs="Arial" w:eastAsia="Arial" w:hAnsi="Arial"/>
                <w:sz w:val="15"/>
                <w:szCs w:val="15"/>
                <w:color w:val="auto"/>
              </w:rPr>
              <w:t>the Compensation Committee discussed the appropriate level of discretion, if any, to be retained by the</w:t>
            </w:r>
          </w:p>
        </w:tc>
        <w:tc>
          <w:tcPr>
            <w:tcW w:w="440" w:type="dxa"/>
            <w:vAlign w:val="bottom"/>
            <w:vMerge w:val="restart"/>
          </w:tcPr>
          <w:p>
            <w:pPr>
              <w:ind w:left="240"/>
              <w:spacing w:after="0"/>
              <w:rPr>
                <w:sz w:val="20"/>
                <w:szCs w:val="20"/>
                <w:color w:val="auto"/>
              </w:rPr>
            </w:pPr>
            <w:r>
              <w:rPr>
                <w:rFonts w:ascii="Arial" w:cs="Arial" w:eastAsia="Arial" w:hAnsi="Arial"/>
                <w:sz w:val="15"/>
                <w:szCs w:val="15"/>
                <w:color w:val="auto"/>
              </w:rPr>
              <w:t> </w:t>
            </w:r>
          </w:p>
        </w:tc>
        <w:tc>
          <w:tcPr>
            <w:tcW w:w="1280" w:type="dxa"/>
            <w:vAlign w:val="bottom"/>
            <w:vMerge w:val="restart"/>
          </w:tcPr>
          <w:p>
            <w:pPr>
              <w:ind w:left="140"/>
              <w:spacing w:after="0"/>
              <w:rPr>
                <w:sz w:val="20"/>
                <w:szCs w:val="20"/>
                <w:color w:val="auto"/>
              </w:rPr>
            </w:pPr>
            <w:r>
              <w:rPr>
                <w:rFonts w:ascii="Arial" w:cs="Arial" w:eastAsia="Arial" w:hAnsi="Arial"/>
                <w:sz w:val="12"/>
                <w:szCs w:val="12"/>
                <w:color w:val="FFFFFF"/>
              </w:rPr>
              <w:t>General</w:t>
            </w:r>
          </w:p>
        </w:tc>
        <w:tc>
          <w:tcPr>
            <w:tcW w:w="440" w:type="dxa"/>
            <w:vAlign w:val="bottom"/>
            <w:vMerge w:val="restart"/>
          </w:tcPr>
          <w:p>
            <w:pPr>
              <w:ind w:left="80"/>
              <w:spacing w:after="0"/>
              <w:rPr>
                <w:sz w:val="20"/>
                <w:szCs w:val="20"/>
                <w:color w:val="auto"/>
              </w:rPr>
            </w:pPr>
            <w:r>
              <w:rPr>
                <w:rFonts w:ascii="Arial" w:cs="Arial" w:eastAsia="Arial" w:hAnsi="Arial"/>
                <w:sz w:val="15"/>
                <w:szCs w:val="15"/>
                <w:color w:val="auto"/>
              </w:rPr>
              <w:t xml:space="preserve">       </w:t>
            </w:r>
          </w:p>
        </w:tc>
        <w:tc>
          <w:tcPr>
            <w:tcW w:w="0" w:type="dxa"/>
            <w:vAlign w:val="bottom"/>
          </w:tcPr>
          <w:p>
            <w:pPr>
              <w:spacing w:after="0"/>
              <w:rPr>
                <w:sz w:val="1"/>
                <w:szCs w:val="1"/>
                <w:color w:val="auto"/>
              </w:rPr>
            </w:pPr>
          </w:p>
        </w:tc>
      </w:tr>
      <w:tr>
        <w:trPr>
          <w:trHeight w:val="51"/>
        </w:trPr>
        <w:tc>
          <w:tcPr>
            <w:tcW w:w="8100" w:type="dxa"/>
            <w:vAlign w:val="bottom"/>
            <w:gridSpan w:val="2"/>
            <w:vMerge w:val="restart"/>
          </w:tcPr>
          <w:p>
            <w:pPr>
              <w:spacing w:after="0"/>
              <w:rPr>
                <w:sz w:val="20"/>
                <w:szCs w:val="20"/>
                <w:color w:val="auto"/>
              </w:rPr>
            </w:pPr>
            <w:r>
              <w:rPr>
                <w:rFonts w:ascii="Arial" w:cs="Arial" w:eastAsia="Arial" w:hAnsi="Arial"/>
                <w:sz w:val="15"/>
                <w:szCs w:val="15"/>
                <w:color w:val="auto"/>
              </w:rPr>
              <w:t>Compensation Committee to adjust bonus pool funding up or down based on its assessments of key drivers of</w:t>
            </w:r>
          </w:p>
        </w:tc>
        <w:tc>
          <w:tcPr>
            <w:tcW w:w="440" w:type="dxa"/>
            <w:vAlign w:val="bottom"/>
            <w:vMerge w:val="continue"/>
          </w:tcPr>
          <w:p>
            <w:pPr>
              <w:spacing w:after="0"/>
              <w:rPr>
                <w:sz w:val="4"/>
                <w:szCs w:val="4"/>
                <w:color w:val="auto"/>
              </w:rPr>
            </w:pPr>
          </w:p>
        </w:tc>
        <w:tc>
          <w:tcPr>
            <w:tcW w:w="1280" w:type="dxa"/>
            <w:vAlign w:val="bottom"/>
            <w:vMerge w:val="continue"/>
          </w:tcPr>
          <w:p>
            <w:pPr>
              <w:spacing w:after="0"/>
              <w:rPr>
                <w:sz w:val="4"/>
                <w:szCs w:val="4"/>
                <w:color w:val="auto"/>
              </w:rPr>
            </w:pPr>
          </w:p>
        </w:tc>
        <w:tc>
          <w:tcPr>
            <w:tcW w:w="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8"/>
        </w:trPr>
        <w:tc>
          <w:tcPr>
            <w:tcW w:w="8100" w:type="dxa"/>
            <w:vAlign w:val="bottom"/>
            <w:gridSpan w:val="2"/>
            <w:vMerge w:val="continue"/>
          </w:tcPr>
          <w:p>
            <w:pPr>
              <w:spacing w:after="0"/>
              <w:rPr>
                <w:sz w:val="11"/>
                <w:szCs w:val="11"/>
                <w:color w:val="auto"/>
              </w:rPr>
            </w:pPr>
          </w:p>
        </w:tc>
        <w:tc>
          <w:tcPr>
            <w:tcW w:w="440" w:type="dxa"/>
            <w:vAlign w:val="bottom"/>
          </w:tcPr>
          <w:p>
            <w:pPr>
              <w:spacing w:after="0"/>
              <w:rPr>
                <w:sz w:val="11"/>
                <w:szCs w:val="11"/>
                <w:color w:val="auto"/>
              </w:rPr>
            </w:pPr>
          </w:p>
        </w:tc>
        <w:tc>
          <w:tcPr>
            <w:tcW w:w="1280" w:type="dxa"/>
            <w:vAlign w:val="bottom"/>
          </w:tcPr>
          <w:p>
            <w:pPr>
              <w:ind w:left="140"/>
              <w:spacing w:after="0" w:line="128" w:lineRule="exact"/>
              <w:rPr>
                <w:sz w:val="20"/>
                <w:szCs w:val="20"/>
                <w:color w:val="auto"/>
              </w:rPr>
            </w:pPr>
            <w:r>
              <w:rPr>
                <w:rFonts w:ascii="Arial" w:cs="Arial" w:eastAsia="Arial" w:hAnsi="Arial"/>
                <w:sz w:val="12"/>
                <w:szCs w:val="12"/>
                <w:color w:val="FFFFFF"/>
              </w:rPr>
              <w:t>Information</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9"/>
        </w:trPr>
        <w:tc>
          <w:tcPr>
            <w:tcW w:w="8100" w:type="dxa"/>
            <w:vAlign w:val="bottom"/>
            <w:gridSpan w:val="2"/>
          </w:tcPr>
          <w:p>
            <w:pPr>
              <w:spacing w:after="0"/>
              <w:rPr>
                <w:sz w:val="20"/>
                <w:szCs w:val="20"/>
                <w:color w:val="auto"/>
              </w:rPr>
            </w:pPr>
            <w:r>
              <w:rPr>
                <w:rFonts w:ascii="Arial" w:cs="Arial" w:eastAsia="Arial" w:hAnsi="Arial"/>
                <w:sz w:val="15"/>
                <w:szCs w:val="15"/>
                <w:color w:val="auto"/>
              </w:rPr>
              <w:t>performance and other considerations not reflected in the 2025 Corporate Goals. Consistent with its practice in prior</w:t>
            </w:r>
          </w:p>
        </w:tc>
        <w:tc>
          <w:tcPr>
            <w:tcW w:w="440" w:type="dxa"/>
            <w:vAlign w:val="bottom"/>
          </w:tcPr>
          <w:p>
            <w:pPr>
              <w:spacing w:after="0"/>
              <w:rPr>
                <w:sz w:val="15"/>
                <w:szCs w:val="15"/>
                <w:color w:val="auto"/>
              </w:rPr>
            </w:pPr>
          </w:p>
        </w:tc>
        <w:tc>
          <w:tcPr>
            <w:tcW w:w="1280" w:type="dxa"/>
            <w:vAlign w:val="bottom"/>
            <w:vMerge w:val="restart"/>
          </w:tcPr>
          <w:p>
            <w:pPr>
              <w:ind w:left="140"/>
              <w:spacing w:after="0"/>
              <w:rPr>
                <w:sz w:val="20"/>
                <w:szCs w:val="20"/>
                <w:color w:val="auto"/>
              </w:rPr>
            </w:pPr>
            <w:r>
              <w:rPr>
                <w:rFonts w:ascii="Arial" w:cs="Arial" w:eastAsia="Arial" w:hAnsi="Arial"/>
                <w:sz w:val="12"/>
                <w:szCs w:val="12"/>
                <w:color w:val="FFFFFF"/>
              </w:rPr>
              <w:t>General Information</w:t>
            </w: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4"/>
        </w:trPr>
        <w:tc>
          <w:tcPr>
            <w:tcW w:w="8100" w:type="dxa"/>
            <w:vAlign w:val="bottom"/>
            <w:gridSpan w:val="2"/>
            <w:vMerge w:val="restart"/>
          </w:tcPr>
          <w:p>
            <w:pPr>
              <w:spacing w:after="0"/>
              <w:rPr>
                <w:sz w:val="20"/>
                <w:szCs w:val="20"/>
                <w:color w:val="auto"/>
              </w:rPr>
            </w:pPr>
            <w:r>
              <w:rPr>
                <w:rFonts w:ascii="Arial" w:cs="Arial" w:eastAsia="Arial" w:hAnsi="Arial"/>
                <w:sz w:val="15"/>
                <w:szCs w:val="15"/>
                <w:color w:val="auto"/>
              </w:rPr>
              <w:t>years, the 2025 bonus pool funding framework enabled the Committee to take into account the following additional</w:t>
            </w:r>
          </w:p>
        </w:tc>
        <w:tc>
          <w:tcPr>
            <w:tcW w:w="440" w:type="dxa"/>
            <w:vAlign w:val="bottom"/>
          </w:tcPr>
          <w:p>
            <w:pPr>
              <w:spacing w:after="0"/>
              <w:rPr>
                <w:sz w:val="7"/>
                <w:szCs w:val="7"/>
                <w:color w:val="auto"/>
              </w:rPr>
            </w:pPr>
          </w:p>
        </w:tc>
        <w:tc>
          <w:tcPr>
            <w:tcW w:w="1280" w:type="dxa"/>
            <w:vAlign w:val="bottom"/>
            <w:vMerge w:val="continue"/>
          </w:tcPr>
          <w:p>
            <w:pPr>
              <w:spacing w:after="0"/>
              <w:rPr>
                <w:sz w:val="7"/>
                <w:szCs w:val="7"/>
                <w:color w:val="auto"/>
              </w:rPr>
            </w:pPr>
          </w:p>
        </w:tc>
        <w:tc>
          <w:tcPr>
            <w:tcW w:w="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0"/>
        </w:trPr>
        <w:tc>
          <w:tcPr>
            <w:tcW w:w="8100" w:type="dxa"/>
            <w:vAlign w:val="bottom"/>
            <w:gridSpan w:val="2"/>
            <w:vMerge w:val="continue"/>
          </w:tcPr>
          <w:p>
            <w:pPr>
              <w:spacing w:after="0"/>
              <w:rPr>
                <w:sz w:val="10"/>
                <w:szCs w:val="10"/>
                <w:color w:val="auto"/>
              </w:rPr>
            </w:pPr>
          </w:p>
        </w:tc>
        <w:tc>
          <w:tcPr>
            <w:tcW w:w="440" w:type="dxa"/>
            <w:vAlign w:val="bottom"/>
          </w:tcPr>
          <w:p>
            <w:pPr>
              <w:spacing w:after="0"/>
              <w:rPr>
                <w:sz w:val="10"/>
                <w:szCs w:val="10"/>
                <w:color w:val="auto"/>
              </w:rPr>
            </w:pPr>
          </w:p>
        </w:tc>
        <w:tc>
          <w:tcPr>
            <w:tcW w:w="1280" w:type="dxa"/>
            <w:vAlign w:val="bottom"/>
          </w:tcPr>
          <w:p>
            <w:pPr>
              <w:ind w:left="140"/>
              <w:spacing w:after="0" w:line="120" w:lineRule="exact"/>
              <w:rPr>
                <w:sz w:val="20"/>
                <w:szCs w:val="20"/>
                <w:color w:val="auto"/>
              </w:rPr>
            </w:pPr>
            <w:r>
              <w:rPr>
                <w:rFonts w:ascii="Arial" w:cs="Arial" w:eastAsia="Arial" w:hAnsi="Arial"/>
                <w:sz w:val="12"/>
                <w:szCs w:val="12"/>
                <w:color w:val="FFFFFF"/>
              </w:rPr>
              <w:t>About Corporate</w:t>
            </w: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8100" w:type="dxa"/>
            <w:vAlign w:val="bottom"/>
            <w:gridSpan w:val="2"/>
          </w:tcPr>
          <w:p>
            <w:pPr>
              <w:spacing w:after="0" w:line="136" w:lineRule="exact"/>
              <w:rPr>
                <w:sz w:val="20"/>
                <w:szCs w:val="20"/>
                <w:color w:val="auto"/>
              </w:rPr>
            </w:pPr>
            <w:r>
              <w:rPr>
                <w:rFonts w:ascii="Arial" w:cs="Arial" w:eastAsia="Arial" w:hAnsi="Arial"/>
                <w:sz w:val="15"/>
                <w:szCs w:val="15"/>
                <w:color w:val="auto"/>
              </w:rPr>
              <w:t>considerations in assessing the achievement of the Company’s financial performance and its business goals:</w:t>
            </w:r>
          </w:p>
        </w:tc>
        <w:tc>
          <w:tcPr>
            <w:tcW w:w="440" w:type="dxa"/>
            <w:vAlign w:val="bottom"/>
          </w:tcPr>
          <w:p>
            <w:pPr>
              <w:spacing w:after="0"/>
              <w:rPr>
                <w:sz w:val="11"/>
                <w:szCs w:val="11"/>
                <w:color w:val="auto"/>
              </w:rPr>
            </w:pPr>
          </w:p>
        </w:tc>
        <w:tc>
          <w:tcPr>
            <w:tcW w:w="1280" w:type="dxa"/>
            <w:vAlign w:val="bottom"/>
          </w:tcPr>
          <w:p>
            <w:pPr>
              <w:ind w:left="140"/>
              <w:spacing w:after="0" w:line="136" w:lineRule="exact"/>
              <w:rPr>
                <w:sz w:val="20"/>
                <w:szCs w:val="20"/>
                <w:color w:val="auto"/>
              </w:rPr>
            </w:pPr>
            <w:r>
              <w:rPr>
                <w:rFonts w:ascii="Arial" w:cs="Arial" w:eastAsia="Arial" w:hAnsi="Arial"/>
                <w:sz w:val="12"/>
                <w:szCs w:val="12"/>
                <w:color w:val="FFFFFF"/>
              </w:rPr>
              <w:t>Governance</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160" w:type="dxa"/>
            <w:vAlign w:val="bottom"/>
          </w:tcPr>
          <w:p>
            <w:pPr>
              <w:spacing w:after="0"/>
              <w:rPr>
                <w:sz w:val="11"/>
                <w:szCs w:val="11"/>
                <w:color w:val="auto"/>
              </w:rPr>
            </w:pPr>
          </w:p>
        </w:tc>
        <w:tc>
          <w:tcPr>
            <w:tcW w:w="79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80" w:type="dxa"/>
            <w:vAlign w:val="bottom"/>
          </w:tcPr>
          <w:p>
            <w:pPr>
              <w:ind w:left="140"/>
              <w:spacing w:after="0" w:line="128" w:lineRule="exact"/>
              <w:rPr>
                <w:sz w:val="20"/>
                <w:szCs w:val="20"/>
                <w:color w:val="auto"/>
              </w:rPr>
            </w:pPr>
            <w:r>
              <w:rPr>
                <w:rFonts w:ascii="Arial" w:cs="Arial" w:eastAsia="Arial" w:hAnsi="Arial"/>
                <w:sz w:val="12"/>
                <w:szCs w:val="12"/>
                <w:color w:val="FFFFFF"/>
              </w:rPr>
              <w:t>and the Board of</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6"/>
        </w:trPr>
        <w:tc>
          <w:tcPr>
            <w:tcW w:w="160" w:type="dxa"/>
            <w:vAlign w:val="bottom"/>
          </w:tcPr>
          <w:p>
            <w:pPr>
              <w:spacing w:after="0"/>
              <w:rPr>
                <w:sz w:val="20"/>
                <w:szCs w:val="20"/>
                <w:color w:val="auto"/>
              </w:rPr>
            </w:pPr>
            <w:r>
              <w:rPr>
                <w:rFonts w:ascii="Arial" w:cs="Arial" w:eastAsia="Arial" w:hAnsi="Arial"/>
                <w:sz w:val="15"/>
                <w:szCs w:val="15"/>
                <w:color w:val="auto"/>
              </w:rPr>
              <w:t>•</w:t>
            </w:r>
          </w:p>
        </w:tc>
        <w:tc>
          <w:tcPr>
            <w:tcW w:w="7940" w:type="dxa"/>
            <w:vAlign w:val="bottom"/>
          </w:tcPr>
          <w:p>
            <w:pPr>
              <w:ind w:left="100"/>
              <w:spacing w:after="0"/>
              <w:rPr>
                <w:sz w:val="20"/>
                <w:szCs w:val="20"/>
                <w:color w:val="auto"/>
              </w:rPr>
            </w:pPr>
            <w:r>
              <w:rPr>
                <w:rFonts w:ascii="Arial" w:cs="Arial" w:eastAsia="Arial" w:hAnsi="Arial"/>
                <w:sz w:val="15"/>
                <w:szCs w:val="15"/>
                <w:color w:val="auto"/>
              </w:rPr>
              <w:t>macroeconomic environment;</w:t>
            </w:r>
          </w:p>
        </w:tc>
        <w:tc>
          <w:tcPr>
            <w:tcW w:w="440" w:type="dxa"/>
            <w:vAlign w:val="bottom"/>
          </w:tcPr>
          <w:p>
            <w:pPr>
              <w:spacing w:after="0"/>
              <w:rPr>
                <w:sz w:val="17"/>
                <w:szCs w:val="17"/>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Directors</w:t>
            </w: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4"/>
        </w:trPr>
        <w:tc>
          <w:tcPr>
            <w:tcW w:w="160" w:type="dxa"/>
            <w:vAlign w:val="bottom"/>
          </w:tcPr>
          <w:p>
            <w:pPr>
              <w:spacing w:after="0"/>
              <w:rPr>
                <w:sz w:val="20"/>
                <w:szCs w:val="20"/>
                <w:color w:val="auto"/>
              </w:rPr>
            </w:pPr>
            <w:r>
              <w:rPr>
                <w:rFonts w:ascii="Arial" w:cs="Arial" w:eastAsia="Arial" w:hAnsi="Arial"/>
                <w:sz w:val="15"/>
                <w:szCs w:val="15"/>
                <w:color w:val="auto"/>
              </w:rPr>
              <w:t>•</w:t>
            </w:r>
          </w:p>
        </w:tc>
        <w:tc>
          <w:tcPr>
            <w:tcW w:w="7940" w:type="dxa"/>
            <w:vAlign w:val="bottom"/>
          </w:tcPr>
          <w:p>
            <w:pPr>
              <w:ind w:left="100"/>
              <w:spacing w:after="0"/>
              <w:rPr>
                <w:sz w:val="20"/>
                <w:szCs w:val="20"/>
                <w:color w:val="auto"/>
              </w:rPr>
            </w:pPr>
            <w:r>
              <w:rPr>
                <w:rFonts w:ascii="Arial" w:cs="Arial" w:eastAsia="Arial" w:hAnsi="Arial"/>
                <w:sz w:val="15"/>
                <w:szCs w:val="15"/>
                <w:color w:val="auto"/>
              </w:rPr>
              <w:t>regulatory impacts;</w:t>
            </w:r>
          </w:p>
        </w:tc>
        <w:tc>
          <w:tcPr>
            <w:tcW w:w="440" w:type="dxa"/>
            <w:vAlign w:val="bottom"/>
          </w:tcPr>
          <w:p>
            <w:pPr>
              <w:spacing w:after="0"/>
              <w:rPr>
                <w:sz w:val="24"/>
                <w:szCs w:val="24"/>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Proposal 1</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8100" w:type="dxa"/>
            <w:vAlign w:val="bottom"/>
            <w:gridSpan w:val="2"/>
          </w:tcPr>
          <w:p>
            <w:pPr>
              <w:spacing w:after="0"/>
              <w:rPr>
                <w:sz w:val="20"/>
                <w:szCs w:val="20"/>
                <w:color w:val="auto"/>
              </w:rPr>
            </w:pPr>
            <w:r>
              <w:rPr>
                <w:rFonts w:ascii="Arial" w:cs="Arial" w:eastAsia="Arial" w:hAnsi="Arial"/>
                <w:sz w:val="15"/>
                <w:szCs w:val="15"/>
                <w:color w:val="auto"/>
              </w:rPr>
              <w:t>•   quality of financial results;</w:t>
            </w:r>
          </w:p>
        </w:tc>
        <w:tc>
          <w:tcPr>
            <w:tcW w:w="440" w:type="dxa"/>
            <w:vAlign w:val="bottom"/>
          </w:tcPr>
          <w:p>
            <w:pPr>
              <w:spacing w:after="0"/>
              <w:rPr>
                <w:sz w:val="21"/>
                <w:szCs w:val="21"/>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Information</w:t>
            </w: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7"/>
        </w:trPr>
        <w:tc>
          <w:tcPr>
            <w:tcW w:w="160" w:type="dxa"/>
            <w:vAlign w:val="bottom"/>
          </w:tcPr>
          <w:p>
            <w:pPr>
              <w:spacing w:after="0"/>
              <w:rPr>
                <w:sz w:val="8"/>
                <w:szCs w:val="8"/>
                <w:color w:val="auto"/>
              </w:rPr>
            </w:pPr>
          </w:p>
        </w:tc>
        <w:tc>
          <w:tcPr>
            <w:tcW w:w="79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80" w:type="dxa"/>
            <w:vAlign w:val="bottom"/>
          </w:tcPr>
          <w:p>
            <w:pPr>
              <w:ind w:left="140"/>
              <w:spacing w:after="0" w:line="97" w:lineRule="exact"/>
              <w:rPr>
                <w:sz w:val="20"/>
                <w:szCs w:val="20"/>
                <w:color w:val="auto"/>
              </w:rPr>
            </w:pPr>
            <w:r>
              <w:rPr>
                <w:rFonts w:ascii="Arial" w:cs="Arial" w:eastAsia="Arial" w:hAnsi="Arial"/>
                <w:sz w:val="11"/>
                <w:szCs w:val="11"/>
                <w:color w:val="FFFFFF"/>
              </w:rPr>
              <w:t>Regarding Board</w:t>
            </w: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8"/>
        </w:trPr>
        <w:tc>
          <w:tcPr>
            <w:tcW w:w="160" w:type="dxa"/>
            <w:vAlign w:val="bottom"/>
            <w:vMerge w:val="restart"/>
          </w:tcPr>
          <w:p>
            <w:pPr>
              <w:spacing w:after="0"/>
              <w:rPr>
                <w:sz w:val="20"/>
                <w:szCs w:val="20"/>
                <w:color w:val="auto"/>
              </w:rPr>
            </w:pPr>
            <w:r>
              <w:rPr>
                <w:rFonts w:ascii="Arial" w:cs="Arial" w:eastAsia="Arial" w:hAnsi="Arial"/>
                <w:sz w:val="15"/>
                <w:szCs w:val="15"/>
                <w:color w:val="auto"/>
              </w:rPr>
              <w:t>•</w:t>
            </w:r>
          </w:p>
        </w:tc>
        <w:tc>
          <w:tcPr>
            <w:tcW w:w="7940" w:type="dxa"/>
            <w:vAlign w:val="bottom"/>
            <w:vMerge w:val="restart"/>
          </w:tcPr>
          <w:p>
            <w:pPr>
              <w:ind w:left="100"/>
              <w:spacing w:after="0"/>
              <w:rPr>
                <w:sz w:val="20"/>
                <w:szCs w:val="20"/>
                <w:color w:val="auto"/>
              </w:rPr>
            </w:pPr>
            <w:r>
              <w:rPr>
                <w:rFonts w:ascii="Arial" w:cs="Arial" w:eastAsia="Arial" w:hAnsi="Arial"/>
                <w:sz w:val="15"/>
                <w:szCs w:val="15"/>
                <w:color w:val="auto"/>
              </w:rPr>
              <w:t>competitive intensity;</w:t>
            </w:r>
          </w:p>
        </w:tc>
        <w:tc>
          <w:tcPr>
            <w:tcW w:w="440" w:type="dxa"/>
            <w:vAlign w:val="bottom"/>
          </w:tcPr>
          <w:p>
            <w:pPr>
              <w:spacing w:after="0"/>
              <w:rPr>
                <w:sz w:val="11"/>
                <w:szCs w:val="11"/>
                <w:color w:val="auto"/>
              </w:rPr>
            </w:pPr>
          </w:p>
        </w:tc>
        <w:tc>
          <w:tcPr>
            <w:tcW w:w="1280" w:type="dxa"/>
            <w:vAlign w:val="bottom"/>
          </w:tcPr>
          <w:p>
            <w:pPr>
              <w:ind w:left="140"/>
              <w:spacing w:after="0" w:line="128" w:lineRule="exact"/>
              <w:rPr>
                <w:sz w:val="20"/>
                <w:szCs w:val="20"/>
                <w:color w:val="auto"/>
              </w:rPr>
            </w:pPr>
            <w:r>
              <w:rPr>
                <w:rFonts w:ascii="Arial" w:cs="Arial" w:eastAsia="Arial" w:hAnsi="Arial"/>
                <w:sz w:val="12"/>
                <w:szCs w:val="12"/>
                <w:color w:val="FFFFFF"/>
              </w:rPr>
              <w:t>and Committee</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160" w:type="dxa"/>
            <w:vAlign w:val="bottom"/>
            <w:vMerge w:val="continue"/>
          </w:tcPr>
          <w:p>
            <w:pPr>
              <w:spacing w:after="0"/>
              <w:rPr>
                <w:sz w:val="10"/>
                <w:szCs w:val="10"/>
                <w:color w:val="auto"/>
              </w:rPr>
            </w:pPr>
          </w:p>
        </w:tc>
        <w:tc>
          <w:tcPr>
            <w:tcW w:w="7940" w:type="dxa"/>
            <w:vAlign w:val="bottom"/>
            <w:vMerge w:val="continue"/>
          </w:tcPr>
          <w:p>
            <w:pPr>
              <w:spacing w:after="0"/>
              <w:rPr>
                <w:sz w:val="10"/>
                <w:szCs w:val="10"/>
                <w:color w:val="auto"/>
              </w:rPr>
            </w:pPr>
          </w:p>
        </w:tc>
        <w:tc>
          <w:tcPr>
            <w:tcW w:w="440" w:type="dxa"/>
            <w:vAlign w:val="bottom"/>
          </w:tcPr>
          <w:p>
            <w:pPr>
              <w:spacing w:after="0"/>
              <w:rPr>
                <w:sz w:val="10"/>
                <w:szCs w:val="10"/>
                <w:color w:val="auto"/>
              </w:rPr>
            </w:pPr>
          </w:p>
        </w:tc>
        <w:tc>
          <w:tcPr>
            <w:tcW w:w="1280" w:type="dxa"/>
            <w:vAlign w:val="bottom"/>
            <w:vMerge w:val="restart"/>
          </w:tcPr>
          <w:p>
            <w:pPr>
              <w:ind w:left="140"/>
              <w:spacing w:after="0"/>
              <w:rPr>
                <w:sz w:val="20"/>
                <w:szCs w:val="20"/>
                <w:color w:val="auto"/>
              </w:rPr>
            </w:pPr>
            <w:r>
              <w:rPr>
                <w:rFonts w:ascii="Arial" w:cs="Arial" w:eastAsia="Arial" w:hAnsi="Arial"/>
                <w:sz w:val="12"/>
                <w:szCs w:val="12"/>
                <w:color w:val="FFFFFF"/>
              </w:rPr>
              <w:t>Structure</w:t>
            </w: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1"/>
        </w:trPr>
        <w:tc>
          <w:tcPr>
            <w:tcW w:w="160" w:type="dxa"/>
            <w:vAlign w:val="bottom"/>
          </w:tcPr>
          <w:p>
            <w:pPr>
              <w:spacing w:after="0"/>
              <w:rPr>
                <w:sz w:val="3"/>
                <w:szCs w:val="3"/>
                <w:color w:val="auto"/>
              </w:rPr>
            </w:pPr>
          </w:p>
        </w:tc>
        <w:tc>
          <w:tcPr>
            <w:tcW w:w="7940" w:type="dxa"/>
            <w:vAlign w:val="bottom"/>
          </w:tcPr>
          <w:p>
            <w:pPr>
              <w:spacing w:after="0"/>
              <w:rPr>
                <w:sz w:val="3"/>
                <w:szCs w:val="3"/>
                <w:color w:val="auto"/>
              </w:rPr>
            </w:pPr>
          </w:p>
        </w:tc>
        <w:tc>
          <w:tcPr>
            <w:tcW w:w="4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8100" w:type="dxa"/>
            <w:vAlign w:val="bottom"/>
            <w:gridSpan w:val="2"/>
          </w:tcPr>
          <w:p>
            <w:pPr>
              <w:spacing w:after="0"/>
              <w:rPr>
                <w:sz w:val="20"/>
                <w:szCs w:val="20"/>
                <w:color w:val="auto"/>
              </w:rPr>
            </w:pPr>
            <w:r>
              <w:rPr>
                <w:rFonts w:ascii="Arial" w:cs="Arial" w:eastAsia="Arial" w:hAnsi="Arial"/>
                <w:sz w:val="15"/>
                <w:szCs w:val="15"/>
                <w:color w:val="auto"/>
              </w:rPr>
              <w:t>•   degree of difficulty in goal achievement;</w:t>
            </w:r>
          </w:p>
        </w:tc>
        <w:tc>
          <w:tcPr>
            <w:tcW w:w="440" w:type="dxa"/>
            <w:vAlign w:val="bottom"/>
          </w:tcPr>
          <w:p>
            <w:pPr>
              <w:spacing w:after="0"/>
              <w:rPr>
                <w:sz w:val="22"/>
                <w:szCs w:val="22"/>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Board of Directors</w:t>
            </w:r>
          </w:p>
        </w:tc>
        <w:tc>
          <w:tcPr>
            <w:tcW w:w="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8"/>
        </w:trPr>
        <w:tc>
          <w:tcPr>
            <w:tcW w:w="160" w:type="dxa"/>
            <w:vAlign w:val="bottom"/>
            <w:vMerge w:val="restart"/>
          </w:tcPr>
          <w:p>
            <w:pPr>
              <w:spacing w:after="0"/>
              <w:rPr>
                <w:sz w:val="20"/>
                <w:szCs w:val="20"/>
                <w:color w:val="auto"/>
              </w:rPr>
            </w:pPr>
            <w:r>
              <w:rPr>
                <w:rFonts w:ascii="Arial" w:cs="Arial" w:eastAsia="Arial" w:hAnsi="Arial"/>
                <w:sz w:val="15"/>
                <w:szCs w:val="15"/>
                <w:color w:val="auto"/>
              </w:rPr>
              <w:t>•</w:t>
            </w:r>
          </w:p>
        </w:tc>
        <w:tc>
          <w:tcPr>
            <w:tcW w:w="7940" w:type="dxa"/>
            <w:vAlign w:val="bottom"/>
            <w:vMerge w:val="restart"/>
          </w:tcPr>
          <w:p>
            <w:pPr>
              <w:ind w:left="100"/>
              <w:spacing w:after="0"/>
              <w:rPr>
                <w:sz w:val="20"/>
                <w:szCs w:val="20"/>
                <w:color w:val="auto"/>
              </w:rPr>
            </w:pPr>
            <w:r>
              <w:rPr>
                <w:rFonts w:ascii="Arial" w:cs="Arial" w:eastAsia="Arial" w:hAnsi="Arial"/>
                <w:sz w:val="15"/>
                <w:szCs w:val="15"/>
                <w:color w:val="auto"/>
              </w:rPr>
              <w:t>strategic expansion; and</w:t>
            </w:r>
          </w:p>
        </w:tc>
        <w:tc>
          <w:tcPr>
            <w:tcW w:w="440" w:type="dxa"/>
            <w:vAlign w:val="bottom"/>
          </w:tcPr>
          <w:p>
            <w:pPr>
              <w:spacing w:after="0"/>
              <w:rPr>
                <w:sz w:val="13"/>
                <w:szCs w:val="13"/>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Compensation</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160" w:type="dxa"/>
            <w:vAlign w:val="bottom"/>
            <w:vMerge w:val="continue"/>
          </w:tcPr>
          <w:p>
            <w:pPr>
              <w:spacing w:after="0"/>
              <w:rPr>
                <w:sz w:val="10"/>
                <w:szCs w:val="10"/>
                <w:color w:val="auto"/>
              </w:rPr>
            </w:pPr>
          </w:p>
        </w:tc>
        <w:tc>
          <w:tcPr>
            <w:tcW w:w="7940" w:type="dxa"/>
            <w:vAlign w:val="bottom"/>
            <w:vMerge w:val="continue"/>
          </w:tcPr>
          <w:p>
            <w:pPr>
              <w:spacing w:after="0"/>
              <w:rPr>
                <w:sz w:val="10"/>
                <w:szCs w:val="10"/>
                <w:color w:val="auto"/>
              </w:rPr>
            </w:pPr>
          </w:p>
        </w:tc>
        <w:tc>
          <w:tcPr>
            <w:tcW w:w="44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1" w:lineRule="exact"/>
        <w:rPr>
          <w:sz w:val="20"/>
          <w:szCs w:val="20"/>
          <w:color w:val="auto"/>
        </w:rPr>
      </w:pPr>
    </w:p>
    <w:p>
      <w:pPr>
        <w:sectPr>
          <w:pgSz w:w="11900" w:h="16838" w:orient="portrait"/>
          <w:cols w:equalWidth="0" w:num="1">
            <w:col w:w="10800"/>
          </w:cols>
          <w:pgMar w:left="320" w:top="464" w:right="779" w:bottom="1440" w:gutter="0" w:footer="0" w:header="0"/>
        </w:sectPr>
      </w:pPr>
    </w:p>
    <w:p>
      <w:pPr>
        <w:spacing w:after="0" w:line="82" w:lineRule="exact"/>
        <w:rPr>
          <w:sz w:val="20"/>
          <w:szCs w:val="20"/>
          <w:color w:val="auto"/>
        </w:rPr>
      </w:pPr>
    </w:p>
    <w:p>
      <w:pPr>
        <w:ind w:left="800" w:hanging="261"/>
        <w:spacing w:after="0"/>
        <w:tabs>
          <w:tab w:leader="none" w:pos="800" w:val="left"/>
        </w:tabs>
        <w:numPr>
          <w:ilvl w:val="0"/>
          <w:numId w:val="75"/>
        </w:numPr>
        <w:rPr>
          <w:rFonts w:ascii="Arial" w:cs="Arial" w:eastAsia="Arial" w:hAnsi="Arial"/>
          <w:sz w:val="15"/>
          <w:szCs w:val="15"/>
          <w:color w:val="auto"/>
        </w:rPr>
      </w:pPr>
      <w:r>
        <w:rPr>
          <w:rFonts w:ascii="Arial" w:cs="Arial" w:eastAsia="Arial" w:hAnsi="Arial"/>
          <w:sz w:val="15"/>
          <w:szCs w:val="15"/>
          <w:color w:val="auto"/>
        </w:rPr>
        <w:t>development of new capabilities.</w:t>
      </w:r>
    </w:p>
    <w:p>
      <w:pPr>
        <w:spacing w:after="0" w:line="108" w:lineRule="exact"/>
        <w:rPr>
          <w:sz w:val="20"/>
          <w:szCs w:val="20"/>
          <w:color w:val="auto"/>
        </w:rPr>
      </w:pPr>
    </w:p>
    <w:p>
      <w:pPr>
        <w:ind w:left="540" w:right="120"/>
        <w:spacing w:after="0" w:line="258" w:lineRule="auto"/>
        <w:rPr>
          <w:sz w:val="20"/>
          <w:szCs w:val="20"/>
          <w:color w:val="auto"/>
        </w:rPr>
      </w:pPr>
      <w:r>
        <w:rPr>
          <w:rFonts w:ascii="Arial" w:cs="Arial" w:eastAsia="Arial" w:hAnsi="Arial"/>
          <w:sz w:val="15"/>
          <w:szCs w:val="15"/>
          <w:color w:val="auto"/>
        </w:rPr>
        <w:t>For 2025, the collective level of achievement of the Company’s financial and business goals yielded a total bonus pool funding of approximately $147 million. The Compensation Committee declined to exercise its discretion to increase or decrease the level of 2025 bonus pool funding. This $147 million bonus pool funding was 5.3% of Incentive EBITDA in 2025, compared to bonus pool funding that was 5.5% of Incentive EBITDA in 2024. Bonuses to our NEOs, other executive officers and other employees of the Company were paid from this pool.</w:t>
      </w:r>
    </w:p>
    <w:p>
      <w:pPr>
        <w:spacing w:after="0" w:line="20" w:lineRule="exact"/>
        <w:rPr>
          <w:sz w:val="20"/>
          <w:szCs w:val="20"/>
          <w:color w:val="auto"/>
        </w:rPr>
      </w:pPr>
      <w:r>
        <w:rPr>
          <w:sz w:val="20"/>
          <w:szCs w:val="20"/>
          <w:color w:val="auto"/>
        </w:rPr>
        <w:br w:type="column"/>
      </w:r>
    </w:p>
    <w:p>
      <w:pPr>
        <w:ind w:right="700"/>
        <w:spacing w:after="0" w:line="244" w:lineRule="auto"/>
        <w:rPr>
          <w:sz w:val="20"/>
          <w:szCs w:val="20"/>
          <w:color w:val="auto"/>
        </w:rPr>
      </w:pPr>
      <w:r>
        <w:rPr>
          <w:rFonts w:ascii="Arial" w:cs="Arial" w:eastAsia="Arial" w:hAnsi="Arial"/>
          <w:sz w:val="12"/>
          <w:szCs w:val="12"/>
          <w:b w:val="1"/>
          <w:bCs w:val="1"/>
          <w:color w:val="FFFFFF"/>
        </w:rPr>
        <w:t>Compensation Discussion and Analysis</w:t>
      </w:r>
    </w:p>
    <w:p>
      <w:pPr>
        <w:spacing w:after="0" w:line="128" w:lineRule="exact"/>
        <w:rPr>
          <w:sz w:val="20"/>
          <w:szCs w:val="20"/>
          <w:color w:val="auto"/>
        </w:rPr>
      </w:pPr>
    </w:p>
    <w:p>
      <w:pPr>
        <w:spacing w:after="0"/>
        <w:rPr>
          <w:sz w:val="20"/>
          <w:szCs w:val="20"/>
          <w:color w:val="auto"/>
        </w:rPr>
      </w:pPr>
      <w:r>
        <w:rPr>
          <w:rFonts w:ascii="Arial" w:cs="Arial" w:eastAsia="Arial" w:hAnsi="Arial"/>
          <w:sz w:val="12"/>
          <w:szCs w:val="12"/>
          <w:color w:val="FFFFFF"/>
        </w:rPr>
        <w:t>Report of the</w:t>
      </w:r>
    </w:p>
    <w:p>
      <w:pPr>
        <w:spacing w:after="0" w:line="224" w:lineRule="auto"/>
        <w:rPr>
          <w:sz w:val="20"/>
          <w:szCs w:val="20"/>
          <w:color w:val="auto"/>
        </w:rPr>
      </w:pPr>
      <w:r>
        <w:rPr>
          <w:rFonts w:ascii="Arial" w:cs="Arial" w:eastAsia="Arial" w:hAnsi="Arial"/>
          <w:sz w:val="12"/>
          <w:szCs w:val="12"/>
          <w:color w:val="FFFFFF"/>
        </w:rPr>
        <w:t>Compensation</w:t>
      </w:r>
    </w:p>
    <w:p>
      <w:pPr>
        <w:spacing w:after="0" w:line="222" w:lineRule="auto"/>
        <w:rPr>
          <w:sz w:val="20"/>
          <w:szCs w:val="20"/>
          <w:color w:val="auto"/>
        </w:rPr>
      </w:pPr>
      <w:r>
        <w:rPr>
          <w:rFonts w:ascii="Arial" w:cs="Arial" w:eastAsia="Arial" w:hAnsi="Arial"/>
          <w:sz w:val="12"/>
          <w:szCs w:val="12"/>
          <w:color w:val="FFFFFF"/>
        </w:rPr>
        <w:t>and Human</w:t>
      </w:r>
    </w:p>
    <w:p>
      <w:pPr>
        <w:spacing w:after="0" w:line="222" w:lineRule="auto"/>
        <w:rPr>
          <w:sz w:val="20"/>
          <w:szCs w:val="20"/>
          <w:color w:val="auto"/>
        </w:rPr>
      </w:pPr>
      <w:r>
        <w:rPr>
          <w:rFonts w:ascii="Arial" w:cs="Arial" w:eastAsia="Arial" w:hAnsi="Arial"/>
          <w:sz w:val="12"/>
          <w:szCs w:val="12"/>
          <w:color w:val="FFFFFF"/>
        </w:rPr>
        <w:t>Resources</w:t>
      </w:r>
    </w:p>
    <w:p>
      <w:pPr>
        <w:spacing w:after="0" w:line="222" w:lineRule="auto"/>
        <w:rPr>
          <w:sz w:val="20"/>
          <w:szCs w:val="20"/>
          <w:color w:val="auto"/>
        </w:rPr>
      </w:pPr>
      <w:r>
        <w:rPr>
          <w:rFonts w:ascii="Arial" w:cs="Arial" w:eastAsia="Arial" w:hAnsi="Arial"/>
          <w:sz w:val="12"/>
          <w:szCs w:val="12"/>
          <w:color w:val="FFFFFF"/>
        </w:rPr>
        <w:t>Committee of the</w:t>
      </w:r>
    </w:p>
    <w:p>
      <w:pPr>
        <w:spacing w:after="0"/>
        <w:rPr>
          <w:sz w:val="20"/>
          <w:szCs w:val="20"/>
          <w:color w:val="auto"/>
        </w:rPr>
      </w:pPr>
      <w:r>
        <w:rPr>
          <w:rFonts w:ascii="Arial" w:cs="Arial" w:eastAsia="Arial" w:hAnsi="Arial"/>
          <w:sz w:val="11"/>
          <w:szCs w:val="11"/>
          <w:color w:val="FFFFFF"/>
        </w:rPr>
        <w:t>Board of Directors</w:t>
      </w:r>
    </w:p>
    <w:p>
      <w:pPr>
        <w:spacing w:after="0" w:line="155" w:lineRule="exact"/>
        <w:rPr>
          <w:sz w:val="20"/>
          <w:szCs w:val="20"/>
          <w:color w:val="auto"/>
        </w:rPr>
      </w:pPr>
    </w:p>
    <w:p>
      <w:pPr>
        <w:spacing w:after="0"/>
        <w:rPr>
          <w:sz w:val="20"/>
          <w:szCs w:val="20"/>
          <w:color w:val="auto"/>
        </w:rPr>
      </w:pPr>
      <w:r>
        <w:rPr>
          <w:rFonts w:ascii="Arial" w:cs="Arial" w:eastAsia="Arial" w:hAnsi="Arial"/>
          <w:sz w:val="12"/>
          <w:szCs w:val="12"/>
          <w:color w:val="FFFFFF"/>
        </w:rPr>
        <w:t>Compensation of</w:t>
      </w:r>
    </w:p>
    <w:p>
      <w:pPr>
        <w:spacing w:after="0" w:line="224" w:lineRule="auto"/>
        <w:rPr>
          <w:sz w:val="20"/>
          <w:szCs w:val="20"/>
          <w:color w:val="auto"/>
        </w:rPr>
      </w:pPr>
      <w:r>
        <w:rPr>
          <w:rFonts w:ascii="Arial" w:cs="Arial" w:eastAsia="Arial" w:hAnsi="Arial"/>
          <w:sz w:val="12"/>
          <w:szCs w:val="12"/>
          <w:color w:val="FFFFFF"/>
        </w:rPr>
        <w:t>Named Executive</w:t>
      </w:r>
    </w:p>
    <w:p>
      <w:pPr>
        <w:spacing w:after="0"/>
        <w:rPr>
          <w:sz w:val="20"/>
          <w:szCs w:val="20"/>
          <w:color w:val="auto"/>
        </w:rPr>
      </w:pPr>
      <w:r>
        <w:rPr>
          <w:rFonts w:ascii="Arial" w:cs="Arial" w:eastAsia="Arial" w:hAnsi="Arial"/>
          <w:sz w:val="12"/>
          <w:szCs w:val="12"/>
          <w:color w:val="FFFFFF"/>
        </w:rPr>
        <w:t>Officers</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Pay Versus</w:t>
      </w:r>
    </w:p>
    <w:p>
      <w:pPr>
        <w:spacing w:after="0" w:line="224" w:lineRule="auto"/>
        <w:rPr>
          <w:sz w:val="20"/>
          <w:szCs w:val="20"/>
          <w:color w:val="auto"/>
        </w:rPr>
      </w:pPr>
      <w:r>
        <w:rPr>
          <w:rFonts w:ascii="Arial" w:cs="Arial" w:eastAsia="Arial" w:hAnsi="Arial"/>
          <w:sz w:val="12"/>
          <w:szCs w:val="12"/>
          <w:color w:val="FFFFFF"/>
        </w:rPr>
        <w:t>Performance</w:t>
      </w:r>
    </w:p>
    <w:p>
      <w:pPr>
        <w:spacing w:after="0"/>
        <w:rPr>
          <w:sz w:val="20"/>
          <w:szCs w:val="20"/>
          <w:color w:val="auto"/>
        </w:rPr>
      </w:pPr>
      <w:r>
        <w:rPr>
          <w:rFonts w:ascii="Arial" w:cs="Arial" w:eastAsia="Arial" w:hAnsi="Arial"/>
          <w:sz w:val="12"/>
          <w:szCs w:val="12"/>
          <w:color w:val="FFFFFF"/>
        </w:rPr>
        <w:t>Disclosure</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Security</w:t>
      </w:r>
    </w:p>
    <w:p>
      <w:pPr>
        <w:spacing w:after="0" w:line="224" w:lineRule="auto"/>
        <w:rPr>
          <w:sz w:val="20"/>
          <w:szCs w:val="20"/>
          <w:color w:val="auto"/>
        </w:rPr>
      </w:pPr>
      <w:r>
        <w:rPr>
          <w:rFonts w:ascii="Arial" w:cs="Arial" w:eastAsia="Arial" w:hAnsi="Arial"/>
          <w:sz w:val="12"/>
          <w:szCs w:val="12"/>
          <w:color w:val="FFFFFF"/>
        </w:rPr>
        <w:t>Ownership of</w:t>
      </w:r>
    </w:p>
    <w:p>
      <w:pPr>
        <w:spacing w:after="0" w:line="222" w:lineRule="auto"/>
        <w:rPr>
          <w:sz w:val="20"/>
          <w:szCs w:val="20"/>
          <w:color w:val="auto"/>
        </w:rPr>
      </w:pPr>
      <w:r>
        <w:rPr>
          <w:rFonts w:ascii="Arial" w:cs="Arial" w:eastAsia="Arial" w:hAnsi="Arial"/>
          <w:sz w:val="12"/>
          <w:szCs w:val="12"/>
          <w:color w:val="FFFFFF"/>
        </w:rPr>
        <w:t>Certain Beneficial</w:t>
      </w:r>
    </w:p>
    <w:p>
      <w:pPr>
        <w:spacing w:after="0" w:line="222" w:lineRule="auto"/>
        <w:rPr>
          <w:sz w:val="20"/>
          <w:szCs w:val="20"/>
          <w:color w:val="auto"/>
        </w:rPr>
      </w:pPr>
      <w:r>
        <w:rPr>
          <w:rFonts w:ascii="Arial" w:cs="Arial" w:eastAsia="Arial" w:hAnsi="Arial"/>
          <w:sz w:val="12"/>
          <w:szCs w:val="12"/>
          <w:color w:val="FFFFFF"/>
        </w:rPr>
        <w:t>Owners and</w:t>
      </w:r>
    </w:p>
    <w:p>
      <w:pPr>
        <w:spacing w:after="0"/>
        <w:rPr>
          <w:sz w:val="20"/>
          <w:szCs w:val="20"/>
          <w:color w:val="auto"/>
        </w:rPr>
      </w:pPr>
      <w:r>
        <w:rPr>
          <w:rFonts w:ascii="Arial" w:cs="Arial" w:eastAsia="Arial" w:hAnsi="Arial"/>
          <w:sz w:val="12"/>
          <w:szCs w:val="12"/>
          <w:color w:val="FFFFFF"/>
        </w:rPr>
        <w:t>Management</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Certain</w:t>
      </w:r>
    </w:p>
    <w:p>
      <w:pPr>
        <w:spacing w:after="0" w:line="224" w:lineRule="auto"/>
        <w:rPr>
          <w:sz w:val="20"/>
          <w:szCs w:val="20"/>
          <w:color w:val="auto"/>
        </w:rPr>
      </w:pPr>
      <w:r>
        <w:rPr>
          <w:rFonts w:ascii="Arial" w:cs="Arial" w:eastAsia="Arial" w:hAnsi="Arial"/>
          <w:sz w:val="12"/>
          <w:szCs w:val="12"/>
          <w:color w:val="FFFFFF"/>
        </w:rPr>
        <w:t>Relationships and</w:t>
      </w:r>
    </w:p>
    <w:p>
      <w:pPr>
        <w:spacing w:after="0" w:line="222" w:lineRule="auto"/>
        <w:rPr>
          <w:sz w:val="20"/>
          <w:szCs w:val="20"/>
          <w:color w:val="auto"/>
        </w:rPr>
      </w:pPr>
      <w:r>
        <w:rPr>
          <w:rFonts w:ascii="Arial" w:cs="Arial" w:eastAsia="Arial" w:hAnsi="Arial"/>
          <w:sz w:val="12"/>
          <w:szCs w:val="12"/>
          <w:color w:val="FFFFFF"/>
        </w:rPr>
        <w:t>Related Party</w:t>
      </w:r>
    </w:p>
    <w:p>
      <w:pPr>
        <w:spacing w:after="0"/>
        <w:rPr>
          <w:sz w:val="20"/>
          <w:szCs w:val="20"/>
          <w:color w:val="auto"/>
        </w:rPr>
      </w:pPr>
      <w:r>
        <w:rPr>
          <w:rFonts w:ascii="Arial" w:cs="Arial" w:eastAsia="Arial" w:hAnsi="Arial"/>
          <w:sz w:val="12"/>
          <w:szCs w:val="12"/>
          <w:color w:val="FFFFFF"/>
        </w:rPr>
        <w:t>Transactions</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Proposal 2</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FFFFFF"/>
        </w:rPr>
        <w:t>Report of the</w:t>
      </w:r>
    </w:p>
    <w:p>
      <w:pPr>
        <w:spacing w:after="0" w:line="224" w:lineRule="auto"/>
        <w:rPr>
          <w:sz w:val="20"/>
          <w:szCs w:val="20"/>
          <w:color w:val="auto"/>
        </w:rPr>
      </w:pPr>
      <w:r>
        <w:rPr>
          <w:rFonts w:ascii="Arial" w:cs="Arial" w:eastAsia="Arial" w:hAnsi="Arial"/>
          <w:sz w:val="12"/>
          <w:szCs w:val="12"/>
          <w:color w:val="FFFFFF"/>
        </w:rPr>
        <w:t>Audit and Risk</w:t>
      </w:r>
    </w:p>
    <w:p>
      <w:pPr>
        <w:spacing w:after="0" w:line="222" w:lineRule="auto"/>
        <w:rPr>
          <w:sz w:val="20"/>
          <w:szCs w:val="20"/>
          <w:color w:val="auto"/>
        </w:rPr>
      </w:pPr>
      <w:r>
        <w:rPr>
          <w:rFonts w:ascii="Arial" w:cs="Arial" w:eastAsia="Arial" w:hAnsi="Arial"/>
          <w:sz w:val="12"/>
          <w:szCs w:val="12"/>
          <w:color w:val="FFFFFF"/>
        </w:rPr>
        <w:t>Committee of the</w:t>
      </w:r>
    </w:p>
    <w:p>
      <w:pPr>
        <w:spacing w:after="0"/>
        <w:rPr>
          <w:sz w:val="20"/>
          <w:szCs w:val="20"/>
          <w:color w:val="auto"/>
        </w:rPr>
      </w:pPr>
      <w:r>
        <w:rPr>
          <w:rFonts w:ascii="Arial" w:cs="Arial" w:eastAsia="Arial" w:hAnsi="Arial"/>
          <w:sz w:val="11"/>
          <w:szCs w:val="11"/>
          <w:color w:val="FFFFFF"/>
        </w:rPr>
        <w:t>Board of Directors</w:t>
      </w:r>
    </w:p>
    <w:p>
      <w:pPr>
        <w:spacing w:after="0" w:line="155" w:lineRule="exact"/>
        <w:rPr>
          <w:sz w:val="20"/>
          <w:szCs w:val="20"/>
          <w:color w:val="auto"/>
        </w:rPr>
      </w:pPr>
    </w:p>
    <w:p>
      <w:pPr>
        <w:spacing w:after="0"/>
        <w:rPr>
          <w:sz w:val="20"/>
          <w:szCs w:val="20"/>
          <w:color w:val="auto"/>
        </w:rPr>
      </w:pPr>
      <w:r>
        <w:rPr>
          <w:rFonts w:ascii="Arial" w:cs="Arial" w:eastAsia="Arial" w:hAnsi="Arial"/>
          <w:sz w:val="12"/>
          <w:szCs w:val="12"/>
          <w:color w:val="FFFFFF"/>
        </w:rPr>
        <w:t>Proposal 3</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FFFFFF"/>
        </w:rPr>
        <w:t>Proposal 4</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FFFFFF"/>
        </w:rPr>
        <w:t>Proposal 5</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FFFFFF"/>
        </w:rPr>
        <w:t>Proposal 6</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FFFFFF"/>
        </w:rPr>
        <w:t>Stockholder</w:t>
      </w:r>
    </w:p>
    <w:p>
      <w:pPr>
        <w:spacing w:after="0" w:line="224" w:lineRule="auto"/>
        <w:rPr>
          <w:sz w:val="20"/>
          <w:szCs w:val="20"/>
          <w:color w:val="auto"/>
        </w:rPr>
      </w:pPr>
      <w:r>
        <w:rPr>
          <w:rFonts w:ascii="Arial" w:cs="Arial" w:eastAsia="Arial" w:hAnsi="Arial"/>
          <w:sz w:val="12"/>
          <w:szCs w:val="12"/>
          <w:color w:val="FFFFFF"/>
        </w:rPr>
        <w:t>Proposals and</w:t>
      </w:r>
    </w:p>
    <w:p>
      <w:pPr>
        <w:spacing w:after="0"/>
        <w:rPr>
          <w:sz w:val="20"/>
          <w:szCs w:val="20"/>
          <w:color w:val="auto"/>
        </w:rPr>
      </w:pPr>
      <w:r>
        <w:rPr>
          <w:rFonts w:ascii="Arial" w:cs="Arial" w:eastAsia="Arial" w:hAnsi="Arial"/>
          <w:sz w:val="12"/>
          <w:szCs w:val="12"/>
          <w:color w:val="FFFFFF"/>
        </w:rPr>
        <w:t>Other Matters</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Delinquent</w:t>
      </w:r>
    </w:p>
    <w:p>
      <w:pPr>
        <w:spacing w:after="0" w:line="224" w:lineRule="auto"/>
        <w:rPr>
          <w:sz w:val="20"/>
          <w:szCs w:val="20"/>
          <w:color w:val="auto"/>
        </w:rPr>
      </w:pPr>
      <w:r>
        <w:rPr>
          <w:rFonts w:ascii="Arial" w:cs="Arial" w:eastAsia="Arial" w:hAnsi="Arial"/>
          <w:sz w:val="12"/>
          <w:szCs w:val="12"/>
          <w:color w:val="FFFFFF"/>
        </w:rPr>
        <w:t>Section 16(a)</w:t>
      </w:r>
    </w:p>
    <w:p>
      <w:pPr>
        <w:spacing w:after="0"/>
        <w:rPr>
          <w:sz w:val="20"/>
          <w:szCs w:val="20"/>
          <w:color w:val="auto"/>
        </w:rPr>
      </w:pPr>
      <w:r>
        <w:rPr>
          <w:rFonts w:ascii="Arial" w:cs="Arial" w:eastAsia="Arial" w:hAnsi="Arial"/>
          <w:sz w:val="12"/>
          <w:szCs w:val="12"/>
          <w:color w:val="FFFFFF"/>
        </w:rPr>
        <w:t>Reports</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Other</w:t>
      </w:r>
    </w:p>
    <w:p>
      <w:pPr>
        <w:spacing w:after="0" w:line="2" w:lineRule="exact"/>
        <w:rPr>
          <w:sz w:val="20"/>
          <w:szCs w:val="20"/>
          <w:color w:val="auto"/>
        </w:rPr>
      </w:pPr>
    </w:p>
    <w:p>
      <w:pPr>
        <w:spacing w:after="0"/>
        <w:rPr>
          <w:sz w:val="20"/>
          <w:szCs w:val="20"/>
          <w:color w:val="auto"/>
        </w:rPr>
      </w:pPr>
      <w:r>
        <w:rPr>
          <w:rFonts w:ascii="Arial" w:cs="Arial" w:eastAsia="Arial" w:hAnsi="Arial"/>
          <w:sz w:val="12"/>
          <w:szCs w:val="12"/>
          <w:color w:val="FFFFFF"/>
        </w:rPr>
        <w:t>Information</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Appendix A</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FFFFFF"/>
        </w:rPr>
        <w:t>Appendix B</w:t>
      </w:r>
    </w:p>
    <w:p>
      <w:pPr>
        <w:spacing w:after="0" w:line="200" w:lineRule="exact"/>
        <w:rPr>
          <w:sz w:val="20"/>
          <w:szCs w:val="20"/>
          <w:color w:val="auto"/>
        </w:rPr>
      </w:pPr>
    </w:p>
    <w:p>
      <w:pPr>
        <w:sectPr>
          <w:pgSz w:w="11900" w:h="16838" w:orient="portrait"/>
          <w:cols w:equalWidth="0" w:num="2">
            <w:col w:w="8500" w:space="720"/>
            <w:col w:w="1580"/>
          </w:cols>
          <w:pgMar w:left="320" w:top="464" w:right="7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6380"/>
        <w:spacing w:after="0"/>
        <w:tabs>
          <w:tab w:leader="none" w:pos="8500" w:val="left"/>
          <w:tab w:leader="none" w:pos="9960" w:val="left"/>
        </w:tabs>
        <w:rPr>
          <w:sz w:val="20"/>
          <w:szCs w:val="20"/>
          <w:color w:val="auto"/>
        </w:rPr>
      </w:pPr>
      <w:r>
        <w:rPr>
          <w:rFonts w:ascii="Arial" w:cs="Arial" w:eastAsia="Arial" w:hAnsi="Arial"/>
          <w:sz w:val="15"/>
          <w:szCs w:val="15"/>
          <w:b w:val="1"/>
          <w:bCs w:val="1"/>
          <w:color w:val="002B5F"/>
        </w:rPr>
        <w:t xml:space="preserve">2026 Proxy Statement  </w:t>
      </w:r>
      <w:r>
        <w:rPr>
          <w:rFonts w:ascii="Arial" w:cs="Arial" w:eastAsia="Arial" w:hAnsi="Arial"/>
          <w:sz w:val="20"/>
          <w:szCs w:val="20"/>
          <w:color w:val="002B5F"/>
        </w:rPr>
        <w:t>|</w:t>
      </w:r>
      <w:r>
        <w:rPr>
          <w:rFonts w:ascii="Arial" w:cs="Arial" w:eastAsia="Arial" w:hAnsi="Arial"/>
          <w:sz w:val="15"/>
          <w:szCs w:val="15"/>
          <w:b w:val="1"/>
          <w:bCs w:val="1"/>
          <w:color w:val="002B5F"/>
        </w:rPr>
        <w:t xml:space="preserve">  47</w:t>
      </w:r>
      <w:r>
        <w:rPr>
          <w:sz w:val="20"/>
          <w:szCs w:val="20"/>
          <w:color w:val="auto"/>
        </w:rPr>
        <w:tab/>
      </w:r>
      <w:r>
        <w:rPr>
          <w:rFonts w:ascii="Arial" w:cs="Arial" w:eastAsia="Arial" w:hAnsi="Arial"/>
          <w:sz w:val="17"/>
          <w:szCs w:val="17"/>
          <w:color w:val="auto"/>
        </w:rPr>
        <w:t xml:space="preserve">    </w:t>
      </w:r>
      <w:r>
        <w:rPr>
          <w:sz w:val="20"/>
          <w:szCs w:val="20"/>
          <w:color w:val="auto"/>
        </w:rPr>
        <w:tab/>
      </w:r>
      <w:r>
        <w:rPr>
          <w:rFonts w:ascii="Arial" w:cs="Arial" w:eastAsia="Arial" w:hAnsi="Arial"/>
          <w:sz w:val="17"/>
          <w:szCs w:val="17"/>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268605</wp:posOffset>
            </wp:positionH>
            <wp:positionV relativeFrom="paragraph">
              <wp:posOffset>-128905</wp:posOffset>
            </wp:positionV>
            <wp:extent cx="762000" cy="971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62000" cy="97155"/>
                    </a:xfrm>
                    <a:prstGeom prst="rect">
                      <a:avLst/>
                    </a:prstGeom>
                    <a:noFill/>
                  </pic:spPr>
                </pic:pic>
              </a:graphicData>
            </a:graphic>
          </wp:anchor>
        </w:drawing>
      </w:r>
    </w:p>
    <w:p>
      <w:pPr>
        <w:sectPr>
          <w:pgSz w:w="11900" w:h="16838" w:orient="portrait"/>
          <w:cols w:equalWidth="0" w:num="1">
            <w:col w:w="10800"/>
          </w:cols>
          <w:pgMar w:left="320" w:top="464" w:right="779" w:bottom="1440" w:gutter="0" w:footer="0" w:header="0"/>
          <w:type w:val="continuous"/>
        </w:sectPr>
      </w:pPr>
    </w:p>
    <w:bookmarkStart w:id="55" w:name="page56"/>
    <w:bookmarkEnd w:id="55"/>
    <w:p>
      <w:pPr>
        <w:spacing w:after="0"/>
        <w:rPr>
          <w:sz w:val="20"/>
          <w:szCs w:val="20"/>
          <w:color w:val="auto"/>
        </w:rPr>
      </w:pPr>
      <w:r>
        <w:rPr>
          <w:rFonts w:ascii="Times New Roman" w:cs="Times New Roman" w:eastAsia="Times New Roman" w:hAnsi="Times New Roman"/>
          <w:sz w:val="17"/>
          <w:szCs w:val="17"/>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268605</wp:posOffset>
            </wp:positionH>
            <wp:positionV relativeFrom="paragraph">
              <wp:posOffset>253365</wp:posOffset>
            </wp:positionV>
            <wp:extent cx="1183005" cy="745617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183005" cy="7456170"/>
                    </a:xfrm>
                    <a:prstGeom prst="rect">
                      <a:avLst/>
                    </a:prstGeom>
                    <a:noFill/>
                  </pic:spPr>
                </pic:pic>
              </a:graphicData>
            </a:graphic>
          </wp:anchor>
        </w:drawing>
      </w:r>
    </w:p>
    <w:p>
      <w:pPr>
        <w:spacing w:after="0" w:line="200" w:lineRule="exact"/>
        <w:rPr>
          <w:sz w:val="20"/>
          <w:szCs w:val="20"/>
          <w:color w:val="auto"/>
        </w:rPr>
      </w:pPr>
    </w:p>
    <w:p>
      <w:pPr>
        <w:spacing w:after="0" w:line="304" w:lineRule="exact"/>
        <w:rPr>
          <w:sz w:val="20"/>
          <w:szCs w:val="20"/>
          <w:color w:val="auto"/>
        </w:rPr>
      </w:pPr>
    </w:p>
    <w:p>
      <w:pPr>
        <w:ind w:left="1120" w:right="460" w:hanging="672"/>
        <w:spacing w:after="0" w:line="382" w:lineRule="auto"/>
        <w:tabs>
          <w:tab w:leader="none" w:pos="610" w:val="left"/>
        </w:tabs>
        <w:numPr>
          <w:ilvl w:val="0"/>
          <w:numId w:val="76"/>
        </w:numPr>
        <w:rPr>
          <w:rFonts w:ascii="Arial" w:cs="Arial" w:eastAsia="Arial" w:hAnsi="Arial"/>
          <w:sz w:val="24"/>
          <w:szCs w:val="24"/>
          <w:color w:val="auto"/>
          <w:vertAlign w:val="subscript"/>
        </w:rPr>
      </w:pPr>
      <w:r>
        <w:rPr>
          <w:rFonts w:ascii="Arial" w:cs="Arial" w:eastAsia="Arial" w:hAnsi="Arial"/>
          <w:sz w:val="24"/>
          <w:szCs w:val="24"/>
          <w:color w:val="000000"/>
          <w:vertAlign w:val="subscript"/>
        </w:rPr>
        <w:t xml:space="preserve">     </w:t>
      </w:r>
      <w:r>
        <w:rPr>
          <w:rFonts w:ascii="Arial" w:cs="Arial" w:eastAsia="Arial" w:hAnsi="Arial"/>
          <w:sz w:val="10"/>
          <w:szCs w:val="10"/>
          <w:color w:val="FFFFFF"/>
        </w:rPr>
        <w:t xml:space="preserve"> General Information</w:t>
      </w:r>
    </w:p>
    <w:p>
      <w:pPr>
        <w:spacing w:after="0" w:line="1" w:lineRule="exact"/>
        <w:rPr>
          <w:sz w:val="20"/>
          <w:szCs w:val="20"/>
          <w:color w:val="auto"/>
        </w:rPr>
      </w:pPr>
    </w:p>
    <w:p>
      <w:pPr>
        <w:ind w:left="1120"/>
        <w:spacing w:after="0"/>
        <w:rPr>
          <w:sz w:val="20"/>
          <w:szCs w:val="20"/>
          <w:color w:val="auto"/>
        </w:rPr>
      </w:pPr>
      <w:r>
        <w:rPr>
          <w:rFonts w:ascii="Arial" w:cs="Arial" w:eastAsia="Arial" w:hAnsi="Arial"/>
          <w:sz w:val="11"/>
          <w:szCs w:val="11"/>
          <w:color w:val="FFFFFF"/>
        </w:rPr>
        <w:t>General Information</w:t>
      </w:r>
    </w:p>
    <w:p>
      <w:pPr>
        <w:spacing w:after="0" w:line="3"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About Corporate</w:t>
      </w:r>
    </w:p>
    <w:p>
      <w:pPr>
        <w:ind w:left="1120"/>
        <w:spacing w:after="0" w:line="221" w:lineRule="auto"/>
        <w:rPr>
          <w:sz w:val="20"/>
          <w:szCs w:val="20"/>
          <w:color w:val="auto"/>
        </w:rPr>
      </w:pPr>
      <w:r>
        <w:rPr>
          <w:rFonts w:ascii="Arial" w:cs="Arial" w:eastAsia="Arial" w:hAnsi="Arial"/>
          <w:sz w:val="12"/>
          <w:szCs w:val="12"/>
          <w:color w:val="FFFFFF"/>
        </w:rPr>
        <w:t>Governance</w:t>
      </w:r>
    </w:p>
    <w:p>
      <w:pPr>
        <w:ind w:left="1120"/>
        <w:spacing w:after="0" w:line="222" w:lineRule="auto"/>
        <w:rPr>
          <w:sz w:val="20"/>
          <w:szCs w:val="20"/>
          <w:color w:val="auto"/>
        </w:rPr>
      </w:pPr>
      <w:r>
        <w:rPr>
          <w:rFonts w:ascii="Arial" w:cs="Arial" w:eastAsia="Arial" w:hAnsi="Arial"/>
          <w:sz w:val="12"/>
          <w:szCs w:val="12"/>
          <w:color w:val="FFFFFF"/>
        </w:rPr>
        <w:t>and the Board of</w:t>
      </w:r>
    </w:p>
    <w:p>
      <w:pPr>
        <w:spacing w:after="0" w:line="1"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Directors</w:t>
      </w:r>
    </w:p>
    <w:p>
      <w:pPr>
        <w:spacing w:after="0" w:line="144" w:lineRule="exact"/>
        <w:rPr>
          <w:sz w:val="20"/>
          <w:szCs w:val="20"/>
          <w:color w:val="auto"/>
        </w:rPr>
      </w:pPr>
    </w:p>
    <w:p>
      <w:pPr>
        <w:jc w:val="center"/>
        <w:ind w:left="620"/>
        <w:spacing w:after="0"/>
        <w:rPr>
          <w:sz w:val="20"/>
          <w:szCs w:val="20"/>
          <w:color w:val="auto"/>
        </w:rPr>
      </w:pPr>
      <w:r>
        <w:rPr>
          <w:rFonts w:ascii="Arial" w:cs="Arial" w:eastAsia="Arial" w:hAnsi="Arial"/>
          <w:sz w:val="12"/>
          <w:szCs w:val="12"/>
          <w:color w:val="FFFFFF"/>
        </w:rPr>
        <w:t>Proposal 1</w:t>
      </w:r>
    </w:p>
    <w:p>
      <w:pPr>
        <w:spacing w:after="0" w:line="156"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Information</w:t>
      </w:r>
    </w:p>
    <w:p>
      <w:pPr>
        <w:ind w:left="1120"/>
        <w:spacing w:after="0" w:line="224" w:lineRule="auto"/>
        <w:rPr>
          <w:sz w:val="20"/>
          <w:szCs w:val="20"/>
          <w:color w:val="auto"/>
        </w:rPr>
      </w:pPr>
      <w:r>
        <w:rPr>
          <w:rFonts w:ascii="Arial" w:cs="Arial" w:eastAsia="Arial" w:hAnsi="Arial"/>
          <w:sz w:val="12"/>
          <w:szCs w:val="12"/>
          <w:color w:val="FFFFFF"/>
        </w:rPr>
        <w:t>Regarding Board</w:t>
      </w:r>
    </w:p>
    <w:p>
      <w:pPr>
        <w:ind w:left="1120"/>
        <w:spacing w:after="0" w:line="222" w:lineRule="auto"/>
        <w:rPr>
          <w:sz w:val="20"/>
          <w:szCs w:val="20"/>
          <w:color w:val="auto"/>
        </w:rPr>
      </w:pPr>
      <w:r>
        <w:rPr>
          <w:rFonts w:ascii="Arial" w:cs="Arial" w:eastAsia="Arial" w:hAnsi="Arial"/>
          <w:sz w:val="12"/>
          <w:szCs w:val="12"/>
          <w:color w:val="FFFFFF"/>
        </w:rPr>
        <w:t>and Committee</w:t>
      </w:r>
    </w:p>
    <w:p>
      <w:pPr>
        <w:ind w:left="1120"/>
        <w:spacing w:after="0"/>
        <w:rPr>
          <w:sz w:val="20"/>
          <w:szCs w:val="20"/>
          <w:color w:val="auto"/>
        </w:rPr>
      </w:pPr>
      <w:r>
        <w:rPr>
          <w:rFonts w:ascii="Arial" w:cs="Arial" w:eastAsia="Arial" w:hAnsi="Arial"/>
          <w:sz w:val="12"/>
          <w:szCs w:val="12"/>
          <w:color w:val="FFFFFF"/>
        </w:rPr>
        <w:t>Structure</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Board of Directors</w:t>
      </w:r>
    </w:p>
    <w:p>
      <w:pPr>
        <w:ind w:left="1120"/>
        <w:spacing w:after="0" w:line="237" w:lineRule="auto"/>
        <w:rPr>
          <w:sz w:val="20"/>
          <w:szCs w:val="20"/>
          <w:color w:val="auto"/>
        </w:rPr>
      </w:pPr>
      <w:r>
        <w:rPr>
          <w:rFonts w:ascii="Arial" w:cs="Arial" w:eastAsia="Arial" w:hAnsi="Arial"/>
          <w:sz w:val="12"/>
          <w:szCs w:val="12"/>
          <w:color w:val="FFFFFF"/>
        </w:rPr>
        <w:t>Compensation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7"/>
          <w:szCs w:val="17"/>
          <w:b w:val="1"/>
          <w:bCs w:val="1"/>
          <w:color w:val="002B5F"/>
        </w:rPr>
        <w:t>2025 BUSINESS GOALS PERFORMANCE EVALUATION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-1737995</wp:posOffset>
            </wp:positionH>
            <wp:positionV relativeFrom="paragraph">
              <wp:posOffset>-753110</wp:posOffset>
            </wp:positionV>
            <wp:extent cx="7181215" cy="5334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81215" cy="53340"/>
                    </a:xfrm>
                    <a:prstGeom prst="rect">
                      <a:avLst/>
                    </a:prstGeom>
                    <a:noFill/>
                  </pic:spPr>
                </pic:pic>
              </a:graphicData>
            </a:graphic>
          </wp:anchor>
        </w:drawing>
      </w:r>
    </w:p>
    <w:p>
      <w:pPr>
        <w:spacing w:after="0" w:line="83" w:lineRule="exact"/>
        <w:rPr>
          <w:sz w:val="20"/>
          <w:szCs w:val="20"/>
          <w:color w:val="auto"/>
        </w:rPr>
      </w:pPr>
    </w:p>
    <w:p>
      <w:pPr>
        <w:ind w:right="260"/>
        <w:spacing w:after="0" w:line="268" w:lineRule="auto"/>
        <w:rPr>
          <w:sz w:val="20"/>
          <w:szCs w:val="20"/>
          <w:color w:val="auto"/>
        </w:rPr>
      </w:pPr>
      <w:r>
        <w:rPr>
          <w:rFonts w:ascii="Arial" w:cs="Arial" w:eastAsia="Arial" w:hAnsi="Arial"/>
          <w:sz w:val="15"/>
          <w:szCs w:val="15"/>
          <w:color w:val="auto"/>
        </w:rPr>
        <w:t>At the beginning of 2025, our Board determined, with the input of the Company’s CEO, the 2025 Business Goals described above. As further discussed below, the Compensation Committee determined that the collective level of achievement of the 2025 Business Goals exceeded target.</w:t>
      </w:r>
    </w:p>
    <w:p>
      <w:pPr>
        <w:spacing w:after="0" w:line="191" w:lineRule="exact"/>
        <w:rPr>
          <w:sz w:val="20"/>
          <w:szCs w:val="20"/>
          <w:color w:val="auto"/>
        </w:rPr>
      </w:pPr>
    </w:p>
    <w:tbl>
      <w:tblPr>
        <w:tblLayout w:type="fixed"/>
        <w:tblInd w:w="20" w:type="dxa"/>
        <w:tblCellMar>
          <w:top w:w="0" w:type="dxa"/>
          <w:left w:w="0" w:type="dxa"/>
          <w:bottom w:w="0" w:type="dxa"/>
          <w:right w:w="0" w:type="dxa"/>
        </w:tblCellMar>
      </w:tblPr>
      <w:tr>
        <w:trPr>
          <w:trHeight w:val="194"/>
        </w:trPr>
        <w:tc>
          <w:tcPr>
            <w:tcW w:w="4060" w:type="dxa"/>
            <w:vAlign w:val="bottom"/>
            <w:tcBorders>
              <w:bottom w:val="single" w:sz="8" w:color="002B5F"/>
            </w:tcBorders>
          </w:tcPr>
          <w:p>
            <w:pPr>
              <w:ind w:left="60"/>
              <w:spacing w:after="0"/>
              <w:rPr>
                <w:sz w:val="20"/>
                <w:szCs w:val="20"/>
                <w:color w:val="auto"/>
              </w:rPr>
            </w:pPr>
            <w:r>
              <w:rPr>
                <w:rFonts w:ascii="Arial" w:cs="Arial" w:eastAsia="Arial" w:hAnsi="Arial"/>
                <w:sz w:val="14"/>
                <w:szCs w:val="14"/>
                <w:b w:val="1"/>
                <w:bCs w:val="1"/>
                <w:color w:val="002B5F"/>
              </w:rPr>
              <w:t>2025 Business Goals</w:t>
            </w:r>
          </w:p>
        </w:tc>
        <w:tc>
          <w:tcPr>
            <w:tcW w:w="3900" w:type="dxa"/>
            <w:vAlign w:val="bottom"/>
            <w:tcBorders>
              <w:bottom w:val="single" w:sz="8" w:color="002B5F"/>
            </w:tcBorders>
          </w:tcPr>
          <w:p>
            <w:pPr>
              <w:ind w:left="80"/>
              <w:spacing w:after="0"/>
              <w:rPr>
                <w:sz w:val="20"/>
                <w:szCs w:val="20"/>
                <w:color w:val="auto"/>
              </w:rPr>
            </w:pPr>
            <w:r>
              <w:rPr>
                <w:rFonts w:ascii="Arial" w:cs="Arial" w:eastAsia="Arial" w:hAnsi="Arial"/>
                <w:sz w:val="14"/>
                <w:szCs w:val="14"/>
                <w:b w:val="1"/>
                <w:bCs w:val="1"/>
                <w:color w:val="002B5F"/>
              </w:rPr>
              <w:t>2025 Performance Commentary</w:t>
            </w:r>
          </w:p>
        </w:tc>
      </w:tr>
      <w:tr>
        <w:trPr>
          <w:trHeight w:val="230"/>
        </w:trPr>
        <w:tc>
          <w:tcPr>
            <w:tcW w:w="4060" w:type="dxa"/>
            <w:vAlign w:val="bottom"/>
            <w:shd w:val="clear" w:color="auto" w:fill="F7F1EC"/>
          </w:tcPr>
          <w:p>
            <w:pPr>
              <w:ind w:left="60"/>
              <w:spacing w:after="0"/>
              <w:rPr>
                <w:sz w:val="20"/>
                <w:szCs w:val="20"/>
                <w:color w:val="auto"/>
              </w:rPr>
            </w:pPr>
            <w:r>
              <w:rPr>
                <w:rFonts w:ascii="Arial" w:cs="Arial" w:eastAsia="Arial" w:hAnsi="Arial"/>
                <w:sz w:val="15"/>
                <w:szCs w:val="15"/>
                <w:b w:val="1"/>
                <w:bCs w:val="1"/>
                <w:color w:val="auto"/>
              </w:rPr>
              <w:t>Compete Goal</w:t>
            </w:r>
            <w:r>
              <w:rPr>
                <w:rFonts w:ascii="Arial" w:cs="Arial" w:eastAsia="Arial" w:hAnsi="Arial"/>
                <w:sz w:val="15"/>
                <w:szCs w:val="15"/>
                <w:color w:val="auto"/>
              </w:rPr>
              <w:t>: Deliver unprecedented flexibility to</w:t>
            </w:r>
          </w:p>
        </w:tc>
        <w:tc>
          <w:tcPr>
            <w:tcW w:w="3900" w:type="dxa"/>
            <w:vAlign w:val="bottom"/>
            <w:shd w:val="clear" w:color="auto" w:fill="F7F1EC"/>
          </w:tcPr>
          <w:p>
            <w:pPr>
              <w:ind w:left="80"/>
              <w:spacing w:after="0"/>
              <w:rPr>
                <w:sz w:val="20"/>
                <w:szCs w:val="20"/>
                <w:color w:val="auto"/>
              </w:rPr>
            </w:pPr>
            <w:r>
              <w:rPr>
                <w:rFonts w:ascii="Arial" w:cs="Arial" w:eastAsia="Arial" w:hAnsi="Arial"/>
                <w:sz w:val="15"/>
                <w:szCs w:val="15"/>
                <w:b w:val="1"/>
                <w:bCs w:val="1"/>
                <w:i w:val="1"/>
                <w:iCs w:val="1"/>
                <w:color w:val="auto"/>
              </w:rPr>
              <w:t xml:space="preserve">Partially Meets Target. </w:t>
            </w:r>
            <w:r>
              <w:rPr>
                <w:rFonts w:ascii="Arial" w:cs="Arial" w:eastAsia="Arial" w:hAnsi="Arial"/>
                <w:sz w:val="15"/>
                <w:szCs w:val="15"/>
                <w:color w:val="auto"/>
              </w:rPr>
              <w:t>Lower than expected new store</w:t>
            </w:r>
          </w:p>
        </w:tc>
      </w:tr>
      <w:tr>
        <w:trPr>
          <w:trHeight w:val="179"/>
        </w:trPr>
        <w:tc>
          <w:tcPr>
            <w:tcW w:w="4060" w:type="dxa"/>
            <w:vAlign w:val="bottom"/>
            <w:shd w:val="clear" w:color="auto" w:fill="F7F1EC"/>
          </w:tcPr>
          <w:p>
            <w:pPr>
              <w:ind w:left="60"/>
              <w:spacing w:after="0"/>
              <w:rPr>
                <w:sz w:val="20"/>
                <w:szCs w:val="20"/>
                <w:color w:val="auto"/>
              </w:rPr>
            </w:pPr>
            <w:r>
              <w:rPr>
                <w:rFonts w:ascii="Arial" w:cs="Arial" w:eastAsia="Arial" w:hAnsi="Arial"/>
                <w:sz w:val="15"/>
                <w:szCs w:val="15"/>
                <w:color w:val="auto"/>
              </w:rPr>
              <w:t>compete for every advisor</w:t>
            </w:r>
          </w:p>
        </w:tc>
        <w:tc>
          <w:tcPr>
            <w:tcW w:w="3900" w:type="dxa"/>
            <w:vAlign w:val="bottom"/>
            <w:shd w:val="clear" w:color="auto" w:fill="F7F1EC"/>
          </w:tcPr>
          <w:p>
            <w:pPr>
              <w:ind w:left="80"/>
              <w:spacing w:after="0"/>
              <w:rPr>
                <w:sz w:val="20"/>
                <w:szCs w:val="20"/>
                <w:color w:val="auto"/>
              </w:rPr>
            </w:pPr>
            <w:r>
              <w:rPr>
                <w:rFonts w:ascii="Arial" w:cs="Arial" w:eastAsia="Arial" w:hAnsi="Arial"/>
                <w:sz w:val="15"/>
                <w:szCs w:val="15"/>
                <w:color w:val="auto"/>
              </w:rPr>
              <w:t>sales and higher attrition resulted in a below-target</w:t>
            </w:r>
          </w:p>
        </w:tc>
      </w:tr>
      <w:tr>
        <w:trPr>
          <w:trHeight w:val="179"/>
        </w:trPr>
        <w:tc>
          <w:tcPr>
            <w:tcW w:w="4060" w:type="dxa"/>
            <w:vAlign w:val="bottom"/>
            <w:shd w:val="clear" w:color="auto" w:fill="F7F1EC"/>
          </w:tcPr>
          <w:p>
            <w:pPr>
              <w:spacing w:after="0"/>
              <w:rPr>
                <w:sz w:val="15"/>
                <w:szCs w:val="15"/>
                <w:color w:val="auto"/>
              </w:rPr>
            </w:pPr>
          </w:p>
        </w:tc>
        <w:tc>
          <w:tcPr>
            <w:tcW w:w="3900" w:type="dxa"/>
            <w:vAlign w:val="bottom"/>
            <w:shd w:val="clear" w:color="auto" w:fill="F7F1EC"/>
          </w:tcPr>
          <w:p>
            <w:pPr>
              <w:ind w:left="80"/>
              <w:spacing w:after="0"/>
              <w:rPr>
                <w:sz w:val="20"/>
                <w:szCs w:val="20"/>
                <w:color w:val="auto"/>
              </w:rPr>
            </w:pPr>
            <w:r>
              <w:rPr>
                <w:rFonts w:ascii="Arial" w:cs="Arial" w:eastAsia="Arial" w:hAnsi="Arial"/>
                <w:sz w:val="15"/>
                <w:szCs w:val="15"/>
                <w:color w:val="auto"/>
              </w:rPr>
              <w:t>organic growth rate. Recruited assets were below</w:t>
            </w:r>
          </w:p>
        </w:tc>
      </w:tr>
      <w:tr>
        <w:trPr>
          <w:trHeight w:val="179"/>
        </w:trPr>
        <w:tc>
          <w:tcPr>
            <w:tcW w:w="4060" w:type="dxa"/>
            <w:vAlign w:val="bottom"/>
            <w:shd w:val="clear" w:color="auto" w:fill="F7F1EC"/>
          </w:tcPr>
          <w:p>
            <w:pPr>
              <w:spacing w:after="0"/>
              <w:rPr>
                <w:sz w:val="15"/>
                <w:szCs w:val="15"/>
                <w:color w:val="auto"/>
              </w:rPr>
            </w:pPr>
          </w:p>
        </w:tc>
        <w:tc>
          <w:tcPr>
            <w:tcW w:w="3900" w:type="dxa"/>
            <w:vAlign w:val="bottom"/>
            <w:shd w:val="clear" w:color="auto" w:fill="F7F1EC"/>
          </w:tcPr>
          <w:p>
            <w:pPr>
              <w:ind w:left="80"/>
              <w:spacing w:after="0"/>
              <w:rPr>
                <w:sz w:val="20"/>
                <w:szCs w:val="20"/>
                <w:color w:val="auto"/>
              </w:rPr>
            </w:pPr>
            <w:r>
              <w:rPr>
                <w:rFonts w:ascii="Arial" w:cs="Arial" w:eastAsia="Arial" w:hAnsi="Arial"/>
                <w:sz w:val="15"/>
                <w:szCs w:val="15"/>
                <w:color w:val="auto"/>
              </w:rPr>
              <w:t>target, driven by lower-than-expected industry churn in</w:t>
            </w:r>
          </w:p>
        </w:tc>
      </w:tr>
      <w:tr>
        <w:trPr>
          <w:trHeight w:val="179"/>
        </w:trPr>
        <w:tc>
          <w:tcPr>
            <w:tcW w:w="4060" w:type="dxa"/>
            <w:vAlign w:val="bottom"/>
            <w:shd w:val="clear" w:color="auto" w:fill="F7F1EC"/>
          </w:tcPr>
          <w:p>
            <w:pPr>
              <w:spacing w:after="0"/>
              <w:rPr>
                <w:sz w:val="15"/>
                <w:szCs w:val="15"/>
                <w:color w:val="auto"/>
              </w:rPr>
            </w:pPr>
          </w:p>
        </w:tc>
        <w:tc>
          <w:tcPr>
            <w:tcW w:w="3900" w:type="dxa"/>
            <w:vAlign w:val="bottom"/>
            <w:shd w:val="clear" w:color="auto" w:fill="F7F1EC"/>
          </w:tcPr>
          <w:p>
            <w:pPr>
              <w:ind w:left="80"/>
              <w:spacing w:after="0"/>
              <w:rPr>
                <w:sz w:val="20"/>
                <w:szCs w:val="20"/>
                <w:color w:val="auto"/>
              </w:rPr>
            </w:pPr>
            <w:r>
              <w:rPr>
                <w:rFonts w:ascii="Arial" w:cs="Arial" w:eastAsia="Arial" w:hAnsi="Arial"/>
                <w:sz w:val="15"/>
                <w:szCs w:val="15"/>
                <w:color w:val="auto"/>
              </w:rPr>
              <w:t>the traditional independent broker-dealer space and our</w:t>
            </w:r>
          </w:p>
        </w:tc>
      </w:tr>
      <w:tr>
        <w:trPr>
          <w:trHeight w:val="179"/>
        </w:trPr>
        <w:tc>
          <w:tcPr>
            <w:tcW w:w="4060" w:type="dxa"/>
            <w:vAlign w:val="bottom"/>
            <w:shd w:val="clear" w:color="auto" w:fill="F7F1EC"/>
          </w:tcPr>
          <w:p>
            <w:pPr>
              <w:spacing w:after="0"/>
              <w:rPr>
                <w:sz w:val="15"/>
                <w:szCs w:val="15"/>
                <w:color w:val="auto"/>
              </w:rPr>
            </w:pPr>
          </w:p>
        </w:tc>
        <w:tc>
          <w:tcPr>
            <w:tcW w:w="3900" w:type="dxa"/>
            <w:vAlign w:val="bottom"/>
            <w:shd w:val="clear" w:color="auto" w:fill="F7F1EC"/>
          </w:tcPr>
          <w:p>
            <w:pPr>
              <w:ind w:left="80"/>
              <w:spacing w:after="0"/>
              <w:rPr>
                <w:sz w:val="20"/>
                <w:szCs w:val="20"/>
                <w:color w:val="auto"/>
              </w:rPr>
            </w:pPr>
            <w:r>
              <w:rPr>
                <w:rFonts w:ascii="Arial" w:cs="Arial" w:eastAsia="Arial" w:hAnsi="Arial"/>
                <w:sz w:val="15"/>
                <w:szCs w:val="15"/>
                <w:color w:val="auto"/>
              </w:rPr>
              <w:t>focus on Commonwealth Financial Network related</w:t>
            </w:r>
          </w:p>
        </w:tc>
      </w:tr>
      <w:tr>
        <w:trPr>
          <w:trHeight w:val="201"/>
        </w:trPr>
        <w:tc>
          <w:tcPr>
            <w:tcW w:w="4060" w:type="dxa"/>
            <w:vAlign w:val="bottom"/>
            <w:shd w:val="clear" w:color="auto" w:fill="F7F1EC"/>
          </w:tcPr>
          <w:p>
            <w:pPr>
              <w:spacing w:after="0"/>
              <w:rPr>
                <w:sz w:val="17"/>
                <w:szCs w:val="17"/>
                <w:color w:val="auto"/>
              </w:rPr>
            </w:pPr>
          </w:p>
        </w:tc>
        <w:tc>
          <w:tcPr>
            <w:tcW w:w="3900" w:type="dxa"/>
            <w:vAlign w:val="bottom"/>
            <w:shd w:val="clear" w:color="auto" w:fill="F7F1EC"/>
          </w:tcPr>
          <w:p>
            <w:pPr>
              <w:ind w:left="80"/>
              <w:spacing w:after="0"/>
              <w:rPr>
                <w:sz w:val="20"/>
                <w:szCs w:val="20"/>
                <w:color w:val="auto"/>
              </w:rPr>
            </w:pPr>
            <w:r>
              <w:rPr>
                <w:rFonts w:ascii="Arial" w:cs="Arial" w:eastAsia="Arial" w:hAnsi="Arial"/>
                <w:sz w:val="15"/>
                <w:szCs w:val="15"/>
                <w:color w:val="auto"/>
              </w:rPr>
              <w:t>recruiting.</w:t>
            </w:r>
          </w:p>
        </w:tc>
      </w:tr>
      <w:tr>
        <w:trPr>
          <w:trHeight w:val="41"/>
        </w:trPr>
        <w:tc>
          <w:tcPr>
            <w:tcW w:w="4060" w:type="dxa"/>
            <w:vAlign w:val="bottom"/>
            <w:shd w:val="clear" w:color="auto" w:fill="F7F1EC"/>
          </w:tcPr>
          <w:p>
            <w:pPr>
              <w:spacing w:after="0"/>
              <w:rPr>
                <w:sz w:val="3"/>
                <w:szCs w:val="3"/>
                <w:color w:val="auto"/>
              </w:rPr>
            </w:pPr>
          </w:p>
        </w:tc>
        <w:tc>
          <w:tcPr>
            <w:tcW w:w="3900" w:type="dxa"/>
            <w:vAlign w:val="bottom"/>
            <w:shd w:val="clear" w:color="auto" w:fill="F7F1EC"/>
          </w:tcPr>
          <w:p>
            <w:pPr>
              <w:spacing w:after="0"/>
              <w:rPr>
                <w:sz w:val="3"/>
                <w:szCs w:val="3"/>
                <w:color w:val="auto"/>
              </w:rPr>
            </w:pPr>
          </w:p>
        </w:tc>
      </w:tr>
    </w:tbl>
    <w:p>
      <w:pPr>
        <w:spacing w:after="0" w:line="78" w:lineRule="exact"/>
        <w:rPr>
          <w:sz w:val="20"/>
          <w:szCs w:val="20"/>
          <w:color w:val="auto"/>
        </w:rPr>
      </w:pPr>
    </w:p>
    <w:p>
      <w:pPr>
        <w:sectPr>
          <w:pgSz w:w="11900" w:h="16838" w:orient="portrait"/>
          <w:cols w:equalWidth="0" w:num="2">
            <w:col w:w="2160" w:space="560"/>
            <w:col w:w="7980"/>
          </w:cols>
          <w:pgMar w:left="320" w:top="464" w:right="879" w:bottom="1440" w:gutter="0" w:footer="0" w:header="0"/>
        </w:sectPr>
      </w:pPr>
    </w:p>
    <w:p>
      <w:pPr>
        <w:spacing w:after="0" w:line="146" w:lineRule="exact"/>
        <w:rPr>
          <w:sz w:val="20"/>
          <w:szCs w:val="20"/>
          <w:color w:val="auto"/>
        </w:rPr>
      </w:pPr>
    </w:p>
    <w:p>
      <w:pPr>
        <w:ind w:left="1120" w:right="80"/>
        <w:spacing w:after="0" w:line="244" w:lineRule="auto"/>
        <w:rPr>
          <w:sz w:val="20"/>
          <w:szCs w:val="20"/>
          <w:color w:val="auto"/>
        </w:rPr>
      </w:pPr>
      <w:r>
        <w:rPr>
          <w:rFonts w:ascii="Arial" w:cs="Arial" w:eastAsia="Arial" w:hAnsi="Arial"/>
          <w:sz w:val="12"/>
          <w:szCs w:val="12"/>
          <w:b w:val="1"/>
          <w:bCs w:val="1"/>
          <w:color w:val="FFFFFF"/>
        </w:rPr>
        <w:t>Compensation Discussion and Analysis</w:t>
      </w:r>
    </w:p>
    <w:p>
      <w:pPr>
        <w:spacing w:after="0" w:line="128"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Report of the</w:t>
      </w:r>
    </w:p>
    <w:p>
      <w:pPr>
        <w:ind w:left="1120"/>
        <w:spacing w:after="0" w:line="224" w:lineRule="auto"/>
        <w:rPr>
          <w:sz w:val="20"/>
          <w:szCs w:val="20"/>
          <w:color w:val="auto"/>
        </w:rPr>
      </w:pPr>
      <w:r>
        <w:rPr>
          <w:rFonts w:ascii="Arial" w:cs="Arial" w:eastAsia="Arial" w:hAnsi="Arial"/>
          <w:sz w:val="12"/>
          <w:szCs w:val="12"/>
          <w:color w:val="FFFFFF"/>
        </w:rPr>
        <w:t>Compensation</w:t>
      </w:r>
    </w:p>
    <w:p>
      <w:pPr>
        <w:ind w:left="1120"/>
        <w:spacing w:after="0" w:line="222" w:lineRule="auto"/>
        <w:rPr>
          <w:sz w:val="20"/>
          <w:szCs w:val="20"/>
          <w:color w:val="auto"/>
        </w:rPr>
      </w:pPr>
      <w:r>
        <w:rPr>
          <w:rFonts w:ascii="Arial" w:cs="Arial" w:eastAsia="Arial" w:hAnsi="Arial"/>
          <w:sz w:val="12"/>
          <w:szCs w:val="12"/>
          <w:color w:val="FFFFFF"/>
        </w:rPr>
        <w:t>and Human</w:t>
      </w:r>
    </w:p>
    <w:p>
      <w:pPr>
        <w:ind w:left="1120"/>
        <w:spacing w:after="0" w:line="222" w:lineRule="auto"/>
        <w:rPr>
          <w:sz w:val="20"/>
          <w:szCs w:val="20"/>
          <w:color w:val="auto"/>
        </w:rPr>
      </w:pPr>
      <w:r>
        <w:rPr>
          <w:rFonts w:ascii="Arial" w:cs="Arial" w:eastAsia="Arial" w:hAnsi="Arial"/>
          <w:sz w:val="12"/>
          <w:szCs w:val="12"/>
          <w:color w:val="FFFFFF"/>
        </w:rPr>
        <w:t>Resources</w:t>
      </w:r>
    </w:p>
    <w:p>
      <w:pPr>
        <w:ind w:left="1120"/>
        <w:spacing w:after="0" w:line="222" w:lineRule="auto"/>
        <w:rPr>
          <w:sz w:val="20"/>
          <w:szCs w:val="20"/>
          <w:color w:val="auto"/>
        </w:rPr>
      </w:pPr>
      <w:r>
        <w:rPr>
          <w:rFonts w:ascii="Arial" w:cs="Arial" w:eastAsia="Arial" w:hAnsi="Arial"/>
          <w:sz w:val="12"/>
          <w:szCs w:val="12"/>
          <w:color w:val="FFFFFF"/>
        </w:rPr>
        <w:t>Committee of the</w:t>
      </w:r>
    </w:p>
    <w:p>
      <w:pPr>
        <w:ind w:left="1120"/>
        <w:spacing w:after="0"/>
        <w:rPr>
          <w:sz w:val="20"/>
          <w:szCs w:val="20"/>
          <w:color w:val="auto"/>
        </w:rPr>
      </w:pPr>
      <w:r>
        <w:rPr>
          <w:rFonts w:ascii="Arial" w:cs="Arial" w:eastAsia="Arial" w:hAnsi="Arial"/>
          <w:sz w:val="11"/>
          <w:szCs w:val="11"/>
          <w:color w:val="FFFFFF"/>
        </w:rPr>
        <w:t>Board of Directors</w:t>
      </w:r>
    </w:p>
    <w:p>
      <w:pPr>
        <w:spacing w:after="0" w:line="155"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Compensation of</w:t>
      </w:r>
    </w:p>
    <w:p>
      <w:pPr>
        <w:ind w:left="1120"/>
        <w:spacing w:after="0" w:line="186" w:lineRule="auto"/>
        <w:rPr>
          <w:sz w:val="20"/>
          <w:szCs w:val="20"/>
          <w:color w:val="auto"/>
        </w:rPr>
      </w:pPr>
      <w:r>
        <w:rPr>
          <w:rFonts w:ascii="Arial" w:cs="Arial" w:eastAsia="Arial" w:hAnsi="Arial"/>
          <w:sz w:val="11"/>
          <w:szCs w:val="11"/>
          <w:color w:val="FFFFFF"/>
        </w:rPr>
        <w:t>Named Executive</w:t>
      </w:r>
    </w:p>
    <w:p>
      <w:pPr>
        <w:spacing w:after="0" w:line="20" w:lineRule="exact"/>
        <w:rPr>
          <w:sz w:val="20"/>
          <w:szCs w:val="20"/>
          <w:color w:val="auto"/>
        </w:rPr>
      </w:pPr>
      <w:r>
        <w:rPr>
          <w:sz w:val="20"/>
          <w:szCs w:val="20"/>
          <w:color w:val="auto"/>
        </w:rPr>
        <w:br w:type="column"/>
      </w:r>
    </w:p>
    <w:p>
      <w:pPr>
        <w:spacing w:after="0" w:line="253" w:lineRule="auto"/>
        <w:rPr>
          <w:sz w:val="20"/>
          <w:szCs w:val="20"/>
          <w:color w:val="auto"/>
        </w:rPr>
      </w:pPr>
      <w:r>
        <w:rPr>
          <w:rFonts w:ascii="Arial" w:cs="Arial" w:eastAsia="Arial" w:hAnsi="Arial"/>
          <w:sz w:val="15"/>
          <w:szCs w:val="15"/>
          <w:b w:val="1"/>
          <w:bCs w:val="1"/>
          <w:color w:val="auto"/>
        </w:rPr>
        <w:t>Differentiation Goal</w:t>
      </w:r>
      <w:r>
        <w:rPr>
          <w:rFonts w:ascii="Arial" w:cs="Arial" w:eastAsia="Arial" w:hAnsi="Arial"/>
          <w:sz w:val="15"/>
          <w:szCs w:val="15"/>
          <w:color w:val="auto"/>
        </w:rPr>
        <w:t>: Enrich the end-investor experience,</w:t>
      </w:r>
      <w:r>
        <w:rPr>
          <w:rFonts w:ascii="Arial" w:cs="Arial" w:eastAsia="Arial" w:hAnsi="Arial"/>
          <w:sz w:val="15"/>
          <w:szCs w:val="15"/>
          <w:b w:val="1"/>
          <w:bCs w:val="1"/>
          <w:color w:val="auto"/>
        </w:rPr>
        <w:t xml:space="preserve"> </w:t>
      </w:r>
      <w:r>
        <w:rPr>
          <w:rFonts w:ascii="Arial" w:cs="Arial" w:eastAsia="Arial" w:hAnsi="Arial"/>
          <w:sz w:val="15"/>
          <w:szCs w:val="15"/>
          <w:color w:val="auto"/>
        </w:rPr>
        <w:t>expanding the breadth and depth of advice; deliver a world-class wealth management platform; partner in building the perfect business; provide an extraordinary operating platform; and transform the advisor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wp:posOffset>
            </wp:positionH>
            <wp:positionV relativeFrom="paragraph">
              <wp:posOffset>21590</wp:posOffset>
            </wp:positionV>
            <wp:extent cx="2576830" cy="53467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2576830" cy="534670"/>
                    </a:xfrm>
                    <a:prstGeom prst="rect">
                      <a:avLst/>
                    </a:prstGeom>
                    <a:noFill/>
                  </pic:spPr>
                </pic:pic>
              </a:graphicData>
            </a:graphic>
          </wp:anchor>
        </w:drawing>
      </w:r>
    </w:p>
    <w:p>
      <w:pPr>
        <w:spacing w:after="0" w:line="76" w:lineRule="exact"/>
        <w:rPr>
          <w:sz w:val="20"/>
          <w:szCs w:val="20"/>
          <w:color w:val="auto"/>
        </w:rPr>
      </w:pPr>
    </w:p>
    <w:p>
      <w:pPr>
        <w:ind w:right="320"/>
        <w:spacing w:after="0" w:line="290" w:lineRule="auto"/>
        <w:rPr>
          <w:sz w:val="20"/>
          <w:szCs w:val="20"/>
          <w:color w:val="auto"/>
        </w:rPr>
      </w:pPr>
      <w:r>
        <w:rPr>
          <w:rFonts w:ascii="Arial" w:cs="Arial" w:eastAsia="Arial" w:hAnsi="Arial"/>
          <w:sz w:val="15"/>
          <w:szCs w:val="15"/>
          <w:b w:val="1"/>
          <w:bCs w:val="1"/>
          <w:color w:val="auto"/>
        </w:rPr>
        <w:t>Solutions Goal</w:t>
      </w:r>
      <w:r>
        <w:rPr>
          <w:rFonts w:ascii="Arial" w:cs="Arial" w:eastAsia="Arial" w:hAnsi="Arial"/>
          <w:sz w:val="15"/>
          <w:szCs w:val="15"/>
          <w:color w:val="auto"/>
        </w:rPr>
        <w:t>: Empower advisors with key lifecycle</w:t>
      </w:r>
      <w:r>
        <w:rPr>
          <w:rFonts w:ascii="Arial" w:cs="Arial" w:eastAsia="Arial" w:hAnsi="Arial"/>
          <w:sz w:val="15"/>
          <w:szCs w:val="15"/>
          <w:b w:val="1"/>
          <w:bCs w:val="1"/>
          <w:color w:val="auto"/>
        </w:rPr>
        <w:t xml:space="preserve"> </w:t>
      </w:r>
      <w:r>
        <w:rPr>
          <w:rFonts w:ascii="Arial" w:cs="Arial" w:eastAsia="Arial" w:hAnsi="Arial"/>
          <w:sz w:val="15"/>
          <w:szCs w:val="15"/>
          <w:color w:val="auto"/>
        </w:rPr>
        <w:t>capital solutions</w:t>
      </w:r>
    </w:p>
    <w:p>
      <w:pPr>
        <w:spacing w:after="0" w:line="20" w:lineRule="exact"/>
        <w:rPr>
          <w:sz w:val="20"/>
          <w:szCs w:val="20"/>
          <w:color w:val="auto"/>
        </w:rPr>
      </w:pPr>
      <w:r>
        <w:rPr>
          <w:sz w:val="20"/>
          <w:szCs w:val="20"/>
          <w:color w:val="auto"/>
        </w:rPr>
        <w:br w:type="column"/>
      </w:r>
    </w:p>
    <w:p>
      <w:pPr>
        <w:spacing w:after="0" w:line="253" w:lineRule="auto"/>
        <w:rPr>
          <w:sz w:val="20"/>
          <w:szCs w:val="20"/>
          <w:color w:val="auto"/>
        </w:rPr>
      </w:pPr>
      <w:r>
        <w:rPr>
          <w:rFonts w:ascii="Arial" w:cs="Arial" w:eastAsia="Arial" w:hAnsi="Arial"/>
          <w:sz w:val="15"/>
          <w:szCs w:val="15"/>
          <w:b w:val="1"/>
          <w:bCs w:val="1"/>
          <w:i w:val="1"/>
          <w:iCs w:val="1"/>
          <w:color w:val="auto"/>
        </w:rPr>
        <w:t>Meets / Partially Meets Target</w:t>
      </w:r>
      <w:r>
        <w:rPr>
          <w:rFonts w:ascii="Arial" w:cs="Arial" w:eastAsia="Arial" w:hAnsi="Arial"/>
          <w:sz w:val="15"/>
          <w:szCs w:val="15"/>
          <w:b w:val="1"/>
          <w:b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Exceeded targets for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brokerage-to-advisory conversions and reductions in cost per advisor, and met target for advisor net promoter scores. Attrition exceeded target as a result of the separation of misaligned large enterprises.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-55245</wp:posOffset>
            </wp:positionH>
            <wp:positionV relativeFrom="paragraph">
              <wp:posOffset>21590</wp:posOffset>
            </wp:positionV>
            <wp:extent cx="2487930" cy="4889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2487930" cy="48895"/>
                    </a:xfrm>
                    <a:prstGeom prst="rect">
                      <a:avLst/>
                    </a:prstGeom>
                    <a:noFill/>
                  </pic:spPr>
                </pic:pic>
              </a:graphicData>
            </a:graphic>
          </wp:anchor>
        </w:drawing>
      </w:r>
    </w:p>
    <w:p>
      <w:pPr>
        <w:spacing w:after="0" w:line="78" w:lineRule="exact"/>
        <w:rPr>
          <w:sz w:val="20"/>
          <w:szCs w:val="20"/>
          <w:color w:val="auto"/>
        </w:rPr>
      </w:pPr>
    </w:p>
    <w:p>
      <w:pPr>
        <w:ind w:right="80"/>
        <w:spacing w:after="0" w:line="261" w:lineRule="auto"/>
        <w:rPr>
          <w:sz w:val="20"/>
          <w:szCs w:val="20"/>
          <w:color w:val="auto"/>
        </w:rPr>
      </w:pPr>
      <w:r>
        <w:rPr>
          <w:rFonts w:ascii="Arial" w:cs="Arial" w:eastAsia="Arial" w:hAnsi="Arial"/>
          <w:sz w:val="15"/>
          <w:szCs w:val="15"/>
          <w:b w:val="1"/>
          <w:bCs w:val="1"/>
          <w:i w:val="1"/>
          <w:iCs w:val="1"/>
          <w:color w:val="auto"/>
        </w:rPr>
        <w:t xml:space="preserve">Exceeds / Meets Target. </w:t>
      </w:r>
      <w:r>
        <w:rPr>
          <w:rFonts w:ascii="Arial" w:cs="Arial" w:eastAsia="Arial" w:hAnsi="Arial"/>
          <w:sz w:val="15"/>
          <w:szCs w:val="15"/>
          <w:color w:val="auto"/>
        </w:rPr>
        <w:t>Achieved strong results in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internal liquidity &amp; succession transactions and book sales, while external offerings gained momentum in the second half of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-55245</wp:posOffset>
            </wp:positionH>
            <wp:positionV relativeFrom="paragraph">
              <wp:posOffset>-467995</wp:posOffset>
            </wp:positionV>
            <wp:extent cx="2487930" cy="48641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2487930" cy="486410"/>
                    </a:xfrm>
                    <a:prstGeom prst="rect">
                      <a:avLst/>
                    </a:prstGeom>
                    <a:noFill/>
                  </pic:spPr>
                </pic:pic>
              </a:graphicData>
            </a:graphic>
          </wp:anchor>
        </w:drawing>
      </w:r>
    </w:p>
    <w:p>
      <w:pPr>
        <w:spacing w:after="0" w:line="106" w:lineRule="exact"/>
        <w:rPr>
          <w:sz w:val="20"/>
          <w:szCs w:val="20"/>
          <w:color w:val="auto"/>
        </w:rPr>
      </w:pPr>
    </w:p>
    <w:p>
      <w:pPr>
        <w:sectPr>
          <w:pgSz w:w="11900" w:h="16838" w:orient="portrait"/>
          <w:cols w:equalWidth="0" w:num="3">
            <w:col w:w="2080" w:space="720"/>
            <w:col w:w="3920" w:space="160"/>
            <w:col w:w="3820"/>
          </w:cols>
          <w:pgMar w:left="320" w:top="464" w:right="879" w:bottom="1440" w:gutter="0" w:footer="0" w:header="0"/>
          <w:type w:val="continuous"/>
        </w:sectPr>
      </w:pPr>
    </w:p>
    <w:p>
      <w:pPr>
        <w:spacing w:after="0" w:line="18"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Officers</w:t>
      </w:r>
    </w:p>
    <w:p>
      <w:pPr>
        <w:spacing w:after="0" w:line="156"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Pay Versus</w:t>
      </w:r>
    </w:p>
    <w:p>
      <w:pPr>
        <w:ind w:left="1120"/>
        <w:spacing w:after="0" w:line="224" w:lineRule="auto"/>
        <w:rPr>
          <w:sz w:val="20"/>
          <w:szCs w:val="20"/>
          <w:color w:val="auto"/>
        </w:rPr>
      </w:pPr>
      <w:r>
        <w:rPr>
          <w:rFonts w:ascii="Arial" w:cs="Arial" w:eastAsia="Arial" w:hAnsi="Arial"/>
          <w:sz w:val="12"/>
          <w:szCs w:val="12"/>
          <w:color w:val="FFFFFF"/>
        </w:rPr>
        <w:t>Performance</w:t>
      </w:r>
    </w:p>
    <w:p>
      <w:pPr>
        <w:ind w:left="1120"/>
        <w:spacing w:after="0"/>
        <w:rPr>
          <w:sz w:val="20"/>
          <w:szCs w:val="20"/>
          <w:color w:val="auto"/>
        </w:rPr>
      </w:pPr>
      <w:r>
        <w:rPr>
          <w:rFonts w:ascii="Arial" w:cs="Arial" w:eastAsia="Arial" w:hAnsi="Arial"/>
          <w:sz w:val="12"/>
          <w:szCs w:val="12"/>
          <w:color w:val="FFFFFF"/>
        </w:rPr>
        <w:t>Disclosure</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Security</w:t>
      </w:r>
    </w:p>
    <w:p>
      <w:pPr>
        <w:ind w:left="1120"/>
        <w:spacing w:after="0" w:line="224" w:lineRule="auto"/>
        <w:rPr>
          <w:sz w:val="20"/>
          <w:szCs w:val="20"/>
          <w:color w:val="auto"/>
        </w:rPr>
      </w:pPr>
      <w:r>
        <w:rPr>
          <w:rFonts w:ascii="Arial" w:cs="Arial" w:eastAsia="Arial" w:hAnsi="Arial"/>
          <w:sz w:val="12"/>
          <w:szCs w:val="12"/>
          <w:color w:val="FFFFFF"/>
        </w:rPr>
        <w:t>Ownership of</w:t>
      </w:r>
    </w:p>
    <w:p>
      <w:pPr>
        <w:ind w:left="1120"/>
        <w:spacing w:after="0"/>
        <w:rPr>
          <w:sz w:val="20"/>
          <w:szCs w:val="20"/>
          <w:color w:val="auto"/>
        </w:rPr>
      </w:pPr>
      <w:r>
        <w:rPr>
          <w:rFonts w:ascii="Arial" w:cs="Arial" w:eastAsia="Arial" w:hAnsi="Arial"/>
          <w:sz w:val="11"/>
          <w:szCs w:val="11"/>
          <w:color w:val="FFFFFF"/>
        </w:rPr>
        <w:t>Certain Beneficial</w:t>
      </w:r>
    </w:p>
    <w:p>
      <w:pPr>
        <w:ind w:left="1120"/>
        <w:spacing w:after="0" w:line="223" w:lineRule="auto"/>
        <w:rPr>
          <w:sz w:val="20"/>
          <w:szCs w:val="20"/>
          <w:color w:val="auto"/>
        </w:rPr>
      </w:pPr>
      <w:r>
        <w:rPr>
          <w:rFonts w:ascii="Arial" w:cs="Arial" w:eastAsia="Arial" w:hAnsi="Arial"/>
          <w:sz w:val="12"/>
          <w:szCs w:val="12"/>
          <w:color w:val="FFFFFF"/>
        </w:rPr>
        <w:t>Owners and</w:t>
      </w:r>
    </w:p>
    <w:p>
      <w:pPr>
        <w:spacing w:after="0" w:line="1"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Management</w:t>
      </w:r>
    </w:p>
    <w:p>
      <w:pPr>
        <w:spacing w:after="0" w:line="20" w:lineRule="exact"/>
        <w:rPr>
          <w:sz w:val="20"/>
          <w:szCs w:val="20"/>
          <w:color w:val="auto"/>
        </w:rPr>
      </w:pPr>
      <w:r>
        <w:rPr>
          <w:sz w:val="20"/>
          <w:szCs w:val="20"/>
          <w:color w:val="auto"/>
        </w:rPr>
        <w:br w:type="column"/>
      </w:r>
    </w:p>
    <w:p>
      <w:pPr>
        <w:spacing w:after="0" w:line="268" w:lineRule="auto"/>
        <w:rPr>
          <w:sz w:val="20"/>
          <w:szCs w:val="20"/>
          <w:color w:val="auto"/>
        </w:rPr>
      </w:pPr>
      <w:r>
        <w:rPr>
          <w:rFonts w:ascii="Arial" w:cs="Arial" w:eastAsia="Arial" w:hAnsi="Arial"/>
          <w:sz w:val="15"/>
          <w:szCs w:val="15"/>
          <w:b w:val="1"/>
          <w:bCs w:val="1"/>
          <w:color w:val="auto"/>
        </w:rPr>
        <w:t>Enablers Goal</w:t>
      </w:r>
      <w:r>
        <w:rPr>
          <w:rFonts w:ascii="Arial" w:cs="Arial" w:eastAsia="Arial" w:hAnsi="Arial"/>
          <w:sz w:val="15"/>
          <w:szCs w:val="15"/>
          <w:color w:val="auto"/>
        </w:rPr>
        <w:t>: Empower the organization through</w:t>
      </w:r>
      <w:r>
        <w:rPr>
          <w:rFonts w:ascii="Arial" w:cs="Arial" w:eastAsia="Arial" w:hAnsi="Arial"/>
          <w:sz w:val="15"/>
          <w:szCs w:val="15"/>
          <w:b w:val="1"/>
          <w:bCs w:val="1"/>
          <w:color w:val="auto"/>
        </w:rPr>
        <w:t xml:space="preserve"> </w:t>
      </w:r>
      <w:r>
        <w:rPr>
          <w:rFonts w:ascii="Arial" w:cs="Arial" w:eastAsia="Arial" w:hAnsi="Arial"/>
          <w:sz w:val="15"/>
          <w:szCs w:val="15"/>
          <w:color w:val="auto"/>
        </w:rPr>
        <w:t>people, technology and data enablement</w:t>
      </w:r>
    </w:p>
    <w:p>
      <w:pPr>
        <w:spacing w:after="0" w:line="20" w:lineRule="exact"/>
        <w:rPr>
          <w:sz w:val="20"/>
          <w:szCs w:val="20"/>
          <w:color w:val="auto"/>
        </w:rPr>
      </w:pPr>
      <w:r>
        <w:rPr>
          <w:sz w:val="20"/>
          <w:szCs w:val="20"/>
          <w:color w:val="auto"/>
        </w:rPr>
        <w:br w:type="column"/>
      </w:r>
    </w:p>
    <w:p>
      <w:pPr>
        <w:ind w:right="120"/>
        <w:spacing w:after="0" w:line="251" w:lineRule="auto"/>
        <w:rPr>
          <w:sz w:val="20"/>
          <w:szCs w:val="20"/>
          <w:color w:val="auto"/>
        </w:rPr>
      </w:pPr>
      <w:r>
        <w:rPr>
          <w:rFonts w:ascii="Arial" w:cs="Arial" w:eastAsia="Arial" w:hAnsi="Arial"/>
          <w:sz w:val="15"/>
          <w:szCs w:val="15"/>
          <w:b w:val="1"/>
          <w:bCs w:val="1"/>
          <w:i w:val="1"/>
          <w:iCs w:val="1"/>
          <w:color w:val="auto"/>
        </w:rPr>
        <w:t xml:space="preserve">Exceeds / Meets Target. </w:t>
      </w:r>
      <w:r>
        <w:rPr>
          <w:rFonts w:ascii="Arial" w:cs="Arial" w:eastAsia="Arial" w:hAnsi="Arial"/>
          <w:sz w:val="15"/>
          <w:szCs w:val="15"/>
          <w:color w:val="auto"/>
        </w:rPr>
        <w:t>The Company’s full year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pre-tax operating margin exceeded target, driven by disciplined expense management and gross profit outperformance. Technology stability improved, with advisor-impacted minutes for the year coming in below budget, and systems capability improvements enabled the remediation of customer-facing issues before they caused widespread outages.</w:t>
      </w:r>
    </w:p>
    <w:p>
      <w:pPr>
        <w:spacing w:after="0" w:line="222" w:lineRule="exact"/>
        <w:rPr>
          <w:sz w:val="20"/>
          <w:szCs w:val="20"/>
          <w:color w:val="auto"/>
        </w:rPr>
      </w:pPr>
    </w:p>
    <w:p>
      <w:pPr>
        <w:sectPr>
          <w:pgSz w:w="11900" w:h="16838" w:orient="portrait"/>
          <w:cols w:equalWidth="0" w:num="3">
            <w:col w:w="2080" w:space="720"/>
            <w:col w:w="3460" w:space="620"/>
            <w:col w:w="3820"/>
          </w:cols>
          <w:pgMar w:left="320" w:top="464" w:right="879" w:bottom="1440" w:gutter="0" w:footer="0" w:header="0"/>
          <w:type w:val="continuous"/>
        </w:sectPr>
      </w:pPr>
    </w:p>
    <w:p>
      <w:pPr>
        <w:ind w:left="1120"/>
        <w:spacing w:after="0"/>
        <w:rPr>
          <w:sz w:val="20"/>
          <w:szCs w:val="20"/>
          <w:color w:val="auto"/>
        </w:rPr>
      </w:pPr>
      <w:r>
        <w:rPr>
          <w:rFonts w:ascii="Arial" w:cs="Arial" w:eastAsia="Arial" w:hAnsi="Arial"/>
          <w:sz w:val="12"/>
          <w:szCs w:val="12"/>
          <w:color w:val="FFFFFF"/>
        </w:rPr>
        <w:t>Certain</w:t>
      </w:r>
    </w:p>
    <w:p>
      <w:pPr>
        <w:ind w:left="1120"/>
        <w:spacing w:after="0" w:line="224" w:lineRule="auto"/>
        <w:rPr>
          <w:sz w:val="20"/>
          <w:szCs w:val="20"/>
          <w:color w:val="auto"/>
        </w:rPr>
      </w:pPr>
      <w:r>
        <w:rPr>
          <w:rFonts w:ascii="Arial" w:cs="Arial" w:eastAsia="Arial" w:hAnsi="Arial"/>
          <w:sz w:val="12"/>
          <w:szCs w:val="12"/>
          <w:color w:val="FFFFFF"/>
        </w:rPr>
        <w:t>Relationships and</w:t>
      </w:r>
    </w:p>
    <w:p>
      <w:pPr>
        <w:ind w:left="1120"/>
        <w:spacing w:after="0" w:line="222" w:lineRule="auto"/>
        <w:rPr>
          <w:sz w:val="20"/>
          <w:szCs w:val="20"/>
          <w:color w:val="auto"/>
        </w:rPr>
      </w:pPr>
      <w:r>
        <w:rPr>
          <w:rFonts w:ascii="Arial" w:cs="Arial" w:eastAsia="Arial" w:hAnsi="Arial"/>
          <w:sz w:val="12"/>
          <w:szCs w:val="12"/>
          <w:color w:val="FFFFFF"/>
        </w:rPr>
        <w:t>Related Party</w:t>
      </w:r>
    </w:p>
    <w:p>
      <w:pPr>
        <w:ind w:left="1120"/>
        <w:spacing w:after="0"/>
        <w:rPr>
          <w:sz w:val="20"/>
          <w:szCs w:val="20"/>
          <w:color w:val="auto"/>
        </w:rPr>
      </w:pPr>
      <w:r>
        <w:rPr>
          <w:rFonts w:ascii="Arial" w:cs="Arial" w:eastAsia="Arial" w:hAnsi="Arial"/>
          <w:sz w:val="12"/>
          <w:szCs w:val="12"/>
          <w:color w:val="FFFFFF"/>
        </w:rPr>
        <w:t>Transactions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Proposal 2</w:t>
      </w:r>
    </w:p>
    <w:p>
      <w:pPr>
        <w:spacing w:after="0" w:line="156"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Report of the</w:t>
      </w:r>
    </w:p>
    <w:p>
      <w:pPr>
        <w:ind w:left="1120"/>
        <w:spacing w:after="0" w:line="224" w:lineRule="auto"/>
        <w:rPr>
          <w:sz w:val="20"/>
          <w:szCs w:val="20"/>
          <w:color w:val="auto"/>
        </w:rPr>
      </w:pPr>
      <w:r>
        <w:rPr>
          <w:rFonts w:ascii="Arial" w:cs="Arial" w:eastAsia="Arial" w:hAnsi="Arial"/>
          <w:sz w:val="12"/>
          <w:szCs w:val="12"/>
          <w:color w:val="FFFFFF"/>
        </w:rPr>
        <w:t>Audit and Risk</w:t>
      </w:r>
    </w:p>
    <w:p>
      <w:pPr>
        <w:ind w:left="1120"/>
        <w:spacing w:after="0" w:line="222" w:lineRule="auto"/>
        <w:rPr>
          <w:sz w:val="20"/>
          <w:szCs w:val="20"/>
          <w:color w:val="auto"/>
        </w:rPr>
      </w:pPr>
      <w:r>
        <w:rPr>
          <w:rFonts w:ascii="Arial" w:cs="Arial" w:eastAsia="Arial" w:hAnsi="Arial"/>
          <w:sz w:val="12"/>
          <w:szCs w:val="12"/>
          <w:color w:val="FFFFFF"/>
        </w:rPr>
        <w:t>Committee of the</w:t>
      </w:r>
    </w:p>
    <w:p>
      <w:pPr>
        <w:ind w:left="1120"/>
        <w:spacing w:after="0"/>
        <w:rPr>
          <w:sz w:val="20"/>
          <w:szCs w:val="20"/>
          <w:color w:val="auto"/>
        </w:rPr>
      </w:pPr>
      <w:r>
        <w:rPr>
          <w:rFonts w:ascii="Arial" w:cs="Arial" w:eastAsia="Arial" w:hAnsi="Arial"/>
          <w:sz w:val="11"/>
          <w:szCs w:val="11"/>
          <w:color w:val="FFFFFF"/>
        </w:rPr>
        <w:t>Board of Directors</w:t>
      </w:r>
    </w:p>
    <w:p>
      <w:pPr>
        <w:spacing w:after="0" w:line="155" w:lineRule="exact"/>
        <w:rPr>
          <w:sz w:val="20"/>
          <w:szCs w:val="20"/>
          <w:color w:val="auto"/>
        </w:rPr>
      </w:pPr>
    </w:p>
    <w:p>
      <w:pPr>
        <w:jc w:val="center"/>
        <w:ind w:left="720"/>
        <w:spacing w:after="0"/>
        <w:rPr>
          <w:sz w:val="20"/>
          <w:szCs w:val="20"/>
          <w:color w:val="auto"/>
        </w:rPr>
      </w:pPr>
      <w:r>
        <w:rPr>
          <w:rFonts w:ascii="Arial" w:cs="Arial" w:eastAsia="Arial" w:hAnsi="Arial"/>
          <w:sz w:val="11"/>
          <w:szCs w:val="11"/>
          <w:color w:val="FFFFFF"/>
        </w:rPr>
        <w:t>Proposal 3</w:t>
      </w:r>
    </w:p>
    <w:p>
      <w:pPr>
        <w:spacing w:after="0" w:line="167" w:lineRule="exact"/>
        <w:rPr>
          <w:sz w:val="20"/>
          <w:szCs w:val="20"/>
          <w:color w:val="auto"/>
        </w:rPr>
      </w:pPr>
    </w:p>
    <w:p>
      <w:pPr>
        <w:jc w:val="center"/>
        <w:ind w:left="720"/>
        <w:spacing w:after="0"/>
        <w:rPr>
          <w:sz w:val="20"/>
          <w:szCs w:val="20"/>
          <w:color w:val="auto"/>
        </w:rPr>
      </w:pPr>
      <w:r>
        <w:rPr>
          <w:rFonts w:ascii="Arial" w:cs="Arial" w:eastAsia="Arial" w:hAnsi="Arial"/>
          <w:sz w:val="11"/>
          <w:szCs w:val="11"/>
          <w:color w:val="FFFFFF"/>
        </w:rPr>
        <w:t>Proposal 4</w:t>
      </w:r>
    </w:p>
    <w:p>
      <w:pPr>
        <w:spacing w:after="0" w:line="167" w:lineRule="exact"/>
        <w:rPr>
          <w:sz w:val="20"/>
          <w:szCs w:val="20"/>
          <w:color w:val="auto"/>
        </w:rPr>
      </w:pPr>
    </w:p>
    <w:p>
      <w:pPr>
        <w:jc w:val="center"/>
        <w:ind w:left="720"/>
        <w:spacing w:after="0"/>
        <w:rPr>
          <w:sz w:val="20"/>
          <w:szCs w:val="20"/>
          <w:color w:val="auto"/>
        </w:rPr>
      </w:pPr>
      <w:r>
        <w:rPr>
          <w:rFonts w:ascii="Arial" w:cs="Arial" w:eastAsia="Arial" w:hAnsi="Arial"/>
          <w:sz w:val="11"/>
          <w:szCs w:val="11"/>
          <w:color w:val="FFFFFF"/>
        </w:rPr>
        <w:t>Proposal 5</w:t>
      </w:r>
    </w:p>
    <w:p>
      <w:pPr>
        <w:spacing w:after="0" w:line="167"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Proposal 6</w:t>
      </w:r>
    </w:p>
    <w:p>
      <w:pPr>
        <w:spacing w:after="0" w:line="156"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Stockholder</w:t>
      </w:r>
    </w:p>
    <w:p>
      <w:pPr>
        <w:ind w:left="1120"/>
        <w:spacing w:after="0" w:line="224" w:lineRule="auto"/>
        <w:rPr>
          <w:sz w:val="20"/>
          <w:szCs w:val="20"/>
          <w:color w:val="auto"/>
        </w:rPr>
      </w:pPr>
      <w:r>
        <w:rPr>
          <w:rFonts w:ascii="Arial" w:cs="Arial" w:eastAsia="Arial" w:hAnsi="Arial"/>
          <w:sz w:val="12"/>
          <w:szCs w:val="12"/>
          <w:color w:val="FFFFFF"/>
        </w:rPr>
        <w:t>Proposals and</w:t>
      </w:r>
    </w:p>
    <w:p>
      <w:pPr>
        <w:ind w:left="1120"/>
        <w:spacing w:after="0"/>
        <w:rPr>
          <w:sz w:val="20"/>
          <w:szCs w:val="20"/>
          <w:color w:val="auto"/>
        </w:rPr>
      </w:pPr>
      <w:r>
        <w:rPr>
          <w:rFonts w:ascii="Arial" w:cs="Arial" w:eastAsia="Arial" w:hAnsi="Arial"/>
          <w:sz w:val="12"/>
          <w:szCs w:val="12"/>
          <w:color w:val="FFFFFF"/>
        </w:rPr>
        <w:t>Other Matters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Delinquent</w:t>
      </w:r>
    </w:p>
    <w:p>
      <w:pPr>
        <w:ind w:left="1120"/>
        <w:spacing w:after="0" w:line="224" w:lineRule="auto"/>
        <w:rPr>
          <w:sz w:val="20"/>
          <w:szCs w:val="20"/>
          <w:color w:val="auto"/>
        </w:rPr>
      </w:pPr>
      <w:r>
        <w:rPr>
          <w:rFonts w:ascii="Arial" w:cs="Arial" w:eastAsia="Arial" w:hAnsi="Arial"/>
          <w:sz w:val="12"/>
          <w:szCs w:val="12"/>
          <w:color w:val="FFFFFF"/>
        </w:rPr>
        <w:t>Section 16(a)</w:t>
      </w:r>
    </w:p>
    <w:p>
      <w:pPr>
        <w:ind w:left="1120"/>
        <w:spacing w:after="0"/>
        <w:rPr>
          <w:sz w:val="20"/>
          <w:szCs w:val="20"/>
          <w:color w:val="auto"/>
        </w:rPr>
      </w:pPr>
      <w:r>
        <w:rPr>
          <w:rFonts w:ascii="Arial" w:cs="Arial" w:eastAsia="Arial" w:hAnsi="Arial"/>
          <w:sz w:val="12"/>
          <w:szCs w:val="12"/>
          <w:color w:val="FFFFFF"/>
        </w:rPr>
        <w:t>Reports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Other</w:t>
      </w:r>
    </w:p>
    <w:p>
      <w:pPr>
        <w:spacing w:after="0" w:line="2"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Information</w:t>
      </w:r>
    </w:p>
    <w:p>
      <w:pPr>
        <w:spacing w:after="0" w:line="144" w:lineRule="exact"/>
        <w:rPr>
          <w:sz w:val="20"/>
          <w:szCs w:val="20"/>
          <w:color w:val="auto"/>
        </w:rPr>
      </w:pPr>
    </w:p>
    <w:p>
      <w:pPr>
        <w:jc w:val="center"/>
        <w:ind w:left="760"/>
        <w:spacing w:after="0"/>
        <w:rPr>
          <w:sz w:val="20"/>
          <w:szCs w:val="20"/>
          <w:color w:val="auto"/>
        </w:rPr>
      </w:pPr>
      <w:r>
        <w:rPr>
          <w:rFonts w:ascii="Arial" w:cs="Arial" w:eastAsia="Arial" w:hAnsi="Arial"/>
          <w:sz w:val="11"/>
          <w:szCs w:val="11"/>
          <w:color w:val="FFFFFF"/>
        </w:rPr>
        <w:t>Appendix A</w:t>
      </w:r>
    </w:p>
    <w:p>
      <w:pPr>
        <w:spacing w:after="0" w:line="167" w:lineRule="exact"/>
        <w:rPr>
          <w:sz w:val="20"/>
          <w:szCs w:val="20"/>
          <w:color w:val="auto"/>
        </w:rPr>
      </w:pPr>
    </w:p>
    <w:p>
      <w:pPr>
        <w:jc w:val="center"/>
        <w:ind w:left="760"/>
        <w:spacing w:after="0"/>
        <w:rPr>
          <w:sz w:val="20"/>
          <w:szCs w:val="20"/>
          <w:color w:val="auto"/>
        </w:rPr>
      </w:pPr>
      <w:r>
        <w:rPr>
          <w:rFonts w:ascii="Arial" w:cs="Arial" w:eastAsia="Arial" w:hAnsi="Arial"/>
          <w:sz w:val="11"/>
          <w:szCs w:val="11"/>
          <w:color w:val="FFFFFF"/>
        </w:rPr>
        <w:t>Appendix B</w:t>
      </w:r>
    </w:p>
    <w:p>
      <w:pPr>
        <w:spacing w:after="0" w:line="20" w:lineRule="exact"/>
        <w:rPr>
          <w:sz w:val="20"/>
          <w:szCs w:val="20"/>
          <w:color w:val="auto"/>
        </w:rPr>
      </w:pPr>
      <w:r>
        <w:rPr>
          <w:sz w:val="20"/>
          <w:szCs w:val="20"/>
          <w:color w:val="auto"/>
        </w:rPr>
        <w:br w:type="column"/>
      </w:r>
    </w:p>
    <w:p>
      <w:pPr>
        <w:ind w:right="20"/>
        <w:spacing w:after="0" w:line="268" w:lineRule="auto"/>
        <w:rPr>
          <w:sz w:val="20"/>
          <w:szCs w:val="20"/>
          <w:color w:val="auto"/>
        </w:rPr>
      </w:pPr>
      <w:r>
        <w:rPr>
          <w:rFonts w:ascii="Arial" w:cs="Arial" w:eastAsia="Arial" w:hAnsi="Arial"/>
          <w:sz w:val="15"/>
          <w:szCs w:val="15"/>
          <w:color w:val="auto"/>
        </w:rPr>
        <w:t>As we look forward to 2026, the Board has committed our management team to business goal categories that are based on the Company’s firm-level goals; anchored to growth, experience, and operational excellence; and aligned to the Company’s strategy to become the best firm in wealth management.</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color w:val="002B5F"/>
        </w:rPr>
        <w:t>INDIVIDUAL CASH BONUS AWARD DETERMINATIONS</w:t>
      </w:r>
    </w:p>
    <w:p>
      <w:pPr>
        <w:spacing w:after="0" w:line="103" w:lineRule="exact"/>
        <w:rPr>
          <w:sz w:val="20"/>
          <w:szCs w:val="20"/>
          <w:color w:val="auto"/>
        </w:rPr>
      </w:pPr>
    </w:p>
    <w:p>
      <w:pPr>
        <w:spacing w:after="0" w:line="252" w:lineRule="auto"/>
        <w:rPr>
          <w:sz w:val="20"/>
          <w:szCs w:val="20"/>
          <w:color w:val="auto"/>
        </w:rPr>
      </w:pPr>
      <w:r>
        <w:rPr>
          <w:rFonts w:ascii="Arial" w:cs="Arial" w:eastAsia="Arial" w:hAnsi="Arial"/>
          <w:sz w:val="15"/>
          <w:szCs w:val="15"/>
          <w:color w:val="auto"/>
        </w:rPr>
        <w:t>The Compensation Committee evaluates each NEO’s contribution to the Company’s overall performance, as well as the NEO’s individual performance with respect to Company goals under the bonus program. After the total bonus pool funding is set, in determining whether and to what extent bonuses are paid, the Compensation Committee takes into account discussions with management and the Compensation Consultant. The Compensation Committee also reviews management’s proposed framework for distribution of the annual bonus pool by job level, which is designed to scale bonus payouts for senior executives up or down based on Company performance to a greater extent than other employees’ bonuses are scaled up or down. As a result, because the bonus pool was funded above target, the bonus payout percentages in 2025 for job levels of group managing director and above, which includes our NEOs, were higher than our bonus pool funding percentage overall. For additional information, including the assessment process for our CEO, please see “</w:t>
      </w:r>
      <w:r>
        <w:rPr>
          <w:rFonts w:ascii="Arial" w:cs="Arial" w:eastAsia="Arial" w:hAnsi="Arial"/>
          <w:sz w:val="15"/>
          <w:szCs w:val="15"/>
          <w:i w:val="1"/>
          <w:iCs w:val="1"/>
          <w:color w:val="auto"/>
        </w:rPr>
        <w:t>How Compensation Decisions Were Made</w:t>
      </w:r>
      <w:r>
        <w:rPr>
          <w:rFonts w:ascii="Arial" w:cs="Arial" w:eastAsia="Arial" w:hAnsi="Arial"/>
          <w:sz w:val="15"/>
          <w:szCs w:val="15"/>
          <w:color w:val="auto"/>
        </w:rPr>
        <w:t>” in the CD&amp;A.</w:t>
      </w:r>
    </w:p>
    <w:p>
      <w:pPr>
        <w:spacing w:after="0" w:line="2108" w:lineRule="exact"/>
        <w:rPr>
          <w:sz w:val="20"/>
          <w:szCs w:val="20"/>
          <w:color w:val="auto"/>
        </w:rPr>
      </w:pPr>
    </w:p>
    <w:p>
      <w:pPr>
        <w:sectPr>
          <w:pgSz w:w="11900" w:h="16838" w:orient="portrait"/>
          <w:cols w:equalWidth="0" w:num="2">
            <w:col w:w="2080" w:space="640"/>
            <w:col w:w="7980"/>
          </w:cols>
          <w:pgMar w:left="320" w:top="464" w:right="879" w:bottom="1440" w:gutter="0" w:footer="0" w:header="0"/>
          <w:type w:val="continuous"/>
        </w:sectPr>
      </w:pPr>
    </w:p>
    <w:p>
      <w:pPr>
        <w:spacing w:after="0" w:line="200" w:lineRule="exact"/>
        <w:rPr>
          <w:sz w:val="20"/>
          <w:szCs w:val="20"/>
          <w:color w:val="auto"/>
        </w:rPr>
      </w:pPr>
    </w:p>
    <w:p>
      <w:pPr>
        <w:spacing w:after="0" w:line="397" w:lineRule="exact"/>
        <w:rPr>
          <w:sz w:val="20"/>
          <w:szCs w:val="20"/>
          <w:color w:val="auto"/>
        </w:rPr>
      </w:pPr>
    </w:p>
    <w:p>
      <w:pPr>
        <w:ind w:left="420"/>
        <w:spacing w:after="0"/>
        <w:tabs>
          <w:tab w:leader="none" w:pos="2380" w:val="left"/>
          <w:tab w:leader="none" w:pos="2800" w:val="left"/>
        </w:tabs>
        <w:rPr>
          <w:sz w:val="20"/>
          <w:szCs w:val="20"/>
          <w:color w:val="auto"/>
        </w:rPr>
      </w:pPr>
      <w:r>
        <w:rPr>
          <w:rFonts w:ascii="Arial" w:cs="Arial" w:eastAsia="Arial" w:hAnsi="Arial"/>
          <w:sz w:val="30"/>
          <w:szCs w:val="30"/>
          <w:color w:val="000000"/>
          <w:vertAlign w:val="superscript"/>
        </w:rPr>
        <w:t xml:space="preserve">             </w:t>
      </w:r>
      <w:r>
        <w:rPr>
          <w:sz w:val="20"/>
          <w:szCs w:val="20"/>
          <w:color w:val="auto"/>
        </w:rPr>
        <w:tab/>
      </w:r>
      <w:r>
        <w:rPr>
          <w:rFonts w:ascii="Arial" w:cs="Arial" w:eastAsia="Arial" w:hAnsi="Arial"/>
          <w:sz w:val="31"/>
          <w:szCs w:val="31"/>
          <w:color w:val="auto"/>
          <w:vertAlign w:val="superscript"/>
        </w:rPr>
        <w:t xml:space="preserve">    </w:t>
      </w:r>
      <w:r>
        <w:rPr>
          <w:sz w:val="20"/>
          <w:szCs w:val="20"/>
          <w:color w:val="auto"/>
        </w:rPr>
        <w:tab/>
      </w:r>
      <w:r>
        <w:rPr>
          <w:rFonts w:ascii="Arial" w:cs="Arial" w:eastAsia="Arial" w:hAnsi="Arial"/>
          <w:sz w:val="15"/>
          <w:szCs w:val="15"/>
          <w:b w:val="1"/>
          <w:bCs w:val="1"/>
          <w:color w:val="002B5F"/>
        </w:rPr>
        <w:t xml:space="preserve">48  </w:t>
      </w:r>
      <w:r>
        <w:rPr>
          <w:rFonts w:ascii="Arial" w:cs="Arial" w:eastAsia="Arial" w:hAnsi="Arial"/>
          <w:sz w:val="20"/>
          <w:szCs w:val="20"/>
          <w:color w:val="002B5F"/>
        </w:rPr>
        <w:t>|</w:t>
      </w:r>
      <w:r>
        <w:rPr>
          <w:rFonts w:ascii="Arial" w:cs="Arial" w:eastAsia="Arial" w:hAnsi="Arial"/>
          <w:sz w:val="15"/>
          <w:szCs w:val="15"/>
          <w:b w:val="1"/>
          <w:bCs w:val="1"/>
          <w:color w:val="002B5F"/>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6111875</wp:posOffset>
            </wp:positionH>
            <wp:positionV relativeFrom="paragraph">
              <wp:posOffset>-208915</wp:posOffset>
            </wp:positionV>
            <wp:extent cx="769620" cy="971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69620" cy="97155"/>
                    </a:xfrm>
                    <a:prstGeom prst="rect">
                      <a:avLst/>
                    </a:prstGeom>
                    <a:noFill/>
                  </pic:spPr>
                </pic:pic>
              </a:graphicData>
            </a:graphic>
          </wp:anchor>
        </w:drawing>
      </w:r>
    </w:p>
    <w:p>
      <w:pPr>
        <w:sectPr>
          <w:pgSz w:w="11900" w:h="16838" w:orient="portrait"/>
          <w:cols w:equalWidth="0" w:num="1">
            <w:col w:w="10700"/>
          </w:cols>
          <w:pgMar w:left="320" w:top="464" w:right="879" w:bottom="1440" w:gutter="0" w:footer="0" w:header="0"/>
          <w:type w:val="continuous"/>
        </w:sectPr>
      </w:pPr>
    </w:p>
    <w:bookmarkStart w:id="56" w:name="page57"/>
    <w:bookmarkEnd w:id="5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5334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81215" cy="5334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5617845</wp:posOffset>
            </wp:positionH>
            <wp:positionV relativeFrom="paragraph">
              <wp:posOffset>253365</wp:posOffset>
            </wp:positionV>
            <wp:extent cx="1256030" cy="74720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256030" cy="7472045"/>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tbl>
      <w:tblPr>
        <w:tblLayout w:type="fixed"/>
        <w:tblInd w:w="540" w:type="dxa"/>
        <w:tblCellMar>
          <w:top w:w="0" w:type="dxa"/>
          <w:left w:w="0" w:type="dxa"/>
          <w:bottom w:w="0" w:type="dxa"/>
          <w:right w:w="0" w:type="dxa"/>
        </w:tblCellMar>
      </w:tblPr>
      <w:tr>
        <w:trPr>
          <w:trHeight w:val="179"/>
        </w:trPr>
        <w:tc>
          <w:tcPr>
            <w:tcW w:w="8100" w:type="dxa"/>
            <w:vAlign w:val="bottom"/>
          </w:tcPr>
          <w:p>
            <w:pPr>
              <w:spacing w:after="0"/>
              <w:rPr>
                <w:sz w:val="20"/>
                <w:szCs w:val="20"/>
                <w:color w:val="auto"/>
              </w:rPr>
            </w:pPr>
            <w:r>
              <w:rPr>
                <w:rFonts w:ascii="Arial" w:cs="Arial" w:eastAsia="Arial" w:hAnsi="Arial"/>
                <w:sz w:val="15"/>
                <w:szCs w:val="15"/>
                <w:color w:val="auto"/>
              </w:rPr>
              <w:t>Each NEO’s bonus target was established by the Compensation Committee, in consultation with the Compensation</w:t>
            </w:r>
          </w:p>
        </w:tc>
        <w:tc>
          <w:tcPr>
            <w:tcW w:w="4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8100" w:type="dxa"/>
            <w:vAlign w:val="bottom"/>
          </w:tcPr>
          <w:p>
            <w:pPr>
              <w:spacing w:after="0"/>
              <w:rPr>
                <w:sz w:val="20"/>
                <w:szCs w:val="20"/>
                <w:color w:val="auto"/>
              </w:rPr>
            </w:pPr>
            <w:r>
              <w:rPr>
                <w:rFonts w:ascii="Arial" w:cs="Arial" w:eastAsia="Arial" w:hAnsi="Arial"/>
                <w:sz w:val="15"/>
                <w:szCs w:val="15"/>
                <w:color w:val="auto"/>
              </w:rPr>
              <w:t>Consultant, at the beginning of 2025 on the basis of the Benchmarking Data, the nature of each NEO’s role and</w:t>
            </w:r>
          </w:p>
        </w:tc>
        <w:tc>
          <w:tcPr>
            <w:tcW w:w="440" w:type="dxa"/>
            <w:vAlign w:val="bottom"/>
            <w:vMerge w:val="restart"/>
          </w:tcPr>
          <w:p>
            <w:pPr>
              <w:ind w:left="240"/>
              <w:spacing w:after="0"/>
              <w:rPr>
                <w:sz w:val="20"/>
                <w:szCs w:val="20"/>
                <w:color w:val="auto"/>
              </w:rPr>
            </w:pPr>
            <w:r>
              <w:rPr>
                <w:rFonts w:ascii="Arial" w:cs="Arial" w:eastAsia="Arial" w:hAnsi="Arial"/>
                <w:sz w:val="15"/>
                <w:szCs w:val="15"/>
                <w:color w:val="auto"/>
              </w:rPr>
              <w:t> </w:t>
            </w:r>
          </w:p>
        </w:tc>
        <w:tc>
          <w:tcPr>
            <w:tcW w:w="1280" w:type="dxa"/>
            <w:vAlign w:val="bottom"/>
            <w:vMerge w:val="restart"/>
          </w:tcPr>
          <w:p>
            <w:pPr>
              <w:ind w:left="140"/>
              <w:spacing w:after="0"/>
              <w:rPr>
                <w:sz w:val="20"/>
                <w:szCs w:val="20"/>
                <w:color w:val="auto"/>
              </w:rPr>
            </w:pPr>
            <w:r>
              <w:rPr>
                <w:rFonts w:ascii="Arial" w:cs="Arial" w:eastAsia="Arial" w:hAnsi="Arial"/>
                <w:sz w:val="12"/>
                <w:szCs w:val="12"/>
                <w:color w:val="FFFFFF"/>
              </w:rPr>
              <w:t>General</w:t>
            </w:r>
          </w:p>
        </w:tc>
        <w:tc>
          <w:tcPr>
            <w:tcW w:w="440" w:type="dxa"/>
            <w:vAlign w:val="bottom"/>
            <w:vMerge w:val="restart"/>
          </w:tcPr>
          <w:p>
            <w:pPr>
              <w:ind w:left="80"/>
              <w:spacing w:after="0"/>
              <w:rPr>
                <w:sz w:val="20"/>
                <w:szCs w:val="20"/>
                <w:color w:val="auto"/>
              </w:rPr>
            </w:pPr>
            <w:r>
              <w:rPr>
                <w:rFonts w:ascii="Arial" w:cs="Arial" w:eastAsia="Arial" w:hAnsi="Arial"/>
                <w:sz w:val="15"/>
                <w:szCs w:val="15"/>
                <w:color w:val="auto"/>
              </w:rPr>
              <w:t xml:space="preserve">       </w:t>
            </w:r>
          </w:p>
        </w:tc>
        <w:tc>
          <w:tcPr>
            <w:tcW w:w="0" w:type="dxa"/>
            <w:vAlign w:val="bottom"/>
          </w:tcPr>
          <w:p>
            <w:pPr>
              <w:spacing w:after="0"/>
              <w:rPr>
                <w:sz w:val="1"/>
                <w:szCs w:val="1"/>
                <w:color w:val="auto"/>
              </w:rPr>
            </w:pPr>
          </w:p>
        </w:tc>
      </w:tr>
      <w:tr>
        <w:trPr>
          <w:trHeight w:val="51"/>
        </w:trPr>
        <w:tc>
          <w:tcPr>
            <w:tcW w:w="8100" w:type="dxa"/>
            <w:vAlign w:val="bottom"/>
            <w:vMerge w:val="restart"/>
          </w:tcPr>
          <w:p>
            <w:pPr>
              <w:spacing w:after="0"/>
              <w:rPr>
                <w:sz w:val="20"/>
                <w:szCs w:val="20"/>
                <w:color w:val="auto"/>
              </w:rPr>
            </w:pPr>
            <w:r>
              <w:rPr>
                <w:rFonts w:ascii="Arial" w:cs="Arial" w:eastAsia="Arial" w:hAnsi="Arial"/>
                <w:sz w:val="15"/>
                <w:szCs w:val="15"/>
                <w:color w:val="auto"/>
              </w:rPr>
              <w:t>each NEO’s potential to drive the strategy, planning, execution and outcomes related to the achievement of the</w:t>
            </w:r>
          </w:p>
        </w:tc>
        <w:tc>
          <w:tcPr>
            <w:tcW w:w="440" w:type="dxa"/>
            <w:vAlign w:val="bottom"/>
            <w:vMerge w:val="continue"/>
          </w:tcPr>
          <w:p>
            <w:pPr>
              <w:spacing w:after="0"/>
              <w:rPr>
                <w:sz w:val="4"/>
                <w:szCs w:val="4"/>
                <w:color w:val="auto"/>
              </w:rPr>
            </w:pPr>
          </w:p>
        </w:tc>
        <w:tc>
          <w:tcPr>
            <w:tcW w:w="1280" w:type="dxa"/>
            <w:vAlign w:val="bottom"/>
            <w:vMerge w:val="continue"/>
          </w:tcPr>
          <w:p>
            <w:pPr>
              <w:spacing w:after="0"/>
              <w:rPr>
                <w:sz w:val="4"/>
                <w:szCs w:val="4"/>
                <w:color w:val="auto"/>
              </w:rPr>
            </w:pPr>
          </w:p>
        </w:tc>
        <w:tc>
          <w:tcPr>
            <w:tcW w:w="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8"/>
        </w:trPr>
        <w:tc>
          <w:tcPr>
            <w:tcW w:w="8100" w:type="dxa"/>
            <w:vAlign w:val="bottom"/>
            <w:vMerge w:val="continue"/>
          </w:tcPr>
          <w:p>
            <w:pPr>
              <w:spacing w:after="0"/>
              <w:rPr>
                <w:sz w:val="11"/>
                <w:szCs w:val="11"/>
                <w:color w:val="auto"/>
              </w:rPr>
            </w:pPr>
          </w:p>
        </w:tc>
        <w:tc>
          <w:tcPr>
            <w:tcW w:w="440" w:type="dxa"/>
            <w:vAlign w:val="bottom"/>
          </w:tcPr>
          <w:p>
            <w:pPr>
              <w:spacing w:after="0"/>
              <w:rPr>
                <w:sz w:val="11"/>
                <w:szCs w:val="11"/>
                <w:color w:val="auto"/>
              </w:rPr>
            </w:pPr>
          </w:p>
        </w:tc>
        <w:tc>
          <w:tcPr>
            <w:tcW w:w="1280" w:type="dxa"/>
            <w:vAlign w:val="bottom"/>
          </w:tcPr>
          <w:p>
            <w:pPr>
              <w:ind w:left="140"/>
              <w:spacing w:after="0" w:line="128" w:lineRule="exact"/>
              <w:rPr>
                <w:sz w:val="20"/>
                <w:szCs w:val="20"/>
                <w:color w:val="auto"/>
              </w:rPr>
            </w:pPr>
            <w:r>
              <w:rPr>
                <w:rFonts w:ascii="Arial" w:cs="Arial" w:eastAsia="Arial" w:hAnsi="Arial"/>
                <w:sz w:val="12"/>
                <w:szCs w:val="12"/>
                <w:color w:val="FFFFFF"/>
              </w:rPr>
              <w:t>Information</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9"/>
        </w:trPr>
        <w:tc>
          <w:tcPr>
            <w:tcW w:w="8100" w:type="dxa"/>
            <w:vAlign w:val="bottom"/>
          </w:tcPr>
          <w:p>
            <w:pPr>
              <w:spacing w:after="0"/>
              <w:rPr>
                <w:sz w:val="20"/>
                <w:szCs w:val="20"/>
                <w:color w:val="auto"/>
              </w:rPr>
            </w:pPr>
            <w:r>
              <w:rPr>
                <w:rFonts w:ascii="Arial" w:cs="Arial" w:eastAsia="Arial" w:hAnsi="Arial"/>
                <w:sz w:val="15"/>
                <w:szCs w:val="15"/>
                <w:color w:val="auto"/>
              </w:rPr>
              <w:t>Company’s 2025 Corporate Goals. The Compensation Committee has discretion to pay bonuses above or below</w:t>
            </w:r>
          </w:p>
        </w:tc>
        <w:tc>
          <w:tcPr>
            <w:tcW w:w="440" w:type="dxa"/>
            <w:vAlign w:val="bottom"/>
          </w:tcPr>
          <w:p>
            <w:pPr>
              <w:spacing w:after="0"/>
              <w:rPr>
                <w:sz w:val="15"/>
                <w:szCs w:val="15"/>
                <w:color w:val="auto"/>
              </w:rPr>
            </w:pPr>
          </w:p>
        </w:tc>
        <w:tc>
          <w:tcPr>
            <w:tcW w:w="1280" w:type="dxa"/>
            <w:vAlign w:val="bottom"/>
            <w:vMerge w:val="restart"/>
          </w:tcPr>
          <w:p>
            <w:pPr>
              <w:ind w:left="140"/>
              <w:spacing w:after="0"/>
              <w:rPr>
                <w:sz w:val="20"/>
                <w:szCs w:val="20"/>
                <w:color w:val="auto"/>
              </w:rPr>
            </w:pPr>
            <w:r>
              <w:rPr>
                <w:rFonts w:ascii="Arial" w:cs="Arial" w:eastAsia="Arial" w:hAnsi="Arial"/>
                <w:sz w:val="12"/>
                <w:szCs w:val="12"/>
                <w:color w:val="FFFFFF"/>
              </w:rPr>
              <w:t>General Information</w:t>
            </w: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4"/>
        </w:trPr>
        <w:tc>
          <w:tcPr>
            <w:tcW w:w="8100" w:type="dxa"/>
            <w:vAlign w:val="bottom"/>
            <w:vMerge w:val="restart"/>
          </w:tcPr>
          <w:p>
            <w:pPr>
              <w:spacing w:after="0"/>
              <w:rPr>
                <w:sz w:val="20"/>
                <w:szCs w:val="20"/>
                <w:color w:val="auto"/>
              </w:rPr>
            </w:pPr>
            <w:r>
              <w:rPr>
                <w:rFonts w:ascii="Arial" w:cs="Arial" w:eastAsia="Arial" w:hAnsi="Arial"/>
                <w:sz w:val="15"/>
                <w:szCs w:val="15"/>
                <w:color w:val="auto"/>
              </w:rPr>
              <w:t>the established targets based upon its assessment of each NEO’s contributions, performance and potential, and</w:t>
            </w:r>
          </w:p>
        </w:tc>
        <w:tc>
          <w:tcPr>
            <w:tcW w:w="440" w:type="dxa"/>
            <w:vAlign w:val="bottom"/>
          </w:tcPr>
          <w:p>
            <w:pPr>
              <w:spacing w:after="0"/>
              <w:rPr>
                <w:sz w:val="7"/>
                <w:szCs w:val="7"/>
                <w:color w:val="auto"/>
              </w:rPr>
            </w:pPr>
          </w:p>
        </w:tc>
        <w:tc>
          <w:tcPr>
            <w:tcW w:w="1280" w:type="dxa"/>
            <w:vAlign w:val="bottom"/>
            <w:vMerge w:val="continue"/>
          </w:tcPr>
          <w:p>
            <w:pPr>
              <w:spacing w:after="0"/>
              <w:rPr>
                <w:sz w:val="7"/>
                <w:szCs w:val="7"/>
                <w:color w:val="auto"/>
              </w:rPr>
            </w:pPr>
          </w:p>
        </w:tc>
        <w:tc>
          <w:tcPr>
            <w:tcW w:w="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0"/>
        </w:trPr>
        <w:tc>
          <w:tcPr>
            <w:tcW w:w="8100" w:type="dxa"/>
            <w:vAlign w:val="bottom"/>
            <w:vMerge w:val="continue"/>
          </w:tcPr>
          <w:p>
            <w:pPr>
              <w:spacing w:after="0"/>
              <w:rPr>
                <w:sz w:val="10"/>
                <w:szCs w:val="10"/>
                <w:color w:val="auto"/>
              </w:rPr>
            </w:pPr>
          </w:p>
        </w:tc>
        <w:tc>
          <w:tcPr>
            <w:tcW w:w="440" w:type="dxa"/>
            <w:vAlign w:val="bottom"/>
          </w:tcPr>
          <w:p>
            <w:pPr>
              <w:spacing w:after="0"/>
              <w:rPr>
                <w:sz w:val="10"/>
                <w:szCs w:val="10"/>
                <w:color w:val="auto"/>
              </w:rPr>
            </w:pPr>
          </w:p>
        </w:tc>
        <w:tc>
          <w:tcPr>
            <w:tcW w:w="1280" w:type="dxa"/>
            <w:vAlign w:val="bottom"/>
          </w:tcPr>
          <w:p>
            <w:pPr>
              <w:ind w:left="140"/>
              <w:spacing w:after="0" w:line="120" w:lineRule="exact"/>
              <w:rPr>
                <w:sz w:val="20"/>
                <w:szCs w:val="20"/>
                <w:color w:val="auto"/>
              </w:rPr>
            </w:pPr>
            <w:r>
              <w:rPr>
                <w:rFonts w:ascii="Arial" w:cs="Arial" w:eastAsia="Arial" w:hAnsi="Arial"/>
                <w:sz w:val="12"/>
                <w:szCs w:val="12"/>
                <w:color w:val="FFFFFF"/>
              </w:rPr>
              <w:t>About Corporate</w:t>
            </w: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8100" w:type="dxa"/>
            <w:vAlign w:val="bottom"/>
          </w:tcPr>
          <w:p>
            <w:pPr>
              <w:spacing w:after="0" w:line="136" w:lineRule="exact"/>
              <w:rPr>
                <w:sz w:val="20"/>
                <w:szCs w:val="20"/>
                <w:color w:val="auto"/>
              </w:rPr>
            </w:pPr>
            <w:r>
              <w:rPr>
                <w:rFonts w:ascii="Arial" w:cs="Arial" w:eastAsia="Arial" w:hAnsi="Arial"/>
                <w:sz w:val="15"/>
                <w:szCs w:val="15"/>
                <w:color w:val="auto"/>
              </w:rPr>
              <w:t>other considerations such as internal pay equity.</w:t>
            </w:r>
          </w:p>
        </w:tc>
        <w:tc>
          <w:tcPr>
            <w:tcW w:w="440" w:type="dxa"/>
            <w:vAlign w:val="bottom"/>
          </w:tcPr>
          <w:p>
            <w:pPr>
              <w:spacing w:after="0"/>
              <w:rPr>
                <w:sz w:val="11"/>
                <w:szCs w:val="11"/>
                <w:color w:val="auto"/>
              </w:rPr>
            </w:pPr>
          </w:p>
        </w:tc>
        <w:tc>
          <w:tcPr>
            <w:tcW w:w="1280" w:type="dxa"/>
            <w:vAlign w:val="bottom"/>
          </w:tcPr>
          <w:p>
            <w:pPr>
              <w:ind w:left="140"/>
              <w:spacing w:after="0" w:line="136" w:lineRule="exact"/>
              <w:rPr>
                <w:sz w:val="20"/>
                <w:szCs w:val="20"/>
                <w:color w:val="auto"/>
              </w:rPr>
            </w:pPr>
            <w:r>
              <w:rPr>
                <w:rFonts w:ascii="Arial" w:cs="Arial" w:eastAsia="Arial" w:hAnsi="Arial"/>
                <w:sz w:val="12"/>
                <w:szCs w:val="12"/>
                <w:color w:val="FFFFFF"/>
              </w:rPr>
              <w:t>Governance</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100" w:type="dxa"/>
            <w:vAlign w:val="bottom"/>
            <w:vMerge w:val="restart"/>
          </w:tcPr>
          <w:p>
            <w:pPr>
              <w:spacing w:after="0"/>
              <w:rPr>
                <w:sz w:val="20"/>
                <w:szCs w:val="20"/>
                <w:color w:val="auto"/>
              </w:rPr>
            </w:pPr>
            <w:r>
              <w:rPr>
                <w:rFonts w:ascii="Arial" w:cs="Arial" w:eastAsia="Arial" w:hAnsi="Arial"/>
                <w:sz w:val="15"/>
                <w:szCs w:val="15"/>
                <w:color w:val="auto"/>
              </w:rPr>
              <w:t>Our chief financial officer provided updates on the Company’s actual performance compared to the 2025 Corporate</w:t>
            </w:r>
          </w:p>
        </w:tc>
        <w:tc>
          <w:tcPr>
            <w:tcW w:w="440" w:type="dxa"/>
            <w:vAlign w:val="bottom"/>
          </w:tcPr>
          <w:p>
            <w:pPr>
              <w:spacing w:after="0"/>
              <w:rPr>
                <w:sz w:val="11"/>
                <w:szCs w:val="11"/>
                <w:color w:val="auto"/>
              </w:rPr>
            </w:pPr>
          </w:p>
        </w:tc>
        <w:tc>
          <w:tcPr>
            <w:tcW w:w="1280" w:type="dxa"/>
            <w:vAlign w:val="bottom"/>
          </w:tcPr>
          <w:p>
            <w:pPr>
              <w:ind w:left="140"/>
              <w:spacing w:after="0" w:line="128" w:lineRule="exact"/>
              <w:rPr>
                <w:sz w:val="20"/>
                <w:szCs w:val="20"/>
                <w:color w:val="auto"/>
              </w:rPr>
            </w:pPr>
            <w:r>
              <w:rPr>
                <w:rFonts w:ascii="Arial" w:cs="Arial" w:eastAsia="Arial" w:hAnsi="Arial"/>
                <w:sz w:val="12"/>
                <w:szCs w:val="12"/>
                <w:color w:val="FFFFFF"/>
              </w:rPr>
              <w:t>and the Board of</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810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Directors</w:t>
            </w: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8100" w:type="dxa"/>
            <w:vAlign w:val="bottom"/>
          </w:tcPr>
          <w:p>
            <w:pPr>
              <w:spacing w:after="0"/>
              <w:rPr>
                <w:sz w:val="20"/>
                <w:szCs w:val="20"/>
                <w:color w:val="auto"/>
              </w:rPr>
            </w:pPr>
            <w:r>
              <w:rPr>
                <w:rFonts w:ascii="Arial" w:cs="Arial" w:eastAsia="Arial" w:hAnsi="Arial"/>
                <w:sz w:val="15"/>
                <w:szCs w:val="15"/>
                <w:color w:val="auto"/>
              </w:rPr>
              <w:t>Goals at each quarterly meeting of the Compensation Committee, and he also presented updates at a meeting of</w:t>
            </w:r>
          </w:p>
        </w:tc>
        <w:tc>
          <w:tcPr>
            <w:tcW w:w="440" w:type="dxa"/>
            <w:vAlign w:val="bottom"/>
          </w:tcPr>
          <w:p>
            <w:pPr>
              <w:spacing w:after="0"/>
              <w:rPr>
                <w:sz w:val="15"/>
                <w:szCs w:val="15"/>
                <w:color w:val="auto"/>
              </w:rPr>
            </w:pPr>
          </w:p>
        </w:tc>
        <w:tc>
          <w:tcPr>
            <w:tcW w:w="1280" w:type="dxa"/>
            <w:vAlign w:val="bottom"/>
            <w:vMerge w:val="restart"/>
          </w:tcPr>
          <w:p>
            <w:pPr>
              <w:ind w:left="140"/>
              <w:spacing w:after="0"/>
              <w:rPr>
                <w:sz w:val="20"/>
                <w:szCs w:val="20"/>
                <w:color w:val="auto"/>
              </w:rPr>
            </w:pPr>
            <w:r>
              <w:rPr>
                <w:rFonts w:ascii="Arial" w:cs="Arial" w:eastAsia="Arial" w:hAnsi="Arial"/>
                <w:sz w:val="12"/>
                <w:szCs w:val="12"/>
                <w:color w:val="FFFFFF"/>
              </w:rPr>
              <w:t>Proposal 1</w:t>
            </w: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1"/>
        </w:trPr>
        <w:tc>
          <w:tcPr>
            <w:tcW w:w="8100" w:type="dxa"/>
            <w:vAlign w:val="bottom"/>
            <w:vMerge w:val="restart"/>
          </w:tcPr>
          <w:p>
            <w:pPr>
              <w:spacing w:after="0"/>
              <w:rPr>
                <w:sz w:val="20"/>
                <w:szCs w:val="20"/>
                <w:color w:val="auto"/>
              </w:rPr>
            </w:pPr>
            <w:r>
              <w:rPr>
                <w:rFonts w:ascii="Arial" w:cs="Arial" w:eastAsia="Arial" w:hAnsi="Arial"/>
                <w:sz w:val="15"/>
                <w:szCs w:val="15"/>
                <w:color w:val="auto"/>
              </w:rPr>
              <w:t>the Compensation Committee in January 2026. In January and February 2026, the Compensation Committee</w:t>
            </w:r>
          </w:p>
        </w:tc>
        <w:tc>
          <w:tcPr>
            <w:tcW w:w="440" w:type="dxa"/>
            <w:vAlign w:val="bottom"/>
          </w:tcPr>
          <w:p>
            <w:pPr>
              <w:spacing w:after="0"/>
              <w:rPr>
                <w:sz w:val="8"/>
                <w:szCs w:val="8"/>
                <w:color w:val="auto"/>
              </w:rPr>
            </w:pPr>
          </w:p>
        </w:tc>
        <w:tc>
          <w:tcPr>
            <w:tcW w:w="1280" w:type="dxa"/>
            <w:vAlign w:val="bottom"/>
            <w:vMerge w:val="continue"/>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7"/>
        </w:trPr>
        <w:tc>
          <w:tcPr>
            <w:tcW w:w="8100" w:type="dxa"/>
            <w:vAlign w:val="bottom"/>
            <w:vMerge w:val="continue"/>
          </w:tcPr>
          <w:p>
            <w:pPr>
              <w:spacing w:after="0"/>
              <w:rPr>
                <w:sz w:val="6"/>
                <w:szCs w:val="6"/>
                <w:color w:val="auto"/>
              </w:rPr>
            </w:pPr>
          </w:p>
        </w:tc>
        <w:tc>
          <w:tcPr>
            <w:tcW w:w="440" w:type="dxa"/>
            <w:vAlign w:val="bottom"/>
          </w:tcPr>
          <w:p>
            <w:pPr>
              <w:spacing w:after="0"/>
              <w:rPr>
                <w:sz w:val="6"/>
                <w:szCs w:val="6"/>
                <w:color w:val="auto"/>
              </w:rPr>
            </w:pPr>
          </w:p>
        </w:tc>
        <w:tc>
          <w:tcPr>
            <w:tcW w:w="1280" w:type="dxa"/>
            <w:vAlign w:val="bottom"/>
          </w:tcPr>
          <w:p>
            <w:pPr>
              <w:spacing w:after="0"/>
              <w:rPr>
                <w:sz w:val="6"/>
                <w:szCs w:val="6"/>
                <w:color w:val="auto"/>
              </w:rPr>
            </w:pPr>
          </w:p>
        </w:tc>
        <w:tc>
          <w:tcPr>
            <w:tcW w:w="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9"/>
        </w:trPr>
        <w:tc>
          <w:tcPr>
            <w:tcW w:w="8100" w:type="dxa"/>
            <w:vAlign w:val="bottom"/>
          </w:tcPr>
          <w:p>
            <w:pPr>
              <w:spacing w:after="0"/>
              <w:rPr>
                <w:sz w:val="20"/>
                <w:szCs w:val="20"/>
                <w:color w:val="auto"/>
              </w:rPr>
            </w:pPr>
            <w:r>
              <w:rPr>
                <w:rFonts w:ascii="Arial" w:cs="Arial" w:eastAsia="Arial" w:hAnsi="Arial"/>
                <w:sz w:val="15"/>
                <w:szCs w:val="15"/>
                <w:color w:val="auto"/>
              </w:rPr>
              <w:t>reviewed the individual performance in 2025 of each of our NEOs, including their respective contributions to the</w:t>
            </w:r>
          </w:p>
        </w:tc>
        <w:tc>
          <w:tcPr>
            <w:tcW w:w="440" w:type="dxa"/>
            <w:vAlign w:val="bottom"/>
          </w:tcPr>
          <w:p>
            <w:pPr>
              <w:spacing w:after="0"/>
              <w:rPr>
                <w:sz w:val="15"/>
                <w:szCs w:val="15"/>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Information</w:t>
            </w: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8100" w:type="dxa"/>
            <w:vAlign w:val="bottom"/>
          </w:tcPr>
          <w:p>
            <w:pPr>
              <w:spacing w:after="0" w:line="153" w:lineRule="exact"/>
              <w:rPr>
                <w:sz w:val="20"/>
                <w:szCs w:val="20"/>
                <w:color w:val="auto"/>
              </w:rPr>
            </w:pPr>
            <w:r>
              <w:rPr>
                <w:rFonts w:ascii="Arial" w:cs="Arial" w:eastAsia="Arial" w:hAnsi="Arial"/>
                <w:sz w:val="15"/>
                <w:szCs w:val="15"/>
                <w:color w:val="auto"/>
              </w:rPr>
              <w:t>Company’s overall performance against the 2025 Corporate Goals. The Compensation Consultant participated in</w:t>
            </w:r>
          </w:p>
        </w:tc>
        <w:tc>
          <w:tcPr>
            <w:tcW w:w="440" w:type="dxa"/>
            <w:vAlign w:val="bottom"/>
          </w:tcPr>
          <w:p>
            <w:pPr>
              <w:spacing w:after="0"/>
              <w:rPr>
                <w:sz w:val="13"/>
                <w:szCs w:val="13"/>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Regarding Board</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0"/>
        </w:trPr>
        <w:tc>
          <w:tcPr>
            <w:tcW w:w="8100" w:type="dxa"/>
            <w:vAlign w:val="bottom"/>
            <w:vMerge w:val="restart"/>
          </w:tcPr>
          <w:p>
            <w:pPr>
              <w:spacing w:after="0"/>
              <w:rPr>
                <w:sz w:val="20"/>
                <w:szCs w:val="20"/>
                <w:color w:val="auto"/>
              </w:rPr>
            </w:pPr>
            <w:r>
              <w:rPr>
                <w:rFonts w:ascii="Arial" w:cs="Arial" w:eastAsia="Arial" w:hAnsi="Arial"/>
                <w:sz w:val="15"/>
                <w:szCs w:val="15"/>
                <w:color w:val="auto"/>
              </w:rPr>
              <w:t>each of the meetings.</w:t>
            </w:r>
          </w:p>
        </w:tc>
        <w:tc>
          <w:tcPr>
            <w:tcW w:w="440" w:type="dxa"/>
            <w:vAlign w:val="bottom"/>
          </w:tcPr>
          <w:p>
            <w:pPr>
              <w:spacing w:after="0"/>
              <w:rPr>
                <w:sz w:val="9"/>
                <w:szCs w:val="9"/>
                <w:color w:val="auto"/>
              </w:rPr>
            </w:pPr>
          </w:p>
        </w:tc>
        <w:tc>
          <w:tcPr>
            <w:tcW w:w="1280" w:type="dxa"/>
            <w:vAlign w:val="bottom"/>
          </w:tcPr>
          <w:p>
            <w:pPr>
              <w:ind w:left="140"/>
              <w:spacing w:after="0" w:line="110" w:lineRule="exact"/>
              <w:rPr>
                <w:sz w:val="20"/>
                <w:szCs w:val="20"/>
                <w:color w:val="auto"/>
              </w:rPr>
            </w:pPr>
            <w:r>
              <w:rPr>
                <w:rFonts w:ascii="Arial" w:cs="Arial" w:eastAsia="Arial" w:hAnsi="Arial"/>
                <w:sz w:val="12"/>
                <w:szCs w:val="12"/>
                <w:color w:val="FFFFFF"/>
              </w:rPr>
              <w:t>and Committee</w:t>
            </w: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8100" w:type="dxa"/>
            <w:vAlign w:val="bottom"/>
            <w:vMerge w:val="continue"/>
          </w:tcPr>
          <w:p>
            <w:pPr>
              <w:spacing w:after="0"/>
              <w:rPr>
                <w:sz w:val="10"/>
                <w:szCs w:val="10"/>
                <w:color w:val="auto"/>
              </w:rPr>
            </w:pPr>
          </w:p>
        </w:tc>
        <w:tc>
          <w:tcPr>
            <w:tcW w:w="440" w:type="dxa"/>
            <w:vAlign w:val="bottom"/>
          </w:tcPr>
          <w:p>
            <w:pPr>
              <w:spacing w:after="0"/>
              <w:rPr>
                <w:sz w:val="10"/>
                <w:szCs w:val="10"/>
                <w:color w:val="auto"/>
              </w:rPr>
            </w:pPr>
          </w:p>
        </w:tc>
        <w:tc>
          <w:tcPr>
            <w:tcW w:w="1280" w:type="dxa"/>
            <w:vAlign w:val="bottom"/>
            <w:vMerge w:val="restart"/>
          </w:tcPr>
          <w:p>
            <w:pPr>
              <w:ind w:left="140"/>
              <w:spacing w:after="0"/>
              <w:rPr>
                <w:sz w:val="20"/>
                <w:szCs w:val="20"/>
                <w:color w:val="auto"/>
              </w:rPr>
            </w:pPr>
            <w:r>
              <w:rPr>
                <w:rFonts w:ascii="Arial" w:cs="Arial" w:eastAsia="Arial" w:hAnsi="Arial"/>
                <w:sz w:val="12"/>
                <w:szCs w:val="12"/>
                <w:color w:val="FFFFFF"/>
              </w:rPr>
              <w:t>Structure</w:t>
            </w: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1"/>
        </w:trPr>
        <w:tc>
          <w:tcPr>
            <w:tcW w:w="8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8"/>
        </w:trPr>
        <w:tc>
          <w:tcPr>
            <w:tcW w:w="8100" w:type="dxa"/>
            <w:vAlign w:val="bottom"/>
          </w:tcPr>
          <w:p>
            <w:pPr>
              <w:spacing w:after="0"/>
              <w:rPr>
                <w:sz w:val="20"/>
                <w:szCs w:val="20"/>
                <w:color w:val="auto"/>
              </w:rPr>
            </w:pPr>
            <w:r>
              <w:rPr>
                <w:rFonts w:ascii="Arial" w:cs="Arial" w:eastAsia="Arial" w:hAnsi="Arial"/>
                <w:sz w:val="15"/>
                <w:szCs w:val="15"/>
                <w:color w:val="auto"/>
              </w:rPr>
              <w:t>Based primarily on these assessments, the Compensation Committee and, in the case of our CEO, the Board</w:t>
            </w:r>
          </w:p>
        </w:tc>
        <w:tc>
          <w:tcPr>
            <w:tcW w:w="440" w:type="dxa"/>
            <w:vAlign w:val="bottom"/>
          </w:tcPr>
          <w:p>
            <w:pPr>
              <w:spacing w:after="0"/>
              <w:rPr>
                <w:sz w:val="18"/>
                <w:szCs w:val="18"/>
                <w:color w:val="auto"/>
              </w:rPr>
            </w:pPr>
          </w:p>
        </w:tc>
        <w:tc>
          <w:tcPr>
            <w:tcW w:w="1280" w:type="dxa"/>
            <w:vAlign w:val="bottom"/>
            <w:vMerge w:val="restart"/>
          </w:tcPr>
          <w:p>
            <w:pPr>
              <w:ind w:left="140"/>
              <w:spacing w:after="0"/>
              <w:rPr>
                <w:sz w:val="20"/>
                <w:szCs w:val="20"/>
                <w:color w:val="auto"/>
              </w:rPr>
            </w:pPr>
            <w:r>
              <w:rPr>
                <w:rFonts w:ascii="Arial" w:cs="Arial" w:eastAsia="Arial" w:hAnsi="Arial"/>
                <w:sz w:val="12"/>
                <w:szCs w:val="12"/>
                <w:color w:val="FFFFFF"/>
              </w:rPr>
              <w:t>Board of Directors</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8100" w:type="dxa"/>
            <w:vAlign w:val="bottom"/>
            <w:vMerge w:val="restart"/>
          </w:tcPr>
          <w:p>
            <w:pPr>
              <w:spacing w:after="0"/>
              <w:rPr>
                <w:sz w:val="20"/>
                <w:szCs w:val="20"/>
                <w:color w:val="auto"/>
              </w:rPr>
            </w:pPr>
            <w:r>
              <w:rPr>
                <w:rFonts w:ascii="Arial" w:cs="Arial" w:eastAsia="Arial" w:hAnsi="Arial"/>
                <w:sz w:val="15"/>
                <w:szCs w:val="15"/>
                <w:color w:val="auto"/>
              </w:rPr>
              <w:t>awarded annual cash bonuses to each of our NEOs above their respective target award amounts for 2025. In</w:t>
            </w:r>
          </w:p>
        </w:tc>
        <w:tc>
          <w:tcPr>
            <w:tcW w:w="4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33"/>
        </w:trPr>
        <w:tc>
          <w:tcPr>
            <w:tcW w:w="8100" w:type="dxa"/>
            <w:vAlign w:val="bottom"/>
            <w:vMerge w:val="continue"/>
          </w:tcPr>
          <w:p>
            <w:pPr>
              <w:spacing w:after="0"/>
              <w:rPr>
                <w:sz w:val="11"/>
                <w:szCs w:val="11"/>
                <w:color w:val="auto"/>
              </w:rPr>
            </w:pPr>
          </w:p>
        </w:tc>
        <w:tc>
          <w:tcPr>
            <w:tcW w:w="440" w:type="dxa"/>
            <w:vAlign w:val="bottom"/>
          </w:tcPr>
          <w:p>
            <w:pPr>
              <w:spacing w:after="0"/>
              <w:rPr>
                <w:sz w:val="11"/>
                <w:szCs w:val="11"/>
                <w:color w:val="auto"/>
              </w:rPr>
            </w:pPr>
          </w:p>
        </w:tc>
        <w:tc>
          <w:tcPr>
            <w:tcW w:w="1280" w:type="dxa"/>
            <w:vAlign w:val="bottom"/>
          </w:tcPr>
          <w:p>
            <w:pPr>
              <w:ind w:left="140"/>
              <w:spacing w:after="0" w:line="133" w:lineRule="exact"/>
              <w:rPr>
                <w:sz w:val="20"/>
                <w:szCs w:val="20"/>
                <w:color w:val="auto"/>
              </w:rPr>
            </w:pPr>
            <w:r>
              <w:rPr>
                <w:rFonts w:ascii="Arial" w:cs="Arial" w:eastAsia="Arial" w:hAnsi="Arial"/>
                <w:sz w:val="12"/>
                <w:szCs w:val="12"/>
                <w:color w:val="FFFFFF"/>
              </w:rPr>
              <w:t>Compensation</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9"/>
        </w:trPr>
        <w:tc>
          <w:tcPr>
            <w:tcW w:w="8100" w:type="dxa"/>
            <w:vAlign w:val="bottom"/>
          </w:tcPr>
          <w:p>
            <w:pPr>
              <w:spacing w:after="0"/>
              <w:rPr>
                <w:sz w:val="20"/>
                <w:szCs w:val="20"/>
                <w:color w:val="auto"/>
              </w:rPr>
            </w:pPr>
            <w:r>
              <w:rPr>
                <w:rFonts w:ascii="Arial" w:cs="Arial" w:eastAsia="Arial" w:hAnsi="Arial"/>
                <w:sz w:val="15"/>
                <w:szCs w:val="15"/>
                <w:color w:val="auto"/>
              </w:rPr>
              <w:t>making its individual determinations, the Compensation Committee considered the collective level of achievement of</w:t>
            </w:r>
          </w:p>
        </w:tc>
        <w:tc>
          <w:tcPr>
            <w:tcW w:w="440" w:type="dxa"/>
            <w:vAlign w:val="bottom"/>
          </w:tcPr>
          <w:p>
            <w:pPr>
              <w:spacing w:after="0"/>
              <w:rPr>
                <w:sz w:val="15"/>
                <w:szCs w:val="15"/>
                <w:color w:val="auto"/>
              </w:rPr>
            </w:pPr>
          </w:p>
        </w:tc>
        <w:tc>
          <w:tcPr>
            <w:tcW w:w="1280" w:type="dxa"/>
            <w:vAlign w:val="bottom"/>
            <w:vMerge w:val="restart"/>
          </w:tcPr>
          <w:p>
            <w:pPr>
              <w:ind w:left="140"/>
              <w:spacing w:after="0"/>
              <w:rPr>
                <w:sz w:val="20"/>
                <w:szCs w:val="20"/>
                <w:color w:val="auto"/>
              </w:rPr>
            </w:pPr>
            <w:r>
              <w:rPr>
                <w:rFonts w:ascii="Arial" w:cs="Arial" w:eastAsia="Arial" w:hAnsi="Arial"/>
                <w:sz w:val="12"/>
                <w:szCs w:val="12"/>
                <w:b w:val="1"/>
                <w:bCs w:val="1"/>
                <w:color w:val="FFFFFF"/>
              </w:rPr>
              <w:t>Compensation</w:t>
            </w: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8100" w:type="dxa"/>
            <w:vAlign w:val="bottom"/>
          </w:tcPr>
          <w:p>
            <w:pPr>
              <w:spacing w:after="0" w:line="153" w:lineRule="exact"/>
              <w:rPr>
                <w:sz w:val="20"/>
                <w:szCs w:val="20"/>
                <w:color w:val="auto"/>
              </w:rPr>
            </w:pPr>
            <w:r>
              <w:rPr>
                <w:rFonts w:ascii="Arial" w:cs="Arial" w:eastAsia="Arial" w:hAnsi="Arial"/>
                <w:sz w:val="15"/>
                <w:szCs w:val="15"/>
                <w:color w:val="auto"/>
              </w:rPr>
              <w:t>the Company’s financial and business goals and each such NEO’s individual performance, including against</w:t>
            </w:r>
          </w:p>
        </w:tc>
        <w:tc>
          <w:tcPr>
            <w:tcW w:w="440" w:type="dxa"/>
            <w:vAlign w:val="bottom"/>
          </w:tcPr>
          <w:p>
            <w:pPr>
              <w:spacing w:after="0"/>
              <w:rPr>
                <w:sz w:val="13"/>
                <w:szCs w:val="13"/>
                <w:color w:val="auto"/>
              </w:rPr>
            </w:pPr>
          </w:p>
        </w:tc>
        <w:tc>
          <w:tcPr>
            <w:tcW w:w="1280" w:type="dxa"/>
            <w:vAlign w:val="bottom"/>
            <w:vMerge w:val="continue"/>
          </w:tcPr>
          <w:p>
            <w:pPr>
              <w:spacing w:after="0"/>
              <w:rPr>
                <w:sz w:val="13"/>
                <w:szCs w:val="13"/>
                <w:color w:val="auto"/>
              </w:rPr>
            </w:pP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4"/>
        </w:trPr>
        <w:tc>
          <w:tcPr>
            <w:tcW w:w="8100" w:type="dxa"/>
            <w:vAlign w:val="bottom"/>
            <w:vMerge w:val="restart"/>
          </w:tcPr>
          <w:p>
            <w:pPr>
              <w:spacing w:after="0"/>
              <w:rPr>
                <w:sz w:val="20"/>
                <w:szCs w:val="20"/>
                <w:color w:val="auto"/>
              </w:rPr>
            </w:pPr>
            <w:r>
              <w:rPr>
                <w:rFonts w:ascii="Arial" w:cs="Arial" w:eastAsia="Arial" w:hAnsi="Arial"/>
                <w:sz w:val="15"/>
                <w:szCs w:val="15"/>
                <w:color w:val="auto"/>
              </w:rPr>
              <w:t>applicable 2025 Corporate Goals as follows:</w:t>
            </w:r>
          </w:p>
        </w:tc>
        <w:tc>
          <w:tcPr>
            <w:tcW w:w="440" w:type="dxa"/>
            <w:vAlign w:val="bottom"/>
          </w:tcPr>
          <w:p>
            <w:pPr>
              <w:spacing w:after="0"/>
              <w:rPr>
                <w:sz w:val="7"/>
                <w:szCs w:val="7"/>
                <w:color w:val="auto"/>
              </w:rPr>
            </w:pPr>
          </w:p>
        </w:tc>
        <w:tc>
          <w:tcPr>
            <w:tcW w:w="1280" w:type="dxa"/>
            <w:vAlign w:val="bottom"/>
          </w:tcPr>
          <w:p>
            <w:pPr>
              <w:ind w:left="140"/>
              <w:spacing w:after="0" w:line="85" w:lineRule="exact"/>
              <w:rPr>
                <w:sz w:val="20"/>
                <w:szCs w:val="20"/>
                <w:color w:val="auto"/>
              </w:rPr>
            </w:pPr>
            <w:r>
              <w:rPr>
                <w:rFonts w:ascii="Arial" w:cs="Arial" w:eastAsia="Arial" w:hAnsi="Arial"/>
                <w:sz w:val="8"/>
                <w:szCs w:val="8"/>
                <w:b w:val="1"/>
                <w:bCs w:val="1"/>
                <w:color w:val="FFFFFF"/>
              </w:rPr>
              <w:t>Discussion and</w:t>
            </w:r>
          </w:p>
        </w:tc>
        <w:tc>
          <w:tcPr>
            <w:tcW w:w="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4"/>
        </w:trPr>
        <w:tc>
          <w:tcPr>
            <w:tcW w:w="810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1280" w:type="dxa"/>
            <w:vAlign w:val="bottom"/>
          </w:tcPr>
          <w:p>
            <w:pPr>
              <w:ind w:left="140"/>
              <w:spacing w:after="0"/>
              <w:rPr>
                <w:sz w:val="20"/>
                <w:szCs w:val="20"/>
                <w:color w:val="auto"/>
              </w:rPr>
            </w:pPr>
            <w:r>
              <w:rPr>
                <w:rFonts w:ascii="Arial" w:cs="Arial" w:eastAsia="Arial" w:hAnsi="Arial"/>
                <w:sz w:val="12"/>
                <w:szCs w:val="12"/>
                <w:b w:val="1"/>
                <w:bCs w:val="1"/>
                <w:color w:val="FFFFFF"/>
              </w:rPr>
              <w:t>Analysis</w:t>
            </w: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8100" w:type="dxa"/>
            <w:vAlign w:val="bottom"/>
          </w:tcPr>
          <w:p>
            <w:pPr>
              <w:spacing w:after="0"/>
              <w:rPr>
                <w:sz w:val="20"/>
                <w:szCs w:val="20"/>
                <w:color w:val="auto"/>
              </w:rPr>
            </w:pPr>
            <w:r>
              <w:rPr>
                <w:rFonts w:ascii="Arial" w:cs="Arial" w:eastAsia="Arial" w:hAnsi="Arial"/>
                <w:sz w:val="15"/>
                <w:szCs w:val="15"/>
                <w:color w:val="auto"/>
              </w:rPr>
              <w:t>•   Mr. Steinmeier’s role in setting the strategic direction of the Company focused on maintaining the client-centricity</w:t>
            </w:r>
          </w:p>
        </w:tc>
        <w:tc>
          <w:tcPr>
            <w:tcW w:w="440" w:type="dxa"/>
            <w:vAlign w:val="bottom"/>
          </w:tcPr>
          <w:p>
            <w:pPr>
              <w:spacing w:after="0"/>
              <w:rPr>
                <w:sz w:val="21"/>
                <w:szCs w:val="21"/>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Report of the</w:t>
            </w: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8100" w:type="dxa"/>
            <w:vAlign w:val="bottom"/>
          </w:tcPr>
          <w:p>
            <w:pPr>
              <w:ind w:left="260"/>
              <w:spacing w:after="0" w:line="153" w:lineRule="exact"/>
              <w:rPr>
                <w:sz w:val="20"/>
                <w:szCs w:val="20"/>
                <w:color w:val="auto"/>
              </w:rPr>
            </w:pPr>
            <w:r>
              <w:rPr>
                <w:rFonts w:ascii="Arial" w:cs="Arial" w:eastAsia="Arial" w:hAnsi="Arial"/>
                <w:sz w:val="15"/>
                <w:szCs w:val="15"/>
                <w:color w:val="auto"/>
              </w:rPr>
              <w:t>of the firm, empowering the Company’s employees to deliver for its advisors and their clients, and delivering</w:t>
            </w:r>
          </w:p>
        </w:tc>
        <w:tc>
          <w:tcPr>
            <w:tcW w:w="440" w:type="dxa"/>
            <w:vAlign w:val="bottom"/>
          </w:tcPr>
          <w:p>
            <w:pPr>
              <w:spacing w:after="0"/>
              <w:rPr>
                <w:sz w:val="13"/>
                <w:szCs w:val="13"/>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Compensation</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0"/>
        </w:trPr>
        <w:tc>
          <w:tcPr>
            <w:tcW w:w="8100" w:type="dxa"/>
            <w:vAlign w:val="bottom"/>
            <w:vMerge w:val="restart"/>
          </w:tcPr>
          <w:p>
            <w:pPr>
              <w:ind w:left="260"/>
              <w:spacing w:after="0"/>
              <w:rPr>
                <w:sz w:val="20"/>
                <w:szCs w:val="20"/>
                <w:color w:val="auto"/>
              </w:rPr>
            </w:pPr>
            <w:r>
              <w:rPr>
                <w:rFonts w:ascii="Arial" w:cs="Arial" w:eastAsia="Arial" w:hAnsi="Arial"/>
                <w:sz w:val="15"/>
                <w:szCs w:val="15"/>
                <w:color w:val="auto"/>
              </w:rPr>
              <w:t>improved operating leverage, while delivering industry-leading organic asset growth, completing the onboarding</w:t>
            </w:r>
          </w:p>
        </w:tc>
        <w:tc>
          <w:tcPr>
            <w:tcW w:w="440" w:type="dxa"/>
            <w:vAlign w:val="bottom"/>
          </w:tcPr>
          <w:p>
            <w:pPr>
              <w:spacing w:after="0"/>
              <w:rPr>
                <w:sz w:val="9"/>
                <w:szCs w:val="9"/>
                <w:color w:val="auto"/>
              </w:rPr>
            </w:pPr>
          </w:p>
        </w:tc>
        <w:tc>
          <w:tcPr>
            <w:tcW w:w="1280" w:type="dxa"/>
            <w:vAlign w:val="bottom"/>
          </w:tcPr>
          <w:p>
            <w:pPr>
              <w:ind w:left="140"/>
              <w:spacing w:after="0" w:line="110" w:lineRule="exact"/>
              <w:rPr>
                <w:sz w:val="20"/>
                <w:szCs w:val="20"/>
                <w:color w:val="auto"/>
              </w:rPr>
            </w:pPr>
            <w:r>
              <w:rPr>
                <w:rFonts w:ascii="Arial" w:cs="Arial" w:eastAsia="Arial" w:hAnsi="Arial"/>
                <w:sz w:val="12"/>
                <w:szCs w:val="12"/>
                <w:color w:val="FFFFFF"/>
              </w:rPr>
              <w:t>and Human</w:t>
            </w: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8100" w:type="dxa"/>
            <w:vAlign w:val="bottom"/>
            <w:vMerge w:val="continue"/>
          </w:tcPr>
          <w:p>
            <w:pPr>
              <w:spacing w:after="0"/>
              <w:rPr>
                <w:sz w:val="10"/>
                <w:szCs w:val="10"/>
                <w:color w:val="auto"/>
              </w:rPr>
            </w:pPr>
          </w:p>
        </w:tc>
        <w:tc>
          <w:tcPr>
            <w:tcW w:w="440" w:type="dxa"/>
            <w:vAlign w:val="bottom"/>
          </w:tcPr>
          <w:p>
            <w:pPr>
              <w:spacing w:after="0"/>
              <w:rPr>
                <w:sz w:val="10"/>
                <w:szCs w:val="10"/>
                <w:color w:val="auto"/>
              </w:rPr>
            </w:pPr>
          </w:p>
        </w:tc>
        <w:tc>
          <w:tcPr>
            <w:tcW w:w="1280" w:type="dxa"/>
            <w:vAlign w:val="bottom"/>
          </w:tcPr>
          <w:p>
            <w:pPr>
              <w:ind w:left="140"/>
              <w:spacing w:after="0" w:line="120" w:lineRule="exact"/>
              <w:rPr>
                <w:sz w:val="20"/>
                <w:szCs w:val="20"/>
                <w:color w:val="auto"/>
              </w:rPr>
            </w:pPr>
            <w:r>
              <w:rPr>
                <w:rFonts w:ascii="Arial" w:cs="Arial" w:eastAsia="Arial" w:hAnsi="Arial"/>
                <w:sz w:val="12"/>
                <w:szCs w:val="12"/>
                <w:color w:val="FFFFFF"/>
              </w:rPr>
              <w:t>Resources</w:t>
            </w: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8100" w:type="dxa"/>
            <w:vAlign w:val="bottom"/>
          </w:tcPr>
          <w:p>
            <w:pPr>
              <w:ind w:left="260"/>
              <w:spacing w:after="0" w:line="136" w:lineRule="exact"/>
              <w:rPr>
                <w:sz w:val="20"/>
                <w:szCs w:val="20"/>
                <w:color w:val="auto"/>
              </w:rPr>
            </w:pPr>
            <w:r>
              <w:rPr>
                <w:rFonts w:ascii="Arial" w:cs="Arial" w:eastAsia="Arial" w:hAnsi="Arial"/>
                <w:sz w:val="15"/>
                <w:szCs w:val="15"/>
                <w:color w:val="auto"/>
              </w:rPr>
              <w:t>and integration of Atria Wealth Solutions and signing and closing the acquisition of Commonwealth Financial</w:t>
            </w:r>
          </w:p>
        </w:tc>
        <w:tc>
          <w:tcPr>
            <w:tcW w:w="440" w:type="dxa"/>
            <w:vAlign w:val="bottom"/>
          </w:tcPr>
          <w:p>
            <w:pPr>
              <w:spacing w:after="0"/>
              <w:rPr>
                <w:sz w:val="11"/>
                <w:szCs w:val="11"/>
                <w:color w:val="auto"/>
              </w:rPr>
            </w:pPr>
          </w:p>
        </w:tc>
        <w:tc>
          <w:tcPr>
            <w:tcW w:w="1280" w:type="dxa"/>
            <w:vAlign w:val="bottom"/>
          </w:tcPr>
          <w:p>
            <w:pPr>
              <w:ind w:left="140"/>
              <w:spacing w:after="0" w:line="136" w:lineRule="exact"/>
              <w:rPr>
                <w:sz w:val="20"/>
                <w:szCs w:val="20"/>
                <w:color w:val="auto"/>
              </w:rPr>
            </w:pPr>
            <w:r>
              <w:rPr>
                <w:rFonts w:ascii="Arial" w:cs="Arial" w:eastAsia="Arial" w:hAnsi="Arial"/>
                <w:sz w:val="12"/>
                <w:szCs w:val="12"/>
                <w:color w:val="FFFFFF"/>
              </w:rPr>
              <w:t>Committee of the</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9"/>
        </w:trPr>
        <w:tc>
          <w:tcPr>
            <w:tcW w:w="8100" w:type="dxa"/>
            <w:vAlign w:val="bottom"/>
          </w:tcPr>
          <w:p>
            <w:pPr>
              <w:ind w:left="260"/>
              <w:spacing w:after="0"/>
              <w:rPr>
                <w:sz w:val="20"/>
                <w:szCs w:val="20"/>
                <w:color w:val="auto"/>
              </w:rPr>
            </w:pPr>
            <w:r>
              <w:rPr>
                <w:rFonts w:ascii="Arial" w:cs="Arial" w:eastAsia="Arial" w:hAnsi="Arial"/>
                <w:sz w:val="15"/>
                <w:szCs w:val="15"/>
                <w:color w:val="auto"/>
              </w:rPr>
              <w:t>Network;</w:t>
            </w:r>
          </w:p>
        </w:tc>
        <w:tc>
          <w:tcPr>
            <w:tcW w:w="440" w:type="dxa"/>
            <w:vAlign w:val="bottom"/>
          </w:tcPr>
          <w:p>
            <w:pPr>
              <w:spacing w:after="0"/>
              <w:rPr>
                <w:sz w:val="19"/>
                <w:szCs w:val="19"/>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Board of Directors</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8100" w:type="dxa"/>
            <w:vAlign w:val="bottom"/>
          </w:tcPr>
          <w:p>
            <w:pPr>
              <w:spacing w:after="0"/>
              <w:rPr>
                <w:sz w:val="20"/>
                <w:szCs w:val="20"/>
                <w:color w:val="auto"/>
              </w:rPr>
            </w:pPr>
            <w:r>
              <w:rPr>
                <w:rFonts w:ascii="Arial" w:cs="Arial" w:eastAsia="Arial" w:hAnsi="Arial"/>
                <w:sz w:val="15"/>
                <w:szCs w:val="15"/>
                <w:color w:val="auto"/>
              </w:rPr>
              <w:t>•   Mr. Audette’s leadership of the execution of the Company’s strategy while driving business performance focused</w:t>
            </w:r>
          </w:p>
        </w:tc>
        <w:tc>
          <w:tcPr>
            <w:tcW w:w="440" w:type="dxa"/>
            <w:vAlign w:val="bottom"/>
          </w:tcPr>
          <w:p>
            <w:pPr>
              <w:spacing w:after="0"/>
              <w:rPr>
                <w:sz w:val="21"/>
                <w:szCs w:val="21"/>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Compensation of</w:t>
            </w: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84"/>
        </w:trPr>
        <w:tc>
          <w:tcPr>
            <w:tcW w:w="8100" w:type="dxa"/>
            <w:vAlign w:val="bottom"/>
            <w:vMerge w:val="restart"/>
          </w:tcPr>
          <w:p>
            <w:pPr>
              <w:ind w:left="260"/>
              <w:spacing w:after="0"/>
              <w:rPr>
                <w:sz w:val="20"/>
                <w:szCs w:val="20"/>
                <w:color w:val="auto"/>
              </w:rPr>
            </w:pPr>
            <w:r>
              <w:rPr>
                <w:rFonts w:ascii="Arial" w:cs="Arial" w:eastAsia="Arial" w:hAnsi="Arial"/>
                <w:sz w:val="15"/>
                <w:szCs w:val="15"/>
                <w:color w:val="auto"/>
              </w:rPr>
              <w:t>on sustainable, long-term growth, in particular with respect to the disciplined management of the Company’s</w:t>
            </w:r>
          </w:p>
        </w:tc>
        <w:tc>
          <w:tcPr>
            <w:tcW w:w="440" w:type="dxa"/>
            <w:vAlign w:val="bottom"/>
          </w:tcPr>
          <w:p>
            <w:pPr>
              <w:spacing w:after="0"/>
              <w:rPr>
                <w:sz w:val="7"/>
                <w:szCs w:val="7"/>
                <w:color w:val="auto"/>
              </w:rPr>
            </w:pPr>
          </w:p>
        </w:tc>
        <w:tc>
          <w:tcPr>
            <w:tcW w:w="1280" w:type="dxa"/>
            <w:vAlign w:val="bottom"/>
          </w:tcPr>
          <w:p>
            <w:pPr>
              <w:ind w:left="140"/>
              <w:spacing w:after="0" w:line="85" w:lineRule="exact"/>
              <w:rPr>
                <w:sz w:val="20"/>
                <w:szCs w:val="20"/>
                <w:color w:val="auto"/>
              </w:rPr>
            </w:pPr>
            <w:r>
              <w:rPr>
                <w:rFonts w:ascii="Arial" w:cs="Arial" w:eastAsia="Arial" w:hAnsi="Arial"/>
                <w:sz w:val="8"/>
                <w:szCs w:val="8"/>
                <w:color w:val="FFFFFF"/>
              </w:rPr>
              <w:t>Named Executive</w:t>
            </w:r>
          </w:p>
        </w:tc>
        <w:tc>
          <w:tcPr>
            <w:tcW w:w="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0"/>
        </w:trPr>
        <w:tc>
          <w:tcPr>
            <w:tcW w:w="8100" w:type="dxa"/>
            <w:vAlign w:val="bottom"/>
            <w:vMerge w:val="continue"/>
          </w:tcPr>
          <w:p>
            <w:pPr>
              <w:spacing w:after="0"/>
              <w:rPr>
                <w:sz w:val="10"/>
                <w:szCs w:val="10"/>
                <w:color w:val="auto"/>
              </w:rPr>
            </w:pPr>
          </w:p>
        </w:tc>
        <w:tc>
          <w:tcPr>
            <w:tcW w:w="440" w:type="dxa"/>
            <w:vAlign w:val="bottom"/>
          </w:tcPr>
          <w:p>
            <w:pPr>
              <w:spacing w:after="0"/>
              <w:rPr>
                <w:sz w:val="10"/>
                <w:szCs w:val="10"/>
                <w:color w:val="auto"/>
              </w:rPr>
            </w:pPr>
          </w:p>
        </w:tc>
        <w:tc>
          <w:tcPr>
            <w:tcW w:w="1280" w:type="dxa"/>
            <w:vAlign w:val="bottom"/>
          </w:tcPr>
          <w:p>
            <w:pPr>
              <w:ind w:left="140"/>
              <w:spacing w:after="0" w:line="121" w:lineRule="exact"/>
              <w:rPr>
                <w:sz w:val="20"/>
                <w:szCs w:val="20"/>
                <w:color w:val="auto"/>
              </w:rPr>
            </w:pPr>
            <w:r>
              <w:rPr>
                <w:rFonts w:ascii="Arial" w:cs="Arial" w:eastAsia="Arial" w:hAnsi="Arial"/>
                <w:sz w:val="12"/>
                <w:szCs w:val="12"/>
                <w:color w:val="FFFFFF"/>
              </w:rPr>
              <w:t>Officers</w:t>
            </w: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9"/>
        </w:trPr>
        <w:tc>
          <w:tcPr>
            <w:tcW w:w="8100" w:type="dxa"/>
            <w:vAlign w:val="bottom"/>
          </w:tcPr>
          <w:p>
            <w:pPr>
              <w:ind w:left="260"/>
              <w:spacing w:after="0"/>
              <w:rPr>
                <w:sz w:val="20"/>
                <w:szCs w:val="20"/>
                <w:color w:val="auto"/>
              </w:rPr>
            </w:pPr>
            <w:r>
              <w:rPr>
                <w:rFonts w:ascii="Arial" w:cs="Arial" w:eastAsia="Arial" w:hAnsi="Arial"/>
                <w:sz w:val="15"/>
                <w:szCs w:val="15"/>
                <w:color w:val="auto"/>
              </w:rPr>
              <w:t>expenses, gross profit outperformance, the expansion of the Company’s pre-tax operating margin and</w:t>
            </w:r>
          </w:p>
        </w:tc>
        <w:tc>
          <w:tcPr>
            <w:tcW w:w="440" w:type="dxa"/>
            <w:vAlign w:val="bottom"/>
          </w:tcPr>
          <w:p>
            <w:pPr>
              <w:spacing w:after="0"/>
              <w:rPr>
                <w:sz w:val="15"/>
                <w:szCs w:val="15"/>
                <w:color w:val="auto"/>
              </w:rPr>
            </w:pPr>
          </w:p>
        </w:tc>
        <w:tc>
          <w:tcPr>
            <w:tcW w:w="1280" w:type="dxa"/>
            <w:vAlign w:val="bottom"/>
            <w:vMerge w:val="restart"/>
          </w:tcPr>
          <w:p>
            <w:pPr>
              <w:ind w:left="140"/>
              <w:spacing w:after="0"/>
              <w:rPr>
                <w:sz w:val="20"/>
                <w:szCs w:val="20"/>
                <w:color w:val="auto"/>
              </w:rPr>
            </w:pPr>
            <w:r>
              <w:rPr>
                <w:rFonts w:ascii="Arial" w:cs="Arial" w:eastAsia="Arial" w:hAnsi="Arial"/>
                <w:sz w:val="12"/>
                <w:szCs w:val="12"/>
                <w:color w:val="FFFFFF"/>
              </w:rPr>
              <w:t>Pay Versus</w:t>
            </w: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8100" w:type="dxa"/>
            <w:vAlign w:val="bottom"/>
          </w:tcPr>
          <w:p>
            <w:pPr>
              <w:ind w:left="260"/>
              <w:spacing w:after="0" w:line="153" w:lineRule="exact"/>
              <w:rPr>
                <w:sz w:val="20"/>
                <w:szCs w:val="20"/>
                <w:color w:val="auto"/>
              </w:rPr>
            </w:pPr>
            <w:r>
              <w:rPr>
                <w:rFonts w:ascii="Arial" w:cs="Arial" w:eastAsia="Arial" w:hAnsi="Arial"/>
                <w:sz w:val="15"/>
                <w:szCs w:val="15"/>
                <w:color w:val="auto"/>
              </w:rPr>
              <w:t>reductions in the Company’s costs per advisor;</w:t>
            </w:r>
          </w:p>
        </w:tc>
        <w:tc>
          <w:tcPr>
            <w:tcW w:w="440" w:type="dxa"/>
            <w:vAlign w:val="bottom"/>
          </w:tcPr>
          <w:p>
            <w:pPr>
              <w:spacing w:after="0"/>
              <w:rPr>
                <w:sz w:val="13"/>
                <w:szCs w:val="13"/>
                <w:color w:val="auto"/>
              </w:rPr>
            </w:pPr>
          </w:p>
        </w:tc>
        <w:tc>
          <w:tcPr>
            <w:tcW w:w="1280" w:type="dxa"/>
            <w:vAlign w:val="bottom"/>
            <w:vMerge w:val="continue"/>
          </w:tcPr>
          <w:p>
            <w:pPr>
              <w:spacing w:after="0"/>
              <w:rPr>
                <w:sz w:val="13"/>
                <w:szCs w:val="13"/>
                <w:color w:val="auto"/>
              </w:rPr>
            </w:pP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7"/>
        </w:trPr>
        <w:tc>
          <w:tcPr>
            <w:tcW w:w="8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80" w:type="dxa"/>
            <w:vAlign w:val="bottom"/>
          </w:tcPr>
          <w:p>
            <w:pPr>
              <w:ind w:left="140"/>
              <w:spacing w:after="0" w:line="97" w:lineRule="exact"/>
              <w:rPr>
                <w:sz w:val="20"/>
                <w:szCs w:val="20"/>
                <w:color w:val="auto"/>
              </w:rPr>
            </w:pPr>
            <w:r>
              <w:rPr>
                <w:rFonts w:ascii="Arial" w:cs="Arial" w:eastAsia="Arial" w:hAnsi="Arial"/>
                <w:sz w:val="11"/>
                <w:szCs w:val="11"/>
                <w:color w:val="FFFFFF"/>
              </w:rPr>
              <w:t>Performance</w:t>
            </w: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8"/>
        </w:trPr>
        <w:tc>
          <w:tcPr>
            <w:tcW w:w="8100" w:type="dxa"/>
            <w:vAlign w:val="bottom"/>
            <w:vMerge w:val="restart"/>
          </w:tcPr>
          <w:p>
            <w:pPr>
              <w:spacing w:after="0"/>
              <w:rPr>
                <w:sz w:val="20"/>
                <w:szCs w:val="20"/>
                <w:color w:val="auto"/>
              </w:rPr>
            </w:pPr>
            <w:r>
              <w:rPr>
                <w:rFonts w:ascii="Arial" w:cs="Arial" w:eastAsia="Arial" w:hAnsi="Arial"/>
                <w:sz w:val="15"/>
                <w:szCs w:val="15"/>
                <w:color w:val="auto"/>
              </w:rPr>
              <w:t>•   Mr. Enyedi’s advancement of the Company’s marketing, digital solutions, and talent and integration strategies,</w:t>
            </w:r>
          </w:p>
        </w:tc>
        <w:tc>
          <w:tcPr>
            <w:tcW w:w="440" w:type="dxa"/>
            <w:vAlign w:val="bottom"/>
          </w:tcPr>
          <w:p>
            <w:pPr>
              <w:spacing w:after="0"/>
              <w:rPr>
                <w:sz w:val="13"/>
                <w:szCs w:val="13"/>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Disclosure</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5"/>
        </w:trPr>
        <w:tc>
          <w:tcPr>
            <w:tcW w:w="810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1280" w:type="dxa"/>
            <w:vAlign w:val="bottom"/>
          </w:tcPr>
          <w:p>
            <w:pPr>
              <w:spacing w:after="0"/>
              <w:rPr>
                <w:sz w:val="5"/>
                <w:szCs w:val="5"/>
                <w:color w:val="auto"/>
              </w:rPr>
            </w:pPr>
          </w:p>
        </w:tc>
        <w:tc>
          <w:tcPr>
            <w:tcW w:w="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1"/>
        </w:trPr>
        <w:tc>
          <w:tcPr>
            <w:tcW w:w="8100" w:type="dxa"/>
            <w:vAlign w:val="bottom"/>
          </w:tcPr>
          <w:p>
            <w:pPr>
              <w:ind w:left="260"/>
              <w:spacing w:after="0"/>
              <w:rPr>
                <w:sz w:val="20"/>
                <w:szCs w:val="20"/>
                <w:color w:val="auto"/>
              </w:rPr>
            </w:pPr>
            <w:r>
              <w:rPr>
                <w:rFonts w:ascii="Arial" w:cs="Arial" w:eastAsia="Arial" w:hAnsi="Arial"/>
                <w:sz w:val="15"/>
                <w:szCs w:val="15"/>
                <w:color w:val="auto"/>
              </w:rPr>
              <w:t>driving our clients’ success by advancing the LPL ecosystem and brand to remove friction and create a</w:t>
            </w:r>
          </w:p>
        </w:tc>
        <w:tc>
          <w:tcPr>
            <w:tcW w:w="440" w:type="dxa"/>
            <w:vAlign w:val="bottom"/>
          </w:tcPr>
          <w:p>
            <w:pPr>
              <w:spacing w:after="0"/>
              <w:rPr>
                <w:sz w:val="16"/>
                <w:szCs w:val="16"/>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Security</w:t>
            </w: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0"/>
        </w:trPr>
        <w:tc>
          <w:tcPr>
            <w:tcW w:w="8100" w:type="dxa"/>
            <w:vAlign w:val="bottom"/>
          </w:tcPr>
          <w:p>
            <w:pPr>
              <w:ind w:left="260"/>
              <w:spacing w:after="0" w:line="141" w:lineRule="exact"/>
              <w:rPr>
                <w:sz w:val="20"/>
                <w:szCs w:val="20"/>
                <w:color w:val="auto"/>
              </w:rPr>
            </w:pPr>
            <w:r>
              <w:rPr>
                <w:rFonts w:ascii="Arial" w:cs="Arial" w:eastAsia="Arial" w:hAnsi="Arial"/>
                <w:sz w:val="15"/>
                <w:szCs w:val="15"/>
                <w:color w:val="auto"/>
              </w:rPr>
              <w:t>differentiated, intuitive environment that allows our team to improve engagement and drive net new asset growth</w:t>
            </w:r>
          </w:p>
        </w:tc>
        <w:tc>
          <w:tcPr>
            <w:tcW w:w="440" w:type="dxa"/>
            <w:vAlign w:val="bottom"/>
          </w:tcPr>
          <w:p>
            <w:pPr>
              <w:spacing w:after="0"/>
              <w:rPr>
                <w:sz w:val="12"/>
                <w:szCs w:val="12"/>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Ownership of</w:t>
            </w: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8100" w:type="dxa"/>
            <w:vAlign w:val="bottom"/>
          </w:tcPr>
          <w:p>
            <w:pPr>
              <w:ind w:left="260"/>
              <w:spacing w:after="0"/>
              <w:rPr>
                <w:sz w:val="20"/>
                <w:szCs w:val="20"/>
                <w:color w:val="auto"/>
              </w:rPr>
            </w:pPr>
            <w:r>
              <w:rPr>
                <w:rFonts w:ascii="Arial" w:cs="Arial" w:eastAsia="Arial" w:hAnsi="Arial"/>
                <w:sz w:val="15"/>
                <w:szCs w:val="15"/>
                <w:color w:val="auto"/>
              </w:rPr>
              <w:t>of our clients;</w:t>
            </w:r>
          </w:p>
        </w:tc>
        <w:tc>
          <w:tcPr>
            <w:tcW w:w="440" w:type="dxa"/>
            <w:vAlign w:val="bottom"/>
          </w:tcPr>
          <w:p>
            <w:pPr>
              <w:spacing w:after="0"/>
              <w:rPr>
                <w:sz w:val="15"/>
                <w:szCs w:val="15"/>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Certain Beneficial</w:t>
            </w: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2"/>
        </w:trPr>
        <w:tc>
          <w:tcPr>
            <w:tcW w:w="8100" w:type="dxa"/>
            <w:vAlign w:val="bottom"/>
          </w:tcPr>
          <w:p>
            <w:pPr>
              <w:spacing w:after="0"/>
              <w:rPr>
                <w:sz w:val="6"/>
                <w:szCs w:val="6"/>
                <w:color w:val="auto"/>
              </w:rPr>
            </w:pPr>
          </w:p>
        </w:tc>
        <w:tc>
          <w:tcPr>
            <w:tcW w:w="440" w:type="dxa"/>
            <w:vAlign w:val="bottom"/>
          </w:tcPr>
          <w:p>
            <w:pPr>
              <w:spacing w:after="0"/>
              <w:rPr>
                <w:sz w:val="6"/>
                <w:szCs w:val="6"/>
                <w:color w:val="auto"/>
              </w:rPr>
            </w:pPr>
          </w:p>
        </w:tc>
        <w:tc>
          <w:tcPr>
            <w:tcW w:w="1280" w:type="dxa"/>
            <w:vAlign w:val="bottom"/>
          </w:tcPr>
          <w:p>
            <w:pPr>
              <w:ind w:left="140"/>
              <w:spacing w:after="0" w:line="72" w:lineRule="exact"/>
              <w:rPr>
                <w:sz w:val="20"/>
                <w:szCs w:val="20"/>
                <w:color w:val="auto"/>
              </w:rPr>
            </w:pPr>
            <w:r>
              <w:rPr>
                <w:rFonts w:ascii="Arial" w:cs="Arial" w:eastAsia="Arial" w:hAnsi="Arial"/>
                <w:sz w:val="8"/>
                <w:szCs w:val="8"/>
                <w:color w:val="FFFFFF"/>
              </w:rPr>
              <w:t>Owners and</w:t>
            </w:r>
          </w:p>
        </w:tc>
        <w:tc>
          <w:tcPr>
            <w:tcW w:w="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8"/>
        </w:trPr>
        <w:tc>
          <w:tcPr>
            <w:tcW w:w="8100" w:type="dxa"/>
            <w:vAlign w:val="bottom"/>
            <w:vMerge w:val="restart"/>
          </w:tcPr>
          <w:p>
            <w:pPr>
              <w:spacing w:after="0"/>
              <w:rPr>
                <w:sz w:val="20"/>
                <w:szCs w:val="20"/>
                <w:color w:val="auto"/>
              </w:rPr>
            </w:pPr>
            <w:r>
              <w:rPr>
                <w:rFonts w:ascii="Arial" w:cs="Arial" w:eastAsia="Arial" w:hAnsi="Arial"/>
                <w:sz w:val="15"/>
                <w:szCs w:val="15"/>
                <w:color w:val="auto"/>
              </w:rPr>
              <w:t>•   Mr. Gates’s continued progress modernizing our operating platform, in particular with respect to stability,</w:t>
            </w:r>
          </w:p>
        </w:tc>
        <w:tc>
          <w:tcPr>
            <w:tcW w:w="440" w:type="dxa"/>
            <w:vAlign w:val="bottom"/>
          </w:tcPr>
          <w:p>
            <w:pPr>
              <w:spacing w:after="0"/>
              <w:rPr>
                <w:sz w:val="13"/>
                <w:szCs w:val="13"/>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Management</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8100" w:type="dxa"/>
            <w:vAlign w:val="bottom"/>
            <w:vMerge w:val="continue"/>
          </w:tcPr>
          <w:p>
            <w:pPr>
              <w:spacing w:after="0"/>
              <w:rPr>
                <w:sz w:val="7"/>
                <w:szCs w:val="7"/>
                <w:color w:val="auto"/>
              </w:rPr>
            </w:pPr>
          </w:p>
        </w:tc>
        <w:tc>
          <w:tcPr>
            <w:tcW w:w="440" w:type="dxa"/>
            <w:vAlign w:val="bottom"/>
          </w:tcPr>
          <w:p>
            <w:pPr>
              <w:spacing w:after="0"/>
              <w:rPr>
                <w:sz w:val="7"/>
                <w:szCs w:val="7"/>
                <w:color w:val="auto"/>
              </w:rPr>
            </w:pPr>
          </w:p>
        </w:tc>
        <w:tc>
          <w:tcPr>
            <w:tcW w:w="1280" w:type="dxa"/>
            <w:vAlign w:val="bottom"/>
          </w:tcPr>
          <w:p>
            <w:pPr>
              <w:spacing w:after="0"/>
              <w:rPr>
                <w:sz w:val="7"/>
                <w:szCs w:val="7"/>
                <w:color w:val="auto"/>
              </w:rPr>
            </w:pPr>
          </w:p>
        </w:tc>
        <w:tc>
          <w:tcPr>
            <w:tcW w:w="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3"/>
        </w:trPr>
        <w:tc>
          <w:tcPr>
            <w:tcW w:w="8100" w:type="dxa"/>
            <w:vAlign w:val="bottom"/>
          </w:tcPr>
          <w:p>
            <w:pPr>
              <w:ind w:left="260"/>
              <w:spacing w:after="0"/>
              <w:rPr>
                <w:sz w:val="20"/>
                <w:szCs w:val="20"/>
                <w:color w:val="auto"/>
              </w:rPr>
            </w:pPr>
            <w:r>
              <w:rPr>
                <w:rFonts w:ascii="Arial" w:cs="Arial" w:eastAsia="Arial" w:hAnsi="Arial"/>
                <w:sz w:val="15"/>
                <w:szCs w:val="15"/>
                <w:color w:val="auto"/>
              </w:rPr>
              <w:t>observability, resiliency, scalability and data enablement, and his success driving operational efficiencies,</w:t>
            </w:r>
          </w:p>
        </w:tc>
        <w:tc>
          <w:tcPr>
            <w:tcW w:w="440" w:type="dxa"/>
            <w:vAlign w:val="bottom"/>
          </w:tcPr>
          <w:p>
            <w:pPr>
              <w:spacing w:after="0"/>
              <w:rPr>
                <w:sz w:val="15"/>
                <w:szCs w:val="15"/>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Certain</w:t>
            </w: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8"/>
        </w:trPr>
        <w:tc>
          <w:tcPr>
            <w:tcW w:w="8100" w:type="dxa"/>
            <w:vAlign w:val="bottom"/>
          </w:tcPr>
          <w:p>
            <w:pPr>
              <w:ind w:left="260"/>
              <w:spacing w:after="0" w:line="158" w:lineRule="exact"/>
              <w:rPr>
                <w:sz w:val="20"/>
                <w:szCs w:val="20"/>
                <w:color w:val="auto"/>
              </w:rPr>
            </w:pPr>
            <w:r>
              <w:rPr>
                <w:rFonts w:ascii="Arial" w:cs="Arial" w:eastAsia="Arial" w:hAnsi="Arial"/>
                <w:sz w:val="15"/>
                <w:szCs w:val="15"/>
                <w:color w:val="auto"/>
              </w:rPr>
              <w:t>including through automation and the establishment of a global capability center, enabling client independence</w:t>
            </w:r>
          </w:p>
        </w:tc>
        <w:tc>
          <w:tcPr>
            <w:tcW w:w="440" w:type="dxa"/>
            <w:vAlign w:val="bottom"/>
          </w:tcPr>
          <w:p>
            <w:pPr>
              <w:spacing w:after="0"/>
              <w:rPr>
                <w:sz w:val="13"/>
                <w:szCs w:val="13"/>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Relationships and</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7"/>
        </w:trPr>
        <w:tc>
          <w:tcPr>
            <w:tcW w:w="8100" w:type="dxa"/>
            <w:vAlign w:val="bottom"/>
            <w:vMerge w:val="restart"/>
          </w:tcPr>
          <w:p>
            <w:pPr>
              <w:ind w:left="260"/>
              <w:spacing w:after="0"/>
              <w:rPr>
                <w:sz w:val="20"/>
                <w:szCs w:val="20"/>
                <w:color w:val="auto"/>
              </w:rPr>
            </w:pPr>
            <w:r>
              <w:rPr>
                <w:rFonts w:ascii="Arial" w:cs="Arial" w:eastAsia="Arial" w:hAnsi="Arial"/>
                <w:sz w:val="15"/>
                <w:szCs w:val="15"/>
                <w:color w:val="auto"/>
              </w:rPr>
              <w:t>through integrated technology and customized experiences, and developing our technology as a competitive</w:t>
            </w:r>
          </w:p>
        </w:tc>
        <w:tc>
          <w:tcPr>
            <w:tcW w:w="440" w:type="dxa"/>
            <w:vAlign w:val="bottom"/>
          </w:tcPr>
          <w:p>
            <w:pPr>
              <w:spacing w:after="0"/>
              <w:rPr>
                <w:sz w:val="8"/>
                <w:szCs w:val="8"/>
                <w:color w:val="auto"/>
              </w:rPr>
            </w:pPr>
          </w:p>
        </w:tc>
        <w:tc>
          <w:tcPr>
            <w:tcW w:w="1280" w:type="dxa"/>
            <w:vAlign w:val="bottom"/>
          </w:tcPr>
          <w:p>
            <w:pPr>
              <w:ind w:left="140"/>
              <w:spacing w:after="0" w:line="97" w:lineRule="exact"/>
              <w:rPr>
                <w:sz w:val="20"/>
                <w:szCs w:val="20"/>
                <w:color w:val="auto"/>
              </w:rPr>
            </w:pPr>
            <w:r>
              <w:rPr>
                <w:rFonts w:ascii="Arial" w:cs="Arial" w:eastAsia="Arial" w:hAnsi="Arial"/>
                <w:sz w:val="11"/>
                <w:szCs w:val="11"/>
                <w:color w:val="FFFFFF"/>
              </w:rPr>
              <w:t>Related Party</w:t>
            </w: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8100" w:type="dxa"/>
            <w:vAlign w:val="bottom"/>
            <w:vMerge w:val="continue"/>
          </w:tcPr>
          <w:p>
            <w:pPr>
              <w:spacing w:after="0"/>
              <w:rPr>
                <w:sz w:val="10"/>
                <w:szCs w:val="10"/>
                <w:color w:val="auto"/>
              </w:rPr>
            </w:pPr>
          </w:p>
        </w:tc>
        <w:tc>
          <w:tcPr>
            <w:tcW w:w="440" w:type="dxa"/>
            <w:vAlign w:val="bottom"/>
          </w:tcPr>
          <w:p>
            <w:pPr>
              <w:spacing w:after="0"/>
              <w:rPr>
                <w:sz w:val="10"/>
                <w:szCs w:val="10"/>
                <w:color w:val="auto"/>
              </w:rPr>
            </w:pPr>
          </w:p>
        </w:tc>
        <w:tc>
          <w:tcPr>
            <w:tcW w:w="1280" w:type="dxa"/>
            <w:vAlign w:val="bottom"/>
          </w:tcPr>
          <w:p>
            <w:pPr>
              <w:ind w:left="140"/>
              <w:spacing w:after="0" w:line="120" w:lineRule="exact"/>
              <w:rPr>
                <w:sz w:val="20"/>
                <w:szCs w:val="20"/>
                <w:color w:val="auto"/>
              </w:rPr>
            </w:pPr>
            <w:r>
              <w:rPr>
                <w:rFonts w:ascii="Arial" w:cs="Arial" w:eastAsia="Arial" w:hAnsi="Arial"/>
                <w:sz w:val="12"/>
                <w:szCs w:val="12"/>
                <w:color w:val="FFFFFF"/>
              </w:rPr>
              <w:t>Transactions</w:t>
            </w: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6"/>
        </w:trPr>
        <w:tc>
          <w:tcPr>
            <w:tcW w:w="8100" w:type="dxa"/>
            <w:vAlign w:val="bottom"/>
          </w:tcPr>
          <w:p>
            <w:pPr>
              <w:ind w:left="260"/>
              <w:spacing w:after="0"/>
              <w:rPr>
                <w:sz w:val="20"/>
                <w:szCs w:val="20"/>
                <w:color w:val="auto"/>
              </w:rPr>
            </w:pPr>
            <w:r>
              <w:rPr>
                <w:rFonts w:ascii="Arial" w:cs="Arial" w:eastAsia="Arial" w:hAnsi="Arial"/>
                <w:sz w:val="15"/>
                <w:szCs w:val="15"/>
                <w:color w:val="auto"/>
              </w:rPr>
              <w:t>differentiator for the Company and its clients; and</w:t>
            </w:r>
          </w:p>
        </w:tc>
        <w:tc>
          <w:tcPr>
            <w:tcW w:w="4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0800"/>
          </w:cols>
          <w:pgMar w:left="320" w:top="464" w:right="779" w:bottom="1440" w:gutter="0" w:footer="0" w:header="0"/>
        </w:sectPr>
      </w:pPr>
    </w:p>
    <w:p>
      <w:pPr>
        <w:spacing w:after="0" w:line="95" w:lineRule="exact"/>
        <w:rPr>
          <w:sz w:val="20"/>
          <w:szCs w:val="20"/>
          <w:color w:val="auto"/>
        </w:rPr>
      </w:pPr>
    </w:p>
    <w:p>
      <w:pPr>
        <w:ind w:left="800" w:right="180" w:hanging="261"/>
        <w:spacing w:after="0" w:line="261" w:lineRule="auto"/>
        <w:tabs>
          <w:tab w:leader="none" w:pos="800" w:val="left"/>
        </w:tabs>
        <w:numPr>
          <w:ilvl w:val="0"/>
          <w:numId w:val="77"/>
        </w:numPr>
        <w:rPr>
          <w:rFonts w:ascii="Arial" w:cs="Arial" w:eastAsia="Arial" w:hAnsi="Arial"/>
          <w:sz w:val="15"/>
          <w:szCs w:val="15"/>
          <w:color w:val="auto"/>
        </w:rPr>
      </w:pPr>
      <w:r>
        <w:rPr>
          <w:rFonts w:ascii="Arial" w:cs="Arial" w:eastAsia="Arial" w:hAnsi="Arial"/>
          <w:sz w:val="15"/>
          <w:szCs w:val="15"/>
          <w:color w:val="auto"/>
        </w:rPr>
        <w:t>Ms. Jambusaria’s role strengthening the breadth, integration and impact of the Company’s core wealth management capabilities, which span holistic financial planning, banking and lending solutions, and investment offerings, along with her contributions to accelerating adoption of these capabilities, helping position the Company as a differentiated, indispensable partner to its clients.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FFFFFF"/>
        </w:rPr>
        <w:t>Proposal 2</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Report of the</w:t>
      </w:r>
    </w:p>
    <w:p>
      <w:pPr>
        <w:spacing w:after="0" w:line="224" w:lineRule="auto"/>
        <w:rPr>
          <w:sz w:val="20"/>
          <w:szCs w:val="20"/>
          <w:color w:val="auto"/>
        </w:rPr>
      </w:pPr>
      <w:r>
        <w:rPr>
          <w:rFonts w:ascii="Arial" w:cs="Arial" w:eastAsia="Arial" w:hAnsi="Arial"/>
          <w:sz w:val="12"/>
          <w:szCs w:val="12"/>
          <w:color w:val="FFFFFF"/>
        </w:rPr>
        <w:t>Audit and Risk</w:t>
      </w:r>
    </w:p>
    <w:p>
      <w:pPr>
        <w:spacing w:after="0" w:line="222" w:lineRule="auto"/>
        <w:rPr>
          <w:sz w:val="20"/>
          <w:szCs w:val="20"/>
          <w:color w:val="auto"/>
        </w:rPr>
      </w:pPr>
      <w:r>
        <w:rPr>
          <w:rFonts w:ascii="Arial" w:cs="Arial" w:eastAsia="Arial" w:hAnsi="Arial"/>
          <w:sz w:val="12"/>
          <w:szCs w:val="12"/>
          <w:color w:val="FFFFFF"/>
        </w:rPr>
        <w:t>Committee of the</w:t>
      </w:r>
    </w:p>
    <w:p>
      <w:pPr>
        <w:spacing w:after="0"/>
        <w:rPr>
          <w:sz w:val="20"/>
          <w:szCs w:val="20"/>
          <w:color w:val="auto"/>
        </w:rPr>
      </w:pPr>
      <w:r>
        <w:rPr>
          <w:rFonts w:ascii="Arial" w:cs="Arial" w:eastAsia="Arial" w:hAnsi="Arial"/>
          <w:sz w:val="11"/>
          <w:szCs w:val="11"/>
          <w:color w:val="FFFFFF"/>
        </w:rPr>
        <w:t>Board of Directors</w:t>
      </w:r>
    </w:p>
    <w:p>
      <w:pPr>
        <w:spacing w:after="0" w:line="155" w:lineRule="exact"/>
        <w:rPr>
          <w:sz w:val="20"/>
          <w:szCs w:val="20"/>
          <w:color w:val="auto"/>
        </w:rPr>
      </w:pPr>
    </w:p>
    <w:p>
      <w:pPr>
        <w:jc w:val="center"/>
        <w:ind w:right="1000"/>
        <w:spacing w:after="0"/>
        <w:rPr>
          <w:sz w:val="20"/>
          <w:szCs w:val="20"/>
          <w:color w:val="auto"/>
        </w:rPr>
      </w:pPr>
      <w:r>
        <w:rPr>
          <w:rFonts w:ascii="Arial" w:cs="Arial" w:eastAsia="Arial" w:hAnsi="Arial"/>
          <w:sz w:val="12"/>
          <w:szCs w:val="12"/>
          <w:color w:val="FFFFFF"/>
        </w:rPr>
        <w:t>Proposal 3</w:t>
      </w:r>
    </w:p>
    <w:p>
      <w:pPr>
        <w:spacing w:after="0" w:line="156" w:lineRule="exact"/>
        <w:rPr>
          <w:sz w:val="20"/>
          <w:szCs w:val="20"/>
          <w:color w:val="auto"/>
        </w:rPr>
      </w:pPr>
    </w:p>
    <w:p>
      <w:pPr>
        <w:jc w:val="center"/>
        <w:ind w:right="1000"/>
        <w:spacing w:after="0"/>
        <w:rPr>
          <w:sz w:val="20"/>
          <w:szCs w:val="20"/>
          <w:color w:val="auto"/>
        </w:rPr>
      </w:pPr>
      <w:r>
        <w:rPr>
          <w:rFonts w:ascii="Arial" w:cs="Arial" w:eastAsia="Arial" w:hAnsi="Arial"/>
          <w:sz w:val="12"/>
          <w:szCs w:val="12"/>
          <w:color w:val="FFFFFF"/>
        </w:rPr>
        <w:t>Proposal 4</w:t>
      </w:r>
    </w:p>
    <w:p>
      <w:pPr>
        <w:spacing w:after="0" w:line="156" w:lineRule="exact"/>
        <w:rPr>
          <w:sz w:val="20"/>
          <w:szCs w:val="20"/>
          <w:color w:val="auto"/>
        </w:rPr>
      </w:pPr>
    </w:p>
    <w:p>
      <w:pPr>
        <w:jc w:val="center"/>
        <w:ind w:right="1000"/>
        <w:spacing w:after="0"/>
        <w:rPr>
          <w:sz w:val="20"/>
          <w:szCs w:val="20"/>
          <w:color w:val="auto"/>
        </w:rPr>
      </w:pPr>
      <w:r>
        <w:rPr>
          <w:rFonts w:ascii="Arial" w:cs="Arial" w:eastAsia="Arial" w:hAnsi="Arial"/>
          <w:sz w:val="12"/>
          <w:szCs w:val="12"/>
          <w:color w:val="FFFFFF"/>
        </w:rPr>
        <w:t>Proposal 5</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FFFFFF"/>
        </w:rPr>
        <w:t>Proposal 6</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FFFFFF"/>
        </w:rPr>
        <w:t>Stockholder</w:t>
      </w:r>
    </w:p>
    <w:p>
      <w:pPr>
        <w:spacing w:after="0" w:line="224" w:lineRule="auto"/>
        <w:rPr>
          <w:sz w:val="20"/>
          <w:szCs w:val="20"/>
          <w:color w:val="auto"/>
        </w:rPr>
      </w:pPr>
      <w:r>
        <w:rPr>
          <w:rFonts w:ascii="Arial" w:cs="Arial" w:eastAsia="Arial" w:hAnsi="Arial"/>
          <w:sz w:val="12"/>
          <w:szCs w:val="12"/>
          <w:color w:val="FFFFFF"/>
        </w:rPr>
        <w:t>Proposals and</w:t>
      </w:r>
    </w:p>
    <w:p>
      <w:pPr>
        <w:spacing w:after="0"/>
        <w:rPr>
          <w:sz w:val="20"/>
          <w:szCs w:val="20"/>
          <w:color w:val="auto"/>
        </w:rPr>
      </w:pPr>
      <w:r>
        <w:rPr>
          <w:rFonts w:ascii="Arial" w:cs="Arial" w:eastAsia="Arial" w:hAnsi="Arial"/>
          <w:sz w:val="12"/>
          <w:szCs w:val="12"/>
          <w:color w:val="FFFFFF"/>
        </w:rPr>
        <w:t>Other Matters</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Delinquent</w:t>
      </w:r>
    </w:p>
    <w:p>
      <w:pPr>
        <w:spacing w:after="0" w:line="224" w:lineRule="auto"/>
        <w:rPr>
          <w:sz w:val="20"/>
          <w:szCs w:val="20"/>
          <w:color w:val="auto"/>
        </w:rPr>
      </w:pPr>
      <w:r>
        <w:rPr>
          <w:rFonts w:ascii="Arial" w:cs="Arial" w:eastAsia="Arial" w:hAnsi="Arial"/>
          <w:sz w:val="12"/>
          <w:szCs w:val="12"/>
          <w:color w:val="FFFFFF"/>
        </w:rPr>
        <w:t>Section 16(a)</w:t>
      </w:r>
    </w:p>
    <w:p>
      <w:pPr>
        <w:spacing w:after="0"/>
        <w:rPr>
          <w:sz w:val="20"/>
          <w:szCs w:val="20"/>
          <w:color w:val="auto"/>
        </w:rPr>
      </w:pPr>
      <w:r>
        <w:rPr>
          <w:rFonts w:ascii="Arial" w:cs="Arial" w:eastAsia="Arial" w:hAnsi="Arial"/>
          <w:sz w:val="12"/>
          <w:szCs w:val="12"/>
          <w:color w:val="FFFFFF"/>
        </w:rPr>
        <w:t>Reports</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Other</w:t>
      </w:r>
    </w:p>
    <w:p>
      <w:pPr>
        <w:spacing w:after="0" w:line="2" w:lineRule="exact"/>
        <w:rPr>
          <w:sz w:val="20"/>
          <w:szCs w:val="20"/>
          <w:color w:val="auto"/>
        </w:rPr>
      </w:pPr>
    </w:p>
    <w:p>
      <w:pPr>
        <w:spacing w:after="0"/>
        <w:rPr>
          <w:sz w:val="20"/>
          <w:szCs w:val="20"/>
          <w:color w:val="auto"/>
        </w:rPr>
      </w:pPr>
      <w:r>
        <w:rPr>
          <w:rFonts w:ascii="Arial" w:cs="Arial" w:eastAsia="Arial" w:hAnsi="Arial"/>
          <w:sz w:val="12"/>
          <w:szCs w:val="12"/>
          <w:color w:val="FFFFFF"/>
        </w:rPr>
        <w:t>Information</w:t>
      </w:r>
    </w:p>
    <w:p>
      <w:pPr>
        <w:spacing w:after="0" w:line="144" w:lineRule="exact"/>
        <w:rPr>
          <w:sz w:val="20"/>
          <w:szCs w:val="20"/>
          <w:color w:val="auto"/>
        </w:rPr>
      </w:pPr>
    </w:p>
    <w:p>
      <w:pPr>
        <w:jc w:val="center"/>
        <w:ind w:right="960"/>
        <w:spacing w:after="0"/>
        <w:rPr>
          <w:sz w:val="20"/>
          <w:szCs w:val="20"/>
          <w:color w:val="auto"/>
        </w:rPr>
      </w:pPr>
      <w:r>
        <w:rPr>
          <w:rFonts w:ascii="Arial" w:cs="Arial" w:eastAsia="Arial" w:hAnsi="Arial"/>
          <w:sz w:val="12"/>
          <w:szCs w:val="12"/>
          <w:color w:val="FFFFFF"/>
        </w:rPr>
        <w:t>Appendix A</w:t>
      </w:r>
    </w:p>
    <w:p>
      <w:pPr>
        <w:spacing w:after="0" w:line="156" w:lineRule="exact"/>
        <w:rPr>
          <w:sz w:val="20"/>
          <w:szCs w:val="20"/>
          <w:color w:val="auto"/>
        </w:rPr>
      </w:pPr>
    </w:p>
    <w:p>
      <w:pPr>
        <w:jc w:val="center"/>
        <w:ind w:right="960"/>
        <w:spacing w:after="0"/>
        <w:rPr>
          <w:sz w:val="20"/>
          <w:szCs w:val="20"/>
          <w:color w:val="auto"/>
        </w:rPr>
      </w:pPr>
      <w:r>
        <w:rPr>
          <w:rFonts w:ascii="Arial" w:cs="Arial" w:eastAsia="Arial" w:hAnsi="Arial"/>
          <w:sz w:val="12"/>
          <w:szCs w:val="12"/>
          <w:color w:val="FFFFFF"/>
        </w:rPr>
        <w:t>Appendix B</w:t>
      </w:r>
    </w:p>
    <w:p>
      <w:pPr>
        <w:spacing w:after="0" w:line="200" w:lineRule="exact"/>
        <w:rPr>
          <w:sz w:val="20"/>
          <w:szCs w:val="20"/>
          <w:color w:val="auto"/>
        </w:rPr>
      </w:pPr>
    </w:p>
    <w:p>
      <w:pPr>
        <w:sectPr>
          <w:pgSz w:w="11900" w:h="16838" w:orient="portrait"/>
          <w:cols w:equalWidth="0" w:num="2">
            <w:col w:w="8500" w:space="720"/>
            <w:col w:w="1580"/>
          </w:cols>
          <w:pgMar w:left="320" w:top="464" w:right="7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6380"/>
        <w:spacing w:after="0"/>
        <w:tabs>
          <w:tab w:leader="none" w:pos="8500" w:val="left"/>
          <w:tab w:leader="none" w:pos="9960" w:val="left"/>
        </w:tabs>
        <w:rPr>
          <w:sz w:val="20"/>
          <w:szCs w:val="20"/>
          <w:color w:val="auto"/>
        </w:rPr>
      </w:pPr>
      <w:r>
        <w:rPr>
          <w:rFonts w:ascii="Arial" w:cs="Arial" w:eastAsia="Arial" w:hAnsi="Arial"/>
          <w:sz w:val="15"/>
          <w:szCs w:val="15"/>
          <w:b w:val="1"/>
          <w:bCs w:val="1"/>
          <w:color w:val="002B5F"/>
        </w:rPr>
        <w:t xml:space="preserve">2026 Proxy Statement  </w:t>
      </w:r>
      <w:r>
        <w:rPr>
          <w:rFonts w:ascii="Arial" w:cs="Arial" w:eastAsia="Arial" w:hAnsi="Arial"/>
          <w:sz w:val="20"/>
          <w:szCs w:val="20"/>
          <w:color w:val="002B5F"/>
        </w:rPr>
        <w:t>|</w:t>
      </w:r>
      <w:r>
        <w:rPr>
          <w:rFonts w:ascii="Arial" w:cs="Arial" w:eastAsia="Arial" w:hAnsi="Arial"/>
          <w:sz w:val="15"/>
          <w:szCs w:val="15"/>
          <w:b w:val="1"/>
          <w:bCs w:val="1"/>
          <w:color w:val="002B5F"/>
        </w:rPr>
        <w:t xml:space="preserve">  49</w:t>
      </w:r>
      <w:r>
        <w:rPr>
          <w:sz w:val="20"/>
          <w:szCs w:val="20"/>
          <w:color w:val="auto"/>
        </w:rPr>
        <w:tab/>
      </w:r>
      <w:r>
        <w:rPr>
          <w:rFonts w:ascii="Arial" w:cs="Arial" w:eastAsia="Arial" w:hAnsi="Arial"/>
          <w:sz w:val="17"/>
          <w:szCs w:val="17"/>
          <w:color w:val="auto"/>
        </w:rPr>
        <w:t xml:space="preserve">    </w:t>
      </w:r>
      <w:r>
        <w:rPr>
          <w:sz w:val="20"/>
          <w:szCs w:val="20"/>
          <w:color w:val="auto"/>
        </w:rPr>
        <w:tab/>
      </w:r>
      <w:r>
        <w:rPr>
          <w:rFonts w:ascii="Arial" w:cs="Arial" w:eastAsia="Arial" w:hAnsi="Arial"/>
          <w:sz w:val="17"/>
          <w:szCs w:val="17"/>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268605</wp:posOffset>
            </wp:positionH>
            <wp:positionV relativeFrom="paragraph">
              <wp:posOffset>-128905</wp:posOffset>
            </wp:positionV>
            <wp:extent cx="762000" cy="971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62000" cy="97155"/>
                    </a:xfrm>
                    <a:prstGeom prst="rect">
                      <a:avLst/>
                    </a:prstGeom>
                    <a:noFill/>
                  </pic:spPr>
                </pic:pic>
              </a:graphicData>
            </a:graphic>
          </wp:anchor>
        </w:drawing>
      </w:r>
    </w:p>
    <w:p>
      <w:pPr>
        <w:sectPr>
          <w:pgSz w:w="11900" w:h="16838" w:orient="portrait"/>
          <w:cols w:equalWidth="0" w:num="1">
            <w:col w:w="10800"/>
          </w:cols>
          <w:pgMar w:left="320" w:top="464" w:right="779" w:bottom="1440" w:gutter="0" w:footer="0" w:header="0"/>
          <w:type w:val="continuous"/>
        </w:sectPr>
      </w:pPr>
    </w:p>
    <w:bookmarkStart w:id="57" w:name="page58"/>
    <w:bookmarkEnd w:id="57"/>
    <w:p>
      <w:pPr>
        <w:spacing w:after="0"/>
        <w:rPr>
          <w:sz w:val="20"/>
          <w:szCs w:val="20"/>
          <w:color w:val="auto"/>
        </w:rPr>
      </w:pPr>
      <w:r>
        <w:rPr>
          <w:rFonts w:ascii="Times New Roman" w:cs="Times New Roman" w:eastAsia="Times New Roman" w:hAnsi="Times New Roman"/>
          <w:sz w:val="17"/>
          <w:szCs w:val="17"/>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268605</wp:posOffset>
            </wp:positionH>
            <wp:positionV relativeFrom="paragraph">
              <wp:posOffset>253365</wp:posOffset>
            </wp:positionV>
            <wp:extent cx="1183005" cy="745617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183005" cy="7456170"/>
                    </a:xfrm>
                    <a:prstGeom prst="rect">
                      <a:avLst/>
                    </a:prstGeom>
                    <a:noFill/>
                  </pic:spPr>
                </pic:pic>
              </a:graphicData>
            </a:graphic>
          </wp:anchor>
        </w:drawing>
      </w:r>
    </w:p>
    <w:p>
      <w:pPr>
        <w:spacing w:after="0" w:line="200" w:lineRule="exact"/>
        <w:rPr>
          <w:sz w:val="20"/>
          <w:szCs w:val="20"/>
          <w:color w:val="auto"/>
        </w:rPr>
      </w:pPr>
    </w:p>
    <w:p>
      <w:pPr>
        <w:spacing w:after="0" w:line="304" w:lineRule="exact"/>
        <w:rPr>
          <w:sz w:val="20"/>
          <w:szCs w:val="20"/>
          <w:color w:val="auto"/>
        </w:rPr>
      </w:pPr>
    </w:p>
    <w:p>
      <w:pPr>
        <w:ind w:left="1120" w:right="460" w:hanging="672"/>
        <w:spacing w:after="0" w:line="382" w:lineRule="auto"/>
        <w:tabs>
          <w:tab w:leader="none" w:pos="610" w:val="left"/>
        </w:tabs>
        <w:numPr>
          <w:ilvl w:val="0"/>
          <w:numId w:val="78"/>
        </w:numPr>
        <w:rPr>
          <w:rFonts w:ascii="Arial" w:cs="Arial" w:eastAsia="Arial" w:hAnsi="Arial"/>
          <w:sz w:val="24"/>
          <w:szCs w:val="24"/>
          <w:color w:val="auto"/>
          <w:vertAlign w:val="subscript"/>
        </w:rPr>
      </w:pPr>
      <w:r>
        <w:rPr>
          <w:rFonts w:ascii="Arial" w:cs="Arial" w:eastAsia="Arial" w:hAnsi="Arial"/>
          <w:sz w:val="24"/>
          <w:szCs w:val="24"/>
          <w:color w:val="000000"/>
          <w:vertAlign w:val="subscript"/>
        </w:rPr>
        <w:t xml:space="preserve">     </w:t>
      </w:r>
      <w:r>
        <w:rPr>
          <w:rFonts w:ascii="Arial" w:cs="Arial" w:eastAsia="Arial" w:hAnsi="Arial"/>
          <w:sz w:val="10"/>
          <w:szCs w:val="10"/>
          <w:color w:val="FFFFFF"/>
        </w:rPr>
        <w:t xml:space="preserve"> General Information</w:t>
      </w:r>
    </w:p>
    <w:p>
      <w:pPr>
        <w:spacing w:after="0" w:line="1" w:lineRule="exact"/>
        <w:rPr>
          <w:sz w:val="20"/>
          <w:szCs w:val="20"/>
          <w:color w:val="auto"/>
        </w:rPr>
      </w:pPr>
    </w:p>
    <w:p>
      <w:pPr>
        <w:ind w:left="1120"/>
        <w:spacing w:after="0"/>
        <w:rPr>
          <w:sz w:val="20"/>
          <w:szCs w:val="20"/>
          <w:color w:val="auto"/>
        </w:rPr>
      </w:pPr>
      <w:r>
        <w:rPr>
          <w:rFonts w:ascii="Arial" w:cs="Arial" w:eastAsia="Arial" w:hAnsi="Arial"/>
          <w:sz w:val="11"/>
          <w:szCs w:val="11"/>
          <w:color w:val="FFFFFF"/>
        </w:rPr>
        <w:t>General Information</w:t>
      </w:r>
    </w:p>
    <w:p>
      <w:pPr>
        <w:spacing w:after="0" w:line="3"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About Corporate</w:t>
      </w:r>
    </w:p>
    <w:p>
      <w:pPr>
        <w:ind w:left="1120"/>
        <w:spacing w:after="0" w:line="221" w:lineRule="auto"/>
        <w:rPr>
          <w:sz w:val="20"/>
          <w:szCs w:val="20"/>
          <w:color w:val="auto"/>
        </w:rPr>
      </w:pPr>
      <w:r>
        <w:rPr>
          <w:rFonts w:ascii="Arial" w:cs="Arial" w:eastAsia="Arial" w:hAnsi="Arial"/>
          <w:sz w:val="12"/>
          <w:szCs w:val="12"/>
          <w:color w:val="FFFFFF"/>
        </w:rPr>
        <w:t>Governance</w:t>
      </w:r>
    </w:p>
    <w:p>
      <w:pPr>
        <w:ind w:left="1120"/>
        <w:spacing w:after="0" w:line="222" w:lineRule="auto"/>
        <w:rPr>
          <w:sz w:val="20"/>
          <w:szCs w:val="20"/>
          <w:color w:val="auto"/>
        </w:rPr>
      </w:pPr>
      <w:r>
        <w:rPr>
          <w:rFonts w:ascii="Arial" w:cs="Arial" w:eastAsia="Arial" w:hAnsi="Arial"/>
          <w:sz w:val="12"/>
          <w:szCs w:val="12"/>
          <w:color w:val="FFFFFF"/>
        </w:rPr>
        <w:t>and the Board of</w:t>
      </w:r>
    </w:p>
    <w:p>
      <w:pPr>
        <w:spacing w:after="0" w:line="1"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Directors</w:t>
      </w:r>
    </w:p>
    <w:p>
      <w:pPr>
        <w:spacing w:after="0" w:line="144" w:lineRule="exact"/>
        <w:rPr>
          <w:sz w:val="20"/>
          <w:szCs w:val="20"/>
          <w:color w:val="auto"/>
        </w:rPr>
      </w:pPr>
    </w:p>
    <w:p>
      <w:pPr>
        <w:jc w:val="center"/>
        <w:ind w:left="620"/>
        <w:spacing w:after="0"/>
        <w:rPr>
          <w:sz w:val="20"/>
          <w:szCs w:val="20"/>
          <w:color w:val="auto"/>
        </w:rPr>
      </w:pPr>
      <w:r>
        <w:rPr>
          <w:rFonts w:ascii="Arial" w:cs="Arial" w:eastAsia="Arial" w:hAnsi="Arial"/>
          <w:sz w:val="12"/>
          <w:szCs w:val="12"/>
          <w:color w:val="FFFFFF"/>
        </w:rPr>
        <w:t>Proposal 1</w:t>
      </w:r>
    </w:p>
    <w:p>
      <w:pPr>
        <w:spacing w:after="0" w:line="156"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Information</w:t>
      </w:r>
    </w:p>
    <w:p>
      <w:pPr>
        <w:ind w:left="1120"/>
        <w:spacing w:after="0" w:line="224" w:lineRule="auto"/>
        <w:rPr>
          <w:sz w:val="20"/>
          <w:szCs w:val="20"/>
          <w:color w:val="auto"/>
        </w:rPr>
      </w:pPr>
      <w:r>
        <w:rPr>
          <w:rFonts w:ascii="Arial" w:cs="Arial" w:eastAsia="Arial" w:hAnsi="Arial"/>
          <w:sz w:val="12"/>
          <w:szCs w:val="12"/>
          <w:color w:val="FFFFFF"/>
        </w:rPr>
        <w:t>Regarding Board</w:t>
      </w:r>
    </w:p>
    <w:p>
      <w:pPr>
        <w:ind w:left="1120"/>
        <w:spacing w:after="0" w:line="222" w:lineRule="auto"/>
        <w:rPr>
          <w:sz w:val="20"/>
          <w:szCs w:val="20"/>
          <w:color w:val="auto"/>
        </w:rPr>
      </w:pPr>
      <w:r>
        <w:rPr>
          <w:rFonts w:ascii="Arial" w:cs="Arial" w:eastAsia="Arial" w:hAnsi="Arial"/>
          <w:sz w:val="12"/>
          <w:szCs w:val="12"/>
          <w:color w:val="FFFFFF"/>
        </w:rPr>
        <w:t>and Committee</w:t>
      </w:r>
    </w:p>
    <w:p>
      <w:pPr>
        <w:ind w:left="1120"/>
        <w:spacing w:after="0"/>
        <w:rPr>
          <w:sz w:val="20"/>
          <w:szCs w:val="20"/>
          <w:color w:val="auto"/>
        </w:rPr>
      </w:pPr>
      <w:r>
        <w:rPr>
          <w:rFonts w:ascii="Arial" w:cs="Arial" w:eastAsia="Arial" w:hAnsi="Arial"/>
          <w:sz w:val="12"/>
          <w:szCs w:val="12"/>
          <w:color w:val="FFFFFF"/>
        </w:rPr>
        <w:t>Structure</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Board of Directors</w:t>
      </w:r>
    </w:p>
    <w:p>
      <w:pPr>
        <w:spacing w:after="0" w:line="2"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Compensation</w:t>
      </w:r>
    </w:p>
    <w:p>
      <w:pPr>
        <w:spacing w:after="0" w:line="144" w:lineRule="exact"/>
        <w:rPr>
          <w:sz w:val="20"/>
          <w:szCs w:val="20"/>
          <w:color w:val="auto"/>
        </w:rPr>
      </w:pPr>
    </w:p>
    <w:p>
      <w:pPr>
        <w:ind w:left="1120" w:right="160"/>
        <w:spacing w:after="0" w:line="244" w:lineRule="auto"/>
        <w:rPr>
          <w:sz w:val="20"/>
          <w:szCs w:val="20"/>
          <w:color w:val="auto"/>
        </w:rPr>
      </w:pPr>
      <w:r>
        <w:rPr>
          <w:rFonts w:ascii="Arial" w:cs="Arial" w:eastAsia="Arial" w:hAnsi="Arial"/>
          <w:sz w:val="12"/>
          <w:szCs w:val="12"/>
          <w:b w:val="1"/>
          <w:bCs w:val="1"/>
          <w:color w:val="FFFFFF"/>
        </w:rPr>
        <w:t>Compensation Discussion and Analysis</w:t>
      </w:r>
    </w:p>
    <w:p>
      <w:pPr>
        <w:spacing w:after="0" w:line="128"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Report of the</w:t>
      </w:r>
    </w:p>
    <w:p>
      <w:pPr>
        <w:ind w:left="1120"/>
        <w:spacing w:after="0" w:line="224" w:lineRule="auto"/>
        <w:rPr>
          <w:sz w:val="20"/>
          <w:szCs w:val="20"/>
          <w:color w:val="auto"/>
        </w:rPr>
      </w:pPr>
      <w:r>
        <w:rPr>
          <w:rFonts w:ascii="Arial" w:cs="Arial" w:eastAsia="Arial" w:hAnsi="Arial"/>
          <w:sz w:val="12"/>
          <w:szCs w:val="12"/>
          <w:color w:val="FFFFFF"/>
        </w:rPr>
        <w:t>Compensation</w:t>
      </w:r>
    </w:p>
    <w:p>
      <w:pPr>
        <w:ind w:left="1120"/>
        <w:spacing w:after="0" w:line="222" w:lineRule="auto"/>
        <w:rPr>
          <w:sz w:val="20"/>
          <w:szCs w:val="20"/>
          <w:color w:val="auto"/>
        </w:rPr>
      </w:pPr>
      <w:r>
        <w:rPr>
          <w:rFonts w:ascii="Arial" w:cs="Arial" w:eastAsia="Arial" w:hAnsi="Arial"/>
          <w:sz w:val="12"/>
          <w:szCs w:val="12"/>
          <w:color w:val="FFFFFF"/>
        </w:rPr>
        <w:t>and Human</w:t>
      </w:r>
    </w:p>
    <w:p>
      <w:pPr>
        <w:ind w:left="1120"/>
        <w:spacing w:after="0" w:line="222" w:lineRule="auto"/>
        <w:rPr>
          <w:sz w:val="20"/>
          <w:szCs w:val="20"/>
          <w:color w:val="auto"/>
        </w:rPr>
      </w:pPr>
      <w:r>
        <w:rPr>
          <w:rFonts w:ascii="Arial" w:cs="Arial" w:eastAsia="Arial" w:hAnsi="Arial"/>
          <w:sz w:val="12"/>
          <w:szCs w:val="12"/>
          <w:color w:val="FFFFFF"/>
        </w:rPr>
        <w:t>Resources</w:t>
      </w:r>
    </w:p>
    <w:p>
      <w:pPr>
        <w:ind w:left="1120"/>
        <w:spacing w:after="0" w:line="222" w:lineRule="auto"/>
        <w:rPr>
          <w:sz w:val="20"/>
          <w:szCs w:val="20"/>
          <w:color w:val="auto"/>
        </w:rPr>
      </w:pPr>
      <w:r>
        <w:rPr>
          <w:rFonts w:ascii="Arial" w:cs="Arial" w:eastAsia="Arial" w:hAnsi="Arial"/>
          <w:sz w:val="12"/>
          <w:szCs w:val="12"/>
          <w:color w:val="FFFFFF"/>
        </w:rPr>
        <w:t>Committee of the</w:t>
      </w:r>
    </w:p>
    <w:p>
      <w:pPr>
        <w:ind w:left="1120"/>
        <w:spacing w:after="0"/>
        <w:rPr>
          <w:sz w:val="20"/>
          <w:szCs w:val="20"/>
          <w:color w:val="auto"/>
        </w:rPr>
      </w:pPr>
      <w:r>
        <w:rPr>
          <w:rFonts w:ascii="Arial" w:cs="Arial" w:eastAsia="Arial" w:hAnsi="Arial"/>
          <w:sz w:val="12"/>
          <w:szCs w:val="12"/>
          <w:color w:val="FFFFFF"/>
        </w:rPr>
        <w:t>Board of Directors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Compensation of</w:t>
      </w:r>
    </w:p>
    <w:p>
      <w:pPr>
        <w:ind w:left="1120"/>
        <w:spacing w:after="0" w:line="224" w:lineRule="auto"/>
        <w:rPr>
          <w:sz w:val="20"/>
          <w:szCs w:val="20"/>
          <w:color w:val="auto"/>
        </w:rPr>
      </w:pPr>
      <w:r>
        <w:rPr>
          <w:rFonts w:ascii="Arial" w:cs="Arial" w:eastAsia="Arial" w:hAnsi="Arial"/>
          <w:sz w:val="12"/>
          <w:szCs w:val="12"/>
          <w:color w:val="FFFFFF"/>
        </w:rPr>
        <w:t>Named Executive</w:t>
      </w:r>
    </w:p>
    <w:p>
      <w:pPr>
        <w:ind w:left="1120"/>
        <w:spacing w:after="0"/>
        <w:rPr>
          <w:sz w:val="20"/>
          <w:szCs w:val="20"/>
          <w:color w:val="auto"/>
        </w:rPr>
      </w:pPr>
      <w:r>
        <w:rPr>
          <w:rFonts w:ascii="Arial" w:cs="Arial" w:eastAsia="Arial" w:hAnsi="Arial"/>
          <w:sz w:val="12"/>
          <w:szCs w:val="12"/>
          <w:color w:val="FFFFFF"/>
        </w:rPr>
        <w:t>Officers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Pay Versus</w:t>
      </w:r>
    </w:p>
    <w:p>
      <w:pPr>
        <w:ind w:left="1120"/>
        <w:spacing w:after="0" w:line="224" w:lineRule="auto"/>
        <w:rPr>
          <w:sz w:val="20"/>
          <w:szCs w:val="20"/>
          <w:color w:val="auto"/>
        </w:rPr>
      </w:pPr>
      <w:r>
        <w:rPr>
          <w:rFonts w:ascii="Arial" w:cs="Arial" w:eastAsia="Arial" w:hAnsi="Arial"/>
          <w:sz w:val="12"/>
          <w:szCs w:val="12"/>
          <w:color w:val="FFFFFF"/>
        </w:rPr>
        <w:t>Performance</w:t>
      </w:r>
    </w:p>
    <w:p>
      <w:pPr>
        <w:ind w:left="1120"/>
        <w:spacing w:after="0"/>
        <w:rPr>
          <w:sz w:val="20"/>
          <w:szCs w:val="20"/>
          <w:color w:val="auto"/>
        </w:rPr>
      </w:pPr>
      <w:r>
        <w:rPr>
          <w:rFonts w:ascii="Arial" w:cs="Arial" w:eastAsia="Arial" w:hAnsi="Arial"/>
          <w:sz w:val="12"/>
          <w:szCs w:val="12"/>
          <w:color w:val="FFFFFF"/>
        </w:rPr>
        <w:t>Disclosure</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Security</w:t>
      </w:r>
    </w:p>
    <w:p>
      <w:pPr>
        <w:ind w:left="1120"/>
        <w:spacing w:after="0" w:line="224" w:lineRule="auto"/>
        <w:rPr>
          <w:sz w:val="20"/>
          <w:szCs w:val="20"/>
          <w:color w:val="auto"/>
        </w:rPr>
      </w:pPr>
      <w:r>
        <w:rPr>
          <w:rFonts w:ascii="Arial" w:cs="Arial" w:eastAsia="Arial" w:hAnsi="Arial"/>
          <w:sz w:val="12"/>
          <w:szCs w:val="12"/>
          <w:color w:val="FFFFFF"/>
        </w:rPr>
        <w:t>Ownership of</w:t>
      </w:r>
    </w:p>
    <w:p>
      <w:pPr>
        <w:ind w:left="1120"/>
        <w:spacing w:after="0" w:line="222" w:lineRule="auto"/>
        <w:rPr>
          <w:sz w:val="20"/>
          <w:szCs w:val="20"/>
          <w:color w:val="auto"/>
        </w:rPr>
      </w:pPr>
      <w:r>
        <w:rPr>
          <w:rFonts w:ascii="Arial" w:cs="Arial" w:eastAsia="Arial" w:hAnsi="Arial"/>
          <w:sz w:val="12"/>
          <w:szCs w:val="12"/>
          <w:color w:val="FFFFFF"/>
        </w:rPr>
        <w:t>Certain Beneficial</w:t>
      </w:r>
    </w:p>
    <w:p>
      <w:pPr>
        <w:ind w:left="1120"/>
        <w:spacing w:after="0" w:line="222" w:lineRule="auto"/>
        <w:rPr>
          <w:sz w:val="20"/>
          <w:szCs w:val="20"/>
          <w:color w:val="auto"/>
        </w:rPr>
      </w:pPr>
      <w:r>
        <w:rPr>
          <w:rFonts w:ascii="Arial" w:cs="Arial" w:eastAsia="Arial" w:hAnsi="Arial"/>
          <w:sz w:val="12"/>
          <w:szCs w:val="12"/>
          <w:color w:val="FFFFFF"/>
        </w:rPr>
        <w:t>Owners and</w:t>
      </w:r>
    </w:p>
    <w:p>
      <w:pPr>
        <w:ind w:left="1120"/>
        <w:spacing w:after="0"/>
        <w:rPr>
          <w:sz w:val="20"/>
          <w:szCs w:val="20"/>
          <w:color w:val="auto"/>
        </w:rPr>
      </w:pPr>
      <w:r>
        <w:rPr>
          <w:rFonts w:ascii="Arial" w:cs="Arial" w:eastAsia="Arial" w:hAnsi="Arial"/>
          <w:sz w:val="12"/>
          <w:szCs w:val="12"/>
          <w:color w:val="FFFFFF"/>
        </w:rPr>
        <w:t>Management</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Certain</w:t>
      </w:r>
    </w:p>
    <w:p>
      <w:pPr>
        <w:ind w:left="1120"/>
        <w:spacing w:after="0" w:line="224" w:lineRule="auto"/>
        <w:rPr>
          <w:sz w:val="20"/>
          <w:szCs w:val="20"/>
          <w:color w:val="auto"/>
        </w:rPr>
      </w:pPr>
      <w:r>
        <w:rPr>
          <w:rFonts w:ascii="Arial" w:cs="Arial" w:eastAsia="Arial" w:hAnsi="Arial"/>
          <w:sz w:val="12"/>
          <w:szCs w:val="12"/>
          <w:color w:val="FFFFFF"/>
        </w:rPr>
        <w:t>Relationships and</w:t>
      </w:r>
    </w:p>
    <w:p>
      <w:pPr>
        <w:ind w:left="1120"/>
        <w:spacing w:after="0" w:line="222" w:lineRule="auto"/>
        <w:rPr>
          <w:sz w:val="20"/>
          <w:szCs w:val="20"/>
          <w:color w:val="auto"/>
        </w:rPr>
      </w:pPr>
      <w:r>
        <w:rPr>
          <w:rFonts w:ascii="Arial" w:cs="Arial" w:eastAsia="Arial" w:hAnsi="Arial"/>
          <w:sz w:val="12"/>
          <w:szCs w:val="12"/>
          <w:color w:val="FFFFFF"/>
        </w:rPr>
        <w:t>Related Party</w:t>
      </w:r>
    </w:p>
    <w:p>
      <w:pPr>
        <w:ind w:left="1120"/>
        <w:spacing w:after="0"/>
        <w:rPr>
          <w:sz w:val="20"/>
          <w:szCs w:val="20"/>
          <w:color w:val="auto"/>
        </w:rPr>
      </w:pPr>
      <w:r>
        <w:rPr>
          <w:rFonts w:ascii="Arial" w:cs="Arial" w:eastAsia="Arial" w:hAnsi="Arial"/>
          <w:sz w:val="12"/>
          <w:szCs w:val="12"/>
          <w:color w:val="FFFFFF"/>
        </w:rPr>
        <w:t>Transactions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Proposal 2</w:t>
      </w:r>
    </w:p>
    <w:p>
      <w:pPr>
        <w:spacing w:after="0" w:line="156"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Report of the</w:t>
      </w:r>
    </w:p>
    <w:p>
      <w:pPr>
        <w:ind w:left="1120"/>
        <w:spacing w:after="0" w:line="224" w:lineRule="auto"/>
        <w:rPr>
          <w:sz w:val="20"/>
          <w:szCs w:val="20"/>
          <w:color w:val="auto"/>
        </w:rPr>
      </w:pPr>
      <w:r>
        <w:rPr>
          <w:rFonts w:ascii="Arial" w:cs="Arial" w:eastAsia="Arial" w:hAnsi="Arial"/>
          <w:sz w:val="12"/>
          <w:szCs w:val="12"/>
          <w:color w:val="FFFFFF"/>
        </w:rPr>
        <w:t>Audit and Risk</w:t>
      </w:r>
    </w:p>
    <w:p>
      <w:pPr>
        <w:ind w:left="1120"/>
        <w:spacing w:after="0" w:line="222" w:lineRule="auto"/>
        <w:rPr>
          <w:sz w:val="20"/>
          <w:szCs w:val="20"/>
          <w:color w:val="auto"/>
        </w:rPr>
      </w:pPr>
      <w:r>
        <w:rPr>
          <w:rFonts w:ascii="Arial" w:cs="Arial" w:eastAsia="Arial" w:hAnsi="Arial"/>
          <w:sz w:val="12"/>
          <w:szCs w:val="12"/>
          <w:color w:val="FFFFFF"/>
        </w:rPr>
        <w:t>Committee of the</w:t>
      </w:r>
    </w:p>
    <w:p>
      <w:pPr>
        <w:ind w:left="1120"/>
        <w:spacing w:after="0"/>
        <w:rPr>
          <w:sz w:val="20"/>
          <w:szCs w:val="20"/>
          <w:color w:val="auto"/>
        </w:rPr>
      </w:pPr>
      <w:r>
        <w:rPr>
          <w:rFonts w:ascii="Arial" w:cs="Arial" w:eastAsia="Arial" w:hAnsi="Arial"/>
          <w:sz w:val="12"/>
          <w:szCs w:val="12"/>
          <w:color w:val="FFFFFF"/>
        </w:rPr>
        <w:t>Board of Directors</w:t>
      </w:r>
    </w:p>
    <w:p>
      <w:pPr>
        <w:spacing w:after="0" w:line="144" w:lineRule="exact"/>
        <w:rPr>
          <w:sz w:val="20"/>
          <w:szCs w:val="20"/>
          <w:color w:val="auto"/>
        </w:rPr>
      </w:pPr>
    </w:p>
    <w:p>
      <w:pPr>
        <w:jc w:val="center"/>
        <w:ind w:left="620"/>
        <w:spacing w:after="0"/>
        <w:rPr>
          <w:sz w:val="20"/>
          <w:szCs w:val="20"/>
          <w:color w:val="auto"/>
        </w:rPr>
      </w:pPr>
      <w:r>
        <w:rPr>
          <w:rFonts w:ascii="Arial" w:cs="Arial" w:eastAsia="Arial" w:hAnsi="Arial"/>
          <w:sz w:val="12"/>
          <w:szCs w:val="12"/>
          <w:color w:val="FFFFFF"/>
        </w:rPr>
        <w:t>Proposal 3</w:t>
      </w:r>
    </w:p>
    <w:p>
      <w:pPr>
        <w:spacing w:after="0" w:line="156" w:lineRule="exact"/>
        <w:rPr>
          <w:sz w:val="20"/>
          <w:szCs w:val="20"/>
          <w:color w:val="auto"/>
        </w:rPr>
      </w:pPr>
    </w:p>
    <w:p>
      <w:pPr>
        <w:jc w:val="center"/>
        <w:ind w:left="620"/>
        <w:spacing w:after="0"/>
        <w:rPr>
          <w:sz w:val="20"/>
          <w:szCs w:val="20"/>
          <w:color w:val="auto"/>
        </w:rPr>
      </w:pPr>
      <w:r>
        <w:rPr>
          <w:rFonts w:ascii="Arial" w:cs="Arial" w:eastAsia="Arial" w:hAnsi="Arial"/>
          <w:sz w:val="12"/>
          <w:szCs w:val="12"/>
          <w:color w:val="FFFFFF"/>
        </w:rPr>
        <w:t>Proposal 4</w:t>
      </w:r>
    </w:p>
    <w:p>
      <w:pPr>
        <w:spacing w:after="0" w:line="156" w:lineRule="exact"/>
        <w:rPr>
          <w:sz w:val="20"/>
          <w:szCs w:val="20"/>
          <w:color w:val="auto"/>
        </w:rPr>
      </w:pPr>
    </w:p>
    <w:p>
      <w:pPr>
        <w:jc w:val="center"/>
        <w:ind w:left="620"/>
        <w:spacing w:after="0"/>
        <w:rPr>
          <w:sz w:val="20"/>
          <w:szCs w:val="20"/>
          <w:color w:val="auto"/>
        </w:rPr>
      </w:pPr>
      <w:r>
        <w:rPr>
          <w:rFonts w:ascii="Arial" w:cs="Arial" w:eastAsia="Arial" w:hAnsi="Arial"/>
          <w:sz w:val="12"/>
          <w:szCs w:val="12"/>
          <w:color w:val="FFFFFF"/>
        </w:rPr>
        <w:t>Proposal 5</w:t>
      </w:r>
    </w:p>
    <w:p>
      <w:pPr>
        <w:spacing w:after="0" w:line="156"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Proposal 6</w:t>
      </w:r>
    </w:p>
    <w:p>
      <w:pPr>
        <w:spacing w:after="0" w:line="156"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Stockholder</w:t>
      </w:r>
    </w:p>
    <w:p>
      <w:pPr>
        <w:ind w:left="1120"/>
        <w:spacing w:after="0" w:line="224" w:lineRule="auto"/>
        <w:rPr>
          <w:sz w:val="20"/>
          <w:szCs w:val="20"/>
          <w:color w:val="auto"/>
        </w:rPr>
      </w:pPr>
      <w:r>
        <w:rPr>
          <w:rFonts w:ascii="Arial" w:cs="Arial" w:eastAsia="Arial" w:hAnsi="Arial"/>
          <w:sz w:val="12"/>
          <w:szCs w:val="12"/>
          <w:color w:val="FFFFFF"/>
        </w:rPr>
        <w:t>Proposals and</w:t>
      </w:r>
    </w:p>
    <w:p>
      <w:pPr>
        <w:ind w:left="1120"/>
        <w:spacing w:after="0"/>
        <w:rPr>
          <w:sz w:val="20"/>
          <w:szCs w:val="20"/>
          <w:color w:val="auto"/>
        </w:rPr>
      </w:pPr>
      <w:r>
        <w:rPr>
          <w:rFonts w:ascii="Arial" w:cs="Arial" w:eastAsia="Arial" w:hAnsi="Arial"/>
          <w:sz w:val="12"/>
          <w:szCs w:val="12"/>
          <w:color w:val="FFFFFF"/>
        </w:rPr>
        <w:t>Other Matters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Delinquent</w:t>
      </w:r>
    </w:p>
    <w:p>
      <w:pPr>
        <w:ind w:left="1120"/>
        <w:spacing w:after="0" w:line="224" w:lineRule="auto"/>
        <w:rPr>
          <w:sz w:val="20"/>
          <w:szCs w:val="20"/>
          <w:color w:val="auto"/>
        </w:rPr>
      </w:pPr>
      <w:r>
        <w:rPr>
          <w:rFonts w:ascii="Arial" w:cs="Arial" w:eastAsia="Arial" w:hAnsi="Arial"/>
          <w:sz w:val="12"/>
          <w:szCs w:val="12"/>
          <w:color w:val="FFFFFF"/>
        </w:rPr>
        <w:t>Section 16(a)</w:t>
      </w:r>
    </w:p>
    <w:p>
      <w:pPr>
        <w:ind w:left="1120"/>
        <w:spacing w:after="0"/>
        <w:rPr>
          <w:sz w:val="20"/>
          <w:szCs w:val="20"/>
          <w:color w:val="auto"/>
        </w:rPr>
      </w:pPr>
      <w:r>
        <w:rPr>
          <w:rFonts w:ascii="Arial" w:cs="Arial" w:eastAsia="Arial" w:hAnsi="Arial"/>
          <w:sz w:val="12"/>
          <w:szCs w:val="12"/>
          <w:color w:val="FFFFFF"/>
        </w:rPr>
        <w:t>Reports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Other</w:t>
      </w:r>
    </w:p>
    <w:p>
      <w:pPr>
        <w:spacing w:after="0" w:line="2"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Information</w:t>
      </w:r>
    </w:p>
    <w:p>
      <w:pPr>
        <w:spacing w:after="0" w:line="144" w:lineRule="exact"/>
        <w:rPr>
          <w:sz w:val="20"/>
          <w:szCs w:val="20"/>
          <w:color w:val="auto"/>
        </w:rPr>
      </w:pPr>
    </w:p>
    <w:p>
      <w:pPr>
        <w:jc w:val="center"/>
        <w:ind w:left="660"/>
        <w:spacing w:after="0"/>
        <w:rPr>
          <w:sz w:val="20"/>
          <w:szCs w:val="20"/>
          <w:color w:val="auto"/>
        </w:rPr>
      </w:pPr>
      <w:r>
        <w:rPr>
          <w:rFonts w:ascii="Arial" w:cs="Arial" w:eastAsia="Arial" w:hAnsi="Arial"/>
          <w:sz w:val="12"/>
          <w:szCs w:val="12"/>
          <w:color w:val="FFFFFF"/>
        </w:rPr>
        <w:t>Appendix A</w:t>
      </w:r>
    </w:p>
    <w:p>
      <w:pPr>
        <w:spacing w:after="0" w:line="156" w:lineRule="exact"/>
        <w:rPr>
          <w:sz w:val="20"/>
          <w:szCs w:val="20"/>
          <w:color w:val="auto"/>
        </w:rPr>
      </w:pPr>
    </w:p>
    <w:p>
      <w:pPr>
        <w:jc w:val="center"/>
        <w:ind w:left="660"/>
        <w:spacing w:after="0"/>
        <w:rPr>
          <w:sz w:val="20"/>
          <w:szCs w:val="20"/>
          <w:color w:val="auto"/>
        </w:rPr>
      </w:pPr>
      <w:r>
        <w:rPr>
          <w:rFonts w:ascii="Arial" w:cs="Arial" w:eastAsia="Arial" w:hAnsi="Arial"/>
          <w:sz w:val="12"/>
          <w:szCs w:val="12"/>
          <w:color w:val="FFFFFF"/>
        </w:rPr>
        <w:t>Appendix 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right="60"/>
        <w:spacing w:after="0" w:line="268" w:lineRule="auto"/>
        <w:rPr>
          <w:sz w:val="20"/>
          <w:szCs w:val="20"/>
          <w:color w:val="auto"/>
        </w:rPr>
      </w:pPr>
      <w:r>
        <w:rPr>
          <w:rFonts w:ascii="Arial" w:cs="Arial" w:eastAsia="Arial" w:hAnsi="Arial"/>
          <w:sz w:val="15"/>
          <w:szCs w:val="15"/>
          <w:color w:val="auto"/>
        </w:rPr>
        <w:t>The table and chart below show the target annual cash bonus award opportunity established for each of our NEOs at the beginning of 2025, as well as the actual cash bonuses awarded to each of our NEOs for 2025 (paid on March 6, 2026), in each case as determined by the Compensation Committee and, in the case of our CEO,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-1737995</wp:posOffset>
            </wp:positionH>
            <wp:positionV relativeFrom="paragraph">
              <wp:posOffset>-998855</wp:posOffset>
            </wp:positionV>
            <wp:extent cx="7181215" cy="5334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81215" cy="53340"/>
                    </a:xfrm>
                    <a:prstGeom prst="rect">
                      <a:avLst/>
                    </a:prstGeom>
                    <a:noFill/>
                  </pic:spPr>
                </pic:pic>
              </a:graphicData>
            </a:graphic>
          </wp:anchor>
        </w:drawing>
      </w:r>
    </w:p>
    <w:p>
      <w:pPr>
        <w:spacing w:after="0" w:line="163"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002B5F"/>
                <w:w w:val="96"/>
              </w:rPr>
              <w:t>Target Award</w:t>
            </w: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002B5F"/>
                <w:w w:val="97"/>
              </w:rPr>
              <w:t>Cash Bonus</w:t>
            </w:r>
          </w:p>
        </w:tc>
        <w:tc>
          <w:tcPr>
            <w:tcW w:w="1000" w:type="dxa"/>
            <w:vAlign w:val="bottom"/>
          </w:tcPr>
          <w:p>
            <w:pPr>
              <w:jc w:val="center"/>
              <w:ind w:left="27"/>
              <w:spacing w:after="0"/>
              <w:rPr>
                <w:sz w:val="20"/>
                <w:szCs w:val="20"/>
                <w:color w:val="auto"/>
              </w:rPr>
            </w:pPr>
            <w:r>
              <w:rPr>
                <w:rFonts w:ascii="Arial" w:cs="Arial" w:eastAsia="Arial" w:hAnsi="Arial"/>
                <w:sz w:val="14"/>
                <w:szCs w:val="14"/>
                <w:b w:val="1"/>
                <w:bCs w:val="1"/>
                <w:color w:val="002B5F"/>
                <w:w w:val="95"/>
              </w:rPr>
              <w:t>Cash Bonus</w:t>
            </w:r>
          </w:p>
        </w:tc>
      </w:tr>
      <w:tr>
        <w:trPr>
          <w:trHeight w:val="153"/>
        </w:trPr>
        <w:tc>
          <w:tcPr>
            <w:tcW w:w="25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00" w:type="dxa"/>
            <w:vAlign w:val="bottom"/>
          </w:tcPr>
          <w:p>
            <w:pPr>
              <w:jc w:val="center"/>
              <w:spacing w:after="0" w:line="153" w:lineRule="exact"/>
              <w:rPr>
                <w:sz w:val="20"/>
                <w:szCs w:val="20"/>
                <w:color w:val="auto"/>
              </w:rPr>
            </w:pPr>
            <w:r>
              <w:rPr>
                <w:rFonts w:ascii="Arial" w:cs="Arial" w:eastAsia="Arial" w:hAnsi="Arial"/>
                <w:sz w:val="14"/>
                <w:szCs w:val="14"/>
                <w:b w:val="1"/>
                <w:bCs w:val="1"/>
                <w:color w:val="002B5F"/>
                <w:w w:val="95"/>
              </w:rPr>
              <w:t>as a</w:t>
            </w: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00" w:type="dxa"/>
            <w:vAlign w:val="bottom"/>
          </w:tcPr>
          <w:p>
            <w:pPr>
              <w:jc w:val="center"/>
              <w:spacing w:after="0" w:line="153" w:lineRule="exact"/>
              <w:rPr>
                <w:sz w:val="20"/>
                <w:szCs w:val="20"/>
                <w:color w:val="auto"/>
              </w:rPr>
            </w:pPr>
            <w:r>
              <w:rPr>
                <w:rFonts w:ascii="Arial" w:cs="Arial" w:eastAsia="Arial" w:hAnsi="Arial"/>
                <w:sz w:val="14"/>
                <w:szCs w:val="14"/>
                <w:b w:val="1"/>
                <w:bCs w:val="1"/>
                <w:color w:val="002B5F"/>
                <w:w w:val="97"/>
              </w:rPr>
              <w:t>Awarded as a</w:t>
            </w:r>
          </w:p>
        </w:tc>
        <w:tc>
          <w:tcPr>
            <w:tcW w:w="1000" w:type="dxa"/>
            <w:vAlign w:val="bottom"/>
          </w:tcPr>
          <w:p>
            <w:pPr>
              <w:jc w:val="center"/>
              <w:ind w:left="27"/>
              <w:spacing w:after="0" w:line="153" w:lineRule="exact"/>
              <w:rPr>
                <w:sz w:val="20"/>
                <w:szCs w:val="20"/>
                <w:color w:val="auto"/>
              </w:rPr>
            </w:pPr>
            <w:r>
              <w:rPr>
                <w:rFonts w:ascii="Arial" w:cs="Arial" w:eastAsia="Arial" w:hAnsi="Arial"/>
                <w:sz w:val="14"/>
                <w:szCs w:val="14"/>
                <w:b w:val="1"/>
                <w:bCs w:val="1"/>
                <w:color w:val="002B5F"/>
                <w:w w:val="95"/>
              </w:rPr>
              <w:t>Awarded as a</w:t>
            </w:r>
          </w:p>
        </w:tc>
      </w:tr>
      <w:tr>
        <w:trPr>
          <w:trHeight w:val="150"/>
        </w:trPr>
        <w:tc>
          <w:tcPr>
            <w:tcW w:w="25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0" w:type="dxa"/>
            <w:vAlign w:val="bottom"/>
          </w:tcPr>
          <w:p>
            <w:pPr>
              <w:jc w:val="right"/>
              <w:ind w:right="266"/>
              <w:spacing w:after="0" w:line="149" w:lineRule="exact"/>
              <w:rPr>
                <w:sz w:val="20"/>
                <w:szCs w:val="20"/>
                <w:color w:val="auto"/>
              </w:rPr>
            </w:pPr>
            <w:r>
              <w:rPr>
                <w:rFonts w:ascii="Arial" w:cs="Arial" w:eastAsia="Arial" w:hAnsi="Arial"/>
                <w:sz w:val="14"/>
                <w:szCs w:val="14"/>
                <w:b w:val="1"/>
                <w:bCs w:val="1"/>
                <w:color w:val="002B5F"/>
              </w:rPr>
              <w:t>Target</w:t>
            </w: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002B5F"/>
                <w:w w:val="97"/>
              </w:rPr>
              <w:t>Percentage of</w:t>
            </w:r>
          </w:p>
        </w:tc>
        <w:tc>
          <w:tcPr>
            <w:tcW w:w="1040" w:type="dxa"/>
            <w:vAlign w:val="bottom"/>
            <w:gridSpan w:val="2"/>
          </w:tcPr>
          <w:p>
            <w:pPr>
              <w:jc w:val="right"/>
              <w:ind w:right="63"/>
              <w:spacing w:after="0" w:line="149" w:lineRule="exact"/>
              <w:rPr>
                <w:sz w:val="20"/>
                <w:szCs w:val="20"/>
                <w:color w:val="auto"/>
              </w:rPr>
            </w:pPr>
            <w:r>
              <w:rPr>
                <w:rFonts w:ascii="Arial" w:cs="Arial" w:eastAsia="Arial" w:hAnsi="Arial"/>
                <w:sz w:val="14"/>
                <w:szCs w:val="14"/>
                <w:b w:val="1"/>
                <w:bCs w:val="1"/>
                <w:color w:val="002B5F"/>
              </w:rPr>
              <w:t>Cash Bonus</w:t>
            </w: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002B5F"/>
                <w:w w:val="97"/>
              </w:rPr>
              <w:t>Percentage of</w:t>
            </w:r>
          </w:p>
        </w:tc>
        <w:tc>
          <w:tcPr>
            <w:tcW w:w="1000" w:type="dxa"/>
            <w:vAlign w:val="bottom"/>
          </w:tcPr>
          <w:p>
            <w:pPr>
              <w:jc w:val="center"/>
              <w:ind w:left="27"/>
              <w:spacing w:after="0" w:line="149" w:lineRule="exact"/>
              <w:rPr>
                <w:sz w:val="20"/>
                <w:szCs w:val="20"/>
                <w:color w:val="auto"/>
              </w:rPr>
            </w:pPr>
            <w:r>
              <w:rPr>
                <w:rFonts w:ascii="Arial" w:cs="Arial" w:eastAsia="Arial" w:hAnsi="Arial"/>
                <w:sz w:val="14"/>
                <w:szCs w:val="14"/>
                <w:b w:val="1"/>
                <w:bCs w:val="1"/>
                <w:color w:val="002B5F"/>
                <w:w w:val="97"/>
              </w:rPr>
              <w:t>Percentage of</w:t>
            </w:r>
          </w:p>
        </w:tc>
      </w:tr>
      <w:tr>
        <w:trPr>
          <w:trHeight w:val="197"/>
        </w:trPr>
        <w:tc>
          <w:tcPr>
            <w:tcW w:w="2560" w:type="dxa"/>
            <w:vAlign w:val="bottom"/>
            <w:tcBorders>
              <w:bottom w:val="single" w:sz="8" w:color="002B5F"/>
            </w:tcBorders>
          </w:tcPr>
          <w:p>
            <w:pPr>
              <w:ind w:left="60"/>
              <w:spacing w:after="0"/>
              <w:rPr>
                <w:sz w:val="20"/>
                <w:szCs w:val="20"/>
                <w:color w:val="auto"/>
              </w:rPr>
            </w:pPr>
            <w:r>
              <w:rPr>
                <w:rFonts w:ascii="Arial" w:cs="Arial" w:eastAsia="Arial" w:hAnsi="Arial"/>
                <w:sz w:val="14"/>
                <w:szCs w:val="14"/>
                <w:b w:val="1"/>
                <w:bCs w:val="1"/>
                <w:color w:val="002B5F"/>
              </w:rPr>
              <w:t>Named Executive Officer</w:t>
            </w:r>
          </w:p>
        </w:tc>
        <w:tc>
          <w:tcPr>
            <w:tcW w:w="360" w:type="dxa"/>
            <w:vAlign w:val="bottom"/>
            <w:tcBorders>
              <w:bottom w:val="single" w:sz="8" w:color="002B5F"/>
            </w:tcBorders>
          </w:tcPr>
          <w:p>
            <w:pPr>
              <w:spacing w:after="0"/>
              <w:rPr>
                <w:sz w:val="17"/>
                <w:szCs w:val="17"/>
                <w:color w:val="auto"/>
              </w:rPr>
            </w:pPr>
          </w:p>
        </w:tc>
        <w:tc>
          <w:tcPr>
            <w:tcW w:w="800" w:type="dxa"/>
            <w:vAlign w:val="bottom"/>
            <w:tcBorders>
              <w:bottom w:val="single" w:sz="8" w:color="002B5F"/>
            </w:tcBorders>
          </w:tcPr>
          <w:p>
            <w:pPr>
              <w:jc w:val="right"/>
              <w:ind w:right="246"/>
              <w:spacing w:after="0"/>
              <w:rPr>
                <w:sz w:val="20"/>
                <w:szCs w:val="20"/>
                <w:color w:val="auto"/>
              </w:rPr>
            </w:pPr>
            <w:r>
              <w:rPr>
                <w:rFonts w:ascii="Arial" w:cs="Arial" w:eastAsia="Arial" w:hAnsi="Arial"/>
                <w:sz w:val="14"/>
                <w:szCs w:val="14"/>
                <w:b w:val="1"/>
                <w:bCs w:val="1"/>
                <w:color w:val="002B5F"/>
              </w:rPr>
              <w:t>Award</w:t>
            </w:r>
          </w:p>
        </w:tc>
        <w:tc>
          <w:tcPr>
            <w:tcW w:w="1100" w:type="dxa"/>
            <w:vAlign w:val="bottom"/>
            <w:tcBorders>
              <w:bottom w:val="single" w:sz="8" w:color="002B5F"/>
            </w:tcBorders>
          </w:tcPr>
          <w:p>
            <w:pPr>
              <w:jc w:val="center"/>
              <w:spacing w:after="0" w:line="192" w:lineRule="exact"/>
              <w:rPr>
                <w:sz w:val="20"/>
                <w:szCs w:val="20"/>
                <w:color w:val="auto"/>
              </w:rPr>
            </w:pPr>
            <w:r>
              <w:rPr>
                <w:rFonts w:ascii="Arial" w:cs="Arial" w:eastAsia="Arial" w:hAnsi="Arial"/>
                <w:sz w:val="14"/>
                <w:szCs w:val="14"/>
                <w:b w:val="1"/>
                <w:bCs w:val="1"/>
                <w:color w:val="002B5F"/>
                <w:w w:val="94"/>
              </w:rPr>
              <w:t>Base Salary</w:t>
            </w:r>
            <w:r>
              <w:rPr>
                <w:rFonts w:ascii="Arial" w:cs="Arial" w:eastAsia="Arial" w:hAnsi="Arial"/>
                <w:sz w:val="20"/>
                <w:szCs w:val="20"/>
                <w:b w:val="1"/>
                <w:bCs w:val="1"/>
                <w:color w:val="002B5F"/>
                <w:w w:val="94"/>
                <w:vertAlign w:val="superscript"/>
              </w:rPr>
              <w:t>(1)</w:t>
            </w:r>
          </w:p>
        </w:tc>
        <w:tc>
          <w:tcPr>
            <w:tcW w:w="1040" w:type="dxa"/>
            <w:vAlign w:val="bottom"/>
            <w:tcBorders>
              <w:bottom w:val="single" w:sz="8" w:color="002B5F"/>
            </w:tcBorders>
            <w:gridSpan w:val="2"/>
          </w:tcPr>
          <w:p>
            <w:pPr>
              <w:jc w:val="right"/>
              <w:ind w:right="163"/>
              <w:spacing w:after="0"/>
              <w:rPr>
                <w:sz w:val="20"/>
                <w:szCs w:val="20"/>
                <w:color w:val="auto"/>
              </w:rPr>
            </w:pPr>
            <w:r>
              <w:rPr>
                <w:rFonts w:ascii="Arial" w:cs="Arial" w:eastAsia="Arial" w:hAnsi="Arial"/>
                <w:sz w:val="14"/>
                <w:szCs w:val="14"/>
                <w:b w:val="1"/>
                <w:bCs w:val="1"/>
                <w:color w:val="002B5F"/>
              </w:rPr>
              <w:t>Awarded</w:t>
            </w:r>
          </w:p>
        </w:tc>
        <w:tc>
          <w:tcPr>
            <w:tcW w:w="1100" w:type="dxa"/>
            <w:vAlign w:val="bottom"/>
            <w:tcBorders>
              <w:bottom w:val="single" w:sz="8" w:color="002B5F"/>
            </w:tcBorders>
          </w:tcPr>
          <w:p>
            <w:pPr>
              <w:jc w:val="center"/>
              <w:spacing w:after="0"/>
              <w:rPr>
                <w:sz w:val="20"/>
                <w:szCs w:val="20"/>
                <w:color w:val="auto"/>
              </w:rPr>
            </w:pPr>
            <w:r>
              <w:rPr>
                <w:rFonts w:ascii="Arial" w:cs="Arial" w:eastAsia="Arial" w:hAnsi="Arial"/>
                <w:sz w:val="14"/>
                <w:szCs w:val="14"/>
                <w:b w:val="1"/>
                <w:bCs w:val="1"/>
                <w:color w:val="002B5F"/>
                <w:w w:val="98"/>
              </w:rPr>
              <w:t>Base Salary</w:t>
            </w:r>
          </w:p>
        </w:tc>
        <w:tc>
          <w:tcPr>
            <w:tcW w:w="1000" w:type="dxa"/>
            <w:vAlign w:val="bottom"/>
            <w:tcBorders>
              <w:bottom w:val="single" w:sz="8" w:color="002B5F"/>
            </w:tcBorders>
          </w:tcPr>
          <w:p>
            <w:pPr>
              <w:jc w:val="center"/>
              <w:ind w:left="27"/>
              <w:spacing w:after="0"/>
              <w:rPr>
                <w:sz w:val="20"/>
                <w:szCs w:val="20"/>
                <w:color w:val="auto"/>
              </w:rPr>
            </w:pPr>
            <w:r>
              <w:rPr>
                <w:rFonts w:ascii="Arial" w:cs="Arial" w:eastAsia="Arial" w:hAnsi="Arial"/>
                <w:sz w:val="14"/>
                <w:szCs w:val="14"/>
                <w:b w:val="1"/>
                <w:bCs w:val="1"/>
                <w:color w:val="002B5F"/>
                <w:w w:val="96"/>
              </w:rPr>
              <w:t>Target Award</w:t>
            </w:r>
          </w:p>
        </w:tc>
      </w:tr>
      <w:tr>
        <w:trPr>
          <w:trHeight w:val="274"/>
        </w:trPr>
        <w:tc>
          <w:tcPr>
            <w:tcW w:w="2560" w:type="dxa"/>
            <w:vAlign w:val="bottom"/>
            <w:tcBorders>
              <w:bottom w:val="single" w:sz="8" w:color="F7F1EC"/>
            </w:tcBorders>
            <w:shd w:val="clear" w:color="auto" w:fill="F7F1EC"/>
          </w:tcPr>
          <w:p>
            <w:pPr>
              <w:ind w:left="60"/>
              <w:spacing w:after="0"/>
              <w:rPr>
                <w:sz w:val="20"/>
                <w:szCs w:val="20"/>
                <w:color w:val="auto"/>
              </w:rPr>
            </w:pPr>
            <w:r>
              <w:rPr>
                <w:rFonts w:ascii="Arial" w:cs="Arial" w:eastAsia="Arial" w:hAnsi="Arial"/>
                <w:sz w:val="15"/>
                <w:szCs w:val="15"/>
                <w:color w:val="auto"/>
              </w:rPr>
              <w:t>Richard Steinmeier</w:t>
            </w:r>
          </w:p>
        </w:tc>
        <w:tc>
          <w:tcPr>
            <w:tcW w:w="360" w:type="dxa"/>
            <w:vAlign w:val="bottom"/>
            <w:tcBorders>
              <w:bottom w:val="single" w:sz="8" w:color="F7F1EC"/>
            </w:tcBorders>
            <w:shd w:val="clear" w:color="auto" w:fill="F7F1EC"/>
          </w:tcPr>
          <w:p>
            <w:pPr>
              <w:jc w:val="right"/>
              <w:spacing w:after="0"/>
              <w:rPr>
                <w:sz w:val="20"/>
                <w:szCs w:val="20"/>
                <w:color w:val="auto"/>
              </w:rPr>
            </w:pPr>
            <w:r>
              <w:rPr>
                <w:rFonts w:ascii="Arial" w:cs="Arial" w:eastAsia="Arial" w:hAnsi="Arial"/>
                <w:sz w:val="15"/>
                <w:szCs w:val="15"/>
                <w:color w:val="auto"/>
              </w:rPr>
              <w:t>$</w:t>
            </w:r>
          </w:p>
        </w:tc>
        <w:tc>
          <w:tcPr>
            <w:tcW w:w="800" w:type="dxa"/>
            <w:vAlign w:val="bottom"/>
            <w:tcBorders>
              <w:bottom w:val="single" w:sz="8" w:color="F7F1EC"/>
            </w:tcBorders>
            <w:shd w:val="clear" w:color="auto" w:fill="F7F1EC"/>
          </w:tcPr>
          <w:p>
            <w:pPr>
              <w:jc w:val="right"/>
              <w:ind w:right="46"/>
              <w:spacing w:after="0"/>
              <w:rPr>
                <w:sz w:val="20"/>
                <w:szCs w:val="20"/>
                <w:color w:val="auto"/>
              </w:rPr>
            </w:pPr>
            <w:r>
              <w:rPr>
                <w:rFonts w:ascii="Arial" w:cs="Arial" w:eastAsia="Arial" w:hAnsi="Arial"/>
                <w:sz w:val="15"/>
                <w:szCs w:val="15"/>
                <w:color w:val="auto"/>
                <w:w w:val="98"/>
              </w:rPr>
              <w:t>2,700,000</w:t>
            </w:r>
          </w:p>
        </w:tc>
        <w:tc>
          <w:tcPr>
            <w:tcW w:w="1100" w:type="dxa"/>
            <w:vAlign w:val="bottom"/>
            <w:tcBorders>
              <w:bottom w:val="single" w:sz="8" w:color="F7F1EC"/>
            </w:tcBorders>
            <w:shd w:val="clear" w:color="auto" w:fill="F7F1EC"/>
          </w:tcPr>
          <w:p>
            <w:pPr>
              <w:jc w:val="right"/>
              <w:ind w:right="67"/>
              <w:spacing w:after="0"/>
              <w:rPr>
                <w:sz w:val="20"/>
                <w:szCs w:val="20"/>
                <w:color w:val="auto"/>
              </w:rPr>
            </w:pPr>
            <w:r>
              <w:rPr>
                <w:rFonts w:ascii="Arial" w:cs="Arial" w:eastAsia="Arial" w:hAnsi="Arial"/>
                <w:sz w:val="15"/>
                <w:szCs w:val="15"/>
                <w:color w:val="auto"/>
              </w:rPr>
              <w:t>300%</w:t>
            </w:r>
          </w:p>
        </w:tc>
        <w:tc>
          <w:tcPr>
            <w:tcW w:w="240" w:type="dxa"/>
            <w:vAlign w:val="bottom"/>
            <w:tcBorders>
              <w:bottom w:val="single" w:sz="8" w:color="F7F1EC"/>
            </w:tcBorders>
            <w:shd w:val="clear" w:color="auto" w:fill="F7F1EC"/>
          </w:tcPr>
          <w:p>
            <w:pPr>
              <w:jc w:val="right"/>
              <w:spacing w:after="0"/>
              <w:rPr>
                <w:sz w:val="20"/>
                <w:szCs w:val="20"/>
                <w:color w:val="auto"/>
              </w:rPr>
            </w:pPr>
            <w:r>
              <w:rPr>
                <w:rFonts w:ascii="Arial" w:cs="Arial" w:eastAsia="Arial" w:hAnsi="Arial"/>
                <w:sz w:val="15"/>
                <w:szCs w:val="15"/>
                <w:color w:val="auto"/>
              </w:rPr>
              <w:t>$</w:t>
            </w:r>
          </w:p>
        </w:tc>
        <w:tc>
          <w:tcPr>
            <w:tcW w:w="800" w:type="dxa"/>
            <w:vAlign w:val="bottom"/>
            <w:tcBorders>
              <w:bottom w:val="single" w:sz="8" w:color="F7F1EC"/>
            </w:tcBorders>
            <w:shd w:val="clear" w:color="auto" w:fill="F7F1EC"/>
          </w:tcPr>
          <w:p>
            <w:pPr>
              <w:jc w:val="right"/>
              <w:ind w:right="43"/>
              <w:spacing w:after="0"/>
              <w:rPr>
                <w:sz w:val="20"/>
                <w:szCs w:val="20"/>
                <w:color w:val="auto"/>
              </w:rPr>
            </w:pPr>
            <w:r>
              <w:rPr>
                <w:rFonts w:ascii="Arial" w:cs="Arial" w:eastAsia="Arial" w:hAnsi="Arial"/>
                <w:sz w:val="15"/>
                <w:szCs w:val="15"/>
                <w:color w:val="auto"/>
                <w:w w:val="98"/>
              </w:rPr>
              <w:t>3,591,000</w:t>
            </w:r>
          </w:p>
        </w:tc>
        <w:tc>
          <w:tcPr>
            <w:tcW w:w="1100" w:type="dxa"/>
            <w:vAlign w:val="bottom"/>
            <w:tcBorders>
              <w:bottom w:val="single" w:sz="8" w:color="F7F1EC"/>
            </w:tcBorders>
            <w:shd w:val="clear" w:color="auto" w:fill="F7F1EC"/>
          </w:tcPr>
          <w:p>
            <w:pPr>
              <w:jc w:val="right"/>
              <w:ind w:right="67"/>
              <w:spacing w:after="0"/>
              <w:rPr>
                <w:sz w:val="20"/>
                <w:szCs w:val="20"/>
                <w:color w:val="auto"/>
              </w:rPr>
            </w:pPr>
            <w:r>
              <w:rPr>
                <w:rFonts w:ascii="Arial" w:cs="Arial" w:eastAsia="Arial" w:hAnsi="Arial"/>
                <w:sz w:val="15"/>
                <w:szCs w:val="15"/>
                <w:color w:val="auto"/>
              </w:rPr>
              <w:t>399%</w:t>
            </w:r>
          </w:p>
        </w:tc>
        <w:tc>
          <w:tcPr>
            <w:tcW w:w="1000" w:type="dxa"/>
            <w:vAlign w:val="bottom"/>
            <w:tcBorders>
              <w:bottom w:val="single" w:sz="8" w:color="F7F1EC"/>
            </w:tcBorders>
            <w:shd w:val="clear" w:color="auto" w:fill="F7F1EC"/>
          </w:tcPr>
          <w:p>
            <w:pPr>
              <w:jc w:val="right"/>
              <w:ind w:right="27"/>
              <w:spacing w:after="0"/>
              <w:rPr>
                <w:sz w:val="20"/>
                <w:szCs w:val="20"/>
                <w:color w:val="auto"/>
              </w:rPr>
            </w:pPr>
            <w:r>
              <w:rPr>
                <w:rFonts w:ascii="Arial" w:cs="Arial" w:eastAsia="Arial" w:hAnsi="Arial"/>
                <w:sz w:val="15"/>
                <w:szCs w:val="15"/>
                <w:color w:val="auto"/>
              </w:rPr>
              <w:t>133%</w:t>
            </w:r>
          </w:p>
        </w:tc>
      </w:tr>
      <w:tr>
        <w:trPr>
          <w:trHeight w:val="265"/>
        </w:trPr>
        <w:tc>
          <w:tcPr>
            <w:tcW w:w="2560" w:type="dxa"/>
            <w:vAlign w:val="bottom"/>
          </w:tcPr>
          <w:p>
            <w:pPr>
              <w:ind w:left="60"/>
              <w:spacing w:after="0"/>
              <w:rPr>
                <w:sz w:val="20"/>
                <w:szCs w:val="20"/>
                <w:color w:val="auto"/>
              </w:rPr>
            </w:pPr>
            <w:r>
              <w:rPr>
                <w:rFonts w:ascii="Arial" w:cs="Arial" w:eastAsia="Arial" w:hAnsi="Arial"/>
                <w:sz w:val="15"/>
                <w:szCs w:val="15"/>
                <w:color w:val="auto"/>
              </w:rPr>
              <w:t>Matthew J. Audette</w:t>
            </w:r>
          </w:p>
        </w:tc>
        <w:tc>
          <w:tcPr>
            <w:tcW w:w="360" w:type="dxa"/>
            <w:vAlign w:val="bottom"/>
          </w:tcPr>
          <w:p>
            <w:pPr>
              <w:jc w:val="right"/>
              <w:spacing w:after="0"/>
              <w:rPr>
                <w:sz w:val="20"/>
                <w:szCs w:val="20"/>
                <w:color w:val="auto"/>
              </w:rPr>
            </w:pPr>
            <w:r>
              <w:rPr>
                <w:rFonts w:ascii="Arial" w:cs="Arial" w:eastAsia="Arial" w:hAnsi="Arial"/>
                <w:sz w:val="15"/>
                <w:szCs w:val="15"/>
                <w:color w:val="auto"/>
              </w:rPr>
              <w:t>$</w:t>
            </w:r>
          </w:p>
        </w:tc>
        <w:tc>
          <w:tcPr>
            <w:tcW w:w="800" w:type="dxa"/>
            <w:vAlign w:val="bottom"/>
          </w:tcPr>
          <w:p>
            <w:pPr>
              <w:jc w:val="right"/>
              <w:ind w:right="46"/>
              <w:spacing w:after="0"/>
              <w:rPr>
                <w:sz w:val="20"/>
                <w:szCs w:val="20"/>
                <w:color w:val="auto"/>
              </w:rPr>
            </w:pPr>
            <w:r>
              <w:rPr>
                <w:rFonts w:ascii="Arial" w:cs="Arial" w:eastAsia="Arial" w:hAnsi="Arial"/>
                <w:sz w:val="15"/>
                <w:szCs w:val="15"/>
                <w:color w:val="auto"/>
                <w:w w:val="98"/>
              </w:rPr>
              <w:t>1,875,000</w:t>
            </w:r>
          </w:p>
        </w:tc>
        <w:tc>
          <w:tcPr>
            <w:tcW w:w="1100" w:type="dxa"/>
            <w:vAlign w:val="bottom"/>
          </w:tcPr>
          <w:p>
            <w:pPr>
              <w:jc w:val="right"/>
              <w:ind w:right="67"/>
              <w:spacing w:after="0"/>
              <w:rPr>
                <w:sz w:val="20"/>
                <w:szCs w:val="20"/>
                <w:color w:val="auto"/>
              </w:rPr>
            </w:pPr>
            <w:r>
              <w:rPr>
                <w:rFonts w:ascii="Arial" w:cs="Arial" w:eastAsia="Arial" w:hAnsi="Arial"/>
                <w:sz w:val="15"/>
                <w:szCs w:val="15"/>
                <w:color w:val="auto"/>
              </w:rPr>
              <w:t>250%</w:t>
            </w:r>
          </w:p>
        </w:tc>
        <w:tc>
          <w:tcPr>
            <w:tcW w:w="240" w:type="dxa"/>
            <w:vAlign w:val="bottom"/>
          </w:tcPr>
          <w:p>
            <w:pPr>
              <w:jc w:val="right"/>
              <w:spacing w:after="0"/>
              <w:rPr>
                <w:sz w:val="20"/>
                <w:szCs w:val="20"/>
                <w:color w:val="auto"/>
              </w:rPr>
            </w:pPr>
            <w:r>
              <w:rPr>
                <w:rFonts w:ascii="Arial" w:cs="Arial" w:eastAsia="Arial" w:hAnsi="Arial"/>
                <w:sz w:val="15"/>
                <w:szCs w:val="15"/>
                <w:color w:val="auto"/>
              </w:rPr>
              <w:t>$</w:t>
            </w:r>
          </w:p>
        </w:tc>
        <w:tc>
          <w:tcPr>
            <w:tcW w:w="800" w:type="dxa"/>
            <w:vAlign w:val="bottom"/>
          </w:tcPr>
          <w:p>
            <w:pPr>
              <w:jc w:val="right"/>
              <w:ind w:right="43"/>
              <w:spacing w:after="0"/>
              <w:rPr>
                <w:sz w:val="20"/>
                <w:szCs w:val="20"/>
                <w:color w:val="auto"/>
              </w:rPr>
            </w:pPr>
            <w:r>
              <w:rPr>
                <w:rFonts w:ascii="Arial" w:cs="Arial" w:eastAsia="Arial" w:hAnsi="Arial"/>
                <w:sz w:val="15"/>
                <w:szCs w:val="15"/>
                <w:color w:val="auto"/>
                <w:w w:val="98"/>
              </w:rPr>
              <w:t>2,500,000</w:t>
            </w:r>
          </w:p>
        </w:tc>
        <w:tc>
          <w:tcPr>
            <w:tcW w:w="1100" w:type="dxa"/>
            <w:vAlign w:val="bottom"/>
          </w:tcPr>
          <w:p>
            <w:pPr>
              <w:jc w:val="right"/>
              <w:ind w:right="67"/>
              <w:spacing w:after="0"/>
              <w:rPr>
                <w:sz w:val="20"/>
                <w:szCs w:val="20"/>
                <w:color w:val="auto"/>
              </w:rPr>
            </w:pPr>
            <w:r>
              <w:rPr>
                <w:rFonts w:ascii="Arial" w:cs="Arial" w:eastAsia="Arial" w:hAnsi="Arial"/>
                <w:sz w:val="15"/>
                <w:szCs w:val="15"/>
                <w:color w:val="auto"/>
              </w:rPr>
              <w:t>333%</w:t>
            </w:r>
          </w:p>
        </w:tc>
        <w:tc>
          <w:tcPr>
            <w:tcW w:w="1000" w:type="dxa"/>
            <w:vAlign w:val="bottom"/>
          </w:tcPr>
          <w:p>
            <w:pPr>
              <w:jc w:val="right"/>
              <w:ind w:right="27"/>
              <w:spacing w:after="0"/>
              <w:rPr>
                <w:sz w:val="20"/>
                <w:szCs w:val="20"/>
                <w:color w:val="auto"/>
              </w:rPr>
            </w:pPr>
            <w:r>
              <w:rPr>
                <w:rFonts w:ascii="Arial" w:cs="Arial" w:eastAsia="Arial" w:hAnsi="Arial"/>
                <w:sz w:val="15"/>
                <w:szCs w:val="15"/>
                <w:color w:val="auto"/>
              </w:rPr>
              <w:t>133%</w:t>
            </w:r>
          </w:p>
        </w:tc>
      </w:tr>
      <w:tr>
        <w:trPr>
          <w:trHeight w:val="41"/>
        </w:trPr>
        <w:tc>
          <w:tcPr>
            <w:tcW w:w="256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86"/>
        </w:trPr>
        <w:tc>
          <w:tcPr>
            <w:tcW w:w="2560" w:type="dxa"/>
            <w:vAlign w:val="bottom"/>
            <w:tcBorders>
              <w:bottom w:val="single" w:sz="8" w:color="F7F1EC"/>
            </w:tcBorders>
            <w:shd w:val="clear" w:color="auto" w:fill="F7F1EC"/>
          </w:tcPr>
          <w:p>
            <w:pPr>
              <w:ind w:left="60"/>
              <w:spacing w:after="0"/>
              <w:rPr>
                <w:sz w:val="20"/>
                <w:szCs w:val="20"/>
                <w:color w:val="auto"/>
              </w:rPr>
            </w:pPr>
            <w:r>
              <w:rPr>
                <w:rFonts w:ascii="Arial" w:cs="Arial" w:eastAsia="Arial" w:hAnsi="Arial"/>
                <w:sz w:val="15"/>
                <w:szCs w:val="15"/>
                <w:color w:val="auto"/>
              </w:rPr>
              <w:t>Matthew Enyedi</w:t>
            </w:r>
          </w:p>
        </w:tc>
        <w:tc>
          <w:tcPr>
            <w:tcW w:w="360" w:type="dxa"/>
            <w:vAlign w:val="bottom"/>
            <w:tcBorders>
              <w:bottom w:val="single" w:sz="8" w:color="F7F1EC"/>
            </w:tcBorders>
            <w:shd w:val="clear" w:color="auto" w:fill="F7F1EC"/>
          </w:tcPr>
          <w:p>
            <w:pPr>
              <w:jc w:val="right"/>
              <w:spacing w:after="0"/>
              <w:rPr>
                <w:sz w:val="20"/>
                <w:szCs w:val="20"/>
                <w:color w:val="auto"/>
              </w:rPr>
            </w:pPr>
            <w:r>
              <w:rPr>
                <w:rFonts w:ascii="Arial" w:cs="Arial" w:eastAsia="Arial" w:hAnsi="Arial"/>
                <w:sz w:val="15"/>
                <w:szCs w:val="15"/>
                <w:color w:val="auto"/>
              </w:rPr>
              <w:t>$</w:t>
            </w:r>
          </w:p>
        </w:tc>
        <w:tc>
          <w:tcPr>
            <w:tcW w:w="800" w:type="dxa"/>
            <w:vAlign w:val="bottom"/>
            <w:tcBorders>
              <w:bottom w:val="single" w:sz="8" w:color="F7F1EC"/>
            </w:tcBorders>
            <w:shd w:val="clear" w:color="auto" w:fill="F7F1EC"/>
          </w:tcPr>
          <w:p>
            <w:pPr>
              <w:jc w:val="right"/>
              <w:ind w:right="46"/>
              <w:spacing w:after="0"/>
              <w:rPr>
                <w:sz w:val="20"/>
                <w:szCs w:val="20"/>
                <w:color w:val="auto"/>
              </w:rPr>
            </w:pPr>
            <w:r>
              <w:rPr>
                <w:rFonts w:ascii="Arial" w:cs="Arial" w:eastAsia="Arial" w:hAnsi="Arial"/>
                <w:sz w:val="15"/>
                <w:szCs w:val="15"/>
                <w:color w:val="auto"/>
                <w:w w:val="98"/>
              </w:rPr>
              <w:t>1,020,000</w:t>
            </w:r>
          </w:p>
        </w:tc>
        <w:tc>
          <w:tcPr>
            <w:tcW w:w="1100" w:type="dxa"/>
            <w:vAlign w:val="bottom"/>
            <w:tcBorders>
              <w:bottom w:val="single" w:sz="8" w:color="F7F1EC"/>
            </w:tcBorders>
            <w:shd w:val="clear" w:color="auto" w:fill="F7F1EC"/>
          </w:tcPr>
          <w:p>
            <w:pPr>
              <w:jc w:val="right"/>
              <w:ind w:right="67"/>
              <w:spacing w:after="0"/>
              <w:rPr>
                <w:sz w:val="20"/>
                <w:szCs w:val="20"/>
                <w:color w:val="auto"/>
              </w:rPr>
            </w:pPr>
            <w:r>
              <w:rPr>
                <w:rFonts w:ascii="Arial" w:cs="Arial" w:eastAsia="Arial" w:hAnsi="Arial"/>
                <w:sz w:val="15"/>
                <w:szCs w:val="15"/>
                <w:color w:val="auto"/>
              </w:rPr>
              <w:t>170%</w:t>
            </w:r>
          </w:p>
        </w:tc>
        <w:tc>
          <w:tcPr>
            <w:tcW w:w="240" w:type="dxa"/>
            <w:vAlign w:val="bottom"/>
            <w:tcBorders>
              <w:bottom w:val="single" w:sz="8" w:color="F7F1EC"/>
            </w:tcBorders>
            <w:shd w:val="clear" w:color="auto" w:fill="F7F1EC"/>
          </w:tcPr>
          <w:p>
            <w:pPr>
              <w:jc w:val="right"/>
              <w:spacing w:after="0"/>
              <w:rPr>
                <w:sz w:val="20"/>
                <w:szCs w:val="20"/>
                <w:color w:val="auto"/>
              </w:rPr>
            </w:pPr>
            <w:r>
              <w:rPr>
                <w:rFonts w:ascii="Arial" w:cs="Arial" w:eastAsia="Arial" w:hAnsi="Arial"/>
                <w:sz w:val="15"/>
                <w:szCs w:val="15"/>
                <w:color w:val="auto"/>
              </w:rPr>
              <w:t>$</w:t>
            </w:r>
          </w:p>
        </w:tc>
        <w:tc>
          <w:tcPr>
            <w:tcW w:w="800" w:type="dxa"/>
            <w:vAlign w:val="bottom"/>
            <w:tcBorders>
              <w:bottom w:val="single" w:sz="8" w:color="F7F1EC"/>
            </w:tcBorders>
            <w:shd w:val="clear" w:color="auto" w:fill="F7F1EC"/>
          </w:tcPr>
          <w:p>
            <w:pPr>
              <w:jc w:val="right"/>
              <w:ind w:right="43"/>
              <w:spacing w:after="0"/>
              <w:rPr>
                <w:sz w:val="20"/>
                <w:szCs w:val="20"/>
                <w:color w:val="auto"/>
              </w:rPr>
            </w:pPr>
            <w:r>
              <w:rPr>
                <w:rFonts w:ascii="Arial" w:cs="Arial" w:eastAsia="Arial" w:hAnsi="Arial"/>
                <w:sz w:val="15"/>
                <w:szCs w:val="15"/>
                <w:color w:val="auto"/>
                <w:w w:val="98"/>
              </w:rPr>
              <w:t>1,275,000</w:t>
            </w:r>
          </w:p>
        </w:tc>
        <w:tc>
          <w:tcPr>
            <w:tcW w:w="1100" w:type="dxa"/>
            <w:vAlign w:val="bottom"/>
            <w:tcBorders>
              <w:bottom w:val="single" w:sz="8" w:color="F7F1EC"/>
            </w:tcBorders>
            <w:shd w:val="clear" w:color="auto" w:fill="F7F1EC"/>
          </w:tcPr>
          <w:p>
            <w:pPr>
              <w:jc w:val="right"/>
              <w:ind w:right="67"/>
              <w:spacing w:after="0"/>
              <w:rPr>
                <w:sz w:val="20"/>
                <w:szCs w:val="20"/>
                <w:color w:val="auto"/>
              </w:rPr>
            </w:pPr>
            <w:r>
              <w:rPr>
                <w:rFonts w:ascii="Arial" w:cs="Arial" w:eastAsia="Arial" w:hAnsi="Arial"/>
                <w:sz w:val="15"/>
                <w:szCs w:val="15"/>
                <w:color w:val="auto"/>
              </w:rPr>
              <w:t>213%</w:t>
            </w:r>
          </w:p>
        </w:tc>
        <w:tc>
          <w:tcPr>
            <w:tcW w:w="1000" w:type="dxa"/>
            <w:vAlign w:val="bottom"/>
            <w:tcBorders>
              <w:bottom w:val="single" w:sz="8" w:color="F7F1EC"/>
            </w:tcBorders>
            <w:shd w:val="clear" w:color="auto" w:fill="F7F1EC"/>
          </w:tcPr>
          <w:p>
            <w:pPr>
              <w:jc w:val="right"/>
              <w:ind w:right="27"/>
              <w:spacing w:after="0"/>
              <w:rPr>
                <w:sz w:val="20"/>
                <w:szCs w:val="20"/>
                <w:color w:val="auto"/>
              </w:rPr>
            </w:pPr>
            <w:r>
              <w:rPr>
                <w:rFonts w:ascii="Arial" w:cs="Arial" w:eastAsia="Arial" w:hAnsi="Arial"/>
                <w:sz w:val="15"/>
                <w:szCs w:val="15"/>
                <w:color w:val="auto"/>
              </w:rPr>
              <w:t>125%</w:t>
            </w:r>
          </w:p>
        </w:tc>
      </w:tr>
      <w:tr>
        <w:trPr>
          <w:trHeight w:val="265"/>
        </w:trPr>
        <w:tc>
          <w:tcPr>
            <w:tcW w:w="2560" w:type="dxa"/>
            <w:vAlign w:val="bottom"/>
          </w:tcPr>
          <w:p>
            <w:pPr>
              <w:ind w:left="60"/>
              <w:spacing w:after="0"/>
              <w:rPr>
                <w:sz w:val="20"/>
                <w:szCs w:val="20"/>
                <w:color w:val="auto"/>
              </w:rPr>
            </w:pPr>
            <w:r>
              <w:rPr>
                <w:rFonts w:ascii="Arial" w:cs="Arial" w:eastAsia="Arial" w:hAnsi="Arial"/>
                <w:sz w:val="15"/>
                <w:szCs w:val="15"/>
                <w:color w:val="auto"/>
              </w:rPr>
              <w:t>Greg Gates</w:t>
            </w:r>
          </w:p>
        </w:tc>
        <w:tc>
          <w:tcPr>
            <w:tcW w:w="360" w:type="dxa"/>
            <w:vAlign w:val="bottom"/>
          </w:tcPr>
          <w:p>
            <w:pPr>
              <w:jc w:val="right"/>
              <w:spacing w:after="0"/>
              <w:rPr>
                <w:sz w:val="20"/>
                <w:szCs w:val="20"/>
                <w:color w:val="auto"/>
              </w:rPr>
            </w:pPr>
            <w:r>
              <w:rPr>
                <w:rFonts w:ascii="Arial" w:cs="Arial" w:eastAsia="Arial" w:hAnsi="Arial"/>
                <w:sz w:val="15"/>
                <w:szCs w:val="15"/>
                <w:color w:val="auto"/>
              </w:rPr>
              <w:t>$</w:t>
            </w:r>
          </w:p>
        </w:tc>
        <w:tc>
          <w:tcPr>
            <w:tcW w:w="800" w:type="dxa"/>
            <w:vAlign w:val="bottom"/>
          </w:tcPr>
          <w:p>
            <w:pPr>
              <w:jc w:val="right"/>
              <w:ind w:right="46"/>
              <w:spacing w:after="0"/>
              <w:rPr>
                <w:sz w:val="20"/>
                <w:szCs w:val="20"/>
                <w:color w:val="auto"/>
              </w:rPr>
            </w:pPr>
            <w:r>
              <w:rPr>
                <w:rFonts w:ascii="Arial" w:cs="Arial" w:eastAsia="Arial" w:hAnsi="Arial"/>
                <w:sz w:val="15"/>
                <w:szCs w:val="15"/>
                <w:color w:val="auto"/>
                <w:w w:val="98"/>
              </w:rPr>
              <w:t>1,500,000</w:t>
            </w:r>
          </w:p>
        </w:tc>
        <w:tc>
          <w:tcPr>
            <w:tcW w:w="1100" w:type="dxa"/>
            <w:vAlign w:val="bottom"/>
          </w:tcPr>
          <w:p>
            <w:pPr>
              <w:jc w:val="right"/>
              <w:ind w:right="67"/>
              <w:spacing w:after="0"/>
              <w:rPr>
                <w:sz w:val="20"/>
                <w:szCs w:val="20"/>
                <w:color w:val="auto"/>
              </w:rPr>
            </w:pPr>
            <w:r>
              <w:rPr>
                <w:rFonts w:ascii="Arial" w:cs="Arial" w:eastAsia="Arial" w:hAnsi="Arial"/>
                <w:sz w:val="15"/>
                <w:szCs w:val="15"/>
                <w:color w:val="auto"/>
              </w:rPr>
              <w:t>250%</w:t>
            </w:r>
          </w:p>
        </w:tc>
        <w:tc>
          <w:tcPr>
            <w:tcW w:w="240" w:type="dxa"/>
            <w:vAlign w:val="bottom"/>
          </w:tcPr>
          <w:p>
            <w:pPr>
              <w:jc w:val="right"/>
              <w:spacing w:after="0"/>
              <w:rPr>
                <w:sz w:val="20"/>
                <w:szCs w:val="20"/>
                <w:color w:val="auto"/>
              </w:rPr>
            </w:pPr>
            <w:r>
              <w:rPr>
                <w:rFonts w:ascii="Arial" w:cs="Arial" w:eastAsia="Arial" w:hAnsi="Arial"/>
                <w:sz w:val="15"/>
                <w:szCs w:val="15"/>
                <w:color w:val="auto"/>
              </w:rPr>
              <w:t>$</w:t>
            </w:r>
          </w:p>
        </w:tc>
        <w:tc>
          <w:tcPr>
            <w:tcW w:w="800" w:type="dxa"/>
            <w:vAlign w:val="bottom"/>
          </w:tcPr>
          <w:p>
            <w:pPr>
              <w:jc w:val="right"/>
              <w:ind w:right="43"/>
              <w:spacing w:after="0"/>
              <w:rPr>
                <w:sz w:val="20"/>
                <w:szCs w:val="20"/>
                <w:color w:val="auto"/>
              </w:rPr>
            </w:pPr>
            <w:r>
              <w:rPr>
                <w:rFonts w:ascii="Arial" w:cs="Arial" w:eastAsia="Arial" w:hAnsi="Arial"/>
                <w:sz w:val="15"/>
                <w:szCs w:val="15"/>
                <w:color w:val="auto"/>
                <w:w w:val="98"/>
              </w:rPr>
              <w:t>1,700,000</w:t>
            </w:r>
          </w:p>
        </w:tc>
        <w:tc>
          <w:tcPr>
            <w:tcW w:w="1100" w:type="dxa"/>
            <w:vAlign w:val="bottom"/>
          </w:tcPr>
          <w:p>
            <w:pPr>
              <w:jc w:val="right"/>
              <w:ind w:right="67"/>
              <w:spacing w:after="0"/>
              <w:rPr>
                <w:sz w:val="20"/>
                <w:szCs w:val="20"/>
                <w:color w:val="auto"/>
              </w:rPr>
            </w:pPr>
            <w:r>
              <w:rPr>
                <w:rFonts w:ascii="Arial" w:cs="Arial" w:eastAsia="Arial" w:hAnsi="Arial"/>
                <w:sz w:val="15"/>
                <w:szCs w:val="15"/>
                <w:color w:val="auto"/>
              </w:rPr>
              <w:t>283%</w:t>
            </w:r>
          </w:p>
        </w:tc>
        <w:tc>
          <w:tcPr>
            <w:tcW w:w="1000" w:type="dxa"/>
            <w:vAlign w:val="bottom"/>
          </w:tcPr>
          <w:p>
            <w:pPr>
              <w:jc w:val="right"/>
              <w:ind w:right="27"/>
              <w:spacing w:after="0"/>
              <w:rPr>
                <w:sz w:val="20"/>
                <w:szCs w:val="20"/>
                <w:color w:val="auto"/>
              </w:rPr>
            </w:pPr>
            <w:r>
              <w:rPr>
                <w:rFonts w:ascii="Arial" w:cs="Arial" w:eastAsia="Arial" w:hAnsi="Arial"/>
                <w:sz w:val="15"/>
                <w:szCs w:val="15"/>
                <w:color w:val="auto"/>
              </w:rPr>
              <w:t>113%</w:t>
            </w:r>
          </w:p>
        </w:tc>
      </w:tr>
      <w:tr>
        <w:trPr>
          <w:trHeight w:val="41"/>
        </w:trPr>
        <w:tc>
          <w:tcPr>
            <w:tcW w:w="256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65"/>
        </w:trPr>
        <w:tc>
          <w:tcPr>
            <w:tcW w:w="2560" w:type="dxa"/>
            <w:vAlign w:val="bottom"/>
            <w:shd w:val="clear" w:color="auto" w:fill="F7F1EC"/>
          </w:tcPr>
          <w:p>
            <w:pPr>
              <w:ind w:left="60"/>
              <w:spacing w:after="0"/>
              <w:rPr>
                <w:sz w:val="20"/>
                <w:szCs w:val="20"/>
                <w:color w:val="auto"/>
              </w:rPr>
            </w:pPr>
            <w:r>
              <w:rPr>
                <w:rFonts w:ascii="Arial" w:cs="Arial" w:eastAsia="Arial" w:hAnsi="Arial"/>
                <w:sz w:val="15"/>
                <w:szCs w:val="15"/>
                <w:color w:val="auto"/>
              </w:rPr>
              <w:t>Aneri Jambusaria</w:t>
            </w:r>
          </w:p>
        </w:tc>
        <w:tc>
          <w:tcPr>
            <w:tcW w:w="360" w:type="dxa"/>
            <w:vAlign w:val="bottom"/>
            <w:shd w:val="clear" w:color="auto" w:fill="F7F1EC"/>
          </w:tcPr>
          <w:p>
            <w:pPr>
              <w:jc w:val="right"/>
              <w:spacing w:after="0"/>
              <w:rPr>
                <w:sz w:val="20"/>
                <w:szCs w:val="20"/>
                <w:color w:val="auto"/>
              </w:rPr>
            </w:pPr>
            <w:r>
              <w:rPr>
                <w:rFonts w:ascii="Arial" w:cs="Arial" w:eastAsia="Arial" w:hAnsi="Arial"/>
                <w:sz w:val="15"/>
                <w:szCs w:val="15"/>
                <w:color w:val="auto"/>
              </w:rPr>
              <w:t>$</w:t>
            </w:r>
          </w:p>
        </w:tc>
        <w:tc>
          <w:tcPr>
            <w:tcW w:w="800" w:type="dxa"/>
            <w:vAlign w:val="bottom"/>
            <w:shd w:val="clear" w:color="auto" w:fill="F7F1EC"/>
          </w:tcPr>
          <w:p>
            <w:pPr>
              <w:jc w:val="right"/>
              <w:ind w:right="46"/>
              <w:spacing w:after="0"/>
              <w:rPr>
                <w:sz w:val="20"/>
                <w:szCs w:val="20"/>
                <w:color w:val="auto"/>
              </w:rPr>
            </w:pPr>
            <w:r>
              <w:rPr>
                <w:rFonts w:ascii="Arial" w:cs="Arial" w:eastAsia="Arial" w:hAnsi="Arial"/>
                <w:sz w:val="15"/>
                <w:szCs w:val="15"/>
                <w:color w:val="auto"/>
              </w:rPr>
              <w:t>750,000</w:t>
            </w:r>
          </w:p>
        </w:tc>
        <w:tc>
          <w:tcPr>
            <w:tcW w:w="1100" w:type="dxa"/>
            <w:vAlign w:val="bottom"/>
            <w:shd w:val="clear" w:color="auto" w:fill="F7F1EC"/>
          </w:tcPr>
          <w:p>
            <w:pPr>
              <w:jc w:val="right"/>
              <w:ind w:right="67"/>
              <w:spacing w:after="0"/>
              <w:rPr>
                <w:sz w:val="20"/>
                <w:szCs w:val="20"/>
                <w:color w:val="auto"/>
              </w:rPr>
            </w:pPr>
            <w:r>
              <w:rPr>
                <w:rFonts w:ascii="Arial" w:cs="Arial" w:eastAsia="Arial" w:hAnsi="Arial"/>
                <w:sz w:val="15"/>
                <w:szCs w:val="15"/>
                <w:color w:val="auto"/>
              </w:rPr>
              <w:t>150%</w:t>
            </w:r>
          </w:p>
        </w:tc>
        <w:tc>
          <w:tcPr>
            <w:tcW w:w="240" w:type="dxa"/>
            <w:vAlign w:val="bottom"/>
            <w:shd w:val="clear" w:color="auto" w:fill="F7F1EC"/>
          </w:tcPr>
          <w:p>
            <w:pPr>
              <w:jc w:val="right"/>
              <w:spacing w:after="0"/>
              <w:rPr>
                <w:sz w:val="20"/>
                <w:szCs w:val="20"/>
                <w:color w:val="auto"/>
              </w:rPr>
            </w:pPr>
            <w:r>
              <w:rPr>
                <w:rFonts w:ascii="Arial" w:cs="Arial" w:eastAsia="Arial" w:hAnsi="Arial"/>
                <w:sz w:val="15"/>
                <w:szCs w:val="15"/>
                <w:color w:val="auto"/>
              </w:rPr>
              <w:t>$</w:t>
            </w:r>
          </w:p>
        </w:tc>
        <w:tc>
          <w:tcPr>
            <w:tcW w:w="800" w:type="dxa"/>
            <w:vAlign w:val="bottom"/>
            <w:shd w:val="clear" w:color="auto" w:fill="F7F1EC"/>
          </w:tcPr>
          <w:p>
            <w:pPr>
              <w:jc w:val="right"/>
              <w:ind w:right="43"/>
              <w:spacing w:after="0"/>
              <w:rPr>
                <w:sz w:val="20"/>
                <w:szCs w:val="20"/>
                <w:color w:val="auto"/>
              </w:rPr>
            </w:pPr>
            <w:r>
              <w:rPr>
                <w:rFonts w:ascii="Arial" w:cs="Arial" w:eastAsia="Arial" w:hAnsi="Arial"/>
                <w:sz w:val="15"/>
                <w:szCs w:val="15"/>
                <w:color w:val="auto"/>
              </w:rPr>
              <w:t>885,000</w:t>
            </w:r>
          </w:p>
        </w:tc>
        <w:tc>
          <w:tcPr>
            <w:tcW w:w="1100" w:type="dxa"/>
            <w:vAlign w:val="bottom"/>
            <w:shd w:val="clear" w:color="auto" w:fill="F7F1EC"/>
          </w:tcPr>
          <w:p>
            <w:pPr>
              <w:jc w:val="right"/>
              <w:ind w:right="67"/>
              <w:spacing w:after="0"/>
              <w:rPr>
                <w:sz w:val="20"/>
                <w:szCs w:val="20"/>
                <w:color w:val="auto"/>
              </w:rPr>
            </w:pPr>
            <w:r>
              <w:rPr>
                <w:rFonts w:ascii="Arial" w:cs="Arial" w:eastAsia="Arial" w:hAnsi="Arial"/>
                <w:sz w:val="15"/>
                <w:szCs w:val="15"/>
                <w:color w:val="auto"/>
              </w:rPr>
              <w:t>177%</w:t>
            </w:r>
          </w:p>
        </w:tc>
        <w:tc>
          <w:tcPr>
            <w:tcW w:w="1000" w:type="dxa"/>
            <w:vAlign w:val="bottom"/>
            <w:shd w:val="clear" w:color="auto" w:fill="F7F1EC"/>
          </w:tcPr>
          <w:p>
            <w:pPr>
              <w:jc w:val="right"/>
              <w:ind w:right="27"/>
              <w:spacing w:after="0"/>
              <w:rPr>
                <w:sz w:val="20"/>
                <w:szCs w:val="20"/>
                <w:color w:val="auto"/>
              </w:rPr>
            </w:pPr>
            <w:r>
              <w:rPr>
                <w:rFonts w:ascii="Arial" w:cs="Arial" w:eastAsia="Arial" w:hAnsi="Arial"/>
                <w:sz w:val="15"/>
                <w:szCs w:val="15"/>
                <w:color w:val="auto"/>
              </w:rPr>
              <w:t>118%</w:t>
            </w:r>
          </w:p>
        </w:tc>
      </w:tr>
      <w:tr>
        <w:trPr>
          <w:trHeight w:val="41"/>
        </w:trPr>
        <w:tc>
          <w:tcPr>
            <w:tcW w:w="2560" w:type="dxa"/>
            <w:vAlign w:val="bottom"/>
            <w:shd w:val="clear" w:color="auto" w:fill="F7F1EC"/>
          </w:tcPr>
          <w:p>
            <w:pPr>
              <w:spacing w:after="0"/>
              <w:rPr>
                <w:sz w:val="3"/>
                <w:szCs w:val="3"/>
                <w:color w:val="auto"/>
              </w:rPr>
            </w:pPr>
          </w:p>
        </w:tc>
        <w:tc>
          <w:tcPr>
            <w:tcW w:w="360" w:type="dxa"/>
            <w:vAlign w:val="bottom"/>
            <w:shd w:val="clear" w:color="auto" w:fill="F7F1EC"/>
          </w:tcPr>
          <w:p>
            <w:pPr>
              <w:spacing w:after="0"/>
              <w:rPr>
                <w:sz w:val="3"/>
                <w:szCs w:val="3"/>
                <w:color w:val="auto"/>
              </w:rPr>
            </w:pPr>
          </w:p>
        </w:tc>
        <w:tc>
          <w:tcPr>
            <w:tcW w:w="800" w:type="dxa"/>
            <w:vAlign w:val="bottom"/>
            <w:shd w:val="clear" w:color="auto" w:fill="F7F1EC"/>
          </w:tcPr>
          <w:p>
            <w:pPr>
              <w:spacing w:after="0"/>
              <w:rPr>
                <w:sz w:val="3"/>
                <w:szCs w:val="3"/>
                <w:color w:val="auto"/>
              </w:rPr>
            </w:pPr>
          </w:p>
        </w:tc>
        <w:tc>
          <w:tcPr>
            <w:tcW w:w="1100" w:type="dxa"/>
            <w:vAlign w:val="bottom"/>
            <w:shd w:val="clear" w:color="auto" w:fill="F7F1EC"/>
          </w:tcPr>
          <w:p>
            <w:pPr>
              <w:spacing w:after="0"/>
              <w:rPr>
                <w:sz w:val="3"/>
                <w:szCs w:val="3"/>
                <w:color w:val="auto"/>
              </w:rPr>
            </w:pPr>
          </w:p>
        </w:tc>
        <w:tc>
          <w:tcPr>
            <w:tcW w:w="240" w:type="dxa"/>
            <w:vAlign w:val="bottom"/>
            <w:shd w:val="clear" w:color="auto" w:fill="F7F1EC"/>
          </w:tcPr>
          <w:p>
            <w:pPr>
              <w:spacing w:after="0"/>
              <w:rPr>
                <w:sz w:val="3"/>
                <w:szCs w:val="3"/>
                <w:color w:val="auto"/>
              </w:rPr>
            </w:pPr>
          </w:p>
        </w:tc>
        <w:tc>
          <w:tcPr>
            <w:tcW w:w="800" w:type="dxa"/>
            <w:vAlign w:val="bottom"/>
            <w:shd w:val="clear" w:color="auto" w:fill="F7F1EC"/>
          </w:tcPr>
          <w:p>
            <w:pPr>
              <w:spacing w:after="0"/>
              <w:rPr>
                <w:sz w:val="3"/>
                <w:szCs w:val="3"/>
                <w:color w:val="auto"/>
              </w:rPr>
            </w:pPr>
          </w:p>
        </w:tc>
        <w:tc>
          <w:tcPr>
            <w:tcW w:w="1100" w:type="dxa"/>
            <w:vAlign w:val="bottom"/>
            <w:shd w:val="clear" w:color="auto" w:fill="F7F1EC"/>
          </w:tcPr>
          <w:p>
            <w:pPr>
              <w:spacing w:after="0"/>
              <w:rPr>
                <w:sz w:val="3"/>
                <w:szCs w:val="3"/>
                <w:color w:val="auto"/>
              </w:rPr>
            </w:pPr>
          </w:p>
        </w:tc>
        <w:tc>
          <w:tcPr>
            <w:tcW w:w="1000" w:type="dxa"/>
            <w:vAlign w:val="bottom"/>
            <w:shd w:val="clear" w:color="auto" w:fill="F7F1EC"/>
          </w:tcPr>
          <w:p>
            <w:pPr>
              <w:spacing w:after="0"/>
              <w:rPr>
                <w:sz w:val="3"/>
                <w:szCs w:val="3"/>
                <w:color w:val="auto"/>
              </w:rPr>
            </w:pPr>
          </w:p>
        </w:tc>
      </w:tr>
    </w:tbl>
    <w:p>
      <w:pPr>
        <w:spacing w:after="0" w:line="46" w:lineRule="exact"/>
        <w:rPr>
          <w:sz w:val="20"/>
          <w:szCs w:val="20"/>
          <w:color w:val="auto"/>
        </w:rPr>
      </w:pPr>
    </w:p>
    <w:p>
      <w:pPr>
        <w:ind w:left="240" w:right="360" w:hanging="233"/>
        <w:spacing w:after="0" w:line="256" w:lineRule="auto"/>
        <w:tabs>
          <w:tab w:leader="none" w:pos="240" w:val="left"/>
        </w:tabs>
        <w:numPr>
          <w:ilvl w:val="0"/>
          <w:numId w:val="79"/>
        </w:numPr>
        <w:rPr>
          <w:rFonts w:ascii="Arial" w:cs="Arial" w:eastAsia="Arial" w:hAnsi="Arial"/>
          <w:sz w:val="12"/>
          <w:szCs w:val="12"/>
          <w:color w:val="auto"/>
        </w:rPr>
      </w:pPr>
      <w:r>
        <w:rPr>
          <w:rFonts w:ascii="Arial" w:cs="Arial" w:eastAsia="Arial" w:hAnsi="Arial"/>
          <w:sz w:val="12"/>
          <w:szCs w:val="12"/>
          <w:color w:val="auto"/>
        </w:rPr>
        <w:t>Target awards as a percentage of base salary for 2025 increased from 2024 levels of 245%, 205%, 165%, 240% and 125%, respectively, for Messrs. Steinmeier, Audette, Enyedi, Gates and Ms. Jambusaria.</w:t>
      </w: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002B5F"/>
        </w:rPr>
        <w:t>Annual Cash Bonus Awards</w:t>
      </w:r>
    </w:p>
    <w:p>
      <w:pPr>
        <w:spacing w:after="0" w:line="1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002B5F"/>
        </w:rPr>
        <w:t>($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81280</wp:posOffset>
            </wp:positionH>
            <wp:positionV relativeFrom="paragraph">
              <wp:posOffset>144145</wp:posOffset>
            </wp:positionV>
            <wp:extent cx="4911090" cy="8426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4911090" cy="842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24"/>
          <w:szCs w:val="24"/>
          <w:color w:val="B95827"/>
        </w:rPr>
        <w:t>Long-Term Equity Incentive Awards Granted in 2025</w:t>
      </w:r>
    </w:p>
    <w:p>
      <w:pPr>
        <w:spacing w:after="0" w:line="117" w:lineRule="exact"/>
        <w:rPr>
          <w:sz w:val="20"/>
          <w:szCs w:val="20"/>
          <w:color w:val="auto"/>
        </w:rPr>
      </w:pPr>
    </w:p>
    <w:p>
      <w:pPr>
        <w:ind w:right="80"/>
        <w:spacing w:after="0" w:line="268" w:lineRule="auto"/>
        <w:rPr>
          <w:sz w:val="20"/>
          <w:szCs w:val="20"/>
          <w:color w:val="auto"/>
        </w:rPr>
      </w:pPr>
      <w:r>
        <w:rPr>
          <w:rFonts w:ascii="Arial" w:cs="Arial" w:eastAsia="Arial" w:hAnsi="Arial"/>
          <w:sz w:val="15"/>
          <w:szCs w:val="15"/>
          <w:color w:val="auto"/>
        </w:rPr>
        <w:t>The purposes of our LTI program are to promote the achievement of corporate goals that drive long-term stockholder value, to align the interests of our executive officers and other key employees with those of our stakeholders and to hire and retain the best talent in the financial services industry.</w:t>
      </w:r>
    </w:p>
    <w:p>
      <w:pPr>
        <w:spacing w:after="0" w:line="60" w:lineRule="exact"/>
        <w:rPr>
          <w:sz w:val="20"/>
          <w:szCs w:val="20"/>
          <w:color w:val="auto"/>
        </w:rPr>
      </w:pPr>
    </w:p>
    <w:p>
      <w:pPr>
        <w:ind w:right="40"/>
        <w:spacing w:after="0" w:line="252" w:lineRule="auto"/>
        <w:rPr>
          <w:sz w:val="20"/>
          <w:szCs w:val="20"/>
          <w:color w:val="auto"/>
        </w:rPr>
      </w:pPr>
      <w:r>
        <w:rPr>
          <w:rFonts w:ascii="Arial" w:cs="Arial" w:eastAsia="Arial" w:hAnsi="Arial"/>
          <w:sz w:val="15"/>
          <w:szCs w:val="15"/>
          <w:color w:val="auto"/>
        </w:rPr>
        <w:t>As discussed in last year’s proxy statement, in January 2025 the Compensation Committee revised its approach to LTI to eliminate the historical two-step determination process. Under the revised approach, at the beginning of each year the Compensation Committee approves LTI grants to our executive officers, including our NEOs, in respect of their performance for that year. In February 2025, our CEO and our then-current chief human resources officer met with the Compensation Committee and discussed each NEO’s leadership responsibilities and potential, as well as retention considerations (with the CEO and the chief human resources officer absent during discussions about them). The Compensation Consultant participated in this meeting. Based on the discussions in this meeting, the Compensation Committee approved grants of LTI awards to each NEO, taking into account their position, responsibilities and base salary; Benchmarking Data; the recommendations of the CEO (other than for himself) and that of the Compensation Consultant; and their potential contributions to the execution of the Company’s overall performance goals.</w:t>
      </w:r>
    </w:p>
    <w:p>
      <w:pPr>
        <w:spacing w:after="0" w:line="256" w:lineRule="exact"/>
        <w:rPr>
          <w:sz w:val="20"/>
          <w:szCs w:val="20"/>
          <w:color w:val="auto"/>
        </w:rPr>
      </w:pPr>
    </w:p>
    <w:p>
      <w:pPr>
        <w:ind w:right="80"/>
        <w:spacing w:after="0" w:line="258" w:lineRule="auto"/>
        <w:rPr>
          <w:sz w:val="20"/>
          <w:szCs w:val="20"/>
          <w:color w:val="auto"/>
        </w:rPr>
      </w:pPr>
      <w:r>
        <w:rPr>
          <w:rFonts w:ascii="Arial" w:cs="Arial" w:eastAsia="Arial" w:hAnsi="Arial"/>
          <w:sz w:val="15"/>
          <w:szCs w:val="15"/>
          <w:color w:val="auto"/>
        </w:rPr>
        <w:t>The annual equity grant in 2025 to Mr. Steinmeier consisted of 70% performance stock units (“PSUs”) and 30% time-based restricted stock units (“RSUs”), and annual equity grants to Messrs. Audette, Enyedi and Gates and</w:t>
      </w:r>
    </w:p>
    <w:p>
      <w:pPr>
        <w:spacing w:after="0" w:line="1" w:lineRule="exact"/>
        <w:rPr>
          <w:sz w:val="20"/>
          <w:szCs w:val="20"/>
          <w:color w:val="auto"/>
        </w:rPr>
      </w:pPr>
    </w:p>
    <w:p>
      <w:pPr>
        <w:ind w:right="80"/>
        <w:spacing w:after="0" w:line="253" w:lineRule="auto"/>
        <w:rPr>
          <w:sz w:val="20"/>
          <w:szCs w:val="20"/>
          <w:color w:val="auto"/>
        </w:rPr>
      </w:pPr>
      <w:r>
        <w:rPr>
          <w:rFonts w:ascii="Arial" w:cs="Arial" w:eastAsia="Arial" w:hAnsi="Arial"/>
          <w:sz w:val="15"/>
          <w:szCs w:val="15"/>
          <w:color w:val="auto"/>
        </w:rPr>
        <w:t>Ms. Jambusaria consisted of 60% PSUs and 40% RSUs (such percentages in each case determined based on grant date value, assuming target performance for PSUs). We believe that this blended approach provides appropriate incentives for long-term stockholder value creation while also serving as a retention tool for the Company. We also believe that the use of PSUs aligns with our pay-for-performance principles and puts appropriate focus on long-term alignment and pay relative both to market peers and stockholder returns.</w:t>
      </w:r>
    </w:p>
    <w:p>
      <w:pPr>
        <w:spacing w:after="0" w:line="1132" w:lineRule="exact"/>
        <w:rPr>
          <w:sz w:val="20"/>
          <w:szCs w:val="20"/>
          <w:color w:val="auto"/>
        </w:rPr>
      </w:pPr>
    </w:p>
    <w:p>
      <w:pPr>
        <w:sectPr>
          <w:pgSz w:w="11900" w:h="16838" w:orient="portrait"/>
          <w:cols w:equalWidth="0" w:num="2">
            <w:col w:w="2160" w:space="560"/>
            <w:col w:w="7980"/>
          </w:cols>
          <w:pgMar w:left="320" w:top="464" w:right="879" w:bottom="1440" w:gutter="0" w:footer="0" w:header="0"/>
        </w:sectPr>
      </w:pPr>
    </w:p>
    <w:p>
      <w:pPr>
        <w:spacing w:after="0" w:line="200" w:lineRule="exact"/>
        <w:rPr>
          <w:sz w:val="20"/>
          <w:szCs w:val="20"/>
          <w:color w:val="auto"/>
        </w:rPr>
      </w:pPr>
    </w:p>
    <w:p>
      <w:pPr>
        <w:spacing w:after="0" w:line="385" w:lineRule="exact"/>
        <w:rPr>
          <w:sz w:val="20"/>
          <w:szCs w:val="20"/>
          <w:color w:val="auto"/>
        </w:rPr>
      </w:pPr>
    </w:p>
    <w:p>
      <w:pPr>
        <w:ind w:left="420"/>
        <w:spacing w:after="0"/>
        <w:tabs>
          <w:tab w:leader="none" w:pos="2380" w:val="left"/>
          <w:tab w:leader="none" w:pos="2800" w:val="left"/>
        </w:tabs>
        <w:rPr>
          <w:sz w:val="20"/>
          <w:szCs w:val="20"/>
          <w:color w:val="auto"/>
        </w:rPr>
      </w:pPr>
      <w:r>
        <w:rPr>
          <w:rFonts w:ascii="Arial" w:cs="Arial" w:eastAsia="Arial" w:hAnsi="Arial"/>
          <w:sz w:val="30"/>
          <w:szCs w:val="30"/>
          <w:color w:val="000000"/>
          <w:vertAlign w:val="superscript"/>
        </w:rPr>
        <w:t xml:space="preserve">             </w:t>
      </w:r>
      <w:r>
        <w:rPr>
          <w:sz w:val="20"/>
          <w:szCs w:val="20"/>
          <w:color w:val="auto"/>
        </w:rPr>
        <w:tab/>
      </w:r>
      <w:r>
        <w:rPr>
          <w:rFonts w:ascii="Arial" w:cs="Arial" w:eastAsia="Arial" w:hAnsi="Arial"/>
          <w:sz w:val="31"/>
          <w:szCs w:val="31"/>
          <w:color w:val="auto"/>
          <w:vertAlign w:val="superscript"/>
        </w:rPr>
        <w:t xml:space="preserve">    </w:t>
      </w:r>
      <w:r>
        <w:rPr>
          <w:sz w:val="20"/>
          <w:szCs w:val="20"/>
          <w:color w:val="auto"/>
        </w:rPr>
        <w:tab/>
      </w:r>
      <w:r>
        <w:rPr>
          <w:rFonts w:ascii="Arial" w:cs="Arial" w:eastAsia="Arial" w:hAnsi="Arial"/>
          <w:sz w:val="15"/>
          <w:szCs w:val="15"/>
          <w:b w:val="1"/>
          <w:bCs w:val="1"/>
          <w:color w:val="002B5F"/>
        </w:rPr>
        <w:t xml:space="preserve">50  </w:t>
      </w:r>
      <w:r>
        <w:rPr>
          <w:rFonts w:ascii="Arial" w:cs="Arial" w:eastAsia="Arial" w:hAnsi="Arial"/>
          <w:sz w:val="20"/>
          <w:szCs w:val="20"/>
          <w:color w:val="002B5F"/>
        </w:rPr>
        <w:t>|</w:t>
      </w:r>
      <w:r>
        <w:rPr>
          <w:rFonts w:ascii="Arial" w:cs="Arial" w:eastAsia="Arial" w:hAnsi="Arial"/>
          <w:sz w:val="15"/>
          <w:szCs w:val="15"/>
          <w:b w:val="1"/>
          <w:bCs w:val="1"/>
          <w:color w:val="002B5F"/>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6111875</wp:posOffset>
            </wp:positionH>
            <wp:positionV relativeFrom="paragraph">
              <wp:posOffset>-208915</wp:posOffset>
            </wp:positionV>
            <wp:extent cx="769620" cy="971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69620" cy="97155"/>
                    </a:xfrm>
                    <a:prstGeom prst="rect">
                      <a:avLst/>
                    </a:prstGeom>
                    <a:noFill/>
                  </pic:spPr>
                </pic:pic>
              </a:graphicData>
            </a:graphic>
          </wp:anchor>
        </w:drawing>
      </w:r>
    </w:p>
    <w:p>
      <w:pPr>
        <w:sectPr>
          <w:pgSz w:w="11900" w:h="16838" w:orient="portrait"/>
          <w:cols w:equalWidth="0" w:num="1">
            <w:col w:w="10700"/>
          </w:cols>
          <w:pgMar w:left="320" w:top="464" w:right="879" w:bottom="1440" w:gutter="0" w:footer="0" w:header="0"/>
          <w:type w:val="continuous"/>
        </w:sectPr>
      </w:pPr>
    </w:p>
    <w:bookmarkStart w:id="58" w:name="page59"/>
    <w:bookmarkEnd w:id="5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5334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81215" cy="5334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5617845</wp:posOffset>
            </wp:positionH>
            <wp:positionV relativeFrom="paragraph">
              <wp:posOffset>253365</wp:posOffset>
            </wp:positionV>
            <wp:extent cx="1256030" cy="74720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256030" cy="7472045"/>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tbl>
      <w:tblPr>
        <w:tblLayout w:type="fixed"/>
        <w:tblInd w:w="540" w:type="dxa"/>
        <w:tblCellMar>
          <w:top w:w="0" w:type="dxa"/>
          <w:left w:w="0" w:type="dxa"/>
          <w:bottom w:w="0" w:type="dxa"/>
          <w:right w:w="0" w:type="dxa"/>
        </w:tblCellMar>
      </w:tblPr>
      <w:tr>
        <w:trPr>
          <w:trHeight w:val="179"/>
        </w:trPr>
        <w:tc>
          <w:tcPr>
            <w:tcW w:w="8100" w:type="dxa"/>
            <w:vAlign w:val="bottom"/>
            <w:gridSpan w:val="4"/>
          </w:tcPr>
          <w:p>
            <w:pPr>
              <w:spacing w:after="0"/>
              <w:rPr>
                <w:sz w:val="20"/>
                <w:szCs w:val="20"/>
                <w:color w:val="auto"/>
              </w:rPr>
            </w:pPr>
            <w:r>
              <w:rPr>
                <w:rFonts w:ascii="Arial" w:cs="Arial" w:eastAsia="Arial" w:hAnsi="Arial"/>
                <w:sz w:val="15"/>
                <w:szCs w:val="15"/>
                <w:i w:val="1"/>
                <w:iCs w:val="1"/>
                <w:color w:val="auto"/>
              </w:rPr>
              <w:t xml:space="preserve">2025 Performance Stock Unit Awards. </w:t>
            </w:r>
            <w:r>
              <w:rPr>
                <w:rFonts w:ascii="Arial" w:cs="Arial" w:eastAsia="Arial" w:hAnsi="Arial"/>
                <w:sz w:val="15"/>
                <w:szCs w:val="15"/>
                <w:color w:val="auto"/>
              </w:rPr>
              <w:t>The PSUs granted in 2025 are eligible to become earned PSUs based on the</w:t>
            </w:r>
          </w:p>
        </w:tc>
        <w:tc>
          <w:tcPr>
            <w:tcW w:w="4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8100" w:type="dxa"/>
            <w:vAlign w:val="bottom"/>
            <w:gridSpan w:val="4"/>
          </w:tcPr>
          <w:p>
            <w:pPr>
              <w:spacing w:after="0"/>
              <w:rPr>
                <w:sz w:val="20"/>
                <w:szCs w:val="20"/>
                <w:color w:val="auto"/>
              </w:rPr>
            </w:pPr>
            <w:r>
              <w:rPr>
                <w:rFonts w:ascii="Arial" w:cs="Arial" w:eastAsia="Arial" w:hAnsi="Arial"/>
                <w:sz w:val="15"/>
                <w:szCs w:val="15"/>
                <w:color w:val="auto"/>
              </w:rPr>
              <w:t>Company’s TSR relative to the Comparator Group over a three-year performance period ending on February 14,</w:t>
            </w:r>
          </w:p>
        </w:tc>
        <w:tc>
          <w:tcPr>
            <w:tcW w:w="440" w:type="dxa"/>
            <w:vAlign w:val="bottom"/>
            <w:vMerge w:val="restart"/>
          </w:tcPr>
          <w:p>
            <w:pPr>
              <w:ind w:left="240"/>
              <w:spacing w:after="0"/>
              <w:rPr>
                <w:sz w:val="20"/>
                <w:szCs w:val="20"/>
                <w:color w:val="auto"/>
              </w:rPr>
            </w:pPr>
            <w:r>
              <w:rPr>
                <w:rFonts w:ascii="Arial" w:cs="Arial" w:eastAsia="Arial" w:hAnsi="Arial"/>
                <w:sz w:val="15"/>
                <w:szCs w:val="15"/>
                <w:color w:val="auto"/>
              </w:rPr>
              <w:t> </w:t>
            </w:r>
          </w:p>
        </w:tc>
        <w:tc>
          <w:tcPr>
            <w:tcW w:w="1280" w:type="dxa"/>
            <w:vAlign w:val="bottom"/>
            <w:vMerge w:val="restart"/>
          </w:tcPr>
          <w:p>
            <w:pPr>
              <w:ind w:left="140"/>
              <w:spacing w:after="0"/>
              <w:rPr>
                <w:sz w:val="20"/>
                <w:szCs w:val="20"/>
                <w:color w:val="auto"/>
              </w:rPr>
            </w:pPr>
            <w:r>
              <w:rPr>
                <w:rFonts w:ascii="Arial" w:cs="Arial" w:eastAsia="Arial" w:hAnsi="Arial"/>
                <w:sz w:val="12"/>
                <w:szCs w:val="12"/>
                <w:color w:val="FFFFFF"/>
              </w:rPr>
              <w:t>General</w:t>
            </w:r>
          </w:p>
        </w:tc>
        <w:tc>
          <w:tcPr>
            <w:tcW w:w="440" w:type="dxa"/>
            <w:vAlign w:val="bottom"/>
            <w:vMerge w:val="restart"/>
          </w:tcPr>
          <w:p>
            <w:pPr>
              <w:ind w:left="80"/>
              <w:spacing w:after="0"/>
              <w:rPr>
                <w:sz w:val="20"/>
                <w:szCs w:val="20"/>
                <w:color w:val="auto"/>
              </w:rPr>
            </w:pPr>
            <w:r>
              <w:rPr>
                <w:rFonts w:ascii="Arial" w:cs="Arial" w:eastAsia="Arial" w:hAnsi="Arial"/>
                <w:sz w:val="15"/>
                <w:szCs w:val="15"/>
                <w:color w:val="auto"/>
              </w:rPr>
              <w:t xml:space="preserve">       </w:t>
            </w:r>
          </w:p>
        </w:tc>
        <w:tc>
          <w:tcPr>
            <w:tcW w:w="0" w:type="dxa"/>
            <w:vAlign w:val="bottom"/>
          </w:tcPr>
          <w:p>
            <w:pPr>
              <w:spacing w:after="0"/>
              <w:rPr>
                <w:sz w:val="1"/>
                <w:szCs w:val="1"/>
                <w:color w:val="auto"/>
              </w:rPr>
            </w:pPr>
          </w:p>
        </w:tc>
      </w:tr>
      <w:tr>
        <w:trPr>
          <w:trHeight w:val="51"/>
        </w:trPr>
        <w:tc>
          <w:tcPr>
            <w:tcW w:w="8100" w:type="dxa"/>
            <w:vAlign w:val="bottom"/>
            <w:gridSpan w:val="4"/>
            <w:vMerge w:val="restart"/>
          </w:tcPr>
          <w:p>
            <w:pPr>
              <w:spacing w:after="0"/>
              <w:rPr>
                <w:sz w:val="20"/>
                <w:szCs w:val="20"/>
                <w:color w:val="auto"/>
              </w:rPr>
            </w:pPr>
            <w:r>
              <w:rPr>
                <w:rFonts w:ascii="Arial" w:cs="Arial" w:eastAsia="Arial" w:hAnsi="Arial"/>
                <w:sz w:val="15"/>
                <w:szCs w:val="15"/>
                <w:color w:val="auto"/>
              </w:rPr>
              <w:t>2028 (the “Performance Period”). The number of earned PSUs is based on the percentile ranking of the Company’s</w:t>
            </w:r>
          </w:p>
        </w:tc>
        <w:tc>
          <w:tcPr>
            <w:tcW w:w="440" w:type="dxa"/>
            <w:vAlign w:val="bottom"/>
            <w:vMerge w:val="continue"/>
          </w:tcPr>
          <w:p>
            <w:pPr>
              <w:spacing w:after="0"/>
              <w:rPr>
                <w:sz w:val="4"/>
                <w:szCs w:val="4"/>
                <w:color w:val="auto"/>
              </w:rPr>
            </w:pPr>
          </w:p>
        </w:tc>
        <w:tc>
          <w:tcPr>
            <w:tcW w:w="1280" w:type="dxa"/>
            <w:vAlign w:val="bottom"/>
            <w:vMerge w:val="continue"/>
          </w:tcPr>
          <w:p>
            <w:pPr>
              <w:spacing w:after="0"/>
              <w:rPr>
                <w:sz w:val="4"/>
                <w:szCs w:val="4"/>
                <w:color w:val="auto"/>
              </w:rPr>
            </w:pPr>
          </w:p>
        </w:tc>
        <w:tc>
          <w:tcPr>
            <w:tcW w:w="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8"/>
        </w:trPr>
        <w:tc>
          <w:tcPr>
            <w:tcW w:w="8100" w:type="dxa"/>
            <w:vAlign w:val="bottom"/>
            <w:gridSpan w:val="4"/>
            <w:vMerge w:val="continue"/>
          </w:tcPr>
          <w:p>
            <w:pPr>
              <w:spacing w:after="0"/>
              <w:rPr>
                <w:sz w:val="11"/>
                <w:szCs w:val="11"/>
                <w:color w:val="auto"/>
              </w:rPr>
            </w:pPr>
          </w:p>
        </w:tc>
        <w:tc>
          <w:tcPr>
            <w:tcW w:w="440" w:type="dxa"/>
            <w:vAlign w:val="bottom"/>
          </w:tcPr>
          <w:p>
            <w:pPr>
              <w:spacing w:after="0"/>
              <w:rPr>
                <w:sz w:val="11"/>
                <w:szCs w:val="11"/>
                <w:color w:val="auto"/>
              </w:rPr>
            </w:pPr>
          </w:p>
        </w:tc>
        <w:tc>
          <w:tcPr>
            <w:tcW w:w="1280" w:type="dxa"/>
            <w:vAlign w:val="bottom"/>
          </w:tcPr>
          <w:p>
            <w:pPr>
              <w:ind w:left="140"/>
              <w:spacing w:after="0" w:line="128" w:lineRule="exact"/>
              <w:rPr>
                <w:sz w:val="20"/>
                <w:szCs w:val="20"/>
                <w:color w:val="auto"/>
              </w:rPr>
            </w:pPr>
            <w:r>
              <w:rPr>
                <w:rFonts w:ascii="Arial" w:cs="Arial" w:eastAsia="Arial" w:hAnsi="Arial"/>
                <w:sz w:val="12"/>
                <w:szCs w:val="12"/>
                <w:color w:val="FFFFFF"/>
              </w:rPr>
              <w:t>Information</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9"/>
        </w:trPr>
        <w:tc>
          <w:tcPr>
            <w:tcW w:w="8100" w:type="dxa"/>
            <w:vAlign w:val="bottom"/>
            <w:gridSpan w:val="4"/>
          </w:tcPr>
          <w:p>
            <w:pPr>
              <w:spacing w:after="0"/>
              <w:rPr>
                <w:sz w:val="20"/>
                <w:szCs w:val="20"/>
                <w:color w:val="auto"/>
              </w:rPr>
            </w:pPr>
            <w:r>
              <w:rPr>
                <w:rFonts w:ascii="Arial" w:cs="Arial" w:eastAsia="Arial" w:hAnsi="Arial"/>
                <w:sz w:val="15"/>
                <w:szCs w:val="15"/>
                <w:color w:val="auto"/>
              </w:rPr>
              <w:t>TSR within the Comparator Group’s TSR results. For the PSUs granted in 2025, the Compensation Committee</w:t>
            </w:r>
          </w:p>
        </w:tc>
        <w:tc>
          <w:tcPr>
            <w:tcW w:w="440" w:type="dxa"/>
            <w:vAlign w:val="bottom"/>
          </w:tcPr>
          <w:p>
            <w:pPr>
              <w:spacing w:after="0"/>
              <w:rPr>
                <w:sz w:val="15"/>
                <w:szCs w:val="15"/>
                <w:color w:val="auto"/>
              </w:rPr>
            </w:pPr>
          </w:p>
        </w:tc>
        <w:tc>
          <w:tcPr>
            <w:tcW w:w="1280" w:type="dxa"/>
            <w:vAlign w:val="bottom"/>
            <w:vMerge w:val="restart"/>
          </w:tcPr>
          <w:p>
            <w:pPr>
              <w:ind w:left="140"/>
              <w:spacing w:after="0"/>
              <w:rPr>
                <w:sz w:val="20"/>
                <w:szCs w:val="20"/>
                <w:color w:val="auto"/>
              </w:rPr>
            </w:pPr>
            <w:r>
              <w:rPr>
                <w:rFonts w:ascii="Arial" w:cs="Arial" w:eastAsia="Arial" w:hAnsi="Arial"/>
                <w:sz w:val="12"/>
                <w:szCs w:val="12"/>
                <w:color w:val="FFFFFF"/>
              </w:rPr>
              <w:t>General Information</w:t>
            </w: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4"/>
        </w:trPr>
        <w:tc>
          <w:tcPr>
            <w:tcW w:w="6800" w:type="dxa"/>
            <w:vAlign w:val="bottom"/>
            <w:gridSpan w:val="2"/>
            <w:vMerge w:val="restart"/>
          </w:tcPr>
          <w:p>
            <w:pPr>
              <w:spacing w:after="0"/>
              <w:rPr>
                <w:sz w:val="20"/>
                <w:szCs w:val="20"/>
                <w:color w:val="auto"/>
              </w:rPr>
            </w:pPr>
            <w:r>
              <w:rPr>
                <w:rFonts w:ascii="Arial" w:cs="Arial" w:eastAsia="Arial" w:hAnsi="Arial"/>
                <w:sz w:val="15"/>
                <w:szCs w:val="15"/>
                <w:color w:val="auto"/>
              </w:rPr>
              <w:t>continued to use the Comparator Group described above under “</w:t>
            </w:r>
            <w:r>
              <w:rPr>
                <w:rFonts w:ascii="Arial" w:cs="Arial" w:eastAsia="Arial" w:hAnsi="Arial"/>
                <w:sz w:val="15"/>
                <w:szCs w:val="15"/>
                <w:i w:val="1"/>
                <w:iCs w:val="1"/>
                <w:color w:val="auto"/>
              </w:rPr>
              <w:t>Bonus Pool Funding Framework.</w:t>
            </w:r>
            <w:r>
              <w:rPr>
                <w:rFonts w:ascii="Arial" w:cs="Arial" w:eastAsia="Arial" w:hAnsi="Arial"/>
                <w:sz w:val="15"/>
                <w:szCs w:val="15"/>
                <w:color w:val="auto"/>
              </w:rPr>
              <w:t>”</w:t>
            </w:r>
          </w:p>
        </w:tc>
        <w:tc>
          <w:tcPr>
            <w:tcW w:w="1080" w:type="dxa"/>
            <w:vAlign w:val="bottom"/>
          </w:tcPr>
          <w:p>
            <w:pPr>
              <w:spacing w:after="0"/>
              <w:rPr>
                <w:sz w:val="7"/>
                <w:szCs w:val="7"/>
                <w:color w:val="auto"/>
              </w:rPr>
            </w:pPr>
          </w:p>
        </w:tc>
        <w:tc>
          <w:tcPr>
            <w:tcW w:w="220" w:type="dxa"/>
            <w:vAlign w:val="bottom"/>
          </w:tcPr>
          <w:p>
            <w:pPr>
              <w:spacing w:after="0"/>
              <w:rPr>
                <w:sz w:val="7"/>
                <w:szCs w:val="7"/>
                <w:color w:val="auto"/>
              </w:rPr>
            </w:pPr>
          </w:p>
        </w:tc>
        <w:tc>
          <w:tcPr>
            <w:tcW w:w="440" w:type="dxa"/>
            <w:vAlign w:val="bottom"/>
          </w:tcPr>
          <w:p>
            <w:pPr>
              <w:spacing w:after="0"/>
              <w:rPr>
                <w:sz w:val="7"/>
                <w:szCs w:val="7"/>
                <w:color w:val="auto"/>
              </w:rPr>
            </w:pPr>
          </w:p>
        </w:tc>
        <w:tc>
          <w:tcPr>
            <w:tcW w:w="1280" w:type="dxa"/>
            <w:vAlign w:val="bottom"/>
            <w:vMerge w:val="continue"/>
          </w:tcPr>
          <w:p>
            <w:pPr>
              <w:spacing w:after="0"/>
              <w:rPr>
                <w:sz w:val="7"/>
                <w:szCs w:val="7"/>
                <w:color w:val="auto"/>
              </w:rPr>
            </w:pPr>
          </w:p>
        </w:tc>
        <w:tc>
          <w:tcPr>
            <w:tcW w:w="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8"/>
        </w:trPr>
        <w:tc>
          <w:tcPr>
            <w:tcW w:w="6800" w:type="dxa"/>
            <w:vAlign w:val="bottom"/>
            <w:gridSpan w:val="2"/>
            <w:vMerge w:val="continue"/>
          </w:tcPr>
          <w:p>
            <w:pPr>
              <w:spacing w:after="0"/>
              <w:rPr>
                <w:sz w:val="11"/>
                <w:szCs w:val="11"/>
                <w:color w:val="auto"/>
              </w:rPr>
            </w:pPr>
          </w:p>
        </w:tc>
        <w:tc>
          <w:tcPr>
            <w:tcW w:w="10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80" w:type="dxa"/>
            <w:vAlign w:val="bottom"/>
          </w:tcPr>
          <w:p>
            <w:pPr>
              <w:ind w:left="140"/>
              <w:spacing w:after="0" w:line="128" w:lineRule="exact"/>
              <w:rPr>
                <w:sz w:val="20"/>
                <w:szCs w:val="20"/>
                <w:color w:val="auto"/>
              </w:rPr>
            </w:pPr>
            <w:r>
              <w:rPr>
                <w:rFonts w:ascii="Arial" w:cs="Arial" w:eastAsia="Arial" w:hAnsi="Arial"/>
                <w:sz w:val="12"/>
                <w:szCs w:val="12"/>
                <w:color w:val="FFFFFF"/>
              </w:rPr>
              <w:t>About Corporate</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100" w:type="dxa"/>
            <w:vAlign w:val="bottom"/>
            <w:gridSpan w:val="4"/>
            <w:vMerge w:val="restart"/>
          </w:tcPr>
          <w:p>
            <w:pPr>
              <w:spacing w:after="0"/>
              <w:rPr>
                <w:sz w:val="20"/>
                <w:szCs w:val="20"/>
                <w:color w:val="auto"/>
              </w:rPr>
            </w:pPr>
            <w:r>
              <w:rPr>
                <w:rFonts w:ascii="Arial" w:cs="Arial" w:eastAsia="Arial" w:hAnsi="Arial"/>
                <w:sz w:val="15"/>
                <w:szCs w:val="15"/>
                <w:color w:val="auto"/>
              </w:rPr>
              <w:t>Based on the Company’s relative performance, the number of earned PSUs can range between 0% (below</w:t>
            </w:r>
          </w:p>
        </w:tc>
        <w:tc>
          <w:tcPr>
            <w:tcW w:w="440" w:type="dxa"/>
            <w:vAlign w:val="bottom"/>
          </w:tcPr>
          <w:p>
            <w:pPr>
              <w:spacing w:after="0"/>
              <w:rPr>
                <w:sz w:val="11"/>
                <w:szCs w:val="11"/>
                <w:color w:val="auto"/>
              </w:rPr>
            </w:pPr>
          </w:p>
        </w:tc>
        <w:tc>
          <w:tcPr>
            <w:tcW w:w="1280" w:type="dxa"/>
            <w:vAlign w:val="bottom"/>
          </w:tcPr>
          <w:p>
            <w:pPr>
              <w:ind w:left="140"/>
              <w:spacing w:after="0" w:line="128" w:lineRule="exact"/>
              <w:rPr>
                <w:sz w:val="20"/>
                <w:szCs w:val="20"/>
                <w:color w:val="auto"/>
              </w:rPr>
            </w:pPr>
            <w:r>
              <w:rPr>
                <w:rFonts w:ascii="Arial" w:cs="Arial" w:eastAsia="Arial" w:hAnsi="Arial"/>
                <w:sz w:val="12"/>
                <w:szCs w:val="12"/>
                <w:color w:val="FFFFFF"/>
              </w:rPr>
              <w:t>Governance</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8100" w:type="dxa"/>
            <w:vAlign w:val="bottom"/>
            <w:gridSpan w:val="4"/>
            <w:vMerge w:val="continue"/>
          </w:tcPr>
          <w:p>
            <w:pPr>
              <w:spacing w:after="0"/>
              <w:rPr>
                <w:sz w:val="10"/>
                <w:szCs w:val="10"/>
                <w:color w:val="auto"/>
              </w:rPr>
            </w:pPr>
          </w:p>
        </w:tc>
        <w:tc>
          <w:tcPr>
            <w:tcW w:w="440" w:type="dxa"/>
            <w:vAlign w:val="bottom"/>
          </w:tcPr>
          <w:p>
            <w:pPr>
              <w:spacing w:after="0"/>
              <w:rPr>
                <w:sz w:val="10"/>
                <w:szCs w:val="10"/>
                <w:color w:val="auto"/>
              </w:rPr>
            </w:pPr>
          </w:p>
        </w:tc>
        <w:tc>
          <w:tcPr>
            <w:tcW w:w="1280" w:type="dxa"/>
            <w:vAlign w:val="bottom"/>
          </w:tcPr>
          <w:p>
            <w:pPr>
              <w:ind w:left="140"/>
              <w:spacing w:after="0" w:line="121" w:lineRule="exact"/>
              <w:rPr>
                <w:sz w:val="20"/>
                <w:szCs w:val="20"/>
                <w:color w:val="auto"/>
              </w:rPr>
            </w:pPr>
            <w:r>
              <w:rPr>
                <w:rFonts w:ascii="Arial" w:cs="Arial" w:eastAsia="Arial" w:hAnsi="Arial"/>
                <w:sz w:val="12"/>
                <w:szCs w:val="12"/>
                <w:color w:val="FFFFFF"/>
              </w:rPr>
              <w:t>and the Board of</w:t>
            </w: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1"/>
        </w:trPr>
        <w:tc>
          <w:tcPr>
            <w:tcW w:w="4980" w:type="dxa"/>
            <w:vAlign w:val="bottom"/>
          </w:tcPr>
          <w:p>
            <w:pPr>
              <w:spacing w:after="0"/>
              <w:rPr>
                <w:sz w:val="20"/>
                <w:szCs w:val="20"/>
                <w:color w:val="auto"/>
              </w:rPr>
            </w:pPr>
            <w:r>
              <w:rPr>
                <w:rFonts w:ascii="Arial" w:cs="Arial" w:eastAsia="Arial" w:hAnsi="Arial"/>
                <w:sz w:val="15"/>
                <w:szCs w:val="15"/>
                <w:color w:val="auto"/>
              </w:rPr>
              <w:t>threshold) and 200% (maximum) of the target award as shown below:</w:t>
            </w:r>
          </w:p>
        </w:tc>
        <w:tc>
          <w:tcPr>
            <w:tcW w:w="18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Directors</w:t>
            </w: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8"/>
        </w:trPr>
        <w:tc>
          <w:tcPr>
            <w:tcW w:w="4980" w:type="dxa"/>
            <w:vAlign w:val="bottom"/>
          </w:tcPr>
          <w:p>
            <w:pPr>
              <w:spacing w:after="0"/>
              <w:rPr>
                <w:sz w:val="22"/>
                <w:szCs w:val="22"/>
                <w:color w:val="auto"/>
              </w:rPr>
            </w:pPr>
          </w:p>
        </w:tc>
        <w:tc>
          <w:tcPr>
            <w:tcW w:w="1820" w:type="dxa"/>
            <w:vAlign w:val="bottom"/>
            <w:vMerge w:val="restart"/>
          </w:tcPr>
          <w:p>
            <w:pPr>
              <w:jc w:val="center"/>
              <w:spacing w:after="0"/>
              <w:rPr>
                <w:sz w:val="20"/>
                <w:szCs w:val="20"/>
                <w:color w:val="auto"/>
              </w:rPr>
            </w:pPr>
            <w:r>
              <w:rPr>
                <w:rFonts w:ascii="Arial" w:cs="Arial" w:eastAsia="Arial" w:hAnsi="Arial"/>
                <w:sz w:val="14"/>
                <w:szCs w:val="14"/>
                <w:b w:val="1"/>
                <w:bCs w:val="1"/>
                <w:color w:val="002B5F"/>
                <w:w w:val="97"/>
              </w:rPr>
              <w:t>3-Year Relative</w:t>
            </w:r>
          </w:p>
        </w:tc>
        <w:tc>
          <w:tcPr>
            <w:tcW w:w="13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002B5F"/>
                <w:w w:val="98"/>
              </w:rPr>
              <w:t>Common</w:t>
            </w:r>
          </w:p>
        </w:tc>
        <w:tc>
          <w:tcPr>
            <w:tcW w:w="440" w:type="dxa"/>
            <w:vAlign w:val="bottom"/>
          </w:tcPr>
          <w:p>
            <w:pPr>
              <w:spacing w:after="0"/>
              <w:rPr>
                <w:sz w:val="22"/>
                <w:szCs w:val="22"/>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Proposal 1</w:t>
            </w:r>
          </w:p>
        </w:tc>
        <w:tc>
          <w:tcPr>
            <w:tcW w:w="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6"/>
        </w:trPr>
        <w:tc>
          <w:tcPr>
            <w:tcW w:w="4980" w:type="dxa"/>
            <w:vAlign w:val="bottom"/>
          </w:tcPr>
          <w:p>
            <w:pPr>
              <w:spacing w:after="0"/>
              <w:rPr>
                <w:sz w:val="9"/>
                <w:szCs w:val="9"/>
                <w:color w:val="auto"/>
              </w:rPr>
            </w:pPr>
          </w:p>
        </w:tc>
        <w:tc>
          <w:tcPr>
            <w:tcW w:w="1820" w:type="dxa"/>
            <w:vAlign w:val="bottom"/>
            <w:vMerge w:val="continue"/>
          </w:tcPr>
          <w:p>
            <w:pPr>
              <w:spacing w:after="0"/>
              <w:rPr>
                <w:sz w:val="9"/>
                <w:szCs w:val="9"/>
                <w:color w:val="auto"/>
              </w:rPr>
            </w:pPr>
          </w:p>
        </w:tc>
        <w:tc>
          <w:tcPr>
            <w:tcW w:w="1300" w:type="dxa"/>
            <w:vAlign w:val="bottom"/>
            <w:gridSpan w:val="2"/>
            <w:vMerge w:val="continue"/>
          </w:tcPr>
          <w:p>
            <w:pPr>
              <w:spacing w:after="0"/>
              <w:rPr>
                <w:sz w:val="9"/>
                <w:szCs w:val="9"/>
                <w:color w:val="auto"/>
              </w:rPr>
            </w:pPr>
          </w:p>
        </w:tc>
        <w:tc>
          <w:tcPr>
            <w:tcW w:w="440" w:type="dxa"/>
            <w:vAlign w:val="bottom"/>
          </w:tcPr>
          <w:p>
            <w:pPr>
              <w:spacing w:after="0"/>
              <w:rPr>
                <w:sz w:val="9"/>
                <w:szCs w:val="9"/>
                <w:color w:val="auto"/>
              </w:rPr>
            </w:pPr>
          </w:p>
        </w:tc>
        <w:tc>
          <w:tcPr>
            <w:tcW w:w="1280" w:type="dxa"/>
            <w:vAlign w:val="bottom"/>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4980" w:type="dxa"/>
            <w:vAlign w:val="bottom"/>
          </w:tcPr>
          <w:p>
            <w:pPr>
              <w:spacing w:after="0"/>
              <w:rPr>
                <w:sz w:val="13"/>
                <w:szCs w:val="13"/>
                <w:color w:val="auto"/>
              </w:rPr>
            </w:pPr>
          </w:p>
        </w:tc>
        <w:tc>
          <w:tcPr>
            <w:tcW w:w="1820" w:type="dxa"/>
            <w:vAlign w:val="bottom"/>
          </w:tcPr>
          <w:p>
            <w:pPr>
              <w:jc w:val="center"/>
              <w:spacing w:after="0" w:line="153" w:lineRule="exact"/>
              <w:rPr>
                <w:sz w:val="20"/>
                <w:szCs w:val="20"/>
                <w:color w:val="auto"/>
              </w:rPr>
            </w:pPr>
            <w:r>
              <w:rPr>
                <w:rFonts w:ascii="Arial" w:cs="Arial" w:eastAsia="Arial" w:hAnsi="Arial"/>
                <w:sz w:val="14"/>
                <w:szCs w:val="14"/>
                <w:b w:val="1"/>
                <w:bCs w:val="1"/>
                <w:color w:val="002B5F"/>
                <w:w w:val="97"/>
              </w:rPr>
              <w:t>TSR Percentile</w:t>
            </w:r>
          </w:p>
        </w:tc>
        <w:tc>
          <w:tcPr>
            <w:tcW w:w="130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002B5F"/>
                <w:w w:val="97"/>
              </w:rPr>
              <w:t>Shares Earned</w:t>
            </w:r>
          </w:p>
        </w:tc>
        <w:tc>
          <w:tcPr>
            <w:tcW w:w="440" w:type="dxa"/>
            <w:vAlign w:val="bottom"/>
          </w:tcPr>
          <w:p>
            <w:pPr>
              <w:spacing w:after="0"/>
              <w:rPr>
                <w:sz w:val="13"/>
                <w:szCs w:val="13"/>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Information</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4980" w:type="dxa"/>
            <w:vAlign w:val="bottom"/>
          </w:tcPr>
          <w:p>
            <w:pPr>
              <w:spacing w:after="0"/>
              <w:rPr>
                <w:sz w:val="12"/>
                <w:szCs w:val="12"/>
                <w:color w:val="auto"/>
              </w:rPr>
            </w:pPr>
          </w:p>
        </w:tc>
        <w:tc>
          <w:tcPr>
            <w:tcW w:w="1820" w:type="dxa"/>
            <w:vAlign w:val="bottom"/>
          </w:tcPr>
          <w:p>
            <w:pPr>
              <w:jc w:val="center"/>
              <w:spacing w:after="0" w:line="145" w:lineRule="exact"/>
              <w:rPr>
                <w:sz w:val="20"/>
                <w:szCs w:val="20"/>
                <w:color w:val="auto"/>
              </w:rPr>
            </w:pPr>
            <w:r>
              <w:rPr>
                <w:rFonts w:ascii="Arial" w:cs="Arial" w:eastAsia="Arial" w:hAnsi="Arial"/>
                <w:sz w:val="14"/>
                <w:szCs w:val="14"/>
                <w:b w:val="1"/>
                <w:bCs w:val="1"/>
                <w:color w:val="002B5F"/>
                <w:w w:val="97"/>
              </w:rPr>
              <w:t>Rank (based on</w:t>
            </w:r>
          </w:p>
        </w:tc>
        <w:tc>
          <w:tcPr>
            <w:tcW w:w="1300" w:type="dxa"/>
            <w:vAlign w:val="bottom"/>
            <w:gridSpan w:val="2"/>
          </w:tcPr>
          <w:p>
            <w:pPr>
              <w:jc w:val="center"/>
              <w:ind w:right="100"/>
              <w:spacing w:after="0" w:line="145" w:lineRule="exact"/>
              <w:rPr>
                <w:sz w:val="20"/>
                <w:szCs w:val="20"/>
                <w:color w:val="auto"/>
              </w:rPr>
            </w:pPr>
            <w:r>
              <w:rPr>
                <w:rFonts w:ascii="Arial" w:cs="Arial" w:eastAsia="Arial" w:hAnsi="Arial"/>
                <w:sz w:val="14"/>
                <w:szCs w:val="14"/>
                <w:b w:val="1"/>
                <w:bCs w:val="1"/>
                <w:color w:val="002B5F"/>
                <w:w w:val="97"/>
              </w:rPr>
              <w:t>(as a % of</w:t>
            </w:r>
          </w:p>
        </w:tc>
        <w:tc>
          <w:tcPr>
            <w:tcW w:w="440" w:type="dxa"/>
            <w:vAlign w:val="bottom"/>
          </w:tcPr>
          <w:p>
            <w:pPr>
              <w:spacing w:after="0"/>
              <w:rPr>
                <w:sz w:val="12"/>
                <w:szCs w:val="12"/>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Regarding Board</w:t>
            </w: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4980" w:type="dxa"/>
            <w:vAlign w:val="bottom"/>
          </w:tcPr>
          <w:p>
            <w:pPr>
              <w:ind w:left="60"/>
              <w:spacing w:after="0" w:line="159" w:lineRule="exact"/>
              <w:rPr>
                <w:sz w:val="20"/>
                <w:szCs w:val="20"/>
                <w:color w:val="auto"/>
              </w:rPr>
            </w:pPr>
            <w:r>
              <w:rPr>
                <w:rFonts w:ascii="Arial" w:cs="Arial" w:eastAsia="Arial" w:hAnsi="Arial"/>
                <w:sz w:val="14"/>
                <w:szCs w:val="14"/>
                <w:b w:val="1"/>
                <w:bCs w:val="1"/>
                <w:color w:val="002B5F"/>
              </w:rPr>
              <w:t>Performance Level</w:t>
            </w:r>
          </w:p>
        </w:tc>
        <w:tc>
          <w:tcPr>
            <w:tcW w:w="1820" w:type="dxa"/>
            <w:vAlign w:val="bottom"/>
          </w:tcPr>
          <w:p>
            <w:pPr>
              <w:jc w:val="center"/>
              <w:spacing w:after="0" w:line="159" w:lineRule="exact"/>
              <w:rPr>
                <w:sz w:val="20"/>
                <w:szCs w:val="20"/>
                <w:color w:val="auto"/>
              </w:rPr>
            </w:pPr>
            <w:r>
              <w:rPr>
                <w:rFonts w:ascii="Arial" w:cs="Arial" w:eastAsia="Arial" w:hAnsi="Arial"/>
                <w:sz w:val="14"/>
                <w:szCs w:val="14"/>
                <w:b w:val="1"/>
                <w:bCs w:val="1"/>
                <w:color w:val="002B5F"/>
                <w:w w:val="96"/>
              </w:rPr>
              <w:t>Comparator Group)</w:t>
            </w:r>
          </w:p>
        </w:tc>
        <w:tc>
          <w:tcPr>
            <w:tcW w:w="1300" w:type="dxa"/>
            <w:vAlign w:val="bottom"/>
            <w:gridSpan w:val="2"/>
          </w:tcPr>
          <w:p>
            <w:pPr>
              <w:jc w:val="center"/>
              <w:ind w:right="100"/>
              <w:spacing w:after="0" w:line="159" w:lineRule="exact"/>
              <w:rPr>
                <w:sz w:val="20"/>
                <w:szCs w:val="20"/>
                <w:color w:val="auto"/>
              </w:rPr>
            </w:pPr>
            <w:r>
              <w:rPr>
                <w:rFonts w:ascii="Arial" w:cs="Arial" w:eastAsia="Arial" w:hAnsi="Arial"/>
                <w:sz w:val="14"/>
                <w:szCs w:val="14"/>
                <w:b w:val="1"/>
                <w:bCs w:val="1"/>
                <w:color w:val="002B5F"/>
                <w:w w:val="92"/>
              </w:rPr>
              <w:t>Target)</w:t>
            </w:r>
          </w:p>
        </w:tc>
        <w:tc>
          <w:tcPr>
            <w:tcW w:w="440" w:type="dxa"/>
            <w:vAlign w:val="bottom"/>
          </w:tcPr>
          <w:p>
            <w:pPr>
              <w:spacing w:after="0"/>
              <w:rPr>
                <w:sz w:val="13"/>
                <w:szCs w:val="13"/>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and Committee</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7"/>
        </w:trPr>
        <w:tc>
          <w:tcPr>
            <w:tcW w:w="4980" w:type="dxa"/>
            <w:vAlign w:val="bottom"/>
            <w:tcBorders>
              <w:bottom w:val="single" w:sz="8" w:color="002B5F"/>
            </w:tcBorders>
          </w:tcPr>
          <w:p>
            <w:pPr>
              <w:spacing w:after="0"/>
              <w:rPr>
                <w:sz w:val="4"/>
                <w:szCs w:val="4"/>
                <w:color w:val="auto"/>
              </w:rPr>
            </w:pPr>
          </w:p>
        </w:tc>
        <w:tc>
          <w:tcPr>
            <w:tcW w:w="1820" w:type="dxa"/>
            <w:vAlign w:val="bottom"/>
            <w:tcBorders>
              <w:bottom w:val="single" w:sz="8" w:color="002B5F"/>
            </w:tcBorders>
          </w:tcPr>
          <w:p>
            <w:pPr>
              <w:spacing w:after="0"/>
              <w:rPr>
                <w:sz w:val="4"/>
                <w:szCs w:val="4"/>
                <w:color w:val="auto"/>
              </w:rPr>
            </w:pPr>
          </w:p>
        </w:tc>
        <w:tc>
          <w:tcPr>
            <w:tcW w:w="1080" w:type="dxa"/>
            <w:vAlign w:val="bottom"/>
            <w:tcBorders>
              <w:bottom w:val="single" w:sz="8" w:color="002B5F"/>
            </w:tcBorders>
          </w:tcPr>
          <w:p>
            <w:pPr>
              <w:spacing w:after="0"/>
              <w:rPr>
                <w:sz w:val="4"/>
                <w:szCs w:val="4"/>
                <w:color w:val="auto"/>
              </w:rPr>
            </w:pPr>
          </w:p>
        </w:tc>
        <w:tc>
          <w:tcPr>
            <w:tcW w:w="220" w:type="dxa"/>
            <w:vAlign w:val="bottom"/>
          </w:tcPr>
          <w:p>
            <w:pPr>
              <w:spacing w:after="0"/>
              <w:rPr>
                <w:sz w:val="4"/>
                <w:szCs w:val="4"/>
                <w:color w:val="auto"/>
              </w:rPr>
            </w:pPr>
          </w:p>
        </w:tc>
        <w:tc>
          <w:tcPr>
            <w:tcW w:w="440" w:type="dxa"/>
            <w:vAlign w:val="bottom"/>
          </w:tcPr>
          <w:p>
            <w:pPr>
              <w:spacing w:after="0"/>
              <w:rPr>
                <w:sz w:val="4"/>
                <w:szCs w:val="4"/>
                <w:color w:val="auto"/>
              </w:rPr>
            </w:pPr>
          </w:p>
        </w:tc>
        <w:tc>
          <w:tcPr>
            <w:tcW w:w="1280" w:type="dxa"/>
            <w:vAlign w:val="bottom"/>
          </w:tcPr>
          <w:p>
            <w:pPr>
              <w:ind w:left="140"/>
              <w:spacing w:after="0" w:line="57" w:lineRule="exact"/>
              <w:rPr>
                <w:sz w:val="20"/>
                <w:szCs w:val="20"/>
                <w:color w:val="auto"/>
              </w:rPr>
            </w:pPr>
            <w:r>
              <w:rPr>
                <w:rFonts w:ascii="Arial" w:cs="Arial" w:eastAsia="Arial" w:hAnsi="Arial"/>
                <w:sz w:val="6"/>
                <w:szCs w:val="6"/>
                <w:color w:val="FFFFFF"/>
              </w:rPr>
              <w:t>Structure</w:t>
            </w: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341630</wp:posOffset>
            </wp:positionH>
            <wp:positionV relativeFrom="paragraph">
              <wp:posOffset>-7620</wp:posOffset>
            </wp:positionV>
            <wp:extent cx="4999990" cy="19431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4999990" cy="194310"/>
                    </a:xfrm>
                    <a:prstGeom prst="rect">
                      <a:avLst/>
                    </a:prstGeom>
                    <a:noFill/>
                  </pic:spPr>
                </pic:pic>
              </a:graphicData>
            </a:graphic>
          </wp:anchor>
        </w:drawing>
      </w:r>
    </w:p>
    <w:p>
      <w:pPr>
        <w:sectPr>
          <w:pgSz w:w="11900" w:h="16838" w:orient="portrait"/>
          <w:cols w:equalWidth="0" w:num="1">
            <w:col w:w="10800"/>
          </w:cols>
          <w:pgMar w:left="320" w:top="464" w:right="779" w:bottom="1440" w:gutter="0" w:footer="0" w:header="0"/>
        </w:sectPr>
      </w:pPr>
    </w:p>
    <w:p>
      <w:pPr>
        <w:spacing w:after="0" w:line="41" w:lineRule="exact"/>
        <w:rPr>
          <w:sz w:val="20"/>
          <w:szCs w:val="20"/>
          <w:color w:val="auto"/>
        </w:rPr>
      </w:pPr>
    </w:p>
    <w:tbl>
      <w:tblPr>
        <w:tblLayout w:type="fixed"/>
        <w:tblInd w:w="540" w:type="dxa"/>
        <w:tblCellMar>
          <w:top w:w="0" w:type="dxa"/>
          <w:left w:w="0" w:type="dxa"/>
          <w:bottom w:w="0" w:type="dxa"/>
          <w:right w:w="0" w:type="dxa"/>
        </w:tblCellMar>
      </w:tblPr>
      <w:tr>
        <w:trPr>
          <w:trHeight w:val="253"/>
        </w:trPr>
        <w:tc>
          <w:tcPr>
            <w:tcW w:w="4840" w:type="dxa"/>
            <w:vAlign w:val="bottom"/>
          </w:tcPr>
          <w:p>
            <w:pPr>
              <w:ind w:left="60"/>
              <w:spacing w:after="0"/>
              <w:rPr>
                <w:sz w:val="20"/>
                <w:szCs w:val="20"/>
                <w:color w:val="auto"/>
              </w:rPr>
            </w:pPr>
            <w:r>
              <w:rPr>
                <w:rFonts w:ascii="Arial" w:cs="Arial" w:eastAsia="Arial" w:hAnsi="Arial"/>
                <w:sz w:val="15"/>
                <w:szCs w:val="15"/>
                <w:color w:val="auto"/>
              </w:rPr>
              <w:t>Maximum</w:t>
            </w:r>
          </w:p>
        </w:tc>
        <w:tc>
          <w:tcPr>
            <w:tcW w:w="1880" w:type="dxa"/>
            <w:vAlign w:val="bottom"/>
            <w:shd w:val="clear" w:color="auto" w:fill="F7F1EC"/>
          </w:tcPr>
          <w:p>
            <w:pPr>
              <w:jc w:val="center"/>
              <w:ind w:left="153"/>
              <w:spacing w:after="0"/>
              <w:rPr>
                <w:sz w:val="20"/>
                <w:szCs w:val="20"/>
                <w:color w:val="auto"/>
              </w:rPr>
            </w:pPr>
            <w:r>
              <w:rPr>
                <w:rFonts w:ascii="Arial" w:cs="Arial" w:eastAsia="Arial" w:hAnsi="Arial"/>
                <w:sz w:val="15"/>
                <w:szCs w:val="15"/>
                <w:color w:val="auto"/>
                <w:w w:val="89"/>
              </w:rPr>
              <w:t>80</w:t>
            </w:r>
            <w:r>
              <w:rPr>
                <w:rFonts w:ascii="Arial" w:cs="Arial" w:eastAsia="Arial" w:hAnsi="Arial"/>
                <w:sz w:val="22"/>
                <w:szCs w:val="22"/>
                <w:color w:val="auto"/>
                <w:w w:val="89"/>
                <w:vertAlign w:val="superscript"/>
              </w:rPr>
              <w:t>th</w:t>
            </w:r>
          </w:p>
        </w:tc>
        <w:tc>
          <w:tcPr>
            <w:tcW w:w="1160" w:type="dxa"/>
            <w:vAlign w:val="bottom"/>
            <w:shd w:val="clear" w:color="auto" w:fill="F7F1EC"/>
          </w:tcPr>
          <w:p>
            <w:pPr>
              <w:jc w:val="center"/>
              <w:ind w:left="123"/>
              <w:spacing w:after="0"/>
              <w:rPr>
                <w:sz w:val="20"/>
                <w:szCs w:val="20"/>
                <w:color w:val="auto"/>
              </w:rPr>
            </w:pPr>
            <w:r>
              <w:rPr>
                <w:rFonts w:ascii="Arial" w:cs="Arial" w:eastAsia="Arial" w:hAnsi="Arial"/>
                <w:sz w:val="15"/>
                <w:szCs w:val="15"/>
                <w:color w:val="auto"/>
              </w:rPr>
              <w:t>200%</w:t>
            </w:r>
          </w:p>
        </w:tc>
      </w:tr>
      <w:tr>
        <w:trPr>
          <w:trHeight w:val="306"/>
        </w:trPr>
        <w:tc>
          <w:tcPr>
            <w:tcW w:w="4840" w:type="dxa"/>
            <w:vAlign w:val="bottom"/>
          </w:tcPr>
          <w:p>
            <w:pPr>
              <w:ind w:left="60"/>
              <w:spacing w:after="0"/>
              <w:rPr>
                <w:sz w:val="20"/>
                <w:szCs w:val="20"/>
                <w:color w:val="auto"/>
              </w:rPr>
            </w:pPr>
            <w:r>
              <w:rPr>
                <w:rFonts w:ascii="Arial" w:cs="Arial" w:eastAsia="Arial" w:hAnsi="Arial"/>
                <w:sz w:val="15"/>
                <w:szCs w:val="15"/>
                <w:color w:val="auto"/>
              </w:rPr>
              <w:t>Target</w:t>
            </w:r>
          </w:p>
        </w:tc>
        <w:tc>
          <w:tcPr>
            <w:tcW w:w="1880" w:type="dxa"/>
            <w:vAlign w:val="bottom"/>
          </w:tcPr>
          <w:p>
            <w:pPr>
              <w:jc w:val="center"/>
              <w:ind w:left="153"/>
              <w:spacing w:after="0" w:line="307" w:lineRule="exact"/>
              <w:rPr>
                <w:sz w:val="20"/>
                <w:szCs w:val="20"/>
                <w:color w:val="auto"/>
              </w:rPr>
            </w:pPr>
            <w:r>
              <w:rPr>
                <w:rFonts w:ascii="Arial" w:cs="Arial" w:eastAsia="Arial" w:hAnsi="Arial"/>
                <w:sz w:val="30"/>
                <w:szCs w:val="30"/>
                <w:color w:val="auto"/>
                <w:w w:val="82"/>
                <w:vertAlign w:val="subscript"/>
              </w:rPr>
              <w:t>50</w:t>
            </w:r>
            <w:r>
              <w:rPr>
                <w:rFonts w:ascii="Arial" w:cs="Arial" w:eastAsia="Arial" w:hAnsi="Arial"/>
                <w:sz w:val="11"/>
                <w:szCs w:val="11"/>
                <w:color w:val="auto"/>
                <w:w w:val="82"/>
              </w:rPr>
              <w:t>th</w:t>
            </w:r>
          </w:p>
        </w:tc>
        <w:tc>
          <w:tcPr>
            <w:tcW w:w="1160" w:type="dxa"/>
            <w:vAlign w:val="bottom"/>
          </w:tcPr>
          <w:p>
            <w:pPr>
              <w:jc w:val="center"/>
              <w:ind w:left="123"/>
              <w:spacing w:after="0"/>
              <w:rPr>
                <w:sz w:val="20"/>
                <w:szCs w:val="20"/>
                <w:color w:val="auto"/>
              </w:rPr>
            </w:pPr>
            <w:r>
              <w:rPr>
                <w:rFonts w:ascii="Arial" w:cs="Arial" w:eastAsia="Arial" w:hAnsi="Arial"/>
                <w:sz w:val="15"/>
                <w:szCs w:val="15"/>
                <w:color w:val="auto"/>
              </w:rPr>
              <w:t>100%</w:t>
            </w:r>
          </w:p>
        </w:tc>
      </w:tr>
      <w:tr>
        <w:trPr>
          <w:trHeight w:val="306"/>
        </w:trPr>
        <w:tc>
          <w:tcPr>
            <w:tcW w:w="4840" w:type="dxa"/>
            <w:vAlign w:val="bottom"/>
            <w:shd w:val="clear" w:color="auto" w:fill="F7F1EC"/>
          </w:tcPr>
          <w:p>
            <w:pPr>
              <w:ind w:left="60"/>
              <w:spacing w:after="0"/>
              <w:rPr>
                <w:sz w:val="20"/>
                <w:szCs w:val="20"/>
                <w:color w:val="auto"/>
              </w:rPr>
            </w:pPr>
            <w:r>
              <w:rPr>
                <w:rFonts w:ascii="Arial" w:cs="Arial" w:eastAsia="Arial" w:hAnsi="Arial"/>
                <w:sz w:val="15"/>
                <w:szCs w:val="15"/>
                <w:color w:val="auto"/>
              </w:rPr>
              <w:t>Threshold</w:t>
            </w:r>
          </w:p>
        </w:tc>
        <w:tc>
          <w:tcPr>
            <w:tcW w:w="1880" w:type="dxa"/>
            <w:vAlign w:val="bottom"/>
            <w:shd w:val="clear" w:color="auto" w:fill="F7F1EC"/>
          </w:tcPr>
          <w:p>
            <w:pPr>
              <w:jc w:val="center"/>
              <w:ind w:left="153"/>
              <w:spacing w:after="0" w:line="307" w:lineRule="exact"/>
              <w:rPr>
                <w:sz w:val="20"/>
                <w:szCs w:val="20"/>
                <w:color w:val="auto"/>
              </w:rPr>
            </w:pPr>
            <w:r>
              <w:rPr>
                <w:rFonts w:ascii="Arial" w:cs="Arial" w:eastAsia="Arial" w:hAnsi="Arial"/>
                <w:sz w:val="30"/>
                <w:szCs w:val="30"/>
                <w:color w:val="auto"/>
                <w:w w:val="82"/>
                <w:vertAlign w:val="subscript"/>
              </w:rPr>
              <w:t>25</w:t>
            </w:r>
            <w:r>
              <w:rPr>
                <w:rFonts w:ascii="Arial" w:cs="Arial" w:eastAsia="Arial" w:hAnsi="Arial"/>
                <w:sz w:val="11"/>
                <w:szCs w:val="11"/>
                <w:color w:val="auto"/>
                <w:w w:val="82"/>
              </w:rPr>
              <w:t>th</w:t>
            </w:r>
          </w:p>
        </w:tc>
        <w:tc>
          <w:tcPr>
            <w:tcW w:w="1160" w:type="dxa"/>
            <w:vAlign w:val="bottom"/>
            <w:shd w:val="clear" w:color="auto" w:fill="F7F1EC"/>
          </w:tcPr>
          <w:p>
            <w:pPr>
              <w:jc w:val="center"/>
              <w:ind w:left="123"/>
              <w:spacing w:after="0"/>
              <w:rPr>
                <w:sz w:val="20"/>
                <w:szCs w:val="20"/>
                <w:color w:val="auto"/>
              </w:rPr>
            </w:pPr>
            <w:r>
              <w:rPr>
                <w:rFonts w:ascii="Arial" w:cs="Arial" w:eastAsia="Arial" w:hAnsi="Arial"/>
                <w:sz w:val="15"/>
                <w:szCs w:val="15"/>
                <w:color w:val="auto"/>
              </w:rPr>
              <w:t>50%</w:t>
            </w:r>
          </w:p>
        </w:tc>
      </w:tr>
      <w:tr>
        <w:trPr>
          <w:trHeight w:val="371"/>
        </w:trPr>
        <w:tc>
          <w:tcPr>
            <w:tcW w:w="4840" w:type="dxa"/>
            <w:vAlign w:val="bottom"/>
          </w:tcPr>
          <w:p>
            <w:pPr>
              <w:ind w:left="60"/>
              <w:spacing w:after="0"/>
              <w:rPr>
                <w:sz w:val="20"/>
                <w:szCs w:val="20"/>
                <w:color w:val="auto"/>
              </w:rPr>
            </w:pPr>
            <w:r>
              <w:rPr>
                <w:rFonts w:ascii="Arial" w:cs="Arial" w:eastAsia="Arial" w:hAnsi="Arial"/>
                <w:sz w:val="15"/>
                <w:szCs w:val="15"/>
                <w:color w:val="auto"/>
              </w:rPr>
              <w:t>Below Threshold</w:t>
            </w:r>
          </w:p>
        </w:tc>
        <w:tc>
          <w:tcPr>
            <w:tcW w:w="1880" w:type="dxa"/>
            <w:vAlign w:val="bottom"/>
          </w:tcPr>
          <w:p>
            <w:pPr>
              <w:jc w:val="center"/>
              <w:ind w:left="153"/>
              <w:spacing w:after="0"/>
              <w:rPr>
                <w:sz w:val="20"/>
                <w:szCs w:val="20"/>
                <w:color w:val="auto"/>
              </w:rPr>
            </w:pPr>
            <w:r>
              <w:rPr>
                <w:rFonts w:ascii="Arial" w:cs="Arial" w:eastAsia="Arial" w:hAnsi="Arial"/>
                <w:sz w:val="15"/>
                <w:szCs w:val="15"/>
                <w:color w:val="auto"/>
              </w:rPr>
              <w:t>Below 25</w:t>
            </w:r>
            <w:r>
              <w:rPr>
                <w:rFonts w:ascii="Arial" w:cs="Arial" w:eastAsia="Arial" w:hAnsi="Arial"/>
                <w:sz w:val="22"/>
                <w:szCs w:val="22"/>
                <w:color w:val="auto"/>
                <w:vertAlign w:val="superscript"/>
              </w:rPr>
              <w:t>th</w:t>
            </w:r>
          </w:p>
        </w:tc>
        <w:tc>
          <w:tcPr>
            <w:tcW w:w="1160" w:type="dxa"/>
            <w:vAlign w:val="bottom"/>
          </w:tcPr>
          <w:p>
            <w:pPr>
              <w:jc w:val="center"/>
              <w:ind w:left="103"/>
              <w:spacing w:after="0"/>
              <w:rPr>
                <w:sz w:val="20"/>
                <w:szCs w:val="20"/>
                <w:color w:val="auto"/>
              </w:rPr>
            </w:pPr>
            <w:r>
              <w:rPr>
                <w:rFonts w:ascii="Arial" w:cs="Arial" w:eastAsia="Arial" w:hAnsi="Arial"/>
                <w:sz w:val="15"/>
                <w:szCs w:val="15"/>
                <w:color w:val="auto"/>
              </w:rPr>
              <w:t>0%</w:t>
            </w:r>
          </w:p>
        </w:tc>
      </w:tr>
    </w:tbl>
    <w:p>
      <w:pPr>
        <w:spacing w:after="0" w:line="26" w:lineRule="exact"/>
        <w:rPr>
          <w:sz w:val="20"/>
          <w:szCs w:val="20"/>
          <w:color w:val="auto"/>
        </w:rPr>
      </w:pPr>
    </w:p>
    <w:p>
      <w:pPr>
        <w:ind w:left="540" w:right="160"/>
        <w:spacing w:after="0" w:line="255" w:lineRule="auto"/>
        <w:rPr>
          <w:sz w:val="20"/>
          <w:szCs w:val="20"/>
          <w:color w:val="auto"/>
        </w:rPr>
      </w:pPr>
      <w:r>
        <w:rPr>
          <w:rFonts w:ascii="Arial" w:cs="Arial" w:eastAsia="Arial" w:hAnsi="Arial"/>
          <w:sz w:val="15"/>
          <w:szCs w:val="15"/>
          <w:color w:val="auto"/>
        </w:rPr>
        <w:t>If the TSR Percentile Rank is greater than the 25th but less than the 80th percentile, the number of earned PSUs will be interpolated on a straight-line basis between performance levels. The beginning and ending share price for TSR calculations will be based on the average closing price of our Common Stock for the trailing 30 consecutive trading days including each of the beginning and end dates of the Performance Period. Earned PSUs become vested on the later of the third anniversary of the grant date and the date on which the Compensation Committee certifies achievement of the performance criteria associated with the award. The number of earned PSUs is capped at 100% of the target award if the Company’s TSR is negative over the Performance Period.</w:t>
      </w:r>
    </w:p>
    <w:p>
      <w:pPr>
        <w:spacing w:after="0" w:line="70" w:lineRule="exact"/>
        <w:rPr>
          <w:sz w:val="20"/>
          <w:szCs w:val="20"/>
          <w:color w:val="auto"/>
        </w:rPr>
      </w:pPr>
    </w:p>
    <w:p>
      <w:pPr>
        <w:ind w:left="540" w:right="340"/>
        <w:spacing w:after="0" w:line="268" w:lineRule="auto"/>
        <w:rPr>
          <w:sz w:val="20"/>
          <w:szCs w:val="20"/>
          <w:color w:val="auto"/>
        </w:rPr>
      </w:pPr>
      <w:r>
        <w:rPr>
          <w:rFonts w:ascii="Arial" w:cs="Arial" w:eastAsia="Arial" w:hAnsi="Arial"/>
          <w:sz w:val="15"/>
          <w:szCs w:val="15"/>
          <w:color w:val="auto"/>
        </w:rPr>
        <w:t>In granting PSUs in 2025, the Compensation Committee calculated the number of shares underlying each award using a price per share equal to the average closing price of our Common Stock for the trailing 30 consecutive trading days including the grant date. This approach was intended to mitigate the effect of stock price volatility.</w:t>
      </w:r>
    </w:p>
    <w:p>
      <w:pPr>
        <w:spacing w:after="0" w:line="60" w:lineRule="exact"/>
        <w:rPr>
          <w:sz w:val="20"/>
          <w:szCs w:val="20"/>
          <w:color w:val="auto"/>
        </w:rPr>
      </w:pPr>
    </w:p>
    <w:p>
      <w:pPr>
        <w:ind w:left="540" w:right="280"/>
        <w:spacing w:after="0" w:line="258" w:lineRule="auto"/>
        <w:rPr>
          <w:sz w:val="20"/>
          <w:szCs w:val="20"/>
          <w:color w:val="auto"/>
        </w:rPr>
      </w:pPr>
      <w:r>
        <w:rPr>
          <w:rFonts w:ascii="Arial" w:cs="Arial" w:eastAsia="Arial" w:hAnsi="Arial"/>
          <w:sz w:val="15"/>
          <w:szCs w:val="15"/>
          <w:i w:val="1"/>
          <w:iCs w:val="1"/>
          <w:color w:val="auto"/>
        </w:rPr>
        <w:t xml:space="preserve">2025 Restricted Stock Unit Awards. </w:t>
      </w:r>
      <w:r>
        <w:rPr>
          <w:rFonts w:ascii="Arial" w:cs="Arial" w:eastAsia="Arial" w:hAnsi="Arial"/>
          <w:sz w:val="15"/>
          <w:szCs w:val="15"/>
          <w:color w:val="auto"/>
        </w:rPr>
        <w:t>Each RSU granted in 2025 entitles the grantee to receive one share of our</w:t>
      </w:r>
      <w:r>
        <w:rPr>
          <w:rFonts w:ascii="Arial" w:cs="Arial" w:eastAsia="Arial" w:hAnsi="Arial"/>
          <w:sz w:val="15"/>
          <w:szCs w:val="15"/>
          <w:i w:val="1"/>
          <w:iCs w:val="1"/>
          <w:color w:val="auto"/>
        </w:rPr>
        <w:t xml:space="preserve"> </w:t>
      </w:r>
      <w:r>
        <w:rPr>
          <w:rFonts w:ascii="Arial" w:cs="Arial" w:eastAsia="Arial" w:hAnsi="Arial"/>
          <w:sz w:val="15"/>
          <w:szCs w:val="15"/>
          <w:color w:val="auto"/>
        </w:rPr>
        <w:t>Common Stock upon vesting. RSUs granted to our NEOs vest over time, generally in three equal annual installments. In granting RSUs in 2025, the Compensation Committee calculated the number of shares underlying each award using a price per share equal to the average closing price of our Common Stock for the trailing 30 consecutive trading days including the grant date, consistent with the approach for PSUs.</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rPr>
          <w:sz w:val="20"/>
          <w:szCs w:val="20"/>
          <w:color w:val="auto"/>
        </w:rPr>
      </w:pPr>
      <w:r>
        <w:rPr>
          <w:rFonts w:ascii="Arial" w:cs="Arial" w:eastAsia="Arial" w:hAnsi="Arial"/>
          <w:sz w:val="11"/>
          <w:szCs w:val="11"/>
          <w:color w:val="FFFFFF"/>
        </w:rPr>
        <w:t>Board of Directors</w:t>
      </w:r>
    </w:p>
    <w:p>
      <w:pPr>
        <w:spacing w:after="0" w:line="13" w:lineRule="exact"/>
        <w:rPr>
          <w:sz w:val="20"/>
          <w:szCs w:val="20"/>
          <w:color w:val="auto"/>
        </w:rPr>
      </w:pPr>
    </w:p>
    <w:p>
      <w:pPr>
        <w:spacing w:after="0"/>
        <w:rPr>
          <w:sz w:val="20"/>
          <w:szCs w:val="20"/>
          <w:color w:val="auto"/>
        </w:rPr>
      </w:pPr>
      <w:r>
        <w:rPr>
          <w:rFonts w:ascii="Arial" w:cs="Arial" w:eastAsia="Arial" w:hAnsi="Arial"/>
          <w:sz w:val="12"/>
          <w:szCs w:val="12"/>
          <w:color w:val="FFFFFF"/>
        </w:rPr>
        <w:t>Compensation</w:t>
      </w:r>
    </w:p>
    <w:p>
      <w:pPr>
        <w:spacing w:after="0" w:line="144" w:lineRule="exact"/>
        <w:rPr>
          <w:sz w:val="20"/>
          <w:szCs w:val="20"/>
          <w:color w:val="auto"/>
        </w:rPr>
      </w:pPr>
    </w:p>
    <w:p>
      <w:pPr>
        <w:ind w:right="700"/>
        <w:spacing w:after="0" w:line="244" w:lineRule="auto"/>
        <w:rPr>
          <w:sz w:val="20"/>
          <w:szCs w:val="20"/>
          <w:color w:val="auto"/>
        </w:rPr>
      </w:pPr>
      <w:r>
        <w:rPr>
          <w:rFonts w:ascii="Arial" w:cs="Arial" w:eastAsia="Arial" w:hAnsi="Arial"/>
          <w:sz w:val="12"/>
          <w:szCs w:val="12"/>
          <w:b w:val="1"/>
          <w:bCs w:val="1"/>
          <w:color w:val="FFFFFF"/>
        </w:rPr>
        <w:t>Compensation Discussion and Analysis</w:t>
      </w:r>
    </w:p>
    <w:p>
      <w:pPr>
        <w:spacing w:after="0" w:line="128" w:lineRule="exact"/>
        <w:rPr>
          <w:sz w:val="20"/>
          <w:szCs w:val="20"/>
          <w:color w:val="auto"/>
        </w:rPr>
      </w:pPr>
    </w:p>
    <w:p>
      <w:pPr>
        <w:spacing w:after="0"/>
        <w:rPr>
          <w:sz w:val="20"/>
          <w:szCs w:val="20"/>
          <w:color w:val="auto"/>
        </w:rPr>
      </w:pPr>
      <w:r>
        <w:rPr>
          <w:rFonts w:ascii="Arial" w:cs="Arial" w:eastAsia="Arial" w:hAnsi="Arial"/>
          <w:sz w:val="12"/>
          <w:szCs w:val="12"/>
          <w:color w:val="FFFFFF"/>
        </w:rPr>
        <w:t>Report of the</w:t>
      </w:r>
    </w:p>
    <w:p>
      <w:pPr>
        <w:spacing w:after="0" w:line="224" w:lineRule="auto"/>
        <w:rPr>
          <w:sz w:val="20"/>
          <w:szCs w:val="20"/>
          <w:color w:val="auto"/>
        </w:rPr>
      </w:pPr>
      <w:r>
        <w:rPr>
          <w:rFonts w:ascii="Arial" w:cs="Arial" w:eastAsia="Arial" w:hAnsi="Arial"/>
          <w:sz w:val="12"/>
          <w:szCs w:val="12"/>
          <w:color w:val="FFFFFF"/>
        </w:rPr>
        <w:t>Compensation</w:t>
      </w:r>
    </w:p>
    <w:p>
      <w:pPr>
        <w:spacing w:after="0" w:line="222" w:lineRule="auto"/>
        <w:rPr>
          <w:sz w:val="20"/>
          <w:szCs w:val="20"/>
          <w:color w:val="auto"/>
        </w:rPr>
      </w:pPr>
      <w:r>
        <w:rPr>
          <w:rFonts w:ascii="Arial" w:cs="Arial" w:eastAsia="Arial" w:hAnsi="Arial"/>
          <w:sz w:val="12"/>
          <w:szCs w:val="12"/>
          <w:color w:val="FFFFFF"/>
        </w:rPr>
        <w:t>and Human</w:t>
      </w:r>
    </w:p>
    <w:p>
      <w:pPr>
        <w:spacing w:after="0" w:line="222" w:lineRule="auto"/>
        <w:rPr>
          <w:sz w:val="20"/>
          <w:szCs w:val="20"/>
          <w:color w:val="auto"/>
        </w:rPr>
      </w:pPr>
      <w:r>
        <w:rPr>
          <w:rFonts w:ascii="Arial" w:cs="Arial" w:eastAsia="Arial" w:hAnsi="Arial"/>
          <w:sz w:val="12"/>
          <w:szCs w:val="12"/>
          <w:color w:val="FFFFFF"/>
        </w:rPr>
        <w:t>Resources</w:t>
      </w:r>
    </w:p>
    <w:p>
      <w:pPr>
        <w:spacing w:after="0" w:line="222" w:lineRule="auto"/>
        <w:rPr>
          <w:sz w:val="20"/>
          <w:szCs w:val="20"/>
          <w:color w:val="auto"/>
        </w:rPr>
      </w:pPr>
      <w:r>
        <w:rPr>
          <w:rFonts w:ascii="Arial" w:cs="Arial" w:eastAsia="Arial" w:hAnsi="Arial"/>
          <w:sz w:val="12"/>
          <w:szCs w:val="12"/>
          <w:color w:val="FFFFFF"/>
        </w:rPr>
        <w:t>Committee of the</w:t>
      </w:r>
    </w:p>
    <w:p>
      <w:pPr>
        <w:spacing w:after="0"/>
        <w:rPr>
          <w:sz w:val="20"/>
          <w:szCs w:val="20"/>
          <w:color w:val="auto"/>
        </w:rPr>
      </w:pPr>
      <w:r>
        <w:rPr>
          <w:rFonts w:ascii="Arial" w:cs="Arial" w:eastAsia="Arial" w:hAnsi="Arial"/>
          <w:sz w:val="11"/>
          <w:szCs w:val="11"/>
          <w:color w:val="FFFFFF"/>
        </w:rPr>
        <w:t>Board of Directors</w:t>
      </w:r>
    </w:p>
    <w:p>
      <w:pPr>
        <w:spacing w:after="0" w:line="155" w:lineRule="exact"/>
        <w:rPr>
          <w:sz w:val="20"/>
          <w:szCs w:val="20"/>
          <w:color w:val="auto"/>
        </w:rPr>
      </w:pPr>
    </w:p>
    <w:p>
      <w:pPr>
        <w:spacing w:after="0"/>
        <w:rPr>
          <w:sz w:val="20"/>
          <w:szCs w:val="20"/>
          <w:color w:val="auto"/>
        </w:rPr>
      </w:pPr>
      <w:r>
        <w:rPr>
          <w:rFonts w:ascii="Arial" w:cs="Arial" w:eastAsia="Arial" w:hAnsi="Arial"/>
          <w:sz w:val="12"/>
          <w:szCs w:val="12"/>
          <w:color w:val="FFFFFF"/>
        </w:rPr>
        <w:t>Compensation of</w:t>
      </w:r>
    </w:p>
    <w:p>
      <w:pPr>
        <w:spacing w:after="0" w:line="224" w:lineRule="auto"/>
        <w:rPr>
          <w:sz w:val="20"/>
          <w:szCs w:val="20"/>
          <w:color w:val="auto"/>
        </w:rPr>
      </w:pPr>
      <w:r>
        <w:rPr>
          <w:rFonts w:ascii="Arial" w:cs="Arial" w:eastAsia="Arial" w:hAnsi="Arial"/>
          <w:sz w:val="12"/>
          <w:szCs w:val="12"/>
          <w:color w:val="FFFFFF"/>
        </w:rPr>
        <w:t>Named Executive</w:t>
      </w:r>
    </w:p>
    <w:p>
      <w:pPr>
        <w:spacing w:after="0"/>
        <w:rPr>
          <w:sz w:val="20"/>
          <w:szCs w:val="20"/>
          <w:color w:val="auto"/>
        </w:rPr>
      </w:pPr>
      <w:r>
        <w:rPr>
          <w:rFonts w:ascii="Arial" w:cs="Arial" w:eastAsia="Arial" w:hAnsi="Arial"/>
          <w:sz w:val="12"/>
          <w:szCs w:val="12"/>
          <w:color w:val="FFFFFF"/>
        </w:rPr>
        <w:t>Officers</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Pay Versus</w:t>
      </w:r>
    </w:p>
    <w:p>
      <w:pPr>
        <w:spacing w:after="0" w:line="224" w:lineRule="auto"/>
        <w:rPr>
          <w:sz w:val="20"/>
          <w:szCs w:val="20"/>
          <w:color w:val="auto"/>
        </w:rPr>
      </w:pPr>
      <w:r>
        <w:rPr>
          <w:rFonts w:ascii="Arial" w:cs="Arial" w:eastAsia="Arial" w:hAnsi="Arial"/>
          <w:sz w:val="12"/>
          <w:szCs w:val="12"/>
          <w:color w:val="FFFFFF"/>
        </w:rPr>
        <w:t>Performance</w:t>
      </w:r>
    </w:p>
    <w:p>
      <w:pPr>
        <w:spacing w:after="0"/>
        <w:rPr>
          <w:sz w:val="20"/>
          <w:szCs w:val="20"/>
          <w:color w:val="auto"/>
        </w:rPr>
      </w:pPr>
      <w:r>
        <w:rPr>
          <w:rFonts w:ascii="Arial" w:cs="Arial" w:eastAsia="Arial" w:hAnsi="Arial"/>
          <w:sz w:val="12"/>
          <w:szCs w:val="12"/>
          <w:color w:val="FFFFFF"/>
        </w:rPr>
        <w:t>Disclosure</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Security</w:t>
      </w:r>
    </w:p>
    <w:p>
      <w:pPr>
        <w:spacing w:after="0" w:line="224" w:lineRule="auto"/>
        <w:rPr>
          <w:sz w:val="20"/>
          <w:szCs w:val="20"/>
          <w:color w:val="auto"/>
        </w:rPr>
      </w:pPr>
      <w:r>
        <w:rPr>
          <w:rFonts w:ascii="Arial" w:cs="Arial" w:eastAsia="Arial" w:hAnsi="Arial"/>
          <w:sz w:val="12"/>
          <w:szCs w:val="12"/>
          <w:color w:val="FFFFFF"/>
        </w:rPr>
        <w:t>Ownership of</w:t>
      </w:r>
    </w:p>
    <w:p>
      <w:pPr>
        <w:spacing w:after="0" w:line="222" w:lineRule="auto"/>
        <w:rPr>
          <w:sz w:val="20"/>
          <w:szCs w:val="20"/>
          <w:color w:val="auto"/>
        </w:rPr>
      </w:pPr>
      <w:r>
        <w:rPr>
          <w:rFonts w:ascii="Arial" w:cs="Arial" w:eastAsia="Arial" w:hAnsi="Arial"/>
          <w:sz w:val="12"/>
          <w:szCs w:val="12"/>
          <w:color w:val="FFFFFF"/>
        </w:rPr>
        <w:t>Certain Beneficial</w:t>
      </w:r>
    </w:p>
    <w:p>
      <w:pPr>
        <w:spacing w:after="0" w:line="222" w:lineRule="auto"/>
        <w:rPr>
          <w:sz w:val="20"/>
          <w:szCs w:val="20"/>
          <w:color w:val="auto"/>
        </w:rPr>
      </w:pPr>
      <w:r>
        <w:rPr>
          <w:rFonts w:ascii="Arial" w:cs="Arial" w:eastAsia="Arial" w:hAnsi="Arial"/>
          <w:sz w:val="12"/>
          <w:szCs w:val="12"/>
          <w:color w:val="FFFFFF"/>
        </w:rPr>
        <w:t>Owners and</w:t>
      </w:r>
    </w:p>
    <w:p>
      <w:pPr>
        <w:spacing w:after="0"/>
        <w:rPr>
          <w:sz w:val="20"/>
          <w:szCs w:val="20"/>
          <w:color w:val="auto"/>
        </w:rPr>
      </w:pPr>
      <w:r>
        <w:rPr>
          <w:rFonts w:ascii="Arial" w:cs="Arial" w:eastAsia="Arial" w:hAnsi="Arial"/>
          <w:sz w:val="12"/>
          <w:szCs w:val="12"/>
          <w:color w:val="FFFFFF"/>
        </w:rPr>
        <w:t>Management</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Certain</w:t>
      </w:r>
    </w:p>
    <w:p>
      <w:pPr>
        <w:spacing w:after="0" w:line="224" w:lineRule="auto"/>
        <w:rPr>
          <w:sz w:val="20"/>
          <w:szCs w:val="20"/>
          <w:color w:val="auto"/>
        </w:rPr>
      </w:pPr>
      <w:r>
        <w:rPr>
          <w:rFonts w:ascii="Arial" w:cs="Arial" w:eastAsia="Arial" w:hAnsi="Arial"/>
          <w:sz w:val="12"/>
          <w:szCs w:val="12"/>
          <w:color w:val="FFFFFF"/>
        </w:rPr>
        <w:t>Relationships and</w:t>
      </w:r>
    </w:p>
    <w:p>
      <w:pPr>
        <w:spacing w:after="0" w:line="222" w:lineRule="auto"/>
        <w:rPr>
          <w:sz w:val="20"/>
          <w:szCs w:val="20"/>
          <w:color w:val="auto"/>
        </w:rPr>
      </w:pPr>
      <w:r>
        <w:rPr>
          <w:rFonts w:ascii="Arial" w:cs="Arial" w:eastAsia="Arial" w:hAnsi="Arial"/>
          <w:sz w:val="12"/>
          <w:szCs w:val="12"/>
          <w:color w:val="FFFFFF"/>
        </w:rPr>
        <w:t>Related Party</w:t>
      </w:r>
    </w:p>
    <w:p>
      <w:pPr>
        <w:spacing w:after="0"/>
        <w:rPr>
          <w:sz w:val="20"/>
          <w:szCs w:val="20"/>
          <w:color w:val="auto"/>
        </w:rPr>
      </w:pPr>
      <w:r>
        <w:rPr>
          <w:rFonts w:ascii="Arial" w:cs="Arial" w:eastAsia="Arial" w:hAnsi="Arial"/>
          <w:sz w:val="12"/>
          <w:szCs w:val="12"/>
          <w:color w:val="FFFFFF"/>
        </w:rPr>
        <w:t>Transactions</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Proposal 2</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FFFFFF"/>
        </w:rPr>
        <w:t>Report of the</w:t>
      </w:r>
    </w:p>
    <w:p>
      <w:pPr>
        <w:spacing w:after="0" w:line="224" w:lineRule="auto"/>
        <w:rPr>
          <w:sz w:val="20"/>
          <w:szCs w:val="20"/>
          <w:color w:val="auto"/>
        </w:rPr>
      </w:pPr>
      <w:r>
        <w:rPr>
          <w:rFonts w:ascii="Arial" w:cs="Arial" w:eastAsia="Arial" w:hAnsi="Arial"/>
          <w:sz w:val="12"/>
          <w:szCs w:val="12"/>
          <w:color w:val="FFFFFF"/>
        </w:rPr>
        <w:t>Audit and Risk</w:t>
      </w:r>
    </w:p>
    <w:p>
      <w:pPr>
        <w:spacing w:after="0" w:line="222" w:lineRule="auto"/>
        <w:rPr>
          <w:sz w:val="20"/>
          <w:szCs w:val="20"/>
          <w:color w:val="auto"/>
        </w:rPr>
      </w:pPr>
      <w:r>
        <w:rPr>
          <w:rFonts w:ascii="Arial" w:cs="Arial" w:eastAsia="Arial" w:hAnsi="Arial"/>
          <w:sz w:val="12"/>
          <w:szCs w:val="12"/>
          <w:color w:val="FFFFFF"/>
        </w:rPr>
        <w:t>Committee of the</w:t>
      </w:r>
    </w:p>
    <w:p>
      <w:pPr>
        <w:spacing w:after="0"/>
        <w:rPr>
          <w:sz w:val="20"/>
          <w:szCs w:val="20"/>
          <w:color w:val="auto"/>
        </w:rPr>
      </w:pPr>
      <w:r>
        <w:rPr>
          <w:rFonts w:ascii="Arial" w:cs="Arial" w:eastAsia="Arial" w:hAnsi="Arial"/>
          <w:sz w:val="11"/>
          <w:szCs w:val="11"/>
          <w:color w:val="FFFFFF"/>
        </w:rPr>
        <w:t>Board of Directors</w:t>
      </w:r>
    </w:p>
    <w:p>
      <w:pPr>
        <w:spacing w:after="0" w:line="155" w:lineRule="exact"/>
        <w:rPr>
          <w:sz w:val="20"/>
          <w:szCs w:val="20"/>
          <w:color w:val="auto"/>
        </w:rPr>
      </w:pPr>
    </w:p>
    <w:p>
      <w:pPr>
        <w:spacing w:after="0"/>
        <w:rPr>
          <w:sz w:val="20"/>
          <w:szCs w:val="20"/>
          <w:color w:val="auto"/>
        </w:rPr>
      </w:pPr>
      <w:r>
        <w:rPr>
          <w:rFonts w:ascii="Arial" w:cs="Arial" w:eastAsia="Arial" w:hAnsi="Arial"/>
          <w:sz w:val="12"/>
          <w:szCs w:val="12"/>
          <w:color w:val="FFFFFF"/>
        </w:rPr>
        <w:t>Proposal 3</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FFFFFF"/>
        </w:rPr>
        <w:t>Proposal 4</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FFFFFF"/>
        </w:rPr>
        <w:t>Proposal 5</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FFFFFF"/>
        </w:rPr>
        <w:t>Proposal 6</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FFFFFF"/>
        </w:rPr>
        <w:t>Stockholder</w:t>
      </w:r>
    </w:p>
    <w:p>
      <w:pPr>
        <w:spacing w:after="0" w:line="224" w:lineRule="auto"/>
        <w:rPr>
          <w:sz w:val="20"/>
          <w:szCs w:val="20"/>
          <w:color w:val="auto"/>
        </w:rPr>
      </w:pPr>
      <w:r>
        <w:rPr>
          <w:rFonts w:ascii="Arial" w:cs="Arial" w:eastAsia="Arial" w:hAnsi="Arial"/>
          <w:sz w:val="12"/>
          <w:szCs w:val="12"/>
          <w:color w:val="FFFFFF"/>
        </w:rPr>
        <w:t>Proposals and</w:t>
      </w:r>
    </w:p>
    <w:p>
      <w:pPr>
        <w:spacing w:after="0"/>
        <w:rPr>
          <w:sz w:val="20"/>
          <w:szCs w:val="20"/>
          <w:color w:val="auto"/>
        </w:rPr>
      </w:pPr>
      <w:r>
        <w:rPr>
          <w:rFonts w:ascii="Arial" w:cs="Arial" w:eastAsia="Arial" w:hAnsi="Arial"/>
          <w:sz w:val="12"/>
          <w:szCs w:val="12"/>
          <w:color w:val="FFFFFF"/>
        </w:rPr>
        <w:t>Other Matters</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Delinquent</w:t>
      </w:r>
    </w:p>
    <w:p>
      <w:pPr>
        <w:spacing w:after="0" w:line="224" w:lineRule="auto"/>
        <w:rPr>
          <w:sz w:val="20"/>
          <w:szCs w:val="20"/>
          <w:color w:val="auto"/>
        </w:rPr>
      </w:pPr>
      <w:r>
        <w:rPr>
          <w:rFonts w:ascii="Arial" w:cs="Arial" w:eastAsia="Arial" w:hAnsi="Arial"/>
          <w:sz w:val="12"/>
          <w:szCs w:val="12"/>
          <w:color w:val="FFFFFF"/>
        </w:rPr>
        <w:t>Section 16(a)</w:t>
      </w:r>
    </w:p>
    <w:p>
      <w:pPr>
        <w:spacing w:after="0"/>
        <w:rPr>
          <w:sz w:val="20"/>
          <w:szCs w:val="20"/>
          <w:color w:val="auto"/>
        </w:rPr>
      </w:pPr>
      <w:r>
        <w:rPr>
          <w:rFonts w:ascii="Arial" w:cs="Arial" w:eastAsia="Arial" w:hAnsi="Arial"/>
          <w:sz w:val="12"/>
          <w:szCs w:val="12"/>
          <w:color w:val="FFFFFF"/>
        </w:rPr>
        <w:t>Reports</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Other</w:t>
      </w:r>
    </w:p>
    <w:p>
      <w:pPr>
        <w:spacing w:after="0" w:line="2" w:lineRule="exact"/>
        <w:rPr>
          <w:sz w:val="20"/>
          <w:szCs w:val="20"/>
          <w:color w:val="auto"/>
        </w:rPr>
      </w:pPr>
    </w:p>
    <w:p>
      <w:pPr>
        <w:spacing w:after="0"/>
        <w:rPr>
          <w:sz w:val="20"/>
          <w:szCs w:val="20"/>
          <w:color w:val="auto"/>
        </w:rPr>
      </w:pPr>
      <w:r>
        <w:rPr>
          <w:rFonts w:ascii="Arial" w:cs="Arial" w:eastAsia="Arial" w:hAnsi="Arial"/>
          <w:sz w:val="12"/>
          <w:szCs w:val="12"/>
          <w:color w:val="FFFFFF"/>
        </w:rPr>
        <w:t>Information</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Appendix A</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FFFFFF"/>
        </w:rPr>
        <w:t>Appendix B</w:t>
      </w:r>
    </w:p>
    <w:p>
      <w:pPr>
        <w:spacing w:after="0" w:line="200" w:lineRule="exact"/>
        <w:rPr>
          <w:sz w:val="20"/>
          <w:szCs w:val="20"/>
          <w:color w:val="auto"/>
        </w:rPr>
      </w:pPr>
    </w:p>
    <w:p>
      <w:pPr>
        <w:sectPr>
          <w:pgSz w:w="11900" w:h="16838" w:orient="portrait"/>
          <w:cols w:equalWidth="0" w:num="2">
            <w:col w:w="8500" w:space="720"/>
            <w:col w:w="1580"/>
          </w:cols>
          <w:pgMar w:left="320" w:top="464" w:right="7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6380"/>
        <w:spacing w:after="0"/>
        <w:tabs>
          <w:tab w:leader="none" w:pos="8500" w:val="left"/>
          <w:tab w:leader="none" w:pos="9960" w:val="left"/>
        </w:tabs>
        <w:rPr>
          <w:sz w:val="20"/>
          <w:szCs w:val="20"/>
          <w:color w:val="auto"/>
        </w:rPr>
      </w:pPr>
      <w:r>
        <w:rPr>
          <w:rFonts w:ascii="Arial" w:cs="Arial" w:eastAsia="Arial" w:hAnsi="Arial"/>
          <w:sz w:val="15"/>
          <w:szCs w:val="15"/>
          <w:b w:val="1"/>
          <w:bCs w:val="1"/>
          <w:color w:val="002B5F"/>
        </w:rPr>
        <w:t xml:space="preserve">2026 Proxy Statement  </w:t>
      </w:r>
      <w:r>
        <w:rPr>
          <w:rFonts w:ascii="Arial" w:cs="Arial" w:eastAsia="Arial" w:hAnsi="Arial"/>
          <w:sz w:val="20"/>
          <w:szCs w:val="20"/>
          <w:color w:val="002B5F"/>
        </w:rPr>
        <w:t>|</w:t>
      </w:r>
      <w:r>
        <w:rPr>
          <w:rFonts w:ascii="Arial" w:cs="Arial" w:eastAsia="Arial" w:hAnsi="Arial"/>
          <w:sz w:val="15"/>
          <w:szCs w:val="15"/>
          <w:b w:val="1"/>
          <w:bCs w:val="1"/>
          <w:color w:val="002B5F"/>
        </w:rPr>
        <w:t xml:space="preserve">  51</w:t>
      </w:r>
      <w:r>
        <w:rPr>
          <w:sz w:val="20"/>
          <w:szCs w:val="20"/>
          <w:color w:val="auto"/>
        </w:rPr>
        <w:tab/>
      </w:r>
      <w:r>
        <w:rPr>
          <w:rFonts w:ascii="Arial" w:cs="Arial" w:eastAsia="Arial" w:hAnsi="Arial"/>
          <w:sz w:val="17"/>
          <w:szCs w:val="17"/>
          <w:color w:val="auto"/>
        </w:rPr>
        <w:t xml:space="preserve">    </w:t>
      </w:r>
      <w:r>
        <w:rPr>
          <w:sz w:val="20"/>
          <w:szCs w:val="20"/>
          <w:color w:val="auto"/>
        </w:rPr>
        <w:tab/>
      </w:r>
      <w:r>
        <w:rPr>
          <w:rFonts w:ascii="Arial" w:cs="Arial" w:eastAsia="Arial" w:hAnsi="Arial"/>
          <w:sz w:val="17"/>
          <w:szCs w:val="17"/>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268605</wp:posOffset>
            </wp:positionH>
            <wp:positionV relativeFrom="paragraph">
              <wp:posOffset>-128905</wp:posOffset>
            </wp:positionV>
            <wp:extent cx="762000" cy="971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62000" cy="97155"/>
                    </a:xfrm>
                    <a:prstGeom prst="rect">
                      <a:avLst/>
                    </a:prstGeom>
                    <a:noFill/>
                  </pic:spPr>
                </pic:pic>
              </a:graphicData>
            </a:graphic>
          </wp:anchor>
        </w:drawing>
      </w:r>
    </w:p>
    <w:p>
      <w:pPr>
        <w:sectPr>
          <w:pgSz w:w="11900" w:h="16838" w:orient="portrait"/>
          <w:cols w:equalWidth="0" w:num="1">
            <w:col w:w="10800"/>
          </w:cols>
          <w:pgMar w:left="320" w:top="464" w:right="779" w:bottom="1440" w:gutter="0" w:footer="0" w:header="0"/>
          <w:type w:val="continuous"/>
        </w:sectPr>
      </w:pPr>
    </w:p>
    <w:bookmarkStart w:id="59" w:name="page60"/>
    <w:bookmarkEnd w:id="59"/>
    <w:p>
      <w:pPr>
        <w:spacing w:after="0"/>
        <w:rPr>
          <w:sz w:val="20"/>
          <w:szCs w:val="20"/>
          <w:color w:val="auto"/>
        </w:rPr>
      </w:pPr>
      <w:r>
        <w:rPr>
          <w:rFonts w:ascii="Times New Roman" w:cs="Times New Roman" w:eastAsia="Times New Roman" w:hAnsi="Times New Roman"/>
          <w:sz w:val="17"/>
          <w:szCs w:val="17"/>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268605</wp:posOffset>
            </wp:positionH>
            <wp:positionV relativeFrom="paragraph">
              <wp:posOffset>253365</wp:posOffset>
            </wp:positionV>
            <wp:extent cx="1183005" cy="745617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1183005" cy="7456170"/>
                    </a:xfrm>
                    <a:prstGeom prst="rect">
                      <a:avLst/>
                    </a:prstGeom>
                    <a:noFill/>
                  </pic:spPr>
                </pic:pic>
              </a:graphicData>
            </a:graphic>
          </wp:anchor>
        </w:drawing>
      </w:r>
    </w:p>
    <w:p>
      <w:pPr>
        <w:spacing w:after="0" w:line="200" w:lineRule="exact"/>
        <w:rPr>
          <w:sz w:val="20"/>
          <w:szCs w:val="20"/>
          <w:color w:val="auto"/>
        </w:rPr>
      </w:pPr>
    </w:p>
    <w:p>
      <w:pPr>
        <w:spacing w:after="0" w:line="304" w:lineRule="exact"/>
        <w:rPr>
          <w:sz w:val="20"/>
          <w:szCs w:val="20"/>
          <w:color w:val="auto"/>
        </w:rPr>
      </w:pPr>
    </w:p>
    <w:p>
      <w:pPr>
        <w:ind w:left="1120" w:right="460" w:hanging="672"/>
        <w:spacing w:after="0" w:line="382" w:lineRule="auto"/>
        <w:tabs>
          <w:tab w:leader="none" w:pos="610" w:val="left"/>
        </w:tabs>
        <w:numPr>
          <w:ilvl w:val="0"/>
          <w:numId w:val="80"/>
        </w:numPr>
        <w:rPr>
          <w:rFonts w:ascii="Arial" w:cs="Arial" w:eastAsia="Arial" w:hAnsi="Arial"/>
          <w:sz w:val="24"/>
          <w:szCs w:val="24"/>
          <w:color w:val="auto"/>
          <w:vertAlign w:val="subscript"/>
        </w:rPr>
      </w:pPr>
      <w:r>
        <w:rPr>
          <w:rFonts w:ascii="Arial" w:cs="Arial" w:eastAsia="Arial" w:hAnsi="Arial"/>
          <w:sz w:val="24"/>
          <w:szCs w:val="24"/>
          <w:color w:val="000000"/>
          <w:vertAlign w:val="subscript"/>
        </w:rPr>
        <w:t xml:space="preserve">     </w:t>
      </w:r>
      <w:r>
        <w:rPr>
          <w:rFonts w:ascii="Arial" w:cs="Arial" w:eastAsia="Arial" w:hAnsi="Arial"/>
          <w:sz w:val="10"/>
          <w:szCs w:val="10"/>
          <w:color w:val="FFFFFF"/>
        </w:rPr>
        <w:t xml:space="preserve"> General Information</w:t>
      </w:r>
    </w:p>
    <w:p>
      <w:pPr>
        <w:spacing w:after="0" w:line="1" w:lineRule="exact"/>
        <w:rPr>
          <w:sz w:val="20"/>
          <w:szCs w:val="20"/>
          <w:color w:val="auto"/>
        </w:rPr>
      </w:pPr>
    </w:p>
    <w:p>
      <w:pPr>
        <w:ind w:left="1120"/>
        <w:spacing w:after="0"/>
        <w:rPr>
          <w:sz w:val="20"/>
          <w:szCs w:val="20"/>
          <w:color w:val="auto"/>
        </w:rPr>
      </w:pPr>
      <w:r>
        <w:rPr>
          <w:rFonts w:ascii="Arial" w:cs="Arial" w:eastAsia="Arial" w:hAnsi="Arial"/>
          <w:sz w:val="11"/>
          <w:szCs w:val="11"/>
          <w:color w:val="FFFFFF"/>
        </w:rPr>
        <w:t>General Information</w:t>
      </w:r>
    </w:p>
    <w:p>
      <w:pPr>
        <w:spacing w:after="0" w:line="3"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About Corporate</w:t>
      </w:r>
    </w:p>
    <w:p>
      <w:pPr>
        <w:ind w:left="1120"/>
        <w:spacing w:after="0" w:line="221" w:lineRule="auto"/>
        <w:rPr>
          <w:sz w:val="20"/>
          <w:szCs w:val="20"/>
          <w:color w:val="auto"/>
        </w:rPr>
      </w:pPr>
      <w:r>
        <w:rPr>
          <w:rFonts w:ascii="Arial" w:cs="Arial" w:eastAsia="Arial" w:hAnsi="Arial"/>
          <w:sz w:val="12"/>
          <w:szCs w:val="12"/>
          <w:color w:val="FFFFFF"/>
        </w:rPr>
        <w:t>Governance</w:t>
      </w:r>
    </w:p>
    <w:p>
      <w:pPr>
        <w:ind w:left="1120"/>
        <w:spacing w:after="0" w:line="222" w:lineRule="auto"/>
        <w:rPr>
          <w:sz w:val="20"/>
          <w:szCs w:val="20"/>
          <w:color w:val="auto"/>
        </w:rPr>
      </w:pPr>
      <w:r>
        <w:rPr>
          <w:rFonts w:ascii="Arial" w:cs="Arial" w:eastAsia="Arial" w:hAnsi="Arial"/>
          <w:sz w:val="12"/>
          <w:szCs w:val="12"/>
          <w:color w:val="FFFFFF"/>
        </w:rPr>
        <w:t>and the Board of</w:t>
      </w:r>
    </w:p>
    <w:p>
      <w:pPr>
        <w:spacing w:after="0" w:line="1"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Directors</w:t>
      </w:r>
    </w:p>
    <w:p>
      <w:pPr>
        <w:spacing w:after="0" w:line="144" w:lineRule="exact"/>
        <w:rPr>
          <w:sz w:val="20"/>
          <w:szCs w:val="20"/>
          <w:color w:val="auto"/>
        </w:rPr>
      </w:pPr>
    </w:p>
    <w:p>
      <w:pPr>
        <w:jc w:val="center"/>
        <w:ind w:left="620"/>
        <w:spacing w:after="0"/>
        <w:rPr>
          <w:sz w:val="20"/>
          <w:szCs w:val="20"/>
          <w:color w:val="auto"/>
        </w:rPr>
      </w:pPr>
      <w:r>
        <w:rPr>
          <w:rFonts w:ascii="Arial" w:cs="Arial" w:eastAsia="Arial" w:hAnsi="Arial"/>
          <w:sz w:val="12"/>
          <w:szCs w:val="12"/>
          <w:color w:val="FFFFFF"/>
        </w:rPr>
        <w:t>Proposal 1</w:t>
      </w:r>
    </w:p>
    <w:p>
      <w:pPr>
        <w:spacing w:after="0" w:line="156"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Information</w:t>
      </w:r>
    </w:p>
    <w:p>
      <w:pPr>
        <w:ind w:left="1120"/>
        <w:spacing w:after="0" w:line="224" w:lineRule="auto"/>
        <w:rPr>
          <w:sz w:val="20"/>
          <w:szCs w:val="20"/>
          <w:color w:val="auto"/>
        </w:rPr>
      </w:pPr>
      <w:r>
        <w:rPr>
          <w:rFonts w:ascii="Arial" w:cs="Arial" w:eastAsia="Arial" w:hAnsi="Arial"/>
          <w:sz w:val="12"/>
          <w:szCs w:val="12"/>
          <w:color w:val="FFFFFF"/>
        </w:rPr>
        <w:t>Regarding Board</w:t>
      </w:r>
    </w:p>
    <w:p>
      <w:pPr>
        <w:ind w:left="1120"/>
        <w:spacing w:after="0" w:line="222" w:lineRule="auto"/>
        <w:rPr>
          <w:sz w:val="20"/>
          <w:szCs w:val="20"/>
          <w:color w:val="auto"/>
        </w:rPr>
      </w:pPr>
      <w:r>
        <w:rPr>
          <w:rFonts w:ascii="Arial" w:cs="Arial" w:eastAsia="Arial" w:hAnsi="Arial"/>
          <w:sz w:val="12"/>
          <w:szCs w:val="12"/>
          <w:color w:val="FFFFFF"/>
        </w:rPr>
        <w:t>and Committee</w:t>
      </w:r>
    </w:p>
    <w:p>
      <w:pPr>
        <w:ind w:left="1120"/>
        <w:spacing w:after="0"/>
        <w:rPr>
          <w:sz w:val="20"/>
          <w:szCs w:val="20"/>
          <w:color w:val="auto"/>
        </w:rPr>
      </w:pPr>
      <w:r>
        <w:rPr>
          <w:rFonts w:ascii="Arial" w:cs="Arial" w:eastAsia="Arial" w:hAnsi="Arial"/>
          <w:sz w:val="12"/>
          <w:szCs w:val="12"/>
          <w:color w:val="FFFFFF"/>
        </w:rPr>
        <w:t>Structure</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Board of Directors</w:t>
      </w:r>
    </w:p>
    <w:p>
      <w:pPr>
        <w:spacing w:after="0" w:line="2"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Compensation</w:t>
      </w:r>
    </w:p>
    <w:p>
      <w:pPr>
        <w:spacing w:after="0" w:line="143" w:lineRule="exact"/>
        <w:rPr>
          <w:sz w:val="20"/>
          <w:szCs w:val="20"/>
          <w:color w:val="auto"/>
        </w:rPr>
      </w:pPr>
    </w:p>
    <w:p>
      <w:pPr>
        <w:ind w:left="980"/>
        <w:spacing w:after="0"/>
        <w:rPr>
          <w:sz w:val="20"/>
          <w:szCs w:val="20"/>
          <w:color w:val="auto"/>
        </w:rPr>
      </w:pPr>
      <w:r>
        <w:rPr>
          <w:sz w:val="1"/>
          <w:szCs w:val="1"/>
          <w:color w:val="auto"/>
        </w:rPr>
        <w:drawing>
          <wp:inline distT="0" distB="0" distL="0" distR="0">
            <wp:extent cx="48895" cy="73025"/>
            <wp:effectExtent l="0" t="0" r="0" b="0"/>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48895" cy="73025"/>
                    </a:xfrm>
                    <a:prstGeom prst="rect">
                      <a:avLst/>
                    </a:prstGeom>
                    <a:noFill/>
                    <a:ln>
                      <a:noFill/>
                    </a:ln>
                  </pic:spPr>
                </pic:pic>
              </a:graphicData>
            </a:graphic>
          </wp:inline>
        </w:drawing>
      </w:r>
      <w:r>
        <w:rPr>
          <w:rFonts w:ascii="Arial" w:cs="Arial" w:eastAsia="Arial" w:hAnsi="Arial"/>
          <w:sz w:val="12"/>
          <w:szCs w:val="12"/>
          <w:b w:val="1"/>
          <w:bCs w:val="1"/>
          <w:color w:val="FFFFFF"/>
        </w:rPr>
        <w:t xml:space="preserve"> Compensation</w:t>
      </w:r>
    </w:p>
    <w:p>
      <w:pPr>
        <w:ind w:left="1120"/>
        <w:spacing w:after="0" w:line="221" w:lineRule="auto"/>
        <w:rPr>
          <w:sz w:val="20"/>
          <w:szCs w:val="20"/>
          <w:color w:val="auto"/>
        </w:rPr>
      </w:pPr>
      <w:r>
        <w:rPr>
          <w:rFonts w:ascii="Arial" w:cs="Arial" w:eastAsia="Arial" w:hAnsi="Arial"/>
          <w:sz w:val="12"/>
          <w:szCs w:val="12"/>
          <w:b w:val="1"/>
          <w:bCs w:val="1"/>
          <w:color w:val="FFFFFF"/>
        </w:rPr>
        <w:t>Discussion and</w:t>
      </w:r>
    </w:p>
    <w:p>
      <w:pPr>
        <w:spacing w:after="0" w:line="1" w:lineRule="exact"/>
        <w:rPr>
          <w:sz w:val="20"/>
          <w:szCs w:val="20"/>
          <w:color w:val="auto"/>
        </w:rPr>
      </w:pPr>
    </w:p>
    <w:p>
      <w:pPr>
        <w:ind w:left="1120"/>
        <w:spacing w:after="0"/>
        <w:rPr>
          <w:sz w:val="20"/>
          <w:szCs w:val="20"/>
          <w:color w:val="auto"/>
        </w:rPr>
      </w:pPr>
      <w:r>
        <w:rPr>
          <w:rFonts w:ascii="Arial" w:cs="Arial" w:eastAsia="Arial" w:hAnsi="Arial"/>
          <w:sz w:val="12"/>
          <w:szCs w:val="12"/>
          <w:b w:val="1"/>
          <w:bCs w:val="1"/>
          <w:color w:val="FFFFFF"/>
        </w:rPr>
        <w:t>Analysis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Report of the</w:t>
      </w:r>
    </w:p>
    <w:p>
      <w:pPr>
        <w:ind w:left="1120"/>
        <w:spacing w:after="0" w:line="224" w:lineRule="auto"/>
        <w:rPr>
          <w:sz w:val="20"/>
          <w:szCs w:val="20"/>
          <w:color w:val="auto"/>
        </w:rPr>
      </w:pPr>
      <w:r>
        <w:rPr>
          <w:rFonts w:ascii="Arial" w:cs="Arial" w:eastAsia="Arial" w:hAnsi="Arial"/>
          <w:sz w:val="12"/>
          <w:szCs w:val="12"/>
          <w:color w:val="FFFFFF"/>
        </w:rPr>
        <w:t>Compensation</w:t>
      </w:r>
    </w:p>
    <w:p>
      <w:pPr>
        <w:ind w:left="1120"/>
        <w:spacing w:after="0" w:line="222" w:lineRule="auto"/>
        <w:rPr>
          <w:sz w:val="20"/>
          <w:szCs w:val="20"/>
          <w:color w:val="auto"/>
        </w:rPr>
      </w:pPr>
      <w:r>
        <w:rPr>
          <w:rFonts w:ascii="Arial" w:cs="Arial" w:eastAsia="Arial" w:hAnsi="Arial"/>
          <w:sz w:val="12"/>
          <w:szCs w:val="12"/>
          <w:color w:val="FFFFFF"/>
        </w:rPr>
        <w:t>and Human</w:t>
      </w:r>
    </w:p>
    <w:p>
      <w:pPr>
        <w:ind w:left="1120"/>
        <w:spacing w:after="0" w:line="222" w:lineRule="auto"/>
        <w:rPr>
          <w:sz w:val="20"/>
          <w:szCs w:val="20"/>
          <w:color w:val="auto"/>
        </w:rPr>
      </w:pPr>
      <w:r>
        <w:rPr>
          <w:rFonts w:ascii="Arial" w:cs="Arial" w:eastAsia="Arial" w:hAnsi="Arial"/>
          <w:sz w:val="12"/>
          <w:szCs w:val="12"/>
          <w:color w:val="FFFFFF"/>
        </w:rPr>
        <w:t>Resources</w:t>
      </w:r>
    </w:p>
    <w:p>
      <w:pPr>
        <w:ind w:left="1120"/>
        <w:spacing w:after="0" w:line="222" w:lineRule="auto"/>
        <w:rPr>
          <w:sz w:val="20"/>
          <w:szCs w:val="20"/>
          <w:color w:val="auto"/>
        </w:rPr>
      </w:pPr>
      <w:r>
        <w:rPr>
          <w:rFonts w:ascii="Arial" w:cs="Arial" w:eastAsia="Arial" w:hAnsi="Arial"/>
          <w:sz w:val="12"/>
          <w:szCs w:val="12"/>
          <w:color w:val="FFFFFF"/>
        </w:rPr>
        <w:t>Committee of the</w:t>
      </w:r>
    </w:p>
    <w:p>
      <w:pPr>
        <w:ind w:left="1120"/>
        <w:spacing w:after="0"/>
        <w:rPr>
          <w:sz w:val="20"/>
          <w:szCs w:val="20"/>
          <w:color w:val="auto"/>
        </w:rPr>
      </w:pPr>
      <w:r>
        <w:rPr>
          <w:rFonts w:ascii="Arial" w:cs="Arial" w:eastAsia="Arial" w:hAnsi="Arial"/>
          <w:sz w:val="12"/>
          <w:szCs w:val="12"/>
          <w:color w:val="FFFFFF"/>
        </w:rPr>
        <w:t>Board of Directors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Compensation of</w:t>
      </w:r>
    </w:p>
    <w:p>
      <w:pPr>
        <w:ind w:left="1120"/>
        <w:spacing w:after="0" w:line="224" w:lineRule="auto"/>
        <w:rPr>
          <w:sz w:val="20"/>
          <w:szCs w:val="20"/>
          <w:color w:val="auto"/>
        </w:rPr>
      </w:pPr>
      <w:r>
        <w:rPr>
          <w:rFonts w:ascii="Arial" w:cs="Arial" w:eastAsia="Arial" w:hAnsi="Arial"/>
          <w:sz w:val="12"/>
          <w:szCs w:val="12"/>
          <w:color w:val="FFFFFF"/>
        </w:rPr>
        <w:t>Named Executive</w:t>
      </w:r>
    </w:p>
    <w:p>
      <w:pPr>
        <w:ind w:left="1120"/>
        <w:spacing w:after="0"/>
        <w:rPr>
          <w:sz w:val="20"/>
          <w:szCs w:val="20"/>
          <w:color w:val="auto"/>
        </w:rPr>
      </w:pPr>
      <w:r>
        <w:rPr>
          <w:rFonts w:ascii="Arial" w:cs="Arial" w:eastAsia="Arial" w:hAnsi="Arial"/>
          <w:sz w:val="12"/>
          <w:szCs w:val="12"/>
          <w:color w:val="FFFFFF"/>
        </w:rPr>
        <w:t>Officers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Pay Versus</w:t>
      </w:r>
    </w:p>
    <w:p>
      <w:pPr>
        <w:ind w:left="1120"/>
        <w:spacing w:after="0" w:line="224" w:lineRule="auto"/>
        <w:rPr>
          <w:sz w:val="20"/>
          <w:szCs w:val="20"/>
          <w:color w:val="auto"/>
        </w:rPr>
      </w:pPr>
      <w:r>
        <w:rPr>
          <w:rFonts w:ascii="Arial" w:cs="Arial" w:eastAsia="Arial" w:hAnsi="Arial"/>
          <w:sz w:val="12"/>
          <w:szCs w:val="12"/>
          <w:color w:val="FFFFFF"/>
        </w:rPr>
        <w:t>Performance</w:t>
      </w:r>
    </w:p>
    <w:p>
      <w:pPr>
        <w:ind w:left="1120"/>
        <w:spacing w:after="0"/>
        <w:rPr>
          <w:sz w:val="20"/>
          <w:szCs w:val="20"/>
          <w:color w:val="auto"/>
        </w:rPr>
      </w:pPr>
      <w:r>
        <w:rPr>
          <w:rFonts w:ascii="Arial" w:cs="Arial" w:eastAsia="Arial" w:hAnsi="Arial"/>
          <w:sz w:val="12"/>
          <w:szCs w:val="12"/>
          <w:color w:val="FFFFFF"/>
        </w:rPr>
        <w:t>Disclosure</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Security</w:t>
      </w:r>
    </w:p>
    <w:p>
      <w:pPr>
        <w:ind w:left="1120"/>
        <w:spacing w:after="0" w:line="224" w:lineRule="auto"/>
        <w:rPr>
          <w:sz w:val="20"/>
          <w:szCs w:val="20"/>
          <w:color w:val="auto"/>
        </w:rPr>
      </w:pPr>
      <w:r>
        <w:rPr>
          <w:rFonts w:ascii="Arial" w:cs="Arial" w:eastAsia="Arial" w:hAnsi="Arial"/>
          <w:sz w:val="12"/>
          <w:szCs w:val="12"/>
          <w:color w:val="FFFFFF"/>
        </w:rPr>
        <w:t>Ownership of</w:t>
      </w:r>
    </w:p>
    <w:p>
      <w:pPr>
        <w:ind w:left="1120"/>
        <w:spacing w:after="0" w:line="222" w:lineRule="auto"/>
        <w:rPr>
          <w:sz w:val="20"/>
          <w:szCs w:val="20"/>
          <w:color w:val="auto"/>
        </w:rPr>
      </w:pPr>
      <w:r>
        <w:rPr>
          <w:rFonts w:ascii="Arial" w:cs="Arial" w:eastAsia="Arial" w:hAnsi="Arial"/>
          <w:sz w:val="12"/>
          <w:szCs w:val="12"/>
          <w:color w:val="FFFFFF"/>
        </w:rPr>
        <w:t>Certain Beneficial</w:t>
      </w:r>
    </w:p>
    <w:p>
      <w:pPr>
        <w:ind w:left="1120"/>
        <w:spacing w:after="0" w:line="222" w:lineRule="auto"/>
        <w:rPr>
          <w:sz w:val="20"/>
          <w:szCs w:val="20"/>
          <w:color w:val="auto"/>
        </w:rPr>
      </w:pPr>
      <w:r>
        <w:rPr>
          <w:rFonts w:ascii="Arial" w:cs="Arial" w:eastAsia="Arial" w:hAnsi="Arial"/>
          <w:sz w:val="12"/>
          <w:szCs w:val="12"/>
          <w:color w:val="FFFFFF"/>
        </w:rPr>
        <w:t>Owners and</w:t>
      </w:r>
    </w:p>
    <w:p>
      <w:pPr>
        <w:ind w:left="1120"/>
        <w:spacing w:after="0"/>
        <w:rPr>
          <w:sz w:val="20"/>
          <w:szCs w:val="20"/>
          <w:color w:val="auto"/>
        </w:rPr>
      </w:pPr>
      <w:r>
        <w:rPr>
          <w:rFonts w:ascii="Arial" w:cs="Arial" w:eastAsia="Arial" w:hAnsi="Arial"/>
          <w:sz w:val="12"/>
          <w:szCs w:val="12"/>
          <w:color w:val="FFFFFF"/>
        </w:rPr>
        <w:t>Management</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Certain</w:t>
      </w:r>
    </w:p>
    <w:p>
      <w:pPr>
        <w:ind w:left="1120"/>
        <w:spacing w:after="0" w:line="224" w:lineRule="auto"/>
        <w:rPr>
          <w:sz w:val="20"/>
          <w:szCs w:val="20"/>
          <w:color w:val="auto"/>
        </w:rPr>
      </w:pPr>
      <w:r>
        <w:rPr>
          <w:rFonts w:ascii="Arial" w:cs="Arial" w:eastAsia="Arial" w:hAnsi="Arial"/>
          <w:sz w:val="12"/>
          <w:szCs w:val="12"/>
          <w:color w:val="FFFFFF"/>
        </w:rPr>
        <w:t>Relationships and</w:t>
      </w:r>
    </w:p>
    <w:p>
      <w:pPr>
        <w:ind w:left="1120"/>
        <w:spacing w:after="0" w:line="222" w:lineRule="auto"/>
        <w:rPr>
          <w:sz w:val="20"/>
          <w:szCs w:val="20"/>
          <w:color w:val="auto"/>
        </w:rPr>
      </w:pPr>
      <w:r>
        <w:rPr>
          <w:rFonts w:ascii="Arial" w:cs="Arial" w:eastAsia="Arial" w:hAnsi="Arial"/>
          <w:sz w:val="12"/>
          <w:szCs w:val="12"/>
          <w:color w:val="FFFFFF"/>
        </w:rPr>
        <w:t>Related Party</w:t>
      </w:r>
    </w:p>
    <w:p>
      <w:pPr>
        <w:ind w:left="1120"/>
        <w:spacing w:after="0"/>
        <w:rPr>
          <w:sz w:val="20"/>
          <w:szCs w:val="20"/>
          <w:color w:val="auto"/>
        </w:rPr>
      </w:pPr>
      <w:r>
        <w:rPr>
          <w:rFonts w:ascii="Arial" w:cs="Arial" w:eastAsia="Arial" w:hAnsi="Arial"/>
          <w:sz w:val="12"/>
          <w:szCs w:val="12"/>
          <w:color w:val="FFFFFF"/>
        </w:rPr>
        <w:t>Transactions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Proposal 2</w:t>
      </w:r>
    </w:p>
    <w:p>
      <w:pPr>
        <w:spacing w:after="0" w:line="156"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Report of the</w:t>
      </w:r>
    </w:p>
    <w:p>
      <w:pPr>
        <w:ind w:left="1120"/>
        <w:spacing w:after="0" w:line="224" w:lineRule="auto"/>
        <w:rPr>
          <w:sz w:val="20"/>
          <w:szCs w:val="20"/>
          <w:color w:val="auto"/>
        </w:rPr>
      </w:pPr>
      <w:r>
        <w:rPr>
          <w:rFonts w:ascii="Arial" w:cs="Arial" w:eastAsia="Arial" w:hAnsi="Arial"/>
          <w:sz w:val="12"/>
          <w:szCs w:val="12"/>
          <w:color w:val="FFFFFF"/>
        </w:rPr>
        <w:t>Audit and Risk</w:t>
      </w:r>
    </w:p>
    <w:p>
      <w:pPr>
        <w:ind w:left="1120"/>
        <w:spacing w:after="0" w:line="222" w:lineRule="auto"/>
        <w:rPr>
          <w:sz w:val="20"/>
          <w:szCs w:val="20"/>
          <w:color w:val="auto"/>
        </w:rPr>
      </w:pPr>
      <w:r>
        <w:rPr>
          <w:rFonts w:ascii="Arial" w:cs="Arial" w:eastAsia="Arial" w:hAnsi="Arial"/>
          <w:sz w:val="12"/>
          <w:szCs w:val="12"/>
          <w:color w:val="FFFFFF"/>
        </w:rPr>
        <w:t>Committee of the</w:t>
      </w:r>
    </w:p>
    <w:p>
      <w:pPr>
        <w:ind w:left="1120"/>
        <w:spacing w:after="0"/>
        <w:rPr>
          <w:sz w:val="20"/>
          <w:szCs w:val="20"/>
          <w:color w:val="auto"/>
        </w:rPr>
      </w:pPr>
      <w:r>
        <w:rPr>
          <w:rFonts w:ascii="Arial" w:cs="Arial" w:eastAsia="Arial" w:hAnsi="Arial"/>
          <w:sz w:val="12"/>
          <w:szCs w:val="12"/>
          <w:color w:val="FFFFFF"/>
        </w:rPr>
        <w:t>Board of Directors</w:t>
      </w:r>
    </w:p>
    <w:p>
      <w:pPr>
        <w:spacing w:after="0" w:line="144" w:lineRule="exact"/>
        <w:rPr>
          <w:sz w:val="20"/>
          <w:szCs w:val="20"/>
          <w:color w:val="auto"/>
        </w:rPr>
      </w:pPr>
    </w:p>
    <w:p>
      <w:pPr>
        <w:jc w:val="center"/>
        <w:ind w:left="620"/>
        <w:spacing w:after="0"/>
        <w:rPr>
          <w:sz w:val="20"/>
          <w:szCs w:val="20"/>
          <w:color w:val="auto"/>
        </w:rPr>
      </w:pPr>
      <w:r>
        <w:rPr>
          <w:rFonts w:ascii="Arial" w:cs="Arial" w:eastAsia="Arial" w:hAnsi="Arial"/>
          <w:sz w:val="12"/>
          <w:szCs w:val="12"/>
          <w:color w:val="FFFFFF"/>
        </w:rPr>
        <w:t>Proposal 3</w:t>
      </w:r>
    </w:p>
    <w:p>
      <w:pPr>
        <w:spacing w:after="0" w:line="156" w:lineRule="exact"/>
        <w:rPr>
          <w:sz w:val="20"/>
          <w:szCs w:val="20"/>
          <w:color w:val="auto"/>
        </w:rPr>
      </w:pPr>
    </w:p>
    <w:p>
      <w:pPr>
        <w:jc w:val="center"/>
        <w:ind w:left="620"/>
        <w:spacing w:after="0"/>
        <w:rPr>
          <w:sz w:val="20"/>
          <w:szCs w:val="20"/>
          <w:color w:val="auto"/>
        </w:rPr>
      </w:pPr>
      <w:r>
        <w:rPr>
          <w:rFonts w:ascii="Arial" w:cs="Arial" w:eastAsia="Arial" w:hAnsi="Arial"/>
          <w:sz w:val="12"/>
          <w:szCs w:val="12"/>
          <w:color w:val="FFFFFF"/>
        </w:rPr>
        <w:t>Proposal 4</w:t>
      </w:r>
    </w:p>
    <w:p>
      <w:pPr>
        <w:spacing w:after="0" w:line="156" w:lineRule="exact"/>
        <w:rPr>
          <w:sz w:val="20"/>
          <w:szCs w:val="20"/>
          <w:color w:val="auto"/>
        </w:rPr>
      </w:pPr>
    </w:p>
    <w:p>
      <w:pPr>
        <w:jc w:val="center"/>
        <w:ind w:left="620"/>
        <w:spacing w:after="0"/>
        <w:rPr>
          <w:sz w:val="20"/>
          <w:szCs w:val="20"/>
          <w:color w:val="auto"/>
        </w:rPr>
      </w:pPr>
      <w:r>
        <w:rPr>
          <w:rFonts w:ascii="Arial" w:cs="Arial" w:eastAsia="Arial" w:hAnsi="Arial"/>
          <w:sz w:val="12"/>
          <w:szCs w:val="12"/>
          <w:color w:val="FFFFFF"/>
        </w:rPr>
        <w:t>Proposal 5</w:t>
      </w:r>
    </w:p>
    <w:p>
      <w:pPr>
        <w:spacing w:after="0" w:line="156"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Proposal 6</w:t>
      </w:r>
    </w:p>
    <w:p>
      <w:pPr>
        <w:spacing w:after="0" w:line="156"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Stockholder</w:t>
      </w:r>
    </w:p>
    <w:p>
      <w:pPr>
        <w:ind w:left="1120"/>
        <w:spacing w:after="0" w:line="224" w:lineRule="auto"/>
        <w:rPr>
          <w:sz w:val="20"/>
          <w:szCs w:val="20"/>
          <w:color w:val="auto"/>
        </w:rPr>
      </w:pPr>
      <w:r>
        <w:rPr>
          <w:rFonts w:ascii="Arial" w:cs="Arial" w:eastAsia="Arial" w:hAnsi="Arial"/>
          <w:sz w:val="12"/>
          <w:szCs w:val="12"/>
          <w:color w:val="FFFFFF"/>
        </w:rPr>
        <w:t>Proposals and</w:t>
      </w:r>
    </w:p>
    <w:p>
      <w:pPr>
        <w:ind w:left="1120"/>
        <w:spacing w:after="0"/>
        <w:rPr>
          <w:sz w:val="20"/>
          <w:szCs w:val="20"/>
          <w:color w:val="auto"/>
        </w:rPr>
      </w:pPr>
      <w:r>
        <w:rPr>
          <w:rFonts w:ascii="Arial" w:cs="Arial" w:eastAsia="Arial" w:hAnsi="Arial"/>
          <w:sz w:val="12"/>
          <w:szCs w:val="12"/>
          <w:color w:val="FFFFFF"/>
        </w:rPr>
        <w:t>Other Matters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Delinquent</w:t>
      </w:r>
    </w:p>
    <w:p>
      <w:pPr>
        <w:ind w:left="1120"/>
        <w:spacing w:after="0" w:line="224" w:lineRule="auto"/>
        <w:rPr>
          <w:sz w:val="20"/>
          <w:szCs w:val="20"/>
          <w:color w:val="auto"/>
        </w:rPr>
      </w:pPr>
      <w:r>
        <w:rPr>
          <w:rFonts w:ascii="Arial" w:cs="Arial" w:eastAsia="Arial" w:hAnsi="Arial"/>
          <w:sz w:val="12"/>
          <w:szCs w:val="12"/>
          <w:color w:val="FFFFFF"/>
        </w:rPr>
        <w:t>Section 16(a)</w:t>
      </w:r>
    </w:p>
    <w:p>
      <w:pPr>
        <w:ind w:left="1120"/>
        <w:spacing w:after="0"/>
        <w:rPr>
          <w:sz w:val="20"/>
          <w:szCs w:val="20"/>
          <w:color w:val="auto"/>
        </w:rPr>
      </w:pPr>
      <w:r>
        <w:rPr>
          <w:rFonts w:ascii="Arial" w:cs="Arial" w:eastAsia="Arial" w:hAnsi="Arial"/>
          <w:sz w:val="12"/>
          <w:szCs w:val="12"/>
          <w:color w:val="FFFFFF"/>
        </w:rPr>
        <w:t>Reports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Other</w:t>
      </w:r>
    </w:p>
    <w:p>
      <w:pPr>
        <w:spacing w:after="0" w:line="2"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Information</w:t>
      </w:r>
    </w:p>
    <w:p>
      <w:pPr>
        <w:spacing w:after="0" w:line="144" w:lineRule="exact"/>
        <w:rPr>
          <w:sz w:val="20"/>
          <w:szCs w:val="20"/>
          <w:color w:val="auto"/>
        </w:rPr>
      </w:pPr>
    </w:p>
    <w:p>
      <w:pPr>
        <w:jc w:val="center"/>
        <w:ind w:left="660"/>
        <w:spacing w:after="0"/>
        <w:rPr>
          <w:sz w:val="20"/>
          <w:szCs w:val="20"/>
          <w:color w:val="auto"/>
        </w:rPr>
      </w:pPr>
      <w:r>
        <w:rPr>
          <w:rFonts w:ascii="Arial" w:cs="Arial" w:eastAsia="Arial" w:hAnsi="Arial"/>
          <w:sz w:val="12"/>
          <w:szCs w:val="12"/>
          <w:color w:val="FFFFFF"/>
        </w:rPr>
        <w:t>Appendix A</w:t>
      </w:r>
    </w:p>
    <w:p>
      <w:pPr>
        <w:spacing w:after="0" w:line="156" w:lineRule="exact"/>
        <w:rPr>
          <w:sz w:val="20"/>
          <w:szCs w:val="20"/>
          <w:color w:val="auto"/>
        </w:rPr>
      </w:pPr>
    </w:p>
    <w:p>
      <w:pPr>
        <w:jc w:val="center"/>
        <w:ind w:left="660"/>
        <w:spacing w:after="0"/>
        <w:rPr>
          <w:sz w:val="20"/>
          <w:szCs w:val="20"/>
          <w:color w:val="auto"/>
        </w:rPr>
      </w:pPr>
      <w:r>
        <w:rPr>
          <w:rFonts w:ascii="Arial" w:cs="Arial" w:eastAsia="Arial" w:hAnsi="Arial"/>
          <w:sz w:val="12"/>
          <w:szCs w:val="12"/>
          <w:color w:val="FFFFFF"/>
        </w:rPr>
        <w:t>Appendix 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right="420"/>
        <w:spacing w:after="0" w:line="287" w:lineRule="auto"/>
        <w:rPr>
          <w:sz w:val="20"/>
          <w:szCs w:val="20"/>
          <w:color w:val="auto"/>
        </w:rPr>
      </w:pPr>
      <w:r>
        <w:rPr>
          <w:rFonts w:ascii="Arial" w:cs="Arial" w:eastAsia="Arial" w:hAnsi="Arial"/>
          <w:sz w:val="15"/>
          <w:szCs w:val="15"/>
          <w:color w:val="auto"/>
        </w:rPr>
        <w:t>The table and chart below show the LTI awards granted to each of our NEOs in February 2025, in each case as determined by the Compensation Committee and, in the case of the CEO,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-1737995</wp:posOffset>
            </wp:positionH>
            <wp:positionV relativeFrom="paragraph">
              <wp:posOffset>-894080</wp:posOffset>
            </wp:positionV>
            <wp:extent cx="7181215" cy="5334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81215" cy="53340"/>
                    </a:xfrm>
                    <a:prstGeom prst="rect">
                      <a:avLst/>
                    </a:prstGeom>
                    <a:noFill/>
                  </pic:spPr>
                </pic:pic>
              </a:graphicData>
            </a:graphic>
          </wp:anchor>
        </w:drawing>
      </w:r>
    </w:p>
    <w:p>
      <w:pPr>
        <w:spacing w:after="0" w:line="146"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4740" w:type="dxa"/>
            <w:vAlign w:val="bottom"/>
          </w:tcPr>
          <w:p>
            <w:pPr>
              <w:spacing w:after="0"/>
              <w:rPr>
                <w:sz w:val="14"/>
                <w:szCs w:val="14"/>
                <w:color w:val="auto"/>
              </w:rPr>
            </w:pPr>
          </w:p>
        </w:tc>
        <w:tc>
          <w:tcPr>
            <w:tcW w:w="1080" w:type="dxa"/>
            <w:vAlign w:val="bottom"/>
          </w:tcPr>
          <w:p>
            <w:pPr>
              <w:jc w:val="right"/>
              <w:ind w:right="26"/>
              <w:spacing w:after="0"/>
              <w:rPr>
                <w:sz w:val="20"/>
                <w:szCs w:val="20"/>
                <w:color w:val="auto"/>
              </w:rPr>
            </w:pPr>
            <w:r>
              <w:rPr>
                <w:rFonts w:ascii="Arial" w:cs="Arial" w:eastAsia="Arial" w:hAnsi="Arial"/>
                <w:sz w:val="14"/>
                <w:szCs w:val="14"/>
                <w:b w:val="1"/>
                <w:bCs w:val="1"/>
                <w:color w:val="002B5F"/>
              </w:rPr>
              <w:t>2025 Annual</w:t>
            </w:r>
          </w:p>
        </w:tc>
        <w:tc>
          <w:tcPr>
            <w:tcW w:w="1060" w:type="dxa"/>
            <w:vAlign w:val="bottom"/>
          </w:tcPr>
          <w:p>
            <w:pPr>
              <w:jc w:val="right"/>
              <w:ind w:right="106"/>
              <w:spacing w:after="0"/>
              <w:rPr>
                <w:sz w:val="20"/>
                <w:szCs w:val="20"/>
                <w:color w:val="auto"/>
              </w:rPr>
            </w:pPr>
            <w:r>
              <w:rPr>
                <w:rFonts w:ascii="Arial" w:cs="Arial" w:eastAsia="Arial" w:hAnsi="Arial"/>
                <w:sz w:val="14"/>
                <w:szCs w:val="14"/>
                <w:b w:val="1"/>
                <w:bCs w:val="1"/>
                <w:color w:val="002B5F"/>
              </w:rPr>
              <w:t>LTI as % of</w:t>
            </w:r>
          </w:p>
        </w:tc>
        <w:tc>
          <w:tcPr>
            <w:tcW w:w="1080" w:type="dxa"/>
            <w:vAlign w:val="bottom"/>
          </w:tcPr>
          <w:p>
            <w:pPr>
              <w:spacing w:after="0"/>
              <w:rPr>
                <w:sz w:val="14"/>
                <w:szCs w:val="14"/>
                <w:color w:val="auto"/>
              </w:rPr>
            </w:pPr>
          </w:p>
        </w:tc>
      </w:tr>
      <w:tr>
        <w:trPr>
          <w:trHeight w:val="197"/>
        </w:trPr>
        <w:tc>
          <w:tcPr>
            <w:tcW w:w="4740" w:type="dxa"/>
            <w:vAlign w:val="bottom"/>
            <w:tcBorders>
              <w:bottom w:val="single" w:sz="8" w:color="002B5F"/>
            </w:tcBorders>
          </w:tcPr>
          <w:p>
            <w:pPr>
              <w:ind w:left="60"/>
              <w:spacing w:after="0"/>
              <w:rPr>
                <w:sz w:val="20"/>
                <w:szCs w:val="20"/>
                <w:color w:val="auto"/>
              </w:rPr>
            </w:pPr>
            <w:r>
              <w:rPr>
                <w:rFonts w:ascii="Arial" w:cs="Arial" w:eastAsia="Arial" w:hAnsi="Arial"/>
                <w:sz w:val="14"/>
                <w:szCs w:val="14"/>
                <w:b w:val="1"/>
                <w:bCs w:val="1"/>
                <w:color w:val="002B5F"/>
              </w:rPr>
              <w:t>Named Executive Officer</w:t>
            </w:r>
          </w:p>
        </w:tc>
        <w:tc>
          <w:tcPr>
            <w:tcW w:w="1080" w:type="dxa"/>
            <w:vAlign w:val="bottom"/>
            <w:tcBorders>
              <w:bottom w:val="single" w:sz="8" w:color="002B5F"/>
            </w:tcBorders>
          </w:tcPr>
          <w:p>
            <w:pPr>
              <w:jc w:val="right"/>
              <w:ind w:right="46"/>
              <w:spacing w:after="0"/>
              <w:rPr>
                <w:sz w:val="20"/>
                <w:szCs w:val="20"/>
                <w:color w:val="auto"/>
              </w:rPr>
            </w:pPr>
            <w:r>
              <w:rPr>
                <w:rFonts w:ascii="Arial" w:cs="Arial" w:eastAsia="Arial" w:hAnsi="Arial"/>
                <w:sz w:val="14"/>
                <w:szCs w:val="14"/>
                <w:b w:val="1"/>
                <w:bCs w:val="1"/>
                <w:color w:val="002B5F"/>
              </w:rPr>
              <w:t>Base Salary</w:t>
            </w:r>
          </w:p>
        </w:tc>
        <w:tc>
          <w:tcPr>
            <w:tcW w:w="1060" w:type="dxa"/>
            <w:vAlign w:val="bottom"/>
            <w:tcBorders>
              <w:bottom w:val="single" w:sz="8" w:color="002B5F"/>
            </w:tcBorders>
          </w:tcPr>
          <w:p>
            <w:pPr>
              <w:jc w:val="right"/>
              <w:ind w:right="6"/>
              <w:spacing w:after="0" w:line="192" w:lineRule="exact"/>
              <w:rPr>
                <w:sz w:val="20"/>
                <w:szCs w:val="20"/>
                <w:color w:val="auto"/>
              </w:rPr>
            </w:pPr>
            <w:r>
              <w:rPr>
                <w:rFonts w:ascii="Arial" w:cs="Arial" w:eastAsia="Arial" w:hAnsi="Arial"/>
                <w:sz w:val="14"/>
                <w:szCs w:val="14"/>
                <w:b w:val="1"/>
                <w:bCs w:val="1"/>
                <w:color w:val="002B5F"/>
              </w:rPr>
              <w:t>Base Salary</w:t>
            </w:r>
            <w:r>
              <w:rPr>
                <w:rFonts w:ascii="Arial" w:cs="Arial" w:eastAsia="Arial" w:hAnsi="Arial"/>
                <w:sz w:val="20"/>
                <w:szCs w:val="20"/>
                <w:b w:val="1"/>
                <w:bCs w:val="1"/>
                <w:color w:val="002B5F"/>
                <w:vertAlign w:val="superscript"/>
              </w:rPr>
              <w:t>(1)</w:t>
            </w:r>
          </w:p>
        </w:tc>
        <w:tc>
          <w:tcPr>
            <w:tcW w:w="1080" w:type="dxa"/>
            <w:vAlign w:val="bottom"/>
            <w:tcBorders>
              <w:bottom w:val="single" w:sz="8" w:color="002B5F"/>
            </w:tcBorders>
          </w:tcPr>
          <w:p>
            <w:pPr>
              <w:jc w:val="right"/>
              <w:spacing w:after="0" w:line="192" w:lineRule="exact"/>
              <w:rPr>
                <w:sz w:val="20"/>
                <w:szCs w:val="20"/>
                <w:color w:val="auto"/>
              </w:rPr>
            </w:pPr>
            <w:r>
              <w:rPr>
                <w:rFonts w:ascii="Arial" w:cs="Arial" w:eastAsia="Arial" w:hAnsi="Arial"/>
                <w:sz w:val="14"/>
                <w:szCs w:val="14"/>
                <w:b w:val="1"/>
                <w:bCs w:val="1"/>
                <w:color w:val="002B5F"/>
                <w:w w:val="99"/>
              </w:rPr>
              <w:t>LTI $ Granted</w:t>
            </w:r>
            <w:r>
              <w:rPr>
                <w:rFonts w:ascii="Arial" w:cs="Arial" w:eastAsia="Arial" w:hAnsi="Arial"/>
                <w:sz w:val="20"/>
                <w:szCs w:val="20"/>
                <w:b w:val="1"/>
                <w:bCs w:val="1"/>
                <w:color w:val="002B5F"/>
                <w:w w:val="99"/>
                <w:vertAlign w:val="superscript"/>
              </w:rPr>
              <w:t>(2)</w:t>
            </w:r>
          </w:p>
        </w:tc>
      </w:tr>
      <w:tr>
        <w:trPr>
          <w:trHeight w:val="274"/>
        </w:trPr>
        <w:tc>
          <w:tcPr>
            <w:tcW w:w="4740" w:type="dxa"/>
            <w:vAlign w:val="bottom"/>
            <w:tcBorders>
              <w:bottom w:val="single" w:sz="8" w:color="F7F1EC"/>
            </w:tcBorders>
            <w:shd w:val="clear" w:color="auto" w:fill="F7F1EC"/>
          </w:tcPr>
          <w:p>
            <w:pPr>
              <w:ind w:left="60"/>
              <w:spacing w:after="0"/>
              <w:rPr>
                <w:sz w:val="20"/>
                <w:szCs w:val="20"/>
                <w:color w:val="auto"/>
              </w:rPr>
            </w:pPr>
            <w:r>
              <w:rPr>
                <w:rFonts w:ascii="Arial" w:cs="Arial" w:eastAsia="Arial" w:hAnsi="Arial"/>
                <w:sz w:val="15"/>
                <w:szCs w:val="15"/>
                <w:color w:val="auto"/>
              </w:rPr>
              <w:t>Richard Steinmeier</w:t>
            </w:r>
          </w:p>
        </w:tc>
        <w:tc>
          <w:tcPr>
            <w:tcW w:w="1080" w:type="dxa"/>
            <w:vAlign w:val="bottom"/>
            <w:tcBorders>
              <w:bottom w:val="single" w:sz="8" w:color="F7F1EC"/>
            </w:tcBorders>
            <w:shd w:val="clear" w:color="auto" w:fill="F7F1EC"/>
          </w:tcPr>
          <w:p>
            <w:pPr>
              <w:jc w:val="right"/>
              <w:ind w:right="26"/>
              <w:spacing w:after="0"/>
              <w:rPr>
                <w:sz w:val="20"/>
                <w:szCs w:val="20"/>
                <w:color w:val="auto"/>
              </w:rPr>
            </w:pPr>
            <w:r>
              <w:rPr>
                <w:rFonts w:ascii="Arial" w:cs="Arial" w:eastAsia="Arial" w:hAnsi="Arial"/>
                <w:sz w:val="15"/>
                <w:szCs w:val="15"/>
                <w:color w:val="auto"/>
              </w:rPr>
              <w:t>$900,000</w:t>
            </w:r>
          </w:p>
        </w:tc>
        <w:tc>
          <w:tcPr>
            <w:tcW w:w="1060" w:type="dxa"/>
            <w:vAlign w:val="bottom"/>
            <w:tcBorders>
              <w:bottom w:val="single" w:sz="8" w:color="F7F1EC"/>
            </w:tcBorders>
            <w:shd w:val="clear" w:color="auto" w:fill="F7F1EC"/>
          </w:tcPr>
          <w:p>
            <w:pPr>
              <w:jc w:val="right"/>
              <w:ind w:right="66"/>
              <w:spacing w:after="0"/>
              <w:rPr>
                <w:sz w:val="20"/>
                <w:szCs w:val="20"/>
                <w:color w:val="auto"/>
              </w:rPr>
            </w:pPr>
            <w:r>
              <w:rPr>
                <w:rFonts w:ascii="Arial" w:cs="Arial" w:eastAsia="Arial" w:hAnsi="Arial"/>
                <w:sz w:val="15"/>
                <w:szCs w:val="15"/>
                <w:color w:val="auto"/>
              </w:rPr>
              <w:t>933%</w:t>
            </w:r>
          </w:p>
        </w:tc>
        <w:tc>
          <w:tcPr>
            <w:tcW w:w="1080" w:type="dxa"/>
            <w:vAlign w:val="bottom"/>
            <w:tcBorders>
              <w:bottom w:val="single" w:sz="8" w:color="F7F1EC"/>
            </w:tcBorders>
            <w:shd w:val="clear" w:color="auto" w:fill="F7F1EC"/>
          </w:tcPr>
          <w:p>
            <w:pPr>
              <w:jc w:val="right"/>
              <w:spacing w:after="0"/>
              <w:rPr>
                <w:sz w:val="20"/>
                <w:szCs w:val="20"/>
                <w:color w:val="auto"/>
              </w:rPr>
            </w:pPr>
            <w:r>
              <w:rPr>
                <w:rFonts w:ascii="Arial" w:cs="Arial" w:eastAsia="Arial" w:hAnsi="Arial"/>
                <w:sz w:val="15"/>
                <w:szCs w:val="15"/>
                <w:color w:val="auto"/>
              </w:rPr>
              <w:t>$8,400,000</w:t>
            </w:r>
          </w:p>
        </w:tc>
      </w:tr>
      <w:tr>
        <w:trPr>
          <w:trHeight w:val="265"/>
        </w:trPr>
        <w:tc>
          <w:tcPr>
            <w:tcW w:w="4740" w:type="dxa"/>
            <w:vAlign w:val="bottom"/>
          </w:tcPr>
          <w:p>
            <w:pPr>
              <w:ind w:left="60"/>
              <w:spacing w:after="0"/>
              <w:rPr>
                <w:sz w:val="20"/>
                <w:szCs w:val="20"/>
                <w:color w:val="auto"/>
              </w:rPr>
            </w:pPr>
            <w:r>
              <w:rPr>
                <w:rFonts w:ascii="Arial" w:cs="Arial" w:eastAsia="Arial" w:hAnsi="Arial"/>
                <w:sz w:val="15"/>
                <w:szCs w:val="15"/>
                <w:color w:val="auto"/>
              </w:rPr>
              <w:t>Matthew Audette</w:t>
            </w:r>
          </w:p>
        </w:tc>
        <w:tc>
          <w:tcPr>
            <w:tcW w:w="1080" w:type="dxa"/>
            <w:vAlign w:val="bottom"/>
          </w:tcPr>
          <w:p>
            <w:pPr>
              <w:jc w:val="right"/>
              <w:ind w:right="26"/>
              <w:spacing w:after="0"/>
              <w:rPr>
                <w:sz w:val="20"/>
                <w:szCs w:val="20"/>
                <w:color w:val="auto"/>
              </w:rPr>
            </w:pPr>
            <w:r>
              <w:rPr>
                <w:rFonts w:ascii="Arial" w:cs="Arial" w:eastAsia="Arial" w:hAnsi="Arial"/>
                <w:sz w:val="15"/>
                <w:szCs w:val="15"/>
                <w:color w:val="auto"/>
              </w:rPr>
              <w:t>$750,000</w:t>
            </w:r>
          </w:p>
        </w:tc>
        <w:tc>
          <w:tcPr>
            <w:tcW w:w="1060" w:type="dxa"/>
            <w:vAlign w:val="bottom"/>
          </w:tcPr>
          <w:p>
            <w:pPr>
              <w:jc w:val="right"/>
              <w:ind w:right="66"/>
              <w:spacing w:after="0"/>
              <w:rPr>
                <w:sz w:val="20"/>
                <w:szCs w:val="20"/>
                <w:color w:val="auto"/>
              </w:rPr>
            </w:pPr>
            <w:r>
              <w:rPr>
                <w:rFonts w:ascii="Arial" w:cs="Arial" w:eastAsia="Arial" w:hAnsi="Arial"/>
                <w:sz w:val="15"/>
                <w:szCs w:val="15"/>
                <w:color w:val="auto"/>
              </w:rPr>
              <w:t>717%</w:t>
            </w:r>
          </w:p>
        </w:tc>
        <w:tc>
          <w:tcPr>
            <w:tcW w:w="1080" w:type="dxa"/>
            <w:vAlign w:val="bottom"/>
          </w:tcPr>
          <w:p>
            <w:pPr>
              <w:jc w:val="right"/>
              <w:spacing w:after="0"/>
              <w:rPr>
                <w:sz w:val="20"/>
                <w:szCs w:val="20"/>
                <w:color w:val="auto"/>
              </w:rPr>
            </w:pPr>
            <w:r>
              <w:rPr>
                <w:rFonts w:ascii="Arial" w:cs="Arial" w:eastAsia="Arial" w:hAnsi="Arial"/>
                <w:sz w:val="15"/>
                <w:szCs w:val="15"/>
                <w:color w:val="auto"/>
              </w:rPr>
              <w:t>$5,375,000</w:t>
            </w:r>
          </w:p>
        </w:tc>
      </w:tr>
      <w:tr>
        <w:trPr>
          <w:trHeight w:val="41"/>
        </w:trPr>
        <w:tc>
          <w:tcPr>
            <w:tcW w:w="47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286"/>
        </w:trPr>
        <w:tc>
          <w:tcPr>
            <w:tcW w:w="4740" w:type="dxa"/>
            <w:vAlign w:val="bottom"/>
            <w:tcBorders>
              <w:bottom w:val="single" w:sz="8" w:color="F7F1EC"/>
            </w:tcBorders>
            <w:shd w:val="clear" w:color="auto" w:fill="F7F1EC"/>
          </w:tcPr>
          <w:p>
            <w:pPr>
              <w:ind w:left="60"/>
              <w:spacing w:after="0"/>
              <w:rPr>
                <w:sz w:val="20"/>
                <w:szCs w:val="20"/>
                <w:color w:val="auto"/>
              </w:rPr>
            </w:pPr>
            <w:r>
              <w:rPr>
                <w:rFonts w:ascii="Arial" w:cs="Arial" w:eastAsia="Arial" w:hAnsi="Arial"/>
                <w:sz w:val="15"/>
                <w:szCs w:val="15"/>
                <w:color w:val="auto"/>
              </w:rPr>
              <w:t>Matthew Enyedi</w:t>
            </w:r>
          </w:p>
        </w:tc>
        <w:tc>
          <w:tcPr>
            <w:tcW w:w="1080" w:type="dxa"/>
            <w:vAlign w:val="bottom"/>
            <w:tcBorders>
              <w:bottom w:val="single" w:sz="8" w:color="F7F1EC"/>
            </w:tcBorders>
            <w:shd w:val="clear" w:color="auto" w:fill="F7F1EC"/>
          </w:tcPr>
          <w:p>
            <w:pPr>
              <w:jc w:val="right"/>
              <w:ind w:right="26"/>
              <w:spacing w:after="0"/>
              <w:rPr>
                <w:sz w:val="20"/>
                <w:szCs w:val="20"/>
                <w:color w:val="auto"/>
              </w:rPr>
            </w:pPr>
            <w:r>
              <w:rPr>
                <w:rFonts w:ascii="Arial" w:cs="Arial" w:eastAsia="Arial" w:hAnsi="Arial"/>
                <w:sz w:val="15"/>
                <w:szCs w:val="15"/>
                <w:color w:val="auto"/>
              </w:rPr>
              <w:t>$600,000</w:t>
            </w:r>
          </w:p>
        </w:tc>
        <w:tc>
          <w:tcPr>
            <w:tcW w:w="1060" w:type="dxa"/>
            <w:vAlign w:val="bottom"/>
            <w:tcBorders>
              <w:bottom w:val="single" w:sz="8" w:color="F7F1EC"/>
            </w:tcBorders>
            <w:shd w:val="clear" w:color="auto" w:fill="F7F1EC"/>
          </w:tcPr>
          <w:p>
            <w:pPr>
              <w:jc w:val="right"/>
              <w:ind w:right="66"/>
              <w:spacing w:after="0"/>
              <w:rPr>
                <w:sz w:val="20"/>
                <w:szCs w:val="20"/>
                <w:color w:val="auto"/>
              </w:rPr>
            </w:pPr>
            <w:r>
              <w:rPr>
                <w:rFonts w:ascii="Arial" w:cs="Arial" w:eastAsia="Arial" w:hAnsi="Arial"/>
                <w:sz w:val="15"/>
                <w:szCs w:val="15"/>
                <w:color w:val="auto"/>
              </w:rPr>
              <w:t>250%</w:t>
            </w:r>
          </w:p>
        </w:tc>
        <w:tc>
          <w:tcPr>
            <w:tcW w:w="1080" w:type="dxa"/>
            <w:vAlign w:val="bottom"/>
            <w:tcBorders>
              <w:bottom w:val="single" w:sz="8" w:color="F7F1EC"/>
            </w:tcBorders>
            <w:shd w:val="clear" w:color="auto" w:fill="F7F1EC"/>
          </w:tcPr>
          <w:p>
            <w:pPr>
              <w:jc w:val="right"/>
              <w:spacing w:after="0"/>
              <w:rPr>
                <w:sz w:val="20"/>
                <w:szCs w:val="20"/>
                <w:color w:val="auto"/>
              </w:rPr>
            </w:pPr>
            <w:r>
              <w:rPr>
                <w:rFonts w:ascii="Arial" w:cs="Arial" w:eastAsia="Arial" w:hAnsi="Arial"/>
                <w:sz w:val="15"/>
                <w:szCs w:val="15"/>
                <w:color w:val="auto"/>
              </w:rPr>
              <w:t>$1,500,000</w:t>
            </w:r>
          </w:p>
        </w:tc>
      </w:tr>
      <w:tr>
        <w:trPr>
          <w:trHeight w:val="265"/>
        </w:trPr>
        <w:tc>
          <w:tcPr>
            <w:tcW w:w="4740" w:type="dxa"/>
            <w:vAlign w:val="bottom"/>
          </w:tcPr>
          <w:p>
            <w:pPr>
              <w:ind w:left="60"/>
              <w:spacing w:after="0"/>
              <w:rPr>
                <w:sz w:val="20"/>
                <w:szCs w:val="20"/>
                <w:color w:val="auto"/>
              </w:rPr>
            </w:pPr>
            <w:r>
              <w:rPr>
                <w:rFonts w:ascii="Arial" w:cs="Arial" w:eastAsia="Arial" w:hAnsi="Arial"/>
                <w:sz w:val="15"/>
                <w:szCs w:val="15"/>
                <w:color w:val="auto"/>
              </w:rPr>
              <w:t>Greg Gates</w:t>
            </w:r>
          </w:p>
        </w:tc>
        <w:tc>
          <w:tcPr>
            <w:tcW w:w="1080" w:type="dxa"/>
            <w:vAlign w:val="bottom"/>
          </w:tcPr>
          <w:p>
            <w:pPr>
              <w:jc w:val="right"/>
              <w:ind w:right="26"/>
              <w:spacing w:after="0"/>
              <w:rPr>
                <w:sz w:val="20"/>
                <w:szCs w:val="20"/>
                <w:color w:val="auto"/>
              </w:rPr>
            </w:pPr>
            <w:r>
              <w:rPr>
                <w:rFonts w:ascii="Arial" w:cs="Arial" w:eastAsia="Arial" w:hAnsi="Arial"/>
                <w:sz w:val="15"/>
                <w:szCs w:val="15"/>
                <w:color w:val="auto"/>
              </w:rPr>
              <w:t>$600,000</w:t>
            </w:r>
          </w:p>
        </w:tc>
        <w:tc>
          <w:tcPr>
            <w:tcW w:w="1060" w:type="dxa"/>
            <w:vAlign w:val="bottom"/>
          </w:tcPr>
          <w:p>
            <w:pPr>
              <w:jc w:val="right"/>
              <w:ind w:right="66"/>
              <w:spacing w:after="0"/>
              <w:rPr>
                <w:sz w:val="20"/>
                <w:szCs w:val="20"/>
                <w:color w:val="auto"/>
              </w:rPr>
            </w:pPr>
            <w:r>
              <w:rPr>
                <w:rFonts w:ascii="Arial" w:cs="Arial" w:eastAsia="Arial" w:hAnsi="Arial"/>
                <w:sz w:val="15"/>
                <w:szCs w:val="15"/>
                <w:color w:val="auto"/>
              </w:rPr>
              <w:t>325%</w:t>
            </w:r>
          </w:p>
        </w:tc>
        <w:tc>
          <w:tcPr>
            <w:tcW w:w="1080" w:type="dxa"/>
            <w:vAlign w:val="bottom"/>
          </w:tcPr>
          <w:p>
            <w:pPr>
              <w:jc w:val="right"/>
              <w:spacing w:after="0"/>
              <w:rPr>
                <w:sz w:val="20"/>
                <w:szCs w:val="20"/>
                <w:color w:val="auto"/>
              </w:rPr>
            </w:pPr>
            <w:r>
              <w:rPr>
                <w:rFonts w:ascii="Arial" w:cs="Arial" w:eastAsia="Arial" w:hAnsi="Arial"/>
                <w:sz w:val="15"/>
                <w:szCs w:val="15"/>
                <w:color w:val="auto"/>
              </w:rPr>
              <w:t>$1,950,000</w:t>
            </w:r>
          </w:p>
        </w:tc>
      </w:tr>
      <w:tr>
        <w:trPr>
          <w:trHeight w:val="41"/>
        </w:trPr>
        <w:tc>
          <w:tcPr>
            <w:tcW w:w="47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265"/>
        </w:trPr>
        <w:tc>
          <w:tcPr>
            <w:tcW w:w="4740" w:type="dxa"/>
            <w:vAlign w:val="bottom"/>
            <w:shd w:val="clear" w:color="auto" w:fill="F7F1EC"/>
          </w:tcPr>
          <w:p>
            <w:pPr>
              <w:ind w:left="60"/>
              <w:spacing w:after="0"/>
              <w:rPr>
                <w:sz w:val="20"/>
                <w:szCs w:val="20"/>
                <w:color w:val="auto"/>
              </w:rPr>
            </w:pPr>
            <w:r>
              <w:rPr>
                <w:rFonts w:ascii="Arial" w:cs="Arial" w:eastAsia="Arial" w:hAnsi="Arial"/>
                <w:sz w:val="15"/>
                <w:szCs w:val="15"/>
                <w:color w:val="auto"/>
              </w:rPr>
              <w:t>Aneri Jambusaria</w:t>
            </w:r>
          </w:p>
        </w:tc>
        <w:tc>
          <w:tcPr>
            <w:tcW w:w="1080" w:type="dxa"/>
            <w:vAlign w:val="bottom"/>
            <w:shd w:val="clear" w:color="auto" w:fill="F7F1EC"/>
          </w:tcPr>
          <w:p>
            <w:pPr>
              <w:jc w:val="right"/>
              <w:ind w:right="26"/>
              <w:spacing w:after="0"/>
              <w:rPr>
                <w:sz w:val="20"/>
                <w:szCs w:val="20"/>
                <w:color w:val="auto"/>
              </w:rPr>
            </w:pPr>
            <w:r>
              <w:rPr>
                <w:rFonts w:ascii="Arial" w:cs="Arial" w:eastAsia="Arial" w:hAnsi="Arial"/>
                <w:sz w:val="15"/>
                <w:szCs w:val="15"/>
                <w:color w:val="auto"/>
              </w:rPr>
              <w:t>$500,000</w:t>
            </w:r>
          </w:p>
        </w:tc>
        <w:tc>
          <w:tcPr>
            <w:tcW w:w="1060" w:type="dxa"/>
            <w:vAlign w:val="bottom"/>
            <w:shd w:val="clear" w:color="auto" w:fill="F7F1EC"/>
          </w:tcPr>
          <w:p>
            <w:pPr>
              <w:jc w:val="right"/>
              <w:ind w:right="66"/>
              <w:spacing w:after="0"/>
              <w:rPr>
                <w:sz w:val="20"/>
                <w:szCs w:val="20"/>
                <w:color w:val="auto"/>
              </w:rPr>
            </w:pPr>
            <w:r>
              <w:rPr>
                <w:rFonts w:ascii="Arial" w:cs="Arial" w:eastAsia="Arial" w:hAnsi="Arial"/>
                <w:sz w:val="15"/>
                <w:szCs w:val="15"/>
                <w:color w:val="auto"/>
              </w:rPr>
              <w:t>200%</w:t>
            </w:r>
          </w:p>
        </w:tc>
        <w:tc>
          <w:tcPr>
            <w:tcW w:w="1080" w:type="dxa"/>
            <w:vAlign w:val="bottom"/>
            <w:shd w:val="clear" w:color="auto" w:fill="F7F1EC"/>
          </w:tcPr>
          <w:p>
            <w:pPr>
              <w:jc w:val="right"/>
              <w:spacing w:after="0"/>
              <w:rPr>
                <w:sz w:val="20"/>
                <w:szCs w:val="20"/>
                <w:color w:val="auto"/>
              </w:rPr>
            </w:pPr>
            <w:r>
              <w:rPr>
                <w:rFonts w:ascii="Arial" w:cs="Arial" w:eastAsia="Arial" w:hAnsi="Arial"/>
                <w:sz w:val="15"/>
                <w:szCs w:val="15"/>
                <w:color w:val="auto"/>
              </w:rPr>
              <w:t>$1,000,000</w:t>
            </w:r>
          </w:p>
        </w:tc>
      </w:tr>
      <w:tr>
        <w:trPr>
          <w:trHeight w:val="41"/>
        </w:trPr>
        <w:tc>
          <w:tcPr>
            <w:tcW w:w="4740" w:type="dxa"/>
            <w:vAlign w:val="bottom"/>
            <w:shd w:val="clear" w:color="auto" w:fill="F7F1EC"/>
          </w:tcPr>
          <w:p>
            <w:pPr>
              <w:spacing w:after="0"/>
              <w:rPr>
                <w:sz w:val="3"/>
                <w:szCs w:val="3"/>
                <w:color w:val="auto"/>
              </w:rPr>
            </w:pPr>
          </w:p>
        </w:tc>
        <w:tc>
          <w:tcPr>
            <w:tcW w:w="1080" w:type="dxa"/>
            <w:vAlign w:val="bottom"/>
            <w:shd w:val="clear" w:color="auto" w:fill="F7F1EC"/>
          </w:tcPr>
          <w:p>
            <w:pPr>
              <w:spacing w:after="0"/>
              <w:rPr>
                <w:sz w:val="3"/>
                <w:szCs w:val="3"/>
                <w:color w:val="auto"/>
              </w:rPr>
            </w:pPr>
          </w:p>
        </w:tc>
        <w:tc>
          <w:tcPr>
            <w:tcW w:w="1060" w:type="dxa"/>
            <w:vAlign w:val="bottom"/>
            <w:shd w:val="clear" w:color="auto" w:fill="F7F1EC"/>
          </w:tcPr>
          <w:p>
            <w:pPr>
              <w:spacing w:after="0"/>
              <w:rPr>
                <w:sz w:val="3"/>
                <w:szCs w:val="3"/>
                <w:color w:val="auto"/>
              </w:rPr>
            </w:pPr>
          </w:p>
        </w:tc>
        <w:tc>
          <w:tcPr>
            <w:tcW w:w="1080" w:type="dxa"/>
            <w:vAlign w:val="bottom"/>
            <w:shd w:val="clear" w:color="auto" w:fill="F7F1EC"/>
          </w:tcPr>
          <w:p>
            <w:pPr>
              <w:spacing w:after="0"/>
              <w:rPr>
                <w:sz w:val="3"/>
                <w:szCs w:val="3"/>
                <w:color w:val="auto"/>
              </w:rPr>
            </w:pPr>
          </w:p>
        </w:tc>
      </w:tr>
    </w:tbl>
    <w:p>
      <w:pPr>
        <w:spacing w:after="0" w:line="46" w:lineRule="exact"/>
        <w:rPr>
          <w:sz w:val="20"/>
          <w:szCs w:val="20"/>
          <w:color w:val="auto"/>
        </w:rPr>
      </w:pPr>
    </w:p>
    <w:p>
      <w:pPr>
        <w:jc w:val="both"/>
        <w:ind w:left="240" w:hanging="233"/>
        <w:spacing w:after="0" w:line="239" w:lineRule="auto"/>
        <w:tabs>
          <w:tab w:leader="none" w:pos="240" w:val="left"/>
        </w:tabs>
        <w:numPr>
          <w:ilvl w:val="0"/>
          <w:numId w:val="81"/>
        </w:numPr>
        <w:rPr>
          <w:rFonts w:ascii="Arial" w:cs="Arial" w:eastAsia="Arial" w:hAnsi="Arial"/>
          <w:sz w:val="12"/>
          <w:szCs w:val="12"/>
          <w:color w:val="auto"/>
        </w:rPr>
      </w:pPr>
      <w:r>
        <w:rPr>
          <w:rFonts w:ascii="Arial" w:cs="Arial" w:eastAsia="Arial" w:hAnsi="Arial"/>
          <w:sz w:val="12"/>
          <w:szCs w:val="12"/>
          <w:color w:val="auto"/>
        </w:rPr>
        <w:t>LTI Award Grant levels for 2025 increased from 2024 levels of 295%, 270%, 235%, 300% and 175%, respectively, for Messrs. Steinmeier, Audette, Enyedi and Gates and Ms. Jambusaria. Mr. Steinmeier’s and Mr. Audette’s LTI grants in 2024 were made prior to their elevations to chief executive officer and to president and chief financial officer, respectively, in October 2024.</w:t>
      </w:r>
    </w:p>
    <w:p>
      <w:pPr>
        <w:spacing w:after="0" w:line="34" w:lineRule="exact"/>
        <w:rPr>
          <w:rFonts w:ascii="Arial" w:cs="Arial" w:eastAsia="Arial" w:hAnsi="Arial"/>
          <w:sz w:val="12"/>
          <w:szCs w:val="12"/>
          <w:color w:val="auto"/>
        </w:rPr>
      </w:pPr>
    </w:p>
    <w:p>
      <w:pPr>
        <w:ind w:left="240" w:right="20" w:hanging="233"/>
        <w:spacing w:after="0" w:line="232" w:lineRule="auto"/>
        <w:tabs>
          <w:tab w:leader="none" w:pos="240" w:val="left"/>
        </w:tabs>
        <w:numPr>
          <w:ilvl w:val="0"/>
          <w:numId w:val="81"/>
        </w:numPr>
        <w:rPr>
          <w:rFonts w:ascii="Arial" w:cs="Arial" w:eastAsia="Arial" w:hAnsi="Arial"/>
          <w:sz w:val="12"/>
          <w:szCs w:val="12"/>
          <w:color w:val="auto"/>
        </w:rPr>
      </w:pPr>
      <w:r>
        <w:rPr>
          <w:rFonts w:ascii="Arial" w:cs="Arial" w:eastAsia="Arial" w:hAnsi="Arial"/>
          <w:sz w:val="12"/>
          <w:szCs w:val="12"/>
          <w:color w:val="auto"/>
        </w:rPr>
        <w:t>These LTI awards were granted on February 25, 2025. The number of shares underlying each award was calculated using a price per share equal to the average closing price of our Common Stock for the trailing 30 consecutive trading days including the grant date. Mr. Steinmeier received 70% of his LTI award as PSUs and 30% as RSUs. The other NEOs received 60% of their awards as PSUs and 40% as RSUs. PSUs are eligible to become earned and vested based on the achievement of relative TSR performance criteria over a three-year period, as described above. RSUs are scheduled to vest in equal annual installments over a three-year period.</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002B5F"/>
        </w:rPr>
        <w:t>2025 Long-Term Incentive Awards</w:t>
      </w:r>
    </w:p>
    <w:p>
      <w:pPr>
        <w:spacing w:after="0" w:line="1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002B5F"/>
        </w:rPr>
        <w:t>($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81280</wp:posOffset>
            </wp:positionH>
            <wp:positionV relativeFrom="paragraph">
              <wp:posOffset>143510</wp:posOffset>
            </wp:positionV>
            <wp:extent cx="4911090" cy="93980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4911090" cy="939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7"/>
          <w:szCs w:val="17"/>
          <w:b w:val="1"/>
          <w:bCs w:val="1"/>
          <w:color w:val="002B5F"/>
        </w:rPr>
        <w:t>PAYOUT OF 2023 PSUS</w:t>
      </w:r>
    </w:p>
    <w:p>
      <w:pPr>
        <w:spacing w:after="0" w:line="103" w:lineRule="exact"/>
        <w:rPr>
          <w:sz w:val="20"/>
          <w:szCs w:val="20"/>
          <w:color w:val="auto"/>
        </w:rPr>
      </w:pPr>
    </w:p>
    <w:p>
      <w:pPr>
        <w:ind w:right="100"/>
        <w:spacing w:after="0" w:line="256" w:lineRule="auto"/>
        <w:rPr>
          <w:sz w:val="20"/>
          <w:szCs w:val="20"/>
          <w:color w:val="auto"/>
        </w:rPr>
      </w:pPr>
      <w:r>
        <w:rPr>
          <w:rFonts w:ascii="Arial" w:cs="Arial" w:eastAsia="Arial" w:hAnsi="Arial"/>
          <w:sz w:val="15"/>
          <w:szCs w:val="15"/>
          <w:color w:val="auto"/>
        </w:rPr>
        <w:t>In February 2023, the Compensation Committee granted PSUs with terms substantially similar to the 2025 PSUs described above. Each of Messrs. Steinmeier, Audette, Enyedi and Gates and Ms. Jambusaria received an award of PSUs in 2023, the Performance Period for which ended on February 14, 2026. The Company’s TSR during this Performance Period was 60% and ranked at the 41st percentile of the Comparator Group, which resulted in 81% of the target number of PSUs awarded to each of Messrs. Steinmeier, Audette, Enyedi and Gates and Ms. Jambusaria becoming earned PSUs. The earned PSUs vested on February 25, 2026.</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color w:val="002B5F"/>
        </w:rPr>
        <w:t>EFFECT OF TERMINATION OF EMPLOYMENT AND RETIREMENT ON EQUITY AWARDS</w:t>
      </w:r>
    </w:p>
    <w:p>
      <w:pPr>
        <w:spacing w:after="0" w:line="103" w:lineRule="exact"/>
        <w:rPr>
          <w:sz w:val="20"/>
          <w:szCs w:val="20"/>
          <w:color w:val="auto"/>
        </w:rPr>
      </w:pPr>
    </w:p>
    <w:p>
      <w:pPr>
        <w:ind w:right="20"/>
        <w:spacing w:after="0" w:line="253" w:lineRule="auto"/>
        <w:rPr>
          <w:sz w:val="20"/>
          <w:szCs w:val="20"/>
          <w:color w:val="auto"/>
        </w:rPr>
      </w:pPr>
      <w:r>
        <w:rPr>
          <w:rFonts w:ascii="Arial" w:cs="Arial" w:eastAsia="Arial" w:hAnsi="Arial"/>
          <w:sz w:val="15"/>
          <w:szCs w:val="15"/>
          <w:color w:val="auto"/>
        </w:rPr>
        <w:t>Unvested stock options, RSUs and PSUs generally are forfeited if an NEO voluntarily leaves the Company other than upon Retirement (defined below). In the event of Retirement, RSUs will remain outstanding and continue to vest according to their original vesting schedule, subject to the terms of the underlying award agreement and compliance with applicable non-competition and other restrictive covenants. Vested and unexercised stock options will generally remain exercisable for a period of two years following Retirement and, except in the case of a Designated Retirement (as defined below), PSUs will generally remain outstanding and eligible to become earned PSUs based on relative TSR performance at the end of the performance period but credited on a pro rata basis (based on the number of days that have elapsed between the start of the applicable performance period associated with such award and the retirement date). “Retirement” means the termination of employment other than for cause following either:</w:t>
      </w:r>
    </w:p>
    <w:p>
      <w:pPr>
        <w:spacing w:after="0" w:line="87" w:lineRule="exact"/>
        <w:rPr>
          <w:sz w:val="20"/>
          <w:szCs w:val="20"/>
          <w:color w:val="auto"/>
        </w:rPr>
      </w:pPr>
    </w:p>
    <w:p>
      <w:pPr>
        <w:ind w:left="280" w:hanging="273"/>
        <w:spacing w:after="0"/>
        <w:tabs>
          <w:tab w:leader="none" w:pos="280" w:val="left"/>
        </w:tabs>
        <w:numPr>
          <w:ilvl w:val="0"/>
          <w:numId w:val="82"/>
        </w:numPr>
        <w:rPr>
          <w:rFonts w:ascii="Arial" w:cs="Arial" w:eastAsia="Arial" w:hAnsi="Arial"/>
          <w:sz w:val="15"/>
          <w:szCs w:val="15"/>
          <w:color w:val="auto"/>
        </w:rPr>
      </w:pPr>
      <w:r>
        <w:rPr>
          <w:rFonts w:ascii="Arial" w:cs="Arial" w:eastAsia="Arial" w:hAnsi="Arial"/>
          <w:sz w:val="15"/>
          <w:szCs w:val="15"/>
          <w:color w:val="auto"/>
        </w:rPr>
        <w:t>attainment of age 65 and completion of five years of continuous service with the Company; or</w:t>
      </w:r>
    </w:p>
    <w:p>
      <w:pPr>
        <w:spacing w:after="0" w:line="121" w:lineRule="exact"/>
        <w:rPr>
          <w:rFonts w:ascii="Arial" w:cs="Arial" w:eastAsia="Arial" w:hAnsi="Arial"/>
          <w:sz w:val="15"/>
          <w:szCs w:val="15"/>
          <w:color w:val="auto"/>
        </w:rPr>
      </w:pPr>
    </w:p>
    <w:p>
      <w:pPr>
        <w:ind w:left="280" w:hanging="273"/>
        <w:spacing w:after="0"/>
        <w:tabs>
          <w:tab w:leader="none" w:pos="280" w:val="left"/>
        </w:tabs>
        <w:numPr>
          <w:ilvl w:val="0"/>
          <w:numId w:val="82"/>
        </w:numPr>
        <w:rPr>
          <w:rFonts w:ascii="Arial" w:cs="Arial" w:eastAsia="Arial" w:hAnsi="Arial"/>
          <w:sz w:val="15"/>
          <w:szCs w:val="15"/>
          <w:color w:val="auto"/>
        </w:rPr>
      </w:pPr>
      <w:r>
        <w:rPr>
          <w:rFonts w:ascii="Arial" w:cs="Arial" w:eastAsia="Arial" w:hAnsi="Arial"/>
          <w:sz w:val="15"/>
          <w:szCs w:val="15"/>
          <w:color w:val="auto"/>
        </w:rPr>
        <w:t>attainment of age 55 and completion of ten years of continuous service with the Company.</w:t>
      </w:r>
    </w:p>
    <w:p>
      <w:pPr>
        <w:spacing w:after="0" w:line="1053" w:lineRule="exact"/>
        <w:rPr>
          <w:sz w:val="20"/>
          <w:szCs w:val="20"/>
          <w:color w:val="auto"/>
        </w:rPr>
      </w:pPr>
    </w:p>
    <w:p>
      <w:pPr>
        <w:sectPr>
          <w:pgSz w:w="11900" w:h="16838" w:orient="portrait"/>
          <w:cols w:equalWidth="0" w:num="2">
            <w:col w:w="2160" w:space="560"/>
            <w:col w:w="7980"/>
          </w:cols>
          <w:pgMar w:left="320" w:top="464" w:right="879" w:bottom="1440" w:gutter="0" w:footer="0" w:header="0"/>
        </w:sectPr>
      </w:pPr>
    </w:p>
    <w:p>
      <w:pPr>
        <w:spacing w:after="0" w:line="200" w:lineRule="exact"/>
        <w:rPr>
          <w:sz w:val="20"/>
          <w:szCs w:val="20"/>
          <w:color w:val="auto"/>
        </w:rPr>
      </w:pPr>
    </w:p>
    <w:p>
      <w:pPr>
        <w:spacing w:after="0" w:line="385" w:lineRule="exact"/>
        <w:rPr>
          <w:sz w:val="20"/>
          <w:szCs w:val="20"/>
          <w:color w:val="auto"/>
        </w:rPr>
      </w:pPr>
    </w:p>
    <w:p>
      <w:pPr>
        <w:ind w:left="420"/>
        <w:spacing w:after="0"/>
        <w:tabs>
          <w:tab w:leader="none" w:pos="2380" w:val="left"/>
          <w:tab w:leader="none" w:pos="2800" w:val="left"/>
        </w:tabs>
        <w:rPr>
          <w:sz w:val="20"/>
          <w:szCs w:val="20"/>
          <w:color w:val="auto"/>
        </w:rPr>
      </w:pPr>
      <w:r>
        <w:rPr>
          <w:rFonts w:ascii="Arial" w:cs="Arial" w:eastAsia="Arial" w:hAnsi="Arial"/>
          <w:sz w:val="30"/>
          <w:szCs w:val="30"/>
          <w:color w:val="000000"/>
          <w:vertAlign w:val="superscript"/>
        </w:rPr>
        <w:t xml:space="preserve">             </w:t>
      </w:r>
      <w:r>
        <w:rPr>
          <w:sz w:val="20"/>
          <w:szCs w:val="20"/>
          <w:color w:val="auto"/>
        </w:rPr>
        <w:tab/>
      </w:r>
      <w:r>
        <w:rPr>
          <w:rFonts w:ascii="Arial" w:cs="Arial" w:eastAsia="Arial" w:hAnsi="Arial"/>
          <w:sz w:val="31"/>
          <w:szCs w:val="31"/>
          <w:color w:val="auto"/>
          <w:vertAlign w:val="superscript"/>
        </w:rPr>
        <w:t xml:space="preserve">    </w:t>
      </w:r>
      <w:r>
        <w:rPr>
          <w:sz w:val="20"/>
          <w:szCs w:val="20"/>
          <w:color w:val="auto"/>
        </w:rPr>
        <w:tab/>
      </w:r>
      <w:r>
        <w:rPr>
          <w:rFonts w:ascii="Arial" w:cs="Arial" w:eastAsia="Arial" w:hAnsi="Arial"/>
          <w:sz w:val="15"/>
          <w:szCs w:val="15"/>
          <w:b w:val="1"/>
          <w:bCs w:val="1"/>
          <w:color w:val="002B5F"/>
        </w:rPr>
        <w:t xml:space="preserve">52  </w:t>
      </w:r>
      <w:r>
        <w:rPr>
          <w:rFonts w:ascii="Arial" w:cs="Arial" w:eastAsia="Arial" w:hAnsi="Arial"/>
          <w:sz w:val="20"/>
          <w:szCs w:val="20"/>
          <w:color w:val="002B5F"/>
        </w:rPr>
        <w:t>|</w:t>
      </w:r>
      <w:r>
        <w:rPr>
          <w:rFonts w:ascii="Arial" w:cs="Arial" w:eastAsia="Arial" w:hAnsi="Arial"/>
          <w:sz w:val="15"/>
          <w:szCs w:val="15"/>
          <w:b w:val="1"/>
          <w:bCs w:val="1"/>
          <w:color w:val="002B5F"/>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6111875</wp:posOffset>
            </wp:positionH>
            <wp:positionV relativeFrom="paragraph">
              <wp:posOffset>-208915</wp:posOffset>
            </wp:positionV>
            <wp:extent cx="769620" cy="971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69620" cy="97155"/>
                    </a:xfrm>
                    <a:prstGeom prst="rect">
                      <a:avLst/>
                    </a:prstGeom>
                    <a:noFill/>
                  </pic:spPr>
                </pic:pic>
              </a:graphicData>
            </a:graphic>
          </wp:anchor>
        </w:drawing>
      </w:r>
    </w:p>
    <w:p>
      <w:pPr>
        <w:sectPr>
          <w:pgSz w:w="11900" w:h="16838" w:orient="portrait"/>
          <w:cols w:equalWidth="0" w:num="1">
            <w:col w:w="10700"/>
          </w:cols>
          <w:pgMar w:left="320" w:top="464" w:right="879" w:bottom="1440" w:gutter="0" w:footer="0" w:header="0"/>
          <w:type w:val="continuous"/>
        </w:sectPr>
      </w:pPr>
    </w:p>
    <w:bookmarkStart w:id="60" w:name="page61"/>
    <w:bookmarkEnd w:id="6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5334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81215" cy="5334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5617845</wp:posOffset>
            </wp:positionH>
            <wp:positionV relativeFrom="paragraph">
              <wp:posOffset>253365</wp:posOffset>
            </wp:positionV>
            <wp:extent cx="1256030" cy="74720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1256030" cy="7472045"/>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tbl>
      <w:tblPr>
        <w:tblLayout w:type="fixed"/>
        <w:tblInd w:w="540" w:type="dxa"/>
        <w:tblCellMar>
          <w:top w:w="0" w:type="dxa"/>
          <w:left w:w="0" w:type="dxa"/>
          <w:bottom w:w="0" w:type="dxa"/>
          <w:right w:w="0" w:type="dxa"/>
        </w:tblCellMar>
      </w:tblPr>
      <w:tr>
        <w:trPr>
          <w:trHeight w:val="179"/>
        </w:trPr>
        <w:tc>
          <w:tcPr>
            <w:tcW w:w="8080" w:type="dxa"/>
            <w:vAlign w:val="bottom"/>
          </w:tcPr>
          <w:p>
            <w:pPr>
              <w:spacing w:after="0"/>
              <w:rPr>
                <w:sz w:val="20"/>
                <w:szCs w:val="20"/>
                <w:color w:val="auto"/>
              </w:rPr>
            </w:pPr>
            <w:r>
              <w:rPr>
                <w:rFonts w:ascii="Arial" w:cs="Arial" w:eastAsia="Arial" w:hAnsi="Arial"/>
                <w:sz w:val="15"/>
                <w:szCs w:val="15"/>
                <w:color w:val="auto"/>
              </w:rPr>
              <w:t>In the event of a Designated Retirement (defined below), PSUs granted in 2024 or after will generally remain</w:t>
            </w:r>
          </w:p>
        </w:tc>
        <w:tc>
          <w:tcPr>
            <w:tcW w:w="4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8080" w:type="dxa"/>
            <w:vAlign w:val="bottom"/>
          </w:tcPr>
          <w:p>
            <w:pPr>
              <w:spacing w:after="0"/>
              <w:rPr>
                <w:sz w:val="20"/>
                <w:szCs w:val="20"/>
                <w:color w:val="auto"/>
              </w:rPr>
            </w:pPr>
            <w:r>
              <w:rPr>
                <w:rFonts w:ascii="Arial" w:cs="Arial" w:eastAsia="Arial" w:hAnsi="Arial"/>
                <w:sz w:val="15"/>
                <w:szCs w:val="15"/>
                <w:color w:val="auto"/>
              </w:rPr>
              <w:t>outstanding and eligible to become earned PSUs based on relative TSR performance at the end of the performance</w:t>
            </w:r>
          </w:p>
        </w:tc>
        <w:tc>
          <w:tcPr>
            <w:tcW w:w="460" w:type="dxa"/>
            <w:vAlign w:val="bottom"/>
            <w:vMerge w:val="restart"/>
          </w:tcPr>
          <w:p>
            <w:pPr>
              <w:ind w:left="260"/>
              <w:spacing w:after="0"/>
              <w:rPr>
                <w:sz w:val="20"/>
                <w:szCs w:val="20"/>
                <w:color w:val="auto"/>
              </w:rPr>
            </w:pPr>
            <w:r>
              <w:rPr>
                <w:rFonts w:ascii="Arial" w:cs="Arial" w:eastAsia="Arial" w:hAnsi="Arial"/>
                <w:sz w:val="15"/>
                <w:szCs w:val="15"/>
                <w:color w:val="auto"/>
              </w:rPr>
              <w:t> </w:t>
            </w:r>
          </w:p>
        </w:tc>
        <w:tc>
          <w:tcPr>
            <w:tcW w:w="1280" w:type="dxa"/>
            <w:vAlign w:val="bottom"/>
            <w:vMerge w:val="restart"/>
          </w:tcPr>
          <w:p>
            <w:pPr>
              <w:ind w:left="140"/>
              <w:spacing w:after="0"/>
              <w:rPr>
                <w:sz w:val="20"/>
                <w:szCs w:val="20"/>
                <w:color w:val="auto"/>
              </w:rPr>
            </w:pPr>
            <w:r>
              <w:rPr>
                <w:rFonts w:ascii="Arial" w:cs="Arial" w:eastAsia="Arial" w:hAnsi="Arial"/>
                <w:sz w:val="12"/>
                <w:szCs w:val="12"/>
                <w:color w:val="FFFFFF"/>
              </w:rPr>
              <w:t>General</w:t>
            </w:r>
          </w:p>
        </w:tc>
        <w:tc>
          <w:tcPr>
            <w:tcW w:w="440" w:type="dxa"/>
            <w:vAlign w:val="bottom"/>
            <w:vMerge w:val="restart"/>
          </w:tcPr>
          <w:p>
            <w:pPr>
              <w:ind w:left="80"/>
              <w:spacing w:after="0"/>
              <w:rPr>
                <w:sz w:val="20"/>
                <w:szCs w:val="20"/>
                <w:color w:val="auto"/>
              </w:rPr>
            </w:pPr>
            <w:r>
              <w:rPr>
                <w:rFonts w:ascii="Arial" w:cs="Arial" w:eastAsia="Arial" w:hAnsi="Arial"/>
                <w:sz w:val="15"/>
                <w:szCs w:val="15"/>
                <w:color w:val="auto"/>
              </w:rPr>
              <w:t xml:space="preserve">       </w:t>
            </w:r>
          </w:p>
        </w:tc>
        <w:tc>
          <w:tcPr>
            <w:tcW w:w="0" w:type="dxa"/>
            <w:vAlign w:val="bottom"/>
          </w:tcPr>
          <w:p>
            <w:pPr>
              <w:spacing w:after="0"/>
              <w:rPr>
                <w:sz w:val="1"/>
                <w:szCs w:val="1"/>
                <w:color w:val="auto"/>
              </w:rPr>
            </w:pPr>
          </w:p>
        </w:tc>
      </w:tr>
      <w:tr>
        <w:trPr>
          <w:trHeight w:val="51"/>
        </w:trPr>
        <w:tc>
          <w:tcPr>
            <w:tcW w:w="8080" w:type="dxa"/>
            <w:vAlign w:val="bottom"/>
            <w:vMerge w:val="restart"/>
          </w:tcPr>
          <w:p>
            <w:pPr>
              <w:spacing w:after="0"/>
              <w:rPr>
                <w:sz w:val="20"/>
                <w:szCs w:val="20"/>
                <w:color w:val="auto"/>
              </w:rPr>
            </w:pPr>
            <w:r>
              <w:rPr>
                <w:rFonts w:ascii="Arial" w:cs="Arial" w:eastAsia="Arial" w:hAnsi="Arial"/>
                <w:sz w:val="15"/>
                <w:szCs w:val="15"/>
                <w:color w:val="auto"/>
              </w:rPr>
              <w:t>period, but will not be subject to the proration described above. “Designated Retirement” means the termination of</w:t>
            </w:r>
          </w:p>
        </w:tc>
        <w:tc>
          <w:tcPr>
            <w:tcW w:w="460" w:type="dxa"/>
            <w:vAlign w:val="bottom"/>
            <w:vMerge w:val="continue"/>
          </w:tcPr>
          <w:p>
            <w:pPr>
              <w:spacing w:after="0"/>
              <w:rPr>
                <w:sz w:val="4"/>
                <w:szCs w:val="4"/>
                <w:color w:val="auto"/>
              </w:rPr>
            </w:pPr>
          </w:p>
        </w:tc>
        <w:tc>
          <w:tcPr>
            <w:tcW w:w="1280" w:type="dxa"/>
            <w:vAlign w:val="bottom"/>
            <w:vMerge w:val="continue"/>
          </w:tcPr>
          <w:p>
            <w:pPr>
              <w:spacing w:after="0"/>
              <w:rPr>
                <w:sz w:val="4"/>
                <w:szCs w:val="4"/>
                <w:color w:val="auto"/>
              </w:rPr>
            </w:pPr>
          </w:p>
        </w:tc>
        <w:tc>
          <w:tcPr>
            <w:tcW w:w="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8"/>
        </w:trPr>
        <w:tc>
          <w:tcPr>
            <w:tcW w:w="8080" w:type="dxa"/>
            <w:vAlign w:val="bottom"/>
            <w:vMerge w:val="continue"/>
          </w:tcPr>
          <w:p>
            <w:pPr>
              <w:spacing w:after="0"/>
              <w:rPr>
                <w:sz w:val="11"/>
                <w:szCs w:val="11"/>
                <w:color w:val="auto"/>
              </w:rPr>
            </w:pPr>
          </w:p>
        </w:tc>
        <w:tc>
          <w:tcPr>
            <w:tcW w:w="460" w:type="dxa"/>
            <w:vAlign w:val="bottom"/>
          </w:tcPr>
          <w:p>
            <w:pPr>
              <w:spacing w:after="0"/>
              <w:rPr>
                <w:sz w:val="11"/>
                <w:szCs w:val="11"/>
                <w:color w:val="auto"/>
              </w:rPr>
            </w:pPr>
          </w:p>
        </w:tc>
        <w:tc>
          <w:tcPr>
            <w:tcW w:w="1280" w:type="dxa"/>
            <w:vAlign w:val="bottom"/>
          </w:tcPr>
          <w:p>
            <w:pPr>
              <w:ind w:left="140"/>
              <w:spacing w:after="0" w:line="128" w:lineRule="exact"/>
              <w:rPr>
                <w:sz w:val="20"/>
                <w:szCs w:val="20"/>
                <w:color w:val="auto"/>
              </w:rPr>
            </w:pPr>
            <w:r>
              <w:rPr>
                <w:rFonts w:ascii="Arial" w:cs="Arial" w:eastAsia="Arial" w:hAnsi="Arial"/>
                <w:sz w:val="12"/>
                <w:szCs w:val="12"/>
                <w:color w:val="FFFFFF"/>
              </w:rPr>
              <w:t>Information</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9"/>
        </w:trPr>
        <w:tc>
          <w:tcPr>
            <w:tcW w:w="8080" w:type="dxa"/>
            <w:vAlign w:val="bottom"/>
          </w:tcPr>
          <w:p>
            <w:pPr>
              <w:spacing w:after="0"/>
              <w:rPr>
                <w:sz w:val="20"/>
                <w:szCs w:val="20"/>
                <w:color w:val="auto"/>
              </w:rPr>
            </w:pPr>
            <w:r>
              <w:rPr>
                <w:rFonts w:ascii="Arial" w:cs="Arial" w:eastAsia="Arial" w:hAnsi="Arial"/>
                <w:sz w:val="15"/>
                <w:szCs w:val="15"/>
                <w:color w:val="auto"/>
              </w:rPr>
              <w:t>employment other than for cause following the attainment of age 60 and completion of ten years of continuous</w:t>
            </w:r>
          </w:p>
        </w:tc>
        <w:tc>
          <w:tcPr>
            <w:tcW w:w="460" w:type="dxa"/>
            <w:vAlign w:val="bottom"/>
          </w:tcPr>
          <w:p>
            <w:pPr>
              <w:spacing w:after="0"/>
              <w:rPr>
                <w:sz w:val="15"/>
                <w:szCs w:val="15"/>
                <w:color w:val="auto"/>
              </w:rPr>
            </w:pPr>
          </w:p>
        </w:tc>
        <w:tc>
          <w:tcPr>
            <w:tcW w:w="1280" w:type="dxa"/>
            <w:vAlign w:val="bottom"/>
            <w:vMerge w:val="restart"/>
          </w:tcPr>
          <w:p>
            <w:pPr>
              <w:ind w:left="140"/>
              <w:spacing w:after="0"/>
              <w:rPr>
                <w:sz w:val="20"/>
                <w:szCs w:val="20"/>
                <w:color w:val="auto"/>
              </w:rPr>
            </w:pPr>
            <w:r>
              <w:rPr>
                <w:rFonts w:ascii="Arial" w:cs="Arial" w:eastAsia="Arial" w:hAnsi="Arial"/>
                <w:sz w:val="12"/>
                <w:szCs w:val="12"/>
                <w:color w:val="FFFFFF"/>
              </w:rPr>
              <w:t>General Information</w:t>
            </w: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4"/>
        </w:trPr>
        <w:tc>
          <w:tcPr>
            <w:tcW w:w="8080" w:type="dxa"/>
            <w:vAlign w:val="bottom"/>
            <w:vMerge w:val="restart"/>
          </w:tcPr>
          <w:p>
            <w:pPr>
              <w:spacing w:after="0"/>
              <w:rPr>
                <w:sz w:val="20"/>
                <w:szCs w:val="20"/>
                <w:color w:val="auto"/>
              </w:rPr>
            </w:pPr>
            <w:r>
              <w:rPr>
                <w:rFonts w:ascii="Arial" w:cs="Arial" w:eastAsia="Arial" w:hAnsi="Arial"/>
                <w:sz w:val="15"/>
                <w:szCs w:val="15"/>
                <w:color w:val="auto"/>
              </w:rPr>
              <w:t>service with the Company.</w:t>
            </w:r>
          </w:p>
        </w:tc>
        <w:tc>
          <w:tcPr>
            <w:tcW w:w="460" w:type="dxa"/>
            <w:vAlign w:val="bottom"/>
          </w:tcPr>
          <w:p>
            <w:pPr>
              <w:spacing w:after="0"/>
              <w:rPr>
                <w:sz w:val="7"/>
                <w:szCs w:val="7"/>
                <w:color w:val="auto"/>
              </w:rPr>
            </w:pPr>
          </w:p>
        </w:tc>
        <w:tc>
          <w:tcPr>
            <w:tcW w:w="1280" w:type="dxa"/>
            <w:vAlign w:val="bottom"/>
            <w:vMerge w:val="continue"/>
          </w:tcPr>
          <w:p>
            <w:pPr>
              <w:spacing w:after="0"/>
              <w:rPr>
                <w:sz w:val="7"/>
                <w:szCs w:val="7"/>
                <w:color w:val="auto"/>
              </w:rPr>
            </w:pPr>
          </w:p>
        </w:tc>
        <w:tc>
          <w:tcPr>
            <w:tcW w:w="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8"/>
        </w:trPr>
        <w:tc>
          <w:tcPr>
            <w:tcW w:w="8080" w:type="dxa"/>
            <w:vAlign w:val="bottom"/>
            <w:vMerge w:val="continue"/>
          </w:tcPr>
          <w:p>
            <w:pPr>
              <w:spacing w:after="0"/>
              <w:rPr>
                <w:sz w:val="11"/>
                <w:szCs w:val="11"/>
                <w:color w:val="auto"/>
              </w:rPr>
            </w:pPr>
          </w:p>
        </w:tc>
        <w:tc>
          <w:tcPr>
            <w:tcW w:w="460" w:type="dxa"/>
            <w:vAlign w:val="bottom"/>
          </w:tcPr>
          <w:p>
            <w:pPr>
              <w:spacing w:after="0"/>
              <w:rPr>
                <w:sz w:val="11"/>
                <w:szCs w:val="11"/>
                <w:color w:val="auto"/>
              </w:rPr>
            </w:pPr>
          </w:p>
        </w:tc>
        <w:tc>
          <w:tcPr>
            <w:tcW w:w="1280" w:type="dxa"/>
            <w:vAlign w:val="bottom"/>
          </w:tcPr>
          <w:p>
            <w:pPr>
              <w:ind w:left="140"/>
              <w:spacing w:after="0" w:line="128" w:lineRule="exact"/>
              <w:rPr>
                <w:sz w:val="20"/>
                <w:szCs w:val="20"/>
                <w:color w:val="auto"/>
              </w:rPr>
            </w:pPr>
            <w:r>
              <w:rPr>
                <w:rFonts w:ascii="Arial" w:cs="Arial" w:eastAsia="Arial" w:hAnsi="Arial"/>
                <w:sz w:val="12"/>
                <w:szCs w:val="12"/>
                <w:color w:val="FFFFFF"/>
              </w:rPr>
              <w:t>About Corporate</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080" w:type="dxa"/>
            <w:vAlign w:val="bottom"/>
            <w:vMerge w:val="restart"/>
          </w:tcPr>
          <w:p>
            <w:pPr>
              <w:spacing w:after="0"/>
              <w:rPr>
                <w:sz w:val="20"/>
                <w:szCs w:val="20"/>
                <w:color w:val="auto"/>
              </w:rPr>
            </w:pPr>
            <w:r>
              <w:rPr>
                <w:rFonts w:ascii="Arial" w:cs="Arial" w:eastAsia="Arial" w:hAnsi="Arial"/>
                <w:sz w:val="15"/>
                <w:szCs w:val="15"/>
                <w:color w:val="auto"/>
              </w:rPr>
              <w:t>No NEO was retirement-eligible or qualified for Designated Retirement as of December 31, 2025.</w:t>
            </w:r>
          </w:p>
        </w:tc>
        <w:tc>
          <w:tcPr>
            <w:tcW w:w="460" w:type="dxa"/>
            <w:vAlign w:val="bottom"/>
          </w:tcPr>
          <w:p>
            <w:pPr>
              <w:spacing w:after="0"/>
              <w:rPr>
                <w:sz w:val="11"/>
                <w:szCs w:val="11"/>
                <w:color w:val="auto"/>
              </w:rPr>
            </w:pPr>
          </w:p>
        </w:tc>
        <w:tc>
          <w:tcPr>
            <w:tcW w:w="1280" w:type="dxa"/>
            <w:vAlign w:val="bottom"/>
          </w:tcPr>
          <w:p>
            <w:pPr>
              <w:ind w:left="140"/>
              <w:spacing w:after="0" w:line="128" w:lineRule="exact"/>
              <w:rPr>
                <w:sz w:val="20"/>
                <w:szCs w:val="20"/>
                <w:color w:val="auto"/>
              </w:rPr>
            </w:pPr>
            <w:r>
              <w:rPr>
                <w:rFonts w:ascii="Arial" w:cs="Arial" w:eastAsia="Arial" w:hAnsi="Arial"/>
                <w:sz w:val="12"/>
                <w:szCs w:val="12"/>
                <w:color w:val="FFFFFF"/>
              </w:rPr>
              <w:t>Governance</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080" w:type="dxa"/>
            <w:vAlign w:val="bottom"/>
            <w:vMerge w:val="continue"/>
          </w:tcPr>
          <w:p>
            <w:pPr>
              <w:spacing w:after="0"/>
              <w:rPr>
                <w:sz w:val="11"/>
                <w:szCs w:val="11"/>
                <w:color w:val="auto"/>
              </w:rPr>
            </w:pPr>
          </w:p>
        </w:tc>
        <w:tc>
          <w:tcPr>
            <w:tcW w:w="460" w:type="dxa"/>
            <w:vAlign w:val="bottom"/>
          </w:tcPr>
          <w:p>
            <w:pPr>
              <w:spacing w:after="0"/>
              <w:rPr>
                <w:sz w:val="11"/>
                <w:szCs w:val="11"/>
                <w:color w:val="auto"/>
              </w:rPr>
            </w:pPr>
          </w:p>
        </w:tc>
        <w:tc>
          <w:tcPr>
            <w:tcW w:w="1280" w:type="dxa"/>
            <w:vAlign w:val="bottom"/>
          </w:tcPr>
          <w:p>
            <w:pPr>
              <w:ind w:left="140"/>
              <w:spacing w:after="0" w:line="128" w:lineRule="exact"/>
              <w:rPr>
                <w:sz w:val="20"/>
                <w:szCs w:val="20"/>
                <w:color w:val="auto"/>
              </w:rPr>
            </w:pPr>
            <w:r>
              <w:rPr>
                <w:rFonts w:ascii="Arial" w:cs="Arial" w:eastAsia="Arial" w:hAnsi="Arial"/>
                <w:sz w:val="12"/>
                <w:szCs w:val="12"/>
                <w:color w:val="FFFFFF"/>
              </w:rPr>
              <w:t>and the Board of</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80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Directors</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9" w:lineRule="exact"/>
        <w:rPr>
          <w:sz w:val="20"/>
          <w:szCs w:val="20"/>
          <w:color w:val="auto"/>
        </w:rPr>
      </w:pPr>
    </w:p>
    <w:p>
      <w:pPr>
        <w:sectPr>
          <w:pgSz w:w="11900" w:h="16838" w:orient="portrait"/>
          <w:cols w:equalWidth="0" w:num="1">
            <w:col w:w="10800"/>
          </w:cols>
          <w:pgMar w:left="320" w:top="464" w:right="779" w:bottom="1440" w:gutter="0" w:footer="0" w:header="0"/>
        </w:sectPr>
      </w:pPr>
    </w:p>
    <w:p>
      <w:pPr>
        <w:ind w:left="540"/>
        <w:spacing w:after="0"/>
        <w:rPr>
          <w:sz w:val="20"/>
          <w:szCs w:val="20"/>
          <w:color w:val="auto"/>
        </w:rPr>
      </w:pPr>
      <w:r>
        <w:rPr>
          <w:rFonts w:ascii="Arial" w:cs="Arial" w:eastAsia="Arial" w:hAnsi="Arial"/>
          <w:sz w:val="24"/>
          <w:szCs w:val="24"/>
          <w:color w:val="B95827"/>
        </w:rPr>
        <w:t>Additional Compensation Elements</w:t>
      </w:r>
    </w:p>
    <w:p>
      <w:pPr>
        <w:spacing w:after="0" w:line="113" w:lineRule="exact"/>
        <w:rPr>
          <w:sz w:val="20"/>
          <w:szCs w:val="20"/>
          <w:color w:val="auto"/>
        </w:rPr>
      </w:pPr>
    </w:p>
    <w:p>
      <w:pPr>
        <w:ind w:left="540"/>
        <w:spacing w:after="0"/>
        <w:rPr>
          <w:sz w:val="20"/>
          <w:szCs w:val="20"/>
          <w:color w:val="auto"/>
        </w:rPr>
      </w:pPr>
      <w:r>
        <w:rPr>
          <w:rFonts w:ascii="Arial" w:cs="Arial" w:eastAsia="Arial" w:hAnsi="Arial"/>
          <w:sz w:val="17"/>
          <w:szCs w:val="17"/>
          <w:b w:val="1"/>
          <w:bCs w:val="1"/>
          <w:color w:val="002B5F"/>
        </w:rPr>
        <w:t>SEVERANCE AND CHANGE-IN-CONTROL BENEFITS</w:t>
      </w:r>
    </w:p>
    <w:p>
      <w:pPr>
        <w:spacing w:after="0" w:line="103" w:lineRule="exact"/>
        <w:rPr>
          <w:sz w:val="20"/>
          <w:szCs w:val="20"/>
          <w:color w:val="auto"/>
        </w:rPr>
      </w:pPr>
    </w:p>
    <w:p>
      <w:pPr>
        <w:ind w:left="540" w:right="120"/>
        <w:spacing w:after="0" w:line="256" w:lineRule="auto"/>
        <w:rPr>
          <w:sz w:val="20"/>
          <w:szCs w:val="20"/>
          <w:color w:val="auto"/>
        </w:rPr>
      </w:pPr>
      <w:r>
        <w:rPr>
          <w:rFonts w:ascii="Arial" w:cs="Arial" w:eastAsia="Arial" w:hAnsi="Arial"/>
          <w:sz w:val="15"/>
          <w:szCs w:val="15"/>
          <w:color w:val="auto"/>
        </w:rPr>
        <w:t>Our Executive Severance Plan enables us to offer protection to our NEOs in the event their employment with us is involuntarily terminated by the Company or is terminated for good reason by the executive (each, a “qualifying termination”). We believe that providing these benefits helps us compete for executive talent and may help us retain current key employees. All of our NEOs are eligible for severance benefits under the Executive Severance Plan. For more information please refer to the discussion under “</w:t>
      </w:r>
      <w:r>
        <w:rPr>
          <w:rFonts w:ascii="Arial" w:cs="Arial" w:eastAsia="Arial" w:hAnsi="Arial"/>
          <w:sz w:val="15"/>
          <w:szCs w:val="15"/>
          <w:i w:val="1"/>
          <w:iCs w:val="1"/>
          <w:color w:val="auto"/>
        </w:rPr>
        <w:t>Potential Payments upon Termination or Change-in-Control</w:t>
      </w:r>
      <w:r>
        <w:rPr>
          <w:rFonts w:ascii="Arial" w:cs="Arial" w:eastAsia="Arial" w:hAnsi="Arial"/>
          <w:sz w:val="15"/>
          <w:szCs w:val="15"/>
          <w:color w:val="auto"/>
        </w:rPr>
        <w:t xml:space="preserve"> </w:t>
      </w:r>
      <w:r>
        <w:rPr>
          <w:rFonts w:ascii="Arial" w:cs="Arial" w:eastAsia="Arial" w:hAnsi="Arial"/>
          <w:sz w:val="15"/>
          <w:szCs w:val="15"/>
          <w:i w:val="1"/>
          <w:iCs w:val="1"/>
          <w:color w:val="auto"/>
        </w:rPr>
        <w:t>for the Year Ended December 31, 2025</w:t>
      </w:r>
      <w:r>
        <w:rPr>
          <w:rFonts w:ascii="Arial" w:cs="Arial" w:eastAsia="Arial" w:hAnsi="Arial"/>
          <w:sz w:val="15"/>
          <w:szCs w:val="15"/>
          <w:color w:val="auto"/>
        </w:rPr>
        <w:t>.”</w:t>
      </w:r>
    </w:p>
    <w:p>
      <w:pPr>
        <w:spacing w:after="0" w:line="20" w:lineRule="exact"/>
        <w:rPr>
          <w:sz w:val="20"/>
          <w:szCs w:val="20"/>
          <w:color w:val="auto"/>
        </w:rPr>
      </w:pPr>
      <w:r>
        <w:rPr>
          <w:sz w:val="20"/>
          <w:szCs w:val="20"/>
          <w:color w:val="auto"/>
        </w:rPr>
        <w:br w:type="column"/>
      </w:r>
    </w:p>
    <w:p>
      <w:pPr>
        <w:spacing w:after="0" w:line="87" w:lineRule="exact"/>
        <w:rPr>
          <w:sz w:val="20"/>
          <w:szCs w:val="20"/>
          <w:color w:val="auto"/>
        </w:rPr>
      </w:pPr>
    </w:p>
    <w:p>
      <w:pPr>
        <w:spacing w:after="0"/>
        <w:rPr>
          <w:sz w:val="20"/>
          <w:szCs w:val="20"/>
          <w:color w:val="auto"/>
        </w:rPr>
      </w:pPr>
      <w:r>
        <w:rPr>
          <w:rFonts w:ascii="Arial" w:cs="Arial" w:eastAsia="Arial" w:hAnsi="Arial"/>
          <w:sz w:val="12"/>
          <w:szCs w:val="12"/>
          <w:color w:val="FFFFFF"/>
        </w:rPr>
        <w:t>Proposal 1</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FFFFFF"/>
        </w:rPr>
        <w:t>Information</w:t>
      </w:r>
    </w:p>
    <w:p>
      <w:pPr>
        <w:spacing w:after="0" w:line="224" w:lineRule="auto"/>
        <w:rPr>
          <w:sz w:val="20"/>
          <w:szCs w:val="20"/>
          <w:color w:val="auto"/>
        </w:rPr>
      </w:pPr>
      <w:r>
        <w:rPr>
          <w:rFonts w:ascii="Arial" w:cs="Arial" w:eastAsia="Arial" w:hAnsi="Arial"/>
          <w:sz w:val="12"/>
          <w:szCs w:val="12"/>
          <w:color w:val="FFFFFF"/>
        </w:rPr>
        <w:t>Regarding Board</w:t>
      </w:r>
    </w:p>
    <w:p>
      <w:pPr>
        <w:spacing w:after="0" w:line="222" w:lineRule="auto"/>
        <w:rPr>
          <w:sz w:val="20"/>
          <w:szCs w:val="20"/>
          <w:color w:val="auto"/>
        </w:rPr>
      </w:pPr>
      <w:r>
        <w:rPr>
          <w:rFonts w:ascii="Arial" w:cs="Arial" w:eastAsia="Arial" w:hAnsi="Arial"/>
          <w:sz w:val="12"/>
          <w:szCs w:val="12"/>
          <w:color w:val="FFFFFF"/>
        </w:rPr>
        <w:t>and Committee</w:t>
      </w:r>
    </w:p>
    <w:p>
      <w:pPr>
        <w:spacing w:after="0"/>
        <w:rPr>
          <w:sz w:val="20"/>
          <w:szCs w:val="20"/>
          <w:color w:val="auto"/>
        </w:rPr>
      </w:pPr>
      <w:r>
        <w:rPr>
          <w:rFonts w:ascii="Arial" w:cs="Arial" w:eastAsia="Arial" w:hAnsi="Arial"/>
          <w:sz w:val="12"/>
          <w:szCs w:val="12"/>
          <w:color w:val="FFFFFF"/>
        </w:rPr>
        <w:t>Structure</w:t>
      </w:r>
    </w:p>
    <w:p>
      <w:pPr>
        <w:spacing w:after="0" w:line="144" w:lineRule="exact"/>
        <w:rPr>
          <w:sz w:val="20"/>
          <w:szCs w:val="20"/>
          <w:color w:val="auto"/>
        </w:rPr>
      </w:pPr>
    </w:p>
    <w:p>
      <w:pPr>
        <w:spacing w:after="0"/>
        <w:rPr>
          <w:sz w:val="20"/>
          <w:szCs w:val="20"/>
          <w:color w:val="auto"/>
        </w:rPr>
      </w:pPr>
      <w:r>
        <w:rPr>
          <w:rFonts w:ascii="Arial" w:cs="Arial" w:eastAsia="Arial" w:hAnsi="Arial"/>
          <w:sz w:val="11"/>
          <w:szCs w:val="11"/>
          <w:color w:val="FFFFFF"/>
        </w:rPr>
        <w:t>Board of Directors</w:t>
      </w:r>
    </w:p>
    <w:p>
      <w:pPr>
        <w:spacing w:after="0" w:line="13" w:lineRule="exact"/>
        <w:rPr>
          <w:sz w:val="20"/>
          <w:szCs w:val="20"/>
          <w:color w:val="auto"/>
        </w:rPr>
      </w:pPr>
    </w:p>
    <w:p>
      <w:pPr>
        <w:spacing w:after="0"/>
        <w:rPr>
          <w:sz w:val="20"/>
          <w:szCs w:val="20"/>
          <w:color w:val="auto"/>
        </w:rPr>
      </w:pPr>
      <w:r>
        <w:rPr>
          <w:rFonts w:ascii="Arial" w:cs="Arial" w:eastAsia="Arial" w:hAnsi="Arial"/>
          <w:sz w:val="12"/>
          <w:szCs w:val="12"/>
          <w:color w:val="FFFFFF"/>
        </w:rPr>
        <w:t>Compensation</w:t>
      </w:r>
    </w:p>
    <w:p>
      <w:pPr>
        <w:spacing w:after="0" w:line="144" w:lineRule="exact"/>
        <w:rPr>
          <w:sz w:val="20"/>
          <w:szCs w:val="20"/>
          <w:color w:val="auto"/>
        </w:rPr>
      </w:pPr>
    </w:p>
    <w:p>
      <w:pPr>
        <w:ind w:right="700"/>
        <w:spacing w:after="0" w:line="244" w:lineRule="auto"/>
        <w:rPr>
          <w:sz w:val="20"/>
          <w:szCs w:val="20"/>
          <w:color w:val="auto"/>
        </w:rPr>
      </w:pPr>
      <w:r>
        <w:rPr>
          <w:rFonts w:ascii="Arial" w:cs="Arial" w:eastAsia="Arial" w:hAnsi="Arial"/>
          <w:sz w:val="12"/>
          <w:szCs w:val="12"/>
          <w:b w:val="1"/>
          <w:bCs w:val="1"/>
          <w:color w:val="FFFFFF"/>
        </w:rPr>
        <w:t>Compensation Discussion and Analysis</w:t>
      </w:r>
    </w:p>
    <w:p>
      <w:pPr>
        <w:spacing w:after="0" w:line="39" w:lineRule="exact"/>
        <w:rPr>
          <w:sz w:val="20"/>
          <w:szCs w:val="20"/>
          <w:color w:val="auto"/>
        </w:rPr>
      </w:pPr>
    </w:p>
    <w:p>
      <w:pPr>
        <w:sectPr>
          <w:pgSz w:w="11900" w:h="16838" w:orient="portrait"/>
          <w:cols w:equalWidth="0" w:num="2">
            <w:col w:w="8500" w:space="720"/>
            <w:col w:w="1580"/>
          </w:cols>
          <w:pgMar w:left="320" w:top="464" w:right="779" w:bottom="1440" w:gutter="0" w:footer="0" w:header="0"/>
          <w:type w:val="continuous"/>
        </w:sectPr>
      </w:pPr>
    </w:p>
    <w:p>
      <w:pPr>
        <w:ind w:left="540"/>
        <w:spacing w:after="0"/>
        <w:rPr>
          <w:sz w:val="20"/>
          <w:szCs w:val="20"/>
          <w:color w:val="auto"/>
        </w:rPr>
      </w:pPr>
      <w:r>
        <w:rPr>
          <w:rFonts w:ascii="Arial" w:cs="Arial" w:eastAsia="Arial" w:hAnsi="Arial"/>
          <w:sz w:val="17"/>
          <w:szCs w:val="17"/>
          <w:b w:val="1"/>
          <w:bCs w:val="1"/>
          <w:color w:val="002B5F"/>
        </w:rPr>
        <w:t>EXECUTIVE PERQUISITES</w:t>
      </w:r>
    </w:p>
    <w:p>
      <w:pPr>
        <w:spacing w:after="0" w:line="103" w:lineRule="exact"/>
        <w:rPr>
          <w:sz w:val="20"/>
          <w:szCs w:val="20"/>
          <w:color w:val="auto"/>
        </w:rPr>
      </w:pPr>
    </w:p>
    <w:p>
      <w:pPr>
        <w:ind w:left="540" w:right="140"/>
        <w:spacing w:after="0" w:line="253" w:lineRule="auto"/>
        <w:rPr>
          <w:sz w:val="20"/>
          <w:szCs w:val="20"/>
          <w:color w:val="auto"/>
        </w:rPr>
      </w:pPr>
      <w:r>
        <w:rPr>
          <w:rFonts w:ascii="Arial" w:cs="Arial" w:eastAsia="Arial" w:hAnsi="Arial"/>
          <w:sz w:val="15"/>
          <w:szCs w:val="15"/>
          <w:color w:val="auto"/>
        </w:rPr>
        <w:t>Executive perquisites are not a core component of our executive compensation program. However, we offer an executive health and wellness program as well as an executive financial services policy, pursuant to which our NEOs are eligible to receive an annual reimbursement of up to $10,000 for qualifying health and wellness services and $15,000 for qualifying personal financial planning services. These programs are taxable to the participants, and the Company does not provide an associated tax gross-up as part of these programs. We also have an executive relocation policy pursuant to which the Company pays or reimburses certain expenses incurred by an executive in connection with a work-related relocation, and provides tax gross-up payments to the extent such payments or reimbursements are considered taxable income to the executive. In 2025, Mr. Audette received benefits under this policy, as set forth in the “All Other Compensation” column of the Summary Compensation Table.</w:t>
      </w:r>
    </w:p>
    <w:p>
      <w:pPr>
        <w:spacing w:after="0" w:line="171" w:lineRule="exact"/>
        <w:rPr>
          <w:sz w:val="20"/>
          <w:szCs w:val="20"/>
          <w:color w:val="auto"/>
        </w:rPr>
      </w:pPr>
    </w:p>
    <w:p>
      <w:pPr>
        <w:ind w:left="540"/>
        <w:spacing w:after="0"/>
        <w:rPr>
          <w:sz w:val="20"/>
          <w:szCs w:val="20"/>
          <w:color w:val="auto"/>
        </w:rPr>
      </w:pPr>
      <w:r>
        <w:rPr>
          <w:rFonts w:ascii="Arial" w:cs="Arial" w:eastAsia="Arial" w:hAnsi="Arial"/>
          <w:sz w:val="17"/>
          <w:szCs w:val="17"/>
          <w:b w:val="1"/>
          <w:bCs w:val="1"/>
          <w:color w:val="002B5F"/>
        </w:rPr>
        <w:t>OTHER COMPENSATION COMPONENTS</w:t>
      </w:r>
    </w:p>
    <w:p>
      <w:pPr>
        <w:spacing w:after="0" w:line="103" w:lineRule="exact"/>
        <w:rPr>
          <w:sz w:val="20"/>
          <w:szCs w:val="20"/>
          <w:color w:val="auto"/>
        </w:rPr>
      </w:pPr>
    </w:p>
    <w:p>
      <w:pPr>
        <w:ind w:left="540" w:right="100"/>
        <w:spacing w:after="0" w:line="255" w:lineRule="auto"/>
        <w:rPr>
          <w:sz w:val="20"/>
          <w:szCs w:val="20"/>
          <w:color w:val="auto"/>
        </w:rPr>
      </w:pPr>
      <w:r>
        <w:rPr>
          <w:rFonts w:ascii="Arial" w:cs="Arial" w:eastAsia="Arial" w:hAnsi="Arial"/>
          <w:sz w:val="15"/>
          <w:szCs w:val="15"/>
          <w:i w:val="1"/>
          <w:iCs w:val="1"/>
          <w:color w:val="B95827"/>
        </w:rPr>
        <w:t xml:space="preserve">401(k) Plan. </w:t>
      </w:r>
      <w:r>
        <w:rPr>
          <w:rFonts w:ascii="Arial" w:cs="Arial" w:eastAsia="Arial" w:hAnsi="Arial"/>
          <w:sz w:val="15"/>
          <w:szCs w:val="15"/>
          <w:color w:val="000000"/>
        </w:rPr>
        <w:t>We maintain a retirement savings plan (the “401(k) Plan”), for the benefit of all eligible employees,</w:t>
      </w:r>
      <w:r>
        <w:rPr>
          <w:rFonts w:ascii="Arial" w:cs="Arial" w:eastAsia="Arial" w:hAnsi="Arial"/>
          <w:sz w:val="15"/>
          <w:szCs w:val="15"/>
          <w:i w:val="1"/>
          <w:iCs w:val="1"/>
          <w:color w:val="B95827"/>
        </w:rPr>
        <w:t xml:space="preserve"> </w:t>
      </w:r>
      <w:r>
        <w:rPr>
          <w:rFonts w:ascii="Arial" w:cs="Arial" w:eastAsia="Arial" w:hAnsi="Arial"/>
          <w:sz w:val="15"/>
          <w:szCs w:val="15"/>
          <w:color w:val="000000"/>
        </w:rPr>
        <w:t>including our NEOs. Under the terms of the 401(k) Plan, employees may elect to make pre-tax 401(k) and Roth 401(k) contributions up to the statutorily prescribed limit. We provide a match in an amount equal to 75% of an employee’s elective deferral up to 8% of his or her eligible compensation on a pay period basis after six months of service. Employees may also elect to make after-tax contributions of up to $20,000 per year. After-tax contributions are not matched. We provide this benefit to all of our eligible employees, and it is provided to our NEOs on the same basis as all other eligible employees.</w:t>
      </w:r>
    </w:p>
    <w:p>
      <w:pPr>
        <w:spacing w:after="0" w:line="70" w:lineRule="exact"/>
        <w:rPr>
          <w:sz w:val="20"/>
          <w:szCs w:val="20"/>
          <w:color w:val="auto"/>
        </w:rPr>
      </w:pPr>
    </w:p>
    <w:p>
      <w:pPr>
        <w:ind w:left="540" w:right="100"/>
        <w:spacing w:after="0" w:line="252" w:lineRule="auto"/>
        <w:rPr>
          <w:sz w:val="20"/>
          <w:szCs w:val="20"/>
          <w:color w:val="auto"/>
        </w:rPr>
      </w:pPr>
      <w:r>
        <w:rPr>
          <w:rFonts w:ascii="Arial" w:cs="Arial" w:eastAsia="Arial" w:hAnsi="Arial"/>
          <w:sz w:val="15"/>
          <w:szCs w:val="15"/>
          <w:i w:val="1"/>
          <w:iCs w:val="1"/>
          <w:color w:val="B95827"/>
        </w:rPr>
        <w:t xml:space="preserve">Nonqualified Deferred Compensation. </w:t>
      </w:r>
      <w:r>
        <w:rPr>
          <w:rFonts w:ascii="Arial" w:cs="Arial" w:eastAsia="Arial" w:hAnsi="Arial"/>
          <w:sz w:val="15"/>
          <w:szCs w:val="15"/>
          <w:color w:val="000000"/>
        </w:rPr>
        <w:t>In 2025, Messrs. Audette and Enyedi and Ms. Jambusaria were participants</w:t>
      </w:r>
      <w:r>
        <w:rPr>
          <w:rFonts w:ascii="Arial" w:cs="Arial" w:eastAsia="Arial" w:hAnsi="Arial"/>
          <w:sz w:val="15"/>
          <w:szCs w:val="15"/>
          <w:i w:val="1"/>
          <w:iCs w:val="1"/>
          <w:color w:val="B95827"/>
        </w:rPr>
        <w:t xml:space="preserve"> </w:t>
      </w:r>
      <w:r>
        <w:rPr>
          <w:rFonts w:ascii="Arial" w:cs="Arial" w:eastAsia="Arial" w:hAnsi="Arial"/>
          <w:sz w:val="15"/>
          <w:szCs w:val="15"/>
          <w:color w:val="000000"/>
        </w:rPr>
        <w:t>in our Executive Nonqualified Excess Plan (the “Deferred Compensation Plan”). The Deferred Compensation Plan allows a select group of highly compensated or management employees to defer up to 100% of their current compensation, which includes for this purpose base salary, service bonus, performance-based compensation and commissions. Distributions of deferred amounts may be made only upon a qualifying distribution event. At the time a participant makes an election to defer compensation under the Deferred Compensation Plan, the participant may choose, with respect to each potential qualifying distribution event, to receive amounts in either a lump sum or in equal annual installments over a number of years (but not to exceed five years for fixed date elections or ten years for separation from service elections). Deferred amounts are credited with an investment return determined as if the amounts were invested in one or more investment funds made available by the Deferred Compensation Plan and selected by a participant. The amounts of compensation Messrs. Audette and Enyedi and Ms. Jambusaria elected to defer under the Deferred</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spacing w:after="0"/>
        <w:rPr>
          <w:sz w:val="20"/>
          <w:szCs w:val="20"/>
          <w:color w:val="auto"/>
        </w:rPr>
      </w:pPr>
      <w:r>
        <w:rPr>
          <w:rFonts w:ascii="Arial" w:cs="Arial" w:eastAsia="Arial" w:hAnsi="Arial"/>
          <w:sz w:val="12"/>
          <w:szCs w:val="12"/>
          <w:color w:val="FFFFFF"/>
        </w:rPr>
        <w:t>Report of the</w:t>
      </w:r>
    </w:p>
    <w:p>
      <w:pPr>
        <w:spacing w:after="0" w:line="224" w:lineRule="auto"/>
        <w:rPr>
          <w:sz w:val="20"/>
          <w:szCs w:val="20"/>
          <w:color w:val="auto"/>
        </w:rPr>
      </w:pPr>
      <w:r>
        <w:rPr>
          <w:rFonts w:ascii="Arial" w:cs="Arial" w:eastAsia="Arial" w:hAnsi="Arial"/>
          <w:sz w:val="12"/>
          <w:szCs w:val="12"/>
          <w:color w:val="FFFFFF"/>
        </w:rPr>
        <w:t>Compensation</w:t>
      </w:r>
    </w:p>
    <w:p>
      <w:pPr>
        <w:spacing w:after="0" w:line="222" w:lineRule="auto"/>
        <w:rPr>
          <w:sz w:val="20"/>
          <w:szCs w:val="20"/>
          <w:color w:val="auto"/>
        </w:rPr>
      </w:pPr>
      <w:r>
        <w:rPr>
          <w:rFonts w:ascii="Arial" w:cs="Arial" w:eastAsia="Arial" w:hAnsi="Arial"/>
          <w:sz w:val="12"/>
          <w:szCs w:val="12"/>
          <w:color w:val="FFFFFF"/>
        </w:rPr>
        <w:t>and Human</w:t>
      </w:r>
    </w:p>
    <w:p>
      <w:pPr>
        <w:spacing w:after="0" w:line="222" w:lineRule="auto"/>
        <w:rPr>
          <w:sz w:val="20"/>
          <w:szCs w:val="20"/>
          <w:color w:val="auto"/>
        </w:rPr>
      </w:pPr>
      <w:r>
        <w:rPr>
          <w:rFonts w:ascii="Arial" w:cs="Arial" w:eastAsia="Arial" w:hAnsi="Arial"/>
          <w:sz w:val="12"/>
          <w:szCs w:val="12"/>
          <w:color w:val="FFFFFF"/>
        </w:rPr>
        <w:t>Resources</w:t>
      </w:r>
    </w:p>
    <w:p>
      <w:pPr>
        <w:spacing w:after="0" w:line="222" w:lineRule="auto"/>
        <w:rPr>
          <w:sz w:val="20"/>
          <w:szCs w:val="20"/>
          <w:color w:val="auto"/>
        </w:rPr>
      </w:pPr>
      <w:r>
        <w:rPr>
          <w:rFonts w:ascii="Arial" w:cs="Arial" w:eastAsia="Arial" w:hAnsi="Arial"/>
          <w:sz w:val="12"/>
          <w:szCs w:val="12"/>
          <w:color w:val="FFFFFF"/>
        </w:rPr>
        <w:t>Committee of the</w:t>
      </w:r>
    </w:p>
    <w:p>
      <w:pPr>
        <w:spacing w:after="0"/>
        <w:rPr>
          <w:sz w:val="20"/>
          <w:szCs w:val="20"/>
          <w:color w:val="auto"/>
        </w:rPr>
      </w:pPr>
      <w:r>
        <w:rPr>
          <w:rFonts w:ascii="Arial" w:cs="Arial" w:eastAsia="Arial" w:hAnsi="Arial"/>
          <w:sz w:val="11"/>
          <w:szCs w:val="11"/>
          <w:color w:val="FFFFFF"/>
        </w:rPr>
        <w:t>Board of Directors</w:t>
      </w:r>
    </w:p>
    <w:p>
      <w:pPr>
        <w:spacing w:after="0" w:line="155" w:lineRule="exact"/>
        <w:rPr>
          <w:sz w:val="20"/>
          <w:szCs w:val="20"/>
          <w:color w:val="auto"/>
        </w:rPr>
      </w:pPr>
    </w:p>
    <w:p>
      <w:pPr>
        <w:spacing w:after="0"/>
        <w:rPr>
          <w:sz w:val="20"/>
          <w:szCs w:val="20"/>
          <w:color w:val="auto"/>
        </w:rPr>
      </w:pPr>
      <w:r>
        <w:rPr>
          <w:rFonts w:ascii="Arial" w:cs="Arial" w:eastAsia="Arial" w:hAnsi="Arial"/>
          <w:sz w:val="12"/>
          <w:szCs w:val="12"/>
          <w:color w:val="FFFFFF"/>
        </w:rPr>
        <w:t>Compensation of</w:t>
      </w:r>
    </w:p>
    <w:p>
      <w:pPr>
        <w:spacing w:after="0" w:line="224" w:lineRule="auto"/>
        <w:rPr>
          <w:sz w:val="20"/>
          <w:szCs w:val="20"/>
          <w:color w:val="auto"/>
        </w:rPr>
      </w:pPr>
      <w:r>
        <w:rPr>
          <w:rFonts w:ascii="Arial" w:cs="Arial" w:eastAsia="Arial" w:hAnsi="Arial"/>
          <w:sz w:val="12"/>
          <w:szCs w:val="12"/>
          <w:color w:val="FFFFFF"/>
        </w:rPr>
        <w:t>Named Executive</w:t>
      </w:r>
    </w:p>
    <w:p>
      <w:pPr>
        <w:spacing w:after="0"/>
        <w:rPr>
          <w:sz w:val="20"/>
          <w:szCs w:val="20"/>
          <w:color w:val="auto"/>
        </w:rPr>
      </w:pPr>
      <w:r>
        <w:rPr>
          <w:rFonts w:ascii="Arial" w:cs="Arial" w:eastAsia="Arial" w:hAnsi="Arial"/>
          <w:sz w:val="12"/>
          <w:szCs w:val="12"/>
          <w:color w:val="FFFFFF"/>
        </w:rPr>
        <w:t>Officers</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Pay Versus</w:t>
      </w:r>
    </w:p>
    <w:p>
      <w:pPr>
        <w:spacing w:after="0" w:line="224" w:lineRule="auto"/>
        <w:rPr>
          <w:sz w:val="20"/>
          <w:szCs w:val="20"/>
          <w:color w:val="auto"/>
        </w:rPr>
      </w:pPr>
      <w:r>
        <w:rPr>
          <w:rFonts w:ascii="Arial" w:cs="Arial" w:eastAsia="Arial" w:hAnsi="Arial"/>
          <w:sz w:val="12"/>
          <w:szCs w:val="12"/>
          <w:color w:val="FFFFFF"/>
        </w:rPr>
        <w:t>Performance</w:t>
      </w:r>
    </w:p>
    <w:p>
      <w:pPr>
        <w:spacing w:after="0"/>
        <w:rPr>
          <w:sz w:val="20"/>
          <w:szCs w:val="20"/>
          <w:color w:val="auto"/>
        </w:rPr>
      </w:pPr>
      <w:r>
        <w:rPr>
          <w:rFonts w:ascii="Arial" w:cs="Arial" w:eastAsia="Arial" w:hAnsi="Arial"/>
          <w:sz w:val="12"/>
          <w:szCs w:val="12"/>
          <w:color w:val="FFFFFF"/>
        </w:rPr>
        <w:t>Disclosure</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Security</w:t>
      </w:r>
    </w:p>
    <w:p>
      <w:pPr>
        <w:spacing w:after="0" w:line="224" w:lineRule="auto"/>
        <w:rPr>
          <w:sz w:val="20"/>
          <w:szCs w:val="20"/>
          <w:color w:val="auto"/>
        </w:rPr>
      </w:pPr>
      <w:r>
        <w:rPr>
          <w:rFonts w:ascii="Arial" w:cs="Arial" w:eastAsia="Arial" w:hAnsi="Arial"/>
          <w:sz w:val="12"/>
          <w:szCs w:val="12"/>
          <w:color w:val="FFFFFF"/>
        </w:rPr>
        <w:t>Ownership of</w:t>
      </w:r>
    </w:p>
    <w:p>
      <w:pPr>
        <w:spacing w:after="0" w:line="222" w:lineRule="auto"/>
        <w:rPr>
          <w:sz w:val="20"/>
          <w:szCs w:val="20"/>
          <w:color w:val="auto"/>
        </w:rPr>
      </w:pPr>
      <w:r>
        <w:rPr>
          <w:rFonts w:ascii="Arial" w:cs="Arial" w:eastAsia="Arial" w:hAnsi="Arial"/>
          <w:sz w:val="12"/>
          <w:szCs w:val="12"/>
          <w:color w:val="FFFFFF"/>
        </w:rPr>
        <w:t>Certain Beneficial</w:t>
      </w:r>
    </w:p>
    <w:p>
      <w:pPr>
        <w:spacing w:after="0" w:line="222" w:lineRule="auto"/>
        <w:rPr>
          <w:sz w:val="20"/>
          <w:szCs w:val="20"/>
          <w:color w:val="auto"/>
        </w:rPr>
      </w:pPr>
      <w:r>
        <w:rPr>
          <w:rFonts w:ascii="Arial" w:cs="Arial" w:eastAsia="Arial" w:hAnsi="Arial"/>
          <w:sz w:val="12"/>
          <w:szCs w:val="12"/>
          <w:color w:val="FFFFFF"/>
        </w:rPr>
        <w:t>Owners and</w:t>
      </w:r>
    </w:p>
    <w:p>
      <w:pPr>
        <w:spacing w:after="0"/>
        <w:rPr>
          <w:sz w:val="20"/>
          <w:szCs w:val="20"/>
          <w:color w:val="auto"/>
        </w:rPr>
      </w:pPr>
      <w:r>
        <w:rPr>
          <w:rFonts w:ascii="Arial" w:cs="Arial" w:eastAsia="Arial" w:hAnsi="Arial"/>
          <w:sz w:val="12"/>
          <w:szCs w:val="12"/>
          <w:color w:val="FFFFFF"/>
        </w:rPr>
        <w:t>Management</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Certain</w:t>
      </w:r>
    </w:p>
    <w:p>
      <w:pPr>
        <w:spacing w:after="0" w:line="224" w:lineRule="auto"/>
        <w:rPr>
          <w:sz w:val="20"/>
          <w:szCs w:val="20"/>
          <w:color w:val="auto"/>
        </w:rPr>
      </w:pPr>
      <w:r>
        <w:rPr>
          <w:rFonts w:ascii="Arial" w:cs="Arial" w:eastAsia="Arial" w:hAnsi="Arial"/>
          <w:sz w:val="12"/>
          <w:szCs w:val="12"/>
          <w:color w:val="FFFFFF"/>
        </w:rPr>
        <w:t>Relationships and</w:t>
      </w:r>
    </w:p>
    <w:p>
      <w:pPr>
        <w:spacing w:after="0" w:line="222" w:lineRule="auto"/>
        <w:rPr>
          <w:sz w:val="20"/>
          <w:szCs w:val="20"/>
          <w:color w:val="auto"/>
        </w:rPr>
      </w:pPr>
      <w:r>
        <w:rPr>
          <w:rFonts w:ascii="Arial" w:cs="Arial" w:eastAsia="Arial" w:hAnsi="Arial"/>
          <w:sz w:val="12"/>
          <w:szCs w:val="12"/>
          <w:color w:val="FFFFFF"/>
        </w:rPr>
        <w:t>Related Party</w:t>
      </w:r>
    </w:p>
    <w:p>
      <w:pPr>
        <w:spacing w:after="0"/>
        <w:rPr>
          <w:sz w:val="20"/>
          <w:szCs w:val="20"/>
          <w:color w:val="auto"/>
        </w:rPr>
      </w:pPr>
      <w:r>
        <w:rPr>
          <w:rFonts w:ascii="Arial" w:cs="Arial" w:eastAsia="Arial" w:hAnsi="Arial"/>
          <w:sz w:val="12"/>
          <w:szCs w:val="12"/>
          <w:color w:val="FFFFFF"/>
        </w:rPr>
        <w:t>Transactions</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Proposal 2</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FFFFFF"/>
        </w:rPr>
        <w:t>Report of the</w:t>
      </w:r>
    </w:p>
    <w:p>
      <w:pPr>
        <w:spacing w:after="0" w:line="224" w:lineRule="auto"/>
        <w:rPr>
          <w:sz w:val="20"/>
          <w:szCs w:val="20"/>
          <w:color w:val="auto"/>
        </w:rPr>
      </w:pPr>
      <w:r>
        <w:rPr>
          <w:rFonts w:ascii="Arial" w:cs="Arial" w:eastAsia="Arial" w:hAnsi="Arial"/>
          <w:sz w:val="12"/>
          <w:szCs w:val="12"/>
          <w:color w:val="FFFFFF"/>
        </w:rPr>
        <w:t>Audit and Risk</w:t>
      </w:r>
    </w:p>
    <w:p>
      <w:pPr>
        <w:spacing w:after="0" w:line="222" w:lineRule="auto"/>
        <w:rPr>
          <w:sz w:val="20"/>
          <w:szCs w:val="20"/>
          <w:color w:val="auto"/>
        </w:rPr>
      </w:pPr>
      <w:r>
        <w:rPr>
          <w:rFonts w:ascii="Arial" w:cs="Arial" w:eastAsia="Arial" w:hAnsi="Arial"/>
          <w:sz w:val="12"/>
          <w:szCs w:val="12"/>
          <w:color w:val="FFFFFF"/>
        </w:rPr>
        <w:t>Committee of the</w:t>
      </w:r>
    </w:p>
    <w:p>
      <w:pPr>
        <w:spacing w:after="0"/>
        <w:rPr>
          <w:sz w:val="20"/>
          <w:szCs w:val="20"/>
          <w:color w:val="auto"/>
        </w:rPr>
      </w:pPr>
      <w:r>
        <w:rPr>
          <w:rFonts w:ascii="Arial" w:cs="Arial" w:eastAsia="Arial" w:hAnsi="Arial"/>
          <w:sz w:val="11"/>
          <w:szCs w:val="11"/>
          <w:color w:val="FFFFFF"/>
        </w:rPr>
        <w:t>Board of Directors</w:t>
      </w:r>
    </w:p>
    <w:p>
      <w:pPr>
        <w:spacing w:after="0" w:line="155" w:lineRule="exact"/>
        <w:rPr>
          <w:sz w:val="20"/>
          <w:szCs w:val="20"/>
          <w:color w:val="auto"/>
        </w:rPr>
      </w:pPr>
    </w:p>
    <w:p>
      <w:pPr>
        <w:spacing w:after="0"/>
        <w:rPr>
          <w:sz w:val="20"/>
          <w:szCs w:val="20"/>
          <w:color w:val="auto"/>
        </w:rPr>
      </w:pPr>
      <w:r>
        <w:rPr>
          <w:rFonts w:ascii="Arial" w:cs="Arial" w:eastAsia="Arial" w:hAnsi="Arial"/>
          <w:sz w:val="12"/>
          <w:szCs w:val="12"/>
          <w:color w:val="FFFFFF"/>
        </w:rPr>
        <w:t>Proposal 3</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FFFFFF"/>
        </w:rPr>
        <w:t>Proposal 4</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FFFFFF"/>
        </w:rPr>
        <w:t>Proposal 5</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FFFFFF"/>
        </w:rPr>
        <w:t>Proposal 6</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FFFFFF"/>
        </w:rPr>
        <w:t>Stockholder</w:t>
      </w:r>
    </w:p>
    <w:p>
      <w:pPr>
        <w:spacing w:after="0" w:line="224" w:lineRule="auto"/>
        <w:rPr>
          <w:sz w:val="20"/>
          <w:szCs w:val="20"/>
          <w:color w:val="auto"/>
        </w:rPr>
      </w:pPr>
      <w:r>
        <w:rPr>
          <w:rFonts w:ascii="Arial" w:cs="Arial" w:eastAsia="Arial" w:hAnsi="Arial"/>
          <w:sz w:val="12"/>
          <w:szCs w:val="12"/>
          <w:color w:val="FFFFFF"/>
        </w:rPr>
        <w:t>Proposals and</w:t>
      </w:r>
    </w:p>
    <w:p>
      <w:pPr>
        <w:spacing w:after="0"/>
        <w:rPr>
          <w:sz w:val="20"/>
          <w:szCs w:val="20"/>
          <w:color w:val="auto"/>
        </w:rPr>
      </w:pPr>
      <w:r>
        <w:rPr>
          <w:rFonts w:ascii="Arial" w:cs="Arial" w:eastAsia="Arial" w:hAnsi="Arial"/>
          <w:sz w:val="12"/>
          <w:szCs w:val="12"/>
          <w:color w:val="FFFFFF"/>
        </w:rPr>
        <w:t>Other Matters</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Delinquent</w:t>
      </w:r>
    </w:p>
    <w:p>
      <w:pPr>
        <w:spacing w:after="0" w:line="224" w:lineRule="auto"/>
        <w:rPr>
          <w:sz w:val="20"/>
          <w:szCs w:val="20"/>
          <w:color w:val="auto"/>
        </w:rPr>
      </w:pPr>
      <w:r>
        <w:rPr>
          <w:rFonts w:ascii="Arial" w:cs="Arial" w:eastAsia="Arial" w:hAnsi="Arial"/>
          <w:sz w:val="12"/>
          <w:szCs w:val="12"/>
          <w:color w:val="FFFFFF"/>
        </w:rPr>
        <w:t>Section 16(a)</w:t>
      </w:r>
    </w:p>
    <w:p>
      <w:pPr>
        <w:spacing w:after="0"/>
        <w:rPr>
          <w:sz w:val="20"/>
          <w:szCs w:val="20"/>
          <w:color w:val="auto"/>
        </w:rPr>
      </w:pPr>
      <w:r>
        <w:rPr>
          <w:rFonts w:ascii="Arial" w:cs="Arial" w:eastAsia="Arial" w:hAnsi="Arial"/>
          <w:sz w:val="12"/>
          <w:szCs w:val="12"/>
          <w:color w:val="FFFFFF"/>
        </w:rPr>
        <w:t>Reports</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Other</w:t>
      </w:r>
    </w:p>
    <w:p>
      <w:pPr>
        <w:spacing w:after="0" w:line="2" w:lineRule="exact"/>
        <w:rPr>
          <w:sz w:val="20"/>
          <w:szCs w:val="20"/>
          <w:color w:val="auto"/>
        </w:rPr>
      </w:pPr>
    </w:p>
    <w:p>
      <w:pPr>
        <w:spacing w:after="0"/>
        <w:rPr>
          <w:sz w:val="20"/>
          <w:szCs w:val="20"/>
          <w:color w:val="auto"/>
        </w:rPr>
      </w:pPr>
      <w:r>
        <w:rPr>
          <w:rFonts w:ascii="Arial" w:cs="Arial" w:eastAsia="Arial" w:hAnsi="Arial"/>
          <w:sz w:val="12"/>
          <w:szCs w:val="12"/>
          <w:color w:val="FFFFFF"/>
        </w:rPr>
        <w:t>Information</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Appendix A</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FFFFFF"/>
        </w:rPr>
        <w:t>Appendix B</w:t>
      </w:r>
    </w:p>
    <w:p>
      <w:pPr>
        <w:spacing w:after="0" w:line="200" w:lineRule="exact"/>
        <w:rPr>
          <w:sz w:val="20"/>
          <w:szCs w:val="20"/>
          <w:color w:val="auto"/>
        </w:rPr>
      </w:pPr>
    </w:p>
    <w:p>
      <w:pPr>
        <w:sectPr>
          <w:pgSz w:w="11900" w:h="16838" w:orient="portrait"/>
          <w:cols w:equalWidth="0" w:num="2">
            <w:col w:w="8500" w:space="720"/>
            <w:col w:w="1580"/>
          </w:cols>
          <w:pgMar w:left="320" w:top="464" w:right="7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6380"/>
        <w:spacing w:after="0"/>
        <w:tabs>
          <w:tab w:leader="none" w:pos="8500" w:val="left"/>
          <w:tab w:leader="none" w:pos="9960" w:val="left"/>
        </w:tabs>
        <w:rPr>
          <w:sz w:val="20"/>
          <w:szCs w:val="20"/>
          <w:color w:val="auto"/>
        </w:rPr>
      </w:pPr>
      <w:r>
        <w:rPr>
          <w:rFonts w:ascii="Arial" w:cs="Arial" w:eastAsia="Arial" w:hAnsi="Arial"/>
          <w:sz w:val="15"/>
          <w:szCs w:val="15"/>
          <w:b w:val="1"/>
          <w:bCs w:val="1"/>
          <w:color w:val="002B5F"/>
        </w:rPr>
        <w:t xml:space="preserve">2026 Proxy Statement  </w:t>
      </w:r>
      <w:r>
        <w:rPr>
          <w:rFonts w:ascii="Arial" w:cs="Arial" w:eastAsia="Arial" w:hAnsi="Arial"/>
          <w:sz w:val="20"/>
          <w:szCs w:val="20"/>
          <w:color w:val="002B5F"/>
        </w:rPr>
        <w:t>|</w:t>
      </w:r>
      <w:r>
        <w:rPr>
          <w:rFonts w:ascii="Arial" w:cs="Arial" w:eastAsia="Arial" w:hAnsi="Arial"/>
          <w:sz w:val="15"/>
          <w:szCs w:val="15"/>
          <w:b w:val="1"/>
          <w:bCs w:val="1"/>
          <w:color w:val="002B5F"/>
        </w:rPr>
        <w:t xml:space="preserve">  53</w:t>
      </w:r>
      <w:r>
        <w:rPr>
          <w:sz w:val="20"/>
          <w:szCs w:val="20"/>
          <w:color w:val="auto"/>
        </w:rPr>
        <w:tab/>
      </w:r>
      <w:r>
        <w:rPr>
          <w:rFonts w:ascii="Arial" w:cs="Arial" w:eastAsia="Arial" w:hAnsi="Arial"/>
          <w:sz w:val="17"/>
          <w:szCs w:val="17"/>
          <w:color w:val="auto"/>
        </w:rPr>
        <w:t xml:space="preserve">    </w:t>
      </w:r>
      <w:r>
        <w:rPr>
          <w:sz w:val="20"/>
          <w:szCs w:val="20"/>
          <w:color w:val="auto"/>
        </w:rPr>
        <w:tab/>
      </w:r>
      <w:r>
        <w:rPr>
          <w:rFonts w:ascii="Arial" w:cs="Arial" w:eastAsia="Arial" w:hAnsi="Arial"/>
          <w:sz w:val="17"/>
          <w:szCs w:val="17"/>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268605</wp:posOffset>
            </wp:positionH>
            <wp:positionV relativeFrom="paragraph">
              <wp:posOffset>-128905</wp:posOffset>
            </wp:positionV>
            <wp:extent cx="762000" cy="971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62000" cy="97155"/>
                    </a:xfrm>
                    <a:prstGeom prst="rect">
                      <a:avLst/>
                    </a:prstGeom>
                    <a:noFill/>
                  </pic:spPr>
                </pic:pic>
              </a:graphicData>
            </a:graphic>
          </wp:anchor>
        </w:drawing>
      </w:r>
    </w:p>
    <w:p>
      <w:pPr>
        <w:sectPr>
          <w:pgSz w:w="11900" w:h="16838" w:orient="portrait"/>
          <w:cols w:equalWidth="0" w:num="1">
            <w:col w:w="10800"/>
          </w:cols>
          <w:pgMar w:left="320" w:top="464" w:right="779" w:bottom="1440" w:gutter="0" w:footer="0" w:header="0"/>
          <w:type w:val="continuous"/>
        </w:sectPr>
      </w:pPr>
    </w:p>
    <w:bookmarkStart w:id="61" w:name="page62"/>
    <w:bookmarkEnd w:id="61"/>
    <w:p>
      <w:pPr>
        <w:spacing w:after="0"/>
        <w:rPr>
          <w:sz w:val="20"/>
          <w:szCs w:val="20"/>
          <w:color w:val="auto"/>
        </w:rPr>
      </w:pPr>
      <w:r>
        <w:rPr>
          <w:rFonts w:ascii="Times New Roman" w:cs="Times New Roman" w:eastAsia="Times New Roman" w:hAnsi="Times New Roman"/>
          <w:sz w:val="17"/>
          <w:szCs w:val="17"/>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268605</wp:posOffset>
            </wp:positionH>
            <wp:positionV relativeFrom="paragraph">
              <wp:posOffset>253365</wp:posOffset>
            </wp:positionV>
            <wp:extent cx="1183005" cy="745617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1183005" cy="7456170"/>
                    </a:xfrm>
                    <a:prstGeom prst="rect">
                      <a:avLst/>
                    </a:prstGeom>
                    <a:noFill/>
                  </pic:spPr>
                </pic:pic>
              </a:graphicData>
            </a:graphic>
          </wp:anchor>
        </w:drawing>
      </w:r>
    </w:p>
    <w:p>
      <w:pPr>
        <w:spacing w:after="0" w:line="200" w:lineRule="exact"/>
        <w:rPr>
          <w:sz w:val="20"/>
          <w:szCs w:val="20"/>
          <w:color w:val="auto"/>
        </w:rPr>
      </w:pPr>
    </w:p>
    <w:p>
      <w:pPr>
        <w:spacing w:after="0" w:line="304" w:lineRule="exact"/>
        <w:rPr>
          <w:sz w:val="20"/>
          <w:szCs w:val="20"/>
          <w:color w:val="auto"/>
        </w:rPr>
      </w:pPr>
    </w:p>
    <w:p>
      <w:pPr>
        <w:ind w:left="1120" w:right="460" w:hanging="672"/>
        <w:spacing w:after="0" w:line="382" w:lineRule="auto"/>
        <w:tabs>
          <w:tab w:leader="none" w:pos="610" w:val="left"/>
        </w:tabs>
        <w:numPr>
          <w:ilvl w:val="0"/>
          <w:numId w:val="83"/>
        </w:numPr>
        <w:rPr>
          <w:rFonts w:ascii="Arial" w:cs="Arial" w:eastAsia="Arial" w:hAnsi="Arial"/>
          <w:sz w:val="24"/>
          <w:szCs w:val="24"/>
          <w:color w:val="auto"/>
          <w:vertAlign w:val="subscript"/>
        </w:rPr>
      </w:pPr>
      <w:r>
        <w:rPr>
          <w:rFonts w:ascii="Arial" w:cs="Arial" w:eastAsia="Arial" w:hAnsi="Arial"/>
          <w:sz w:val="24"/>
          <w:szCs w:val="24"/>
          <w:color w:val="000000"/>
          <w:vertAlign w:val="subscript"/>
        </w:rPr>
        <w:t xml:space="preserve">     </w:t>
      </w:r>
      <w:r>
        <w:rPr>
          <w:rFonts w:ascii="Arial" w:cs="Arial" w:eastAsia="Arial" w:hAnsi="Arial"/>
          <w:sz w:val="10"/>
          <w:szCs w:val="10"/>
          <w:color w:val="FFFFFF"/>
        </w:rPr>
        <w:t xml:space="preserve"> General Information</w:t>
      </w:r>
    </w:p>
    <w:p>
      <w:pPr>
        <w:spacing w:after="0" w:line="1" w:lineRule="exact"/>
        <w:rPr>
          <w:sz w:val="20"/>
          <w:szCs w:val="20"/>
          <w:color w:val="auto"/>
        </w:rPr>
      </w:pPr>
    </w:p>
    <w:p>
      <w:pPr>
        <w:ind w:left="1120"/>
        <w:spacing w:after="0"/>
        <w:rPr>
          <w:sz w:val="20"/>
          <w:szCs w:val="20"/>
          <w:color w:val="auto"/>
        </w:rPr>
      </w:pPr>
      <w:r>
        <w:rPr>
          <w:rFonts w:ascii="Arial" w:cs="Arial" w:eastAsia="Arial" w:hAnsi="Arial"/>
          <w:sz w:val="11"/>
          <w:szCs w:val="11"/>
          <w:color w:val="FFFFFF"/>
        </w:rPr>
        <w:t>General Information</w:t>
      </w:r>
    </w:p>
    <w:p>
      <w:pPr>
        <w:spacing w:after="0" w:line="3"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About Corporate</w:t>
      </w:r>
    </w:p>
    <w:p>
      <w:pPr>
        <w:ind w:left="1120"/>
        <w:spacing w:after="0" w:line="221" w:lineRule="auto"/>
        <w:rPr>
          <w:sz w:val="20"/>
          <w:szCs w:val="20"/>
          <w:color w:val="auto"/>
        </w:rPr>
      </w:pPr>
      <w:r>
        <w:rPr>
          <w:rFonts w:ascii="Arial" w:cs="Arial" w:eastAsia="Arial" w:hAnsi="Arial"/>
          <w:sz w:val="12"/>
          <w:szCs w:val="12"/>
          <w:color w:val="FFFFFF"/>
        </w:rPr>
        <w:t>Governance</w:t>
      </w:r>
    </w:p>
    <w:p>
      <w:pPr>
        <w:ind w:left="1120"/>
        <w:spacing w:after="0" w:line="222" w:lineRule="auto"/>
        <w:rPr>
          <w:sz w:val="20"/>
          <w:szCs w:val="20"/>
          <w:color w:val="auto"/>
        </w:rPr>
      </w:pPr>
      <w:r>
        <w:rPr>
          <w:rFonts w:ascii="Arial" w:cs="Arial" w:eastAsia="Arial" w:hAnsi="Arial"/>
          <w:sz w:val="12"/>
          <w:szCs w:val="12"/>
          <w:color w:val="FFFFFF"/>
        </w:rPr>
        <w:t>and the Board of</w:t>
      </w:r>
    </w:p>
    <w:p>
      <w:pPr>
        <w:spacing w:after="0" w:line="1"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Directors</w:t>
      </w:r>
    </w:p>
    <w:p>
      <w:pPr>
        <w:spacing w:after="0" w:line="144" w:lineRule="exact"/>
        <w:rPr>
          <w:sz w:val="20"/>
          <w:szCs w:val="20"/>
          <w:color w:val="auto"/>
        </w:rPr>
      </w:pPr>
    </w:p>
    <w:p>
      <w:pPr>
        <w:jc w:val="center"/>
        <w:ind w:left="620"/>
        <w:spacing w:after="0"/>
        <w:rPr>
          <w:sz w:val="20"/>
          <w:szCs w:val="20"/>
          <w:color w:val="auto"/>
        </w:rPr>
      </w:pPr>
      <w:r>
        <w:rPr>
          <w:rFonts w:ascii="Arial" w:cs="Arial" w:eastAsia="Arial" w:hAnsi="Arial"/>
          <w:sz w:val="12"/>
          <w:szCs w:val="12"/>
          <w:color w:val="FFFFFF"/>
        </w:rPr>
        <w:t>Proposal 1</w:t>
      </w:r>
    </w:p>
    <w:p>
      <w:pPr>
        <w:spacing w:after="0" w:line="156"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Information</w:t>
      </w:r>
    </w:p>
    <w:p>
      <w:pPr>
        <w:ind w:left="1120"/>
        <w:spacing w:after="0" w:line="224" w:lineRule="auto"/>
        <w:rPr>
          <w:sz w:val="20"/>
          <w:szCs w:val="20"/>
          <w:color w:val="auto"/>
        </w:rPr>
      </w:pPr>
      <w:r>
        <w:rPr>
          <w:rFonts w:ascii="Arial" w:cs="Arial" w:eastAsia="Arial" w:hAnsi="Arial"/>
          <w:sz w:val="12"/>
          <w:szCs w:val="12"/>
          <w:color w:val="FFFFFF"/>
        </w:rPr>
        <w:t>Regarding Board</w:t>
      </w:r>
    </w:p>
    <w:p>
      <w:pPr>
        <w:ind w:left="1120"/>
        <w:spacing w:after="0" w:line="222" w:lineRule="auto"/>
        <w:rPr>
          <w:sz w:val="20"/>
          <w:szCs w:val="20"/>
          <w:color w:val="auto"/>
        </w:rPr>
      </w:pPr>
      <w:r>
        <w:rPr>
          <w:rFonts w:ascii="Arial" w:cs="Arial" w:eastAsia="Arial" w:hAnsi="Arial"/>
          <w:sz w:val="12"/>
          <w:szCs w:val="12"/>
          <w:color w:val="FFFFFF"/>
        </w:rPr>
        <w:t>and Committee</w:t>
      </w:r>
    </w:p>
    <w:p>
      <w:pPr>
        <w:ind w:left="1120"/>
        <w:spacing w:after="0"/>
        <w:rPr>
          <w:sz w:val="20"/>
          <w:szCs w:val="20"/>
          <w:color w:val="auto"/>
        </w:rPr>
      </w:pPr>
      <w:r>
        <w:rPr>
          <w:rFonts w:ascii="Arial" w:cs="Arial" w:eastAsia="Arial" w:hAnsi="Arial"/>
          <w:sz w:val="12"/>
          <w:szCs w:val="12"/>
          <w:color w:val="FFFFFF"/>
        </w:rPr>
        <w:t>Structure</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Board of Directors</w:t>
      </w:r>
    </w:p>
    <w:p>
      <w:pPr>
        <w:spacing w:after="0" w:line="2"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Compensation</w:t>
      </w:r>
    </w:p>
    <w:p>
      <w:pPr>
        <w:spacing w:after="0" w:line="144" w:lineRule="exact"/>
        <w:rPr>
          <w:sz w:val="20"/>
          <w:szCs w:val="20"/>
          <w:color w:val="auto"/>
        </w:rPr>
      </w:pPr>
    </w:p>
    <w:p>
      <w:pPr>
        <w:ind w:left="1120" w:right="160"/>
        <w:spacing w:after="0" w:line="244" w:lineRule="auto"/>
        <w:rPr>
          <w:sz w:val="20"/>
          <w:szCs w:val="20"/>
          <w:color w:val="auto"/>
        </w:rPr>
      </w:pPr>
      <w:r>
        <w:rPr>
          <w:rFonts w:ascii="Arial" w:cs="Arial" w:eastAsia="Arial" w:hAnsi="Arial"/>
          <w:sz w:val="12"/>
          <w:szCs w:val="12"/>
          <w:b w:val="1"/>
          <w:bCs w:val="1"/>
          <w:color w:val="FFFFFF"/>
        </w:rPr>
        <w:t>Compensation Discussion and Analysis</w:t>
      </w:r>
    </w:p>
    <w:p>
      <w:pPr>
        <w:spacing w:after="0" w:line="128"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Report of the</w:t>
      </w:r>
    </w:p>
    <w:p>
      <w:pPr>
        <w:ind w:left="1120"/>
        <w:spacing w:after="0" w:line="224" w:lineRule="auto"/>
        <w:rPr>
          <w:sz w:val="20"/>
          <w:szCs w:val="20"/>
          <w:color w:val="auto"/>
        </w:rPr>
      </w:pPr>
      <w:r>
        <w:rPr>
          <w:rFonts w:ascii="Arial" w:cs="Arial" w:eastAsia="Arial" w:hAnsi="Arial"/>
          <w:sz w:val="12"/>
          <w:szCs w:val="12"/>
          <w:color w:val="FFFFFF"/>
        </w:rPr>
        <w:t>Compensation</w:t>
      </w:r>
    </w:p>
    <w:p>
      <w:pPr>
        <w:ind w:left="1120"/>
        <w:spacing w:after="0" w:line="222" w:lineRule="auto"/>
        <w:rPr>
          <w:sz w:val="20"/>
          <w:szCs w:val="20"/>
          <w:color w:val="auto"/>
        </w:rPr>
      </w:pPr>
      <w:r>
        <w:rPr>
          <w:rFonts w:ascii="Arial" w:cs="Arial" w:eastAsia="Arial" w:hAnsi="Arial"/>
          <w:sz w:val="12"/>
          <w:szCs w:val="12"/>
          <w:color w:val="FFFFFF"/>
        </w:rPr>
        <w:t>and Human</w:t>
      </w:r>
    </w:p>
    <w:p>
      <w:pPr>
        <w:ind w:left="1120"/>
        <w:spacing w:after="0" w:line="222" w:lineRule="auto"/>
        <w:rPr>
          <w:sz w:val="20"/>
          <w:szCs w:val="20"/>
          <w:color w:val="auto"/>
        </w:rPr>
      </w:pPr>
      <w:r>
        <w:rPr>
          <w:rFonts w:ascii="Arial" w:cs="Arial" w:eastAsia="Arial" w:hAnsi="Arial"/>
          <w:sz w:val="12"/>
          <w:szCs w:val="12"/>
          <w:color w:val="FFFFFF"/>
        </w:rPr>
        <w:t>Resources</w:t>
      </w:r>
    </w:p>
    <w:p>
      <w:pPr>
        <w:ind w:left="1120"/>
        <w:spacing w:after="0" w:line="222" w:lineRule="auto"/>
        <w:rPr>
          <w:sz w:val="20"/>
          <w:szCs w:val="20"/>
          <w:color w:val="auto"/>
        </w:rPr>
      </w:pPr>
      <w:r>
        <w:rPr>
          <w:rFonts w:ascii="Arial" w:cs="Arial" w:eastAsia="Arial" w:hAnsi="Arial"/>
          <w:sz w:val="12"/>
          <w:szCs w:val="12"/>
          <w:color w:val="FFFFFF"/>
        </w:rPr>
        <w:t>Committee of the</w:t>
      </w:r>
    </w:p>
    <w:p>
      <w:pPr>
        <w:ind w:left="1120"/>
        <w:spacing w:after="0"/>
        <w:rPr>
          <w:sz w:val="20"/>
          <w:szCs w:val="20"/>
          <w:color w:val="auto"/>
        </w:rPr>
      </w:pPr>
      <w:r>
        <w:rPr>
          <w:rFonts w:ascii="Arial" w:cs="Arial" w:eastAsia="Arial" w:hAnsi="Arial"/>
          <w:sz w:val="12"/>
          <w:szCs w:val="12"/>
          <w:color w:val="FFFFFF"/>
        </w:rPr>
        <w:t>Board of Directors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Compensation of</w:t>
      </w:r>
    </w:p>
    <w:p>
      <w:pPr>
        <w:ind w:left="1120"/>
        <w:spacing w:after="0" w:line="224" w:lineRule="auto"/>
        <w:rPr>
          <w:sz w:val="20"/>
          <w:szCs w:val="20"/>
          <w:color w:val="auto"/>
        </w:rPr>
      </w:pPr>
      <w:r>
        <w:rPr>
          <w:rFonts w:ascii="Arial" w:cs="Arial" w:eastAsia="Arial" w:hAnsi="Arial"/>
          <w:sz w:val="12"/>
          <w:szCs w:val="12"/>
          <w:color w:val="FFFFFF"/>
        </w:rPr>
        <w:t>Named Executive</w:t>
      </w:r>
    </w:p>
    <w:p>
      <w:pPr>
        <w:ind w:left="1120"/>
        <w:spacing w:after="0"/>
        <w:rPr>
          <w:sz w:val="20"/>
          <w:szCs w:val="20"/>
          <w:color w:val="auto"/>
        </w:rPr>
      </w:pPr>
      <w:r>
        <w:rPr>
          <w:rFonts w:ascii="Arial" w:cs="Arial" w:eastAsia="Arial" w:hAnsi="Arial"/>
          <w:sz w:val="12"/>
          <w:szCs w:val="12"/>
          <w:color w:val="FFFFFF"/>
        </w:rPr>
        <w:t>Officers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Pay Versus</w:t>
      </w:r>
    </w:p>
    <w:p>
      <w:pPr>
        <w:ind w:left="1120"/>
        <w:spacing w:after="0" w:line="224" w:lineRule="auto"/>
        <w:rPr>
          <w:sz w:val="20"/>
          <w:szCs w:val="20"/>
          <w:color w:val="auto"/>
        </w:rPr>
      </w:pPr>
      <w:r>
        <w:rPr>
          <w:rFonts w:ascii="Arial" w:cs="Arial" w:eastAsia="Arial" w:hAnsi="Arial"/>
          <w:sz w:val="12"/>
          <w:szCs w:val="12"/>
          <w:color w:val="FFFFFF"/>
        </w:rPr>
        <w:t>Performance</w:t>
      </w:r>
    </w:p>
    <w:p>
      <w:pPr>
        <w:ind w:left="1120"/>
        <w:spacing w:after="0"/>
        <w:rPr>
          <w:sz w:val="20"/>
          <w:szCs w:val="20"/>
          <w:color w:val="auto"/>
        </w:rPr>
      </w:pPr>
      <w:r>
        <w:rPr>
          <w:rFonts w:ascii="Arial" w:cs="Arial" w:eastAsia="Arial" w:hAnsi="Arial"/>
          <w:sz w:val="12"/>
          <w:szCs w:val="12"/>
          <w:color w:val="FFFFFF"/>
        </w:rPr>
        <w:t>Disclosure</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Security</w:t>
      </w:r>
    </w:p>
    <w:p>
      <w:pPr>
        <w:ind w:left="1120"/>
        <w:spacing w:after="0" w:line="224" w:lineRule="auto"/>
        <w:rPr>
          <w:sz w:val="20"/>
          <w:szCs w:val="20"/>
          <w:color w:val="auto"/>
        </w:rPr>
      </w:pPr>
      <w:r>
        <w:rPr>
          <w:rFonts w:ascii="Arial" w:cs="Arial" w:eastAsia="Arial" w:hAnsi="Arial"/>
          <w:sz w:val="12"/>
          <w:szCs w:val="12"/>
          <w:color w:val="FFFFFF"/>
        </w:rPr>
        <w:t>Ownership of</w:t>
      </w:r>
    </w:p>
    <w:p>
      <w:pPr>
        <w:ind w:left="1120"/>
        <w:spacing w:after="0" w:line="222" w:lineRule="auto"/>
        <w:rPr>
          <w:sz w:val="20"/>
          <w:szCs w:val="20"/>
          <w:color w:val="auto"/>
        </w:rPr>
      </w:pPr>
      <w:r>
        <w:rPr>
          <w:rFonts w:ascii="Arial" w:cs="Arial" w:eastAsia="Arial" w:hAnsi="Arial"/>
          <w:sz w:val="12"/>
          <w:szCs w:val="12"/>
          <w:color w:val="FFFFFF"/>
        </w:rPr>
        <w:t>Certain Beneficial</w:t>
      </w:r>
    </w:p>
    <w:p>
      <w:pPr>
        <w:ind w:left="1120"/>
        <w:spacing w:after="0" w:line="222" w:lineRule="auto"/>
        <w:rPr>
          <w:sz w:val="20"/>
          <w:szCs w:val="20"/>
          <w:color w:val="auto"/>
        </w:rPr>
      </w:pPr>
      <w:r>
        <w:rPr>
          <w:rFonts w:ascii="Arial" w:cs="Arial" w:eastAsia="Arial" w:hAnsi="Arial"/>
          <w:sz w:val="12"/>
          <w:szCs w:val="12"/>
          <w:color w:val="FFFFFF"/>
        </w:rPr>
        <w:t>Owners and</w:t>
      </w:r>
    </w:p>
    <w:p>
      <w:pPr>
        <w:ind w:left="1120"/>
        <w:spacing w:after="0"/>
        <w:rPr>
          <w:sz w:val="20"/>
          <w:szCs w:val="20"/>
          <w:color w:val="auto"/>
        </w:rPr>
      </w:pPr>
      <w:r>
        <w:rPr>
          <w:rFonts w:ascii="Arial" w:cs="Arial" w:eastAsia="Arial" w:hAnsi="Arial"/>
          <w:sz w:val="12"/>
          <w:szCs w:val="12"/>
          <w:color w:val="FFFFFF"/>
        </w:rPr>
        <w:t>Management</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Certain</w:t>
      </w:r>
    </w:p>
    <w:p>
      <w:pPr>
        <w:ind w:left="1120"/>
        <w:spacing w:after="0" w:line="224" w:lineRule="auto"/>
        <w:rPr>
          <w:sz w:val="20"/>
          <w:szCs w:val="20"/>
          <w:color w:val="auto"/>
        </w:rPr>
      </w:pPr>
      <w:r>
        <w:rPr>
          <w:rFonts w:ascii="Arial" w:cs="Arial" w:eastAsia="Arial" w:hAnsi="Arial"/>
          <w:sz w:val="12"/>
          <w:szCs w:val="12"/>
          <w:color w:val="FFFFFF"/>
        </w:rPr>
        <w:t>Relationships and</w:t>
      </w:r>
    </w:p>
    <w:p>
      <w:pPr>
        <w:ind w:left="1120"/>
        <w:spacing w:after="0" w:line="222" w:lineRule="auto"/>
        <w:rPr>
          <w:sz w:val="20"/>
          <w:szCs w:val="20"/>
          <w:color w:val="auto"/>
        </w:rPr>
      </w:pPr>
      <w:r>
        <w:rPr>
          <w:rFonts w:ascii="Arial" w:cs="Arial" w:eastAsia="Arial" w:hAnsi="Arial"/>
          <w:sz w:val="12"/>
          <w:szCs w:val="12"/>
          <w:color w:val="FFFFFF"/>
        </w:rPr>
        <w:t>Related Party</w:t>
      </w:r>
    </w:p>
    <w:p>
      <w:pPr>
        <w:ind w:left="1120"/>
        <w:spacing w:after="0"/>
        <w:rPr>
          <w:sz w:val="20"/>
          <w:szCs w:val="20"/>
          <w:color w:val="auto"/>
        </w:rPr>
      </w:pPr>
      <w:r>
        <w:rPr>
          <w:rFonts w:ascii="Arial" w:cs="Arial" w:eastAsia="Arial" w:hAnsi="Arial"/>
          <w:sz w:val="12"/>
          <w:szCs w:val="12"/>
          <w:color w:val="FFFFFF"/>
        </w:rPr>
        <w:t>Transactions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Proposal 2</w:t>
      </w:r>
    </w:p>
    <w:p>
      <w:pPr>
        <w:spacing w:after="0" w:line="156"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Report of the</w:t>
      </w:r>
    </w:p>
    <w:p>
      <w:pPr>
        <w:ind w:left="1120"/>
        <w:spacing w:after="0" w:line="224" w:lineRule="auto"/>
        <w:rPr>
          <w:sz w:val="20"/>
          <w:szCs w:val="20"/>
          <w:color w:val="auto"/>
        </w:rPr>
      </w:pPr>
      <w:r>
        <w:rPr>
          <w:rFonts w:ascii="Arial" w:cs="Arial" w:eastAsia="Arial" w:hAnsi="Arial"/>
          <w:sz w:val="12"/>
          <w:szCs w:val="12"/>
          <w:color w:val="FFFFFF"/>
        </w:rPr>
        <w:t>Audit and Risk</w:t>
      </w:r>
    </w:p>
    <w:p>
      <w:pPr>
        <w:ind w:left="1120"/>
        <w:spacing w:after="0" w:line="222" w:lineRule="auto"/>
        <w:rPr>
          <w:sz w:val="20"/>
          <w:szCs w:val="20"/>
          <w:color w:val="auto"/>
        </w:rPr>
      </w:pPr>
      <w:r>
        <w:rPr>
          <w:rFonts w:ascii="Arial" w:cs="Arial" w:eastAsia="Arial" w:hAnsi="Arial"/>
          <w:sz w:val="12"/>
          <w:szCs w:val="12"/>
          <w:color w:val="FFFFFF"/>
        </w:rPr>
        <w:t>Committee of the</w:t>
      </w:r>
    </w:p>
    <w:p>
      <w:pPr>
        <w:ind w:left="1120"/>
        <w:spacing w:after="0"/>
        <w:rPr>
          <w:sz w:val="20"/>
          <w:szCs w:val="20"/>
          <w:color w:val="auto"/>
        </w:rPr>
      </w:pPr>
      <w:r>
        <w:rPr>
          <w:rFonts w:ascii="Arial" w:cs="Arial" w:eastAsia="Arial" w:hAnsi="Arial"/>
          <w:sz w:val="12"/>
          <w:szCs w:val="12"/>
          <w:color w:val="FFFFFF"/>
        </w:rPr>
        <w:t>Board of Directors</w:t>
      </w:r>
    </w:p>
    <w:p>
      <w:pPr>
        <w:spacing w:after="0" w:line="144" w:lineRule="exact"/>
        <w:rPr>
          <w:sz w:val="20"/>
          <w:szCs w:val="20"/>
          <w:color w:val="auto"/>
        </w:rPr>
      </w:pPr>
    </w:p>
    <w:p>
      <w:pPr>
        <w:jc w:val="center"/>
        <w:ind w:left="620"/>
        <w:spacing w:after="0"/>
        <w:rPr>
          <w:sz w:val="20"/>
          <w:szCs w:val="20"/>
          <w:color w:val="auto"/>
        </w:rPr>
      </w:pPr>
      <w:r>
        <w:rPr>
          <w:rFonts w:ascii="Arial" w:cs="Arial" w:eastAsia="Arial" w:hAnsi="Arial"/>
          <w:sz w:val="12"/>
          <w:szCs w:val="12"/>
          <w:color w:val="FFFFFF"/>
        </w:rPr>
        <w:t>Proposal 3</w:t>
      </w:r>
    </w:p>
    <w:p>
      <w:pPr>
        <w:spacing w:after="0" w:line="156" w:lineRule="exact"/>
        <w:rPr>
          <w:sz w:val="20"/>
          <w:szCs w:val="20"/>
          <w:color w:val="auto"/>
        </w:rPr>
      </w:pPr>
    </w:p>
    <w:p>
      <w:pPr>
        <w:jc w:val="center"/>
        <w:ind w:left="620"/>
        <w:spacing w:after="0"/>
        <w:rPr>
          <w:sz w:val="20"/>
          <w:szCs w:val="20"/>
          <w:color w:val="auto"/>
        </w:rPr>
      </w:pPr>
      <w:r>
        <w:rPr>
          <w:rFonts w:ascii="Arial" w:cs="Arial" w:eastAsia="Arial" w:hAnsi="Arial"/>
          <w:sz w:val="12"/>
          <w:szCs w:val="12"/>
          <w:color w:val="FFFFFF"/>
        </w:rPr>
        <w:t>Proposal 4</w:t>
      </w:r>
    </w:p>
    <w:p>
      <w:pPr>
        <w:spacing w:after="0" w:line="156" w:lineRule="exact"/>
        <w:rPr>
          <w:sz w:val="20"/>
          <w:szCs w:val="20"/>
          <w:color w:val="auto"/>
        </w:rPr>
      </w:pPr>
    </w:p>
    <w:p>
      <w:pPr>
        <w:jc w:val="center"/>
        <w:ind w:left="620"/>
        <w:spacing w:after="0"/>
        <w:rPr>
          <w:sz w:val="20"/>
          <w:szCs w:val="20"/>
          <w:color w:val="auto"/>
        </w:rPr>
      </w:pPr>
      <w:r>
        <w:rPr>
          <w:rFonts w:ascii="Arial" w:cs="Arial" w:eastAsia="Arial" w:hAnsi="Arial"/>
          <w:sz w:val="12"/>
          <w:szCs w:val="12"/>
          <w:color w:val="FFFFFF"/>
        </w:rPr>
        <w:t>Proposal 5</w:t>
      </w:r>
    </w:p>
    <w:p>
      <w:pPr>
        <w:spacing w:after="0" w:line="156"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Proposal 6</w:t>
      </w:r>
    </w:p>
    <w:p>
      <w:pPr>
        <w:spacing w:after="0" w:line="156"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Stockholder</w:t>
      </w:r>
    </w:p>
    <w:p>
      <w:pPr>
        <w:ind w:left="1120"/>
        <w:spacing w:after="0" w:line="224" w:lineRule="auto"/>
        <w:rPr>
          <w:sz w:val="20"/>
          <w:szCs w:val="20"/>
          <w:color w:val="auto"/>
        </w:rPr>
      </w:pPr>
      <w:r>
        <w:rPr>
          <w:rFonts w:ascii="Arial" w:cs="Arial" w:eastAsia="Arial" w:hAnsi="Arial"/>
          <w:sz w:val="12"/>
          <w:szCs w:val="12"/>
          <w:color w:val="FFFFFF"/>
        </w:rPr>
        <w:t>Proposals and</w:t>
      </w:r>
    </w:p>
    <w:p>
      <w:pPr>
        <w:ind w:left="1120"/>
        <w:spacing w:after="0"/>
        <w:rPr>
          <w:sz w:val="20"/>
          <w:szCs w:val="20"/>
          <w:color w:val="auto"/>
        </w:rPr>
      </w:pPr>
      <w:r>
        <w:rPr>
          <w:rFonts w:ascii="Arial" w:cs="Arial" w:eastAsia="Arial" w:hAnsi="Arial"/>
          <w:sz w:val="12"/>
          <w:szCs w:val="12"/>
          <w:color w:val="FFFFFF"/>
        </w:rPr>
        <w:t>Other Matters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Delinquent</w:t>
      </w:r>
    </w:p>
    <w:p>
      <w:pPr>
        <w:ind w:left="1120"/>
        <w:spacing w:after="0" w:line="224" w:lineRule="auto"/>
        <w:rPr>
          <w:sz w:val="20"/>
          <w:szCs w:val="20"/>
          <w:color w:val="auto"/>
        </w:rPr>
      </w:pPr>
      <w:r>
        <w:rPr>
          <w:rFonts w:ascii="Arial" w:cs="Arial" w:eastAsia="Arial" w:hAnsi="Arial"/>
          <w:sz w:val="12"/>
          <w:szCs w:val="12"/>
          <w:color w:val="FFFFFF"/>
        </w:rPr>
        <w:t>Section 16(a)</w:t>
      </w:r>
    </w:p>
    <w:p>
      <w:pPr>
        <w:ind w:left="1120"/>
        <w:spacing w:after="0"/>
        <w:rPr>
          <w:sz w:val="20"/>
          <w:szCs w:val="20"/>
          <w:color w:val="auto"/>
        </w:rPr>
      </w:pPr>
      <w:r>
        <w:rPr>
          <w:rFonts w:ascii="Arial" w:cs="Arial" w:eastAsia="Arial" w:hAnsi="Arial"/>
          <w:sz w:val="12"/>
          <w:szCs w:val="12"/>
          <w:color w:val="FFFFFF"/>
        </w:rPr>
        <w:t>Reports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Other</w:t>
      </w:r>
    </w:p>
    <w:p>
      <w:pPr>
        <w:spacing w:after="0" w:line="2"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Information</w:t>
      </w:r>
    </w:p>
    <w:p>
      <w:pPr>
        <w:spacing w:after="0" w:line="144" w:lineRule="exact"/>
        <w:rPr>
          <w:sz w:val="20"/>
          <w:szCs w:val="20"/>
          <w:color w:val="auto"/>
        </w:rPr>
      </w:pPr>
    </w:p>
    <w:p>
      <w:pPr>
        <w:jc w:val="center"/>
        <w:ind w:left="660"/>
        <w:spacing w:after="0"/>
        <w:rPr>
          <w:sz w:val="20"/>
          <w:szCs w:val="20"/>
          <w:color w:val="auto"/>
        </w:rPr>
      </w:pPr>
      <w:r>
        <w:rPr>
          <w:rFonts w:ascii="Arial" w:cs="Arial" w:eastAsia="Arial" w:hAnsi="Arial"/>
          <w:sz w:val="12"/>
          <w:szCs w:val="12"/>
          <w:color w:val="FFFFFF"/>
        </w:rPr>
        <w:t>Appendix A</w:t>
      </w:r>
    </w:p>
    <w:p>
      <w:pPr>
        <w:spacing w:after="0" w:line="156" w:lineRule="exact"/>
        <w:rPr>
          <w:sz w:val="20"/>
          <w:szCs w:val="20"/>
          <w:color w:val="auto"/>
        </w:rPr>
      </w:pPr>
    </w:p>
    <w:p>
      <w:pPr>
        <w:jc w:val="center"/>
        <w:ind w:left="660"/>
        <w:spacing w:after="0"/>
        <w:rPr>
          <w:sz w:val="20"/>
          <w:szCs w:val="20"/>
          <w:color w:val="auto"/>
        </w:rPr>
      </w:pPr>
      <w:r>
        <w:rPr>
          <w:rFonts w:ascii="Arial" w:cs="Arial" w:eastAsia="Arial" w:hAnsi="Arial"/>
          <w:sz w:val="12"/>
          <w:szCs w:val="12"/>
          <w:color w:val="FFFFFF"/>
        </w:rPr>
        <w:t>Appendix 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line="287" w:lineRule="auto"/>
        <w:rPr>
          <w:sz w:val="20"/>
          <w:szCs w:val="20"/>
          <w:color w:val="auto"/>
        </w:rPr>
      </w:pPr>
      <w:r>
        <w:rPr>
          <w:rFonts w:ascii="Arial" w:cs="Arial" w:eastAsia="Arial" w:hAnsi="Arial"/>
          <w:sz w:val="15"/>
          <w:szCs w:val="15"/>
          <w:color w:val="auto"/>
        </w:rPr>
        <w:t>Compensation Plan in 2025 are described in the table titled “</w:t>
      </w:r>
      <w:r>
        <w:rPr>
          <w:rFonts w:ascii="Arial" w:cs="Arial" w:eastAsia="Arial" w:hAnsi="Arial"/>
          <w:sz w:val="15"/>
          <w:szCs w:val="15"/>
          <w:i w:val="1"/>
          <w:iCs w:val="1"/>
          <w:color w:val="auto"/>
        </w:rPr>
        <w:t>Nonqualified Deferred Compensation for the Year Ended</w:t>
      </w:r>
      <w:r>
        <w:rPr>
          <w:rFonts w:ascii="Arial" w:cs="Arial" w:eastAsia="Arial" w:hAnsi="Arial"/>
          <w:sz w:val="15"/>
          <w:szCs w:val="15"/>
          <w:color w:val="auto"/>
        </w:rPr>
        <w:t xml:space="preserve"> </w:t>
      </w:r>
      <w:r>
        <w:rPr>
          <w:rFonts w:ascii="Arial" w:cs="Arial" w:eastAsia="Arial" w:hAnsi="Arial"/>
          <w:sz w:val="15"/>
          <w:szCs w:val="15"/>
          <w:i w:val="1"/>
          <w:iCs w:val="1"/>
          <w:color w:val="auto"/>
        </w:rPr>
        <w:t>December 31, 2025.</w:t>
      </w:r>
      <w:r>
        <w:rPr>
          <w:rFonts w:ascii="Arial" w:cs="Arial" w:eastAsia="Arial" w:hAnsi="Arial"/>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-1737995</wp:posOffset>
            </wp:positionH>
            <wp:positionV relativeFrom="paragraph">
              <wp:posOffset>-893445</wp:posOffset>
            </wp:positionV>
            <wp:extent cx="7181215" cy="5334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81215" cy="53340"/>
                    </a:xfrm>
                    <a:prstGeom prst="rect">
                      <a:avLst/>
                    </a:prstGeom>
                    <a:noFill/>
                  </pic:spPr>
                </pic:pic>
              </a:graphicData>
            </a:graphic>
          </wp:anchor>
        </w:drawing>
      </w:r>
    </w:p>
    <w:p>
      <w:pPr>
        <w:spacing w:after="0" w:line="119" w:lineRule="exact"/>
        <w:rPr>
          <w:sz w:val="20"/>
          <w:szCs w:val="20"/>
          <w:color w:val="auto"/>
        </w:rPr>
      </w:pPr>
    </w:p>
    <w:p>
      <w:pPr>
        <w:spacing w:after="0"/>
        <w:rPr>
          <w:sz w:val="20"/>
          <w:szCs w:val="20"/>
          <w:color w:val="auto"/>
        </w:rPr>
      </w:pPr>
      <w:r>
        <w:rPr>
          <w:rFonts w:ascii="Arial" w:cs="Arial" w:eastAsia="Arial" w:hAnsi="Arial"/>
          <w:sz w:val="24"/>
          <w:szCs w:val="24"/>
          <w:color w:val="B95827"/>
        </w:rPr>
        <w:t>How Compensation Decisions Were Made</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b w:val="1"/>
          <w:bCs w:val="1"/>
          <w:color w:val="002B5F"/>
        </w:rPr>
        <w:t>ROLE OF COMPENSATION COMMITTEE</w:t>
      </w:r>
    </w:p>
    <w:p>
      <w:pPr>
        <w:spacing w:after="0" w:line="103" w:lineRule="exact"/>
        <w:rPr>
          <w:sz w:val="20"/>
          <w:szCs w:val="20"/>
          <w:color w:val="auto"/>
        </w:rPr>
      </w:pPr>
    </w:p>
    <w:p>
      <w:pPr>
        <w:ind w:right="60"/>
        <w:spacing w:after="0" w:line="252" w:lineRule="auto"/>
        <w:rPr>
          <w:sz w:val="20"/>
          <w:szCs w:val="20"/>
          <w:color w:val="auto"/>
        </w:rPr>
      </w:pPr>
      <w:r>
        <w:rPr>
          <w:rFonts w:ascii="Arial" w:cs="Arial" w:eastAsia="Arial" w:hAnsi="Arial"/>
          <w:sz w:val="15"/>
          <w:szCs w:val="15"/>
          <w:color w:val="auto"/>
        </w:rPr>
        <w:t>The Compensation Committee is composed entirely of directors who meet the Nasdaq standards for independence, including the heightened standards applicable to compensation committee members. The Compensation Committee is responsible for establishing our human resources policies, including our compensation philosophy and principles, and overseeing our executive compensation policies and program. The Compensation Committee reviews and approves the structure and implementation of the Company’s overall compensation programs. In addition, it provides final approval of the total compensation payable to each of our NEOs other than our CEO. With respect to our CEO, the Compensation Committee proposes a total compensation package and recommends that it be approved by the Board. The Board discusses the proposal in executive session without the CEO present, and gives final approval of the total compensation payable to our CEO. In establishing total target compensation levels for our NEOs, the Compensation Committee, with input from the Compensation Consultant, determines the ranges of market compensation that it believes will enable us to effectively compete for and retain high-performing, qualified executives. The Compensation Committee’s charter sets forth its responsibilities.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002B5F"/>
        </w:rPr>
        <w:t>CEO ASSESSMENT PROCESS</w:t>
      </w:r>
    </w:p>
    <w:p>
      <w:pPr>
        <w:spacing w:after="0" w:line="103" w:lineRule="exact"/>
        <w:rPr>
          <w:sz w:val="20"/>
          <w:szCs w:val="20"/>
          <w:color w:val="auto"/>
        </w:rPr>
      </w:pPr>
    </w:p>
    <w:p>
      <w:pPr>
        <w:ind w:right="480"/>
        <w:spacing w:after="0" w:line="258" w:lineRule="auto"/>
        <w:rPr>
          <w:sz w:val="20"/>
          <w:szCs w:val="20"/>
          <w:color w:val="auto"/>
        </w:rPr>
      </w:pPr>
      <w:r>
        <w:rPr>
          <w:rFonts w:ascii="Arial" w:cs="Arial" w:eastAsia="Arial" w:hAnsi="Arial"/>
          <w:sz w:val="15"/>
          <w:szCs w:val="15"/>
          <w:color w:val="auto"/>
        </w:rPr>
        <w:t>At the beginning of each year, our CEO sets and reviews with the Board his priorities for the year based on the corporate goals approved by our Board and additional feedback from our non-employee directors. For 2025,</w:t>
      </w:r>
    </w:p>
    <w:p>
      <w:pPr>
        <w:spacing w:after="0" w:line="1" w:lineRule="exact"/>
        <w:rPr>
          <w:sz w:val="20"/>
          <w:szCs w:val="20"/>
          <w:color w:val="auto"/>
        </w:rPr>
      </w:pPr>
    </w:p>
    <w:p>
      <w:pPr>
        <w:ind w:right="140"/>
        <w:spacing w:after="0" w:line="258" w:lineRule="auto"/>
        <w:rPr>
          <w:sz w:val="20"/>
          <w:szCs w:val="20"/>
          <w:color w:val="auto"/>
        </w:rPr>
      </w:pPr>
      <w:r>
        <w:rPr>
          <w:rFonts w:ascii="Arial" w:cs="Arial" w:eastAsia="Arial" w:hAnsi="Arial"/>
          <w:sz w:val="15"/>
          <w:szCs w:val="15"/>
          <w:color w:val="auto"/>
        </w:rPr>
        <w:t>Mr. Steinmeier’s priorities included continuing the Company’s growth momentum, evolving management’s approach to strategic planning and execution, driving operating margin expansion, advancing the experiences of employees and clients, and increasing the Company’s representation in external markets.</w:t>
      </w:r>
    </w:p>
    <w:p>
      <w:pPr>
        <w:spacing w:after="0" w:line="68" w:lineRule="exact"/>
        <w:rPr>
          <w:sz w:val="20"/>
          <w:szCs w:val="20"/>
          <w:color w:val="auto"/>
        </w:rPr>
      </w:pPr>
    </w:p>
    <w:p>
      <w:pPr>
        <w:spacing w:after="0" w:line="252" w:lineRule="auto"/>
        <w:rPr>
          <w:sz w:val="20"/>
          <w:szCs w:val="20"/>
          <w:color w:val="auto"/>
        </w:rPr>
      </w:pPr>
      <w:r>
        <w:rPr>
          <w:rFonts w:ascii="Arial" w:cs="Arial" w:eastAsia="Arial" w:hAnsi="Arial"/>
          <w:sz w:val="15"/>
          <w:szCs w:val="15"/>
          <w:color w:val="auto"/>
        </w:rPr>
        <w:t>At the end of each year, the Compensation Committee requests that our CEO prepare a written self-evaluation of performance against the year’s corporate goals and CEO priorities, which the chair of the Compensation Committee distributes to each non-employee director. The non-employee directors then complete a survey, prepared by the chief people officer in consultation with the chair of the Compensation Committee, that solicits feedback from directors on the CEO’s performance across various categories. Our chief people officer provides a summary of the results of the assessments to each of the non-employee directors, including the members of the Compensation Committee, who consider the CEO’s self-evaluation and the results of the non-employee directors’ assessments in evaluating the CEO’s performance for the year. The materials are also discussed by the Board in an executive session led by the chair of the Compensation Committee and, after such discussion, feedback and compensation decisions are provided to the CEO by the chair of the Compensation Committee and the chair of the Board.</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002B5F"/>
        </w:rPr>
        <w:t>ROLE OF EXECUTIVE OFFICERS</w:t>
      </w:r>
    </w:p>
    <w:p>
      <w:pPr>
        <w:spacing w:after="0" w:line="103" w:lineRule="exact"/>
        <w:rPr>
          <w:sz w:val="20"/>
          <w:szCs w:val="20"/>
          <w:color w:val="auto"/>
        </w:rPr>
      </w:pPr>
    </w:p>
    <w:p>
      <w:pPr>
        <w:spacing w:after="0" w:line="254" w:lineRule="auto"/>
        <w:rPr>
          <w:sz w:val="20"/>
          <w:szCs w:val="20"/>
          <w:color w:val="auto"/>
        </w:rPr>
      </w:pPr>
      <w:r>
        <w:rPr>
          <w:rFonts w:ascii="Arial" w:cs="Arial" w:eastAsia="Arial" w:hAnsi="Arial"/>
          <w:sz w:val="15"/>
          <w:szCs w:val="15"/>
          <w:color w:val="auto"/>
        </w:rPr>
        <w:t>Prior to the beginning of each year, our executive officers develop the corporate goals that they believe should be achieved for the Company to be successful, which are approved by the Board and used by the Compensation Committee for the purpose of establishing how executive performance will be assessed for compensation-setting purposes. These corporate goals are derived largely from the Company’s annual financial and strategic planning sessions, and are prioritized and aligned with the Company’s long-term strategic plan. The corporate goals include both quantitative financial and operating metrics and operational deliverables and goals. The chief financial officer provides quarterly reports to the Compensation Committee assessing the Company’s performance against the annual corporate goals.</w:t>
      </w:r>
    </w:p>
    <w:p>
      <w:pPr>
        <w:spacing w:after="0" w:line="71" w:lineRule="exact"/>
        <w:rPr>
          <w:sz w:val="20"/>
          <w:szCs w:val="20"/>
          <w:color w:val="auto"/>
        </w:rPr>
      </w:pPr>
    </w:p>
    <w:p>
      <w:pPr>
        <w:ind w:right="300"/>
        <w:spacing w:after="0" w:line="287" w:lineRule="auto"/>
        <w:rPr>
          <w:sz w:val="20"/>
          <w:szCs w:val="20"/>
          <w:color w:val="auto"/>
        </w:rPr>
      </w:pPr>
      <w:r>
        <w:rPr>
          <w:rFonts w:ascii="Arial" w:cs="Arial" w:eastAsia="Arial" w:hAnsi="Arial"/>
          <w:sz w:val="15"/>
          <w:szCs w:val="15"/>
          <w:color w:val="auto"/>
        </w:rPr>
        <w:t>Our CEO annually reviews the individual performance of each of his direct reports, including the other NEOs, and provides the Compensation Committee with evaluations of each such direct report as well</w:t>
      </w:r>
    </w:p>
    <w:p>
      <w:pPr>
        <w:spacing w:after="0" w:line="2115" w:lineRule="exact"/>
        <w:rPr>
          <w:sz w:val="20"/>
          <w:szCs w:val="20"/>
          <w:color w:val="auto"/>
        </w:rPr>
      </w:pPr>
    </w:p>
    <w:p>
      <w:pPr>
        <w:sectPr>
          <w:pgSz w:w="11900" w:h="16838" w:orient="portrait"/>
          <w:cols w:equalWidth="0" w:num="2">
            <w:col w:w="2160" w:space="560"/>
            <w:col w:w="7960"/>
          </w:cols>
          <w:pgMar w:left="320" w:top="464" w:right="899" w:bottom="1440" w:gutter="0" w:footer="0" w:header="0"/>
        </w:sectPr>
      </w:pPr>
    </w:p>
    <w:p>
      <w:pPr>
        <w:spacing w:after="0" w:line="200" w:lineRule="exact"/>
        <w:rPr>
          <w:sz w:val="20"/>
          <w:szCs w:val="20"/>
          <w:color w:val="auto"/>
        </w:rPr>
      </w:pPr>
    </w:p>
    <w:p>
      <w:pPr>
        <w:spacing w:after="0" w:line="385" w:lineRule="exact"/>
        <w:rPr>
          <w:sz w:val="20"/>
          <w:szCs w:val="20"/>
          <w:color w:val="auto"/>
        </w:rPr>
      </w:pPr>
    </w:p>
    <w:p>
      <w:pPr>
        <w:ind w:left="420"/>
        <w:spacing w:after="0"/>
        <w:tabs>
          <w:tab w:leader="none" w:pos="2380" w:val="left"/>
          <w:tab w:leader="none" w:pos="2800" w:val="left"/>
        </w:tabs>
        <w:rPr>
          <w:sz w:val="20"/>
          <w:szCs w:val="20"/>
          <w:color w:val="auto"/>
        </w:rPr>
      </w:pPr>
      <w:r>
        <w:rPr>
          <w:rFonts w:ascii="Arial" w:cs="Arial" w:eastAsia="Arial" w:hAnsi="Arial"/>
          <w:sz w:val="30"/>
          <w:szCs w:val="30"/>
          <w:color w:val="000000"/>
          <w:vertAlign w:val="superscript"/>
        </w:rPr>
        <w:t xml:space="preserve">             </w:t>
      </w:r>
      <w:r>
        <w:rPr>
          <w:sz w:val="20"/>
          <w:szCs w:val="20"/>
          <w:color w:val="auto"/>
        </w:rPr>
        <w:tab/>
      </w:r>
      <w:r>
        <w:rPr>
          <w:rFonts w:ascii="Arial" w:cs="Arial" w:eastAsia="Arial" w:hAnsi="Arial"/>
          <w:sz w:val="31"/>
          <w:szCs w:val="31"/>
          <w:color w:val="auto"/>
          <w:vertAlign w:val="superscript"/>
        </w:rPr>
        <w:t xml:space="preserve">    </w:t>
      </w:r>
      <w:r>
        <w:rPr>
          <w:sz w:val="20"/>
          <w:szCs w:val="20"/>
          <w:color w:val="auto"/>
        </w:rPr>
        <w:tab/>
      </w:r>
      <w:r>
        <w:rPr>
          <w:rFonts w:ascii="Arial" w:cs="Arial" w:eastAsia="Arial" w:hAnsi="Arial"/>
          <w:sz w:val="15"/>
          <w:szCs w:val="15"/>
          <w:b w:val="1"/>
          <w:bCs w:val="1"/>
          <w:color w:val="002B5F"/>
        </w:rPr>
        <w:t xml:space="preserve">54  </w:t>
      </w:r>
      <w:r>
        <w:rPr>
          <w:rFonts w:ascii="Arial" w:cs="Arial" w:eastAsia="Arial" w:hAnsi="Arial"/>
          <w:sz w:val="20"/>
          <w:szCs w:val="20"/>
          <w:color w:val="002B5F"/>
        </w:rPr>
        <w:t>|</w:t>
      </w:r>
      <w:r>
        <w:rPr>
          <w:rFonts w:ascii="Arial" w:cs="Arial" w:eastAsia="Arial" w:hAnsi="Arial"/>
          <w:sz w:val="15"/>
          <w:szCs w:val="15"/>
          <w:b w:val="1"/>
          <w:bCs w:val="1"/>
          <w:color w:val="002B5F"/>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6111875</wp:posOffset>
            </wp:positionH>
            <wp:positionV relativeFrom="paragraph">
              <wp:posOffset>-208915</wp:posOffset>
            </wp:positionV>
            <wp:extent cx="769620" cy="971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69620" cy="97155"/>
                    </a:xfrm>
                    <a:prstGeom prst="rect">
                      <a:avLst/>
                    </a:prstGeom>
                    <a:noFill/>
                  </pic:spPr>
                </pic:pic>
              </a:graphicData>
            </a:graphic>
          </wp:anchor>
        </w:drawing>
      </w:r>
    </w:p>
    <w:p>
      <w:pPr>
        <w:sectPr>
          <w:pgSz w:w="11900" w:h="16838" w:orient="portrait"/>
          <w:cols w:equalWidth="0" w:num="1">
            <w:col w:w="10680"/>
          </w:cols>
          <w:pgMar w:left="320" w:top="464" w:right="899" w:bottom="1440" w:gutter="0" w:footer="0" w:header="0"/>
          <w:type w:val="continuous"/>
        </w:sectPr>
      </w:pPr>
    </w:p>
    <w:bookmarkStart w:id="62" w:name="page63"/>
    <w:bookmarkEnd w:id="6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5334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81215" cy="5334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5617845</wp:posOffset>
            </wp:positionH>
            <wp:positionV relativeFrom="paragraph">
              <wp:posOffset>253365</wp:posOffset>
            </wp:positionV>
            <wp:extent cx="1256030" cy="74720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1256030" cy="7472045"/>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tbl>
      <w:tblPr>
        <w:tblLayout w:type="fixed"/>
        <w:tblInd w:w="540" w:type="dxa"/>
        <w:tblCellMar>
          <w:top w:w="0" w:type="dxa"/>
          <w:left w:w="0" w:type="dxa"/>
          <w:bottom w:w="0" w:type="dxa"/>
          <w:right w:w="0" w:type="dxa"/>
        </w:tblCellMar>
      </w:tblPr>
      <w:tr>
        <w:trPr>
          <w:trHeight w:val="179"/>
        </w:trPr>
        <w:tc>
          <w:tcPr>
            <w:tcW w:w="8100" w:type="dxa"/>
            <w:vAlign w:val="bottom"/>
          </w:tcPr>
          <w:p>
            <w:pPr>
              <w:spacing w:after="0"/>
              <w:rPr>
                <w:sz w:val="20"/>
                <w:szCs w:val="20"/>
                <w:color w:val="auto"/>
              </w:rPr>
            </w:pPr>
            <w:r>
              <w:rPr>
                <w:rFonts w:ascii="Arial" w:cs="Arial" w:eastAsia="Arial" w:hAnsi="Arial"/>
                <w:sz w:val="15"/>
                <w:szCs w:val="15"/>
                <w:color w:val="auto"/>
              </w:rPr>
              <w:t>as recommendations regarding such person’s base salary level, annual cash bonus and annual LTI award. Our chief</w:t>
            </w:r>
          </w:p>
        </w:tc>
        <w:tc>
          <w:tcPr>
            <w:tcW w:w="4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8100" w:type="dxa"/>
            <w:vAlign w:val="bottom"/>
          </w:tcPr>
          <w:p>
            <w:pPr>
              <w:spacing w:after="0"/>
              <w:rPr>
                <w:sz w:val="20"/>
                <w:szCs w:val="20"/>
                <w:color w:val="auto"/>
              </w:rPr>
            </w:pPr>
            <w:r>
              <w:rPr>
                <w:rFonts w:ascii="Arial" w:cs="Arial" w:eastAsia="Arial" w:hAnsi="Arial"/>
                <w:sz w:val="15"/>
                <w:szCs w:val="15"/>
                <w:color w:val="auto"/>
              </w:rPr>
              <w:t>people officer also attends Compensation Committee meetings and assists the Compensation Committee and the</w:t>
            </w:r>
          </w:p>
        </w:tc>
        <w:tc>
          <w:tcPr>
            <w:tcW w:w="440" w:type="dxa"/>
            <w:vAlign w:val="bottom"/>
            <w:vMerge w:val="restart"/>
          </w:tcPr>
          <w:p>
            <w:pPr>
              <w:ind w:left="240"/>
              <w:spacing w:after="0"/>
              <w:rPr>
                <w:sz w:val="20"/>
                <w:szCs w:val="20"/>
                <w:color w:val="auto"/>
              </w:rPr>
            </w:pPr>
            <w:r>
              <w:rPr>
                <w:rFonts w:ascii="Arial" w:cs="Arial" w:eastAsia="Arial" w:hAnsi="Arial"/>
                <w:sz w:val="15"/>
                <w:szCs w:val="15"/>
                <w:color w:val="auto"/>
              </w:rPr>
              <w:t> </w:t>
            </w:r>
          </w:p>
        </w:tc>
        <w:tc>
          <w:tcPr>
            <w:tcW w:w="1280" w:type="dxa"/>
            <w:vAlign w:val="bottom"/>
            <w:vMerge w:val="restart"/>
          </w:tcPr>
          <w:p>
            <w:pPr>
              <w:ind w:left="140"/>
              <w:spacing w:after="0"/>
              <w:rPr>
                <w:sz w:val="20"/>
                <w:szCs w:val="20"/>
                <w:color w:val="auto"/>
              </w:rPr>
            </w:pPr>
            <w:r>
              <w:rPr>
                <w:rFonts w:ascii="Arial" w:cs="Arial" w:eastAsia="Arial" w:hAnsi="Arial"/>
                <w:sz w:val="12"/>
                <w:szCs w:val="12"/>
                <w:color w:val="FFFFFF"/>
              </w:rPr>
              <w:t>General</w:t>
            </w:r>
          </w:p>
        </w:tc>
        <w:tc>
          <w:tcPr>
            <w:tcW w:w="440" w:type="dxa"/>
            <w:vAlign w:val="bottom"/>
            <w:vMerge w:val="restart"/>
          </w:tcPr>
          <w:p>
            <w:pPr>
              <w:ind w:left="80"/>
              <w:spacing w:after="0"/>
              <w:rPr>
                <w:sz w:val="20"/>
                <w:szCs w:val="20"/>
                <w:color w:val="auto"/>
              </w:rPr>
            </w:pPr>
            <w:r>
              <w:rPr>
                <w:rFonts w:ascii="Arial" w:cs="Arial" w:eastAsia="Arial" w:hAnsi="Arial"/>
                <w:sz w:val="15"/>
                <w:szCs w:val="15"/>
                <w:color w:val="auto"/>
              </w:rPr>
              <w:t xml:space="preserve">       </w:t>
            </w:r>
          </w:p>
        </w:tc>
        <w:tc>
          <w:tcPr>
            <w:tcW w:w="0" w:type="dxa"/>
            <w:vAlign w:val="bottom"/>
          </w:tcPr>
          <w:p>
            <w:pPr>
              <w:spacing w:after="0"/>
              <w:rPr>
                <w:sz w:val="1"/>
                <w:szCs w:val="1"/>
                <w:color w:val="auto"/>
              </w:rPr>
            </w:pPr>
          </w:p>
        </w:tc>
      </w:tr>
      <w:tr>
        <w:trPr>
          <w:trHeight w:val="51"/>
        </w:trPr>
        <w:tc>
          <w:tcPr>
            <w:tcW w:w="8100" w:type="dxa"/>
            <w:vAlign w:val="bottom"/>
            <w:vMerge w:val="restart"/>
          </w:tcPr>
          <w:p>
            <w:pPr>
              <w:spacing w:after="0"/>
              <w:rPr>
                <w:sz w:val="20"/>
                <w:szCs w:val="20"/>
                <w:color w:val="auto"/>
              </w:rPr>
            </w:pPr>
            <w:r>
              <w:rPr>
                <w:rFonts w:ascii="Arial" w:cs="Arial" w:eastAsia="Arial" w:hAnsi="Arial"/>
                <w:sz w:val="15"/>
                <w:szCs w:val="15"/>
                <w:color w:val="auto"/>
              </w:rPr>
              <w:t>CEO in recommending the final compensation levels for our NEOs and other executive officers (other than herself).</w:t>
            </w:r>
          </w:p>
        </w:tc>
        <w:tc>
          <w:tcPr>
            <w:tcW w:w="440" w:type="dxa"/>
            <w:vAlign w:val="bottom"/>
            <w:vMerge w:val="continue"/>
          </w:tcPr>
          <w:p>
            <w:pPr>
              <w:spacing w:after="0"/>
              <w:rPr>
                <w:sz w:val="4"/>
                <w:szCs w:val="4"/>
                <w:color w:val="auto"/>
              </w:rPr>
            </w:pPr>
          </w:p>
        </w:tc>
        <w:tc>
          <w:tcPr>
            <w:tcW w:w="1280" w:type="dxa"/>
            <w:vAlign w:val="bottom"/>
            <w:vMerge w:val="continue"/>
          </w:tcPr>
          <w:p>
            <w:pPr>
              <w:spacing w:after="0"/>
              <w:rPr>
                <w:sz w:val="4"/>
                <w:szCs w:val="4"/>
                <w:color w:val="auto"/>
              </w:rPr>
            </w:pPr>
          </w:p>
        </w:tc>
        <w:tc>
          <w:tcPr>
            <w:tcW w:w="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8"/>
        </w:trPr>
        <w:tc>
          <w:tcPr>
            <w:tcW w:w="8100" w:type="dxa"/>
            <w:vAlign w:val="bottom"/>
            <w:vMerge w:val="continue"/>
          </w:tcPr>
          <w:p>
            <w:pPr>
              <w:spacing w:after="0"/>
              <w:rPr>
                <w:sz w:val="11"/>
                <w:szCs w:val="11"/>
                <w:color w:val="auto"/>
              </w:rPr>
            </w:pPr>
          </w:p>
        </w:tc>
        <w:tc>
          <w:tcPr>
            <w:tcW w:w="440" w:type="dxa"/>
            <w:vAlign w:val="bottom"/>
          </w:tcPr>
          <w:p>
            <w:pPr>
              <w:spacing w:after="0"/>
              <w:rPr>
                <w:sz w:val="11"/>
                <w:szCs w:val="11"/>
                <w:color w:val="auto"/>
              </w:rPr>
            </w:pPr>
          </w:p>
        </w:tc>
        <w:tc>
          <w:tcPr>
            <w:tcW w:w="1280" w:type="dxa"/>
            <w:vAlign w:val="bottom"/>
          </w:tcPr>
          <w:p>
            <w:pPr>
              <w:ind w:left="140"/>
              <w:spacing w:after="0" w:line="128" w:lineRule="exact"/>
              <w:rPr>
                <w:sz w:val="20"/>
                <w:szCs w:val="20"/>
                <w:color w:val="auto"/>
              </w:rPr>
            </w:pPr>
            <w:r>
              <w:rPr>
                <w:rFonts w:ascii="Arial" w:cs="Arial" w:eastAsia="Arial" w:hAnsi="Arial"/>
                <w:sz w:val="12"/>
                <w:szCs w:val="12"/>
                <w:color w:val="FFFFFF"/>
              </w:rPr>
              <w:t>Information</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9"/>
        </w:trPr>
        <w:tc>
          <w:tcPr>
            <w:tcW w:w="8100" w:type="dxa"/>
            <w:vAlign w:val="bottom"/>
          </w:tcPr>
          <w:p>
            <w:pPr>
              <w:spacing w:after="0"/>
              <w:rPr>
                <w:sz w:val="20"/>
                <w:szCs w:val="20"/>
                <w:color w:val="auto"/>
              </w:rPr>
            </w:pPr>
            <w:r>
              <w:rPr>
                <w:rFonts w:ascii="Arial" w:cs="Arial" w:eastAsia="Arial" w:hAnsi="Arial"/>
                <w:sz w:val="15"/>
                <w:szCs w:val="15"/>
                <w:color w:val="auto"/>
              </w:rPr>
              <w:t>Both the CEO and the chief people officer leave the meetings during discussions of compensation actions affecting</w:t>
            </w:r>
          </w:p>
        </w:tc>
        <w:tc>
          <w:tcPr>
            <w:tcW w:w="440" w:type="dxa"/>
            <w:vAlign w:val="bottom"/>
          </w:tcPr>
          <w:p>
            <w:pPr>
              <w:spacing w:after="0"/>
              <w:rPr>
                <w:sz w:val="15"/>
                <w:szCs w:val="15"/>
                <w:color w:val="auto"/>
              </w:rPr>
            </w:pPr>
          </w:p>
        </w:tc>
        <w:tc>
          <w:tcPr>
            <w:tcW w:w="1280" w:type="dxa"/>
            <w:vAlign w:val="bottom"/>
            <w:vMerge w:val="restart"/>
          </w:tcPr>
          <w:p>
            <w:pPr>
              <w:ind w:left="140"/>
              <w:spacing w:after="0"/>
              <w:rPr>
                <w:sz w:val="20"/>
                <w:szCs w:val="20"/>
                <w:color w:val="auto"/>
              </w:rPr>
            </w:pPr>
            <w:r>
              <w:rPr>
                <w:rFonts w:ascii="Arial" w:cs="Arial" w:eastAsia="Arial" w:hAnsi="Arial"/>
                <w:sz w:val="12"/>
                <w:szCs w:val="12"/>
                <w:color w:val="FFFFFF"/>
              </w:rPr>
              <w:t>General Information</w:t>
            </w: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4"/>
        </w:trPr>
        <w:tc>
          <w:tcPr>
            <w:tcW w:w="8100" w:type="dxa"/>
            <w:vAlign w:val="bottom"/>
            <w:vMerge w:val="restart"/>
          </w:tcPr>
          <w:p>
            <w:pPr>
              <w:spacing w:after="0"/>
              <w:rPr>
                <w:sz w:val="20"/>
                <w:szCs w:val="20"/>
                <w:color w:val="auto"/>
              </w:rPr>
            </w:pPr>
            <w:r>
              <w:rPr>
                <w:rFonts w:ascii="Arial" w:cs="Arial" w:eastAsia="Arial" w:hAnsi="Arial"/>
                <w:sz w:val="15"/>
                <w:szCs w:val="15"/>
                <w:color w:val="auto"/>
              </w:rPr>
              <w:t>them personally.</w:t>
            </w:r>
          </w:p>
        </w:tc>
        <w:tc>
          <w:tcPr>
            <w:tcW w:w="440" w:type="dxa"/>
            <w:vAlign w:val="bottom"/>
          </w:tcPr>
          <w:p>
            <w:pPr>
              <w:spacing w:after="0"/>
              <w:rPr>
                <w:sz w:val="7"/>
                <w:szCs w:val="7"/>
                <w:color w:val="auto"/>
              </w:rPr>
            </w:pPr>
          </w:p>
        </w:tc>
        <w:tc>
          <w:tcPr>
            <w:tcW w:w="1280" w:type="dxa"/>
            <w:vAlign w:val="bottom"/>
            <w:vMerge w:val="continue"/>
          </w:tcPr>
          <w:p>
            <w:pPr>
              <w:spacing w:after="0"/>
              <w:rPr>
                <w:sz w:val="7"/>
                <w:szCs w:val="7"/>
                <w:color w:val="auto"/>
              </w:rPr>
            </w:pPr>
          </w:p>
        </w:tc>
        <w:tc>
          <w:tcPr>
            <w:tcW w:w="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8"/>
        </w:trPr>
        <w:tc>
          <w:tcPr>
            <w:tcW w:w="8100" w:type="dxa"/>
            <w:vAlign w:val="bottom"/>
            <w:vMerge w:val="continue"/>
          </w:tcPr>
          <w:p>
            <w:pPr>
              <w:spacing w:after="0"/>
              <w:rPr>
                <w:sz w:val="11"/>
                <w:szCs w:val="11"/>
                <w:color w:val="auto"/>
              </w:rPr>
            </w:pPr>
          </w:p>
        </w:tc>
        <w:tc>
          <w:tcPr>
            <w:tcW w:w="440" w:type="dxa"/>
            <w:vAlign w:val="bottom"/>
          </w:tcPr>
          <w:p>
            <w:pPr>
              <w:spacing w:after="0"/>
              <w:rPr>
                <w:sz w:val="11"/>
                <w:szCs w:val="11"/>
                <w:color w:val="auto"/>
              </w:rPr>
            </w:pPr>
          </w:p>
        </w:tc>
        <w:tc>
          <w:tcPr>
            <w:tcW w:w="1280" w:type="dxa"/>
            <w:vAlign w:val="bottom"/>
          </w:tcPr>
          <w:p>
            <w:pPr>
              <w:ind w:left="140"/>
              <w:spacing w:after="0" w:line="128" w:lineRule="exact"/>
              <w:rPr>
                <w:sz w:val="20"/>
                <w:szCs w:val="20"/>
                <w:color w:val="auto"/>
              </w:rPr>
            </w:pPr>
            <w:r>
              <w:rPr>
                <w:rFonts w:ascii="Arial" w:cs="Arial" w:eastAsia="Arial" w:hAnsi="Arial"/>
                <w:sz w:val="12"/>
                <w:szCs w:val="12"/>
                <w:color w:val="FFFFFF"/>
              </w:rPr>
              <w:t>About Corporate</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80" w:type="dxa"/>
            <w:vAlign w:val="bottom"/>
          </w:tcPr>
          <w:p>
            <w:pPr>
              <w:ind w:left="140"/>
              <w:spacing w:after="0" w:line="128" w:lineRule="exact"/>
              <w:rPr>
                <w:sz w:val="20"/>
                <w:szCs w:val="20"/>
                <w:color w:val="auto"/>
              </w:rPr>
            </w:pPr>
            <w:r>
              <w:rPr>
                <w:rFonts w:ascii="Arial" w:cs="Arial" w:eastAsia="Arial" w:hAnsi="Arial"/>
                <w:sz w:val="12"/>
                <w:szCs w:val="12"/>
                <w:color w:val="FFFFFF"/>
              </w:rPr>
              <w:t>Governance</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100" w:type="dxa"/>
            <w:vAlign w:val="bottom"/>
            <w:vMerge w:val="restart"/>
          </w:tcPr>
          <w:p>
            <w:pPr>
              <w:spacing w:after="0"/>
              <w:rPr>
                <w:sz w:val="20"/>
                <w:szCs w:val="20"/>
                <w:color w:val="auto"/>
              </w:rPr>
            </w:pPr>
            <w:r>
              <w:rPr>
                <w:rFonts w:ascii="Arial" w:cs="Arial" w:eastAsia="Arial" w:hAnsi="Arial"/>
                <w:sz w:val="17"/>
                <w:szCs w:val="17"/>
                <w:b w:val="1"/>
                <w:bCs w:val="1"/>
                <w:color w:val="002B5F"/>
              </w:rPr>
              <w:t>ROLE OF COMPENSATION CONSULTANT</w:t>
            </w:r>
          </w:p>
        </w:tc>
        <w:tc>
          <w:tcPr>
            <w:tcW w:w="440" w:type="dxa"/>
            <w:vAlign w:val="bottom"/>
          </w:tcPr>
          <w:p>
            <w:pPr>
              <w:spacing w:after="0"/>
              <w:rPr>
                <w:sz w:val="11"/>
                <w:szCs w:val="11"/>
                <w:color w:val="auto"/>
              </w:rPr>
            </w:pPr>
          </w:p>
        </w:tc>
        <w:tc>
          <w:tcPr>
            <w:tcW w:w="1280" w:type="dxa"/>
            <w:vAlign w:val="bottom"/>
          </w:tcPr>
          <w:p>
            <w:pPr>
              <w:ind w:left="140"/>
              <w:spacing w:after="0" w:line="128" w:lineRule="exact"/>
              <w:rPr>
                <w:sz w:val="20"/>
                <w:szCs w:val="20"/>
                <w:color w:val="auto"/>
              </w:rPr>
            </w:pPr>
            <w:r>
              <w:rPr>
                <w:rFonts w:ascii="Arial" w:cs="Arial" w:eastAsia="Arial" w:hAnsi="Arial"/>
                <w:sz w:val="12"/>
                <w:szCs w:val="12"/>
                <w:color w:val="FFFFFF"/>
              </w:rPr>
              <w:t>and the Board of</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8100" w:type="dxa"/>
            <w:vAlign w:val="bottom"/>
            <w:vMerge w:val="continue"/>
          </w:tcPr>
          <w:p>
            <w:pPr>
              <w:spacing w:after="0"/>
              <w:rPr>
                <w:sz w:val="13"/>
                <w:szCs w:val="13"/>
                <w:color w:val="auto"/>
              </w:rPr>
            </w:pPr>
          </w:p>
        </w:tc>
        <w:tc>
          <w:tcPr>
            <w:tcW w:w="440" w:type="dxa"/>
            <w:vAlign w:val="bottom"/>
          </w:tcPr>
          <w:p>
            <w:pPr>
              <w:spacing w:after="0"/>
              <w:rPr>
                <w:sz w:val="13"/>
                <w:szCs w:val="13"/>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Directors</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1"/>
        </w:trPr>
        <w:tc>
          <w:tcPr>
            <w:tcW w:w="8100" w:type="dxa"/>
            <w:vAlign w:val="bottom"/>
          </w:tcPr>
          <w:p>
            <w:pPr>
              <w:spacing w:after="0"/>
              <w:rPr>
                <w:sz w:val="20"/>
                <w:szCs w:val="20"/>
                <w:color w:val="auto"/>
              </w:rPr>
            </w:pPr>
            <w:r>
              <w:rPr>
                <w:rFonts w:ascii="Arial" w:cs="Arial" w:eastAsia="Arial" w:hAnsi="Arial"/>
                <w:sz w:val="15"/>
                <w:szCs w:val="15"/>
                <w:color w:val="auto"/>
              </w:rPr>
              <w:t>The Compensation Committee has the authority to engage its own advisors to assist it in carrying out its</w:t>
            </w:r>
          </w:p>
        </w:tc>
        <w:tc>
          <w:tcPr>
            <w:tcW w:w="440" w:type="dxa"/>
            <w:vAlign w:val="bottom"/>
          </w:tcPr>
          <w:p>
            <w:pPr>
              <w:spacing w:after="0"/>
              <w:rPr>
                <w:sz w:val="20"/>
                <w:szCs w:val="20"/>
                <w:color w:val="auto"/>
              </w:rPr>
            </w:pPr>
          </w:p>
        </w:tc>
        <w:tc>
          <w:tcPr>
            <w:tcW w:w="1280" w:type="dxa"/>
            <w:vAlign w:val="bottom"/>
            <w:vMerge w:val="restart"/>
          </w:tcPr>
          <w:p>
            <w:pPr>
              <w:ind w:left="140"/>
              <w:spacing w:after="0"/>
              <w:rPr>
                <w:sz w:val="20"/>
                <w:szCs w:val="20"/>
                <w:color w:val="auto"/>
              </w:rPr>
            </w:pPr>
            <w:r>
              <w:rPr>
                <w:rFonts w:ascii="Arial" w:cs="Arial" w:eastAsia="Arial" w:hAnsi="Arial"/>
                <w:sz w:val="12"/>
                <w:szCs w:val="12"/>
                <w:color w:val="FFFFFF"/>
              </w:rPr>
              <w:t>Proposal 1</w:t>
            </w: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3"/>
        </w:trPr>
        <w:tc>
          <w:tcPr>
            <w:tcW w:w="8100" w:type="dxa"/>
            <w:vAlign w:val="bottom"/>
            <w:vMerge w:val="restart"/>
          </w:tcPr>
          <w:p>
            <w:pPr>
              <w:spacing w:after="0"/>
              <w:rPr>
                <w:sz w:val="20"/>
                <w:szCs w:val="20"/>
                <w:color w:val="auto"/>
              </w:rPr>
            </w:pPr>
            <w:r>
              <w:rPr>
                <w:rFonts w:ascii="Arial" w:cs="Arial" w:eastAsia="Arial" w:hAnsi="Arial"/>
                <w:sz w:val="15"/>
                <w:szCs w:val="15"/>
                <w:color w:val="auto"/>
              </w:rPr>
              <w:t>responsibilities. The Compensation Committee engaged the Compensation Consultant to advise it on compensation</w:t>
            </w:r>
          </w:p>
        </w:tc>
        <w:tc>
          <w:tcPr>
            <w:tcW w:w="440" w:type="dxa"/>
            <w:vAlign w:val="bottom"/>
          </w:tcPr>
          <w:p>
            <w:pPr>
              <w:spacing w:after="0"/>
              <w:rPr>
                <w:sz w:val="5"/>
                <w:szCs w:val="5"/>
                <w:color w:val="auto"/>
              </w:rPr>
            </w:pPr>
          </w:p>
        </w:tc>
        <w:tc>
          <w:tcPr>
            <w:tcW w:w="128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6"/>
        </w:trPr>
        <w:tc>
          <w:tcPr>
            <w:tcW w:w="8100" w:type="dxa"/>
            <w:vAlign w:val="bottom"/>
            <w:vMerge w:val="continue"/>
          </w:tcPr>
          <w:p>
            <w:pPr>
              <w:spacing w:after="0"/>
              <w:rPr>
                <w:sz w:val="10"/>
                <w:szCs w:val="10"/>
                <w:color w:val="auto"/>
              </w:rPr>
            </w:pPr>
          </w:p>
        </w:tc>
        <w:tc>
          <w:tcPr>
            <w:tcW w:w="44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8100" w:type="dxa"/>
            <w:vAlign w:val="bottom"/>
          </w:tcPr>
          <w:p>
            <w:pPr>
              <w:spacing w:after="0" w:line="153" w:lineRule="exact"/>
              <w:rPr>
                <w:sz w:val="20"/>
                <w:szCs w:val="20"/>
                <w:color w:val="auto"/>
              </w:rPr>
            </w:pPr>
            <w:r>
              <w:rPr>
                <w:rFonts w:ascii="Arial" w:cs="Arial" w:eastAsia="Arial" w:hAnsi="Arial"/>
                <w:sz w:val="15"/>
                <w:szCs w:val="15"/>
                <w:color w:val="auto"/>
              </w:rPr>
              <w:t>matters and provide experiential guidance on what is considered fair and competitive practice in our industry,</w:t>
            </w:r>
          </w:p>
        </w:tc>
        <w:tc>
          <w:tcPr>
            <w:tcW w:w="440" w:type="dxa"/>
            <w:vAlign w:val="bottom"/>
          </w:tcPr>
          <w:p>
            <w:pPr>
              <w:spacing w:after="0"/>
              <w:rPr>
                <w:sz w:val="13"/>
                <w:szCs w:val="13"/>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Information</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8100" w:type="dxa"/>
            <w:vAlign w:val="bottom"/>
          </w:tcPr>
          <w:p>
            <w:pPr>
              <w:spacing w:after="0"/>
              <w:rPr>
                <w:sz w:val="20"/>
                <w:szCs w:val="20"/>
                <w:color w:val="auto"/>
              </w:rPr>
            </w:pPr>
            <w:r>
              <w:rPr>
                <w:rFonts w:ascii="Arial" w:cs="Arial" w:eastAsia="Arial" w:hAnsi="Arial"/>
                <w:sz w:val="15"/>
                <w:szCs w:val="15"/>
                <w:color w:val="auto"/>
              </w:rPr>
              <w:t>primarily with respect to the compensation of our executive officers, and also with respect to director compensation.</w:t>
            </w:r>
          </w:p>
        </w:tc>
        <w:tc>
          <w:tcPr>
            <w:tcW w:w="440" w:type="dxa"/>
            <w:vAlign w:val="bottom"/>
          </w:tcPr>
          <w:p>
            <w:pPr>
              <w:spacing w:after="0"/>
              <w:rPr>
                <w:sz w:val="15"/>
                <w:szCs w:val="15"/>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Regarding Board</w:t>
            </w: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2"/>
        </w:trPr>
        <w:tc>
          <w:tcPr>
            <w:tcW w:w="8100" w:type="dxa"/>
            <w:vAlign w:val="bottom"/>
          </w:tcPr>
          <w:p>
            <w:pPr>
              <w:spacing w:after="0"/>
              <w:rPr>
                <w:sz w:val="6"/>
                <w:szCs w:val="6"/>
                <w:color w:val="auto"/>
              </w:rPr>
            </w:pPr>
          </w:p>
        </w:tc>
        <w:tc>
          <w:tcPr>
            <w:tcW w:w="440" w:type="dxa"/>
            <w:vAlign w:val="bottom"/>
          </w:tcPr>
          <w:p>
            <w:pPr>
              <w:spacing w:after="0"/>
              <w:rPr>
                <w:sz w:val="6"/>
                <w:szCs w:val="6"/>
                <w:color w:val="auto"/>
              </w:rPr>
            </w:pPr>
          </w:p>
        </w:tc>
        <w:tc>
          <w:tcPr>
            <w:tcW w:w="1280" w:type="dxa"/>
            <w:vAlign w:val="bottom"/>
          </w:tcPr>
          <w:p>
            <w:pPr>
              <w:ind w:left="140"/>
              <w:spacing w:after="0" w:line="72" w:lineRule="exact"/>
              <w:rPr>
                <w:sz w:val="20"/>
                <w:szCs w:val="20"/>
                <w:color w:val="auto"/>
              </w:rPr>
            </w:pPr>
            <w:r>
              <w:rPr>
                <w:rFonts w:ascii="Arial" w:cs="Arial" w:eastAsia="Arial" w:hAnsi="Arial"/>
                <w:sz w:val="8"/>
                <w:szCs w:val="8"/>
                <w:color w:val="FFFFFF"/>
              </w:rPr>
              <w:t>and Committee</w:t>
            </w:r>
          </w:p>
        </w:tc>
        <w:tc>
          <w:tcPr>
            <w:tcW w:w="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8"/>
        </w:trPr>
        <w:tc>
          <w:tcPr>
            <w:tcW w:w="8100" w:type="dxa"/>
            <w:vAlign w:val="bottom"/>
            <w:vMerge w:val="restart"/>
          </w:tcPr>
          <w:p>
            <w:pPr>
              <w:spacing w:after="0"/>
              <w:rPr>
                <w:sz w:val="20"/>
                <w:szCs w:val="20"/>
                <w:color w:val="auto"/>
              </w:rPr>
            </w:pPr>
            <w:r>
              <w:rPr>
                <w:rFonts w:ascii="Arial" w:cs="Arial" w:eastAsia="Arial" w:hAnsi="Arial"/>
                <w:sz w:val="15"/>
                <w:szCs w:val="15"/>
                <w:color w:val="auto"/>
              </w:rPr>
              <w:t>In 2025, the Compensation Consultant worked directly with the Compensation Committee to develop</w:t>
            </w:r>
          </w:p>
        </w:tc>
        <w:tc>
          <w:tcPr>
            <w:tcW w:w="440" w:type="dxa"/>
            <w:vAlign w:val="bottom"/>
          </w:tcPr>
          <w:p>
            <w:pPr>
              <w:spacing w:after="0"/>
              <w:rPr>
                <w:sz w:val="13"/>
                <w:szCs w:val="13"/>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Structure</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7"/>
        </w:trPr>
        <w:tc>
          <w:tcPr>
            <w:tcW w:w="8100" w:type="dxa"/>
            <w:vAlign w:val="bottom"/>
            <w:vMerge w:val="continue"/>
          </w:tcPr>
          <w:p>
            <w:pPr>
              <w:spacing w:after="0"/>
              <w:rPr>
                <w:sz w:val="6"/>
                <w:szCs w:val="6"/>
                <w:color w:val="auto"/>
              </w:rPr>
            </w:pPr>
          </w:p>
        </w:tc>
        <w:tc>
          <w:tcPr>
            <w:tcW w:w="440" w:type="dxa"/>
            <w:vAlign w:val="bottom"/>
          </w:tcPr>
          <w:p>
            <w:pPr>
              <w:spacing w:after="0"/>
              <w:rPr>
                <w:sz w:val="6"/>
                <w:szCs w:val="6"/>
                <w:color w:val="auto"/>
              </w:rPr>
            </w:pPr>
          </w:p>
        </w:tc>
        <w:tc>
          <w:tcPr>
            <w:tcW w:w="1280" w:type="dxa"/>
            <w:vAlign w:val="bottom"/>
          </w:tcPr>
          <w:p>
            <w:pPr>
              <w:spacing w:after="0"/>
              <w:rPr>
                <w:sz w:val="6"/>
                <w:szCs w:val="6"/>
                <w:color w:val="auto"/>
              </w:rPr>
            </w:pPr>
          </w:p>
        </w:tc>
        <w:tc>
          <w:tcPr>
            <w:tcW w:w="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9"/>
        </w:trPr>
        <w:tc>
          <w:tcPr>
            <w:tcW w:w="8100" w:type="dxa"/>
            <w:vAlign w:val="bottom"/>
          </w:tcPr>
          <w:p>
            <w:pPr>
              <w:spacing w:after="0"/>
              <w:rPr>
                <w:sz w:val="20"/>
                <w:szCs w:val="20"/>
                <w:color w:val="auto"/>
              </w:rPr>
            </w:pPr>
            <w:r>
              <w:rPr>
                <w:rFonts w:ascii="Arial" w:cs="Arial" w:eastAsia="Arial" w:hAnsi="Arial"/>
                <w:sz w:val="15"/>
                <w:szCs w:val="15"/>
                <w:color w:val="auto"/>
              </w:rPr>
              <w:t>recommendations for compensation levels for our executive officers and non-employee directors. In addition, the</w:t>
            </w:r>
          </w:p>
        </w:tc>
        <w:tc>
          <w:tcPr>
            <w:tcW w:w="440" w:type="dxa"/>
            <w:vAlign w:val="bottom"/>
          </w:tcPr>
          <w:p>
            <w:pPr>
              <w:spacing w:after="0"/>
              <w:rPr>
                <w:sz w:val="15"/>
                <w:szCs w:val="15"/>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Board of Directors</w:t>
            </w: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8100" w:type="dxa"/>
            <w:vAlign w:val="bottom"/>
          </w:tcPr>
          <w:p>
            <w:pPr>
              <w:spacing w:after="0"/>
              <w:rPr>
                <w:sz w:val="20"/>
                <w:szCs w:val="20"/>
                <w:color w:val="auto"/>
              </w:rPr>
            </w:pPr>
            <w:r>
              <w:rPr>
                <w:rFonts w:ascii="Arial" w:cs="Arial" w:eastAsia="Arial" w:hAnsi="Arial"/>
                <w:sz w:val="15"/>
                <w:szCs w:val="15"/>
                <w:color w:val="auto"/>
              </w:rPr>
              <w:t>Compensation Consultant provided data and other information regarding competitive compensation programs and</w:t>
            </w:r>
          </w:p>
        </w:tc>
        <w:tc>
          <w:tcPr>
            <w:tcW w:w="440" w:type="dxa"/>
            <w:vAlign w:val="bottom"/>
          </w:tcPr>
          <w:p>
            <w:pPr>
              <w:spacing w:after="0"/>
              <w:rPr>
                <w:sz w:val="15"/>
                <w:szCs w:val="15"/>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Compensation</w:t>
            </w: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8100" w:type="dxa"/>
            <w:vAlign w:val="bottom"/>
          </w:tcPr>
          <w:p>
            <w:pPr>
              <w:spacing w:after="0"/>
              <w:rPr>
                <w:sz w:val="20"/>
                <w:szCs w:val="20"/>
                <w:color w:val="auto"/>
              </w:rPr>
            </w:pPr>
            <w:r>
              <w:rPr>
                <w:rFonts w:ascii="Arial" w:cs="Arial" w:eastAsia="Arial" w:hAnsi="Arial"/>
                <w:sz w:val="15"/>
                <w:szCs w:val="15"/>
                <w:color w:val="auto"/>
              </w:rPr>
              <w:t>policies, as well as information concerning compensation plan design and regulatory developments. The</w:t>
            </w:r>
          </w:p>
        </w:tc>
        <w:tc>
          <w:tcPr>
            <w:tcW w:w="440" w:type="dxa"/>
            <w:vAlign w:val="bottom"/>
          </w:tcPr>
          <w:p>
            <w:pPr>
              <w:spacing w:after="0"/>
              <w:rPr>
                <w:sz w:val="15"/>
                <w:szCs w:val="15"/>
                <w:color w:val="auto"/>
              </w:rPr>
            </w:pPr>
          </w:p>
        </w:tc>
        <w:tc>
          <w:tcPr>
            <w:tcW w:w="1280" w:type="dxa"/>
            <w:vAlign w:val="bottom"/>
            <w:vMerge w:val="restart"/>
          </w:tcPr>
          <w:p>
            <w:pPr>
              <w:ind w:left="140"/>
              <w:spacing w:after="0"/>
              <w:rPr>
                <w:sz w:val="20"/>
                <w:szCs w:val="20"/>
                <w:color w:val="auto"/>
              </w:rPr>
            </w:pPr>
            <w:r>
              <w:rPr>
                <w:rFonts w:ascii="Arial" w:cs="Arial" w:eastAsia="Arial" w:hAnsi="Arial"/>
                <w:sz w:val="12"/>
                <w:szCs w:val="12"/>
                <w:b w:val="1"/>
                <w:bCs w:val="1"/>
                <w:color w:val="FFFFFF"/>
              </w:rPr>
              <w:t>Compensation</w:t>
            </w: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1"/>
        </w:trPr>
        <w:tc>
          <w:tcPr>
            <w:tcW w:w="8100" w:type="dxa"/>
            <w:vAlign w:val="bottom"/>
            <w:vMerge w:val="restart"/>
          </w:tcPr>
          <w:p>
            <w:pPr>
              <w:spacing w:after="0"/>
              <w:rPr>
                <w:sz w:val="20"/>
                <w:szCs w:val="20"/>
                <w:color w:val="auto"/>
              </w:rPr>
            </w:pPr>
            <w:r>
              <w:rPr>
                <w:rFonts w:ascii="Arial" w:cs="Arial" w:eastAsia="Arial" w:hAnsi="Arial"/>
                <w:sz w:val="15"/>
                <w:szCs w:val="15"/>
                <w:color w:val="auto"/>
              </w:rPr>
              <w:t>Compensation Consultant also assisted in the annual review of our peer group, as discussed in “</w:t>
            </w:r>
            <w:r>
              <w:rPr>
                <w:rFonts w:ascii="Arial" w:cs="Arial" w:eastAsia="Arial" w:hAnsi="Arial"/>
                <w:sz w:val="15"/>
                <w:szCs w:val="15"/>
                <w:i w:val="1"/>
                <w:iCs w:val="1"/>
                <w:color w:val="auto"/>
              </w:rPr>
              <w:t>Benchmarking</w:t>
            </w:r>
            <w:r>
              <w:rPr>
                <w:rFonts w:ascii="Arial" w:cs="Arial" w:eastAsia="Arial" w:hAnsi="Arial"/>
                <w:sz w:val="15"/>
                <w:szCs w:val="15"/>
                <w:color w:val="auto"/>
              </w:rPr>
              <w:t>.”</w:t>
            </w:r>
          </w:p>
        </w:tc>
        <w:tc>
          <w:tcPr>
            <w:tcW w:w="44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0"/>
        </w:trPr>
        <w:tc>
          <w:tcPr>
            <w:tcW w:w="8100" w:type="dxa"/>
            <w:vAlign w:val="bottom"/>
            <w:vMerge w:val="continue"/>
          </w:tcPr>
          <w:p>
            <w:pPr>
              <w:spacing w:after="0"/>
              <w:rPr>
                <w:sz w:val="10"/>
                <w:szCs w:val="10"/>
                <w:color w:val="auto"/>
              </w:rPr>
            </w:pPr>
          </w:p>
        </w:tc>
        <w:tc>
          <w:tcPr>
            <w:tcW w:w="440" w:type="dxa"/>
            <w:vAlign w:val="bottom"/>
          </w:tcPr>
          <w:p>
            <w:pPr>
              <w:spacing w:after="0"/>
              <w:rPr>
                <w:sz w:val="10"/>
                <w:szCs w:val="10"/>
                <w:color w:val="auto"/>
              </w:rPr>
            </w:pPr>
          </w:p>
        </w:tc>
        <w:tc>
          <w:tcPr>
            <w:tcW w:w="1280" w:type="dxa"/>
            <w:vAlign w:val="bottom"/>
          </w:tcPr>
          <w:p>
            <w:pPr>
              <w:ind w:left="140"/>
              <w:spacing w:after="0" w:line="120" w:lineRule="exact"/>
              <w:rPr>
                <w:sz w:val="20"/>
                <w:szCs w:val="20"/>
                <w:color w:val="auto"/>
              </w:rPr>
            </w:pPr>
            <w:r>
              <w:rPr>
                <w:rFonts w:ascii="Arial" w:cs="Arial" w:eastAsia="Arial" w:hAnsi="Arial"/>
                <w:sz w:val="12"/>
                <w:szCs w:val="12"/>
                <w:b w:val="1"/>
                <w:bCs w:val="1"/>
                <w:color w:val="FFFFFF"/>
              </w:rPr>
              <w:t>Discussion and</w:t>
            </w: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6"/>
        </w:trPr>
        <w:tc>
          <w:tcPr>
            <w:tcW w:w="8100" w:type="dxa"/>
            <w:vAlign w:val="bottom"/>
          </w:tcPr>
          <w:p>
            <w:pPr>
              <w:spacing w:after="0" w:line="167" w:lineRule="exact"/>
              <w:rPr>
                <w:sz w:val="20"/>
                <w:szCs w:val="20"/>
                <w:color w:val="auto"/>
              </w:rPr>
            </w:pPr>
            <w:r>
              <w:rPr>
                <w:rFonts w:ascii="Arial" w:cs="Arial" w:eastAsia="Arial" w:hAnsi="Arial"/>
                <w:sz w:val="15"/>
                <w:szCs w:val="15"/>
                <w:color w:val="auto"/>
              </w:rPr>
              <w:t>Finally, the Compensation Consultant conducted a risk assessment of the Company’s executive compensation</w:t>
            </w:r>
          </w:p>
        </w:tc>
        <w:tc>
          <w:tcPr>
            <w:tcW w:w="440" w:type="dxa"/>
            <w:vAlign w:val="bottom"/>
          </w:tcPr>
          <w:p>
            <w:pPr>
              <w:spacing w:after="0"/>
              <w:rPr>
                <w:sz w:val="14"/>
                <w:szCs w:val="14"/>
                <w:color w:val="auto"/>
              </w:rPr>
            </w:pPr>
          </w:p>
        </w:tc>
        <w:tc>
          <w:tcPr>
            <w:tcW w:w="1280" w:type="dxa"/>
            <w:vAlign w:val="bottom"/>
          </w:tcPr>
          <w:p>
            <w:pPr>
              <w:ind w:left="140"/>
              <w:spacing w:after="0"/>
              <w:rPr>
                <w:sz w:val="20"/>
                <w:szCs w:val="20"/>
                <w:color w:val="auto"/>
              </w:rPr>
            </w:pPr>
            <w:r>
              <w:rPr>
                <w:rFonts w:ascii="Arial" w:cs="Arial" w:eastAsia="Arial" w:hAnsi="Arial"/>
                <w:sz w:val="12"/>
                <w:szCs w:val="12"/>
                <w:b w:val="1"/>
                <w:bCs w:val="1"/>
                <w:color w:val="FFFFFF"/>
              </w:rPr>
              <w:t>Analysis</w:t>
            </w: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8100" w:type="dxa"/>
            <w:vAlign w:val="bottom"/>
          </w:tcPr>
          <w:p>
            <w:pPr>
              <w:spacing w:after="0"/>
              <w:rPr>
                <w:sz w:val="20"/>
                <w:szCs w:val="20"/>
                <w:color w:val="auto"/>
              </w:rPr>
            </w:pPr>
            <w:r>
              <w:rPr>
                <w:rFonts w:ascii="Arial" w:cs="Arial" w:eastAsia="Arial" w:hAnsi="Arial"/>
                <w:sz w:val="15"/>
                <w:szCs w:val="15"/>
                <w:color w:val="auto"/>
              </w:rPr>
              <w:t>policies and practices.</w:t>
            </w:r>
          </w:p>
        </w:tc>
        <w:tc>
          <w:tcPr>
            <w:tcW w:w="440" w:type="dxa"/>
            <w:vAlign w:val="bottom"/>
          </w:tcPr>
          <w:p>
            <w:pPr>
              <w:spacing w:after="0"/>
              <w:rPr>
                <w:sz w:val="17"/>
                <w:szCs w:val="17"/>
                <w:color w:val="auto"/>
              </w:rPr>
            </w:pPr>
          </w:p>
        </w:tc>
        <w:tc>
          <w:tcPr>
            <w:tcW w:w="1280" w:type="dxa"/>
            <w:vAlign w:val="bottom"/>
            <w:vMerge w:val="restart"/>
          </w:tcPr>
          <w:p>
            <w:pPr>
              <w:ind w:left="140"/>
              <w:spacing w:after="0"/>
              <w:rPr>
                <w:sz w:val="20"/>
                <w:szCs w:val="20"/>
                <w:color w:val="auto"/>
              </w:rPr>
            </w:pPr>
            <w:r>
              <w:rPr>
                <w:rFonts w:ascii="Arial" w:cs="Arial" w:eastAsia="Arial" w:hAnsi="Arial"/>
                <w:sz w:val="12"/>
                <w:szCs w:val="12"/>
                <w:color w:val="FFFFFF"/>
              </w:rPr>
              <w:t>Report of the</w:t>
            </w: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2"/>
        </w:trPr>
        <w:tc>
          <w:tcPr>
            <w:tcW w:w="8100" w:type="dxa"/>
            <w:vAlign w:val="bottom"/>
          </w:tcPr>
          <w:p>
            <w:pPr>
              <w:spacing w:after="0"/>
              <w:rPr>
                <w:sz w:val="5"/>
                <w:szCs w:val="5"/>
                <w:color w:val="auto"/>
              </w:rPr>
            </w:pPr>
          </w:p>
        </w:tc>
        <w:tc>
          <w:tcPr>
            <w:tcW w:w="440" w:type="dxa"/>
            <w:vAlign w:val="bottom"/>
          </w:tcPr>
          <w:p>
            <w:pPr>
              <w:spacing w:after="0"/>
              <w:rPr>
                <w:sz w:val="5"/>
                <w:szCs w:val="5"/>
                <w:color w:val="auto"/>
              </w:rPr>
            </w:pPr>
          </w:p>
        </w:tc>
        <w:tc>
          <w:tcPr>
            <w:tcW w:w="128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1"/>
        </w:trPr>
        <w:tc>
          <w:tcPr>
            <w:tcW w:w="8100" w:type="dxa"/>
            <w:vAlign w:val="bottom"/>
          </w:tcPr>
          <w:p>
            <w:pPr>
              <w:spacing w:after="0" w:line="171" w:lineRule="exact"/>
              <w:rPr>
                <w:sz w:val="20"/>
                <w:szCs w:val="20"/>
                <w:color w:val="auto"/>
              </w:rPr>
            </w:pPr>
            <w:r>
              <w:rPr>
                <w:rFonts w:ascii="Arial" w:cs="Arial" w:eastAsia="Arial" w:hAnsi="Arial"/>
                <w:sz w:val="15"/>
                <w:szCs w:val="15"/>
                <w:color w:val="auto"/>
              </w:rPr>
              <w:t>The Compensation Committee has assessed the independence of the Compensation Consultant pursuant to SEC</w:t>
            </w:r>
          </w:p>
        </w:tc>
        <w:tc>
          <w:tcPr>
            <w:tcW w:w="440" w:type="dxa"/>
            <w:vAlign w:val="bottom"/>
          </w:tcPr>
          <w:p>
            <w:pPr>
              <w:spacing w:after="0"/>
              <w:rPr>
                <w:sz w:val="14"/>
                <w:szCs w:val="14"/>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Compensation</w:t>
            </w: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8100" w:type="dxa"/>
            <w:vAlign w:val="bottom"/>
            <w:vMerge w:val="restart"/>
          </w:tcPr>
          <w:p>
            <w:pPr>
              <w:spacing w:after="0"/>
              <w:rPr>
                <w:sz w:val="20"/>
                <w:szCs w:val="20"/>
                <w:color w:val="auto"/>
              </w:rPr>
            </w:pPr>
            <w:r>
              <w:rPr>
                <w:rFonts w:ascii="Arial" w:cs="Arial" w:eastAsia="Arial" w:hAnsi="Arial"/>
                <w:sz w:val="15"/>
                <w:szCs w:val="15"/>
                <w:color w:val="auto"/>
              </w:rPr>
              <w:t>rules and has determined that the work provided by the Compensation Consultant did not raise a conflict of interest.</w:t>
            </w:r>
          </w:p>
        </w:tc>
        <w:tc>
          <w:tcPr>
            <w:tcW w:w="440" w:type="dxa"/>
            <w:vAlign w:val="bottom"/>
          </w:tcPr>
          <w:p>
            <w:pPr>
              <w:spacing w:after="0"/>
              <w:rPr>
                <w:sz w:val="7"/>
                <w:szCs w:val="7"/>
                <w:color w:val="auto"/>
              </w:rPr>
            </w:pPr>
          </w:p>
        </w:tc>
        <w:tc>
          <w:tcPr>
            <w:tcW w:w="1280" w:type="dxa"/>
            <w:vAlign w:val="bottom"/>
          </w:tcPr>
          <w:p>
            <w:pPr>
              <w:ind w:left="140"/>
              <w:spacing w:after="0" w:line="85" w:lineRule="exact"/>
              <w:rPr>
                <w:sz w:val="20"/>
                <w:szCs w:val="20"/>
                <w:color w:val="auto"/>
              </w:rPr>
            </w:pPr>
            <w:r>
              <w:rPr>
                <w:rFonts w:ascii="Arial" w:cs="Arial" w:eastAsia="Arial" w:hAnsi="Arial"/>
                <w:sz w:val="8"/>
                <w:szCs w:val="8"/>
                <w:color w:val="FFFFFF"/>
              </w:rPr>
              <w:t>and Human</w:t>
            </w:r>
          </w:p>
        </w:tc>
        <w:tc>
          <w:tcPr>
            <w:tcW w:w="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8"/>
        </w:trPr>
        <w:tc>
          <w:tcPr>
            <w:tcW w:w="8100" w:type="dxa"/>
            <w:vAlign w:val="bottom"/>
            <w:vMerge w:val="continue"/>
          </w:tcPr>
          <w:p>
            <w:pPr>
              <w:spacing w:after="0"/>
              <w:rPr>
                <w:sz w:val="11"/>
                <w:szCs w:val="11"/>
                <w:color w:val="auto"/>
              </w:rPr>
            </w:pPr>
          </w:p>
        </w:tc>
        <w:tc>
          <w:tcPr>
            <w:tcW w:w="440" w:type="dxa"/>
            <w:vAlign w:val="bottom"/>
          </w:tcPr>
          <w:p>
            <w:pPr>
              <w:spacing w:after="0"/>
              <w:rPr>
                <w:sz w:val="11"/>
                <w:szCs w:val="11"/>
                <w:color w:val="auto"/>
              </w:rPr>
            </w:pPr>
          </w:p>
        </w:tc>
        <w:tc>
          <w:tcPr>
            <w:tcW w:w="1280" w:type="dxa"/>
            <w:vAlign w:val="bottom"/>
          </w:tcPr>
          <w:p>
            <w:pPr>
              <w:ind w:left="140"/>
              <w:spacing w:after="0" w:line="128" w:lineRule="exact"/>
              <w:rPr>
                <w:sz w:val="20"/>
                <w:szCs w:val="20"/>
                <w:color w:val="auto"/>
              </w:rPr>
            </w:pPr>
            <w:r>
              <w:rPr>
                <w:rFonts w:ascii="Arial" w:cs="Arial" w:eastAsia="Arial" w:hAnsi="Arial"/>
                <w:sz w:val="12"/>
                <w:szCs w:val="12"/>
                <w:color w:val="FFFFFF"/>
              </w:rPr>
              <w:t>Resources</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80" w:type="dxa"/>
            <w:vAlign w:val="bottom"/>
          </w:tcPr>
          <w:p>
            <w:pPr>
              <w:ind w:left="140"/>
              <w:spacing w:after="0" w:line="128" w:lineRule="exact"/>
              <w:rPr>
                <w:sz w:val="20"/>
                <w:szCs w:val="20"/>
                <w:color w:val="auto"/>
              </w:rPr>
            </w:pPr>
            <w:r>
              <w:rPr>
                <w:rFonts w:ascii="Arial" w:cs="Arial" w:eastAsia="Arial" w:hAnsi="Arial"/>
                <w:sz w:val="12"/>
                <w:szCs w:val="12"/>
                <w:color w:val="FFFFFF"/>
              </w:rPr>
              <w:t>Committee of the</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8100" w:type="dxa"/>
            <w:vAlign w:val="bottom"/>
            <w:vMerge w:val="restart"/>
          </w:tcPr>
          <w:p>
            <w:pPr>
              <w:spacing w:after="0"/>
              <w:rPr>
                <w:sz w:val="20"/>
                <w:szCs w:val="20"/>
                <w:color w:val="auto"/>
              </w:rPr>
            </w:pPr>
            <w:r>
              <w:rPr>
                <w:rFonts w:ascii="Arial" w:cs="Arial" w:eastAsia="Arial" w:hAnsi="Arial"/>
                <w:sz w:val="17"/>
                <w:szCs w:val="17"/>
                <w:b w:val="1"/>
                <w:bCs w:val="1"/>
                <w:color w:val="002B5F"/>
              </w:rPr>
              <w:t>BENCHMARKING</w:t>
            </w:r>
          </w:p>
        </w:tc>
        <w:tc>
          <w:tcPr>
            <w:tcW w:w="440" w:type="dxa"/>
            <w:vAlign w:val="bottom"/>
          </w:tcPr>
          <w:p>
            <w:pPr>
              <w:spacing w:after="0"/>
              <w:rPr>
                <w:sz w:val="13"/>
                <w:szCs w:val="13"/>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Board of Directors</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810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0800"/>
          </w:cols>
          <w:pgMar w:left="320" w:top="464" w:right="779" w:bottom="1440" w:gutter="0" w:footer="0" w:header="0"/>
        </w:sectPr>
      </w:pPr>
    </w:p>
    <w:p>
      <w:pPr>
        <w:spacing w:after="0" w:line="65" w:lineRule="exact"/>
        <w:rPr>
          <w:sz w:val="20"/>
          <w:szCs w:val="20"/>
          <w:color w:val="auto"/>
        </w:rPr>
      </w:pPr>
    </w:p>
    <w:p>
      <w:pPr>
        <w:ind w:left="540" w:right="200"/>
        <w:spacing w:after="0" w:line="261" w:lineRule="auto"/>
        <w:rPr>
          <w:sz w:val="20"/>
          <w:szCs w:val="20"/>
          <w:color w:val="auto"/>
        </w:rPr>
      </w:pPr>
      <w:r>
        <w:rPr>
          <w:rFonts w:ascii="Arial" w:cs="Arial" w:eastAsia="Arial" w:hAnsi="Arial"/>
          <w:sz w:val="15"/>
          <w:szCs w:val="15"/>
          <w:color w:val="auto"/>
        </w:rPr>
        <w:t>We believe that a competitive pay package is a critical tool in our efforts to attract and retain qualified executives. The Compensation Committee’s goal is to ensure that we continue to measure our compensation practices against organizations that compete with us for key executives, that are considered important benchmarks in our industry and that are comparable in size and scope to our business.</w:t>
      </w:r>
    </w:p>
    <w:p>
      <w:pPr>
        <w:spacing w:after="0" w:line="67" w:lineRule="exact"/>
        <w:rPr>
          <w:sz w:val="20"/>
          <w:szCs w:val="20"/>
          <w:color w:val="auto"/>
        </w:rPr>
      </w:pPr>
    </w:p>
    <w:p>
      <w:pPr>
        <w:ind w:left="540" w:right="200"/>
        <w:spacing w:after="0" w:line="255" w:lineRule="auto"/>
        <w:rPr>
          <w:sz w:val="20"/>
          <w:szCs w:val="20"/>
          <w:color w:val="auto"/>
        </w:rPr>
      </w:pPr>
      <w:r>
        <w:rPr>
          <w:rFonts w:ascii="Arial" w:cs="Arial" w:eastAsia="Arial" w:hAnsi="Arial"/>
          <w:sz w:val="15"/>
          <w:szCs w:val="15"/>
          <w:color w:val="auto"/>
        </w:rPr>
        <w:t>During 2025, the Compensation Committee engaged the Compensation Consultant to prepare analyses to benchmark and assess our overall compensation program and practices against marketplace standards. The Compensation Committee’s purpose in requesting these analyses was to be provided with a general market perspective on executive officer and director pay levels and compensation design practices, and to ensure that the Company’s practices are competitive with our peers. Although the Compensation Committee believes the analyses provide a representative view of the market in which the Company competes for talent, the analyses are among several considerations used by the Compensation Committee in assessing executive and director compensation.</w:t>
      </w:r>
    </w:p>
    <w:p>
      <w:pPr>
        <w:spacing w:after="0" w:line="70" w:lineRule="exact"/>
        <w:rPr>
          <w:sz w:val="20"/>
          <w:szCs w:val="20"/>
          <w:color w:val="auto"/>
        </w:rPr>
      </w:pPr>
    </w:p>
    <w:p>
      <w:pPr>
        <w:jc w:val="both"/>
        <w:ind w:left="540" w:right="120"/>
        <w:spacing w:after="0" w:line="255" w:lineRule="auto"/>
        <w:rPr>
          <w:sz w:val="20"/>
          <w:szCs w:val="20"/>
          <w:color w:val="auto"/>
        </w:rPr>
      </w:pPr>
      <w:r>
        <w:rPr>
          <w:rFonts w:ascii="Arial" w:cs="Arial" w:eastAsia="Arial" w:hAnsi="Arial"/>
          <w:sz w:val="15"/>
          <w:szCs w:val="15"/>
          <w:color w:val="auto"/>
        </w:rPr>
        <w:t>Working with the Compensation Consultant, the Compensation Committee reviewed 2025 total target compensation for Messrs. Steinmeier and Audette against the compensation levels of chief executive officers, presidents and chief financial officers of companies within our peer group, respectively, and for Messrs. Enyedi and Gates and</w:t>
      </w:r>
    </w:p>
    <w:p>
      <w:pPr>
        <w:ind w:left="540" w:right="200"/>
        <w:spacing w:after="0" w:line="255" w:lineRule="auto"/>
        <w:rPr>
          <w:sz w:val="20"/>
          <w:szCs w:val="20"/>
          <w:color w:val="auto"/>
        </w:rPr>
      </w:pPr>
      <w:r>
        <w:rPr>
          <w:rFonts w:ascii="Arial" w:cs="Arial" w:eastAsia="Arial" w:hAnsi="Arial"/>
          <w:sz w:val="15"/>
          <w:szCs w:val="15"/>
          <w:color w:val="auto"/>
        </w:rPr>
        <w:t>Ms. Jambusaria against the compensation levels from Equilar’s Executive Compensation survey covering financial services and investment services companies. In 2025, an additional market review was conducted on Chief Technology &amp; Information Officer roles. This review considered compensation levels from survey data, including survey data that isolated data for technology-industry companies of comparable revenue size to the Company. The</w:t>
      </w:r>
    </w:p>
    <w:p>
      <w:pPr>
        <w:spacing w:after="0" w:line="20" w:lineRule="exact"/>
        <w:rPr>
          <w:sz w:val="20"/>
          <w:szCs w:val="20"/>
          <w:color w:val="auto"/>
        </w:rPr>
      </w:pPr>
      <w:r>
        <w:rPr>
          <w:sz w:val="20"/>
          <w:szCs w:val="20"/>
          <w:color w:val="auto"/>
        </w:rPr>
        <w:br w:type="column"/>
      </w:r>
    </w:p>
    <w:p>
      <w:pPr>
        <w:spacing w:after="0" w:line="237" w:lineRule="auto"/>
        <w:rPr>
          <w:sz w:val="20"/>
          <w:szCs w:val="20"/>
          <w:color w:val="auto"/>
        </w:rPr>
      </w:pPr>
      <w:r>
        <w:rPr>
          <w:rFonts w:ascii="Arial" w:cs="Arial" w:eastAsia="Arial" w:hAnsi="Arial"/>
          <w:sz w:val="12"/>
          <w:szCs w:val="12"/>
          <w:color w:val="FFFFFF"/>
        </w:rPr>
        <w:t>Compensation of</w:t>
      </w:r>
    </w:p>
    <w:p>
      <w:pPr>
        <w:spacing w:after="0" w:line="222" w:lineRule="auto"/>
        <w:rPr>
          <w:sz w:val="20"/>
          <w:szCs w:val="20"/>
          <w:color w:val="auto"/>
        </w:rPr>
      </w:pPr>
      <w:r>
        <w:rPr>
          <w:rFonts w:ascii="Arial" w:cs="Arial" w:eastAsia="Arial" w:hAnsi="Arial"/>
          <w:sz w:val="12"/>
          <w:szCs w:val="12"/>
          <w:color w:val="FFFFFF"/>
        </w:rPr>
        <w:t>Named Executive</w:t>
      </w:r>
    </w:p>
    <w:p>
      <w:pPr>
        <w:spacing w:after="0"/>
        <w:rPr>
          <w:sz w:val="20"/>
          <w:szCs w:val="20"/>
          <w:color w:val="auto"/>
        </w:rPr>
      </w:pPr>
      <w:r>
        <w:rPr>
          <w:rFonts w:ascii="Arial" w:cs="Arial" w:eastAsia="Arial" w:hAnsi="Arial"/>
          <w:sz w:val="12"/>
          <w:szCs w:val="12"/>
          <w:color w:val="FFFFFF"/>
        </w:rPr>
        <w:t>Officers</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Pay Versus</w:t>
      </w:r>
    </w:p>
    <w:p>
      <w:pPr>
        <w:spacing w:after="0" w:line="224" w:lineRule="auto"/>
        <w:rPr>
          <w:sz w:val="20"/>
          <w:szCs w:val="20"/>
          <w:color w:val="auto"/>
        </w:rPr>
      </w:pPr>
      <w:r>
        <w:rPr>
          <w:rFonts w:ascii="Arial" w:cs="Arial" w:eastAsia="Arial" w:hAnsi="Arial"/>
          <w:sz w:val="12"/>
          <w:szCs w:val="12"/>
          <w:color w:val="FFFFFF"/>
        </w:rPr>
        <w:t>Performance</w:t>
      </w:r>
    </w:p>
    <w:p>
      <w:pPr>
        <w:spacing w:after="0"/>
        <w:rPr>
          <w:sz w:val="20"/>
          <w:szCs w:val="20"/>
          <w:color w:val="auto"/>
        </w:rPr>
      </w:pPr>
      <w:r>
        <w:rPr>
          <w:rFonts w:ascii="Arial" w:cs="Arial" w:eastAsia="Arial" w:hAnsi="Arial"/>
          <w:sz w:val="12"/>
          <w:szCs w:val="12"/>
          <w:color w:val="FFFFFF"/>
        </w:rPr>
        <w:t>Disclosure</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Security</w:t>
      </w:r>
    </w:p>
    <w:p>
      <w:pPr>
        <w:spacing w:after="0" w:line="224" w:lineRule="auto"/>
        <w:rPr>
          <w:sz w:val="20"/>
          <w:szCs w:val="20"/>
          <w:color w:val="auto"/>
        </w:rPr>
      </w:pPr>
      <w:r>
        <w:rPr>
          <w:rFonts w:ascii="Arial" w:cs="Arial" w:eastAsia="Arial" w:hAnsi="Arial"/>
          <w:sz w:val="12"/>
          <w:szCs w:val="12"/>
          <w:color w:val="FFFFFF"/>
        </w:rPr>
        <w:t>Ownership of</w:t>
      </w:r>
    </w:p>
    <w:p>
      <w:pPr>
        <w:spacing w:after="0" w:line="222" w:lineRule="auto"/>
        <w:rPr>
          <w:sz w:val="20"/>
          <w:szCs w:val="20"/>
          <w:color w:val="auto"/>
        </w:rPr>
      </w:pPr>
      <w:r>
        <w:rPr>
          <w:rFonts w:ascii="Arial" w:cs="Arial" w:eastAsia="Arial" w:hAnsi="Arial"/>
          <w:sz w:val="12"/>
          <w:szCs w:val="12"/>
          <w:color w:val="FFFFFF"/>
        </w:rPr>
        <w:t>Certain Beneficial</w:t>
      </w:r>
    </w:p>
    <w:p>
      <w:pPr>
        <w:spacing w:after="0" w:line="222" w:lineRule="auto"/>
        <w:rPr>
          <w:sz w:val="20"/>
          <w:szCs w:val="20"/>
          <w:color w:val="auto"/>
        </w:rPr>
      </w:pPr>
      <w:r>
        <w:rPr>
          <w:rFonts w:ascii="Arial" w:cs="Arial" w:eastAsia="Arial" w:hAnsi="Arial"/>
          <w:sz w:val="12"/>
          <w:szCs w:val="12"/>
          <w:color w:val="FFFFFF"/>
        </w:rPr>
        <w:t>Owners and</w:t>
      </w:r>
    </w:p>
    <w:p>
      <w:pPr>
        <w:spacing w:after="0"/>
        <w:rPr>
          <w:sz w:val="20"/>
          <w:szCs w:val="20"/>
          <w:color w:val="auto"/>
        </w:rPr>
      </w:pPr>
      <w:r>
        <w:rPr>
          <w:rFonts w:ascii="Arial" w:cs="Arial" w:eastAsia="Arial" w:hAnsi="Arial"/>
          <w:sz w:val="12"/>
          <w:szCs w:val="12"/>
          <w:color w:val="FFFFFF"/>
        </w:rPr>
        <w:t>Management</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Certain</w:t>
      </w:r>
    </w:p>
    <w:p>
      <w:pPr>
        <w:spacing w:after="0" w:line="224" w:lineRule="auto"/>
        <w:rPr>
          <w:sz w:val="20"/>
          <w:szCs w:val="20"/>
          <w:color w:val="auto"/>
        </w:rPr>
      </w:pPr>
      <w:r>
        <w:rPr>
          <w:rFonts w:ascii="Arial" w:cs="Arial" w:eastAsia="Arial" w:hAnsi="Arial"/>
          <w:sz w:val="12"/>
          <w:szCs w:val="12"/>
          <w:color w:val="FFFFFF"/>
        </w:rPr>
        <w:t>Relationships and</w:t>
      </w:r>
    </w:p>
    <w:p>
      <w:pPr>
        <w:spacing w:after="0" w:line="222" w:lineRule="auto"/>
        <w:rPr>
          <w:sz w:val="20"/>
          <w:szCs w:val="20"/>
          <w:color w:val="auto"/>
        </w:rPr>
      </w:pPr>
      <w:r>
        <w:rPr>
          <w:rFonts w:ascii="Arial" w:cs="Arial" w:eastAsia="Arial" w:hAnsi="Arial"/>
          <w:sz w:val="12"/>
          <w:szCs w:val="12"/>
          <w:color w:val="FFFFFF"/>
        </w:rPr>
        <w:t>Related Party</w:t>
      </w:r>
    </w:p>
    <w:p>
      <w:pPr>
        <w:spacing w:after="0"/>
        <w:rPr>
          <w:sz w:val="20"/>
          <w:szCs w:val="20"/>
          <w:color w:val="auto"/>
        </w:rPr>
      </w:pPr>
      <w:r>
        <w:rPr>
          <w:rFonts w:ascii="Arial" w:cs="Arial" w:eastAsia="Arial" w:hAnsi="Arial"/>
          <w:sz w:val="12"/>
          <w:szCs w:val="12"/>
          <w:color w:val="FFFFFF"/>
        </w:rPr>
        <w:t>Transactions</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Proposal 2</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FFFFFF"/>
        </w:rPr>
        <w:t>Report of the</w:t>
      </w:r>
    </w:p>
    <w:p>
      <w:pPr>
        <w:spacing w:after="0" w:line="224" w:lineRule="auto"/>
        <w:rPr>
          <w:sz w:val="20"/>
          <w:szCs w:val="20"/>
          <w:color w:val="auto"/>
        </w:rPr>
      </w:pPr>
      <w:r>
        <w:rPr>
          <w:rFonts w:ascii="Arial" w:cs="Arial" w:eastAsia="Arial" w:hAnsi="Arial"/>
          <w:sz w:val="12"/>
          <w:szCs w:val="12"/>
          <w:color w:val="FFFFFF"/>
        </w:rPr>
        <w:t>Audit and Risk</w:t>
      </w:r>
    </w:p>
    <w:p>
      <w:pPr>
        <w:spacing w:after="0" w:line="222" w:lineRule="auto"/>
        <w:rPr>
          <w:sz w:val="20"/>
          <w:szCs w:val="20"/>
          <w:color w:val="auto"/>
        </w:rPr>
      </w:pPr>
      <w:r>
        <w:rPr>
          <w:rFonts w:ascii="Arial" w:cs="Arial" w:eastAsia="Arial" w:hAnsi="Arial"/>
          <w:sz w:val="12"/>
          <w:szCs w:val="12"/>
          <w:color w:val="FFFFFF"/>
        </w:rPr>
        <w:t>Committee of the</w:t>
      </w:r>
    </w:p>
    <w:p>
      <w:pPr>
        <w:spacing w:after="0"/>
        <w:rPr>
          <w:sz w:val="20"/>
          <w:szCs w:val="20"/>
          <w:color w:val="auto"/>
        </w:rPr>
      </w:pPr>
      <w:r>
        <w:rPr>
          <w:rFonts w:ascii="Arial" w:cs="Arial" w:eastAsia="Arial" w:hAnsi="Arial"/>
          <w:sz w:val="11"/>
          <w:szCs w:val="11"/>
          <w:color w:val="FFFFFF"/>
        </w:rPr>
        <w:t>Board of Directors</w:t>
      </w:r>
    </w:p>
    <w:p>
      <w:pPr>
        <w:spacing w:after="0" w:line="155" w:lineRule="exact"/>
        <w:rPr>
          <w:sz w:val="20"/>
          <w:szCs w:val="20"/>
          <w:color w:val="auto"/>
        </w:rPr>
      </w:pPr>
    </w:p>
    <w:p>
      <w:pPr>
        <w:spacing w:after="0"/>
        <w:rPr>
          <w:sz w:val="20"/>
          <w:szCs w:val="20"/>
          <w:color w:val="auto"/>
        </w:rPr>
      </w:pPr>
      <w:r>
        <w:rPr>
          <w:rFonts w:ascii="Arial" w:cs="Arial" w:eastAsia="Arial" w:hAnsi="Arial"/>
          <w:sz w:val="12"/>
          <w:szCs w:val="12"/>
          <w:color w:val="FFFFFF"/>
        </w:rPr>
        <w:t>Proposal 3</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FFFFFF"/>
        </w:rPr>
        <w:t>Proposal 4</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FFFFFF"/>
        </w:rPr>
        <w:t>Proposal 5</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FFFFFF"/>
        </w:rPr>
        <w:t>Proposal 6</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FFFFFF"/>
        </w:rPr>
        <w:t>Stockholder</w:t>
      </w:r>
    </w:p>
    <w:p>
      <w:pPr>
        <w:spacing w:after="0" w:line="224" w:lineRule="auto"/>
        <w:rPr>
          <w:sz w:val="20"/>
          <w:szCs w:val="20"/>
          <w:color w:val="auto"/>
        </w:rPr>
      </w:pPr>
      <w:r>
        <w:rPr>
          <w:rFonts w:ascii="Arial" w:cs="Arial" w:eastAsia="Arial" w:hAnsi="Arial"/>
          <w:sz w:val="12"/>
          <w:szCs w:val="12"/>
          <w:color w:val="FFFFFF"/>
        </w:rPr>
        <w:t>Proposals and</w:t>
      </w:r>
    </w:p>
    <w:p>
      <w:pPr>
        <w:spacing w:after="0"/>
        <w:rPr>
          <w:sz w:val="20"/>
          <w:szCs w:val="20"/>
          <w:color w:val="auto"/>
        </w:rPr>
      </w:pPr>
      <w:r>
        <w:rPr>
          <w:rFonts w:ascii="Arial" w:cs="Arial" w:eastAsia="Arial" w:hAnsi="Arial"/>
          <w:sz w:val="12"/>
          <w:szCs w:val="12"/>
          <w:color w:val="FFFFFF"/>
        </w:rPr>
        <w:t>Other Matters</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Delinquent</w:t>
      </w:r>
    </w:p>
    <w:p>
      <w:pPr>
        <w:spacing w:after="0" w:line="224" w:lineRule="auto"/>
        <w:rPr>
          <w:sz w:val="20"/>
          <w:szCs w:val="20"/>
          <w:color w:val="auto"/>
        </w:rPr>
      </w:pPr>
      <w:r>
        <w:rPr>
          <w:rFonts w:ascii="Arial" w:cs="Arial" w:eastAsia="Arial" w:hAnsi="Arial"/>
          <w:sz w:val="12"/>
          <w:szCs w:val="12"/>
          <w:color w:val="FFFFFF"/>
        </w:rPr>
        <w:t>Section 16(a)</w:t>
      </w:r>
    </w:p>
    <w:p>
      <w:pPr>
        <w:spacing w:after="0"/>
        <w:rPr>
          <w:sz w:val="20"/>
          <w:szCs w:val="20"/>
          <w:color w:val="auto"/>
        </w:rPr>
      </w:pPr>
      <w:r>
        <w:rPr>
          <w:rFonts w:ascii="Arial" w:cs="Arial" w:eastAsia="Arial" w:hAnsi="Arial"/>
          <w:sz w:val="12"/>
          <w:szCs w:val="12"/>
          <w:color w:val="FFFFFF"/>
        </w:rPr>
        <w:t>Reports</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Other</w:t>
      </w:r>
    </w:p>
    <w:p>
      <w:pPr>
        <w:spacing w:after="0" w:line="2" w:lineRule="exact"/>
        <w:rPr>
          <w:sz w:val="20"/>
          <w:szCs w:val="20"/>
          <w:color w:val="auto"/>
        </w:rPr>
      </w:pPr>
    </w:p>
    <w:p>
      <w:pPr>
        <w:spacing w:after="0"/>
        <w:rPr>
          <w:sz w:val="20"/>
          <w:szCs w:val="20"/>
          <w:color w:val="auto"/>
        </w:rPr>
      </w:pPr>
      <w:r>
        <w:rPr>
          <w:rFonts w:ascii="Arial" w:cs="Arial" w:eastAsia="Arial" w:hAnsi="Arial"/>
          <w:sz w:val="12"/>
          <w:szCs w:val="12"/>
          <w:color w:val="FFFFFF"/>
        </w:rPr>
        <w:t>Information</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Appendix A</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FFFFFF"/>
        </w:rPr>
        <w:t>Appendix B</w:t>
      </w:r>
    </w:p>
    <w:p>
      <w:pPr>
        <w:spacing w:after="0" w:line="200" w:lineRule="exact"/>
        <w:rPr>
          <w:sz w:val="20"/>
          <w:szCs w:val="20"/>
          <w:color w:val="auto"/>
        </w:rPr>
      </w:pPr>
    </w:p>
    <w:p>
      <w:pPr>
        <w:sectPr>
          <w:pgSz w:w="11900" w:h="16838" w:orient="portrait"/>
          <w:cols w:equalWidth="0" w:num="2">
            <w:col w:w="8500" w:space="720"/>
            <w:col w:w="1580"/>
          </w:cols>
          <w:pgMar w:left="320" w:top="464" w:right="7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6380"/>
        <w:spacing w:after="0"/>
        <w:tabs>
          <w:tab w:leader="none" w:pos="8500" w:val="left"/>
          <w:tab w:leader="none" w:pos="9960" w:val="left"/>
        </w:tabs>
        <w:rPr>
          <w:sz w:val="20"/>
          <w:szCs w:val="20"/>
          <w:color w:val="auto"/>
        </w:rPr>
      </w:pPr>
      <w:r>
        <w:rPr>
          <w:rFonts w:ascii="Arial" w:cs="Arial" w:eastAsia="Arial" w:hAnsi="Arial"/>
          <w:sz w:val="15"/>
          <w:szCs w:val="15"/>
          <w:b w:val="1"/>
          <w:bCs w:val="1"/>
          <w:color w:val="002B5F"/>
        </w:rPr>
        <w:t xml:space="preserve">2026 Proxy Statement  </w:t>
      </w:r>
      <w:r>
        <w:rPr>
          <w:rFonts w:ascii="Arial" w:cs="Arial" w:eastAsia="Arial" w:hAnsi="Arial"/>
          <w:sz w:val="20"/>
          <w:szCs w:val="20"/>
          <w:color w:val="002B5F"/>
        </w:rPr>
        <w:t>|</w:t>
      </w:r>
      <w:r>
        <w:rPr>
          <w:rFonts w:ascii="Arial" w:cs="Arial" w:eastAsia="Arial" w:hAnsi="Arial"/>
          <w:sz w:val="15"/>
          <w:szCs w:val="15"/>
          <w:b w:val="1"/>
          <w:bCs w:val="1"/>
          <w:color w:val="002B5F"/>
        </w:rPr>
        <w:t xml:space="preserve">  55</w:t>
      </w:r>
      <w:r>
        <w:rPr>
          <w:sz w:val="20"/>
          <w:szCs w:val="20"/>
          <w:color w:val="auto"/>
        </w:rPr>
        <w:tab/>
      </w:r>
      <w:r>
        <w:rPr>
          <w:rFonts w:ascii="Arial" w:cs="Arial" w:eastAsia="Arial" w:hAnsi="Arial"/>
          <w:sz w:val="17"/>
          <w:szCs w:val="17"/>
          <w:color w:val="auto"/>
        </w:rPr>
        <w:t xml:space="preserve">    </w:t>
      </w:r>
      <w:r>
        <w:rPr>
          <w:sz w:val="20"/>
          <w:szCs w:val="20"/>
          <w:color w:val="auto"/>
        </w:rPr>
        <w:tab/>
      </w:r>
      <w:r>
        <w:rPr>
          <w:rFonts w:ascii="Arial" w:cs="Arial" w:eastAsia="Arial" w:hAnsi="Arial"/>
          <w:sz w:val="17"/>
          <w:szCs w:val="17"/>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268605</wp:posOffset>
            </wp:positionH>
            <wp:positionV relativeFrom="paragraph">
              <wp:posOffset>-128905</wp:posOffset>
            </wp:positionV>
            <wp:extent cx="762000" cy="971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62000" cy="97155"/>
                    </a:xfrm>
                    <a:prstGeom prst="rect">
                      <a:avLst/>
                    </a:prstGeom>
                    <a:noFill/>
                  </pic:spPr>
                </pic:pic>
              </a:graphicData>
            </a:graphic>
          </wp:anchor>
        </w:drawing>
      </w:r>
    </w:p>
    <w:p>
      <w:pPr>
        <w:sectPr>
          <w:pgSz w:w="11900" w:h="16838" w:orient="portrait"/>
          <w:cols w:equalWidth="0" w:num="1">
            <w:col w:w="10800"/>
          </w:cols>
          <w:pgMar w:left="320" w:top="464" w:right="779" w:bottom="1440" w:gutter="0" w:footer="0" w:header="0"/>
          <w:type w:val="continuous"/>
        </w:sectPr>
      </w:pPr>
    </w:p>
    <w:bookmarkStart w:id="63" w:name="page64"/>
    <w:bookmarkEnd w:id="63"/>
    <w:p>
      <w:pPr>
        <w:spacing w:after="0"/>
        <w:rPr>
          <w:sz w:val="20"/>
          <w:szCs w:val="20"/>
          <w:color w:val="auto"/>
        </w:rPr>
      </w:pPr>
      <w:r>
        <w:rPr>
          <w:rFonts w:ascii="Times New Roman" w:cs="Times New Roman" w:eastAsia="Times New Roman" w:hAnsi="Times New Roman"/>
          <w:sz w:val="17"/>
          <w:szCs w:val="17"/>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268605</wp:posOffset>
            </wp:positionH>
            <wp:positionV relativeFrom="paragraph">
              <wp:posOffset>253365</wp:posOffset>
            </wp:positionV>
            <wp:extent cx="1183005" cy="745617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1183005" cy="7456170"/>
                    </a:xfrm>
                    <a:prstGeom prst="rect">
                      <a:avLst/>
                    </a:prstGeom>
                    <a:noFill/>
                  </pic:spPr>
                </pic:pic>
              </a:graphicData>
            </a:graphic>
          </wp:anchor>
        </w:drawing>
      </w:r>
    </w:p>
    <w:p>
      <w:pPr>
        <w:spacing w:after="0" w:line="200" w:lineRule="exact"/>
        <w:rPr>
          <w:sz w:val="20"/>
          <w:szCs w:val="20"/>
          <w:color w:val="auto"/>
        </w:rPr>
      </w:pPr>
    </w:p>
    <w:p>
      <w:pPr>
        <w:spacing w:after="0" w:line="304" w:lineRule="exact"/>
        <w:rPr>
          <w:sz w:val="20"/>
          <w:szCs w:val="20"/>
          <w:color w:val="auto"/>
        </w:rPr>
      </w:pPr>
    </w:p>
    <w:p>
      <w:pPr>
        <w:ind w:left="1120" w:right="460" w:hanging="672"/>
        <w:spacing w:after="0" w:line="382" w:lineRule="auto"/>
        <w:tabs>
          <w:tab w:leader="none" w:pos="610" w:val="left"/>
        </w:tabs>
        <w:numPr>
          <w:ilvl w:val="0"/>
          <w:numId w:val="84"/>
        </w:numPr>
        <w:rPr>
          <w:rFonts w:ascii="Arial" w:cs="Arial" w:eastAsia="Arial" w:hAnsi="Arial"/>
          <w:sz w:val="24"/>
          <w:szCs w:val="24"/>
          <w:color w:val="auto"/>
          <w:vertAlign w:val="subscript"/>
        </w:rPr>
      </w:pPr>
      <w:r>
        <w:rPr>
          <w:rFonts w:ascii="Arial" w:cs="Arial" w:eastAsia="Arial" w:hAnsi="Arial"/>
          <w:sz w:val="24"/>
          <w:szCs w:val="24"/>
          <w:color w:val="000000"/>
          <w:vertAlign w:val="subscript"/>
        </w:rPr>
        <w:t xml:space="preserve">     </w:t>
      </w:r>
      <w:r>
        <w:rPr>
          <w:rFonts w:ascii="Arial" w:cs="Arial" w:eastAsia="Arial" w:hAnsi="Arial"/>
          <w:sz w:val="10"/>
          <w:szCs w:val="10"/>
          <w:color w:val="FFFFFF"/>
        </w:rPr>
        <w:t xml:space="preserve"> General Information</w:t>
      </w:r>
    </w:p>
    <w:p>
      <w:pPr>
        <w:spacing w:after="0" w:line="1" w:lineRule="exact"/>
        <w:rPr>
          <w:sz w:val="20"/>
          <w:szCs w:val="20"/>
          <w:color w:val="auto"/>
        </w:rPr>
      </w:pPr>
    </w:p>
    <w:p>
      <w:pPr>
        <w:ind w:left="1120"/>
        <w:spacing w:after="0"/>
        <w:rPr>
          <w:sz w:val="20"/>
          <w:szCs w:val="20"/>
          <w:color w:val="auto"/>
        </w:rPr>
      </w:pPr>
      <w:r>
        <w:rPr>
          <w:rFonts w:ascii="Arial" w:cs="Arial" w:eastAsia="Arial" w:hAnsi="Arial"/>
          <w:sz w:val="11"/>
          <w:szCs w:val="11"/>
          <w:color w:val="FFFFFF"/>
        </w:rPr>
        <w:t>General Information</w:t>
      </w:r>
    </w:p>
    <w:p>
      <w:pPr>
        <w:spacing w:after="0" w:line="3"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About Corporate</w:t>
      </w:r>
    </w:p>
    <w:p>
      <w:pPr>
        <w:ind w:left="1120"/>
        <w:spacing w:after="0" w:line="221" w:lineRule="auto"/>
        <w:rPr>
          <w:sz w:val="20"/>
          <w:szCs w:val="20"/>
          <w:color w:val="auto"/>
        </w:rPr>
      </w:pPr>
      <w:r>
        <w:rPr>
          <w:rFonts w:ascii="Arial" w:cs="Arial" w:eastAsia="Arial" w:hAnsi="Arial"/>
          <w:sz w:val="12"/>
          <w:szCs w:val="12"/>
          <w:color w:val="FFFFFF"/>
        </w:rPr>
        <w:t>Governance</w:t>
      </w:r>
    </w:p>
    <w:p>
      <w:pPr>
        <w:ind w:left="1120"/>
        <w:spacing w:after="0" w:line="222" w:lineRule="auto"/>
        <w:rPr>
          <w:sz w:val="20"/>
          <w:szCs w:val="20"/>
          <w:color w:val="auto"/>
        </w:rPr>
      </w:pPr>
      <w:r>
        <w:rPr>
          <w:rFonts w:ascii="Arial" w:cs="Arial" w:eastAsia="Arial" w:hAnsi="Arial"/>
          <w:sz w:val="12"/>
          <w:szCs w:val="12"/>
          <w:color w:val="FFFFFF"/>
        </w:rPr>
        <w:t>and the Board of</w:t>
      </w:r>
    </w:p>
    <w:p>
      <w:pPr>
        <w:spacing w:after="0" w:line="1"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Directors</w:t>
      </w:r>
    </w:p>
    <w:p>
      <w:pPr>
        <w:spacing w:after="0" w:line="144" w:lineRule="exact"/>
        <w:rPr>
          <w:sz w:val="20"/>
          <w:szCs w:val="20"/>
          <w:color w:val="auto"/>
        </w:rPr>
      </w:pPr>
    </w:p>
    <w:p>
      <w:pPr>
        <w:jc w:val="center"/>
        <w:ind w:left="620"/>
        <w:spacing w:after="0"/>
        <w:rPr>
          <w:sz w:val="20"/>
          <w:szCs w:val="20"/>
          <w:color w:val="auto"/>
        </w:rPr>
      </w:pPr>
      <w:r>
        <w:rPr>
          <w:rFonts w:ascii="Arial" w:cs="Arial" w:eastAsia="Arial" w:hAnsi="Arial"/>
          <w:sz w:val="12"/>
          <w:szCs w:val="12"/>
          <w:color w:val="FFFFFF"/>
        </w:rPr>
        <w:t>Proposal 1</w:t>
      </w:r>
    </w:p>
    <w:p>
      <w:pPr>
        <w:spacing w:after="0" w:line="156"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Information</w:t>
      </w:r>
    </w:p>
    <w:p>
      <w:pPr>
        <w:ind w:left="1120"/>
        <w:spacing w:after="0" w:line="224" w:lineRule="auto"/>
        <w:rPr>
          <w:sz w:val="20"/>
          <w:szCs w:val="20"/>
          <w:color w:val="auto"/>
        </w:rPr>
      </w:pPr>
      <w:r>
        <w:rPr>
          <w:rFonts w:ascii="Arial" w:cs="Arial" w:eastAsia="Arial" w:hAnsi="Arial"/>
          <w:sz w:val="12"/>
          <w:szCs w:val="12"/>
          <w:color w:val="FFFFFF"/>
        </w:rPr>
        <w:t>Regarding Board</w:t>
      </w:r>
    </w:p>
    <w:p>
      <w:pPr>
        <w:ind w:left="1120"/>
        <w:spacing w:after="0" w:line="222" w:lineRule="auto"/>
        <w:rPr>
          <w:sz w:val="20"/>
          <w:szCs w:val="20"/>
          <w:color w:val="auto"/>
        </w:rPr>
      </w:pPr>
      <w:r>
        <w:rPr>
          <w:rFonts w:ascii="Arial" w:cs="Arial" w:eastAsia="Arial" w:hAnsi="Arial"/>
          <w:sz w:val="12"/>
          <w:szCs w:val="12"/>
          <w:color w:val="FFFFFF"/>
        </w:rPr>
        <w:t>and Committee</w:t>
      </w:r>
    </w:p>
    <w:p>
      <w:pPr>
        <w:ind w:left="1120"/>
        <w:spacing w:after="0"/>
        <w:rPr>
          <w:sz w:val="20"/>
          <w:szCs w:val="20"/>
          <w:color w:val="auto"/>
        </w:rPr>
      </w:pPr>
      <w:r>
        <w:rPr>
          <w:rFonts w:ascii="Arial" w:cs="Arial" w:eastAsia="Arial" w:hAnsi="Arial"/>
          <w:sz w:val="12"/>
          <w:szCs w:val="12"/>
          <w:color w:val="FFFFFF"/>
        </w:rPr>
        <w:t>Structure</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Board of Directors</w:t>
      </w:r>
    </w:p>
    <w:p>
      <w:pPr>
        <w:spacing w:after="0" w:line="2"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Compensation</w:t>
      </w:r>
    </w:p>
    <w:p>
      <w:pPr>
        <w:spacing w:after="0" w:line="144" w:lineRule="exact"/>
        <w:rPr>
          <w:sz w:val="20"/>
          <w:szCs w:val="20"/>
          <w:color w:val="auto"/>
        </w:rPr>
      </w:pPr>
    </w:p>
    <w:p>
      <w:pPr>
        <w:ind w:left="1120" w:right="160"/>
        <w:spacing w:after="0" w:line="244" w:lineRule="auto"/>
        <w:rPr>
          <w:sz w:val="20"/>
          <w:szCs w:val="20"/>
          <w:color w:val="auto"/>
        </w:rPr>
      </w:pPr>
      <w:r>
        <w:rPr>
          <w:rFonts w:ascii="Arial" w:cs="Arial" w:eastAsia="Arial" w:hAnsi="Arial"/>
          <w:sz w:val="12"/>
          <w:szCs w:val="12"/>
          <w:b w:val="1"/>
          <w:bCs w:val="1"/>
          <w:color w:val="FFFFFF"/>
        </w:rPr>
        <w:t>Compensation Discussion and Analysis</w:t>
      </w:r>
    </w:p>
    <w:p>
      <w:pPr>
        <w:spacing w:after="0" w:line="128"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Report of the</w:t>
      </w:r>
    </w:p>
    <w:p>
      <w:pPr>
        <w:ind w:left="1120"/>
        <w:spacing w:after="0" w:line="224" w:lineRule="auto"/>
        <w:rPr>
          <w:sz w:val="20"/>
          <w:szCs w:val="20"/>
          <w:color w:val="auto"/>
        </w:rPr>
      </w:pPr>
      <w:r>
        <w:rPr>
          <w:rFonts w:ascii="Arial" w:cs="Arial" w:eastAsia="Arial" w:hAnsi="Arial"/>
          <w:sz w:val="12"/>
          <w:szCs w:val="12"/>
          <w:color w:val="FFFFFF"/>
        </w:rPr>
        <w:t>Compensation</w:t>
      </w:r>
    </w:p>
    <w:p>
      <w:pPr>
        <w:ind w:left="1120"/>
        <w:spacing w:after="0" w:line="222" w:lineRule="auto"/>
        <w:rPr>
          <w:sz w:val="20"/>
          <w:szCs w:val="20"/>
          <w:color w:val="auto"/>
        </w:rPr>
      </w:pPr>
      <w:r>
        <w:rPr>
          <w:rFonts w:ascii="Arial" w:cs="Arial" w:eastAsia="Arial" w:hAnsi="Arial"/>
          <w:sz w:val="12"/>
          <w:szCs w:val="12"/>
          <w:color w:val="FFFFFF"/>
        </w:rPr>
        <w:t>and Human</w:t>
      </w:r>
    </w:p>
    <w:p>
      <w:pPr>
        <w:ind w:left="1120"/>
        <w:spacing w:after="0" w:line="222" w:lineRule="auto"/>
        <w:rPr>
          <w:sz w:val="20"/>
          <w:szCs w:val="20"/>
          <w:color w:val="auto"/>
        </w:rPr>
      </w:pPr>
      <w:r>
        <w:rPr>
          <w:rFonts w:ascii="Arial" w:cs="Arial" w:eastAsia="Arial" w:hAnsi="Arial"/>
          <w:sz w:val="12"/>
          <w:szCs w:val="12"/>
          <w:color w:val="FFFFFF"/>
        </w:rPr>
        <w:t>Resources</w:t>
      </w:r>
    </w:p>
    <w:p>
      <w:pPr>
        <w:ind w:left="1120"/>
        <w:spacing w:after="0" w:line="222" w:lineRule="auto"/>
        <w:rPr>
          <w:sz w:val="20"/>
          <w:szCs w:val="20"/>
          <w:color w:val="auto"/>
        </w:rPr>
      </w:pPr>
      <w:r>
        <w:rPr>
          <w:rFonts w:ascii="Arial" w:cs="Arial" w:eastAsia="Arial" w:hAnsi="Arial"/>
          <w:sz w:val="12"/>
          <w:szCs w:val="12"/>
          <w:color w:val="FFFFFF"/>
        </w:rPr>
        <w:t>Committee of the</w:t>
      </w:r>
    </w:p>
    <w:p>
      <w:pPr>
        <w:ind w:left="1120"/>
        <w:spacing w:after="0"/>
        <w:rPr>
          <w:sz w:val="20"/>
          <w:szCs w:val="20"/>
          <w:color w:val="auto"/>
        </w:rPr>
      </w:pPr>
      <w:r>
        <w:rPr>
          <w:rFonts w:ascii="Arial" w:cs="Arial" w:eastAsia="Arial" w:hAnsi="Arial"/>
          <w:sz w:val="12"/>
          <w:szCs w:val="12"/>
          <w:color w:val="FFFFFF"/>
        </w:rPr>
        <w:t>Board of Directors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Compensation of</w:t>
      </w:r>
    </w:p>
    <w:p>
      <w:pPr>
        <w:ind w:left="1120"/>
        <w:spacing w:after="0" w:line="224" w:lineRule="auto"/>
        <w:rPr>
          <w:sz w:val="20"/>
          <w:szCs w:val="20"/>
          <w:color w:val="auto"/>
        </w:rPr>
      </w:pPr>
      <w:r>
        <w:rPr>
          <w:rFonts w:ascii="Arial" w:cs="Arial" w:eastAsia="Arial" w:hAnsi="Arial"/>
          <w:sz w:val="12"/>
          <w:szCs w:val="12"/>
          <w:color w:val="FFFFFF"/>
        </w:rPr>
        <w:t>Named Executive</w:t>
      </w:r>
    </w:p>
    <w:p>
      <w:pPr>
        <w:ind w:left="1120"/>
        <w:spacing w:after="0"/>
        <w:rPr>
          <w:sz w:val="20"/>
          <w:szCs w:val="20"/>
          <w:color w:val="auto"/>
        </w:rPr>
      </w:pPr>
      <w:r>
        <w:rPr>
          <w:rFonts w:ascii="Arial" w:cs="Arial" w:eastAsia="Arial" w:hAnsi="Arial"/>
          <w:sz w:val="12"/>
          <w:szCs w:val="12"/>
          <w:color w:val="FFFFFF"/>
        </w:rPr>
        <w:t>Officers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Pay Versus</w:t>
      </w:r>
    </w:p>
    <w:p>
      <w:pPr>
        <w:ind w:left="1120"/>
        <w:spacing w:after="0" w:line="224" w:lineRule="auto"/>
        <w:rPr>
          <w:sz w:val="20"/>
          <w:szCs w:val="20"/>
          <w:color w:val="auto"/>
        </w:rPr>
      </w:pPr>
      <w:r>
        <w:rPr>
          <w:rFonts w:ascii="Arial" w:cs="Arial" w:eastAsia="Arial" w:hAnsi="Arial"/>
          <w:sz w:val="12"/>
          <w:szCs w:val="12"/>
          <w:color w:val="FFFFFF"/>
        </w:rPr>
        <w:t>Performance</w:t>
      </w:r>
    </w:p>
    <w:p>
      <w:pPr>
        <w:ind w:left="1120"/>
        <w:spacing w:after="0"/>
        <w:rPr>
          <w:sz w:val="20"/>
          <w:szCs w:val="20"/>
          <w:color w:val="auto"/>
        </w:rPr>
      </w:pPr>
      <w:r>
        <w:rPr>
          <w:rFonts w:ascii="Arial" w:cs="Arial" w:eastAsia="Arial" w:hAnsi="Arial"/>
          <w:sz w:val="12"/>
          <w:szCs w:val="12"/>
          <w:color w:val="FFFFFF"/>
        </w:rPr>
        <w:t>Disclosure</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Security</w:t>
      </w:r>
    </w:p>
    <w:p>
      <w:pPr>
        <w:ind w:left="1120"/>
        <w:spacing w:after="0" w:line="224" w:lineRule="auto"/>
        <w:rPr>
          <w:sz w:val="20"/>
          <w:szCs w:val="20"/>
          <w:color w:val="auto"/>
        </w:rPr>
      </w:pPr>
      <w:r>
        <w:rPr>
          <w:rFonts w:ascii="Arial" w:cs="Arial" w:eastAsia="Arial" w:hAnsi="Arial"/>
          <w:sz w:val="12"/>
          <w:szCs w:val="12"/>
          <w:color w:val="FFFFFF"/>
        </w:rPr>
        <w:t>Ownership of</w:t>
      </w:r>
    </w:p>
    <w:p>
      <w:pPr>
        <w:ind w:left="1120"/>
        <w:spacing w:after="0" w:line="222" w:lineRule="auto"/>
        <w:rPr>
          <w:sz w:val="20"/>
          <w:szCs w:val="20"/>
          <w:color w:val="auto"/>
        </w:rPr>
      </w:pPr>
      <w:r>
        <w:rPr>
          <w:rFonts w:ascii="Arial" w:cs="Arial" w:eastAsia="Arial" w:hAnsi="Arial"/>
          <w:sz w:val="12"/>
          <w:szCs w:val="12"/>
          <w:color w:val="FFFFFF"/>
        </w:rPr>
        <w:t>Certain Beneficial</w:t>
      </w:r>
    </w:p>
    <w:p>
      <w:pPr>
        <w:ind w:left="1120"/>
        <w:spacing w:after="0" w:line="222" w:lineRule="auto"/>
        <w:rPr>
          <w:sz w:val="20"/>
          <w:szCs w:val="20"/>
          <w:color w:val="auto"/>
        </w:rPr>
      </w:pPr>
      <w:r>
        <w:rPr>
          <w:rFonts w:ascii="Arial" w:cs="Arial" w:eastAsia="Arial" w:hAnsi="Arial"/>
          <w:sz w:val="12"/>
          <w:szCs w:val="12"/>
          <w:color w:val="FFFFFF"/>
        </w:rPr>
        <w:t>Owners and</w:t>
      </w:r>
    </w:p>
    <w:p>
      <w:pPr>
        <w:ind w:left="1120"/>
        <w:spacing w:after="0"/>
        <w:rPr>
          <w:sz w:val="20"/>
          <w:szCs w:val="20"/>
          <w:color w:val="auto"/>
        </w:rPr>
      </w:pPr>
      <w:r>
        <w:rPr>
          <w:rFonts w:ascii="Arial" w:cs="Arial" w:eastAsia="Arial" w:hAnsi="Arial"/>
          <w:sz w:val="12"/>
          <w:szCs w:val="12"/>
          <w:color w:val="FFFFFF"/>
        </w:rPr>
        <w:t>Management</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Certain</w:t>
      </w:r>
    </w:p>
    <w:p>
      <w:pPr>
        <w:ind w:left="1120"/>
        <w:spacing w:after="0" w:line="224" w:lineRule="auto"/>
        <w:rPr>
          <w:sz w:val="20"/>
          <w:szCs w:val="20"/>
          <w:color w:val="auto"/>
        </w:rPr>
      </w:pPr>
      <w:r>
        <w:rPr>
          <w:rFonts w:ascii="Arial" w:cs="Arial" w:eastAsia="Arial" w:hAnsi="Arial"/>
          <w:sz w:val="12"/>
          <w:szCs w:val="12"/>
          <w:color w:val="FFFFFF"/>
        </w:rPr>
        <w:t>Relationships and</w:t>
      </w:r>
    </w:p>
    <w:p>
      <w:pPr>
        <w:ind w:left="1120"/>
        <w:spacing w:after="0" w:line="222" w:lineRule="auto"/>
        <w:rPr>
          <w:sz w:val="20"/>
          <w:szCs w:val="20"/>
          <w:color w:val="auto"/>
        </w:rPr>
      </w:pPr>
      <w:r>
        <w:rPr>
          <w:rFonts w:ascii="Arial" w:cs="Arial" w:eastAsia="Arial" w:hAnsi="Arial"/>
          <w:sz w:val="12"/>
          <w:szCs w:val="12"/>
          <w:color w:val="FFFFFF"/>
        </w:rPr>
        <w:t>Related Party</w:t>
      </w:r>
    </w:p>
    <w:p>
      <w:pPr>
        <w:ind w:left="1120"/>
        <w:spacing w:after="0"/>
        <w:rPr>
          <w:sz w:val="20"/>
          <w:szCs w:val="20"/>
          <w:color w:val="auto"/>
        </w:rPr>
      </w:pPr>
      <w:r>
        <w:rPr>
          <w:rFonts w:ascii="Arial" w:cs="Arial" w:eastAsia="Arial" w:hAnsi="Arial"/>
          <w:sz w:val="12"/>
          <w:szCs w:val="12"/>
          <w:color w:val="FFFFFF"/>
        </w:rPr>
        <w:t>Transactions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Proposal 2</w:t>
      </w:r>
    </w:p>
    <w:p>
      <w:pPr>
        <w:spacing w:after="0" w:line="156"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Report of the</w:t>
      </w:r>
    </w:p>
    <w:p>
      <w:pPr>
        <w:ind w:left="1120"/>
        <w:spacing w:after="0" w:line="224" w:lineRule="auto"/>
        <w:rPr>
          <w:sz w:val="20"/>
          <w:szCs w:val="20"/>
          <w:color w:val="auto"/>
        </w:rPr>
      </w:pPr>
      <w:r>
        <w:rPr>
          <w:rFonts w:ascii="Arial" w:cs="Arial" w:eastAsia="Arial" w:hAnsi="Arial"/>
          <w:sz w:val="12"/>
          <w:szCs w:val="12"/>
          <w:color w:val="FFFFFF"/>
        </w:rPr>
        <w:t>Audit and Risk</w:t>
      </w:r>
    </w:p>
    <w:p>
      <w:pPr>
        <w:ind w:left="1120"/>
        <w:spacing w:after="0" w:line="222" w:lineRule="auto"/>
        <w:rPr>
          <w:sz w:val="20"/>
          <w:szCs w:val="20"/>
          <w:color w:val="auto"/>
        </w:rPr>
      </w:pPr>
      <w:r>
        <w:rPr>
          <w:rFonts w:ascii="Arial" w:cs="Arial" w:eastAsia="Arial" w:hAnsi="Arial"/>
          <w:sz w:val="12"/>
          <w:szCs w:val="12"/>
          <w:color w:val="FFFFFF"/>
        </w:rPr>
        <w:t>Committee of the</w:t>
      </w:r>
    </w:p>
    <w:p>
      <w:pPr>
        <w:ind w:left="1120"/>
        <w:spacing w:after="0"/>
        <w:rPr>
          <w:sz w:val="20"/>
          <w:szCs w:val="20"/>
          <w:color w:val="auto"/>
        </w:rPr>
      </w:pPr>
      <w:r>
        <w:rPr>
          <w:rFonts w:ascii="Arial" w:cs="Arial" w:eastAsia="Arial" w:hAnsi="Arial"/>
          <w:sz w:val="12"/>
          <w:szCs w:val="12"/>
          <w:color w:val="FFFFFF"/>
        </w:rPr>
        <w:t>Board of Directors</w:t>
      </w:r>
    </w:p>
    <w:p>
      <w:pPr>
        <w:spacing w:after="0" w:line="144" w:lineRule="exact"/>
        <w:rPr>
          <w:sz w:val="20"/>
          <w:szCs w:val="20"/>
          <w:color w:val="auto"/>
        </w:rPr>
      </w:pPr>
    </w:p>
    <w:p>
      <w:pPr>
        <w:jc w:val="center"/>
        <w:ind w:left="620"/>
        <w:spacing w:after="0"/>
        <w:rPr>
          <w:sz w:val="20"/>
          <w:szCs w:val="20"/>
          <w:color w:val="auto"/>
        </w:rPr>
      </w:pPr>
      <w:r>
        <w:rPr>
          <w:rFonts w:ascii="Arial" w:cs="Arial" w:eastAsia="Arial" w:hAnsi="Arial"/>
          <w:sz w:val="12"/>
          <w:szCs w:val="12"/>
          <w:color w:val="FFFFFF"/>
        </w:rPr>
        <w:t>Proposal 3</w:t>
      </w:r>
    </w:p>
    <w:p>
      <w:pPr>
        <w:spacing w:after="0" w:line="156" w:lineRule="exact"/>
        <w:rPr>
          <w:sz w:val="20"/>
          <w:szCs w:val="20"/>
          <w:color w:val="auto"/>
        </w:rPr>
      </w:pPr>
    </w:p>
    <w:p>
      <w:pPr>
        <w:jc w:val="center"/>
        <w:ind w:left="620"/>
        <w:spacing w:after="0"/>
        <w:rPr>
          <w:sz w:val="20"/>
          <w:szCs w:val="20"/>
          <w:color w:val="auto"/>
        </w:rPr>
      </w:pPr>
      <w:r>
        <w:rPr>
          <w:rFonts w:ascii="Arial" w:cs="Arial" w:eastAsia="Arial" w:hAnsi="Arial"/>
          <w:sz w:val="12"/>
          <w:szCs w:val="12"/>
          <w:color w:val="FFFFFF"/>
        </w:rPr>
        <w:t>Proposal 4</w:t>
      </w:r>
    </w:p>
    <w:p>
      <w:pPr>
        <w:spacing w:after="0" w:line="156" w:lineRule="exact"/>
        <w:rPr>
          <w:sz w:val="20"/>
          <w:szCs w:val="20"/>
          <w:color w:val="auto"/>
        </w:rPr>
      </w:pPr>
    </w:p>
    <w:p>
      <w:pPr>
        <w:jc w:val="center"/>
        <w:ind w:left="620"/>
        <w:spacing w:after="0"/>
        <w:rPr>
          <w:sz w:val="20"/>
          <w:szCs w:val="20"/>
          <w:color w:val="auto"/>
        </w:rPr>
      </w:pPr>
      <w:r>
        <w:rPr>
          <w:rFonts w:ascii="Arial" w:cs="Arial" w:eastAsia="Arial" w:hAnsi="Arial"/>
          <w:sz w:val="12"/>
          <w:szCs w:val="12"/>
          <w:color w:val="FFFFFF"/>
        </w:rPr>
        <w:t>Proposal 5</w:t>
      </w:r>
    </w:p>
    <w:p>
      <w:pPr>
        <w:spacing w:after="0" w:line="156"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Proposal 6</w:t>
      </w:r>
    </w:p>
    <w:p>
      <w:pPr>
        <w:spacing w:after="0" w:line="156"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Stockholder</w:t>
      </w:r>
    </w:p>
    <w:p>
      <w:pPr>
        <w:ind w:left="1120"/>
        <w:spacing w:after="0" w:line="224" w:lineRule="auto"/>
        <w:rPr>
          <w:sz w:val="20"/>
          <w:szCs w:val="20"/>
          <w:color w:val="auto"/>
        </w:rPr>
      </w:pPr>
      <w:r>
        <w:rPr>
          <w:rFonts w:ascii="Arial" w:cs="Arial" w:eastAsia="Arial" w:hAnsi="Arial"/>
          <w:sz w:val="12"/>
          <w:szCs w:val="12"/>
          <w:color w:val="FFFFFF"/>
        </w:rPr>
        <w:t>Proposals and</w:t>
      </w:r>
    </w:p>
    <w:p>
      <w:pPr>
        <w:ind w:left="1120"/>
        <w:spacing w:after="0"/>
        <w:rPr>
          <w:sz w:val="20"/>
          <w:szCs w:val="20"/>
          <w:color w:val="auto"/>
        </w:rPr>
      </w:pPr>
      <w:r>
        <w:rPr>
          <w:rFonts w:ascii="Arial" w:cs="Arial" w:eastAsia="Arial" w:hAnsi="Arial"/>
          <w:sz w:val="12"/>
          <w:szCs w:val="12"/>
          <w:color w:val="FFFFFF"/>
        </w:rPr>
        <w:t>Other Matters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Delinquent</w:t>
      </w:r>
    </w:p>
    <w:p>
      <w:pPr>
        <w:ind w:left="1120"/>
        <w:spacing w:after="0" w:line="224" w:lineRule="auto"/>
        <w:rPr>
          <w:sz w:val="20"/>
          <w:szCs w:val="20"/>
          <w:color w:val="auto"/>
        </w:rPr>
      </w:pPr>
      <w:r>
        <w:rPr>
          <w:rFonts w:ascii="Arial" w:cs="Arial" w:eastAsia="Arial" w:hAnsi="Arial"/>
          <w:sz w:val="12"/>
          <w:szCs w:val="12"/>
          <w:color w:val="FFFFFF"/>
        </w:rPr>
        <w:t>Section 16(a)</w:t>
      </w:r>
    </w:p>
    <w:p>
      <w:pPr>
        <w:ind w:left="1120"/>
        <w:spacing w:after="0"/>
        <w:rPr>
          <w:sz w:val="20"/>
          <w:szCs w:val="20"/>
          <w:color w:val="auto"/>
        </w:rPr>
      </w:pPr>
      <w:r>
        <w:rPr>
          <w:rFonts w:ascii="Arial" w:cs="Arial" w:eastAsia="Arial" w:hAnsi="Arial"/>
          <w:sz w:val="12"/>
          <w:szCs w:val="12"/>
          <w:color w:val="FFFFFF"/>
        </w:rPr>
        <w:t>Reports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Other</w:t>
      </w:r>
    </w:p>
    <w:p>
      <w:pPr>
        <w:spacing w:after="0" w:line="2"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Information</w:t>
      </w:r>
    </w:p>
    <w:p>
      <w:pPr>
        <w:spacing w:after="0" w:line="144" w:lineRule="exact"/>
        <w:rPr>
          <w:sz w:val="20"/>
          <w:szCs w:val="20"/>
          <w:color w:val="auto"/>
        </w:rPr>
      </w:pPr>
    </w:p>
    <w:p>
      <w:pPr>
        <w:jc w:val="center"/>
        <w:ind w:left="660"/>
        <w:spacing w:after="0"/>
        <w:rPr>
          <w:sz w:val="20"/>
          <w:szCs w:val="20"/>
          <w:color w:val="auto"/>
        </w:rPr>
      </w:pPr>
      <w:r>
        <w:rPr>
          <w:rFonts w:ascii="Arial" w:cs="Arial" w:eastAsia="Arial" w:hAnsi="Arial"/>
          <w:sz w:val="12"/>
          <w:szCs w:val="12"/>
          <w:color w:val="FFFFFF"/>
        </w:rPr>
        <w:t>Appendix A</w:t>
      </w:r>
    </w:p>
    <w:p>
      <w:pPr>
        <w:spacing w:after="0" w:line="156" w:lineRule="exact"/>
        <w:rPr>
          <w:sz w:val="20"/>
          <w:szCs w:val="20"/>
          <w:color w:val="auto"/>
        </w:rPr>
      </w:pPr>
    </w:p>
    <w:p>
      <w:pPr>
        <w:jc w:val="center"/>
        <w:ind w:left="660"/>
        <w:spacing w:after="0"/>
        <w:rPr>
          <w:sz w:val="20"/>
          <w:szCs w:val="20"/>
          <w:color w:val="auto"/>
        </w:rPr>
      </w:pPr>
      <w:r>
        <w:rPr>
          <w:rFonts w:ascii="Arial" w:cs="Arial" w:eastAsia="Arial" w:hAnsi="Arial"/>
          <w:sz w:val="12"/>
          <w:szCs w:val="12"/>
          <w:color w:val="FFFFFF"/>
        </w:rPr>
        <w:t>Appendix 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right="180"/>
        <w:spacing w:after="0" w:line="287" w:lineRule="auto"/>
        <w:rPr>
          <w:sz w:val="20"/>
          <w:szCs w:val="20"/>
          <w:color w:val="auto"/>
        </w:rPr>
      </w:pPr>
      <w:r>
        <w:rPr>
          <w:rFonts w:ascii="Arial" w:cs="Arial" w:eastAsia="Arial" w:hAnsi="Arial"/>
          <w:sz w:val="15"/>
          <w:szCs w:val="15"/>
          <w:color w:val="auto"/>
        </w:rPr>
        <w:t>companies within our peer group used in the review of 2024 year-end compensation decision-making and in setting 2025 total target compensation consisted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-1737995</wp:posOffset>
            </wp:positionH>
            <wp:positionV relativeFrom="paragraph">
              <wp:posOffset>-894080</wp:posOffset>
            </wp:positionV>
            <wp:extent cx="7181215" cy="5334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81215" cy="53340"/>
                    </a:xfrm>
                    <a:prstGeom prst="rect">
                      <a:avLst/>
                    </a:prstGeom>
                    <a:noFill/>
                  </pic:spPr>
                </pic:pic>
              </a:graphicData>
            </a:graphic>
          </wp:anchor>
        </w:drawing>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160" w:type="dxa"/>
            <w:vAlign w:val="bottom"/>
          </w:tcPr>
          <w:p>
            <w:pPr>
              <w:spacing w:after="0"/>
              <w:rPr>
                <w:sz w:val="20"/>
                <w:szCs w:val="20"/>
                <w:color w:val="auto"/>
              </w:rPr>
            </w:pPr>
            <w:r>
              <w:rPr>
                <w:rFonts w:ascii="Arial" w:cs="Arial" w:eastAsia="Arial" w:hAnsi="Arial"/>
                <w:sz w:val="15"/>
                <w:szCs w:val="15"/>
                <w:color w:val="auto"/>
              </w:rPr>
              <w:t>•</w:t>
            </w:r>
          </w:p>
        </w:tc>
        <w:tc>
          <w:tcPr>
            <w:tcW w:w="3640" w:type="dxa"/>
            <w:vAlign w:val="bottom"/>
          </w:tcPr>
          <w:p>
            <w:pPr>
              <w:ind w:left="120"/>
              <w:spacing w:after="0"/>
              <w:rPr>
                <w:sz w:val="20"/>
                <w:szCs w:val="20"/>
                <w:color w:val="auto"/>
              </w:rPr>
            </w:pPr>
            <w:r>
              <w:rPr>
                <w:rFonts w:ascii="Arial" w:cs="Arial" w:eastAsia="Arial" w:hAnsi="Arial"/>
                <w:sz w:val="15"/>
                <w:szCs w:val="15"/>
                <w:color w:val="auto"/>
              </w:rPr>
              <w:t>Ameriprise Financial, Inc. (AMP)</w:t>
            </w:r>
          </w:p>
        </w:tc>
        <w:tc>
          <w:tcPr>
            <w:tcW w:w="3440" w:type="dxa"/>
            <w:vAlign w:val="bottom"/>
          </w:tcPr>
          <w:p>
            <w:pPr>
              <w:ind w:left="280"/>
              <w:spacing w:after="0"/>
              <w:rPr>
                <w:sz w:val="20"/>
                <w:szCs w:val="20"/>
                <w:color w:val="auto"/>
              </w:rPr>
            </w:pPr>
            <w:r>
              <w:rPr>
                <w:rFonts w:ascii="Arial" w:cs="Arial" w:eastAsia="Arial" w:hAnsi="Arial"/>
                <w:sz w:val="15"/>
                <w:szCs w:val="15"/>
                <w:color w:val="auto"/>
              </w:rPr>
              <w:t>•   Northern Trust Corp. (NTRS)</w:t>
            </w:r>
          </w:p>
        </w:tc>
      </w:tr>
      <w:tr>
        <w:trPr>
          <w:trHeight w:val="294"/>
        </w:trPr>
        <w:tc>
          <w:tcPr>
            <w:tcW w:w="160" w:type="dxa"/>
            <w:vAlign w:val="bottom"/>
          </w:tcPr>
          <w:p>
            <w:pPr>
              <w:spacing w:after="0"/>
              <w:rPr>
                <w:sz w:val="20"/>
                <w:szCs w:val="20"/>
                <w:color w:val="auto"/>
              </w:rPr>
            </w:pPr>
            <w:r>
              <w:rPr>
                <w:rFonts w:ascii="Arial" w:cs="Arial" w:eastAsia="Arial" w:hAnsi="Arial"/>
                <w:sz w:val="15"/>
                <w:szCs w:val="15"/>
                <w:color w:val="auto"/>
              </w:rPr>
              <w:t>•</w:t>
            </w:r>
          </w:p>
        </w:tc>
        <w:tc>
          <w:tcPr>
            <w:tcW w:w="3640" w:type="dxa"/>
            <w:vAlign w:val="bottom"/>
          </w:tcPr>
          <w:p>
            <w:pPr>
              <w:ind w:left="120"/>
              <w:spacing w:after="0"/>
              <w:rPr>
                <w:sz w:val="20"/>
                <w:szCs w:val="20"/>
                <w:color w:val="auto"/>
              </w:rPr>
            </w:pPr>
            <w:r>
              <w:rPr>
                <w:rFonts w:ascii="Arial" w:cs="Arial" w:eastAsia="Arial" w:hAnsi="Arial"/>
                <w:sz w:val="15"/>
                <w:szCs w:val="15"/>
                <w:color w:val="auto"/>
              </w:rPr>
              <w:t>Bank of New York Mellon Corporation (BK)</w:t>
            </w:r>
          </w:p>
        </w:tc>
        <w:tc>
          <w:tcPr>
            <w:tcW w:w="3440" w:type="dxa"/>
            <w:vAlign w:val="bottom"/>
          </w:tcPr>
          <w:p>
            <w:pPr>
              <w:ind w:left="280"/>
              <w:spacing w:after="0"/>
              <w:rPr>
                <w:sz w:val="20"/>
                <w:szCs w:val="20"/>
                <w:color w:val="auto"/>
              </w:rPr>
            </w:pPr>
            <w:r>
              <w:rPr>
                <w:rFonts w:ascii="Arial" w:cs="Arial" w:eastAsia="Arial" w:hAnsi="Arial"/>
                <w:sz w:val="15"/>
                <w:szCs w:val="15"/>
                <w:color w:val="auto"/>
              </w:rPr>
              <w:t>•   Raymond James Financial, Inc. (RJF)</w:t>
            </w:r>
          </w:p>
        </w:tc>
      </w:tr>
      <w:tr>
        <w:trPr>
          <w:trHeight w:val="294"/>
        </w:trPr>
        <w:tc>
          <w:tcPr>
            <w:tcW w:w="160" w:type="dxa"/>
            <w:vAlign w:val="bottom"/>
          </w:tcPr>
          <w:p>
            <w:pPr>
              <w:spacing w:after="0"/>
              <w:rPr>
                <w:sz w:val="20"/>
                <w:szCs w:val="20"/>
                <w:color w:val="auto"/>
              </w:rPr>
            </w:pPr>
            <w:r>
              <w:rPr>
                <w:rFonts w:ascii="Arial" w:cs="Arial" w:eastAsia="Arial" w:hAnsi="Arial"/>
                <w:sz w:val="15"/>
                <w:szCs w:val="15"/>
                <w:color w:val="auto"/>
              </w:rPr>
              <w:t>•</w:t>
            </w:r>
          </w:p>
        </w:tc>
        <w:tc>
          <w:tcPr>
            <w:tcW w:w="3640" w:type="dxa"/>
            <w:vAlign w:val="bottom"/>
          </w:tcPr>
          <w:p>
            <w:pPr>
              <w:ind w:left="120"/>
              <w:spacing w:after="0"/>
              <w:rPr>
                <w:sz w:val="20"/>
                <w:szCs w:val="20"/>
                <w:color w:val="auto"/>
              </w:rPr>
            </w:pPr>
            <w:r>
              <w:rPr>
                <w:rFonts w:ascii="Arial" w:cs="Arial" w:eastAsia="Arial" w:hAnsi="Arial"/>
                <w:sz w:val="15"/>
                <w:szCs w:val="15"/>
                <w:color w:val="auto"/>
              </w:rPr>
              <w:t>Broadridge Financial Solutions, Inc. (BR)</w:t>
            </w:r>
          </w:p>
        </w:tc>
        <w:tc>
          <w:tcPr>
            <w:tcW w:w="3440" w:type="dxa"/>
            <w:vAlign w:val="bottom"/>
          </w:tcPr>
          <w:p>
            <w:pPr>
              <w:ind w:left="280"/>
              <w:spacing w:after="0"/>
              <w:rPr>
                <w:sz w:val="20"/>
                <w:szCs w:val="20"/>
                <w:color w:val="auto"/>
              </w:rPr>
            </w:pPr>
            <w:r>
              <w:rPr>
                <w:rFonts w:ascii="Arial" w:cs="Arial" w:eastAsia="Arial" w:hAnsi="Arial"/>
                <w:sz w:val="15"/>
                <w:szCs w:val="15"/>
                <w:color w:val="auto"/>
              </w:rPr>
              <w:t>•   SS&amp;C Technologies Holdings, Inc. (SSNC)</w:t>
            </w:r>
          </w:p>
        </w:tc>
      </w:tr>
      <w:tr>
        <w:trPr>
          <w:trHeight w:val="294"/>
        </w:trPr>
        <w:tc>
          <w:tcPr>
            <w:tcW w:w="160" w:type="dxa"/>
            <w:vAlign w:val="bottom"/>
          </w:tcPr>
          <w:p>
            <w:pPr>
              <w:spacing w:after="0"/>
              <w:rPr>
                <w:sz w:val="20"/>
                <w:szCs w:val="20"/>
                <w:color w:val="auto"/>
              </w:rPr>
            </w:pPr>
            <w:r>
              <w:rPr>
                <w:rFonts w:ascii="Arial" w:cs="Arial" w:eastAsia="Arial" w:hAnsi="Arial"/>
                <w:sz w:val="15"/>
                <w:szCs w:val="15"/>
                <w:color w:val="auto"/>
              </w:rPr>
              <w:t>•</w:t>
            </w:r>
          </w:p>
        </w:tc>
        <w:tc>
          <w:tcPr>
            <w:tcW w:w="3640" w:type="dxa"/>
            <w:vAlign w:val="bottom"/>
          </w:tcPr>
          <w:p>
            <w:pPr>
              <w:ind w:left="120"/>
              <w:spacing w:after="0"/>
              <w:rPr>
                <w:sz w:val="20"/>
                <w:szCs w:val="20"/>
                <w:color w:val="auto"/>
              </w:rPr>
            </w:pPr>
            <w:r>
              <w:rPr>
                <w:rFonts w:ascii="Arial" w:cs="Arial" w:eastAsia="Arial" w:hAnsi="Arial"/>
                <w:sz w:val="15"/>
                <w:szCs w:val="15"/>
                <w:color w:val="auto"/>
              </w:rPr>
              <w:t>Fidelity National Information Services, Inc. (FIS)</w:t>
            </w:r>
          </w:p>
        </w:tc>
        <w:tc>
          <w:tcPr>
            <w:tcW w:w="3440" w:type="dxa"/>
            <w:vAlign w:val="bottom"/>
          </w:tcPr>
          <w:p>
            <w:pPr>
              <w:ind w:left="280"/>
              <w:spacing w:after="0"/>
              <w:rPr>
                <w:sz w:val="20"/>
                <w:szCs w:val="20"/>
                <w:color w:val="auto"/>
              </w:rPr>
            </w:pPr>
            <w:r>
              <w:rPr>
                <w:rFonts w:ascii="Arial" w:cs="Arial" w:eastAsia="Arial" w:hAnsi="Arial"/>
                <w:sz w:val="15"/>
                <w:szCs w:val="15"/>
                <w:color w:val="auto"/>
              </w:rPr>
              <w:t>•   State Street Corporation (STT)</w:t>
            </w:r>
          </w:p>
        </w:tc>
      </w:tr>
      <w:tr>
        <w:trPr>
          <w:trHeight w:val="294"/>
        </w:trPr>
        <w:tc>
          <w:tcPr>
            <w:tcW w:w="160" w:type="dxa"/>
            <w:vAlign w:val="bottom"/>
          </w:tcPr>
          <w:p>
            <w:pPr>
              <w:spacing w:after="0"/>
              <w:rPr>
                <w:sz w:val="20"/>
                <w:szCs w:val="20"/>
                <w:color w:val="auto"/>
              </w:rPr>
            </w:pPr>
            <w:r>
              <w:rPr>
                <w:rFonts w:ascii="Arial" w:cs="Arial" w:eastAsia="Arial" w:hAnsi="Arial"/>
                <w:sz w:val="15"/>
                <w:szCs w:val="15"/>
                <w:color w:val="auto"/>
              </w:rPr>
              <w:t>•</w:t>
            </w:r>
          </w:p>
        </w:tc>
        <w:tc>
          <w:tcPr>
            <w:tcW w:w="3640" w:type="dxa"/>
            <w:vAlign w:val="bottom"/>
          </w:tcPr>
          <w:p>
            <w:pPr>
              <w:ind w:left="120"/>
              <w:spacing w:after="0"/>
              <w:rPr>
                <w:sz w:val="20"/>
                <w:szCs w:val="20"/>
                <w:color w:val="auto"/>
              </w:rPr>
            </w:pPr>
            <w:r>
              <w:rPr>
                <w:rFonts w:ascii="Arial" w:cs="Arial" w:eastAsia="Arial" w:hAnsi="Arial"/>
                <w:sz w:val="15"/>
                <w:szCs w:val="15"/>
                <w:color w:val="auto"/>
              </w:rPr>
              <w:t>Franklin Resources, Inc. (BEN)</w:t>
            </w:r>
          </w:p>
        </w:tc>
        <w:tc>
          <w:tcPr>
            <w:tcW w:w="3440" w:type="dxa"/>
            <w:vAlign w:val="bottom"/>
          </w:tcPr>
          <w:p>
            <w:pPr>
              <w:ind w:left="280"/>
              <w:spacing w:after="0"/>
              <w:rPr>
                <w:sz w:val="20"/>
                <w:szCs w:val="20"/>
                <w:color w:val="auto"/>
              </w:rPr>
            </w:pPr>
            <w:r>
              <w:rPr>
                <w:rFonts w:ascii="Arial" w:cs="Arial" w:eastAsia="Arial" w:hAnsi="Arial"/>
                <w:sz w:val="15"/>
                <w:szCs w:val="15"/>
                <w:color w:val="auto"/>
              </w:rPr>
              <w:t>•   Stifel Financial Corp. (SF)</w:t>
            </w:r>
          </w:p>
        </w:tc>
      </w:tr>
      <w:tr>
        <w:trPr>
          <w:trHeight w:val="294"/>
        </w:trPr>
        <w:tc>
          <w:tcPr>
            <w:tcW w:w="160" w:type="dxa"/>
            <w:vAlign w:val="bottom"/>
          </w:tcPr>
          <w:p>
            <w:pPr>
              <w:spacing w:after="0"/>
              <w:rPr>
                <w:sz w:val="20"/>
                <w:szCs w:val="20"/>
                <w:color w:val="auto"/>
              </w:rPr>
            </w:pPr>
            <w:r>
              <w:rPr>
                <w:rFonts w:ascii="Arial" w:cs="Arial" w:eastAsia="Arial" w:hAnsi="Arial"/>
                <w:sz w:val="15"/>
                <w:szCs w:val="15"/>
                <w:color w:val="auto"/>
              </w:rPr>
              <w:t>•</w:t>
            </w:r>
          </w:p>
        </w:tc>
        <w:tc>
          <w:tcPr>
            <w:tcW w:w="3640" w:type="dxa"/>
            <w:vAlign w:val="bottom"/>
          </w:tcPr>
          <w:p>
            <w:pPr>
              <w:ind w:left="120"/>
              <w:spacing w:after="0"/>
              <w:rPr>
                <w:sz w:val="20"/>
                <w:szCs w:val="20"/>
                <w:color w:val="auto"/>
              </w:rPr>
            </w:pPr>
            <w:r>
              <w:rPr>
                <w:rFonts w:ascii="Arial" w:cs="Arial" w:eastAsia="Arial" w:hAnsi="Arial"/>
                <w:sz w:val="15"/>
                <w:szCs w:val="15"/>
                <w:color w:val="auto"/>
              </w:rPr>
              <w:t>Interactive Brokers Group, Inc. (IBKR)</w:t>
            </w:r>
          </w:p>
        </w:tc>
        <w:tc>
          <w:tcPr>
            <w:tcW w:w="3440" w:type="dxa"/>
            <w:vAlign w:val="bottom"/>
          </w:tcPr>
          <w:p>
            <w:pPr>
              <w:ind w:left="280"/>
              <w:spacing w:after="0"/>
              <w:rPr>
                <w:sz w:val="20"/>
                <w:szCs w:val="20"/>
                <w:color w:val="auto"/>
              </w:rPr>
            </w:pPr>
            <w:r>
              <w:rPr>
                <w:rFonts w:ascii="Arial" w:cs="Arial" w:eastAsia="Arial" w:hAnsi="Arial"/>
                <w:sz w:val="15"/>
                <w:szCs w:val="15"/>
                <w:color w:val="auto"/>
              </w:rPr>
              <w:t>•   T. Rowe Price Group, Inc. (TROW)</w:t>
            </w:r>
          </w:p>
        </w:tc>
      </w:tr>
      <w:tr>
        <w:trPr>
          <w:trHeight w:val="294"/>
        </w:trPr>
        <w:tc>
          <w:tcPr>
            <w:tcW w:w="160" w:type="dxa"/>
            <w:vAlign w:val="bottom"/>
          </w:tcPr>
          <w:p>
            <w:pPr>
              <w:spacing w:after="0"/>
              <w:rPr>
                <w:sz w:val="20"/>
                <w:szCs w:val="20"/>
                <w:color w:val="auto"/>
              </w:rPr>
            </w:pPr>
            <w:r>
              <w:rPr>
                <w:rFonts w:ascii="Arial" w:cs="Arial" w:eastAsia="Arial" w:hAnsi="Arial"/>
                <w:sz w:val="15"/>
                <w:szCs w:val="15"/>
                <w:color w:val="auto"/>
              </w:rPr>
              <w:t>•</w:t>
            </w:r>
          </w:p>
        </w:tc>
        <w:tc>
          <w:tcPr>
            <w:tcW w:w="3640" w:type="dxa"/>
            <w:vAlign w:val="bottom"/>
          </w:tcPr>
          <w:p>
            <w:pPr>
              <w:ind w:left="120"/>
              <w:spacing w:after="0"/>
              <w:rPr>
                <w:sz w:val="20"/>
                <w:szCs w:val="20"/>
                <w:color w:val="auto"/>
              </w:rPr>
            </w:pPr>
            <w:r>
              <w:rPr>
                <w:rFonts w:ascii="Arial" w:cs="Arial" w:eastAsia="Arial" w:hAnsi="Arial"/>
                <w:sz w:val="15"/>
                <w:szCs w:val="15"/>
                <w:color w:val="auto"/>
              </w:rPr>
              <w:t>Invesco Ltd. (IVZ)</w:t>
            </w:r>
          </w:p>
        </w:tc>
        <w:tc>
          <w:tcPr>
            <w:tcW w:w="3440" w:type="dxa"/>
            <w:vAlign w:val="bottom"/>
          </w:tcPr>
          <w:p>
            <w:pPr>
              <w:ind w:left="280"/>
              <w:spacing w:after="0"/>
              <w:rPr>
                <w:sz w:val="20"/>
                <w:szCs w:val="20"/>
                <w:color w:val="auto"/>
              </w:rPr>
            </w:pPr>
            <w:r>
              <w:rPr>
                <w:rFonts w:ascii="Arial" w:cs="Arial" w:eastAsia="Arial" w:hAnsi="Arial"/>
                <w:sz w:val="15"/>
                <w:szCs w:val="15"/>
                <w:color w:val="auto"/>
              </w:rPr>
              <w:t>•   The Charles Schwab Corporation (SCHW)</w:t>
            </w:r>
          </w:p>
        </w:tc>
      </w:tr>
      <w:tr>
        <w:trPr>
          <w:trHeight w:val="294"/>
        </w:trPr>
        <w:tc>
          <w:tcPr>
            <w:tcW w:w="160" w:type="dxa"/>
            <w:vAlign w:val="bottom"/>
          </w:tcPr>
          <w:p>
            <w:pPr>
              <w:spacing w:after="0"/>
              <w:rPr>
                <w:sz w:val="20"/>
                <w:szCs w:val="20"/>
                <w:color w:val="auto"/>
              </w:rPr>
            </w:pPr>
            <w:r>
              <w:rPr>
                <w:rFonts w:ascii="Arial" w:cs="Arial" w:eastAsia="Arial" w:hAnsi="Arial"/>
                <w:sz w:val="15"/>
                <w:szCs w:val="15"/>
                <w:color w:val="auto"/>
              </w:rPr>
              <w:t>•</w:t>
            </w:r>
          </w:p>
        </w:tc>
        <w:tc>
          <w:tcPr>
            <w:tcW w:w="3640" w:type="dxa"/>
            <w:vAlign w:val="bottom"/>
          </w:tcPr>
          <w:p>
            <w:pPr>
              <w:ind w:left="120"/>
              <w:spacing w:after="0"/>
              <w:rPr>
                <w:sz w:val="20"/>
                <w:szCs w:val="20"/>
                <w:color w:val="auto"/>
              </w:rPr>
            </w:pPr>
            <w:r>
              <w:rPr>
                <w:rFonts w:ascii="Arial" w:cs="Arial" w:eastAsia="Arial" w:hAnsi="Arial"/>
                <w:sz w:val="15"/>
                <w:szCs w:val="15"/>
                <w:color w:val="auto"/>
              </w:rPr>
              <w:t>Nasdaq, Inc. (NDAQ)</w:t>
            </w:r>
          </w:p>
        </w:tc>
        <w:tc>
          <w:tcPr>
            <w:tcW w:w="3440" w:type="dxa"/>
            <w:vAlign w:val="bottom"/>
          </w:tcPr>
          <w:p>
            <w:pPr>
              <w:spacing w:after="0"/>
              <w:rPr>
                <w:sz w:val="24"/>
                <w:szCs w:val="24"/>
                <w:color w:val="auto"/>
              </w:rPr>
            </w:pPr>
          </w:p>
        </w:tc>
      </w:tr>
    </w:tbl>
    <w:p>
      <w:pPr>
        <w:spacing w:after="0" w:line="233" w:lineRule="exact"/>
        <w:rPr>
          <w:sz w:val="20"/>
          <w:szCs w:val="20"/>
          <w:color w:val="auto"/>
        </w:rPr>
      </w:pPr>
    </w:p>
    <w:p>
      <w:pPr>
        <w:spacing w:after="0"/>
        <w:rPr>
          <w:sz w:val="20"/>
          <w:szCs w:val="20"/>
          <w:color w:val="auto"/>
        </w:rPr>
      </w:pPr>
      <w:r>
        <w:rPr>
          <w:rFonts w:ascii="Arial" w:cs="Arial" w:eastAsia="Arial" w:hAnsi="Arial"/>
          <w:sz w:val="15"/>
          <w:szCs w:val="15"/>
          <w:color w:val="auto"/>
        </w:rPr>
        <w:t>The chart below compares the 2024 revenues for and market capitalizations as of December 31, 2024 of the</w:t>
      </w:r>
    </w:p>
    <w:p>
      <w:pPr>
        <w:spacing w:after="0" w:line="20" w:lineRule="exact"/>
        <w:rPr>
          <w:sz w:val="20"/>
          <w:szCs w:val="20"/>
          <w:color w:val="auto"/>
        </w:rPr>
      </w:pPr>
    </w:p>
    <w:p>
      <w:pPr>
        <w:spacing w:after="0"/>
        <w:rPr>
          <w:sz w:val="20"/>
          <w:szCs w:val="20"/>
          <w:color w:val="auto"/>
        </w:rPr>
      </w:pPr>
      <w:r>
        <w:rPr>
          <w:rFonts w:ascii="Arial" w:cs="Arial" w:eastAsia="Arial" w:hAnsi="Arial"/>
          <w:sz w:val="15"/>
          <w:szCs w:val="15"/>
          <w:color w:val="auto"/>
        </w:rPr>
        <w:t>Company and the median of the peer group described immediately above:</w:t>
      </w:r>
    </w:p>
    <w:p>
      <w:pPr>
        <w:spacing w:after="0" w:line="217"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5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20" w:type="dxa"/>
            <w:vAlign w:val="bottom"/>
          </w:tcPr>
          <w:p>
            <w:pPr>
              <w:jc w:val="right"/>
              <w:ind w:right="148"/>
              <w:spacing w:after="0"/>
              <w:rPr>
                <w:sz w:val="20"/>
                <w:szCs w:val="20"/>
                <w:color w:val="auto"/>
              </w:rPr>
            </w:pPr>
            <w:r>
              <w:rPr>
                <w:rFonts w:ascii="Arial" w:cs="Arial" w:eastAsia="Arial" w:hAnsi="Arial"/>
                <w:sz w:val="14"/>
                <w:szCs w:val="14"/>
                <w:b w:val="1"/>
                <w:bCs w:val="1"/>
                <w:color w:val="002B5F"/>
              </w:rPr>
              <w:t>Market</w:t>
            </w:r>
          </w:p>
        </w:tc>
      </w:tr>
      <w:tr>
        <w:trPr>
          <w:trHeight w:val="194"/>
        </w:trPr>
        <w:tc>
          <w:tcPr>
            <w:tcW w:w="5580" w:type="dxa"/>
            <w:vAlign w:val="bottom"/>
            <w:tcBorders>
              <w:bottom w:val="single" w:sz="8" w:color="002B5F"/>
            </w:tcBorders>
          </w:tcPr>
          <w:p>
            <w:pPr>
              <w:ind w:left="60"/>
              <w:spacing w:after="0"/>
              <w:rPr>
                <w:sz w:val="20"/>
                <w:szCs w:val="20"/>
                <w:color w:val="auto"/>
              </w:rPr>
            </w:pPr>
            <w:r>
              <w:rPr>
                <w:rFonts w:ascii="Arial" w:cs="Arial" w:eastAsia="Arial" w:hAnsi="Arial"/>
                <w:sz w:val="14"/>
                <w:szCs w:val="14"/>
                <w:b w:val="1"/>
                <w:bCs w:val="1"/>
                <w:color w:val="002B5F"/>
              </w:rPr>
              <w:t>(In Billions)</w:t>
            </w:r>
          </w:p>
        </w:tc>
        <w:tc>
          <w:tcPr>
            <w:tcW w:w="1260" w:type="dxa"/>
            <w:vAlign w:val="bottom"/>
            <w:tcBorders>
              <w:bottom w:val="single" w:sz="8" w:color="002B5F"/>
            </w:tcBorders>
            <w:gridSpan w:val="2"/>
          </w:tcPr>
          <w:p>
            <w:pPr>
              <w:jc w:val="right"/>
              <w:ind w:right="163"/>
              <w:spacing w:after="0"/>
              <w:rPr>
                <w:sz w:val="20"/>
                <w:szCs w:val="20"/>
                <w:color w:val="auto"/>
              </w:rPr>
            </w:pPr>
            <w:r>
              <w:rPr>
                <w:rFonts w:ascii="Arial" w:cs="Arial" w:eastAsia="Arial" w:hAnsi="Arial"/>
                <w:sz w:val="14"/>
                <w:szCs w:val="14"/>
                <w:b w:val="1"/>
                <w:bCs w:val="1"/>
                <w:color w:val="002B5F"/>
              </w:rPr>
              <w:t>Revenue</w:t>
            </w:r>
          </w:p>
        </w:tc>
        <w:tc>
          <w:tcPr>
            <w:tcW w:w="1120" w:type="dxa"/>
            <w:vAlign w:val="bottom"/>
            <w:tcBorders>
              <w:bottom w:val="single" w:sz="8" w:color="002B5F"/>
            </w:tcBorders>
          </w:tcPr>
          <w:p>
            <w:pPr>
              <w:jc w:val="right"/>
              <w:spacing w:after="0"/>
              <w:rPr>
                <w:sz w:val="20"/>
                <w:szCs w:val="20"/>
                <w:color w:val="auto"/>
              </w:rPr>
            </w:pPr>
            <w:r>
              <w:rPr>
                <w:rFonts w:ascii="Arial" w:cs="Arial" w:eastAsia="Arial" w:hAnsi="Arial"/>
                <w:sz w:val="14"/>
                <w:szCs w:val="14"/>
                <w:b w:val="1"/>
                <w:bCs w:val="1"/>
                <w:color w:val="002B5F"/>
              </w:rPr>
              <w:t>Capitalization</w:t>
            </w:r>
          </w:p>
        </w:tc>
      </w:tr>
      <w:tr>
        <w:trPr>
          <w:trHeight w:val="274"/>
        </w:trPr>
        <w:tc>
          <w:tcPr>
            <w:tcW w:w="5580" w:type="dxa"/>
            <w:vAlign w:val="bottom"/>
            <w:tcBorders>
              <w:bottom w:val="single" w:sz="8" w:color="F7F1EC"/>
            </w:tcBorders>
            <w:shd w:val="clear" w:color="auto" w:fill="F7F1EC"/>
          </w:tcPr>
          <w:p>
            <w:pPr>
              <w:ind w:left="60"/>
              <w:spacing w:after="0"/>
              <w:rPr>
                <w:sz w:val="20"/>
                <w:szCs w:val="20"/>
                <w:color w:val="auto"/>
              </w:rPr>
            </w:pPr>
            <w:r>
              <w:rPr>
                <w:rFonts w:ascii="Arial" w:cs="Arial" w:eastAsia="Arial" w:hAnsi="Arial"/>
                <w:sz w:val="15"/>
                <w:szCs w:val="15"/>
                <w:color w:val="auto"/>
              </w:rPr>
              <w:t>Peer Group (Median)</w:t>
            </w:r>
          </w:p>
        </w:tc>
        <w:tc>
          <w:tcPr>
            <w:tcW w:w="640" w:type="dxa"/>
            <w:vAlign w:val="bottom"/>
            <w:tcBorders>
              <w:bottom w:val="single" w:sz="8" w:color="F7F1EC"/>
            </w:tcBorders>
            <w:shd w:val="clear" w:color="auto" w:fill="F7F1EC"/>
          </w:tcPr>
          <w:p>
            <w:pPr>
              <w:jc w:val="right"/>
              <w:spacing w:after="0"/>
              <w:rPr>
                <w:sz w:val="20"/>
                <w:szCs w:val="20"/>
                <w:color w:val="auto"/>
              </w:rPr>
            </w:pPr>
            <w:r>
              <w:rPr>
                <w:rFonts w:ascii="Arial" w:cs="Arial" w:eastAsia="Arial" w:hAnsi="Arial"/>
                <w:sz w:val="15"/>
                <w:szCs w:val="15"/>
                <w:color w:val="auto"/>
              </w:rPr>
              <w:t>$</w:t>
            </w:r>
          </w:p>
        </w:tc>
        <w:tc>
          <w:tcPr>
            <w:tcW w:w="620" w:type="dxa"/>
            <w:vAlign w:val="bottom"/>
            <w:tcBorders>
              <w:bottom w:val="single" w:sz="8" w:color="F7F1EC"/>
            </w:tcBorders>
            <w:shd w:val="clear" w:color="auto" w:fill="F7F1EC"/>
          </w:tcPr>
          <w:p>
            <w:pPr>
              <w:jc w:val="right"/>
              <w:ind w:right="243"/>
              <w:spacing w:after="0"/>
              <w:rPr>
                <w:sz w:val="20"/>
                <w:szCs w:val="20"/>
                <w:color w:val="auto"/>
              </w:rPr>
            </w:pPr>
            <w:r>
              <w:rPr>
                <w:rFonts w:ascii="Arial" w:cs="Arial" w:eastAsia="Arial" w:hAnsi="Arial"/>
                <w:sz w:val="15"/>
                <w:szCs w:val="15"/>
                <w:color w:val="auto"/>
              </w:rPr>
              <w:t>8.3</w:t>
            </w:r>
          </w:p>
        </w:tc>
        <w:tc>
          <w:tcPr>
            <w:tcW w:w="1120" w:type="dxa"/>
            <w:vAlign w:val="bottom"/>
            <w:tcBorders>
              <w:bottom w:val="single" w:sz="8" w:color="F7F1EC"/>
            </w:tcBorders>
            <w:shd w:val="clear" w:color="auto" w:fill="F7F1EC"/>
          </w:tcPr>
          <w:p>
            <w:pPr>
              <w:jc w:val="right"/>
              <w:ind w:right="48"/>
              <w:spacing w:after="0"/>
              <w:rPr>
                <w:sz w:val="20"/>
                <w:szCs w:val="20"/>
                <w:color w:val="auto"/>
              </w:rPr>
            </w:pPr>
            <w:r>
              <w:rPr>
                <w:rFonts w:ascii="Arial" w:cs="Arial" w:eastAsia="Arial" w:hAnsi="Arial"/>
                <w:sz w:val="15"/>
                <w:szCs w:val="15"/>
                <w:color w:val="auto"/>
              </w:rPr>
              <w:t>$26.4</w:t>
            </w:r>
          </w:p>
        </w:tc>
      </w:tr>
      <w:tr>
        <w:trPr>
          <w:trHeight w:val="265"/>
        </w:trPr>
        <w:tc>
          <w:tcPr>
            <w:tcW w:w="5580" w:type="dxa"/>
            <w:vAlign w:val="bottom"/>
          </w:tcPr>
          <w:p>
            <w:pPr>
              <w:ind w:left="60"/>
              <w:spacing w:after="0"/>
              <w:rPr>
                <w:sz w:val="20"/>
                <w:szCs w:val="20"/>
                <w:color w:val="auto"/>
              </w:rPr>
            </w:pPr>
            <w:r>
              <w:rPr>
                <w:rFonts w:ascii="Arial" w:cs="Arial" w:eastAsia="Arial" w:hAnsi="Arial"/>
                <w:sz w:val="15"/>
                <w:szCs w:val="15"/>
                <w:color w:val="auto"/>
              </w:rPr>
              <w:t>LPL Financial Holdings Inc.</w:t>
            </w:r>
          </w:p>
        </w:tc>
        <w:tc>
          <w:tcPr>
            <w:tcW w:w="640" w:type="dxa"/>
            <w:vAlign w:val="bottom"/>
          </w:tcPr>
          <w:p>
            <w:pPr>
              <w:jc w:val="right"/>
              <w:spacing w:after="0"/>
              <w:rPr>
                <w:sz w:val="20"/>
                <w:szCs w:val="20"/>
                <w:color w:val="auto"/>
              </w:rPr>
            </w:pPr>
            <w:r>
              <w:rPr>
                <w:rFonts w:ascii="Arial" w:cs="Arial" w:eastAsia="Arial" w:hAnsi="Arial"/>
                <w:sz w:val="15"/>
                <w:szCs w:val="15"/>
                <w:color w:val="auto"/>
              </w:rPr>
              <w:t>$</w:t>
            </w:r>
          </w:p>
        </w:tc>
        <w:tc>
          <w:tcPr>
            <w:tcW w:w="620" w:type="dxa"/>
            <w:vAlign w:val="bottom"/>
          </w:tcPr>
          <w:p>
            <w:pPr>
              <w:jc w:val="right"/>
              <w:ind w:right="243"/>
              <w:spacing w:after="0"/>
              <w:rPr>
                <w:sz w:val="20"/>
                <w:szCs w:val="20"/>
                <w:color w:val="auto"/>
              </w:rPr>
            </w:pPr>
            <w:r>
              <w:rPr>
                <w:rFonts w:ascii="Arial" w:cs="Arial" w:eastAsia="Arial" w:hAnsi="Arial"/>
                <w:sz w:val="15"/>
                <w:szCs w:val="15"/>
                <w:color w:val="auto"/>
                <w:w w:val="95"/>
              </w:rPr>
              <w:t>12.4</w:t>
            </w:r>
          </w:p>
        </w:tc>
        <w:tc>
          <w:tcPr>
            <w:tcW w:w="1120" w:type="dxa"/>
            <w:vAlign w:val="bottom"/>
          </w:tcPr>
          <w:p>
            <w:pPr>
              <w:jc w:val="right"/>
              <w:ind w:right="48"/>
              <w:spacing w:after="0"/>
              <w:rPr>
                <w:sz w:val="20"/>
                <w:szCs w:val="20"/>
                <w:color w:val="auto"/>
              </w:rPr>
            </w:pPr>
            <w:r>
              <w:rPr>
                <w:rFonts w:ascii="Arial" w:cs="Arial" w:eastAsia="Arial" w:hAnsi="Arial"/>
                <w:sz w:val="15"/>
                <w:szCs w:val="15"/>
                <w:color w:val="auto"/>
              </w:rPr>
              <w:t>$24.4</w:t>
            </w:r>
          </w:p>
        </w:tc>
      </w:tr>
    </w:tbl>
    <w:p>
      <w:pPr>
        <w:spacing w:after="0" w:line="131" w:lineRule="exact"/>
        <w:rPr>
          <w:sz w:val="20"/>
          <w:szCs w:val="20"/>
          <w:color w:val="auto"/>
        </w:rPr>
      </w:pPr>
    </w:p>
    <w:p>
      <w:pPr>
        <w:ind w:right="20"/>
        <w:spacing w:after="0" w:line="256" w:lineRule="auto"/>
        <w:rPr>
          <w:sz w:val="20"/>
          <w:szCs w:val="20"/>
          <w:color w:val="auto"/>
        </w:rPr>
      </w:pPr>
      <w:r>
        <w:rPr>
          <w:rFonts w:ascii="Arial" w:cs="Arial" w:eastAsia="Arial" w:hAnsi="Arial"/>
          <w:sz w:val="15"/>
          <w:szCs w:val="15"/>
          <w:color w:val="auto"/>
        </w:rPr>
        <w:t>In 2025, with the assistance of the Compensation Consultant, the Compensation Committee conducted a focused review of the size and composition of the Company’s peer group to assist with 2025 year-end compensation decision-making and the review of 2026 total target compensation. In particular, the Compensation Committee considered the continued appropriateness of the peer companies and additional candidate companies for potential inclusion in the peer group, particularly in light of the Company’s revenue and market capitalization relative to current and potential additional peers.</w:t>
      </w:r>
    </w:p>
    <w:p>
      <w:pPr>
        <w:spacing w:after="0" w:line="70" w:lineRule="exact"/>
        <w:rPr>
          <w:sz w:val="20"/>
          <w:szCs w:val="20"/>
          <w:color w:val="auto"/>
        </w:rPr>
      </w:pPr>
    </w:p>
    <w:p>
      <w:pPr>
        <w:spacing w:after="0" w:line="261" w:lineRule="auto"/>
        <w:rPr>
          <w:sz w:val="20"/>
          <w:szCs w:val="20"/>
          <w:color w:val="auto"/>
        </w:rPr>
      </w:pPr>
      <w:r>
        <w:rPr>
          <w:rFonts w:ascii="Arial" w:cs="Arial" w:eastAsia="Arial" w:hAnsi="Arial"/>
          <w:sz w:val="15"/>
          <w:szCs w:val="15"/>
          <w:color w:val="auto"/>
        </w:rPr>
        <w:t>Following the assessment, the Compensation Committee determined that no changes were needed to the Company’s peer group. As a result, the companies within our peer group used for 2025 year-end compensation decision-making and in the review of 2026 total target compensation consisted of the same peer group listed above that was used for 2024 year-end compensation decision-making and in the review of 2025 total target compensation.</w:t>
      </w:r>
    </w:p>
    <w:p>
      <w:pPr>
        <w:spacing w:after="0" w:line="66" w:lineRule="exact"/>
        <w:rPr>
          <w:sz w:val="20"/>
          <w:szCs w:val="20"/>
          <w:color w:val="auto"/>
        </w:rPr>
      </w:pPr>
    </w:p>
    <w:p>
      <w:pPr>
        <w:ind w:right="20"/>
        <w:spacing w:after="0" w:line="287" w:lineRule="auto"/>
        <w:rPr>
          <w:sz w:val="20"/>
          <w:szCs w:val="20"/>
          <w:color w:val="auto"/>
        </w:rPr>
      </w:pPr>
      <w:r>
        <w:rPr>
          <w:rFonts w:ascii="Arial" w:cs="Arial" w:eastAsia="Arial" w:hAnsi="Arial"/>
          <w:sz w:val="15"/>
          <w:szCs w:val="15"/>
          <w:color w:val="auto"/>
        </w:rPr>
        <w:t>The chart below compares the 2025 revenues for and market capitalization as of December 31, 2025 of the Company and the median of the peer group described immediately above:</w:t>
      </w:r>
    </w:p>
    <w:p>
      <w:pPr>
        <w:spacing w:after="0" w:line="169"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5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20" w:type="dxa"/>
            <w:vAlign w:val="bottom"/>
          </w:tcPr>
          <w:p>
            <w:pPr>
              <w:jc w:val="right"/>
              <w:ind w:right="148"/>
              <w:spacing w:after="0"/>
              <w:rPr>
                <w:sz w:val="20"/>
                <w:szCs w:val="20"/>
                <w:color w:val="auto"/>
              </w:rPr>
            </w:pPr>
            <w:r>
              <w:rPr>
                <w:rFonts w:ascii="Arial" w:cs="Arial" w:eastAsia="Arial" w:hAnsi="Arial"/>
                <w:sz w:val="14"/>
                <w:szCs w:val="14"/>
                <w:b w:val="1"/>
                <w:bCs w:val="1"/>
                <w:color w:val="002B5F"/>
              </w:rPr>
              <w:t>Market</w:t>
            </w:r>
          </w:p>
        </w:tc>
      </w:tr>
      <w:tr>
        <w:trPr>
          <w:trHeight w:val="194"/>
        </w:trPr>
        <w:tc>
          <w:tcPr>
            <w:tcW w:w="5580" w:type="dxa"/>
            <w:vAlign w:val="bottom"/>
            <w:tcBorders>
              <w:bottom w:val="single" w:sz="8" w:color="002B5F"/>
            </w:tcBorders>
          </w:tcPr>
          <w:p>
            <w:pPr>
              <w:ind w:left="60"/>
              <w:spacing w:after="0"/>
              <w:rPr>
                <w:sz w:val="20"/>
                <w:szCs w:val="20"/>
                <w:color w:val="auto"/>
              </w:rPr>
            </w:pPr>
            <w:r>
              <w:rPr>
                <w:rFonts w:ascii="Arial" w:cs="Arial" w:eastAsia="Arial" w:hAnsi="Arial"/>
                <w:sz w:val="14"/>
                <w:szCs w:val="14"/>
                <w:b w:val="1"/>
                <w:bCs w:val="1"/>
                <w:color w:val="002B5F"/>
              </w:rPr>
              <w:t>(In Billions)</w:t>
            </w:r>
          </w:p>
        </w:tc>
        <w:tc>
          <w:tcPr>
            <w:tcW w:w="1260" w:type="dxa"/>
            <w:vAlign w:val="bottom"/>
            <w:tcBorders>
              <w:bottom w:val="single" w:sz="8" w:color="002B5F"/>
            </w:tcBorders>
            <w:gridSpan w:val="2"/>
          </w:tcPr>
          <w:p>
            <w:pPr>
              <w:jc w:val="right"/>
              <w:ind w:right="163"/>
              <w:spacing w:after="0"/>
              <w:rPr>
                <w:sz w:val="20"/>
                <w:szCs w:val="20"/>
                <w:color w:val="auto"/>
              </w:rPr>
            </w:pPr>
            <w:r>
              <w:rPr>
                <w:rFonts w:ascii="Arial" w:cs="Arial" w:eastAsia="Arial" w:hAnsi="Arial"/>
                <w:sz w:val="14"/>
                <w:szCs w:val="14"/>
                <w:b w:val="1"/>
                <w:bCs w:val="1"/>
                <w:color w:val="002B5F"/>
              </w:rPr>
              <w:t>Revenue</w:t>
            </w:r>
          </w:p>
        </w:tc>
        <w:tc>
          <w:tcPr>
            <w:tcW w:w="1120" w:type="dxa"/>
            <w:vAlign w:val="bottom"/>
            <w:tcBorders>
              <w:bottom w:val="single" w:sz="8" w:color="002B5F"/>
            </w:tcBorders>
          </w:tcPr>
          <w:p>
            <w:pPr>
              <w:jc w:val="right"/>
              <w:spacing w:after="0"/>
              <w:rPr>
                <w:sz w:val="20"/>
                <w:szCs w:val="20"/>
                <w:color w:val="auto"/>
              </w:rPr>
            </w:pPr>
            <w:r>
              <w:rPr>
                <w:rFonts w:ascii="Arial" w:cs="Arial" w:eastAsia="Arial" w:hAnsi="Arial"/>
                <w:sz w:val="14"/>
                <w:szCs w:val="14"/>
                <w:b w:val="1"/>
                <w:bCs w:val="1"/>
                <w:color w:val="002B5F"/>
              </w:rPr>
              <w:t>Capitalization</w:t>
            </w:r>
          </w:p>
        </w:tc>
      </w:tr>
      <w:tr>
        <w:trPr>
          <w:trHeight w:val="274"/>
        </w:trPr>
        <w:tc>
          <w:tcPr>
            <w:tcW w:w="5580" w:type="dxa"/>
            <w:vAlign w:val="bottom"/>
            <w:tcBorders>
              <w:bottom w:val="single" w:sz="8" w:color="F7F1EC"/>
            </w:tcBorders>
            <w:shd w:val="clear" w:color="auto" w:fill="F7F1EC"/>
          </w:tcPr>
          <w:p>
            <w:pPr>
              <w:ind w:left="60"/>
              <w:spacing w:after="0"/>
              <w:rPr>
                <w:sz w:val="20"/>
                <w:szCs w:val="20"/>
                <w:color w:val="auto"/>
              </w:rPr>
            </w:pPr>
            <w:r>
              <w:rPr>
                <w:rFonts w:ascii="Arial" w:cs="Arial" w:eastAsia="Arial" w:hAnsi="Arial"/>
                <w:sz w:val="15"/>
                <w:szCs w:val="15"/>
                <w:color w:val="auto"/>
              </w:rPr>
              <w:t>Peer Group (Median)</w:t>
            </w:r>
          </w:p>
        </w:tc>
        <w:tc>
          <w:tcPr>
            <w:tcW w:w="640" w:type="dxa"/>
            <w:vAlign w:val="bottom"/>
            <w:tcBorders>
              <w:bottom w:val="single" w:sz="8" w:color="F7F1EC"/>
            </w:tcBorders>
            <w:shd w:val="clear" w:color="auto" w:fill="F7F1EC"/>
          </w:tcPr>
          <w:p>
            <w:pPr>
              <w:jc w:val="right"/>
              <w:spacing w:after="0"/>
              <w:rPr>
                <w:sz w:val="20"/>
                <w:szCs w:val="20"/>
                <w:color w:val="auto"/>
              </w:rPr>
            </w:pPr>
            <w:r>
              <w:rPr>
                <w:rFonts w:ascii="Arial" w:cs="Arial" w:eastAsia="Arial" w:hAnsi="Arial"/>
                <w:sz w:val="15"/>
                <w:szCs w:val="15"/>
                <w:color w:val="auto"/>
              </w:rPr>
              <w:t>$</w:t>
            </w:r>
          </w:p>
        </w:tc>
        <w:tc>
          <w:tcPr>
            <w:tcW w:w="620" w:type="dxa"/>
            <w:vAlign w:val="bottom"/>
            <w:tcBorders>
              <w:bottom w:val="single" w:sz="8" w:color="F7F1EC"/>
            </w:tcBorders>
            <w:shd w:val="clear" w:color="auto" w:fill="F7F1EC"/>
          </w:tcPr>
          <w:p>
            <w:pPr>
              <w:jc w:val="right"/>
              <w:ind w:right="243"/>
              <w:spacing w:after="0"/>
              <w:rPr>
                <w:sz w:val="20"/>
                <w:szCs w:val="20"/>
                <w:color w:val="auto"/>
              </w:rPr>
            </w:pPr>
            <w:r>
              <w:rPr>
                <w:rFonts w:ascii="Arial" w:cs="Arial" w:eastAsia="Arial" w:hAnsi="Arial"/>
                <w:sz w:val="15"/>
                <w:szCs w:val="15"/>
                <w:color w:val="auto"/>
              </w:rPr>
              <w:t>8.3</w:t>
            </w:r>
          </w:p>
        </w:tc>
        <w:tc>
          <w:tcPr>
            <w:tcW w:w="1120" w:type="dxa"/>
            <w:vAlign w:val="bottom"/>
            <w:tcBorders>
              <w:bottom w:val="single" w:sz="8" w:color="F7F1EC"/>
            </w:tcBorders>
            <w:shd w:val="clear" w:color="auto" w:fill="F7F1EC"/>
          </w:tcPr>
          <w:p>
            <w:pPr>
              <w:jc w:val="right"/>
              <w:ind w:right="48"/>
              <w:spacing w:after="0"/>
              <w:rPr>
                <w:sz w:val="20"/>
                <w:szCs w:val="20"/>
                <w:color w:val="auto"/>
              </w:rPr>
            </w:pPr>
            <w:r>
              <w:rPr>
                <w:rFonts w:ascii="Arial" w:cs="Arial" w:eastAsia="Arial" w:hAnsi="Arial"/>
                <w:sz w:val="15"/>
                <w:szCs w:val="15"/>
                <w:color w:val="auto"/>
              </w:rPr>
              <w:t>$31.6</w:t>
            </w:r>
          </w:p>
        </w:tc>
      </w:tr>
      <w:tr>
        <w:trPr>
          <w:trHeight w:val="265"/>
        </w:trPr>
        <w:tc>
          <w:tcPr>
            <w:tcW w:w="5580" w:type="dxa"/>
            <w:vAlign w:val="bottom"/>
          </w:tcPr>
          <w:p>
            <w:pPr>
              <w:ind w:left="60"/>
              <w:spacing w:after="0"/>
              <w:rPr>
                <w:sz w:val="20"/>
                <w:szCs w:val="20"/>
                <w:color w:val="auto"/>
              </w:rPr>
            </w:pPr>
            <w:r>
              <w:rPr>
                <w:rFonts w:ascii="Arial" w:cs="Arial" w:eastAsia="Arial" w:hAnsi="Arial"/>
                <w:sz w:val="15"/>
                <w:szCs w:val="15"/>
                <w:color w:val="auto"/>
              </w:rPr>
              <w:t>LPL Financial Holdings Inc.</w:t>
            </w:r>
          </w:p>
        </w:tc>
        <w:tc>
          <w:tcPr>
            <w:tcW w:w="640" w:type="dxa"/>
            <w:vAlign w:val="bottom"/>
          </w:tcPr>
          <w:p>
            <w:pPr>
              <w:jc w:val="right"/>
              <w:spacing w:after="0"/>
              <w:rPr>
                <w:sz w:val="20"/>
                <w:szCs w:val="20"/>
                <w:color w:val="auto"/>
              </w:rPr>
            </w:pPr>
            <w:r>
              <w:rPr>
                <w:rFonts w:ascii="Arial" w:cs="Arial" w:eastAsia="Arial" w:hAnsi="Arial"/>
                <w:sz w:val="15"/>
                <w:szCs w:val="15"/>
                <w:color w:val="auto"/>
              </w:rPr>
              <w:t>$</w:t>
            </w:r>
          </w:p>
        </w:tc>
        <w:tc>
          <w:tcPr>
            <w:tcW w:w="620" w:type="dxa"/>
            <w:vAlign w:val="bottom"/>
          </w:tcPr>
          <w:p>
            <w:pPr>
              <w:jc w:val="right"/>
              <w:ind w:right="243"/>
              <w:spacing w:after="0"/>
              <w:rPr>
                <w:sz w:val="20"/>
                <w:szCs w:val="20"/>
                <w:color w:val="auto"/>
              </w:rPr>
            </w:pPr>
            <w:r>
              <w:rPr>
                <w:rFonts w:ascii="Arial" w:cs="Arial" w:eastAsia="Arial" w:hAnsi="Arial"/>
                <w:sz w:val="15"/>
                <w:szCs w:val="15"/>
                <w:color w:val="auto"/>
                <w:w w:val="95"/>
              </w:rPr>
              <w:t>17.0</w:t>
            </w:r>
          </w:p>
        </w:tc>
        <w:tc>
          <w:tcPr>
            <w:tcW w:w="1120" w:type="dxa"/>
            <w:vAlign w:val="bottom"/>
          </w:tcPr>
          <w:p>
            <w:pPr>
              <w:jc w:val="right"/>
              <w:ind w:right="48"/>
              <w:spacing w:after="0"/>
              <w:rPr>
                <w:sz w:val="20"/>
                <w:szCs w:val="20"/>
                <w:color w:val="auto"/>
              </w:rPr>
            </w:pPr>
            <w:r>
              <w:rPr>
                <w:rFonts w:ascii="Arial" w:cs="Arial" w:eastAsia="Arial" w:hAnsi="Arial"/>
                <w:sz w:val="15"/>
                <w:szCs w:val="15"/>
                <w:color w:val="auto"/>
              </w:rPr>
              <w:t>$28.6</w:t>
            </w:r>
          </w:p>
        </w:tc>
      </w:tr>
    </w:tbl>
    <w:p>
      <w:pPr>
        <w:spacing w:after="0" w:line="3054" w:lineRule="exact"/>
        <w:rPr>
          <w:sz w:val="20"/>
          <w:szCs w:val="20"/>
          <w:color w:val="auto"/>
        </w:rPr>
      </w:pPr>
    </w:p>
    <w:p>
      <w:pPr>
        <w:sectPr>
          <w:pgSz w:w="11900" w:h="16838" w:orient="portrait"/>
          <w:cols w:equalWidth="0" w:num="2">
            <w:col w:w="2160" w:space="560"/>
            <w:col w:w="7980"/>
          </w:cols>
          <w:pgMar w:left="320" w:top="464" w:right="879" w:bottom="1440" w:gutter="0" w:footer="0" w:header="0"/>
        </w:sectPr>
      </w:pPr>
    </w:p>
    <w:p>
      <w:pPr>
        <w:spacing w:after="0" w:line="200" w:lineRule="exact"/>
        <w:rPr>
          <w:sz w:val="20"/>
          <w:szCs w:val="20"/>
          <w:color w:val="auto"/>
        </w:rPr>
      </w:pPr>
    </w:p>
    <w:p>
      <w:pPr>
        <w:spacing w:after="0" w:line="385" w:lineRule="exact"/>
        <w:rPr>
          <w:sz w:val="20"/>
          <w:szCs w:val="20"/>
          <w:color w:val="auto"/>
        </w:rPr>
      </w:pPr>
    </w:p>
    <w:p>
      <w:pPr>
        <w:ind w:left="420"/>
        <w:spacing w:after="0"/>
        <w:tabs>
          <w:tab w:leader="none" w:pos="2380" w:val="left"/>
          <w:tab w:leader="none" w:pos="2800" w:val="left"/>
        </w:tabs>
        <w:rPr>
          <w:sz w:val="20"/>
          <w:szCs w:val="20"/>
          <w:color w:val="auto"/>
        </w:rPr>
      </w:pPr>
      <w:r>
        <w:rPr>
          <w:rFonts w:ascii="Arial" w:cs="Arial" w:eastAsia="Arial" w:hAnsi="Arial"/>
          <w:sz w:val="30"/>
          <w:szCs w:val="30"/>
          <w:color w:val="000000"/>
          <w:vertAlign w:val="superscript"/>
        </w:rPr>
        <w:t xml:space="preserve">             </w:t>
      </w:r>
      <w:r>
        <w:rPr>
          <w:sz w:val="20"/>
          <w:szCs w:val="20"/>
          <w:color w:val="auto"/>
        </w:rPr>
        <w:tab/>
      </w:r>
      <w:r>
        <w:rPr>
          <w:rFonts w:ascii="Arial" w:cs="Arial" w:eastAsia="Arial" w:hAnsi="Arial"/>
          <w:sz w:val="31"/>
          <w:szCs w:val="31"/>
          <w:color w:val="auto"/>
          <w:vertAlign w:val="superscript"/>
        </w:rPr>
        <w:t xml:space="preserve">    </w:t>
      </w:r>
      <w:r>
        <w:rPr>
          <w:sz w:val="20"/>
          <w:szCs w:val="20"/>
          <w:color w:val="auto"/>
        </w:rPr>
        <w:tab/>
      </w:r>
      <w:r>
        <w:rPr>
          <w:rFonts w:ascii="Arial" w:cs="Arial" w:eastAsia="Arial" w:hAnsi="Arial"/>
          <w:sz w:val="15"/>
          <w:szCs w:val="15"/>
          <w:b w:val="1"/>
          <w:bCs w:val="1"/>
          <w:color w:val="002B5F"/>
        </w:rPr>
        <w:t xml:space="preserve">56  </w:t>
      </w:r>
      <w:r>
        <w:rPr>
          <w:rFonts w:ascii="Arial" w:cs="Arial" w:eastAsia="Arial" w:hAnsi="Arial"/>
          <w:sz w:val="20"/>
          <w:szCs w:val="20"/>
          <w:color w:val="002B5F"/>
        </w:rPr>
        <w:t>|</w:t>
      </w:r>
      <w:r>
        <w:rPr>
          <w:rFonts w:ascii="Arial" w:cs="Arial" w:eastAsia="Arial" w:hAnsi="Arial"/>
          <w:sz w:val="15"/>
          <w:szCs w:val="15"/>
          <w:b w:val="1"/>
          <w:bCs w:val="1"/>
          <w:color w:val="002B5F"/>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6111875</wp:posOffset>
            </wp:positionH>
            <wp:positionV relativeFrom="paragraph">
              <wp:posOffset>-208915</wp:posOffset>
            </wp:positionV>
            <wp:extent cx="769620" cy="971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69620" cy="97155"/>
                    </a:xfrm>
                    <a:prstGeom prst="rect">
                      <a:avLst/>
                    </a:prstGeom>
                    <a:noFill/>
                  </pic:spPr>
                </pic:pic>
              </a:graphicData>
            </a:graphic>
          </wp:anchor>
        </w:drawing>
      </w:r>
    </w:p>
    <w:p>
      <w:pPr>
        <w:sectPr>
          <w:pgSz w:w="11900" w:h="16838" w:orient="portrait"/>
          <w:cols w:equalWidth="0" w:num="1">
            <w:col w:w="10700"/>
          </w:cols>
          <w:pgMar w:left="320" w:top="464" w:right="879" w:bottom="1440" w:gutter="0" w:footer="0" w:header="0"/>
          <w:type w:val="continuous"/>
        </w:sectPr>
      </w:pPr>
    </w:p>
    <w:bookmarkStart w:id="64" w:name="page65"/>
    <w:bookmarkEnd w:id="6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5334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81215" cy="5334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5617845</wp:posOffset>
            </wp:positionH>
            <wp:positionV relativeFrom="paragraph">
              <wp:posOffset>253365</wp:posOffset>
            </wp:positionV>
            <wp:extent cx="1256030" cy="74720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1256030" cy="7472045"/>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ind w:left="540"/>
        <w:spacing w:after="0"/>
        <w:rPr>
          <w:sz w:val="20"/>
          <w:szCs w:val="20"/>
          <w:color w:val="auto"/>
        </w:rPr>
      </w:pPr>
      <w:r>
        <w:rPr>
          <w:rFonts w:ascii="Arial" w:cs="Arial" w:eastAsia="Arial" w:hAnsi="Arial"/>
          <w:sz w:val="24"/>
          <w:szCs w:val="24"/>
          <w:color w:val="B95827"/>
        </w:rPr>
        <w:t>Compensation Policies and Practices</w:t>
      </w:r>
    </w:p>
    <w:tbl>
      <w:tblPr>
        <w:tblLayout w:type="fixed"/>
        <w:tblInd w:w="540" w:type="dxa"/>
        <w:tblCellMar>
          <w:top w:w="0" w:type="dxa"/>
          <w:left w:w="0" w:type="dxa"/>
          <w:bottom w:w="0" w:type="dxa"/>
          <w:right w:w="0" w:type="dxa"/>
        </w:tblCellMar>
      </w:tblPr>
      <w:tr>
        <w:trPr>
          <w:trHeight w:val="146"/>
        </w:trPr>
        <w:tc>
          <w:tcPr>
            <w:tcW w:w="8540" w:type="dxa"/>
            <w:vAlign w:val="bottom"/>
          </w:tcPr>
          <w:p>
            <w:pPr>
              <w:ind w:left="8340"/>
              <w:spacing w:after="0" w:line="146" w:lineRule="exact"/>
              <w:rPr>
                <w:sz w:val="20"/>
                <w:szCs w:val="20"/>
                <w:color w:val="auto"/>
              </w:rPr>
            </w:pPr>
            <w:r>
              <w:rPr>
                <w:rFonts w:ascii="Arial" w:cs="Arial" w:eastAsia="Arial" w:hAnsi="Arial"/>
                <w:sz w:val="15"/>
                <w:szCs w:val="15"/>
                <w:color w:val="auto"/>
              </w:rPr>
              <w:t> </w:t>
            </w:r>
          </w:p>
        </w:tc>
        <w:tc>
          <w:tcPr>
            <w:tcW w:w="1280" w:type="dxa"/>
            <w:vAlign w:val="bottom"/>
          </w:tcPr>
          <w:p>
            <w:pPr>
              <w:ind w:left="140"/>
              <w:spacing w:after="0"/>
              <w:rPr>
                <w:sz w:val="20"/>
                <w:szCs w:val="20"/>
                <w:color w:val="auto"/>
              </w:rPr>
            </w:pPr>
            <w:r>
              <w:rPr>
                <w:rFonts w:ascii="Arial" w:cs="Arial" w:eastAsia="Arial" w:hAnsi="Arial"/>
                <w:sz w:val="12"/>
                <w:szCs w:val="12"/>
                <w:color w:val="FFFFFF"/>
              </w:rPr>
              <w:t>General</w:t>
            </w:r>
          </w:p>
        </w:tc>
        <w:tc>
          <w:tcPr>
            <w:tcW w:w="440" w:type="dxa"/>
            <w:vAlign w:val="bottom"/>
          </w:tcPr>
          <w:p>
            <w:pPr>
              <w:ind w:left="80"/>
              <w:spacing w:after="0" w:line="146" w:lineRule="exact"/>
              <w:rPr>
                <w:sz w:val="20"/>
                <w:szCs w:val="20"/>
                <w:color w:val="auto"/>
              </w:rPr>
            </w:pPr>
            <w:r>
              <w:rPr>
                <w:rFonts w:ascii="Arial" w:cs="Arial" w:eastAsia="Arial" w:hAnsi="Arial"/>
                <w:sz w:val="15"/>
                <w:szCs w:val="15"/>
                <w:color w:val="auto"/>
              </w:rPr>
              <w:t xml:space="preserve">       </w:t>
            </w:r>
          </w:p>
        </w:tc>
        <w:tc>
          <w:tcPr>
            <w:tcW w:w="0" w:type="dxa"/>
            <w:vAlign w:val="bottom"/>
          </w:tcPr>
          <w:p>
            <w:pPr>
              <w:spacing w:after="0"/>
              <w:rPr>
                <w:sz w:val="1"/>
                <w:szCs w:val="1"/>
                <w:color w:val="auto"/>
              </w:rPr>
            </w:pPr>
          </w:p>
        </w:tc>
      </w:tr>
      <w:tr>
        <w:trPr>
          <w:trHeight w:val="232"/>
        </w:trPr>
        <w:tc>
          <w:tcPr>
            <w:tcW w:w="8540" w:type="dxa"/>
            <w:vAlign w:val="bottom"/>
          </w:tcPr>
          <w:p>
            <w:pPr>
              <w:spacing w:after="0"/>
              <w:rPr>
                <w:sz w:val="20"/>
                <w:szCs w:val="20"/>
                <w:color w:val="auto"/>
              </w:rPr>
            </w:pPr>
            <w:r>
              <w:rPr>
                <w:rFonts w:ascii="Arial" w:cs="Arial" w:eastAsia="Arial" w:hAnsi="Arial"/>
                <w:sz w:val="17"/>
                <w:szCs w:val="17"/>
                <w:b w:val="1"/>
                <w:bCs w:val="1"/>
                <w:color w:val="002B5F"/>
              </w:rPr>
              <w:t>NO EMPLOYMENT AGREEMENTS</w:t>
            </w:r>
          </w:p>
        </w:tc>
        <w:tc>
          <w:tcPr>
            <w:tcW w:w="1280" w:type="dxa"/>
            <w:vAlign w:val="bottom"/>
          </w:tcPr>
          <w:p>
            <w:pPr>
              <w:ind w:left="140"/>
              <w:spacing w:after="0"/>
              <w:rPr>
                <w:sz w:val="20"/>
                <w:szCs w:val="20"/>
                <w:color w:val="auto"/>
              </w:rPr>
            </w:pPr>
            <w:r>
              <w:rPr>
                <w:rFonts w:ascii="Arial" w:cs="Arial" w:eastAsia="Arial" w:hAnsi="Arial"/>
                <w:sz w:val="12"/>
                <w:szCs w:val="12"/>
                <w:color w:val="FFFFFF"/>
              </w:rPr>
              <w:t>Information</w:t>
            </w: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8540" w:type="dxa"/>
            <w:vAlign w:val="bottom"/>
          </w:tcPr>
          <w:p>
            <w:pPr>
              <w:spacing w:after="0"/>
              <w:rPr>
                <w:sz w:val="20"/>
                <w:szCs w:val="20"/>
                <w:color w:val="auto"/>
              </w:rPr>
            </w:pPr>
            <w:r>
              <w:rPr>
                <w:rFonts w:ascii="Arial" w:cs="Arial" w:eastAsia="Arial" w:hAnsi="Arial"/>
                <w:sz w:val="15"/>
                <w:szCs w:val="15"/>
                <w:color w:val="auto"/>
              </w:rPr>
              <w:t>We do not have individual employment agreements with any of our executive officers, including our NEOs, although</w:t>
            </w:r>
          </w:p>
        </w:tc>
        <w:tc>
          <w:tcPr>
            <w:tcW w:w="1280" w:type="dxa"/>
            <w:vAlign w:val="bottom"/>
          </w:tcPr>
          <w:p>
            <w:pPr>
              <w:ind w:left="140"/>
              <w:spacing w:after="0"/>
              <w:rPr>
                <w:sz w:val="20"/>
                <w:szCs w:val="20"/>
                <w:color w:val="auto"/>
              </w:rPr>
            </w:pPr>
            <w:r>
              <w:rPr>
                <w:rFonts w:ascii="Arial" w:cs="Arial" w:eastAsia="Arial" w:hAnsi="Arial"/>
                <w:sz w:val="12"/>
                <w:szCs w:val="12"/>
                <w:color w:val="FFFFFF"/>
              </w:rPr>
              <w:t>General Information</w:t>
            </w: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7"/>
        </w:trPr>
        <w:tc>
          <w:tcPr>
            <w:tcW w:w="8540" w:type="dxa"/>
            <w:vAlign w:val="bottom"/>
            <w:vMerge w:val="restart"/>
          </w:tcPr>
          <w:p>
            <w:pPr>
              <w:spacing w:after="0"/>
              <w:rPr>
                <w:sz w:val="20"/>
                <w:szCs w:val="20"/>
                <w:color w:val="auto"/>
              </w:rPr>
            </w:pPr>
            <w:r>
              <w:rPr>
                <w:rFonts w:ascii="Arial" w:cs="Arial" w:eastAsia="Arial" w:hAnsi="Arial"/>
                <w:sz w:val="15"/>
                <w:szCs w:val="15"/>
                <w:color w:val="auto"/>
              </w:rPr>
              <w:t>we have a practice of entering into offer letters with new executive officers that generally lay out the expected terms</w:t>
            </w:r>
          </w:p>
        </w:tc>
        <w:tc>
          <w:tcPr>
            <w:tcW w:w="1280" w:type="dxa"/>
            <w:vAlign w:val="bottom"/>
          </w:tcPr>
          <w:p>
            <w:pPr>
              <w:ind w:left="140"/>
              <w:spacing w:after="0" w:line="97" w:lineRule="exact"/>
              <w:rPr>
                <w:sz w:val="20"/>
                <w:szCs w:val="20"/>
                <w:color w:val="auto"/>
              </w:rPr>
            </w:pPr>
            <w:r>
              <w:rPr>
                <w:rFonts w:ascii="Arial" w:cs="Arial" w:eastAsia="Arial" w:hAnsi="Arial"/>
                <w:sz w:val="11"/>
                <w:szCs w:val="11"/>
                <w:color w:val="FFFFFF"/>
              </w:rPr>
              <w:t>About Corporate</w:t>
            </w: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8540" w:type="dxa"/>
            <w:vAlign w:val="bottom"/>
            <w:vMerge w:val="continue"/>
          </w:tcPr>
          <w:p>
            <w:pPr>
              <w:spacing w:after="0"/>
              <w:rPr>
                <w:sz w:val="10"/>
                <w:szCs w:val="10"/>
                <w:color w:val="auto"/>
              </w:rPr>
            </w:pPr>
          </w:p>
        </w:tc>
        <w:tc>
          <w:tcPr>
            <w:tcW w:w="1280" w:type="dxa"/>
            <w:vAlign w:val="bottom"/>
          </w:tcPr>
          <w:p>
            <w:pPr>
              <w:ind w:left="140"/>
              <w:spacing w:after="0" w:line="120" w:lineRule="exact"/>
              <w:rPr>
                <w:sz w:val="20"/>
                <w:szCs w:val="20"/>
                <w:color w:val="auto"/>
              </w:rPr>
            </w:pPr>
            <w:r>
              <w:rPr>
                <w:rFonts w:ascii="Arial" w:cs="Arial" w:eastAsia="Arial" w:hAnsi="Arial"/>
                <w:sz w:val="12"/>
                <w:szCs w:val="12"/>
                <w:color w:val="FFFFFF"/>
              </w:rPr>
              <w:t>Governance</w:t>
            </w: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8540" w:type="dxa"/>
            <w:vAlign w:val="bottom"/>
          </w:tcPr>
          <w:p>
            <w:pPr>
              <w:spacing w:after="0" w:line="141" w:lineRule="exact"/>
              <w:rPr>
                <w:sz w:val="20"/>
                <w:szCs w:val="20"/>
                <w:color w:val="auto"/>
              </w:rPr>
            </w:pPr>
            <w:r>
              <w:rPr>
                <w:rFonts w:ascii="Arial" w:cs="Arial" w:eastAsia="Arial" w:hAnsi="Arial"/>
                <w:sz w:val="15"/>
                <w:szCs w:val="15"/>
                <w:color w:val="auto"/>
              </w:rPr>
              <w:t>and conditions of their employment. Our executives serve at the will of the Board, and their rights to severance</w:t>
            </w:r>
          </w:p>
        </w:tc>
        <w:tc>
          <w:tcPr>
            <w:tcW w:w="1280" w:type="dxa"/>
            <w:vAlign w:val="bottom"/>
          </w:tcPr>
          <w:p>
            <w:pPr>
              <w:ind w:left="140"/>
              <w:spacing w:after="0"/>
              <w:rPr>
                <w:sz w:val="20"/>
                <w:szCs w:val="20"/>
                <w:color w:val="auto"/>
              </w:rPr>
            </w:pPr>
            <w:r>
              <w:rPr>
                <w:rFonts w:ascii="Arial" w:cs="Arial" w:eastAsia="Arial" w:hAnsi="Arial"/>
                <w:sz w:val="12"/>
                <w:szCs w:val="12"/>
                <w:color w:val="FFFFFF"/>
              </w:rPr>
              <w:t>and the Board of</w:t>
            </w: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5"/>
        </w:trPr>
        <w:tc>
          <w:tcPr>
            <w:tcW w:w="8540" w:type="dxa"/>
            <w:vAlign w:val="bottom"/>
          </w:tcPr>
          <w:p>
            <w:pPr>
              <w:spacing w:after="0"/>
              <w:rPr>
                <w:sz w:val="20"/>
                <w:szCs w:val="20"/>
                <w:color w:val="auto"/>
              </w:rPr>
            </w:pPr>
            <w:r>
              <w:rPr>
                <w:rFonts w:ascii="Arial" w:cs="Arial" w:eastAsia="Arial" w:hAnsi="Arial"/>
                <w:sz w:val="15"/>
                <w:szCs w:val="15"/>
                <w:color w:val="auto"/>
              </w:rPr>
              <w:t>benefits following a termination of employment, if any, are determined under our Executive Severance Plan, which</w:t>
            </w:r>
          </w:p>
        </w:tc>
        <w:tc>
          <w:tcPr>
            <w:tcW w:w="1280" w:type="dxa"/>
            <w:vAlign w:val="bottom"/>
          </w:tcPr>
          <w:p>
            <w:pPr>
              <w:ind w:left="140"/>
              <w:spacing w:after="0"/>
              <w:rPr>
                <w:sz w:val="20"/>
                <w:szCs w:val="20"/>
                <w:color w:val="auto"/>
              </w:rPr>
            </w:pPr>
            <w:r>
              <w:rPr>
                <w:rFonts w:ascii="Arial" w:cs="Arial" w:eastAsia="Arial" w:hAnsi="Arial"/>
                <w:sz w:val="12"/>
                <w:szCs w:val="12"/>
                <w:color w:val="FFFFFF"/>
              </w:rPr>
              <w:t>Directors</w:t>
            </w: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8540" w:type="dxa"/>
            <w:vAlign w:val="bottom"/>
          </w:tcPr>
          <w:p>
            <w:pPr>
              <w:spacing w:after="0"/>
              <w:rPr>
                <w:sz w:val="20"/>
                <w:szCs w:val="20"/>
                <w:color w:val="auto"/>
              </w:rPr>
            </w:pPr>
            <w:r>
              <w:rPr>
                <w:rFonts w:ascii="Arial" w:cs="Arial" w:eastAsia="Arial" w:hAnsi="Arial"/>
                <w:sz w:val="15"/>
                <w:szCs w:val="15"/>
                <w:color w:val="auto"/>
              </w:rPr>
              <w:t>applies uniformly to executives at the group managing director level and above.</w:t>
            </w:r>
          </w:p>
        </w:tc>
        <w:tc>
          <w:tcPr>
            <w:tcW w:w="1280" w:type="dxa"/>
            <w:vAlign w:val="bottom"/>
            <w:vMerge w:val="restart"/>
          </w:tcPr>
          <w:p>
            <w:pPr>
              <w:ind w:left="140"/>
              <w:spacing w:after="0"/>
              <w:rPr>
                <w:sz w:val="20"/>
                <w:szCs w:val="20"/>
                <w:color w:val="auto"/>
              </w:rPr>
            </w:pPr>
            <w:r>
              <w:rPr>
                <w:rFonts w:ascii="Arial" w:cs="Arial" w:eastAsia="Arial" w:hAnsi="Arial"/>
                <w:sz w:val="12"/>
                <w:szCs w:val="12"/>
                <w:color w:val="FFFFFF"/>
              </w:rPr>
              <w:t>Proposal 1</w:t>
            </w: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
        </w:trPr>
        <w:tc>
          <w:tcPr>
            <w:tcW w:w="85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07"/>
        </w:trPr>
        <w:tc>
          <w:tcPr>
            <w:tcW w:w="8540" w:type="dxa"/>
            <w:vAlign w:val="bottom"/>
          </w:tcPr>
          <w:p>
            <w:pPr>
              <w:spacing w:after="0"/>
              <w:rPr>
                <w:sz w:val="20"/>
                <w:szCs w:val="20"/>
                <w:color w:val="auto"/>
              </w:rPr>
            </w:pPr>
            <w:r>
              <w:rPr>
                <w:rFonts w:ascii="Arial" w:cs="Arial" w:eastAsia="Arial" w:hAnsi="Arial"/>
                <w:sz w:val="17"/>
                <w:szCs w:val="17"/>
                <w:b w:val="1"/>
                <w:bCs w:val="1"/>
                <w:color w:val="002B5F"/>
              </w:rPr>
              <w:t>EXECUTIVE SEVERANCE PLAN</w:t>
            </w:r>
          </w:p>
        </w:tc>
        <w:tc>
          <w:tcPr>
            <w:tcW w:w="1280" w:type="dxa"/>
            <w:vAlign w:val="bottom"/>
          </w:tcPr>
          <w:p>
            <w:pPr>
              <w:ind w:left="140"/>
              <w:spacing w:after="0"/>
              <w:rPr>
                <w:sz w:val="20"/>
                <w:szCs w:val="20"/>
                <w:color w:val="auto"/>
              </w:rPr>
            </w:pPr>
            <w:r>
              <w:rPr>
                <w:rFonts w:ascii="Arial" w:cs="Arial" w:eastAsia="Arial" w:hAnsi="Arial"/>
                <w:sz w:val="12"/>
                <w:szCs w:val="12"/>
                <w:color w:val="FFFFFF"/>
              </w:rPr>
              <w:t>Information</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
        </w:trPr>
        <w:tc>
          <w:tcPr>
            <w:tcW w:w="8540" w:type="dxa"/>
            <w:vAlign w:val="bottom"/>
          </w:tcPr>
          <w:p>
            <w:pPr>
              <w:spacing w:after="0"/>
              <w:rPr>
                <w:sz w:val="7"/>
                <w:szCs w:val="7"/>
                <w:color w:val="auto"/>
              </w:rPr>
            </w:pPr>
          </w:p>
        </w:tc>
        <w:tc>
          <w:tcPr>
            <w:tcW w:w="1280" w:type="dxa"/>
            <w:vAlign w:val="bottom"/>
          </w:tcPr>
          <w:p>
            <w:pPr>
              <w:ind w:left="140"/>
              <w:spacing w:after="0" w:line="85" w:lineRule="exact"/>
              <w:rPr>
                <w:sz w:val="20"/>
                <w:szCs w:val="20"/>
                <w:color w:val="auto"/>
              </w:rPr>
            </w:pPr>
            <w:r>
              <w:rPr>
                <w:rFonts w:ascii="Arial" w:cs="Arial" w:eastAsia="Arial" w:hAnsi="Arial"/>
                <w:sz w:val="8"/>
                <w:szCs w:val="8"/>
                <w:color w:val="FFFFFF"/>
              </w:rPr>
              <w:t>Regarding Board</w:t>
            </w:r>
          </w:p>
        </w:tc>
        <w:tc>
          <w:tcPr>
            <w:tcW w:w="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8"/>
        </w:trPr>
        <w:tc>
          <w:tcPr>
            <w:tcW w:w="8540" w:type="dxa"/>
            <w:vAlign w:val="bottom"/>
            <w:vMerge w:val="restart"/>
          </w:tcPr>
          <w:p>
            <w:pPr>
              <w:spacing w:after="0"/>
              <w:rPr>
                <w:sz w:val="20"/>
                <w:szCs w:val="20"/>
                <w:color w:val="auto"/>
              </w:rPr>
            </w:pPr>
            <w:r>
              <w:rPr>
                <w:rFonts w:ascii="Arial" w:cs="Arial" w:eastAsia="Arial" w:hAnsi="Arial"/>
                <w:sz w:val="15"/>
                <w:szCs w:val="15"/>
                <w:color w:val="auto"/>
              </w:rPr>
              <w:t>Under our Executive Severance Plan, participants who experience a qualifying termination of employment are</w:t>
            </w:r>
          </w:p>
        </w:tc>
        <w:tc>
          <w:tcPr>
            <w:tcW w:w="1280" w:type="dxa"/>
            <w:vAlign w:val="bottom"/>
          </w:tcPr>
          <w:p>
            <w:pPr>
              <w:ind w:left="140"/>
              <w:spacing w:after="0" w:line="128" w:lineRule="exact"/>
              <w:rPr>
                <w:sz w:val="20"/>
                <w:szCs w:val="20"/>
                <w:color w:val="auto"/>
              </w:rPr>
            </w:pPr>
            <w:r>
              <w:rPr>
                <w:rFonts w:ascii="Arial" w:cs="Arial" w:eastAsia="Arial" w:hAnsi="Arial"/>
                <w:sz w:val="12"/>
                <w:szCs w:val="12"/>
                <w:color w:val="FFFFFF"/>
              </w:rPr>
              <w:t>and Committee</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8540" w:type="dxa"/>
            <w:vAlign w:val="bottom"/>
            <w:vMerge w:val="continue"/>
          </w:tcPr>
          <w:p>
            <w:pPr>
              <w:spacing w:after="0"/>
              <w:rPr>
                <w:sz w:val="8"/>
                <w:szCs w:val="8"/>
                <w:color w:val="auto"/>
              </w:rPr>
            </w:pPr>
          </w:p>
        </w:tc>
        <w:tc>
          <w:tcPr>
            <w:tcW w:w="1280" w:type="dxa"/>
            <w:vAlign w:val="bottom"/>
            <w:vMerge w:val="restart"/>
          </w:tcPr>
          <w:p>
            <w:pPr>
              <w:ind w:left="140"/>
              <w:spacing w:after="0"/>
              <w:rPr>
                <w:sz w:val="20"/>
                <w:szCs w:val="20"/>
                <w:color w:val="auto"/>
              </w:rPr>
            </w:pPr>
            <w:r>
              <w:rPr>
                <w:rFonts w:ascii="Arial" w:cs="Arial" w:eastAsia="Arial" w:hAnsi="Arial"/>
                <w:sz w:val="12"/>
                <w:szCs w:val="12"/>
                <w:color w:val="FFFFFF"/>
              </w:rPr>
              <w:t>Structure</w:t>
            </w: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3"/>
        </w:trPr>
        <w:tc>
          <w:tcPr>
            <w:tcW w:w="8540" w:type="dxa"/>
            <w:vAlign w:val="bottom"/>
            <w:vMerge w:val="restart"/>
          </w:tcPr>
          <w:p>
            <w:pPr>
              <w:spacing w:after="0"/>
              <w:rPr>
                <w:sz w:val="20"/>
                <w:szCs w:val="20"/>
                <w:color w:val="auto"/>
              </w:rPr>
            </w:pPr>
            <w:r>
              <w:rPr>
                <w:rFonts w:ascii="Arial" w:cs="Arial" w:eastAsia="Arial" w:hAnsi="Arial"/>
                <w:sz w:val="15"/>
                <w:szCs w:val="15"/>
                <w:color w:val="auto"/>
              </w:rPr>
              <w:t>eligible to receive continued payment of base salary for one year, an amount equal to the most recent annual bonus</w:t>
            </w:r>
          </w:p>
        </w:tc>
        <w:tc>
          <w:tcPr>
            <w:tcW w:w="128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6"/>
        </w:trPr>
        <w:tc>
          <w:tcPr>
            <w:tcW w:w="854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8540" w:type="dxa"/>
            <w:vAlign w:val="bottom"/>
          </w:tcPr>
          <w:p>
            <w:pPr>
              <w:spacing w:after="0" w:line="153" w:lineRule="exact"/>
              <w:rPr>
                <w:sz w:val="20"/>
                <w:szCs w:val="20"/>
                <w:color w:val="auto"/>
              </w:rPr>
            </w:pPr>
            <w:r>
              <w:rPr>
                <w:rFonts w:ascii="Arial" w:cs="Arial" w:eastAsia="Arial" w:hAnsi="Arial"/>
                <w:sz w:val="15"/>
                <w:szCs w:val="15"/>
                <w:color w:val="auto"/>
              </w:rPr>
              <w:t>paid or payable to the executive and a subsidy of COBRA continuation benefits for one year.</w:t>
            </w:r>
          </w:p>
        </w:tc>
        <w:tc>
          <w:tcPr>
            <w:tcW w:w="1280" w:type="dxa"/>
            <w:vAlign w:val="bottom"/>
          </w:tcPr>
          <w:p>
            <w:pPr>
              <w:ind w:left="140"/>
              <w:spacing w:after="0"/>
              <w:rPr>
                <w:sz w:val="20"/>
                <w:szCs w:val="20"/>
                <w:color w:val="auto"/>
              </w:rPr>
            </w:pPr>
            <w:r>
              <w:rPr>
                <w:rFonts w:ascii="Arial" w:cs="Arial" w:eastAsia="Arial" w:hAnsi="Arial"/>
                <w:sz w:val="12"/>
                <w:szCs w:val="12"/>
                <w:color w:val="FFFFFF"/>
              </w:rPr>
              <w:t>Board of Directors</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8540" w:type="dxa"/>
            <w:vAlign w:val="bottom"/>
            <w:vMerge w:val="restart"/>
          </w:tcPr>
          <w:p>
            <w:pPr>
              <w:spacing w:after="0"/>
              <w:rPr>
                <w:sz w:val="20"/>
                <w:szCs w:val="20"/>
                <w:color w:val="auto"/>
              </w:rPr>
            </w:pPr>
            <w:r>
              <w:rPr>
                <w:rFonts w:ascii="Arial" w:cs="Arial" w:eastAsia="Arial" w:hAnsi="Arial"/>
                <w:sz w:val="15"/>
                <w:szCs w:val="15"/>
                <w:color w:val="auto"/>
              </w:rPr>
              <w:t>Additional benefits, including possible accelerated vesting of equity-based awards, are described elsewhere in this</w:t>
            </w:r>
          </w:p>
        </w:tc>
        <w:tc>
          <w:tcPr>
            <w:tcW w:w="1280" w:type="dxa"/>
            <w:vAlign w:val="bottom"/>
          </w:tcPr>
          <w:p>
            <w:pPr>
              <w:ind w:left="140"/>
              <w:spacing w:after="0"/>
              <w:rPr>
                <w:sz w:val="20"/>
                <w:szCs w:val="20"/>
                <w:color w:val="auto"/>
              </w:rPr>
            </w:pPr>
            <w:r>
              <w:rPr>
                <w:rFonts w:ascii="Arial" w:cs="Arial" w:eastAsia="Arial" w:hAnsi="Arial"/>
                <w:sz w:val="12"/>
                <w:szCs w:val="12"/>
                <w:color w:val="FFFFFF"/>
              </w:rPr>
              <w:t>Compensation</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8540" w:type="dxa"/>
            <w:vAlign w:val="bottom"/>
            <w:vMerge w:val="continue"/>
          </w:tcPr>
          <w:p>
            <w:pPr>
              <w:spacing w:after="0"/>
              <w:rPr>
                <w:sz w:val="12"/>
                <w:szCs w:val="12"/>
                <w:color w:val="auto"/>
              </w:rPr>
            </w:pPr>
          </w:p>
        </w:tc>
        <w:tc>
          <w:tcPr>
            <w:tcW w:w="1280" w:type="dxa"/>
            <w:vAlign w:val="bottom"/>
            <w:vMerge w:val="restart"/>
          </w:tcPr>
          <w:p>
            <w:pPr>
              <w:ind w:left="140"/>
              <w:spacing w:after="0"/>
              <w:rPr>
                <w:sz w:val="20"/>
                <w:szCs w:val="20"/>
                <w:color w:val="auto"/>
              </w:rPr>
            </w:pPr>
            <w:r>
              <w:rPr>
                <w:rFonts w:ascii="Arial" w:cs="Arial" w:eastAsia="Arial" w:hAnsi="Arial"/>
                <w:sz w:val="12"/>
                <w:szCs w:val="12"/>
                <w:b w:val="1"/>
                <w:bCs w:val="1"/>
                <w:color w:val="FFFFFF"/>
              </w:rPr>
              <w:t>Compensation</w:t>
            </w: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8540" w:type="dxa"/>
            <w:vAlign w:val="bottom"/>
          </w:tcPr>
          <w:p>
            <w:pPr>
              <w:spacing w:after="0" w:line="153" w:lineRule="exact"/>
              <w:rPr>
                <w:sz w:val="20"/>
                <w:szCs w:val="20"/>
                <w:color w:val="auto"/>
              </w:rPr>
            </w:pPr>
            <w:r>
              <w:rPr>
                <w:rFonts w:ascii="Arial" w:cs="Arial" w:eastAsia="Arial" w:hAnsi="Arial"/>
                <w:sz w:val="15"/>
                <w:szCs w:val="15"/>
                <w:color w:val="auto"/>
              </w:rPr>
              <w:t>proxy statement under “</w:t>
            </w:r>
            <w:r>
              <w:rPr>
                <w:rFonts w:ascii="Arial" w:cs="Arial" w:eastAsia="Arial" w:hAnsi="Arial"/>
                <w:sz w:val="15"/>
                <w:szCs w:val="15"/>
                <w:i w:val="1"/>
                <w:iCs w:val="1"/>
                <w:color w:val="auto"/>
              </w:rPr>
              <w:t>Potential Payments upon Termination or Change-in-Control for the Year Ended</w:t>
            </w:r>
          </w:p>
        </w:tc>
        <w:tc>
          <w:tcPr>
            <w:tcW w:w="1280" w:type="dxa"/>
            <w:vAlign w:val="bottom"/>
            <w:vMerge w:val="continue"/>
          </w:tcPr>
          <w:p>
            <w:pPr>
              <w:spacing w:after="0"/>
              <w:rPr>
                <w:sz w:val="13"/>
                <w:szCs w:val="13"/>
                <w:color w:val="auto"/>
              </w:rPr>
            </w:pP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4"/>
        </w:trPr>
        <w:tc>
          <w:tcPr>
            <w:tcW w:w="8540" w:type="dxa"/>
            <w:vAlign w:val="bottom"/>
            <w:vMerge w:val="restart"/>
          </w:tcPr>
          <w:p>
            <w:pPr>
              <w:spacing w:after="0"/>
              <w:rPr>
                <w:sz w:val="20"/>
                <w:szCs w:val="20"/>
                <w:color w:val="auto"/>
              </w:rPr>
            </w:pPr>
            <w:r>
              <w:rPr>
                <w:rFonts w:ascii="Arial" w:cs="Arial" w:eastAsia="Arial" w:hAnsi="Arial"/>
                <w:sz w:val="15"/>
                <w:szCs w:val="15"/>
                <w:i w:val="1"/>
                <w:iCs w:val="1"/>
                <w:color w:val="auto"/>
              </w:rPr>
              <w:t>December 31, 2025</w:t>
            </w:r>
            <w:r>
              <w:rPr>
                <w:rFonts w:ascii="Arial" w:cs="Arial" w:eastAsia="Arial" w:hAnsi="Arial"/>
                <w:sz w:val="15"/>
                <w:szCs w:val="15"/>
                <w:color w:val="auto"/>
              </w:rPr>
              <w:t>.”</w:t>
            </w:r>
          </w:p>
        </w:tc>
        <w:tc>
          <w:tcPr>
            <w:tcW w:w="1280" w:type="dxa"/>
            <w:vAlign w:val="bottom"/>
          </w:tcPr>
          <w:p>
            <w:pPr>
              <w:ind w:left="140"/>
              <w:spacing w:after="0" w:line="85" w:lineRule="exact"/>
              <w:rPr>
                <w:sz w:val="20"/>
                <w:szCs w:val="20"/>
                <w:color w:val="auto"/>
              </w:rPr>
            </w:pPr>
            <w:r>
              <w:rPr>
                <w:rFonts w:ascii="Arial" w:cs="Arial" w:eastAsia="Arial" w:hAnsi="Arial"/>
                <w:sz w:val="8"/>
                <w:szCs w:val="8"/>
                <w:b w:val="1"/>
                <w:bCs w:val="1"/>
                <w:color w:val="FFFFFF"/>
              </w:rPr>
              <w:t>Discussion and</w:t>
            </w:r>
          </w:p>
        </w:tc>
        <w:tc>
          <w:tcPr>
            <w:tcW w:w="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4"/>
        </w:trPr>
        <w:tc>
          <w:tcPr>
            <w:tcW w:w="8540" w:type="dxa"/>
            <w:vAlign w:val="bottom"/>
            <w:vMerge w:val="continue"/>
          </w:tcPr>
          <w:p>
            <w:pPr>
              <w:spacing w:after="0"/>
              <w:rPr>
                <w:sz w:val="14"/>
                <w:szCs w:val="14"/>
                <w:color w:val="auto"/>
              </w:rPr>
            </w:pPr>
          </w:p>
        </w:tc>
        <w:tc>
          <w:tcPr>
            <w:tcW w:w="1280" w:type="dxa"/>
            <w:vAlign w:val="bottom"/>
          </w:tcPr>
          <w:p>
            <w:pPr>
              <w:ind w:left="140"/>
              <w:spacing w:after="0"/>
              <w:rPr>
                <w:sz w:val="20"/>
                <w:szCs w:val="20"/>
                <w:color w:val="auto"/>
              </w:rPr>
            </w:pPr>
            <w:r>
              <w:rPr>
                <w:rFonts w:ascii="Arial" w:cs="Arial" w:eastAsia="Arial" w:hAnsi="Arial"/>
                <w:sz w:val="12"/>
                <w:szCs w:val="12"/>
                <w:b w:val="1"/>
                <w:bCs w:val="1"/>
                <w:color w:val="FFFFFF"/>
              </w:rPr>
              <w:t>Analysis</w:t>
            </w: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7"/>
        </w:trPr>
        <w:tc>
          <w:tcPr>
            <w:tcW w:w="8540" w:type="dxa"/>
            <w:vAlign w:val="bottom"/>
            <w:vMerge w:val="restart"/>
          </w:tcPr>
          <w:p>
            <w:pPr>
              <w:spacing w:after="0"/>
              <w:rPr>
                <w:sz w:val="20"/>
                <w:szCs w:val="20"/>
                <w:color w:val="auto"/>
              </w:rPr>
            </w:pPr>
            <w:r>
              <w:rPr>
                <w:rFonts w:ascii="Arial" w:cs="Arial" w:eastAsia="Arial" w:hAnsi="Arial"/>
                <w:sz w:val="17"/>
                <w:szCs w:val="17"/>
                <w:b w:val="1"/>
                <w:bCs w:val="1"/>
                <w:color w:val="002B5F"/>
              </w:rPr>
              <w:t>EQUITY OWNERSHIP GUIDELINES</w:t>
            </w:r>
          </w:p>
        </w:tc>
        <w:tc>
          <w:tcPr>
            <w:tcW w:w="1280" w:type="dxa"/>
            <w:vAlign w:val="bottom"/>
          </w:tcPr>
          <w:p>
            <w:pPr>
              <w:ind w:left="140"/>
              <w:spacing w:after="0"/>
              <w:rPr>
                <w:sz w:val="20"/>
                <w:szCs w:val="20"/>
                <w:color w:val="auto"/>
              </w:rPr>
            </w:pPr>
            <w:r>
              <w:rPr>
                <w:rFonts w:ascii="Arial" w:cs="Arial" w:eastAsia="Arial" w:hAnsi="Arial"/>
                <w:sz w:val="12"/>
                <w:szCs w:val="12"/>
                <w:color w:val="FFFFFF"/>
              </w:rPr>
              <w:t>Report of the</w:t>
            </w:r>
          </w:p>
        </w:tc>
        <w:tc>
          <w:tcPr>
            <w:tcW w:w="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8"/>
        </w:trPr>
        <w:tc>
          <w:tcPr>
            <w:tcW w:w="8540" w:type="dxa"/>
            <w:vAlign w:val="bottom"/>
            <w:vMerge w:val="continue"/>
          </w:tcPr>
          <w:p>
            <w:pPr>
              <w:spacing w:after="0"/>
              <w:rPr>
                <w:sz w:val="11"/>
                <w:szCs w:val="11"/>
                <w:color w:val="auto"/>
              </w:rPr>
            </w:pPr>
          </w:p>
        </w:tc>
        <w:tc>
          <w:tcPr>
            <w:tcW w:w="1280" w:type="dxa"/>
            <w:vAlign w:val="bottom"/>
          </w:tcPr>
          <w:p>
            <w:pPr>
              <w:ind w:left="140"/>
              <w:spacing w:after="0" w:line="128" w:lineRule="exact"/>
              <w:rPr>
                <w:sz w:val="20"/>
                <w:szCs w:val="20"/>
                <w:color w:val="auto"/>
              </w:rPr>
            </w:pPr>
            <w:r>
              <w:rPr>
                <w:rFonts w:ascii="Arial" w:cs="Arial" w:eastAsia="Arial" w:hAnsi="Arial"/>
                <w:sz w:val="12"/>
                <w:szCs w:val="12"/>
                <w:color w:val="FFFFFF"/>
              </w:rPr>
              <w:t>Compensation</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540" w:type="dxa"/>
            <w:vAlign w:val="bottom"/>
            <w:vMerge w:val="restart"/>
          </w:tcPr>
          <w:p>
            <w:pPr>
              <w:spacing w:after="0"/>
              <w:rPr>
                <w:sz w:val="20"/>
                <w:szCs w:val="20"/>
                <w:color w:val="auto"/>
              </w:rPr>
            </w:pPr>
            <w:r>
              <w:rPr>
                <w:rFonts w:ascii="Arial" w:cs="Arial" w:eastAsia="Arial" w:hAnsi="Arial"/>
                <w:sz w:val="15"/>
                <w:szCs w:val="15"/>
                <w:color w:val="auto"/>
              </w:rPr>
              <w:t>We have adopted equity ownership guidelines to support the alignment of the interests of our executive officers with</w:t>
            </w:r>
          </w:p>
        </w:tc>
        <w:tc>
          <w:tcPr>
            <w:tcW w:w="1280" w:type="dxa"/>
            <w:vAlign w:val="bottom"/>
          </w:tcPr>
          <w:p>
            <w:pPr>
              <w:ind w:left="140"/>
              <w:spacing w:after="0" w:line="128" w:lineRule="exact"/>
              <w:rPr>
                <w:sz w:val="20"/>
                <w:szCs w:val="20"/>
                <w:color w:val="auto"/>
              </w:rPr>
            </w:pPr>
            <w:r>
              <w:rPr>
                <w:rFonts w:ascii="Arial" w:cs="Arial" w:eastAsia="Arial" w:hAnsi="Arial"/>
                <w:sz w:val="12"/>
                <w:szCs w:val="12"/>
                <w:color w:val="FFFFFF"/>
              </w:rPr>
              <w:t>and Human</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8540" w:type="dxa"/>
            <w:vAlign w:val="bottom"/>
            <w:vMerge w:val="continue"/>
          </w:tcPr>
          <w:p>
            <w:pPr>
              <w:spacing w:after="0"/>
              <w:rPr>
                <w:sz w:val="10"/>
                <w:szCs w:val="10"/>
                <w:color w:val="auto"/>
              </w:rPr>
            </w:pPr>
          </w:p>
        </w:tc>
        <w:tc>
          <w:tcPr>
            <w:tcW w:w="1280" w:type="dxa"/>
            <w:vAlign w:val="bottom"/>
          </w:tcPr>
          <w:p>
            <w:pPr>
              <w:ind w:left="140"/>
              <w:spacing w:after="0" w:line="121" w:lineRule="exact"/>
              <w:rPr>
                <w:sz w:val="20"/>
                <w:szCs w:val="20"/>
                <w:color w:val="auto"/>
              </w:rPr>
            </w:pPr>
            <w:r>
              <w:rPr>
                <w:rFonts w:ascii="Arial" w:cs="Arial" w:eastAsia="Arial" w:hAnsi="Arial"/>
                <w:sz w:val="12"/>
                <w:szCs w:val="12"/>
                <w:color w:val="FFFFFF"/>
              </w:rPr>
              <w:t>Resources</w:t>
            </w: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8540" w:type="dxa"/>
            <w:vAlign w:val="bottom"/>
          </w:tcPr>
          <w:p>
            <w:pPr>
              <w:spacing w:after="0" w:line="153" w:lineRule="exact"/>
              <w:rPr>
                <w:sz w:val="20"/>
                <w:szCs w:val="20"/>
                <w:color w:val="auto"/>
              </w:rPr>
            </w:pPr>
            <w:r>
              <w:rPr>
                <w:rFonts w:ascii="Arial" w:cs="Arial" w:eastAsia="Arial" w:hAnsi="Arial"/>
                <w:sz w:val="15"/>
                <w:szCs w:val="15"/>
                <w:color w:val="auto"/>
              </w:rPr>
              <w:t>the interests of our stockholders. In 2025, we reviewed and updated our ownership guidelines to increase the chief</w:t>
            </w:r>
          </w:p>
        </w:tc>
        <w:tc>
          <w:tcPr>
            <w:tcW w:w="1280" w:type="dxa"/>
            <w:vAlign w:val="bottom"/>
          </w:tcPr>
          <w:p>
            <w:pPr>
              <w:ind w:left="140"/>
              <w:spacing w:after="0"/>
              <w:rPr>
                <w:sz w:val="20"/>
                <w:szCs w:val="20"/>
                <w:color w:val="auto"/>
              </w:rPr>
            </w:pPr>
            <w:r>
              <w:rPr>
                <w:rFonts w:ascii="Arial" w:cs="Arial" w:eastAsia="Arial" w:hAnsi="Arial"/>
                <w:sz w:val="12"/>
                <w:szCs w:val="12"/>
                <w:color w:val="FFFFFF"/>
              </w:rPr>
              <w:t>Committee of the</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8540" w:type="dxa"/>
            <w:vAlign w:val="bottom"/>
            <w:vMerge w:val="restart"/>
          </w:tcPr>
          <w:p>
            <w:pPr>
              <w:spacing w:after="0"/>
              <w:rPr>
                <w:sz w:val="20"/>
                <w:szCs w:val="20"/>
                <w:color w:val="auto"/>
              </w:rPr>
            </w:pPr>
            <w:r>
              <w:rPr>
                <w:rFonts w:ascii="Arial" w:cs="Arial" w:eastAsia="Arial" w:hAnsi="Arial"/>
                <w:sz w:val="15"/>
                <w:szCs w:val="15"/>
                <w:color w:val="auto"/>
              </w:rPr>
              <w:t>executive officer and chief financial officer roles’ ownership guidelines to eight times base salary (from six times) and</w:t>
            </w:r>
          </w:p>
        </w:tc>
        <w:tc>
          <w:tcPr>
            <w:tcW w:w="1280" w:type="dxa"/>
            <w:vAlign w:val="bottom"/>
          </w:tcPr>
          <w:p>
            <w:pPr>
              <w:ind w:left="140"/>
              <w:spacing w:after="0"/>
              <w:rPr>
                <w:sz w:val="20"/>
                <w:szCs w:val="20"/>
                <w:color w:val="auto"/>
              </w:rPr>
            </w:pPr>
            <w:r>
              <w:rPr>
                <w:rFonts w:ascii="Arial" w:cs="Arial" w:eastAsia="Arial" w:hAnsi="Arial"/>
                <w:sz w:val="12"/>
                <w:szCs w:val="12"/>
                <w:color w:val="FFFFFF"/>
              </w:rPr>
              <w:t>Board of Directors</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7"/>
        </w:trPr>
        <w:tc>
          <w:tcPr>
            <w:tcW w:w="8540" w:type="dxa"/>
            <w:vAlign w:val="bottom"/>
            <w:vMerge w:val="continue"/>
          </w:tcPr>
          <w:p>
            <w:pPr>
              <w:spacing w:after="0"/>
              <w:rPr>
                <w:sz w:val="4"/>
                <w:szCs w:val="4"/>
                <w:color w:val="auto"/>
              </w:rPr>
            </w:pPr>
          </w:p>
        </w:tc>
        <w:tc>
          <w:tcPr>
            <w:tcW w:w="128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8540" w:type="dxa"/>
            <w:vAlign w:val="bottom"/>
          </w:tcPr>
          <w:p>
            <w:pPr>
              <w:spacing w:after="0"/>
              <w:rPr>
                <w:sz w:val="20"/>
                <w:szCs w:val="20"/>
                <w:color w:val="auto"/>
              </w:rPr>
            </w:pPr>
            <w:r>
              <w:rPr>
                <w:rFonts w:ascii="Arial" w:cs="Arial" w:eastAsia="Arial" w:hAnsi="Arial"/>
                <w:sz w:val="15"/>
                <w:szCs w:val="15"/>
                <w:color w:val="auto"/>
              </w:rPr>
              <w:t>four times base salary (from three times), respectively. Each of our other executive officers (including our other</w:t>
            </w:r>
          </w:p>
        </w:tc>
        <w:tc>
          <w:tcPr>
            <w:tcW w:w="1280" w:type="dxa"/>
            <w:vAlign w:val="bottom"/>
          </w:tcPr>
          <w:p>
            <w:pPr>
              <w:ind w:left="140"/>
              <w:spacing w:after="0"/>
              <w:rPr>
                <w:sz w:val="20"/>
                <w:szCs w:val="20"/>
                <w:color w:val="auto"/>
              </w:rPr>
            </w:pPr>
            <w:r>
              <w:rPr>
                <w:rFonts w:ascii="Arial" w:cs="Arial" w:eastAsia="Arial" w:hAnsi="Arial"/>
                <w:sz w:val="12"/>
                <w:szCs w:val="12"/>
                <w:color w:val="FFFFFF"/>
              </w:rPr>
              <w:t>Compensation of</w:t>
            </w: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0"/>
        </w:trPr>
        <w:tc>
          <w:tcPr>
            <w:tcW w:w="8540" w:type="dxa"/>
            <w:vAlign w:val="bottom"/>
          </w:tcPr>
          <w:p>
            <w:pPr>
              <w:spacing w:after="0" w:line="141" w:lineRule="exact"/>
              <w:rPr>
                <w:sz w:val="20"/>
                <w:szCs w:val="20"/>
                <w:color w:val="auto"/>
              </w:rPr>
            </w:pPr>
            <w:r>
              <w:rPr>
                <w:rFonts w:ascii="Arial" w:cs="Arial" w:eastAsia="Arial" w:hAnsi="Arial"/>
                <w:sz w:val="15"/>
                <w:szCs w:val="15"/>
                <w:color w:val="auto"/>
              </w:rPr>
              <w:t>NEOs) is required to achieve and maintain ownership of our Common Stock at a threshold equal to three times his</w:t>
            </w:r>
          </w:p>
        </w:tc>
        <w:tc>
          <w:tcPr>
            <w:tcW w:w="1280" w:type="dxa"/>
            <w:vAlign w:val="bottom"/>
          </w:tcPr>
          <w:p>
            <w:pPr>
              <w:ind w:left="140"/>
              <w:spacing w:after="0"/>
              <w:rPr>
                <w:sz w:val="20"/>
                <w:szCs w:val="20"/>
                <w:color w:val="auto"/>
              </w:rPr>
            </w:pPr>
            <w:r>
              <w:rPr>
                <w:rFonts w:ascii="Arial" w:cs="Arial" w:eastAsia="Arial" w:hAnsi="Arial"/>
                <w:sz w:val="12"/>
                <w:szCs w:val="12"/>
                <w:color w:val="FFFFFF"/>
              </w:rPr>
              <w:t>Named Executive</w:t>
            </w: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5"/>
        </w:trPr>
        <w:tc>
          <w:tcPr>
            <w:tcW w:w="8540" w:type="dxa"/>
            <w:vAlign w:val="bottom"/>
          </w:tcPr>
          <w:p>
            <w:pPr>
              <w:spacing w:after="0"/>
              <w:rPr>
                <w:sz w:val="20"/>
                <w:szCs w:val="20"/>
                <w:color w:val="auto"/>
              </w:rPr>
            </w:pPr>
            <w:r>
              <w:rPr>
                <w:rFonts w:ascii="Arial" w:cs="Arial" w:eastAsia="Arial" w:hAnsi="Arial"/>
                <w:sz w:val="15"/>
                <w:szCs w:val="15"/>
                <w:color w:val="auto"/>
              </w:rPr>
              <w:t>or her base salary. Generally, executive officers have five years from the time they become an executive officer to</w:t>
            </w:r>
          </w:p>
        </w:tc>
        <w:tc>
          <w:tcPr>
            <w:tcW w:w="1280" w:type="dxa"/>
            <w:vAlign w:val="bottom"/>
          </w:tcPr>
          <w:p>
            <w:pPr>
              <w:ind w:left="140"/>
              <w:spacing w:after="0"/>
              <w:rPr>
                <w:sz w:val="20"/>
                <w:szCs w:val="20"/>
                <w:color w:val="auto"/>
              </w:rPr>
            </w:pPr>
            <w:r>
              <w:rPr>
                <w:rFonts w:ascii="Arial" w:cs="Arial" w:eastAsia="Arial" w:hAnsi="Arial"/>
                <w:sz w:val="12"/>
                <w:szCs w:val="12"/>
                <w:color w:val="FFFFFF"/>
              </w:rPr>
              <w:t>Officers</w:t>
            </w: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8540" w:type="dxa"/>
            <w:vAlign w:val="bottom"/>
          </w:tcPr>
          <w:p>
            <w:pPr>
              <w:spacing w:after="0"/>
              <w:rPr>
                <w:sz w:val="20"/>
                <w:szCs w:val="20"/>
                <w:color w:val="auto"/>
              </w:rPr>
            </w:pPr>
            <w:r>
              <w:rPr>
                <w:rFonts w:ascii="Arial" w:cs="Arial" w:eastAsia="Arial" w:hAnsi="Arial"/>
                <w:sz w:val="15"/>
                <w:szCs w:val="15"/>
                <w:color w:val="auto"/>
              </w:rPr>
              <w:t>meet the minimum ownership requirements. The value of unvested RSUs, as well as all outstanding shares, held by</w:t>
            </w:r>
          </w:p>
        </w:tc>
        <w:tc>
          <w:tcPr>
            <w:tcW w:w="1280" w:type="dxa"/>
            <w:vAlign w:val="bottom"/>
          </w:tcPr>
          <w:p>
            <w:pPr>
              <w:ind w:left="140"/>
              <w:spacing w:after="0"/>
              <w:rPr>
                <w:sz w:val="20"/>
                <w:szCs w:val="20"/>
                <w:color w:val="auto"/>
              </w:rPr>
            </w:pPr>
            <w:r>
              <w:rPr>
                <w:rFonts w:ascii="Arial" w:cs="Arial" w:eastAsia="Arial" w:hAnsi="Arial"/>
                <w:sz w:val="12"/>
                <w:szCs w:val="12"/>
                <w:color w:val="FFFFFF"/>
              </w:rPr>
              <w:t>Pay Versus</w:t>
            </w: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8540" w:type="dxa"/>
            <w:vAlign w:val="bottom"/>
          </w:tcPr>
          <w:p>
            <w:pPr>
              <w:spacing w:after="0" w:line="136" w:lineRule="exact"/>
              <w:rPr>
                <w:sz w:val="20"/>
                <w:szCs w:val="20"/>
                <w:color w:val="auto"/>
              </w:rPr>
            </w:pPr>
            <w:r>
              <w:rPr>
                <w:rFonts w:ascii="Arial" w:cs="Arial" w:eastAsia="Arial" w:hAnsi="Arial"/>
                <w:sz w:val="15"/>
                <w:szCs w:val="15"/>
                <w:color w:val="auto"/>
              </w:rPr>
              <w:t>the executive count for purposes of satisfying the minimum ownership requirement. Stock options and unvested</w:t>
            </w:r>
          </w:p>
        </w:tc>
        <w:tc>
          <w:tcPr>
            <w:tcW w:w="1280" w:type="dxa"/>
            <w:vAlign w:val="bottom"/>
          </w:tcPr>
          <w:p>
            <w:pPr>
              <w:ind w:left="140"/>
              <w:spacing w:after="0" w:line="136" w:lineRule="exact"/>
              <w:rPr>
                <w:sz w:val="20"/>
                <w:szCs w:val="20"/>
                <w:color w:val="auto"/>
              </w:rPr>
            </w:pPr>
            <w:r>
              <w:rPr>
                <w:rFonts w:ascii="Arial" w:cs="Arial" w:eastAsia="Arial" w:hAnsi="Arial"/>
                <w:sz w:val="12"/>
                <w:szCs w:val="12"/>
                <w:color w:val="FFFFFF"/>
              </w:rPr>
              <w:t>Performance</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9"/>
        </w:trPr>
        <w:tc>
          <w:tcPr>
            <w:tcW w:w="8540" w:type="dxa"/>
            <w:vAlign w:val="bottom"/>
          </w:tcPr>
          <w:p>
            <w:pPr>
              <w:spacing w:after="0"/>
              <w:rPr>
                <w:sz w:val="20"/>
                <w:szCs w:val="20"/>
                <w:color w:val="auto"/>
              </w:rPr>
            </w:pPr>
            <w:r>
              <w:rPr>
                <w:rFonts w:ascii="Arial" w:cs="Arial" w:eastAsia="Arial" w:hAnsi="Arial"/>
                <w:sz w:val="15"/>
                <w:szCs w:val="15"/>
                <w:color w:val="auto"/>
              </w:rPr>
              <w:t>PSUs do not count. Our equity ownership guidelines may be found on our website at www.lpl.com.</w:t>
            </w:r>
          </w:p>
        </w:tc>
        <w:tc>
          <w:tcPr>
            <w:tcW w:w="1280" w:type="dxa"/>
            <w:vAlign w:val="bottom"/>
          </w:tcPr>
          <w:p>
            <w:pPr>
              <w:ind w:left="140"/>
              <w:spacing w:after="0"/>
              <w:rPr>
                <w:sz w:val="20"/>
                <w:szCs w:val="20"/>
                <w:color w:val="auto"/>
              </w:rPr>
            </w:pPr>
            <w:r>
              <w:rPr>
                <w:rFonts w:ascii="Arial" w:cs="Arial" w:eastAsia="Arial" w:hAnsi="Arial"/>
                <w:sz w:val="12"/>
                <w:szCs w:val="12"/>
                <w:color w:val="FFFFFF"/>
              </w:rPr>
              <w:t>Disclosure</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8540" w:type="dxa"/>
            <w:vAlign w:val="bottom"/>
          </w:tcPr>
          <w:p>
            <w:pPr>
              <w:spacing w:after="0"/>
              <w:rPr>
                <w:sz w:val="20"/>
                <w:szCs w:val="20"/>
                <w:color w:val="auto"/>
              </w:rPr>
            </w:pPr>
            <w:r>
              <w:rPr>
                <w:rFonts w:ascii="Arial" w:cs="Arial" w:eastAsia="Arial" w:hAnsi="Arial"/>
                <w:sz w:val="15"/>
                <w:szCs w:val="15"/>
                <w:color w:val="auto"/>
              </w:rPr>
              <w:t>Each of our NEOs who was employed with the Company on March 16, 2026 satisfied the minimum ownership</w:t>
            </w:r>
          </w:p>
        </w:tc>
        <w:tc>
          <w:tcPr>
            <w:tcW w:w="1280" w:type="dxa"/>
            <w:vAlign w:val="bottom"/>
          </w:tcPr>
          <w:p>
            <w:pPr>
              <w:ind w:left="140"/>
              <w:spacing w:after="0"/>
              <w:rPr>
                <w:sz w:val="20"/>
                <w:szCs w:val="20"/>
                <w:color w:val="auto"/>
              </w:rPr>
            </w:pPr>
            <w:r>
              <w:rPr>
                <w:rFonts w:ascii="Arial" w:cs="Arial" w:eastAsia="Arial" w:hAnsi="Arial"/>
                <w:sz w:val="12"/>
                <w:szCs w:val="12"/>
                <w:color w:val="FFFFFF"/>
              </w:rPr>
              <w:t>Security</w:t>
            </w: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7"/>
        </w:trPr>
        <w:tc>
          <w:tcPr>
            <w:tcW w:w="8540" w:type="dxa"/>
            <w:vAlign w:val="bottom"/>
            <w:vMerge w:val="restart"/>
          </w:tcPr>
          <w:p>
            <w:pPr>
              <w:spacing w:after="0"/>
              <w:rPr>
                <w:sz w:val="20"/>
                <w:szCs w:val="20"/>
                <w:color w:val="auto"/>
              </w:rPr>
            </w:pPr>
            <w:r>
              <w:rPr>
                <w:rFonts w:ascii="Arial" w:cs="Arial" w:eastAsia="Arial" w:hAnsi="Arial"/>
                <w:sz w:val="15"/>
                <w:szCs w:val="15"/>
                <w:color w:val="auto"/>
              </w:rPr>
              <w:t>requirement as of such date. Under the equity ownership guidelines, an NEO is not required to purchase additional</w:t>
            </w:r>
          </w:p>
        </w:tc>
        <w:tc>
          <w:tcPr>
            <w:tcW w:w="1280" w:type="dxa"/>
            <w:vAlign w:val="bottom"/>
          </w:tcPr>
          <w:p>
            <w:pPr>
              <w:ind w:left="140"/>
              <w:spacing w:after="0" w:line="97" w:lineRule="exact"/>
              <w:rPr>
                <w:sz w:val="20"/>
                <w:szCs w:val="20"/>
                <w:color w:val="auto"/>
              </w:rPr>
            </w:pPr>
            <w:r>
              <w:rPr>
                <w:rFonts w:ascii="Arial" w:cs="Arial" w:eastAsia="Arial" w:hAnsi="Arial"/>
                <w:sz w:val="11"/>
                <w:szCs w:val="11"/>
                <w:color w:val="FFFFFF"/>
              </w:rPr>
              <w:t>Ownership of</w:t>
            </w: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8540" w:type="dxa"/>
            <w:vAlign w:val="bottom"/>
            <w:vMerge w:val="continue"/>
          </w:tcPr>
          <w:p>
            <w:pPr>
              <w:spacing w:after="0"/>
              <w:rPr>
                <w:sz w:val="10"/>
                <w:szCs w:val="10"/>
                <w:color w:val="auto"/>
              </w:rPr>
            </w:pPr>
          </w:p>
        </w:tc>
        <w:tc>
          <w:tcPr>
            <w:tcW w:w="1280" w:type="dxa"/>
            <w:vAlign w:val="bottom"/>
          </w:tcPr>
          <w:p>
            <w:pPr>
              <w:ind w:left="140"/>
              <w:spacing w:after="0" w:line="120" w:lineRule="exact"/>
              <w:rPr>
                <w:sz w:val="20"/>
                <w:szCs w:val="20"/>
                <w:color w:val="auto"/>
              </w:rPr>
            </w:pPr>
            <w:r>
              <w:rPr>
                <w:rFonts w:ascii="Arial" w:cs="Arial" w:eastAsia="Arial" w:hAnsi="Arial"/>
                <w:sz w:val="12"/>
                <w:szCs w:val="12"/>
                <w:color w:val="FFFFFF"/>
              </w:rPr>
              <w:t>Certain Beneficial</w:t>
            </w: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8540" w:type="dxa"/>
            <w:vAlign w:val="bottom"/>
          </w:tcPr>
          <w:p>
            <w:pPr>
              <w:spacing w:after="0" w:line="141" w:lineRule="exact"/>
              <w:rPr>
                <w:sz w:val="20"/>
                <w:szCs w:val="20"/>
                <w:color w:val="auto"/>
              </w:rPr>
            </w:pPr>
            <w:r>
              <w:rPr>
                <w:rFonts w:ascii="Arial" w:cs="Arial" w:eastAsia="Arial" w:hAnsi="Arial"/>
                <w:sz w:val="15"/>
                <w:szCs w:val="15"/>
                <w:color w:val="auto"/>
              </w:rPr>
              <w:t>shares to satisfy the ownership requirement in the event of a decline in the Company’s stock price, but the NEO is</w:t>
            </w:r>
          </w:p>
        </w:tc>
        <w:tc>
          <w:tcPr>
            <w:tcW w:w="1280" w:type="dxa"/>
            <w:vAlign w:val="bottom"/>
          </w:tcPr>
          <w:p>
            <w:pPr>
              <w:ind w:left="140"/>
              <w:spacing w:after="0"/>
              <w:rPr>
                <w:sz w:val="20"/>
                <w:szCs w:val="20"/>
                <w:color w:val="auto"/>
              </w:rPr>
            </w:pPr>
            <w:r>
              <w:rPr>
                <w:rFonts w:ascii="Arial" w:cs="Arial" w:eastAsia="Arial" w:hAnsi="Arial"/>
                <w:sz w:val="12"/>
                <w:szCs w:val="12"/>
                <w:color w:val="FFFFFF"/>
              </w:rPr>
              <w:t>Owners and</w:t>
            </w: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5"/>
        </w:trPr>
        <w:tc>
          <w:tcPr>
            <w:tcW w:w="8540" w:type="dxa"/>
            <w:vAlign w:val="bottom"/>
          </w:tcPr>
          <w:p>
            <w:pPr>
              <w:spacing w:after="0"/>
              <w:rPr>
                <w:sz w:val="20"/>
                <w:szCs w:val="20"/>
                <w:color w:val="auto"/>
              </w:rPr>
            </w:pPr>
            <w:r>
              <w:rPr>
                <w:rFonts w:ascii="Arial" w:cs="Arial" w:eastAsia="Arial" w:hAnsi="Arial"/>
                <w:sz w:val="15"/>
                <w:szCs w:val="15"/>
                <w:color w:val="auto"/>
              </w:rPr>
              <w:t>generally prohibited from selling or transferring shares (with limited exceptions) until the minimum ownership</w:t>
            </w:r>
          </w:p>
        </w:tc>
        <w:tc>
          <w:tcPr>
            <w:tcW w:w="1280" w:type="dxa"/>
            <w:vAlign w:val="bottom"/>
          </w:tcPr>
          <w:p>
            <w:pPr>
              <w:ind w:left="140"/>
              <w:spacing w:after="0"/>
              <w:rPr>
                <w:sz w:val="20"/>
                <w:szCs w:val="20"/>
                <w:color w:val="auto"/>
              </w:rPr>
            </w:pPr>
            <w:r>
              <w:rPr>
                <w:rFonts w:ascii="Arial" w:cs="Arial" w:eastAsia="Arial" w:hAnsi="Arial"/>
                <w:sz w:val="12"/>
                <w:szCs w:val="12"/>
                <w:color w:val="FFFFFF"/>
              </w:rPr>
              <w:t>Management</w:t>
            </w: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8540" w:type="dxa"/>
            <w:vAlign w:val="bottom"/>
          </w:tcPr>
          <w:p>
            <w:pPr>
              <w:spacing w:after="0"/>
              <w:rPr>
                <w:sz w:val="20"/>
                <w:szCs w:val="20"/>
                <w:color w:val="auto"/>
              </w:rPr>
            </w:pPr>
            <w:r>
              <w:rPr>
                <w:rFonts w:ascii="Arial" w:cs="Arial" w:eastAsia="Arial" w:hAnsi="Arial"/>
                <w:sz w:val="15"/>
                <w:szCs w:val="15"/>
                <w:color w:val="auto"/>
              </w:rPr>
              <w:t>requirement has been achieved, except as otherwise determined by the Compensation Committee.</w:t>
            </w:r>
          </w:p>
        </w:tc>
        <w:tc>
          <w:tcPr>
            <w:tcW w:w="1280" w:type="dxa"/>
            <w:vAlign w:val="bottom"/>
          </w:tcPr>
          <w:p>
            <w:pPr>
              <w:ind w:left="140"/>
              <w:spacing w:after="0"/>
              <w:rPr>
                <w:sz w:val="20"/>
                <w:szCs w:val="20"/>
                <w:color w:val="auto"/>
              </w:rPr>
            </w:pPr>
            <w:r>
              <w:rPr>
                <w:rFonts w:ascii="Arial" w:cs="Arial" w:eastAsia="Arial" w:hAnsi="Arial"/>
                <w:sz w:val="12"/>
                <w:szCs w:val="12"/>
                <w:color w:val="FFFFFF"/>
              </w:rPr>
              <w:t>Certain</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8"/>
        </w:trPr>
        <w:tc>
          <w:tcPr>
            <w:tcW w:w="8540" w:type="dxa"/>
            <w:vAlign w:val="bottom"/>
          </w:tcPr>
          <w:p>
            <w:pPr>
              <w:spacing w:after="0"/>
              <w:rPr>
                <w:sz w:val="11"/>
                <w:szCs w:val="11"/>
                <w:color w:val="auto"/>
              </w:rPr>
            </w:pPr>
          </w:p>
        </w:tc>
        <w:tc>
          <w:tcPr>
            <w:tcW w:w="1280" w:type="dxa"/>
            <w:vAlign w:val="bottom"/>
          </w:tcPr>
          <w:p>
            <w:pPr>
              <w:ind w:left="140"/>
              <w:spacing w:after="0" w:line="128" w:lineRule="exact"/>
              <w:rPr>
                <w:sz w:val="20"/>
                <w:szCs w:val="20"/>
                <w:color w:val="auto"/>
              </w:rPr>
            </w:pPr>
            <w:r>
              <w:rPr>
                <w:rFonts w:ascii="Arial" w:cs="Arial" w:eastAsia="Arial" w:hAnsi="Arial"/>
                <w:sz w:val="12"/>
                <w:szCs w:val="12"/>
                <w:color w:val="FFFFFF"/>
              </w:rPr>
              <w:t>Relationships and</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540" w:type="dxa"/>
            <w:vAlign w:val="bottom"/>
            <w:vMerge w:val="restart"/>
          </w:tcPr>
          <w:p>
            <w:pPr>
              <w:spacing w:after="0"/>
              <w:rPr>
                <w:sz w:val="20"/>
                <w:szCs w:val="20"/>
                <w:color w:val="auto"/>
              </w:rPr>
            </w:pPr>
            <w:r>
              <w:rPr>
                <w:rFonts w:ascii="Arial" w:cs="Arial" w:eastAsia="Arial" w:hAnsi="Arial"/>
                <w:sz w:val="17"/>
                <w:szCs w:val="17"/>
                <w:b w:val="1"/>
                <w:bCs w:val="1"/>
                <w:color w:val="002B5F"/>
              </w:rPr>
              <w:t>ANTI-HEDGING AND ANTI-PLEDGING POLICY</w:t>
            </w:r>
          </w:p>
        </w:tc>
        <w:tc>
          <w:tcPr>
            <w:tcW w:w="1280" w:type="dxa"/>
            <w:vAlign w:val="bottom"/>
          </w:tcPr>
          <w:p>
            <w:pPr>
              <w:ind w:left="140"/>
              <w:spacing w:after="0" w:line="128" w:lineRule="exact"/>
              <w:rPr>
                <w:sz w:val="20"/>
                <w:szCs w:val="20"/>
                <w:color w:val="auto"/>
              </w:rPr>
            </w:pPr>
            <w:r>
              <w:rPr>
                <w:rFonts w:ascii="Arial" w:cs="Arial" w:eastAsia="Arial" w:hAnsi="Arial"/>
                <w:sz w:val="12"/>
                <w:szCs w:val="12"/>
                <w:color w:val="FFFFFF"/>
              </w:rPr>
              <w:t>Related Party</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8540" w:type="dxa"/>
            <w:vAlign w:val="bottom"/>
            <w:vMerge w:val="continue"/>
          </w:tcPr>
          <w:p>
            <w:pPr>
              <w:spacing w:after="0"/>
              <w:rPr>
                <w:sz w:val="13"/>
                <w:szCs w:val="13"/>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Transactions</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1"/>
        </w:trPr>
        <w:tc>
          <w:tcPr>
            <w:tcW w:w="8540" w:type="dxa"/>
            <w:vAlign w:val="bottom"/>
          </w:tcPr>
          <w:p>
            <w:pPr>
              <w:spacing w:after="0"/>
              <w:rPr>
                <w:sz w:val="20"/>
                <w:szCs w:val="20"/>
                <w:color w:val="auto"/>
              </w:rPr>
            </w:pPr>
            <w:r>
              <w:rPr>
                <w:rFonts w:ascii="Arial" w:cs="Arial" w:eastAsia="Arial" w:hAnsi="Arial"/>
                <w:sz w:val="15"/>
                <w:szCs w:val="15"/>
                <w:color w:val="auto"/>
              </w:rPr>
              <w:t>We believe that hedging transactions may permit executives to own Company securities obtained through our</w:t>
            </w:r>
          </w:p>
        </w:tc>
        <w:tc>
          <w:tcPr>
            <w:tcW w:w="1280" w:type="dxa"/>
            <w:vAlign w:val="bottom"/>
            <w:vMerge w:val="restart"/>
          </w:tcPr>
          <w:p>
            <w:pPr>
              <w:ind w:left="140"/>
              <w:spacing w:after="0"/>
              <w:rPr>
                <w:sz w:val="20"/>
                <w:szCs w:val="20"/>
                <w:color w:val="auto"/>
              </w:rPr>
            </w:pPr>
            <w:r>
              <w:rPr>
                <w:rFonts w:ascii="Arial" w:cs="Arial" w:eastAsia="Arial" w:hAnsi="Arial"/>
                <w:sz w:val="12"/>
                <w:szCs w:val="12"/>
                <w:color w:val="FFFFFF"/>
              </w:rPr>
              <w:t>Proposal 2</w:t>
            </w: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3"/>
        </w:trPr>
        <w:tc>
          <w:tcPr>
            <w:tcW w:w="8540" w:type="dxa"/>
            <w:vAlign w:val="bottom"/>
            <w:vMerge w:val="restart"/>
          </w:tcPr>
          <w:p>
            <w:pPr>
              <w:spacing w:after="0"/>
              <w:rPr>
                <w:sz w:val="20"/>
                <w:szCs w:val="20"/>
                <w:color w:val="auto"/>
              </w:rPr>
            </w:pPr>
            <w:r>
              <w:rPr>
                <w:rFonts w:ascii="Arial" w:cs="Arial" w:eastAsia="Arial" w:hAnsi="Arial"/>
                <w:sz w:val="15"/>
                <w:szCs w:val="15"/>
                <w:color w:val="auto"/>
              </w:rPr>
              <w:t>executive compensation program or otherwise without the full risks and rewards of ownership. When that occurs, an</w:t>
            </w:r>
          </w:p>
        </w:tc>
        <w:tc>
          <w:tcPr>
            <w:tcW w:w="128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6"/>
        </w:trPr>
        <w:tc>
          <w:tcPr>
            <w:tcW w:w="854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8540" w:type="dxa"/>
            <w:vAlign w:val="bottom"/>
          </w:tcPr>
          <w:p>
            <w:pPr>
              <w:spacing w:after="0" w:line="153" w:lineRule="exact"/>
              <w:rPr>
                <w:sz w:val="20"/>
                <w:szCs w:val="20"/>
                <w:color w:val="auto"/>
              </w:rPr>
            </w:pPr>
            <w:r>
              <w:rPr>
                <w:rFonts w:ascii="Arial" w:cs="Arial" w:eastAsia="Arial" w:hAnsi="Arial"/>
                <w:sz w:val="15"/>
                <w:szCs w:val="15"/>
                <w:color w:val="auto"/>
              </w:rPr>
              <w:t>executive may no longer have the same interests as the Company’s other stockholders. As a result, we have</w:t>
            </w:r>
          </w:p>
        </w:tc>
        <w:tc>
          <w:tcPr>
            <w:tcW w:w="1280" w:type="dxa"/>
            <w:vAlign w:val="bottom"/>
          </w:tcPr>
          <w:p>
            <w:pPr>
              <w:ind w:left="140"/>
              <w:spacing w:after="0"/>
              <w:rPr>
                <w:sz w:val="20"/>
                <w:szCs w:val="20"/>
                <w:color w:val="auto"/>
              </w:rPr>
            </w:pPr>
            <w:r>
              <w:rPr>
                <w:rFonts w:ascii="Arial" w:cs="Arial" w:eastAsia="Arial" w:hAnsi="Arial"/>
                <w:sz w:val="12"/>
                <w:szCs w:val="12"/>
                <w:color w:val="FFFFFF"/>
              </w:rPr>
              <w:t>Report of the</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8540" w:type="dxa"/>
            <w:vAlign w:val="bottom"/>
          </w:tcPr>
          <w:p>
            <w:pPr>
              <w:spacing w:after="0"/>
              <w:rPr>
                <w:sz w:val="20"/>
                <w:szCs w:val="20"/>
                <w:color w:val="auto"/>
              </w:rPr>
            </w:pPr>
            <w:r>
              <w:rPr>
                <w:rFonts w:ascii="Arial" w:cs="Arial" w:eastAsia="Arial" w:hAnsi="Arial"/>
                <w:sz w:val="15"/>
                <w:szCs w:val="15"/>
                <w:color w:val="auto"/>
              </w:rPr>
              <w:t>adopted a policy, included within our Insider Trading Policy and applicable to all employees, officers, directors and</w:t>
            </w:r>
          </w:p>
        </w:tc>
        <w:tc>
          <w:tcPr>
            <w:tcW w:w="1280" w:type="dxa"/>
            <w:vAlign w:val="bottom"/>
          </w:tcPr>
          <w:p>
            <w:pPr>
              <w:ind w:left="140"/>
              <w:spacing w:after="0"/>
              <w:rPr>
                <w:sz w:val="20"/>
                <w:szCs w:val="20"/>
                <w:color w:val="auto"/>
              </w:rPr>
            </w:pPr>
            <w:r>
              <w:rPr>
                <w:rFonts w:ascii="Arial" w:cs="Arial" w:eastAsia="Arial" w:hAnsi="Arial"/>
                <w:sz w:val="12"/>
                <w:szCs w:val="12"/>
                <w:color w:val="FFFFFF"/>
              </w:rPr>
              <w:t>Audit and Risk</w:t>
            </w: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2"/>
        </w:trPr>
        <w:tc>
          <w:tcPr>
            <w:tcW w:w="8540" w:type="dxa"/>
            <w:vAlign w:val="bottom"/>
            <w:vMerge w:val="restart"/>
          </w:tcPr>
          <w:p>
            <w:pPr>
              <w:spacing w:after="0"/>
              <w:rPr>
                <w:sz w:val="20"/>
                <w:szCs w:val="20"/>
                <w:color w:val="auto"/>
              </w:rPr>
            </w:pPr>
            <w:r>
              <w:rPr>
                <w:rFonts w:ascii="Arial" w:cs="Arial" w:eastAsia="Arial" w:hAnsi="Arial"/>
                <w:sz w:val="15"/>
                <w:szCs w:val="15"/>
                <w:color w:val="auto"/>
              </w:rPr>
              <w:t>consultants of the Company, which prohibits short sales, hedging or engaging in monetization transactions,</w:t>
            </w:r>
          </w:p>
        </w:tc>
        <w:tc>
          <w:tcPr>
            <w:tcW w:w="1280" w:type="dxa"/>
            <w:vAlign w:val="bottom"/>
          </w:tcPr>
          <w:p>
            <w:pPr>
              <w:ind w:left="140"/>
              <w:spacing w:after="0" w:line="72" w:lineRule="exact"/>
              <w:rPr>
                <w:sz w:val="20"/>
                <w:szCs w:val="20"/>
                <w:color w:val="auto"/>
              </w:rPr>
            </w:pPr>
            <w:r>
              <w:rPr>
                <w:rFonts w:ascii="Arial" w:cs="Arial" w:eastAsia="Arial" w:hAnsi="Arial"/>
                <w:sz w:val="8"/>
                <w:szCs w:val="8"/>
                <w:color w:val="FFFFFF"/>
              </w:rPr>
              <w:t>Committee of the</w:t>
            </w:r>
          </w:p>
        </w:tc>
        <w:tc>
          <w:tcPr>
            <w:tcW w:w="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3"/>
        </w:trPr>
        <w:tc>
          <w:tcPr>
            <w:tcW w:w="8540" w:type="dxa"/>
            <w:vAlign w:val="bottom"/>
            <w:vMerge w:val="continue"/>
          </w:tcPr>
          <w:p>
            <w:pPr>
              <w:spacing w:after="0"/>
              <w:rPr>
                <w:sz w:val="11"/>
                <w:szCs w:val="11"/>
                <w:color w:val="auto"/>
              </w:rPr>
            </w:pPr>
          </w:p>
        </w:tc>
        <w:tc>
          <w:tcPr>
            <w:tcW w:w="1280" w:type="dxa"/>
            <w:vAlign w:val="bottom"/>
          </w:tcPr>
          <w:p>
            <w:pPr>
              <w:ind w:left="140"/>
              <w:spacing w:after="0" w:line="133" w:lineRule="exact"/>
              <w:rPr>
                <w:sz w:val="20"/>
                <w:szCs w:val="20"/>
                <w:color w:val="auto"/>
              </w:rPr>
            </w:pPr>
            <w:r>
              <w:rPr>
                <w:rFonts w:ascii="Arial" w:cs="Arial" w:eastAsia="Arial" w:hAnsi="Arial"/>
                <w:sz w:val="12"/>
                <w:szCs w:val="12"/>
                <w:color w:val="FFFFFF"/>
              </w:rPr>
              <w:t>Board of Directors</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9"/>
        </w:trPr>
        <w:tc>
          <w:tcPr>
            <w:tcW w:w="8540" w:type="dxa"/>
            <w:vAlign w:val="bottom"/>
          </w:tcPr>
          <w:p>
            <w:pPr>
              <w:spacing w:after="0"/>
              <w:rPr>
                <w:sz w:val="20"/>
                <w:szCs w:val="20"/>
                <w:color w:val="auto"/>
              </w:rPr>
            </w:pPr>
            <w:r>
              <w:rPr>
                <w:rFonts w:ascii="Arial" w:cs="Arial" w:eastAsia="Arial" w:hAnsi="Arial"/>
                <w:sz w:val="15"/>
                <w:szCs w:val="15"/>
                <w:color w:val="auto"/>
              </w:rPr>
              <w:t>including through the use of put and call options, collars, exchange funds, prepaid variable forwards and equity</w:t>
            </w:r>
          </w:p>
        </w:tc>
        <w:tc>
          <w:tcPr>
            <w:tcW w:w="1280" w:type="dxa"/>
            <w:vAlign w:val="bottom"/>
            <w:vMerge w:val="restart"/>
          </w:tcPr>
          <w:p>
            <w:pPr>
              <w:ind w:left="140"/>
              <w:spacing w:after="0"/>
              <w:rPr>
                <w:sz w:val="20"/>
                <w:szCs w:val="20"/>
                <w:color w:val="auto"/>
              </w:rPr>
            </w:pPr>
            <w:r>
              <w:rPr>
                <w:rFonts w:ascii="Arial" w:cs="Arial" w:eastAsia="Arial" w:hAnsi="Arial"/>
                <w:sz w:val="12"/>
                <w:szCs w:val="12"/>
                <w:color w:val="FFFFFF"/>
              </w:rPr>
              <w:t>Proposal 3</w:t>
            </w: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8540" w:type="dxa"/>
            <w:vAlign w:val="bottom"/>
          </w:tcPr>
          <w:p>
            <w:pPr>
              <w:spacing w:after="0"/>
              <w:rPr>
                <w:sz w:val="20"/>
                <w:szCs w:val="20"/>
                <w:color w:val="auto"/>
              </w:rPr>
            </w:pPr>
            <w:r>
              <w:rPr>
                <w:rFonts w:ascii="Arial" w:cs="Arial" w:eastAsia="Arial" w:hAnsi="Arial"/>
                <w:sz w:val="15"/>
                <w:szCs w:val="15"/>
                <w:color w:val="auto"/>
              </w:rPr>
              <w:t>swaps. The policy also prohibits holding Company securities in a margin account or pledging Company securities as</w:t>
            </w:r>
          </w:p>
        </w:tc>
        <w:tc>
          <w:tcPr>
            <w:tcW w:w="1280" w:type="dxa"/>
            <w:vAlign w:val="bottom"/>
            <w:vMerge w:val="continue"/>
          </w:tcPr>
          <w:p>
            <w:pPr>
              <w:spacing w:after="0"/>
              <w:rPr>
                <w:sz w:val="15"/>
                <w:szCs w:val="15"/>
                <w:color w:val="auto"/>
              </w:rPr>
            </w:pP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8540" w:type="dxa"/>
            <w:vAlign w:val="bottom"/>
          </w:tcPr>
          <w:p>
            <w:pPr>
              <w:spacing w:after="0"/>
              <w:rPr>
                <w:sz w:val="20"/>
                <w:szCs w:val="20"/>
                <w:color w:val="auto"/>
              </w:rPr>
            </w:pPr>
            <w:r>
              <w:rPr>
                <w:rFonts w:ascii="Arial" w:cs="Arial" w:eastAsia="Arial" w:hAnsi="Arial"/>
                <w:sz w:val="15"/>
                <w:szCs w:val="15"/>
                <w:color w:val="auto"/>
              </w:rPr>
              <w:t>collateral for a loan, because a margin or foreclosure sale may occur when an executive is aware of material</w:t>
            </w:r>
          </w:p>
        </w:tc>
        <w:tc>
          <w:tcPr>
            <w:tcW w:w="1280" w:type="dxa"/>
            <w:vAlign w:val="bottom"/>
            <w:vMerge w:val="restart"/>
          </w:tcPr>
          <w:p>
            <w:pPr>
              <w:ind w:left="140"/>
              <w:spacing w:after="0"/>
              <w:rPr>
                <w:sz w:val="20"/>
                <w:szCs w:val="20"/>
                <w:color w:val="auto"/>
              </w:rPr>
            </w:pPr>
            <w:r>
              <w:rPr>
                <w:rFonts w:ascii="Arial" w:cs="Arial" w:eastAsia="Arial" w:hAnsi="Arial"/>
                <w:sz w:val="12"/>
                <w:szCs w:val="12"/>
                <w:color w:val="FFFFFF"/>
              </w:rPr>
              <w:t>Proposal 4</w:t>
            </w: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6"/>
        </w:trPr>
        <w:tc>
          <w:tcPr>
            <w:tcW w:w="8540" w:type="dxa"/>
            <w:vAlign w:val="bottom"/>
            <w:vMerge w:val="restart"/>
          </w:tcPr>
          <w:p>
            <w:pPr>
              <w:spacing w:after="0"/>
              <w:rPr>
                <w:sz w:val="20"/>
                <w:szCs w:val="20"/>
                <w:color w:val="auto"/>
              </w:rPr>
            </w:pPr>
            <w:r>
              <w:rPr>
                <w:rFonts w:ascii="Arial" w:cs="Arial" w:eastAsia="Arial" w:hAnsi="Arial"/>
                <w:sz w:val="15"/>
                <w:szCs w:val="15"/>
                <w:color w:val="auto"/>
              </w:rPr>
              <w:t>nonpublic information or otherwise not permitted to trade in Common Stock.</w:t>
            </w:r>
          </w:p>
        </w:tc>
        <w:tc>
          <w:tcPr>
            <w:tcW w:w="1280" w:type="dxa"/>
            <w:vAlign w:val="bottom"/>
            <w:vMerge w:val="continue"/>
          </w:tcPr>
          <w:p>
            <w:pPr>
              <w:spacing w:after="0"/>
              <w:rPr>
                <w:sz w:val="6"/>
                <w:szCs w:val="6"/>
                <w:color w:val="auto"/>
              </w:rPr>
            </w:pPr>
          </w:p>
        </w:tc>
        <w:tc>
          <w:tcPr>
            <w:tcW w:w="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5"/>
        </w:trPr>
        <w:tc>
          <w:tcPr>
            <w:tcW w:w="854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8540" w:type="dxa"/>
            <w:vAlign w:val="bottom"/>
          </w:tcPr>
          <w:p>
            <w:pPr>
              <w:spacing w:after="0"/>
              <w:rPr>
                <w:sz w:val="14"/>
                <w:szCs w:val="14"/>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Proposal 5</w:t>
            </w: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4"/>
        </w:trPr>
        <w:tc>
          <w:tcPr>
            <w:tcW w:w="8540" w:type="dxa"/>
            <w:vAlign w:val="bottom"/>
          </w:tcPr>
          <w:p>
            <w:pPr>
              <w:spacing w:after="0"/>
              <w:rPr>
                <w:sz w:val="24"/>
                <w:szCs w:val="24"/>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Proposal 6</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8540" w:type="dxa"/>
            <w:vAlign w:val="bottom"/>
          </w:tcPr>
          <w:p>
            <w:pPr>
              <w:spacing w:after="0"/>
              <w:rPr>
                <w:sz w:val="22"/>
                <w:szCs w:val="22"/>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Stockholder</w:t>
            </w:r>
          </w:p>
        </w:tc>
        <w:tc>
          <w:tcPr>
            <w:tcW w:w="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8"/>
        </w:trPr>
        <w:tc>
          <w:tcPr>
            <w:tcW w:w="8540" w:type="dxa"/>
            <w:vAlign w:val="bottom"/>
          </w:tcPr>
          <w:p>
            <w:pPr>
              <w:spacing w:after="0"/>
              <w:rPr>
                <w:sz w:val="11"/>
                <w:szCs w:val="11"/>
                <w:color w:val="auto"/>
              </w:rPr>
            </w:pPr>
          </w:p>
        </w:tc>
        <w:tc>
          <w:tcPr>
            <w:tcW w:w="1280" w:type="dxa"/>
            <w:vAlign w:val="bottom"/>
          </w:tcPr>
          <w:p>
            <w:pPr>
              <w:ind w:left="140"/>
              <w:spacing w:after="0" w:line="128" w:lineRule="exact"/>
              <w:rPr>
                <w:sz w:val="20"/>
                <w:szCs w:val="20"/>
                <w:color w:val="auto"/>
              </w:rPr>
            </w:pPr>
            <w:r>
              <w:rPr>
                <w:rFonts w:ascii="Arial" w:cs="Arial" w:eastAsia="Arial" w:hAnsi="Arial"/>
                <w:sz w:val="12"/>
                <w:szCs w:val="12"/>
                <w:color w:val="FFFFFF"/>
              </w:rPr>
              <w:t>Proposals and</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8540" w:type="dxa"/>
            <w:vAlign w:val="bottom"/>
          </w:tcPr>
          <w:p>
            <w:pPr>
              <w:spacing w:after="0"/>
              <w:rPr>
                <w:sz w:val="13"/>
                <w:szCs w:val="13"/>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Other Matters</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8540" w:type="dxa"/>
            <w:vAlign w:val="bottom"/>
          </w:tcPr>
          <w:p>
            <w:pPr>
              <w:spacing w:after="0"/>
              <w:rPr>
                <w:sz w:val="22"/>
                <w:szCs w:val="22"/>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Delinquent</w:t>
            </w:r>
          </w:p>
        </w:tc>
        <w:tc>
          <w:tcPr>
            <w:tcW w:w="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8"/>
        </w:trPr>
        <w:tc>
          <w:tcPr>
            <w:tcW w:w="8540" w:type="dxa"/>
            <w:vAlign w:val="bottom"/>
          </w:tcPr>
          <w:p>
            <w:pPr>
              <w:spacing w:after="0"/>
              <w:rPr>
                <w:sz w:val="11"/>
                <w:szCs w:val="11"/>
                <w:color w:val="auto"/>
              </w:rPr>
            </w:pPr>
          </w:p>
        </w:tc>
        <w:tc>
          <w:tcPr>
            <w:tcW w:w="1280" w:type="dxa"/>
            <w:vAlign w:val="bottom"/>
          </w:tcPr>
          <w:p>
            <w:pPr>
              <w:ind w:left="140"/>
              <w:spacing w:after="0" w:line="128" w:lineRule="exact"/>
              <w:rPr>
                <w:sz w:val="20"/>
                <w:szCs w:val="20"/>
                <w:color w:val="auto"/>
              </w:rPr>
            </w:pPr>
            <w:r>
              <w:rPr>
                <w:rFonts w:ascii="Arial" w:cs="Arial" w:eastAsia="Arial" w:hAnsi="Arial"/>
                <w:sz w:val="12"/>
                <w:szCs w:val="12"/>
                <w:color w:val="FFFFFF"/>
              </w:rPr>
              <w:t>Section 16(a)</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8540" w:type="dxa"/>
            <w:vAlign w:val="bottom"/>
          </w:tcPr>
          <w:p>
            <w:pPr>
              <w:spacing w:after="0"/>
              <w:rPr>
                <w:sz w:val="13"/>
                <w:szCs w:val="13"/>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Reports</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8540" w:type="dxa"/>
            <w:vAlign w:val="bottom"/>
          </w:tcPr>
          <w:p>
            <w:pPr>
              <w:spacing w:after="0"/>
              <w:rPr>
                <w:sz w:val="22"/>
                <w:szCs w:val="22"/>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Other</w:t>
            </w:r>
          </w:p>
        </w:tc>
        <w:tc>
          <w:tcPr>
            <w:tcW w:w="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8"/>
        </w:trPr>
        <w:tc>
          <w:tcPr>
            <w:tcW w:w="8540" w:type="dxa"/>
            <w:vAlign w:val="bottom"/>
          </w:tcPr>
          <w:p>
            <w:pPr>
              <w:spacing w:after="0"/>
              <w:rPr>
                <w:sz w:val="13"/>
                <w:szCs w:val="13"/>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Information</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4"/>
        </w:trPr>
        <w:tc>
          <w:tcPr>
            <w:tcW w:w="8540" w:type="dxa"/>
            <w:vAlign w:val="bottom"/>
          </w:tcPr>
          <w:p>
            <w:pPr>
              <w:spacing w:after="0"/>
              <w:rPr>
                <w:sz w:val="24"/>
                <w:szCs w:val="24"/>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Appendix A</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8540" w:type="dxa"/>
            <w:vAlign w:val="bottom"/>
          </w:tcPr>
          <w:p>
            <w:pPr>
              <w:spacing w:after="0"/>
              <w:rPr>
                <w:sz w:val="24"/>
                <w:szCs w:val="24"/>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Appendix B</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6380"/>
        <w:spacing w:after="0"/>
        <w:tabs>
          <w:tab w:leader="none" w:pos="8500" w:val="left"/>
          <w:tab w:leader="none" w:pos="9960" w:val="left"/>
        </w:tabs>
        <w:rPr>
          <w:sz w:val="20"/>
          <w:szCs w:val="20"/>
          <w:color w:val="auto"/>
        </w:rPr>
      </w:pPr>
      <w:r>
        <w:rPr>
          <w:rFonts w:ascii="Arial" w:cs="Arial" w:eastAsia="Arial" w:hAnsi="Arial"/>
          <w:sz w:val="15"/>
          <w:szCs w:val="15"/>
          <w:b w:val="1"/>
          <w:bCs w:val="1"/>
          <w:color w:val="002B5F"/>
        </w:rPr>
        <w:t xml:space="preserve">2026 Proxy Statement  </w:t>
      </w:r>
      <w:r>
        <w:rPr>
          <w:rFonts w:ascii="Arial" w:cs="Arial" w:eastAsia="Arial" w:hAnsi="Arial"/>
          <w:sz w:val="20"/>
          <w:szCs w:val="20"/>
          <w:color w:val="002B5F"/>
        </w:rPr>
        <w:t>|</w:t>
      </w:r>
      <w:r>
        <w:rPr>
          <w:rFonts w:ascii="Arial" w:cs="Arial" w:eastAsia="Arial" w:hAnsi="Arial"/>
          <w:sz w:val="15"/>
          <w:szCs w:val="15"/>
          <w:b w:val="1"/>
          <w:bCs w:val="1"/>
          <w:color w:val="002B5F"/>
        </w:rPr>
        <w:t xml:space="preserve">  57</w:t>
      </w:r>
      <w:r>
        <w:rPr>
          <w:sz w:val="20"/>
          <w:szCs w:val="20"/>
          <w:color w:val="auto"/>
        </w:rPr>
        <w:tab/>
      </w:r>
      <w:r>
        <w:rPr>
          <w:rFonts w:ascii="Arial" w:cs="Arial" w:eastAsia="Arial" w:hAnsi="Arial"/>
          <w:sz w:val="17"/>
          <w:szCs w:val="17"/>
          <w:color w:val="auto"/>
        </w:rPr>
        <w:t xml:space="preserve">    </w:t>
      </w:r>
      <w:r>
        <w:rPr>
          <w:sz w:val="20"/>
          <w:szCs w:val="20"/>
          <w:color w:val="auto"/>
        </w:rPr>
        <w:tab/>
      </w:r>
      <w:r>
        <w:rPr>
          <w:rFonts w:ascii="Arial" w:cs="Arial" w:eastAsia="Arial" w:hAnsi="Arial"/>
          <w:sz w:val="17"/>
          <w:szCs w:val="17"/>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268605</wp:posOffset>
            </wp:positionH>
            <wp:positionV relativeFrom="paragraph">
              <wp:posOffset>-128905</wp:posOffset>
            </wp:positionV>
            <wp:extent cx="762000" cy="971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62000" cy="97155"/>
                    </a:xfrm>
                    <a:prstGeom prst="rect">
                      <a:avLst/>
                    </a:prstGeom>
                    <a:noFill/>
                  </pic:spPr>
                </pic:pic>
              </a:graphicData>
            </a:graphic>
          </wp:anchor>
        </w:drawing>
      </w:r>
    </w:p>
    <w:p>
      <w:pPr>
        <w:sectPr>
          <w:pgSz w:w="11900" w:h="16838" w:orient="portrait"/>
          <w:cols w:equalWidth="0" w:num="1">
            <w:col w:w="10800"/>
          </w:cols>
          <w:pgMar w:left="320" w:top="464" w:right="77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7"/>
          <w:szCs w:val="17"/>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268605</wp:posOffset>
            </wp:positionH>
            <wp:positionV relativeFrom="paragraph">
              <wp:posOffset>253365</wp:posOffset>
            </wp:positionV>
            <wp:extent cx="1183005" cy="745617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1183005" cy="7456170"/>
                    </a:xfrm>
                    <a:prstGeom prst="rect">
                      <a:avLst/>
                    </a:prstGeom>
                    <a:noFill/>
                  </pic:spPr>
                </pic:pic>
              </a:graphicData>
            </a:graphic>
          </wp:anchor>
        </w:drawing>
      </w:r>
    </w:p>
    <w:p>
      <w:pPr>
        <w:spacing w:after="0" w:line="200" w:lineRule="exact"/>
        <w:rPr>
          <w:sz w:val="20"/>
          <w:szCs w:val="20"/>
          <w:color w:val="auto"/>
        </w:rPr>
      </w:pPr>
    </w:p>
    <w:p>
      <w:pPr>
        <w:spacing w:after="0" w:line="304" w:lineRule="exact"/>
        <w:rPr>
          <w:sz w:val="20"/>
          <w:szCs w:val="20"/>
          <w:color w:val="auto"/>
        </w:rPr>
      </w:pPr>
    </w:p>
    <w:p>
      <w:pPr>
        <w:ind w:left="1120" w:right="460" w:hanging="672"/>
        <w:spacing w:after="0" w:line="382" w:lineRule="auto"/>
        <w:tabs>
          <w:tab w:leader="none" w:pos="610" w:val="left"/>
        </w:tabs>
        <w:numPr>
          <w:ilvl w:val="0"/>
          <w:numId w:val="85"/>
        </w:numPr>
        <w:rPr>
          <w:rFonts w:ascii="Arial" w:cs="Arial" w:eastAsia="Arial" w:hAnsi="Arial"/>
          <w:sz w:val="24"/>
          <w:szCs w:val="24"/>
          <w:color w:val="auto"/>
          <w:vertAlign w:val="subscript"/>
        </w:rPr>
      </w:pPr>
      <w:r>
        <w:rPr>
          <w:rFonts w:ascii="Arial" w:cs="Arial" w:eastAsia="Arial" w:hAnsi="Arial"/>
          <w:sz w:val="24"/>
          <w:szCs w:val="24"/>
          <w:color w:val="000000"/>
          <w:vertAlign w:val="subscript"/>
        </w:rPr>
        <w:t xml:space="preserve">     </w:t>
      </w:r>
      <w:r>
        <w:rPr>
          <w:rFonts w:ascii="Arial" w:cs="Arial" w:eastAsia="Arial" w:hAnsi="Arial"/>
          <w:sz w:val="10"/>
          <w:szCs w:val="10"/>
          <w:color w:val="FFFFFF"/>
        </w:rPr>
        <w:t xml:space="preserve"> General Information</w:t>
      </w:r>
    </w:p>
    <w:p>
      <w:pPr>
        <w:spacing w:after="0" w:line="1" w:lineRule="exact"/>
        <w:rPr>
          <w:sz w:val="20"/>
          <w:szCs w:val="20"/>
          <w:color w:val="auto"/>
        </w:rPr>
      </w:pPr>
    </w:p>
    <w:p>
      <w:pPr>
        <w:ind w:left="1120"/>
        <w:spacing w:after="0"/>
        <w:rPr>
          <w:sz w:val="20"/>
          <w:szCs w:val="20"/>
          <w:color w:val="auto"/>
        </w:rPr>
      </w:pPr>
      <w:r>
        <w:rPr>
          <w:rFonts w:ascii="Arial" w:cs="Arial" w:eastAsia="Arial" w:hAnsi="Arial"/>
          <w:sz w:val="11"/>
          <w:szCs w:val="11"/>
          <w:color w:val="FFFFFF"/>
        </w:rPr>
        <w:t>General Information</w:t>
      </w:r>
    </w:p>
    <w:p>
      <w:pPr>
        <w:spacing w:after="0" w:line="3"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About Corporate</w:t>
      </w:r>
    </w:p>
    <w:p>
      <w:pPr>
        <w:ind w:left="1120"/>
        <w:spacing w:after="0" w:line="221" w:lineRule="auto"/>
        <w:rPr>
          <w:sz w:val="20"/>
          <w:szCs w:val="20"/>
          <w:color w:val="auto"/>
        </w:rPr>
      </w:pPr>
      <w:r>
        <w:rPr>
          <w:rFonts w:ascii="Arial" w:cs="Arial" w:eastAsia="Arial" w:hAnsi="Arial"/>
          <w:sz w:val="12"/>
          <w:szCs w:val="12"/>
          <w:color w:val="FFFFFF"/>
        </w:rPr>
        <w:t>Governance</w:t>
      </w:r>
    </w:p>
    <w:p>
      <w:pPr>
        <w:ind w:left="1120"/>
        <w:spacing w:after="0" w:line="222" w:lineRule="auto"/>
        <w:rPr>
          <w:sz w:val="20"/>
          <w:szCs w:val="20"/>
          <w:color w:val="auto"/>
        </w:rPr>
      </w:pPr>
      <w:r>
        <w:rPr>
          <w:rFonts w:ascii="Arial" w:cs="Arial" w:eastAsia="Arial" w:hAnsi="Arial"/>
          <w:sz w:val="12"/>
          <w:szCs w:val="12"/>
          <w:color w:val="FFFFFF"/>
        </w:rPr>
        <w:t>and the Board of</w:t>
      </w:r>
    </w:p>
    <w:p>
      <w:pPr>
        <w:spacing w:after="0" w:line="1"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Directors</w:t>
      </w:r>
    </w:p>
    <w:p>
      <w:pPr>
        <w:spacing w:after="0" w:line="144" w:lineRule="exact"/>
        <w:rPr>
          <w:sz w:val="20"/>
          <w:szCs w:val="20"/>
          <w:color w:val="auto"/>
        </w:rPr>
      </w:pPr>
    </w:p>
    <w:p>
      <w:pPr>
        <w:jc w:val="center"/>
        <w:ind w:left="620"/>
        <w:spacing w:after="0"/>
        <w:rPr>
          <w:sz w:val="20"/>
          <w:szCs w:val="20"/>
          <w:color w:val="auto"/>
        </w:rPr>
      </w:pPr>
      <w:r>
        <w:rPr>
          <w:rFonts w:ascii="Arial" w:cs="Arial" w:eastAsia="Arial" w:hAnsi="Arial"/>
          <w:sz w:val="12"/>
          <w:szCs w:val="12"/>
          <w:color w:val="FFFFFF"/>
        </w:rPr>
        <w:t>Proposal 1</w:t>
      </w:r>
    </w:p>
    <w:p>
      <w:pPr>
        <w:spacing w:after="0" w:line="156"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Information</w:t>
      </w:r>
    </w:p>
    <w:p>
      <w:pPr>
        <w:ind w:left="1120"/>
        <w:spacing w:after="0" w:line="224" w:lineRule="auto"/>
        <w:rPr>
          <w:sz w:val="20"/>
          <w:szCs w:val="20"/>
          <w:color w:val="auto"/>
        </w:rPr>
      </w:pPr>
      <w:r>
        <w:rPr>
          <w:rFonts w:ascii="Arial" w:cs="Arial" w:eastAsia="Arial" w:hAnsi="Arial"/>
          <w:sz w:val="12"/>
          <w:szCs w:val="12"/>
          <w:color w:val="FFFFFF"/>
        </w:rPr>
        <w:t>Regarding Board</w:t>
      </w:r>
    </w:p>
    <w:p>
      <w:pPr>
        <w:ind w:left="1120"/>
        <w:spacing w:after="0" w:line="222" w:lineRule="auto"/>
        <w:rPr>
          <w:sz w:val="20"/>
          <w:szCs w:val="20"/>
          <w:color w:val="auto"/>
        </w:rPr>
      </w:pPr>
      <w:r>
        <w:rPr>
          <w:rFonts w:ascii="Arial" w:cs="Arial" w:eastAsia="Arial" w:hAnsi="Arial"/>
          <w:sz w:val="12"/>
          <w:szCs w:val="12"/>
          <w:color w:val="FFFFFF"/>
        </w:rPr>
        <w:t>and Committee</w:t>
      </w:r>
    </w:p>
    <w:p>
      <w:pPr>
        <w:ind w:left="1120"/>
        <w:spacing w:after="0"/>
        <w:rPr>
          <w:sz w:val="20"/>
          <w:szCs w:val="20"/>
          <w:color w:val="auto"/>
        </w:rPr>
      </w:pPr>
      <w:r>
        <w:rPr>
          <w:rFonts w:ascii="Arial" w:cs="Arial" w:eastAsia="Arial" w:hAnsi="Arial"/>
          <w:sz w:val="12"/>
          <w:szCs w:val="12"/>
          <w:color w:val="FFFFFF"/>
        </w:rPr>
        <w:t>Structure</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Board of Directors</w:t>
      </w:r>
    </w:p>
    <w:p>
      <w:pPr>
        <w:spacing w:after="0" w:line="2"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Compensation</w:t>
      </w:r>
    </w:p>
    <w:p>
      <w:pPr>
        <w:spacing w:after="0" w:line="144" w:lineRule="exact"/>
        <w:rPr>
          <w:sz w:val="20"/>
          <w:szCs w:val="20"/>
          <w:color w:val="auto"/>
        </w:rPr>
      </w:pPr>
    </w:p>
    <w:p>
      <w:pPr>
        <w:ind w:left="1120" w:right="160"/>
        <w:spacing w:after="0" w:line="244" w:lineRule="auto"/>
        <w:rPr>
          <w:sz w:val="20"/>
          <w:szCs w:val="20"/>
          <w:color w:val="auto"/>
        </w:rPr>
      </w:pPr>
      <w:r>
        <w:rPr>
          <w:rFonts w:ascii="Arial" w:cs="Arial" w:eastAsia="Arial" w:hAnsi="Arial"/>
          <w:sz w:val="12"/>
          <w:szCs w:val="12"/>
          <w:b w:val="1"/>
          <w:bCs w:val="1"/>
          <w:color w:val="FFFFFF"/>
        </w:rPr>
        <w:t>Compensation Discussion and Analysis</w:t>
      </w:r>
    </w:p>
    <w:p>
      <w:pPr>
        <w:spacing w:after="0" w:line="128"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Report of the</w:t>
      </w:r>
    </w:p>
    <w:p>
      <w:pPr>
        <w:ind w:left="1120"/>
        <w:spacing w:after="0" w:line="224" w:lineRule="auto"/>
        <w:rPr>
          <w:sz w:val="20"/>
          <w:szCs w:val="20"/>
          <w:color w:val="auto"/>
        </w:rPr>
      </w:pPr>
      <w:r>
        <w:rPr>
          <w:rFonts w:ascii="Arial" w:cs="Arial" w:eastAsia="Arial" w:hAnsi="Arial"/>
          <w:sz w:val="12"/>
          <w:szCs w:val="12"/>
          <w:color w:val="FFFFFF"/>
        </w:rPr>
        <w:t>Compensation</w:t>
      </w:r>
    </w:p>
    <w:p>
      <w:pPr>
        <w:ind w:left="1120"/>
        <w:spacing w:after="0" w:line="222" w:lineRule="auto"/>
        <w:rPr>
          <w:sz w:val="20"/>
          <w:szCs w:val="20"/>
          <w:color w:val="auto"/>
        </w:rPr>
      </w:pPr>
      <w:r>
        <w:rPr>
          <w:rFonts w:ascii="Arial" w:cs="Arial" w:eastAsia="Arial" w:hAnsi="Arial"/>
          <w:sz w:val="12"/>
          <w:szCs w:val="12"/>
          <w:color w:val="FFFFFF"/>
        </w:rPr>
        <w:t>and Human</w:t>
      </w:r>
    </w:p>
    <w:p>
      <w:pPr>
        <w:ind w:left="1120"/>
        <w:spacing w:after="0" w:line="222" w:lineRule="auto"/>
        <w:rPr>
          <w:sz w:val="20"/>
          <w:szCs w:val="20"/>
          <w:color w:val="auto"/>
        </w:rPr>
      </w:pPr>
      <w:r>
        <w:rPr>
          <w:rFonts w:ascii="Arial" w:cs="Arial" w:eastAsia="Arial" w:hAnsi="Arial"/>
          <w:sz w:val="12"/>
          <w:szCs w:val="12"/>
          <w:color w:val="FFFFFF"/>
        </w:rPr>
        <w:t>Resources</w:t>
      </w:r>
    </w:p>
    <w:p>
      <w:pPr>
        <w:ind w:left="1120"/>
        <w:spacing w:after="0" w:line="222" w:lineRule="auto"/>
        <w:rPr>
          <w:sz w:val="20"/>
          <w:szCs w:val="20"/>
          <w:color w:val="auto"/>
        </w:rPr>
      </w:pPr>
      <w:r>
        <w:rPr>
          <w:rFonts w:ascii="Arial" w:cs="Arial" w:eastAsia="Arial" w:hAnsi="Arial"/>
          <w:sz w:val="12"/>
          <w:szCs w:val="12"/>
          <w:color w:val="FFFFFF"/>
        </w:rPr>
        <w:t>Committee of the</w:t>
      </w:r>
    </w:p>
    <w:p>
      <w:pPr>
        <w:ind w:left="1120"/>
        <w:spacing w:after="0"/>
        <w:rPr>
          <w:sz w:val="20"/>
          <w:szCs w:val="20"/>
          <w:color w:val="auto"/>
        </w:rPr>
      </w:pPr>
      <w:r>
        <w:rPr>
          <w:rFonts w:ascii="Arial" w:cs="Arial" w:eastAsia="Arial" w:hAnsi="Arial"/>
          <w:sz w:val="12"/>
          <w:szCs w:val="12"/>
          <w:color w:val="FFFFFF"/>
        </w:rPr>
        <w:t>Board of Directors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Compensation of</w:t>
      </w:r>
    </w:p>
    <w:p>
      <w:pPr>
        <w:ind w:left="1120"/>
        <w:spacing w:after="0" w:line="224" w:lineRule="auto"/>
        <w:rPr>
          <w:sz w:val="20"/>
          <w:szCs w:val="20"/>
          <w:color w:val="auto"/>
        </w:rPr>
      </w:pPr>
      <w:r>
        <w:rPr>
          <w:rFonts w:ascii="Arial" w:cs="Arial" w:eastAsia="Arial" w:hAnsi="Arial"/>
          <w:sz w:val="12"/>
          <w:szCs w:val="12"/>
          <w:color w:val="FFFFFF"/>
        </w:rPr>
        <w:t>Named Executive</w:t>
      </w:r>
    </w:p>
    <w:p>
      <w:pPr>
        <w:ind w:left="1120"/>
        <w:spacing w:after="0"/>
        <w:rPr>
          <w:sz w:val="20"/>
          <w:szCs w:val="20"/>
          <w:color w:val="auto"/>
        </w:rPr>
      </w:pPr>
      <w:r>
        <w:rPr>
          <w:rFonts w:ascii="Arial" w:cs="Arial" w:eastAsia="Arial" w:hAnsi="Arial"/>
          <w:sz w:val="12"/>
          <w:szCs w:val="12"/>
          <w:color w:val="FFFFFF"/>
        </w:rPr>
        <w:t>Officers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Pay Versus</w:t>
      </w:r>
    </w:p>
    <w:p>
      <w:pPr>
        <w:ind w:left="1120"/>
        <w:spacing w:after="0" w:line="224" w:lineRule="auto"/>
        <w:rPr>
          <w:sz w:val="20"/>
          <w:szCs w:val="20"/>
          <w:color w:val="auto"/>
        </w:rPr>
      </w:pPr>
      <w:r>
        <w:rPr>
          <w:rFonts w:ascii="Arial" w:cs="Arial" w:eastAsia="Arial" w:hAnsi="Arial"/>
          <w:sz w:val="12"/>
          <w:szCs w:val="12"/>
          <w:color w:val="FFFFFF"/>
        </w:rPr>
        <w:t>Performance</w:t>
      </w:r>
    </w:p>
    <w:p>
      <w:pPr>
        <w:ind w:left="1120"/>
        <w:spacing w:after="0"/>
        <w:rPr>
          <w:sz w:val="20"/>
          <w:szCs w:val="20"/>
          <w:color w:val="auto"/>
        </w:rPr>
      </w:pPr>
      <w:r>
        <w:rPr>
          <w:rFonts w:ascii="Arial" w:cs="Arial" w:eastAsia="Arial" w:hAnsi="Arial"/>
          <w:sz w:val="12"/>
          <w:szCs w:val="12"/>
          <w:color w:val="FFFFFF"/>
        </w:rPr>
        <w:t>Disclosure</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Security</w:t>
      </w:r>
    </w:p>
    <w:p>
      <w:pPr>
        <w:ind w:left="1120"/>
        <w:spacing w:after="0" w:line="224" w:lineRule="auto"/>
        <w:rPr>
          <w:sz w:val="20"/>
          <w:szCs w:val="20"/>
          <w:color w:val="auto"/>
        </w:rPr>
      </w:pPr>
      <w:r>
        <w:rPr>
          <w:rFonts w:ascii="Arial" w:cs="Arial" w:eastAsia="Arial" w:hAnsi="Arial"/>
          <w:sz w:val="12"/>
          <w:szCs w:val="12"/>
          <w:color w:val="FFFFFF"/>
        </w:rPr>
        <w:t>Ownership of</w:t>
      </w:r>
    </w:p>
    <w:p>
      <w:pPr>
        <w:ind w:left="1120"/>
        <w:spacing w:after="0" w:line="222" w:lineRule="auto"/>
        <w:rPr>
          <w:sz w:val="20"/>
          <w:szCs w:val="20"/>
          <w:color w:val="auto"/>
        </w:rPr>
      </w:pPr>
      <w:r>
        <w:rPr>
          <w:rFonts w:ascii="Arial" w:cs="Arial" w:eastAsia="Arial" w:hAnsi="Arial"/>
          <w:sz w:val="12"/>
          <w:szCs w:val="12"/>
          <w:color w:val="FFFFFF"/>
        </w:rPr>
        <w:t>Certain Beneficial</w:t>
      </w:r>
    </w:p>
    <w:p>
      <w:pPr>
        <w:ind w:left="1120"/>
        <w:spacing w:after="0" w:line="222" w:lineRule="auto"/>
        <w:rPr>
          <w:sz w:val="20"/>
          <w:szCs w:val="20"/>
          <w:color w:val="auto"/>
        </w:rPr>
      </w:pPr>
      <w:r>
        <w:rPr>
          <w:rFonts w:ascii="Arial" w:cs="Arial" w:eastAsia="Arial" w:hAnsi="Arial"/>
          <w:sz w:val="12"/>
          <w:szCs w:val="12"/>
          <w:color w:val="FFFFFF"/>
        </w:rPr>
        <w:t>Owners and</w:t>
      </w:r>
    </w:p>
    <w:p>
      <w:pPr>
        <w:ind w:left="1120"/>
        <w:spacing w:after="0"/>
        <w:rPr>
          <w:sz w:val="20"/>
          <w:szCs w:val="20"/>
          <w:color w:val="auto"/>
        </w:rPr>
      </w:pPr>
      <w:r>
        <w:rPr>
          <w:rFonts w:ascii="Arial" w:cs="Arial" w:eastAsia="Arial" w:hAnsi="Arial"/>
          <w:sz w:val="12"/>
          <w:szCs w:val="12"/>
          <w:color w:val="FFFFFF"/>
        </w:rPr>
        <w:t>Management</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Certain</w:t>
      </w:r>
    </w:p>
    <w:p>
      <w:pPr>
        <w:ind w:left="1120"/>
        <w:spacing w:after="0" w:line="224" w:lineRule="auto"/>
        <w:rPr>
          <w:sz w:val="20"/>
          <w:szCs w:val="20"/>
          <w:color w:val="auto"/>
        </w:rPr>
      </w:pPr>
      <w:r>
        <w:rPr>
          <w:rFonts w:ascii="Arial" w:cs="Arial" w:eastAsia="Arial" w:hAnsi="Arial"/>
          <w:sz w:val="12"/>
          <w:szCs w:val="12"/>
          <w:color w:val="FFFFFF"/>
        </w:rPr>
        <w:t>Relationships and</w:t>
      </w:r>
    </w:p>
    <w:p>
      <w:pPr>
        <w:ind w:left="1120"/>
        <w:spacing w:after="0" w:line="222" w:lineRule="auto"/>
        <w:rPr>
          <w:sz w:val="20"/>
          <w:szCs w:val="20"/>
          <w:color w:val="auto"/>
        </w:rPr>
      </w:pPr>
      <w:r>
        <w:rPr>
          <w:rFonts w:ascii="Arial" w:cs="Arial" w:eastAsia="Arial" w:hAnsi="Arial"/>
          <w:sz w:val="12"/>
          <w:szCs w:val="12"/>
          <w:color w:val="FFFFFF"/>
        </w:rPr>
        <w:t>Related Party</w:t>
      </w:r>
    </w:p>
    <w:p>
      <w:pPr>
        <w:ind w:left="1120"/>
        <w:spacing w:after="0"/>
        <w:rPr>
          <w:sz w:val="20"/>
          <w:szCs w:val="20"/>
          <w:color w:val="auto"/>
        </w:rPr>
      </w:pPr>
      <w:r>
        <w:rPr>
          <w:rFonts w:ascii="Arial" w:cs="Arial" w:eastAsia="Arial" w:hAnsi="Arial"/>
          <w:sz w:val="12"/>
          <w:szCs w:val="12"/>
          <w:color w:val="FFFFFF"/>
        </w:rPr>
        <w:t>Transactions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Proposal 2</w:t>
      </w:r>
    </w:p>
    <w:p>
      <w:pPr>
        <w:spacing w:after="0" w:line="156"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Report of the</w:t>
      </w:r>
    </w:p>
    <w:p>
      <w:pPr>
        <w:ind w:left="1120"/>
        <w:spacing w:after="0" w:line="224" w:lineRule="auto"/>
        <w:rPr>
          <w:sz w:val="20"/>
          <w:szCs w:val="20"/>
          <w:color w:val="auto"/>
        </w:rPr>
      </w:pPr>
      <w:r>
        <w:rPr>
          <w:rFonts w:ascii="Arial" w:cs="Arial" w:eastAsia="Arial" w:hAnsi="Arial"/>
          <w:sz w:val="12"/>
          <w:szCs w:val="12"/>
          <w:color w:val="FFFFFF"/>
        </w:rPr>
        <w:t>Audit and Risk</w:t>
      </w:r>
    </w:p>
    <w:p>
      <w:pPr>
        <w:ind w:left="1120"/>
        <w:spacing w:after="0" w:line="222" w:lineRule="auto"/>
        <w:rPr>
          <w:sz w:val="20"/>
          <w:szCs w:val="20"/>
          <w:color w:val="auto"/>
        </w:rPr>
      </w:pPr>
      <w:r>
        <w:rPr>
          <w:rFonts w:ascii="Arial" w:cs="Arial" w:eastAsia="Arial" w:hAnsi="Arial"/>
          <w:sz w:val="12"/>
          <w:szCs w:val="12"/>
          <w:color w:val="FFFFFF"/>
        </w:rPr>
        <w:t>Committee of the</w:t>
      </w:r>
    </w:p>
    <w:p>
      <w:pPr>
        <w:ind w:left="1120"/>
        <w:spacing w:after="0"/>
        <w:rPr>
          <w:sz w:val="20"/>
          <w:szCs w:val="20"/>
          <w:color w:val="auto"/>
        </w:rPr>
      </w:pPr>
      <w:r>
        <w:rPr>
          <w:rFonts w:ascii="Arial" w:cs="Arial" w:eastAsia="Arial" w:hAnsi="Arial"/>
          <w:sz w:val="12"/>
          <w:szCs w:val="12"/>
          <w:color w:val="FFFFFF"/>
        </w:rPr>
        <w:t>Board of Directors</w:t>
      </w:r>
    </w:p>
    <w:p>
      <w:pPr>
        <w:spacing w:after="0" w:line="144" w:lineRule="exact"/>
        <w:rPr>
          <w:sz w:val="20"/>
          <w:szCs w:val="20"/>
          <w:color w:val="auto"/>
        </w:rPr>
      </w:pPr>
    </w:p>
    <w:p>
      <w:pPr>
        <w:jc w:val="center"/>
        <w:ind w:left="620"/>
        <w:spacing w:after="0"/>
        <w:rPr>
          <w:sz w:val="20"/>
          <w:szCs w:val="20"/>
          <w:color w:val="auto"/>
        </w:rPr>
      </w:pPr>
      <w:r>
        <w:rPr>
          <w:rFonts w:ascii="Arial" w:cs="Arial" w:eastAsia="Arial" w:hAnsi="Arial"/>
          <w:sz w:val="12"/>
          <w:szCs w:val="12"/>
          <w:color w:val="FFFFFF"/>
        </w:rPr>
        <w:t>Proposal 3</w:t>
      </w:r>
    </w:p>
    <w:p>
      <w:pPr>
        <w:spacing w:after="0" w:line="156" w:lineRule="exact"/>
        <w:rPr>
          <w:sz w:val="20"/>
          <w:szCs w:val="20"/>
          <w:color w:val="auto"/>
        </w:rPr>
      </w:pPr>
    </w:p>
    <w:p>
      <w:pPr>
        <w:jc w:val="center"/>
        <w:ind w:left="620"/>
        <w:spacing w:after="0"/>
        <w:rPr>
          <w:sz w:val="20"/>
          <w:szCs w:val="20"/>
          <w:color w:val="auto"/>
        </w:rPr>
      </w:pPr>
      <w:r>
        <w:rPr>
          <w:rFonts w:ascii="Arial" w:cs="Arial" w:eastAsia="Arial" w:hAnsi="Arial"/>
          <w:sz w:val="12"/>
          <w:szCs w:val="12"/>
          <w:color w:val="FFFFFF"/>
        </w:rPr>
        <w:t>Proposal 4</w:t>
      </w:r>
    </w:p>
    <w:p>
      <w:pPr>
        <w:spacing w:after="0" w:line="156" w:lineRule="exact"/>
        <w:rPr>
          <w:sz w:val="20"/>
          <w:szCs w:val="20"/>
          <w:color w:val="auto"/>
        </w:rPr>
      </w:pPr>
    </w:p>
    <w:p>
      <w:pPr>
        <w:jc w:val="center"/>
        <w:ind w:left="620"/>
        <w:spacing w:after="0"/>
        <w:rPr>
          <w:sz w:val="20"/>
          <w:szCs w:val="20"/>
          <w:color w:val="auto"/>
        </w:rPr>
      </w:pPr>
      <w:r>
        <w:rPr>
          <w:rFonts w:ascii="Arial" w:cs="Arial" w:eastAsia="Arial" w:hAnsi="Arial"/>
          <w:sz w:val="12"/>
          <w:szCs w:val="12"/>
          <w:color w:val="FFFFFF"/>
        </w:rPr>
        <w:t>Proposal 5</w:t>
      </w:r>
    </w:p>
    <w:p>
      <w:pPr>
        <w:spacing w:after="0" w:line="156"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Proposal 6</w:t>
      </w:r>
    </w:p>
    <w:p>
      <w:pPr>
        <w:spacing w:after="0" w:line="156"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Stockholder</w:t>
      </w:r>
    </w:p>
    <w:p>
      <w:pPr>
        <w:ind w:left="1120"/>
        <w:spacing w:after="0" w:line="224" w:lineRule="auto"/>
        <w:rPr>
          <w:sz w:val="20"/>
          <w:szCs w:val="20"/>
          <w:color w:val="auto"/>
        </w:rPr>
      </w:pPr>
      <w:r>
        <w:rPr>
          <w:rFonts w:ascii="Arial" w:cs="Arial" w:eastAsia="Arial" w:hAnsi="Arial"/>
          <w:sz w:val="12"/>
          <w:szCs w:val="12"/>
          <w:color w:val="FFFFFF"/>
        </w:rPr>
        <w:t>Proposals and</w:t>
      </w:r>
    </w:p>
    <w:p>
      <w:pPr>
        <w:ind w:left="1120"/>
        <w:spacing w:after="0"/>
        <w:rPr>
          <w:sz w:val="20"/>
          <w:szCs w:val="20"/>
          <w:color w:val="auto"/>
        </w:rPr>
      </w:pPr>
      <w:r>
        <w:rPr>
          <w:rFonts w:ascii="Arial" w:cs="Arial" w:eastAsia="Arial" w:hAnsi="Arial"/>
          <w:sz w:val="12"/>
          <w:szCs w:val="12"/>
          <w:color w:val="FFFFFF"/>
        </w:rPr>
        <w:t>Other Matters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Delinquent</w:t>
      </w:r>
    </w:p>
    <w:p>
      <w:pPr>
        <w:ind w:left="1120"/>
        <w:spacing w:after="0" w:line="224" w:lineRule="auto"/>
        <w:rPr>
          <w:sz w:val="20"/>
          <w:szCs w:val="20"/>
          <w:color w:val="auto"/>
        </w:rPr>
      </w:pPr>
      <w:r>
        <w:rPr>
          <w:rFonts w:ascii="Arial" w:cs="Arial" w:eastAsia="Arial" w:hAnsi="Arial"/>
          <w:sz w:val="12"/>
          <w:szCs w:val="12"/>
          <w:color w:val="FFFFFF"/>
        </w:rPr>
        <w:t>Section 16(a)</w:t>
      </w:r>
    </w:p>
    <w:p>
      <w:pPr>
        <w:ind w:left="1120"/>
        <w:spacing w:after="0"/>
        <w:rPr>
          <w:sz w:val="20"/>
          <w:szCs w:val="20"/>
          <w:color w:val="auto"/>
        </w:rPr>
      </w:pPr>
      <w:r>
        <w:rPr>
          <w:rFonts w:ascii="Arial" w:cs="Arial" w:eastAsia="Arial" w:hAnsi="Arial"/>
          <w:sz w:val="12"/>
          <w:szCs w:val="12"/>
          <w:color w:val="FFFFFF"/>
        </w:rPr>
        <w:t>Reports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Other</w:t>
      </w:r>
    </w:p>
    <w:p>
      <w:pPr>
        <w:spacing w:after="0" w:line="2"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Information</w:t>
      </w:r>
    </w:p>
    <w:p>
      <w:pPr>
        <w:spacing w:after="0" w:line="144" w:lineRule="exact"/>
        <w:rPr>
          <w:sz w:val="20"/>
          <w:szCs w:val="20"/>
          <w:color w:val="auto"/>
        </w:rPr>
      </w:pPr>
    </w:p>
    <w:p>
      <w:pPr>
        <w:jc w:val="center"/>
        <w:ind w:left="660"/>
        <w:spacing w:after="0"/>
        <w:rPr>
          <w:sz w:val="20"/>
          <w:szCs w:val="20"/>
          <w:color w:val="auto"/>
        </w:rPr>
      </w:pPr>
      <w:r>
        <w:rPr>
          <w:rFonts w:ascii="Arial" w:cs="Arial" w:eastAsia="Arial" w:hAnsi="Arial"/>
          <w:sz w:val="12"/>
          <w:szCs w:val="12"/>
          <w:color w:val="FFFFFF"/>
        </w:rPr>
        <w:t>Appendix A</w:t>
      </w:r>
    </w:p>
    <w:p>
      <w:pPr>
        <w:spacing w:after="0" w:line="156" w:lineRule="exact"/>
        <w:rPr>
          <w:sz w:val="20"/>
          <w:szCs w:val="20"/>
          <w:color w:val="auto"/>
        </w:rPr>
      </w:pPr>
    </w:p>
    <w:p>
      <w:pPr>
        <w:jc w:val="center"/>
        <w:ind w:left="660"/>
        <w:spacing w:after="0"/>
        <w:rPr>
          <w:sz w:val="20"/>
          <w:szCs w:val="20"/>
          <w:color w:val="auto"/>
        </w:rPr>
      </w:pPr>
      <w:r>
        <w:rPr>
          <w:rFonts w:ascii="Arial" w:cs="Arial" w:eastAsia="Arial" w:hAnsi="Arial"/>
          <w:sz w:val="12"/>
          <w:szCs w:val="12"/>
          <w:color w:val="FFFFFF"/>
        </w:rPr>
        <w:t>Appendix 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7"/>
          <w:szCs w:val="17"/>
          <w:b w:val="1"/>
          <w:bCs w:val="1"/>
          <w:color w:val="002B5F"/>
        </w:rPr>
        <w:t>INSIDER TRADING POLICY AND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-1737995</wp:posOffset>
            </wp:positionH>
            <wp:positionV relativeFrom="paragraph">
              <wp:posOffset>-753110</wp:posOffset>
            </wp:positionV>
            <wp:extent cx="7181215" cy="5334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81215" cy="53340"/>
                    </a:xfrm>
                    <a:prstGeom prst="rect">
                      <a:avLst/>
                    </a:prstGeom>
                    <a:noFill/>
                  </pic:spPr>
                </pic:pic>
              </a:graphicData>
            </a:graphic>
          </wp:anchor>
        </w:drawing>
      </w:r>
    </w:p>
    <w:p>
      <w:pPr>
        <w:spacing w:after="0" w:line="83" w:lineRule="exact"/>
        <w:rPr>
          <w:sz w:val="20"/>
          <w:szCs w:val="20"/>
          <w:color w:val="auto"/>
        </w:rPr>
      </w:pPr>
    </w:p>
    <w:p>
      <w:pPr>
        <w:spacing w:after="0" w:line="256" w:lineRule="auto"/>
        <w:rPr>
          <w:sz w:val="20"/>
          <w:szCs w:val="20"/>
          <w:color w:val="auto"/>
        </w:rPr>
      </w:pPr>
      <w:r>
        <w:rPr>
          <w:rFonts w:ascii="Arial" w:cs="Arial" w:eastAsia="Arial" w:hAnsi="Arial"/>
          <w:sz w:val="15"/>
          <w:szCs w:val="15"/>
          <w:color w:val="auto"/>
        </w:rPr>
        <w:t>We have an insider trading policy governing the transactions of securities by the Company and our employees, officers, directors and consultants, which we believe is reasonably designed to promote compliance with insider trading laws, rules and regulations, as well as the exchange listing standards applicable to us. We have also implemented processes for the Company that we believe are reasonably designed to promote compliance with insider trading laws, rules and regulations and the exchange listing standards applicable to us. A copy of the Company’s Insider Trading Policy was filed as Exhibit 19.1 to our Annual Report.</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color w:val="002B5F"/>
        </w:rPr>
        <w:t>RULE 10b5-1 PLAN POLICY</w:t>
      </w:r>
    </w:p>
    <w:p>
      <w:pPr>
        <w:spacing w:after="0" w:line="103" w:lineRule="exact"/>
        <w:rPr>
          <w:sz w:val="20"/>
          <w:szCs w:val="20"/>
          <w:color w:val="auto"/>
        </w:rPr>
      </w:pPr>
    </w:p>
    <w:p>
      <w:pPr>
        <w:ind w:right="100"/>
        <w:spacing w:after="0" w:line="268" w:lineRule="auto"/>
        <w:rPr>
          <w:sz w:val="20"/>
          <w:szCs w:val="20"/>
          <w:color w:val="auto"/>
        </w:rPr>
      </w:pPr>
      <w:r>
        <w:rPr>
          <w:rFonts w:ascii="Arial" w:cs="Arial" w:eastAsia="Arial" w:hAnsi="Arial"/>
          <w:sz w:val="15"/>
          <w:szCs w:val="15"/>
          <w:color w:val="auto"/>
        </w:rPr>
        <w:t>We have adopted a policy (the “10b5-1 Policy”) for all executive officers and directors of the Company who adopt Rule 10b5-1 plans for trading in Company securities. The 10b5-1 Policy is designed to prevent inadvertent violations of the federal securities laws when implementing Rule 10b5-1 plans.</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color w:val="002B5F"/>
        </w:rPr>
        <w:t>CLAWBACK POLICIES</w:t>
      </w:r>
    </w:p>
    <w:p>
      <w:pPr>
        <w:spacing w:after="0" w:line="103" w:lineRule="exact"/>
        <w:rPr>
          <w:sz w:val="20"/>
          <w:szCs w:val="20"/>
          <w:color w:val="auto"/>
        </w:rPr>
      </w:pPr>
    </w:p>
    <w:p>
      <w:pPr>
        <w:ind w:right="20"/>
        <w:spacing w:after="0" w:line="252" w:lineRule="auto"/>
        <w:rPr>
          <w:sz w:val="20"/>
          <w:szCs w:val="20"/>
          <w:color w:val="auto"/>
        </w:rPr>
      </w:pPr>
      <w:r>
        <w:rPr>
          <w:rFonts w:ascii="Arial" w:cs="Arial" w:eastAsia="Arial" w:hAnsi="Arial"/>
          <w:sz w:val="15"/>
          <w:szCs w:val="15"/>
          <w:color w:val="auto"/>
        </w:rPr>
        <w:t>We have adopted a clawback policy aligned with the SEC’s rules under the Dodd-Frank Wall Street Reform and Consumer Protection Act (the “Dodd-Frank Act”). The policy requires current and former executive officers of the Company to return erroneously awarded incentive-based compensation in the event the Company is required to restate its financial statements due to material noncompliance with financial reporting requirements under federal securities laws. Under the policy, incentive-based compensation includes any cash or equity compensation based on the attainment of a financial reporting measure, including stock price and total shareholder return. If the amount of the incentive-based compensation received by a covered executive during the three completed fiscal years preceding the date the Company is required to restate its financial statements would have been lower based on the restated financial results, the Compensation Committee will seek recovery from the covered executive of the excess amount in accordance with the policy.</w:t>
      </w:r>
    </w:p>
    <w:p>
      <w:pPr>
        <w:spacing w:after="0" w:line="78" w:lineRule="exact"/>
        <w:rPr>
          <w:sz w:val="20"/>
          <w:szCs w:val="20"/>
          <w:color w:val="auto"/>
        </w:rPr>
      </w:pPr>
    </w:p>
    <w:p>
      <w:pPr>
        <w:spacing w:after="0" w:line="268" w:lineRule="auto"/>
        <w:rPr>
          <w:sz w:val="20"/>
          <w:szCs w:val="20"/>
          <w:color w:val="auto"/>
        </w:rPr>
      </w:pPr>
      <w:r>
        <w:rPr>
          <w:rFonts w:ascii="Arial" w:cs="Arial" w:eastAsia="Arial" w:hAnsi="Arial"/>
          <w:sz w:val="15"/>
          <w:szCs w:val="15"/>
          <w:color w:val="auto"/>
        </w:rPr>
        <w:t>In addition, we have adopted a supplemental compensation clawback policy that allows the Compensation Committee to recoup cash and both time- and incentive-based equity compensation from executive officers in the event that the executive officer engages in any conduct that would be grounds for termination for “Cause” under the 2021 Plan.</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color w:val="002B5F"/>
        </w:rPr>
        <w:t>ANNUAL COMPENSATION RISK ASSESSMENT</w:t>
      </w:r>
    </w:p>
    <w:p>
      <w:pPr>
        <w:spacing w:after="0" w:line="103" w:lineRule="exact"/>
        <w:rPr>
          <w:sz w:val="20"/>
          <w:szCs w:val="20"/>
          <w:color w:val="auto"/>
        </w:rPr>
      </w:pPr>
    </w:p>
    <w:p>
      <w:pPr>
        <w:ind w:right="280"/>
        <w:spacing w:after="0" w:line="258" w:lineRule="auto"/>
        <w:rPr>
          <w:sz w:val="20"/>
          <w:szCs w:val="20"/>
          <w:color w:val="auto"/>
        </w:rPr>
      </w:pPr>
      <w:r>
        <w:rPr>
          <w:rFonts w:ascii="Arial" w:cs="Arial" w:eastAsia="Arial" w:hAnsi="Arial"/>
          <w:sz w:val="15"/>
          <w:szCs w:val="15"/>
          <w:color w:val="auto"/>
        </w:rPr>
        <w:t>The Compensation Committee annually reviews our executive compensation policies and practices to ensure that they do not encourage unnecessary and excessive risks. The Compensation Consultant provided a report in connection with the 2025 review, the results of which are discussed elsewhere in this proxy statement under “</w:t>
      </w:r>
      <w:r>
        <w:rPr>
          <w:rFonts w:ascii="Arial" w:cs="Arial" w:eastAsia="Arial" w:hAnsi="Arial"/>
          <w:sz w:val="15"/>
          <w:szCs w:val="15"/>
          <w:i w:val="1"/>
          <w:iCs w:val="1"/>
          <w:color w:val="auto"/>
        </w:rPr>
        <w:t>Information Regarding Board and Committee Structure—Risk Management and Compensation Policies and</w:t>
      </w:r>
      <w:r>
        <w:rPr>
          <w:rFonts w:ascii="Arial" w:cs="Arial" w:eastAsia="Arial" w:hAnsi="Arial"/>
          <w:sz w:val="15"/>
          <w:szCs w:val="15"/>
          <w:color w:val="auto"/>
        </w:rPr>
        <w:t xml:space="preserve"> </w:t>
      </w:r>
      <w:r>
        <w:rPr>
          <w:rFonts w:ascii="Arial" w:cs="Arial" w:eastAsia="Arial" w:hAnsi="Arial"/>
          <w:sz w:val="15"/>
          <w:szCs w:val="15"/>
          <w:i w:val="1"/>
          <w:iCs w:val="1"/>
          <w:color w:val="auto"/>
        </w:rPr>
        <w:t>Practices</w:t>
      </w:r>
      <w:r>
        <w:rPr>
          <w:rFonts w:ascii="Arial" w:cs="Arial" w:eastAsia="Arial" w:hAnsi="Arial"/>
          <w:sz w:val="15"/>
          <w:szCs w:val="15"/>
          <w:color w:val="auto"/>
        </w:rPr>
        <w:t>.”</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002B5F"/>
        </w:rPr>
        <w:t>SAY-ON-PAY FEEDBACK FROM STOCKHOLDERS</w:t>
      </w:r>
    </w:p>
    <w:p>
      <w:pPr>
        <w:spacing w:after="0" w:line="103" w:lineRule="exact"/>
        <w:rPr>
          <w:sz w:val="20"/>
          <w:szCs w:val="20"/>
          <w:color w:val="auto"/>
        </w:rPr>
      </w:pPr>
    </w:p>
    <w:p>
      <w:pPr>
        <w:spacing w:after="0" w:line="255" w:lineRule="auto"/>
        <w:rPr>
          <w:sz w:val="20"/>
          <w:szCs w:val="20"/>
          <w:color w:val="auto"/>
        </w:rPr>
      </w:pPr>
      <w:r>
        <w:rPr>
          <w:rFonts w:ascii="Arial" w:cs="Arial" w:eastAsia="Arial" w:hAnsi="Arial"/>
          <w:sz w:val="15"/>
          <w:szCs w:val="15"/>
          <w:color w:val="auto"/>
        </w:rPr>
        <w:t>In 2023, we held an advisory vote on the frequency with which our NEO compensation program would be submitted to our stockholders for an advisory vote, commonly referred to as a “say-on-pay” vote. Our stockholders recommended that say-on-pay votes occur every year. Each year, the Compensation Committee considers the results of the prior year’s advisory vote as it reviews and determines the total compensation packages for our NEOs in the current year. We received strong support for our NEO compensation program at our 2025 annual meeting of stockholders, as approximately 97% of the total votes cast on the advisory vote on say-on-pay voted to approve the proposal.</w:t>
      </w:r>
    </w:p>
    <w:p>
      <w:pPr>
        <w:spacing w:after="0" w:line="351" w:lineRule="exact"/>
        <w:rPr>
          <w:sz w:val="20"/>
          <w:szCs w:val="20"/>
          <w:color w:val="auto"/>
        </w:rPr>
      </w:pPr>
    </w:p>
    <w:p>
      <w:pPr>
        <w:spacing w:after="0"/>
        <w:rPr>
          <w:sz w:val="20"/>
          <w:szCs w:val="20"/>
          <w:color w:val="auto"/>
        </w:rPr>
      </w:pPr>
      <w:r>
        <w:rPr>
          <w:rFonts w:ascii="Arial" w:cs="Arial" w:eastAsia="Arial" w:hAnsi="Arial"/>
          <w:sz w:val="17"/>
          <w:szCs w:val="17"/>
          <w:b w:val="1"/>
          <w:bCs w:val="1"/>
          <w:color w:val="002B5F"/>
        </w:rPr>
        <w:t>EQUITY GRANTS</w:t>
      </w:r>
    </w:p>
    <w:p>
      <w:pPr>
        <w:spacing w:after="0" w:line="103" w:lineRule="exact"/>
        <w:rPr>
          <w:sz w:val="20"/>
          <w:szCs w:val="20"/>
          <w:color w:val="auto"/>
        </w:rPr>
      </w:pPr>
    </w:p>
    <w:p>
      <w:pPr>
        <w:ind w:right="120"/>
        <w:spacing w:after="0" w:line="261" w:lineRule="auto"/>
        <w:rPr>
          <w:sz w:val="20"/>
          <w:szCs w:val="20"/>
          <w:color w:val="auto"/>
        </w:rPr>
      </w:pPr>
      <w:r>
        <w:rPr>
          <w:rFonts w:ascii="Arial" w:cs="Arial" w:eastAsia="Arial" w:hAnsi="Arial"/>
          <w:sz w:val="15"/>
          <w:szCs w:val="15"/>
          <w:color w:val="auto"/>
        </w:rPr>
        <w:t>The Compensation Committee does not schedule equity award grant dates, and in 2025 did not grant equity awards to our NEOs, in anticipation of the release of material non-public information, and the Company does not have any plans, programs or practices of timing the release of material non-public information in order to affect the value of executive compensation.</w:t>
      </w:r>
    </w:p>
    <w:p>
      <w:pPr>
        <w:spacing w:after="0" w:line="1509" w:lineRule="exact"/>
        <w:rPr>
          <w:sz w:val="20"/>
          <w:szCs w:val="20"/>
          <w:color w:val="auto"/>
        </w:rPr>
      </w:pPr>
    </w:p>
    <w:p>
      <w:pPr>
        <w:sectPr>
          <w:pgSz w:w="11900" w:h="16838" w:orient="portrait"/>
          <w:cols w:equalWidth="0" w:num="2">
            <w:col w:w="2160" w:space="560"/>
            <w:col w:w="7980"/>
          </w:cols>
          <w:pgMar w:left="320" w:top="464" w:right="879" w:bottom="1440" w:gutter="0" w:footer="0" w:header="0"/>
        </w:sectPr>
      </w:pPr>
    </w:p>
    <w:p>
      <w:pPr>
        <w:spacing w:after="0" w:line="200" w:lineRule="exact"/>
        <w:rPr>
          <w:sz w:val="20"/>
          <w:szCs w:val="20"/>
          <w:color w:val="auto"/>
        </w:rPr>
      </w:pPr>
    </w:p>
    <w:p>
      <w:pPr>
        <w:spacing w:after="0" w:line="385" w:lineRule="exact"/>
        <w:rPr>
          <w:sz w:val="20"/>
          <w:szCs w:val="20"/>
          <w:color w:val="auto"/>
        </w:rPr>
      </w:pPr>
    </w:p>
    <w:p>
      <w:pPr>
        <w:ind w:left="420"/>
        <w:spacing w:after="0"/>
        <w:tabs>
          <w:tab w:leader="none" w:pos="2380" w:val="left"/>
          <w:tab w:leader="none" w:pos="2800" w:val="left"/>
        </w:tabs>
        <w:rPr>
          <w:sz w:val="20"/>
          <w:szCs w:val="20"/>
          <w:color w:val="auto"/>
        </w:rPr>
      </w:pPr>
      <w:r>
        <w:rPr>
          <w:rFonts w:ascii="Arial" w:cs="Arial" w:eastAsia="Arial" w:hAnsi="Arial"/>
          <w:sz w:val="30"/>
          <w:szCs w:val="30"/>
          <w:color w:val="000000"/>
          <w:vertAlign w:val="superscript"/>
        </w:rPr>
        <w:t xml:space="preserve">             </w:t>
      </w:r>
      <w:r>
        <w:rPr>
          <w:sz w:val="20"/>
          <w:szCs w:val="20"/>
          <w:color w:val="auto"/>
        </w:rPr>
        <w:tab/>
      </w:r>
      <w:r>
        <w:rPr>
          <w:rFonts w:ascii="Arial" w:cs="Arial" w:eastAsia="Arial" w:hAnsi="Arial"/>
          <w:sz w:val="31"/>
          <w:szCs w:val="31"/>
          <w:color w:val="auto"/>
          <w:vertAlign w:val="superscript"/>
        </w:rPr>
        <w:t xml:space="preserve">    </w:t>
      </w:r>
      <w:r>
        <w:rPr>
          <w:sz w:val="20"/>
          <w:szCs w:val="20"/>
          <w:color w:val="auto"/>
        </w:rPr>
        <w:tab/>
      </w:r>
      <w:r>
        <w:rPr>
          <w:rFonts w:ascii="Arial" w:cs="Arial" w:eastAsia="Arial" w:hAnsi="Arial"/>
          <w:sz w:val="15"/>
          <w:szCs w:val="15"/>
          <w:b w:val="1"/>
          <w:bCs w:val="1"/>
          <w:color w:val="002B5F"/>
        </w:rPr>
        <w:t xml:space="preserve">58  </w:t>
      </w:r>
      <w:r>
        <w:rPr>
          <w:rFonts w:ascii="Arial" w:cs="Arial" w:eastAsia="Arial" w:hAnsi="Arial"/>
          <w:sz w:val="20"/>
          <w:szCs w:val="20"/>
          <w:color w:val="002B5F"/>
        </w:rPr>
        <w:t>|</w:t>
      </w:r>
      <w:r>
        <w:rPr>
          <w:rFonts w:ascii="Arial" w:cs="Arial" w:eastAsia="Arial" w:hAnsi="Arial"/>
          <w:sz w:val="15"/>
          <w:szCs w:val="15"/>
          <w:b w:val="1"/>
          <w:bCs w:val="1"/>
          <w:color w:val="002B5F"/>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6111875</wp:posOffset>
            </wp:positionH>
            <wp:positionV relativeFrom="paragraph">
              <wp:posOffset>-208915</wp:posOffset>
            </wp:positionV>
            <wp:extent cx="769620" cy="971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69620" cy="97155"/>
                    </a:xfrm>
                    <a:prstGeom prst="rect">
                      <a:avLst/>
                    </a:prstGeom>
                    <a:noFill/>
                  </pic:spPr>
                </pic:pic>
              </a:graphicData>
            </a:graphic>
          </wp:anchor>
        </w:drawing>
      </w:r>
    </w:p>
    <w:p>
      <w:pPr>
        <w:sectPr>
          <w:pgSz w:w="11900" w:h="16838" w:orient="portrait"/>
          <w:cols w:equalWidth="0" w:num="1">
            <w:col w:w="10700"/>
          </w:cols>
          <w:pgMar w:left="320" w:top="464" w:right="879" w:bottom="1440" w:gutter="0" w:footer="0" w:header="0"/>
          <w:type w:val="continuous"/>
        </w:sectPr>
      </w:pPr>
    </w:p>
    <w:bookmarkStart w:id="66" w:name="page67"/>
    <w:bookmarkEnd w:id="6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5334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81215" cy="5334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5617845</wp:posOffset>
            </wp:positionH>
            <wp:positionV relativeFrom="paragraph">
              <wp:posOffset>253365</wp:posOffset>
            </wp:positionV>
            <wp:extent cx="1256030" cy="745617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1256030" cy="7456170"/>
                    </a:xfrm>
                    <a:prstGeom prst="rect">
                      <a:avLst/>
                    </a:prstGeom>
                    <a:noFill/>
                  </pic:spPr>
                </pic:pic>
              </a:graphicData>
            </a:graphic>
          </wp:anchor>
        </w:drawing>
      </w:r>
    </w:p>
    <w:p>
      <w:pPr>
        <w:spacing w:after="0" w:line="166" w:lineRule="exact"/>
        <w:rPr>
          <w:sz w:val="20"/>
          <w:szCs w:val="20"/>
          <w:color w:val="auto"/>
        </w:rPr>
      </w:pPr>
    </w:p>
    <w:tbl>
      <w:tblPr>
        <w:tblLayout w:type="fixed"/>
        <w:tblInd w:w="540" w:type="dxa"/>
        <w:tblCellMar>
          <w:top w:w="0" w:type="dxa"/>
          <w:left w:w="0" w:type="dxa"/>
          <w:bottom w:w="0" w:type="dxa"/>
          <w:right w:w="0" w:type="dxa"/>
        </w:tblCellMar>
      </w:tblPr>
      <w:tr>
        <w:trPr>
          <w:trHeight w:val="552"/>
        </w:trPr>
        <w:tc>
          <w:tcPr>
            <w:tcW w:w="7360" w:type="dxa"/>
            <w:vAlign w:val="bottom"/>
            <w:gridSpan w:val="11"/>
          </w:tcPr>
          <w:p>
            <w:pPr>
              <w:spacing w:after="0"/>
              <w:rPr>
                <w:sz w:val="20"/>
                <w:szCs w:val="20"/>
                <w:color w:val="auto"/>
              </w:rPr>
            </w:pPr>
            <w:r>
              <w:rPr>
                <w:rFonts w:ascii="Times New Roman" w:cs="Times New Roman" w:eastAsia="Times New Roman" w:hAnsi="Times New Roman"/>
                <w:sz w:val="48"/>
                <w:szCs w:val="48"/>
                <w:b w:val="1"/>
                <w:bCs w:val="1"/>
                <w:color w:val="002B5F"/>
                <w:w w:val="99"/>
              </w:rPr>
              <w:t>Pay Versus Performance Disclosure</w:t>
            </w:r>
          </w:p>
        </w:tc>
        <w:tc>
          <w:tcPr>
            <w:tcW w:w="520" w:type="dxa"/>
            <w:vAlign w:val="bottom"/>
          </w:tcPr>
          <w:p>
            <w:pPr>
              <w:spacing w:after="0"/>
              <w:rPr>
                <w:sz w:val="24"/>
                <w:szCs w:val="24"/>
                <w:color w:val="auto"/>
              </w:rPr>
            </w:pPr>
          </w:p>
        </w:tc>
        <w:tc>
          <w:tcPr>
            <w:tcW w:w="660" w:type="dxa"/>
            <w:vAlign w:val="bottom"/>
            <w:vMerge w:val="restart"/>
          </w:tcPr>
          <w:p>
            <w:pPr>
              <w:ind w:left="460"/>
              <w:spacing w:after="0"/>
              <w:rPr>
                <w:sz w:val="20"/>
                <w:szCs w:val="20"/>
                <w:color w:val="auto"/>
              </w:rPr>
            </w:pPr>
            <w:r>
              <w:rPr>
                <w:rFonts w:ascii="Arial" w:cs="Arial" w:eastAsia="Arial" w:hAnsi="Arial"/>
                <w:sz w:val="15"/>
                <w:szCs w:val="15"/>
                <w:color w:val="auto"/>
              </w:rPr>
              <w:t> </w:t>
            </w:r>
          </w:p>
        </w:tc>
        <w:tc>
          <w:tcPr>
            <w:tcW w:w="1280" w:type="dxa"/>
            <w:vAlign w:val="bottom"/>
          </w:tcPr>
          <w:p>
            <w:pPr>
              <w:ind w:left="140"/>
              <w:spacing w:after="0"/>
              <w:rPr>
                <w:sz w:val="20"/>
                <w:szCs w:val="20"/>
                <w:color w:val="auto"/>
              </w:rPr>
            </w:pPr>
            <w:r>
              <w:rPr>
                <w:rFonts w:ascii="Arial" w:cs="Arial" w:eastAsia="Arial" w:hAnsi="Arial"/>
                <w:sz w:val="12"/>
                <w:szCs w:val="12"/>
                <w:color w:val="FFFFFF"/>
              </w:rPr>
              <w:t>Information</w:t>
            </w:r>
          </w:p>
        </w:tc>
        <w:tc>
          <w:tcPr>
            <w:tcW w:w="440" w:type="dxa"/>
            <w:vAlign w:val="bottom"/>
            <w:vMerge w:val="restart"/>
          </w:tcPr>
          <w:p>
            <w:pPr>
              <w:ind w:left="80"/>
              <w:spacing w:after="0"/>
              <w:rPr>
                <w:sz w:val="20"/>
                <w:szCs w:val="20"/>
                <w:color w:val="auto"/>
              </w:rPr>
            </w:pPr>
            <w:r>
              <w:rPr>
                <w:rFonts w:ascii="Arial" w:cs="Arial" w:eastAsia="Arial" w:hAnsi="Arial"/>
                <w:sz w:val="15"/>
                <w:szCs w:val="15"/>
                <w:color w:val="auto"/>
              </w:rPr>
              <w:t xml:space="preserve">       </w:t>
            </w:r>
          </w:p>
        </w:tc>
        <w:tc>
          <w:tcPr>
            <w:tcW w:w="0" w:type="dxa"/>
            <w:vAlign w:val="bottom"/>
          </w:tcPr>
          <w:p>
            <w:pPr>
              <w:spacing w:after="0"/>
              <w:rPr>
                <w:sz w:val="1"/>
                <w:szCs w:val="1"/>
                <w:color w:val="auto"/>
              </w:rPr>
            </w:pPr>
          </w:p>
        </w:tc>
      </w:tr>
      <w:tr>
        <w:trPr>
          <w:trHeight w:val="194"/>
        </w:trPr>
        <w:tc>
          <w:tcPr>
            <w:tcW w:w="6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General</w:t>
            </w:r>
          </w:p>
        </w:tc>
        <w:tc>
          <w:tcPr>
            <w:tcW w:w="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6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660" w:type="dxa"/>
            <w:vAlign w:val="bottom"/>
          </w:tcPr>
          <w:p>
            <w:pPr>
              <w:spacing w:after="0"/>
              <w:rPr>
                <w:sz w:val="13"/>
                <w:szCs w:val="13"/>
                <w:color w:val="auto"/>
              </w:rPr>
            </w:pPr>
          </w:p>
        </w:tc>
        <w:tc>
          <w:tcPr>
            <w:tcW w:w="1280" w:type="dxa"/>
            <w:vAlign w:val="bottom"/>
            <w:vMerge w:val="restart"/>
          </w:tcPr>
          <w:p>
            <w:pPr>
              <w:ind w:left="140"/>
              <w:spacing w:after="0"/>
              <w:rPr>
                <w:sz w:val="20"/>
                <w:szCs w:val="20"/>
                <w:color w:val="auto"/>
              </w:rPr>
            </w:pPr>
            <w:r>
              <w:rPr>
                <w:rFonts w:ascii="Arial" w:cs="Arial" w:eastAsia="Arial" w:hAnsi="Arial"/>
                <w:sz w:val="12"/>
                <w:szCs w:val="12"/>
                <w:color w:val="FFFFFF"/>
              </w:rPr>
              <w:t>General Information</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6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8540" w:type="dxa"/>
            <w:vAlign w:val="bottom"/>
            <w:gridSpan w:val="13"/>
          </w:tcPr>
          <w:p>
            <w:pPr>
              <w:spacing w:after="0" w:line="171" w:lineRule="exact"/>
              <w:rPr>
                <w:sz w:val="20"/>
                <w:szCs w:val="20"/>
                <w:color w:val="auto"/>
              </w:rPr>
            </w:pPr>
            <w:r>
              <w:rPr>
                <w:rFonts w:ascii="Arial" w:cs="Arial" w:eastAsia="Arial" w:hAnsi="Arial"/>
                <w:sz w:val="15"/>
                <w:szCs w:val="15"/>
                <w:color w:val="auto"/>
              </w:rPr>
              <w:t>In accordance with Item 402(v) of Regulation S-K, we are providing the following information about the relationship</w:t>
            </w:r>
          </w:p>
        </w:tc>
        <w:tc>
          <w:tcPr>
            <w:tcW w:w="1280" w:type="dxa"/>
            <w:vAlign w:val="bottom"/>
          </w:tcPr>
          <w:p>
            <w:pPr>
              <w:ind w:left="140"/>
              <w:spacing w:after="0"/>
              <w:rPr>
                <w:sz w:val="20"/>
                <w:szCs w:val="20"/>
                <w:color w:val="auto"/>
              </w:rPr>
            </w:pPr>
            <w:r>
              <w:rPr>
                <w:rFonts w:ascii="Arial" w:cs="Arial" w:eastAsia="Arial" w:hAnsi="Arial"/>
                <w:sz w:val="12"/>
                <w:szCs w:val="12"/>
                <w:color w:val="FFFFFF"/>
              </w:rPr>
              <w:t>About Corporate</w:t>
            </w: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8540" w:type="dxa"/>
            <w:vAlign w:val="bottom"/>
            <w:gridSpan w:val="13"/>
            <w:vMerge w:val="restart"/>
          </w:tcPr>
          <w:p>
            <w:pPr>
              <w:spacing w:after="0"/>
              <w:rPr>
                <w:sz w:val="20"/>
                <w:szCs w:val="20"/>
                <w:color w:val="auto"/>
              </w:rPr>
            </w:pPr>
            <w:r>
              <w:rPr>
                <w:rFonts w:ascii="Arial" w:cs="Arial" w:eastAsia="Arial" w:hAnsi="Arial"/>
                <w:sz w:val="15"/>
                <w:szCs w:val="15"/>
                <w:color w:val="auto"/>
              </w:rPr>
              <w:t>between executive “compensation actually paid” (or “CAP”) to the Company’s principal executive officer (“PEO”) and</w:t>
            </w:r>
          </w:p>
        </w:tc>
        <w:tc>
          <w:tcPr>
            <w:tcW w:w="1280" w:type="dxa"/>
            <w:vAlign w:val="bottom"/>
          </w:tcPr>
          <w:p>
            <w:pPr>
              <w:ind w:left="140"/>
              <w:spacing w:after="0" w:line="85" w:lineRule="exact"/>
              <w:rPr>
                <w:sz w:val="20"/>
                <w:szCs w:val="20"/>
                <w:color w:val="auto"/>
              </w:rPr>
            </w:pPr>
            <w:r>
              <w:rPr>
                <w:rFonts w:ascii="Arial" w:cs="Arial" w:eastAsia="Arial" w:hAnsi="Arial"/>
                <w:sz w:val="8"/>
                <w:szCs w:val="8"/>
                <w:color w:val="FFFFFF"/>
              </w:rPr>
              <w:t>Governance</w:t>
            </w:r>
          </w:p>
        </w:tc>
        <w:tc>
          <w:tcPr>
            <w:tcW w:w="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0"/>
        </w:trPr>
        <w:tc>
          <w:tcPr>
            <w:tcW w:w="8540" w:type="dxa"/>
            <w:vAlign w:val="bottom"/>
            <w:gridSpan w:val="13"/>
            <w:vMerge w:val="continue"/>
          </w:tcPr>
          <w:p>
            <w:pPr>
              <w:spacing w:after="0"/>
              <w:rPr>
                <w:sz w:val="10"/>
                <w:szCs w:val="10"/>
                <w:color w:val="auto"/>
              </w:rPr>
            </w:pPr>
          </w:p>
        </w:tc>
        <w:tc>
          <w:tcPr>
            <w:tcW w:w="1280" w:type="dxa"/>
            <w:vAlign w:val="bottom"/>
          </w:tcPr>
          <w:p>
            <w:pPr>
              <w:ind w:left="140"/>
              <w:spacing w:after="0" w:line="121" w:lineRule="exact"/>
              <w:rPr>
                <w:sz w:val="20"/>
                <w:szCs w:val="20"/>
                <w:color w:val="auto"/>
              </w:rPr>
            </w:pPr>
            <w:r>
              <w:rPr>
                <w:rFonts w:ascii="Arial" w:cs="Arial" w:eastAsia="Arial" w:hAnsi="Arial"/>
                <w:sz w:val="12"/>
                <w:szCs w:val="12"/>
                <w:color w:val="FFFFFF"/>
              </w:rPr>
              <w:t>and the Board of</w:t>
            </w: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9"/>
        </w:trPr>
        <w:tc>
          <w:tcPr>
            <w:tcW w:w="8540" w:type="dxa"/>
            <w:vAlign w:val="bottom"/>
            <w:gridSpan w:val="13"/>
          </w:tcPr>
          <w:p>
            <w:pPr>
              <w:spacing w:after="0"/>
              <w:rPr>
                <w:sz w:val="20"/>
                <w:szCs w:val="20"/>
                <w:color w:val="auto"/>
              </w:rPr>
            </w:pPr>
            <w:r>
              <w:rPr>
                <w:rFonts w:ascii="Arial" w:cs="Arial" w:eastAsia="Arial" w:hAnsi="Arial"/>
                <w:sz w:val="15"/>
                <w:szCs w:val="15"/>
                <w:color w:val="auto"/>
              </w:rPr>
              <w:t>non-PEO named executive officers (the “Other NEOs”) and certain aspects of the financial performance of the</w:t>
            </w:r>
          </w:p>
        </w:tc>
        <w:tc>
          <w:tcPr>
            <w:tcW w:w="1280" w:type="dxa"/>
            <w:vAlign w:val="bottom"/>
          </w:tcPr>
          <w:p>
            <w:pPr>
              <w:ind w:left="140"/>
              <w:spacing w:after="0"/>
              <w:rPr>
                <w:sz w:val="20"/>
                <w:szCs w:val="20"/>
                <w:color w:val="auto"/>
              </w:rPr>
            </w:pPr>
            <w:r>
              <w:rPr>
                <w:rFonts w:ascii="Arial" w:cs="Arial" w:eastAsia="Arial" w:hAnsi="Arial"/>
                <w:sz w:val="12"/>
                <w:szCs w:val="12"/>
                <w:color w:val="FFFFFF"/>
              </w:rPr>
              <w:t>Directors</w:t>
            </w: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8540" w:type="dxa"/>
            <w:vAlign w:val="bottom"/>
            <w:gridSpan w:val="13"/>
          </w:tcPr>
          <w:p>
            <w:pPr>
              <w:spacing w:after="0"/>
              <w:rPr>
                <w:sz w:val="20"/>
                <w:szCs w:val="20"/>
                <w:color w:val="auto"/>
              </w:rPr>
            </w:pPr>
            <w:r>
              <w:rPr>
                <w:rFonts w:ascii="Arial" w:cs="Arial" w:eastAsia="Arial" w:hAnsi="Arial"/>
                <w:sz w:val="15"/>
                <w:szCs w:val="15"/>
                <w:color w:val="auto"/>
              </w:rPr>
              <w:t>Company. The Compensation Committee does not utilize CAP as the basis for making compensation decisions. For</w:t>
            </w:r>
          </w:p>
        </w:tc>
        <w:tc>
          <w:tcPr>
            <w:tcW w:w="1280" w:type="dxa"/>
            <w:vAlign w:val="bottom"/>
            <w:vMerge w:val="restart"/>
          </w:tcPr>
          <w:p>
            <w:pPr>
              <w:ind w:left="140"/>
              <w:spacing w:after="0"/>
              <w:rPr>
                <w:sz w:val="20"/>
                <w:szCs w:val="20"/>
                <w:color w:val="auto"/>
              </w:rPr>
            </w:pPr>
            <w:r>
              <w:rPr>
                <w:rFonts w:ascii="Arial" w:cs="Arial" w:eastAsia="Arial" w:hAnsi="Arial"/>
                <w:sz w:val="12"/>
                <w:szCs w:val="12"/>
                <w:color w:val="FFFFFF"/>
              </w:rPr>
              <w:t>Proposal 1</w:t>
            </w: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1"/>
        </w:trPr>
        <w:tc>
          <w:tcPr>
            <w:tcW w:w="8540" w:type="dxa"/>
            <w:vAlign w:val="bottom"/>
            <w:gridSpan w:val="13"/>
            <w:vMerge w:val="restart"/>
          </w:tcPr>
          <w:p>
            <w:pPr>
              <w:spacing w:after="0"/>
              <w:rPr>
                <w:sz w:val="20"/>
                <w:szCs w:val="20"/>
                <w:color w:val="auto"/>
              </w:rPr>
            </w:pPr>
            <w:r>
              <w:rPr>
                <w:rFonts w:ascii="Arial" w:cs="Arial" w:eastAsia="Arial" w:hAnsi="Arial"/>
                <w:sz w:val="15"/>
                <w:szCs w:val="15"/>
                <w:color w:val="auto"/>
              </w:rPr>
              <w:t>further information concerning our compensation philosophy and how we align executive compensation with our</w:t>
            </w:r>
          </w:p>
        </w:tc>
        <w:tc>
          <w:tcPr>
            <w:tcW w:w="1280" w:type="dxa"/>
            <w:vAlign w:val="bottom"/>
            <w:vMerge w:val="continue"/>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7"/>
        </w:trPr>
        <w:tc>
          <w:tcPr>
            <w:tcW w:w="8540" w:type="dxa"/>
            <w:vAlign w:val="bottom"/>
            <w:gridSpan w:val="13"/>
            <w:vMerge w:val="continue"/>
          </w:tcPr>
          <w:p>
            <w:pPr>
              <w:spacing w:after="0"/>
              <w:rPr>
                <w:sz w:val="6"/>
                <w:szCs w:val="6"/>
                <w:color w:val="auto"/>
              </w:rPr>
            </w:pPr>
          </w:p>
        </w:tc>
        <w:tc>
          <w:tcPr>
            <w:tcW w:w="1280" w:type="dxa"/>
            <w:vAlign w:val="bottom"/>
          </w:tcPr>
          <w:p>
            <w:pPr>
              <w:spacing w:after="0"/>
              <w:rPr>
                <w:sz w:val="6"/>
                <w:szCs w:val="6"/>
                <w:color w:val="auto"/>
              </w:rPr>
            </w:pPr>
          </w:p>
        </w:tc>
        <w:tc>
          <w:tcPr>
            <w:tcW w:w="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6"/>
        </w:trPr>
        <w:tc>
          <w:tcPr>
            <w:tcW w:w="4660" w:type="dxa"/>
            <w:vAlign w:val="bottom"/>
            <w:gridSpan w:val="6"/>
          </w:tcPr>
          <w:p>
            <w:pPr>
              <w:spacing w:after="0"/>
              <w:rPr>
                <w:sz w:val="20"/>
                <w:szCs w:val="20"/>
                <w:color w:val="auto"/>
              </w:rPr>
            </w:pPr>
            <w:r>
              <w:rPr>
                <w:rFonts w:ascii="Arial" w:cs="Arial" w:eastAsia="Arial" w:hAnsi="Arial"/>
                <w:sz w:val="15"/>
                <w:szCs w:val="15"/>
                <w:color w:val="auto"/>
              </w:rPr>
              <w:t>performance, please see our Compensation Discussion &amp; Analysis.</w:t>
            </w:r>
          </w:p>
        </w:tc>
        <w:tc>
          <w:tcPr>
            <w:tcW w:w="7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Information</w:t>
            </w: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8"/>
        </w:trPr>
        <w:tc>
          <w:tcPr>
            <w:tcW w:w="6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80" w:type="dxa"/>
            <w:vAlign w:val="bottom"/>
          </w:tcPr>
          <w:p>
            <w:pPr>
              <w:ind w:left="140"/>
              <w:spacing w:after="0" w:line="128" w:lineRule="exact"/>
              <w:rPr>
                <w:sz w:val="20"/>
                <w:szCs w:val="20"/>
                <w:color w:val="auto"/>
              </w:rPr>
            </w:pPr>
            <w:r>
              <w:rPr>
                <w:rFonts w:ascii="Arial" w:cs="Arial" w:eastAsia="Arial" w:hAnsi="Arial"/>
                <w:sz w:val="12"/>
                <w:szCs w:val="12"/>
                <w:color w:val="FFFFFF"/>
              </w:rPr>
              <w:t>Regarding Board</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920" w:type="dxa"/>
            <w:vAlign w:val="bottom"/>
            <w:gridSpan w:val="5"/>
            <w:vMerge w:val="restart"/>
          </w:tcPr>
          <w:p>
            <w:pPr>
              <w:spacing w:after="0" w:line="248" w:lineRule="exact"/>
              <w:rPr>
                <w:sz w:val="20"/>
                <w:szCs w:val="20"/>
                <w:color w:val="auto"/>
              </w:rPr>
            </w:pPr>
            <w:r>
              <w:rPr>
                <w:rFonts w:ascii="Arial" w:cs="Arial" w:eastAsia="Arial" w:hAnsi="Arial"/>
                <w:sz w:val="24"/>
                <w:szCs w:val="24"/>
                <w:color w:val="B95827"/>
              </w:rPr>
              <w:t>Pay Versus Performance Table</w:t>
            </w: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80" w:type="dxa"/>
            <w:vAlign w:val="bottom"/>
          </w:tcPr>
          <w:p>
            <w:pPr>
              <w:ind w:left="140"/>
              <w:spacing w:after="0" w:line="128" w:lineRule="exact"/>
              <w:rPr>
                <w:sz w:val="20"/>
                <w:szCs w:val="20"/>
                <w:color w:val="auto"/>
              </w:rPr>
            </w:pPr>
            <w:r>
              <w:rPr>
                <w:rFonts w:ascii="Arial" w:cs="Arial" w:eastAsia="Arial" w:hAnsi="Arial"/>
                <w:sz w:val="12"/>
                <w:szCs w:val="12"/>
                <w:color w:val="FFFFFF"/>
              </w:rPr>
              <w:t>and Committee</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3920" w:type="dxa"/>
            <w:vAlign w:val="bottom"/>
            <w:gridSpan w:val="5"/>
            <w:vMerge w:val="continue"/>
          </w:tcPr>
          <w:p>
            <w:pPr>
              <w:spacing w:after="0"/>
              <w:rPr>
                <w:sz w:val="10"/>
                <w:szCs w:val="10"/>
                <w:color w:val="auto"/>
              </w:rPr>
            </w:pPr>
          </w:p>
        </w:tc>
        <w:tc>
          <w:tcPr>
            <w:tcW w:w="7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80" w:type="dxa"/>
            <w:vAlign w:val="bottom"/>
            <w:vMerge w:val="restart"/>
          </w:tcPr>
          <w:p>
            <w:pPr>
              <w:ind w:left="140"/>
              <w:spacing w:after="0"/>
              <w:rPr>
                <w:sz w:val="20"/>
                <w:szCs w:val="20"/>
                <w:color w:val="auto"/>
              </w:rPr>
            </w:pPr>
            <w:r>
              <w:rPr>
                <w:rFonts w:ascii="Arial" w:cs="Arial" w:eastAsia="Arial" w:hAnsi="Arial"/>
                <w:sz w:val="12"/>
                <w:szCs w:val="12"/>
                <w:color w:val="FFFFFF"/>
              </w:rPr>
              <w:t>Structure</w:t>
            </w: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8"/>
        </w:trPr>
        <w:tc>
          <w:tcPr>
            <w:tcW w:w="62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3"/>
        </w:trPr>
        <w:tc>
          <w:tcPr>
            <w:tcW w:w="6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Board of Directors</w:t>
            </w:r>
          </w:p>
        </w:tc>
        <w:tc>
          <w:tcPr>
            <w:tcW w:w="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0"/>
        </w:trPr>
        <w:tc>
          <w:tcPr>
            <w:tcW w:w="6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vMerge w:val="restart"/>
          </w:tcPr>
          <w:p>
            <w:pPr>
              <w:jc w:val="center"/>
              <w:spacing w:after="0"/>
              <w:rPr>
                <w:sz w:val="20"/>
                <w:szCs w:val="20"/>
                <w:color w:val="auto"/>
              </w:rPr>
            </w:pPr>
            <w:r>
              <w:rPr>
                <w:rFonts w:ascii="Arial" w:cs="Arial" w:eastAsia="Arial" w:hAnsi="Arial"/>
                <w:sz w:val="9"/>
                <w:szCs w:val="9"/>
                <w:b w:val="1"/>
                <w:bCs w:val="1"/>
                <w:color w:val="002B5F"/>
              </w:rPr>
              <w:t>Average</w:t>
            </w:r>
          </w:p>
        </w:tc>
        <w:tc>
          <w:tcPr>
            <w:tcW w:w="780" w:type="dxa"/>
            <w:vAlign w:val="bottom"/>
          </w:tcPr>
          <w:p>
            <w:pPr>
              <w:spacing w:after="0"/>
              <w:rPr>
                <w:sz w:val="13"/>
                <w:szCs w:val="13"/>
                <w:color w:val="auto"/>
              </w:rPr>
            </w:pPr>
          </w:p>
        </w:tc>
        <w:tc>
          <w:tcPr>
            <w:tcW w:w="1300" w:type="dxa"/>
            <w:vAlign w:val="bottom"/>
            <w:gridSpan w:val="3"/>
          </w:tcPr>
          <w:p>
            <w:pPr>
              <w:jc w:val="center"/>
              <w:ind w:right="40"/>
              <w:spacing w:after="0"/>
              <w:rPr>
                <w:sz w:val="20"/>
                <w:szCs w:val="20"/>
                <w:color w:val="auto"/>
              </w:rPr>
            </w:pPr>
            <w:r>
              <w:rPr>
                <w:rFonts w:ascii="Arial" w:cs="Arial" w:eastAsia="Arial" w:hAnsi="Arial"/>
                <w:sz w:val="9"/>
                <w:szCs w:val="9"/>
                <w:b w:val="1"/>
                <w:bCs w:val="1"/>
                <w:color w:val="002B5F"/>
              </w:rPr>
              <w:t>Value of Initial Fixed $100</w:t>
            </w:r>
          </w:p>
        </w:tc>
        <w:tc>
          <w:tcPr>
            <w:tcW w:w="6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Compensation</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7"/>
        </w:trPr>
        <w:tc>
          <w:tcPr>
            <w:tcW w:w="620" w:type="dxa"/>
            <w:vAlign w:val="bottom"/>
          </w:tcPr>
          <w:p>
            <w:pPr>
              <w:spacing w:after="0"/>
              <w:rPr>
                <w:sz w:val="8"/>
                <w:szCs w:val="8"/>
                <w:color w:val="auto"/>
              </w:rPr>
            </w:pPr>
          </w:p>
        </w:tc>
        <w:tc>
          <w:tcPr>
            <w:tcW w:w="960" w:type="dxa"/>
            <w:vAlign w:val="bottom"/>
          </w:tcPr>
          <w:p>
            <w:pPr>
              <w:spacing w:after="0"/>
              <w:rPr>
                <w:sz w:val="8"/>
                <w:szCs w:val="8"/>
                <w:color w:val="auto"/>
              </w:rPr>
            </w:pPr>
          </w:p>
        </w:tc>
        <w:tc>
          <w:tcPr>
            <w:tcW w:w="80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80" w:type="dxa"/>
            <w:vAlign w:val="bottom"/>
          </w:tcPr>
          <w:p>
            <w:pPr>
              <w:spacing w:after="0"/>
              <w:rPr>
                <w:sz w:val="8"/>
                <w:szCs w:val="8"/>
                <w:color w:val="auto"/>
              </w:rPr>
            </w:pPr>
          </w:p>
        </w:tc>
        <w:tc>
          <w:tcPr>
            <w:tcW w:w="1300" w:type="dxa"/>
            <w:vAlign w:val="bottom"/>
            <w:gridSpan w:val="3"/>
          </w:tcPr>
          <w:p>
            <w:pPr>
              <w:jc w:val="center"/>
              <w:ind w:right="20"/>
              <w:spacing w:after="0" w:line="97" w:lineRule="exact"/>
              <w:rPr>
                <w:sz w:val="20"/>
                <w:szCs w:val="20"/>
                <w:color w:val="auto"/>
              </w:rPr>
            </w:pPr>
            <w:r>
              <w:rPr>
                <w:rFonts w:ascii="Arial" w:cs="Arial" w:eastAsia="Arial" w:hAnsi="Arial"/>
                <w:sz w:val="9"/>
                <w:szCs w:val="9"/>
                <w:b w:val="1"/>
                <w:bCs w:val="1"/>
                <w:color w:val="002B5F"/>
              </w:rPr>
              <w:t>Investment Based on:</w:t>
            </w:r>
            <w:r>
              <w:rPr>
                <w:rFonts w:ascii="Arial" w:cs="Arial" w:eastAsia="Arial" w:hAnsi="Arial"/>
                <w:sz w:val="11"/>
                <w:szCs w:val="11"/>
                <w:b w:val="1"/>
                <w:bCs w:val="1"/>
                <w:color w:val="002B5F"/>
                <w:vertAlign w:val="superscript"/>
              </w:rPr>
              <w:t>(4)</w:t>
            </w:r>
          </w:p>
        </w:tc>
        <w:tc>
          <w:tcPr>
            <w:tcW w:w="620" w:type="dxa"/>
            <w:vAlign w:val="bottom"/>
          </w:tcPr>
          <w:p>
            <w:pPr>
              <w:spacing w:after="0"/>
              <w:rPr>
                <w:sz w:val="8"/>
                <w:szCs w:val="8"/>
                <w:color w:val="auto"/>
              </w:rPr>
            </w:pPr>
          </w:p>
        </w:tc>
        <w:tc>
          <w:tcPr>
            <w:tcW w:w="5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80" w:type="dxa"/>
            <w:vAlign w:val="bottom"/>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1"/>
        </w:trPr>
        <w:tc>
          <w:tcPr>
            <w:tcW w:w="62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0" w:type="dxa"/>
            <w:vAlign w:val="bottom"/>
          </w:tcPr>
          <w:p>
            <w:pPr>
              <w:spacing w:after="0"/>
              <w:rPr>
                <w:sz w:val="2"/>
                <w:szCs w:val="2"/>
                <w:color w:val="auto"/>
              </w:rPr>
            </w:pPr>
          </w:p>
        </w:tc>
        <w:tc>
          <w:tcPr>
            <w:tcW w:w="740" w:type="dxa"/>
            <w:vAlign w:val="bottom"/>
            <w:vMerge w:val="restart"/>
          </w:tcPr>
          <w:p>
            <w:pPr>
              <w:jc w:val="center"/>
              <w:spacing w:after="0" w:line="86" w:lineRule="exact"/>
              <w:rPr>
                <w:sz w:val="20"/>
                <w:szCs w:val="20"/>
                <w:color w:val="auto"/>
              </w:rPr>
            </w:pPr>
            <w:r>
              <w:rPr>
                <w:rFonts w:ascii="Arial" w:cs="Arial" w:eastAsia="Arial" w:hAnsi="Arial"/>
                <w:sz w:val="9"/>
                <w:szCs w:val="9"/>
                <w:b w:val="1"/>
                <w:bCs w:val="1"/>
                <w:color w:val="002B5F"/>
              </w:rPr>
              <w:t>Summary</w:t>
            </w:r>
          </w:p>
        </w:tc>
        <w:tc>
          <w:tcPr>
            <w:tcW w:w="800" w:type="dxa"/>
            <w:vAlign w:val="bottom"/>
          </w:tcPr>
          <w:p>
            <w:pPr>
              <w:spacing w:after="0"/>
              <w:rPr>
                <w:sz w:val="2"/>
                <w:szCs w:val="2"/>
                <w:color w:val="auto"/>
              </w:rPr>
            </w:pPr>
          </w:p>
        </w:tc>
        <w:tc>
          <w:tcPr>
            <w:tcW w:w="740" w:type="dxa"/>
            <w:vAlign w:val="bottom"/>
            <w:vMerge w:val="restart"/>
          </w:tcPr>
          <w:p>
            <w:pPr>
              <w:jc w:val="center"/>
              <w:spacing w:after="0" w:line="86" w:lineRule="exact"/>
              <w:rPr>
                <w:sz w:val="20"/>
                <w:szCs w:val="20"/>
                <w:color w:val="auto"/>
              </w:rPr>
            </w:pPr>
            <w:r>
              <w:rPr>
                <w:rFonts w:ascii="Arial" w:cs="Arial" w:eastAsia="Arial" w:hAnsi="Arial"/>
                <w:sz w:val="9"/>
                <w:szCs w:val="9"/>
                <w:b w:val="1"/>
                <w:bCs w:val="1"/>
                <w:color w:val="002B5F"/>
              </w:rPr>
              <w:t>Summary</w:t>
            </w:r>
          </w:p>
        </w:tc>
        <w:tc>
          <w:tcPr>
            <w:tcW w:w="780" w:type="dxa"/>
            <w:vAlign w:val="bottom"/>
            <w:vMerge w:val="restart"/>
          </w:tcPr>
          <w:p>
            <w:pPr>
              <w:jc w:val="center"/>
              <w:ind w:right="53"/>
              <w:spacing w:after="0" w:line="86" w:lineRule="exact"/>
              <w:rPr>
                <w:sz w:val="20"/>
                <w:szCs w:val="20"/>
                <w:color w:val="auto"/>
              </w:rPr>
            </w:pPr>
            <w:r>
              <w:rPr>
                <w:rFonts w:ascii="Arial" w:cs="Arial" w:eastAsia="Arial" w:hAnsi="Arial"/>
                <w:sz w:val="9"/>
                <w:szCs w:val="9"/>
                <w:b w:val="1"/>
                <w:bCs w:val="1"/>
                <w:color w:val="002B5F"/>
              </w:rPr>
              <w:t>Average</w:t>
            </w:r>
          </w:p>
        </w:tc>
        <w:tc>
          <w:tcPr>
            <w:tcW w:w="580" w:type="dxa"/>
            <w:vAlign w:val="bottom"/>
            <w:tcBorders>
              <w:bottom w:val="single" w:sz="8" w:color="002B5F"/>
            </w:tcBorders>
          </w:tcPr>
          <w:p>
            <w:pPr>
              <w:spacing w:after="0"/>
              <w:rPr>
                <w:sz w:val="2"/>
                <w:szCs w:val="2"/>
                <w:color w:val="auto"/>
              </w:rPr>
            </w:pPr>
          </w:p>
        </w:tc>
        <w:tc>
          <w:tcPr>
            <w:tcW w:w="620" w:type="dxa"/>
            <w:vAlign w:val="bottom"/>
            <w:tcBorders>
              <w:bottom w:val="single" w:sz="8" w:color="002B5F"/>
            </w:tcBorders>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5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80" w:type="dxa"/>
            <w:vAlign w:val="bottom"/>
            <w:vMerge w:val="restart"/>
          </w:tcPr>
          <w:p>
            <w:pPr>
              <w:ind w:left="140"/>
              <w:spacing w:after="0"/>
              <w:rPr>
                <w:sz w:val="20"/>
                <w:szCs w:val="20"/>
                <w:color w:val="auto"/>
              </w:rPr>
            </w:pPr>
            <w:r>
              <w:rPr>
                <w:rFonts w:ascii="Arial" w:cs="Arial" w:eastAsia="Arial" w:hAnsi="Arial"/>
                <w:sz w:val="12"/>
                <w:szCs w:val="12"/>
                <w:color w:val="FFFFFF"/>
              </w:rPr>
              <w:t>Compensation</w:t>
            </w:r>
          </w:p>
        </w:tc>
        <w:tc>
          <w:tcPr>
            <w:tcW w:w="4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5"/>
        </w:trPr>
        <w:tc>
          <w:tcPr>
            <w:tcW w:w="62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vMerge w:val="continue"/>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720" w:type="dxa"/>
            <w:vAlign w:val="bottom"/>
            <w:gridSpan w:val="2"/>
            <w:vMerge w:val="restart"/>
          </w:tcPr>
          <w:p>
            <w:pPr>
              <w:ind w:left="100"/>
              <w:spacing w:after="0"/>
              <w:rPr>
                <w:sz w:val="20"/>
                <w:szCs w:val="20"/>
                <w:color w:val="auto"/>
              </w:rPr>
            </w:pPr>
            <w:r>
              <w:rPr>
                <w:rFonts w:ascii="Arial" w:cs="Arial" w:eastAsia="Arial" w:hAnsi="Arial"/>
                <w:sz w:val="9"/>
                <w:szCs w:val="9"/>
                <w:b w:val="1"/>
                <w:bCs w:val="1"/>
                <w:color w:val="002B5F"/>
              </w:rPr>
              <w:t>Peer Group</w:t>
            </w: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93"/>
        </w:trPr>
        <w:tc>
          <w:tcPr>
            <w:tcW w:w="620" w:type="dxa"/>
            <w:vAlign w:val="bottom"/>
          </w:tcPr>
          <w:p>
            <w:pPr>
              <w:spacing w:after="0"/>
              <w:rPr>
                <w:sz w:val="8"/>
                <w:szCs w:val="8"/>
                <w:color w:val="auto"/>
              </w:rPr>
            </w:pPr>
          </w:p>
        </w:tc>
        <w:tc>
          <w:tcPr>
            <w:tcW w:w="960" w:type="dxa"/>
            <w:vAlign w:val="bottom"/>
          </w:tcPr>
          <w:p>
            <w:pPr>
              <w:jc w:val="center"/>
              <w:ind w:left="173"/>
              <w:spacing w:after="0" w:line="93" w:lineRule="exact"/>
              <w:rPr>
                <w:sz w:val="20"/>
                <w:szCs w:val="20"/>
                <w:color w:val="auto"/>
              </w:rPr>
            </w:pPr>
            <w:r>
              <w:rPr>
                <w:rFonts w:ascii="Arial" w:cs="Arial" w:eastAsia="Arial" w:hAnsi="Arial"/>
                <w:sz w:val="9"/>
                <w:szCs w:val="9"/>
                <w:b w:val="1"/>
                <w:bCs w:val="1"/>
                <w:color w:val="002B5F"/>
              </w:rPr>
              <w:t>Summary</w:t>
            </w:r>
          </w:p>
        </w:tc>
        <w:tc>
          <w:tcPr>
            <w:tcW w:w="800" w:type="dxa"/>
            <w:vAlign w:val="bottom"/>
          </w:tcPr>
          <w:p>
            <w:pPr>
              <w:spacing w:after="0"/>
              <w:rPr>
                <w:sz w:val="8"/>
                <w:szCs w:val="8"/>
                <w:color w:val="auto"/>
              </w:rPr>
            </w:pPr>
          </w:p>
        </w:tc>
        <w:tc>
          <w:tcPr>
            <w:tcW w:w="740" w:type="dxa"/>
            <w:vAlign w:val="bottom"/>
          </w:tcPr>
          <w:p>
            <w:pPr>
              <w:jc w:val="center"/>
              <w:spacing w:after="0" w:line="93" w:lineRule="exact"/>
              <w:rPr>
                <w:sz w:val="20"/>
                <w:szCs w:val="20"/>
                <w:color w:val="auto"/>
              </w:rPr>
            </w:pPr>
            <w:r>
              <w:rPr>
                <w:rFonts w:ascii="Arial" w:cs="Arial" w:eastAsia="Arial" w:hAnsi="Arial"/>
                <w:sz w:val="9"/>
                <w:szCs w:val="9"/>
                <w:b w:val="1"/>
                <w:bCs w:val="1"/>
                <w:color w:val="002B5F"/>
              </w:rPr>
              <w:t>Compensation</w:t>
            </w:r>
          </w:p>
        </w:tc>
        <w:tc>
          <w:tcPr>
            <w:tcW w:w="800" w:type="dxa"/>
            <w:vAlign w:val="bottom"/>
          </w:tcPr>
          <w:p>
            <w:pPr>
              <w:jc w:val="center"/>
              <w:spacing w:after="0" w:line="93" w:lineRule="exact"/>
              <w:rPr>
                <w:sz w:val="20"/>
                <w:szCs w:val="20"/>
                <w:color w:val="auto"/>
              </w:rPr>
            </w:pPr>
            <w:r>
              <w:rPr>
                <w:rFonts w:ascii="Arial" w:cs="Arial" w:eastAsia="Arial" w:hAnsi="Arial"/>
                <w:sz w:val="9"/>
                <w:szCs w:val="9"/>
                <w:b w:val="1"/>
                <w:bCs w:val="1"/>
                <w:color w:val="002B5F"/>
              </w:rPr>
              <w:t>Compensation</w:t>
            </w:r>
          </w:p>
        </w:tc>
        <w:tc>
          <w:tcPr>
            <w:tcW w:w="1520" w:type="dxa"/>
            <w:vAlign w:val="bottom"/>
            <w:gridSpan w:val="2"/>
          </w:tcPr>
          <w:p>
            <w:pPr>
              <w:ind w:left="60"/>
              <w:spacing w:after="0" w:line="93" w:lineRule="exact"/>
              <w:rPr>
                <w:sz w:val="20"/>
                <w:szCs w:val="20"/>
                <w:color w:val="auto"/>
              </w:rPr>
            </w:pPr>
            <w:r>
              <w:rPr>
                <w:rFonts w:ascii="Arial" w:cs="Arial" w:eastAsia="Arial" w:hAnsi="Arial"/>
                <w:sz w:val="9"/>
                <w:szCs w:val="9"/>
                <w:b w:val="1"/>
                <w:bCs w:val="1"/>
                <w:color w:val="002B5F"/>
              </w:rPr>
              <w:t>Compensation Compensation</w:t>
            </w:r>
          </w:p>
        </w:tc>
        <w:tc>
          <w:tcPr>
            <w:tcW w:w="58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620" w:type="dxa"/>
            <w:vAlign w:val="bottom"/>
          </w:tcPr>
          <w:p>
            <w:pPr>
              <w:spacing w:after="0"/>
              <w:rPr>
                <w:sz w:val="8"/>
                <w:szCs w:val="8"/>
                <w:color w:val="auto"/>
              </w:rPr>
            </w:pPr>
          </w:p>
        </w:tc>
        <w:tc>
          <w:tcPr>
            <w:tcW w:w="5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80" w:type="dxa"/>
            <w:vAlign w:val="bottom"/>
            <w:vMerge w:val="continue"/>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8"/>
        </w:trPr>
        <w:tc>
          <w:tcPr>
            <w:tcW w:w="620" w:type="dxa"/>
            <w:vAlign w:val="bottom"/>
          </w:tcPr>
          <w:p>
            <w:pPr>
              <w:spacing w:after="0"/>
              <w:rPr>
                <w:sz w:val="11"/>
                <w:szCs w:val="11"/>
                <w:color w:val="auto"/>
              </w:rPr>
            </w:pPr>
          </w:p>
        </w:tc>
        <w:tc>
          <w:tcPr>
            <w:tcW w:w="960" w:type="dxa"/>
            <w:vAlign w:val="bottom"/>
          </w:tcPr>
          <w:p>
            <w:pPr>
              <w:jc w:val="center"/>
              <w:ind w:left="173"/>
              <w:spacing w:after="0"/>
              <w:rPr>
                <w:sz w:val="20"/>
                <w:szCs w:val="20"/>
                <w:color w:val="auto"/>
              </w:rPr>
            </w:pPr>
            <w:r>
              <w:rPr>
                <w:rFonts w:ascii="Arial" w:cs="Arial" w:eastAsia="Arial" w:hAnsi="Arial"/>
                <w:sz w:val="9"/>
                <w:szCs w:val="9"/>
                <w:b w:val="1"/>
                <w:bCs w:val="1"/>
                <w:color w:val="002B5F"/>
              </w:rPr>
              <w:t>Compensation</w:t>
            </w:r>
          </w:p>
        </w:tc>
        <w:tc>
          <w:tcPr>
            <w:tcW w:w="800" w:type="dxa"/>
            <w:vAlign w:val="bottom"/>
          </w:tcPr>
          <w:p>
            <w:pPr>
              <w:jc w:val="center"/>
              <w:spacing w:after="0"/>
              <w:rPr>
                <w:sz w:val="20"/>
                <w:szCs w:val="20"/>
                <w:color w:val="auto"/>
              </w:rPr>
            </w:pPr>
            <w:r>
              <w:rPr>
                <w:rFonts w:ascii="Arial" w:cs="Arial" w:eastAsia="Arial" w:hAnsi="Arial"/>
                <w:sz w:val="9"/>
                <w:szCs w:val="9"/>
                <w:b w:val="1"/>
                <w:bCs w:val="1"/>
                <w:color w:val="002B5F"/>
              </w:rPr>
              <w:t>Compensation</w:t>
            </w:r>
          </w:p>
        </w:tc>
        <w:tc>
          <w:tcPr>
            <w:tcW w:w="740" w:type="dxa"/>
            <w:vAlign w:val="bottom"/>
          </w:tcPr>
          <w:p>
            <w:pPr>
              <w:jc w:val="center"/>
              <w:spacing w:after="0"/>
              <w:rPr>
                <w:sz w:val="20"/>
                <w:szCs w:val="20"/>
                <w:color w:val="auto"/>
              </w:rPr>
            </w:pPr>
            <w:r>
              <w:rPr>
                <w:rFonts w:ascii="Arial" w:cs="Arial" w:eastAsia="Arial" w:hAnsi="Arial"/>
                <w:sz w:val="9"/>
                <w:szCs w:val="9"/>
                <w:b w:val="1"/>
                <w:bCs w:val="1"/>
                <w:color w:val="002B5F"/>
              </w:rPr>
              <w:t>Table Total for</w:t>
            </w:r>
          </w:p>
        </w:tc>
        <w:tc>
          <w:tcPr>
            <w:tcW w:w="800" w:type="dxa"/>
            <w:vAlign w:val="bottom"/>
          </w:tcPr>
          <w:p>
            <w:pPr>
              <w:jc w:val="center"/>
              <w:spacing w:after="0"/>
              <w:rPr>
                <w:sz w:val="20"/>
                <w:szCs w:val="20"/>
                <w:color w:val="auto"/>
              </w:rPr>
            </w:pPr>
            <w:r>
              <w:rPr>
                <w:rFonts w:ascii="Arial" w:cs="Arial" w:eastAsia="Arial" w:hAnsi="Arial"/>
                <w:sz w:val="9"/>
                <w:szCs w:val="9"/>
                <w:b w:val="1"/>
                <w:bCs w:val="1"/>
                <w:color w:val="002B5F"/>
              </w:rPr>
              <w:t>Actually Paid to</w:t>
            </w:r>
          </w:p>
        </w:tc>
        <w:tc>
          <w:tcPr>
            <w:tcW w:w="740" w:type="dxa"/>
            <w:vAlign w:val="bottom"/>
          </w:tcPr>
          <w:p>
            <w:pPr>
              <w:jc w:val="center"/>
              <w:spacing w:after="0"/>
              <w:rPr>
                <w:sz w:val="20"/>
                <w:szCs w:val="20"/>
                <w:color w:val="auto"/>
              </w:rPr>
            </w:pPr>
            <w:r>
              <w:rPr>
                <w:rFonts w:ascii="Arial" w:cs="Arial" w:eastAsia="Arial" w:hAnsi="Arial"/>
                <w:sz w:val="9"/>
                <w:szCs w:val="9"/>
                <w:b w:val="1"/>
                <w:bCs w:val="1"/>
                <w:color w:val="002B5F"/>
              </w:rPr>
              <w:t>Table Total for</w:t>
            </w:r>
          </w:p>
        </w:tc>
        <w:tc>
          <w:tcPr>
            <w:tcW w:w="780" w:type="dxa"/>
            <w:vAlign w:val="bottom"/>
          </w:tcPr>
          <w:p>
            <w:pPr>
              <w:jc w:val="center"/>
              <w:ind w:right="53"/>
              <w:spacing w:after="0"/>
              <w:rPr>
                <w:sz w:val="20"/>
                <w:szCs w:val="20"/>
                <w:color w:val="auto"/>
              </w:rPr>
            </w:pPr>
            <w:r>
              <w:rPr>
                <w:rFonts w:ascii="Arial" w:cs="Arial" w:eastAsia="Arial" w:hAnsi="Arial"/>
                <w:sz w:val="9"/>
                <w:szCs w:val="9"/>
                <w:b w:val="1"/>
                <w:bCs w:val="1"/>
                <w:color w:val="002B5F"/>
              </w:rPr>
              <w:t>Actually Paid</w:t>
            </w:r>
          </w:p>
        </w:tc>
        <w:tc>
          <w:tcPr>
            <w:tcW w:w="580" w:type="dxa"/>
            <w:vAlign w:val="bottom"/>
          </w:tcPr>
          <w:p>
            <w:pPr>
              <w:jc w:val="center"/>
              <w:ind w:left="33"/>
              <w:spacing w:after="0"/>
              <w:rPr>
                <w:sz w:val="20"/>
                <w:szCs w:val="20"/>
                <w:color w:val="auto"/>
              </w:rPr>
            </w:pPr>
            <w:r>
              <w:rPr>
                <w:rFonts w:ascii="Arial" w:cs="Arial" w:eastAsia="Arial" w:hAnsi="Arial"/>
                <w:sz w:val="9"/>
                <w:szCs w:val="9"/>
                <w:b w:val="1"/>
                <w:bCs w:val="1"/>
                <w:color w:val="002B5F"/>
              </w:rPr>
              <w:t>Total</w:t>
            </w:r>
          </w:p>
        </w:tc>
        <w:tc>
          <w:tcPr>
            <w:tcW w:w="720" w:type="dxa"/>
            <w:vAlign w:val="bottom"/>
            <w:gridSpan w:val="2"/>
          </w:tcPr>
          <w:p>
            <w:pPr>
              <w:jc w:val="right"/>
              <w:ind w:right="260"/>
              <w:spacing w:after="0"/>
              <w:rPr>
                <w:sz w:val="20"/>
                <w:szCs w:val="20"/>
                <w:color w:val="auto"/>
              </w:rPr>
            </w:pPr>
            <w:r>
              <w:rPr>
                <w:rFonts w:ascii="Arial" w:cs="Arial" w:eastAsia="Arial" w:hAnsi="Arial"/>
                <w:sz w:val="9"/>
                <w:szCs w:val="9"/>
                <w:b w:val="1"/>
                <w:bCs w:val="1"/>
                <w:color w:val="002B5F"/>
              </w:rPr>
              <w:t>Total</w:t>
            </w:r>
          </w:p>
        </w:tc>
        <w:tc>
          <w:tcPr>
            <w:tcW w:w="620" w:type="dxa"/>
            <w:vAlign w:val="bottom"/>
          </w:tcPr>
          <w:p>
            <w:pPr>
              <w:jc w:val="center"/>
              <w:ind w:left="13"/>
              <w:spacing w:after="0"/>
              <w:rPr>
                <w:sz w:val="20"/>
                <w:szCs w:val="20"/>
                <w:color w:val="auto"/>
              </w:rPr>
            </w:pPr>
            <w:r>
              <w:rPr>
                <w:rFonts w:ascii="Arial" w:cs="Arial" w:eastAsia="Arial" w:hAnsi="Arial"/>
                <w:sz w:val="9"/>
                <w:szCs w:val="9"/>
                <w:b w:val="1"/>
                <w:bCs w:val="1"/>
                <w:color w:val="002B5F"/>
              </w:rPr>
              <w:t>Net</w:t>
            </w:r>
          </w:p>
        </w:tc>
        <w:tc>
          <w:tcPr>
            <w:tcW w:w="1180" w:type="dxa"/>
            <w:vAlign w:val="bottom"/>
            <w:gridSpan w:val="2"/>
          </w:tcPr>
          <w:p>
            <w:pPr>
              <w:jc w:val="center"/>
              <w:ind w:right="583"/>
              <w:spacing w:after="0"/>
              <w:rPr>
                <w:sz w:val="20"/>
                <w:szCs w:val="20"/>
                <w:color w:val="auto"/>
              </w:rPr>
            </w:pPr>
            <w:r>
              <w:rPr>
                <w:rFonts w:ascii="Arial" w:cs="Arial" w:eastAsia="Arial" w:hAnsi="Arial"/>
                <w:sz w:val="9"/>
                <w:szCs w:val="9"/>
                <w:b w:val="1"/>
                <w:bCs w:val="1"/>
                <w:color w:val="002B5F"/>
              </w:rPr>
              <w:t>Incentive</w:t>
            </w:r>
          </w:p>
        </w:tc>
        <w:tc>
          <w:tcPr>
            <w:tcW w:w="1280" w:type="dxa"/>
            <w:vAlign w:val="bottom"/>
          </w:tcPr>
          <w:p>
            <w:pPr>
              <w:ind w:left="140"/>
              <w:spacing w:after="0" w:line="128" w:lineRule="exact"/>
              <w:rPr>
                <w:sz w:val="20"/>
                <w:szCs w:val="20"/>
                <w:color w:val="auto"/>
              </w:rPr>
            </w:pPr>
            <w:r>
              <w:rPr>
                <w:rFonts w:ascii="Arial" w:cs="Arial" w:eastAsia="Arial" w:hAnsi="Arial"/>
                <w:sz w:val="12"/>
                <w:szCs w:val="12"/>
                <w:color w:val="FFFFFF"/>
              </w:rPr>
              <w:t>Discussion and</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620" w:type="dxa"/>
            <w:vAlign w:val="bottom"/>
          </w:tcPr>
          <w:p>
            <w:pPr>
              <w:spacing w:after="0"/>
              <w:rPr>
                <w:sz w:val="7"/>
                <w:szCs w:val="7"/>
                <w:color w:val="auto"/>
              </w:rPr>
            </w:pPr>
          </w:p>
        </w:tc>
        <w:tc>
          <w:tcPr>
            <w:tcW w:w="960" w:type="dxa"/>
            <w:vAlign w:val="bottom"/>
            <w:vMerge w:val="restart"/>
          </w:tcPr>
          <w:p>
            <w:pPr>
              <w:jc w:val="center"/>
              <w:ind w:left="173"/>
              <w:spacing w:after="0"/>
              <w:rPr>
                <w:sz w:val="20"/>
                <w:szCs w:val="20"/>
                <w:color w:val="auto"/>
              </w:rPr>
            </w:pPr>
            <w:r>
              <w:rPr>
                <w:rFonts w:ascii="Arial" w:cs="Arial" w:eastAsia="Arial" w:hAnsi="Arial"/>
                <w:sz w:val="9"/>
                <w:szCs w:val="9"/>
                <w:b w:val="1"/>
                <w:bCs w:val="1"/>
                <w:color w:val="002B5F"/>
                <w:w w:val="99"/>
              </w:rPr>
              <w:t>Table Total for</w:t>
            </w:r>
          </w:p>
        </w:tc>
        <w:tc>
          <w:tcPr>
            <w:tcW w:w="800" w:type="dxa"/>
            <w:vAlign w:val="bottom"/>
            <w:vMerge w:val="restart"/>
          </w:tcPr>
          <w:p>
            <w:pPr>
              <w:jc w:val="center"/>
              <w:spacing w:after="0"/>
              <w:rPr>
                <w:sz w:val="20"/>
                <w:szCs w:val="20"/>
                <w:color w:val="auto"/>
              </w:rPr>
            </w:pPr>
            <w:r>
              <w:rPr>
                <w:rFonts w:ascii="Arial" w:cs="Arial" w:eastAsia="Arial" w:hAnsi="Arial"/>
                <w:sz w:val="9"/>
                <w:szCs w:val="9"/>
                <w:b w:val="1"/>
                <w:bCs w:val="1"/>
                <w:color w:val="002B5F"/>
              </w:rPr>
              <w:t>Actually Paid to</w:t>
            </w:r>
          </w:p>
        </w:tc>
        <w:tc>
          <w:tcPr>
            <w:tcW w:w="740" w:type="dxa"/>
            <w:vAlign w:val="bottom"/>
            <w:vMerge w:val="restart"/>
          </w:tcPr>
          <w:p>
            <w:pPr>
              <w:jc w:val="center"/>
              <w:spacing w:after="0"/>
              <w:rPr>
                <w:sz w:val="20"/>
                <w:szCs w:val="20"/>
                <w:color w:val="auto"/>
              </w:rPr>
            </w:pPr>
            <w:r>
              <w:rPr>
                <w:rFonts w:ascii="Arial" w:cs="Arial" w:eastAsia="Arial" w:hAnsi="Arial"/>
                <w:sz w:val="9"/>
                <w:szCs w:val="9"/>
                <w:b w:val="1"/>
                <w:bCs w:val="1"/>
                <w:color w:val="002B5F"/>
              </w:rPr>
              <w:t>Second</w:t>
            </w:r>
          </w:p>
        </w:tc>
        <w:tc>
          <w:tcPr>
            <w:tcW w:w="800" w:type="dxa"/>
            <w:vAlign w:val="bottom"/>
            <w:vMerge w:val="restart"/>
          </w:tcPr>
          <w:p>
            <w:pPr>
              <w:jc w:val="center"/>
              <w:spacing w:after="0"/>
              <w:rPr>
                <w:sz w:val="20"/>
                <w:szCs w:val="20"/>
                <w:color w:val="auto"/>
              </w:rPr>
            </w:pPr>
            <w:r>
              <w:rPr>
                <w:rFonts w:ascii="Arial" w:cs="Arial" w:eastAsia="Arial" w:hAnsi="Arial"/>
                <w:sz w:val="9"/>
                <w:szCs w:val="9"/>
                <w:b w:val="1"/>
                <w:bCs w:val="1"/>
                <w:color w:val="002B5F"/>
              </w:rPr>
              <w:t>Second</w:t>
            </w:r>
          </w:p>
        </w:tc>
        <w:tc>
          <w:tcPr>
            <w:tcW w:w="740" w:type="dxa"/>
            <w:vAlign w:val="bottom"/>
            <w:vMerge w:val="restart"/>
          </w:tcPr>
          <w:p>
            <w:pPr>
              <w:jc w:val="center"/>
              <w:spacing w:after="0"/>
              <w:rPr>
                <w:sz w:val="20"/>
                <w:szCs w:val="20"/>
                <w:color w:val="auto"/>
              </w:rPr>
            </w:pPr>
            <w:r>
              <w:rPr>
                <w:rFonts w:ascii="Arial" w:cs="Arial" w:eastAsia="Arial" w:hAnsi="Arial"/>
                <w:sz w:val="9"/>
                <w:szCs w:val="9"/>
                <w:b w:val="1"/>
                <w:bCs w:val="1"/>
                <w:color w:val="002B5F"/>
                <w:w w:val="99"/>
              </w:rPr>
              <w:t>Other</w:t>
            </w:r>
          </w:p>
        </w:tc>
        <w:tc>
          <w:tcPr>
            <w:tcW w:w="780" w:type="dxa"/>
            <w:vAlign w:val="bottom"/>
            <w:vMerge w:val="restart"/>
          </w:tcPr>
          <w:p>
            <w:pPr>
              <w:jc w:val="center"/>
              <w:ind w:right="53"/>
              <w:spacing w:after="0"/>
              <w:rPr>
                <w:sz w:val="20"/>
                <w:szCs w:val="20"/>
                <w:color w:val="auto"/>
              </w:rPr>
            </w:pPr>
            <w:r>
              <w:rPr>
                <w:rFonts w:ascii="Arial" w:cs="Arial" w:eastAsia="Arial" w:hAnsi="Arial"/>
                <w:sz w:val="9"/>
                <w:szCs w:val="9"/>
                <w:b w:val="1"/>
                <w:bCs w:val="1"/>
                <w:color w:val="002B5F"/>
              </w:rPr>
              <w:t>to Other</w:t>
            </w:r>
          </w:p>
        </w:tc>
        <w:tc>
          <w:tcPr>
            <w:tcW w:w="1300" w:type="dxa"/>
            <w:vAlign w:val="bottom"/>
            <w:gridSpan w:val="3"/>
          </w:tcPr>
          <w:p>
            <w:pPr>
              <w:jc w:val="center"/>
              <w:ind w:right="40"/>
              <w:spacing w:after="0" w:line="82" w:lineRule="exact"/>
              <w:rPr>
                <w:sz w:val="20"/>
                <w:szCs w:val="20"/>
                <w:color w:val="auto"/>
              </w:rPr>
            </w:pPr>
            <w:r>
              <w:rPr>
                <w:rFonts w:ascii="Arial" w:cs="Arial" w:eastAsia="Arial" w:hAnsi="Arial"/>
                <w:sz w:val="9"/>
                <w:szCs w:val="9"/>
                <w:b w:val="1"/>
                <w:bCs w:val="1"/>
                <w:color w:val="002B5F"/>
              </w:rPr>
              <w:t>Shareholder Shareholder</w:t>
            </w:r>
          </w:p>
        </w:tc>
        <w:tc>
          <w:tcPr>
            <w:tcW w:w="620" w:type="dxa"/>
            <w:vAlign w:val="bottom"/>
            <w:vMerge w:val="restart"/>
          </w:tcPr>
          <w:p>
            <w:pPr>
              <w:jc w:val="center"/>
              <w:ind w:left="13"/>
              <w:spacing w:after="0"/>
              <w:rPr>
                <w:sz w:val="20"/>
                <w:szCs w:val="20"/>
                <w:color w:val="auto"/>
              </w:rPr>
            </w:pPr>
            <w:r>
              <w:rPr>
                <w:rFonts w:ascii="Arial" w:cs="Arial" w:eastAsia="Arial" w:hAnsi="Arial"/>
                <w:sz w:val="9"/>
                <w:szCs w:val="9"/>
                <w:b w:val="1"/>
                <w:bCs w:val="1"/>
                <w:color w:val="002B5F"/>
              </w:rPr>
              <w:t>Income</w:t>
            </w:r>
          </w:p>
        </w:tc>
        <w:tc>
          <w:tcPr>
            <w:tcW w:w="1180" w:type="dxa"/>
            <w:vAlign w:val="bottom"/>
            <w:gridSpan w:val="2"/>
            <w:vMerge w:val="restart"/>
          </w:tcPr>
          <w:p>
            <w:pPr>
              <w:jc w:val="center"/>
              <w:ind w:right="563"/>
              <w:spacing w:after="0"/>
              <w:rPr>
                <w:sz w:val="20"/>
                <w:szCs w:val="20"/>
                <w:color w:val="auto"/>
              </w:rPr>
            </w:pPr>
            <w:r>
              <w:rPr>
                <w:rFonts w:ascii="Arial" w:cs="Arial" w:eastAsia="Arial" w:hAnsi="Arial"/>
                <w:sz w:val="9"/>
                <w:szCs w:val="9"/>
                <w:b w:val="1"/>
                <w:bCs w:val="1"/>
                <w:color w:val="002B5F"/>
              </w:rPr>
              <w:t>EBITDA</w:t>
            </w:r>
          </w:p>
        </w:tc>
        <w:tc>
          <w:tcPr>
            <w:tcW w:w="1280" w:type="dxa"/>
            <w:vAlign w:val="bottom"/>
            <w:vMerge w:val="restart"/>
          </w:tcPr>
          <w:p>
            <w:pPr>
              <w:ind w:left="140"/>
              <w:spacing w:after="0" w:line="115" w:lineRule="exact"/>
              <w:rPr>
                <w:sz w:val="20"/>
                <w:szCs w:val="20"/>
                <w:color w:val="auto"/>
              </w:rPr>
            </w:pPr>
            <w:r>
              <w:rPr>
                <w:rFonts w:ascii="Arial" w:cs="Arial" w:eastAsia="Arial" w:hAnsi="Arial"/>
                <w:sz w:val="12"/>
                <w:szCs w:val="12"/>
                <w:color w:val="FFFFFF"/>
              </w:rPr>
              <w:t>Analysis</w:t>
            </w:r>
          </w:p>
        </w:tc>
        <w:tc>
          <w:tcPr>
            <w:tcW w:w="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4"/>
        </w:trPr>
        <w:tc>
          <w:tcPr>
            <w:tcW w:w="620" w:type="dxa"/>
            <w:vAlign w:val="bottom"/>
          </w:tcPr>
          <w:p>
            <w:pPr>
              <w:spacing w:after="0"/>
              <w:rPr>
                <w:sz w:val="2"/>
                <w:szCs w:val="2"/>
                <w:color w:val="auto"/>
              </w:rPr>
            </w:pPr>
          </w:p>
        </w:tc>
        <w:tc>
          <w:tcPr>
            <w:tcW w:w="960" w:type="dxa"/>
            <w:vAlign w:val="bottom"/>
            <w:vMerge w:val="continue"/>
          </w:tcPr>
          <w:p>
            <w:pPr>
              <w:spacing w:after="0"/>
              <w:rPr>
                <w:sz w:val="2"/>
                <w:szCs w:val="2"/>
                <w:color w:val="auto"/>
              </w:rPr>
            </w:pPr>
          </w:p>
        </w:tc>
        <w:tc>
          <w:tcPr>
            <w:tcW w:w="800" w:type="dxa"/>
            <w:vAlign w:val="bottom"/>
            <w:vMerge w:val="continue"/>
          </w:tcPr>
          <w:p>
            <w:pPr>
              <w:spacing w:after="0"/>
              <w:rPr>
                <w:sz w:val="2"/>
                <w:szCs w:val="2"/>
                <w:color w:val="auto"/>
              </w:rPr>
            </w:pPr>
          </w:p>
        </w:tc>
        <w:tc>
          <w:tcPr>
            <w:tcW w:w="740" w:type="dxa"/>
            <w:vAlign w:val="bottom"/>
            <w:vMerge w:val="continue"/>
          </w:tcPr>
          <w:p>
            <w:pPr>
              <w:spacing w:after="0"/>
              <w:rPr>
                <w:sz w:val="2"/>
                <w:szCs w:val="2"/>
                <w:color w:val="auto"/>
              </w:rPr>
            </w:pPr>
          </w:p>
        </w:tc>
        <w:tc>
          <w:tcPr>
            <w:tcW w:w="800" w:type="dxa"/>
            <w:vAlign w:val="bottom"/>
            <w:vMerge w:val="continue"/>
          </w:tcPr>
          <w:p>
            <w:pPr>
              <w:spacing w:after="0"/>
              <w:rPr>
                <w:sz w:val="2"/>
                <w:szCs w:val="2"/>
                <w:color w:val="auto"/>
              </w:rPr>
            </w:pPr>
          </w:p>
        </w:tc>
        <w:tc>
          <w:tcPr>
            <w:tcW w:w="74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580" w:type="dxa"/>
            <w:vAlign w:val="bottom"/>
          </w:tcPr>
          <w:p>
            <w:pPr>
              <w:spacing w:after="0"/>
              <w:rPr>
                <w:sz w:val="2"/>
                <w:szCs w:val="2"/>
                <w:color w:val="auto"/>
              </w:rPr>
            </w:pPr>
          </w:p>
        </w:tc>
        <w:tc>
          <w:tcPr>
            <w:tcW w:w="620" w:type="dxa"/>
            <w:vAlign w:val="bottom"/>
          </w:tcPr>
          <w:p>
            <w:pPr>
              <w:jc w:val="right"/>
              <w:ind w:right="41"/>
              <w:spacing w:after="0"/>
              <w:rPr>
                <w:sz w:val="20"/>
                <w:szCs w:val="20"/>
                <w:color w:val="auto"/>
              </w:rPr>
            </w:pPr>
            <w:r>
              <w:rPr>
                <w:rFonts w:ascii="Arial" w:cs="Arial" w:eastAsia="Arial" w:hAnsi="Arial"/>
                <w:sz w:val="3"/>
                <w:szCs w:val="3"/>
                <w:b w:val="1"/>
                <w:bCs w:val="1"/>
                <w:color w:val="002B5F"/>
              </w:rPr>
              <w:t>(5)</w:t>
            </w:r>
          </w:p>
        </w:tc>
        <w:tc>
          <w:tcPr>
            <w:tcW w:w="100" w:type="dxa"/>
            <w:vAlign w:val="bottom"/>
          </w:tcPr>
          <w:p>
            <w:pPr>
              <w:spacing w:after="0"/>
              <w:rPr>
                <w:sz w:val="2"/>
                <w:szCs w:val="2"/>
                <w:color w:val="auto"/>
              </w:rPr>
            </w:pPr>
          </w:p>
        </w:tc>
        <w:tc>
          <w:tcPr>
            <w:tcW w:w="620" w:type="dxa"/>
            <w:vAlign w:val="bottom"/>
            <w:vMerge w:val="continue"/>
          </w:tcPr>
          <w:p>
            <w:pPr>
              <w:spacing w:after="0"/>
              <w:rPr>
                <w:sz w:val="2"/>
                <w:szCs w:val="2"/>
                <w:color w:val="auto"/>
              </w:rPr>
            </w:pPr>
          </w:p>
        </w:tc>
        <w:tc>
          <w:tcPr>
            <w:tcW w:w="1180" w:type="dxa"/>
            <w:vAlign w:val="bottom"/>
            <w:gridSpan w:val="2"/>
            <w:vMerge w:val="continue"/>
          </w:tcPr>
          <w:p>
            <w:pPr>
              <w:spacing w:after="0"/>
              <w:rPr>
                <w:sz w:val="2"/>
                <w:szCs w:val="2"/>
                <w:color w:val="auto"/>
              </w:rPr>
            </w:pPr>
          </w:p>
        </w:tc>
        <w:tc>
          <w:tcPr>
            <w:tcW w:w="1280" w:type="dxa"/>
            <w:vAlign w:val="bottom"/>
            <w:vMerge w:val="continue"/>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6"/>
        </w:trPr>
        <w:tc>
          <w:tcPr>
            <w:tcW w:w="620" w:type="dxa"/>
            <w:vAlign w:val="bottom"/>
            <w:tcBorders>
              <w:bottom w:val="single" w:sz="8" w:color="002B5F"/>
            </w:tcBorders>
          </w:tcPr>
          <w:p>
            <w:pPr>
              <w:ind w:left="60"/>
              <w:spacing w:after="0"/>
              <w:rPr>
                <w:sz w:val="20"/>
                <w:szCs w:val="20"/>
                <w:color w:val="auto"/>
              </w:rPr>
            </w:pPr>
            <w:r>
              <w:rPr>
                <w:rFonts w:ascii="Arial" w:cs="Arial" w:eastAsia="Arial" w:hAnsi="Arial"/>
                <w:sz w:val="9"/>
                <w:szCs w:val="9"/>
                <w:b w:val="1"/>
                <w:bCs w:val="1"/>
                <w:color w:val="002B5F"/>
              </w:rPr>
              <w:t>Year</w:t>
            </w:r>
            <w:r>
              <w:rPr>
                <w:rFonts w:ascii="Arial" w:cs="Arial" w:eastAsia="Arial" w:hAnsi="Arial"/>
                <w:sz w:val="11"/>
                <w:szCs w:val="11"/>
                <w:b w:val="1"/>
                <w:bCs w:val="1"/>
                <w:color w:val="002B5F"/>
                <w:vertAlign w:val="superscript"/>
              </w:rPr>
              <w:t>(1)</w:t>
            </w:r>
          </w:p>
        </w:tc>
        <w:tc>
          <w:tcPr>
            <w:tcW w:w="960" w:type="dxa"/>
            <w:vAlign w:val="bottom"/>
            <w:tcBorders>
              <w:bottom w:val="single" w:sz="8" w:color="002B5F"/>
            </w:tcBorders>
          </w:tcPr>
          <w:p>
            <w:pPr>
              <w:jc w:val="center"/>
              <w:ind w:left="173"/>
              <w:spacing w:after="0"/>
              <w:rPr>
                <w:sz w:val="20"/>
                <w:szCs w:val="20"/>
                <w:color w:val="auto"/>
              </w:rPr>
            </w:pPr>
            <w:r>
              <w:rPr>
                <w:rFonts w:ascii="Arial" w:cs="Arial" w:eastAsia="Arial" w:hAnsi="Arial"/>
                <w:sz w:val="9"/>
                <w:szCs w:val="9"/>
                <w:b w:val="1"/>
                <w:bCs w:val="1"/>
                <w:color w:val="002B5F"/>
                <w:w w:val="92"/>
              </w:rPr>
              <w:t>PEO</w:t>
            </w:r>
            <w:r>
              <w:rPr>
                <w:rFonts w:ascii="Arial" w:cs="Arial" w:eastAsia="Arial" w:hAnsi="Arial"/>
                <w:sz w:val="11"/>
                <w:szCs w:val="11"/>
                <w:b w:val="1"/>
                <w:bCs w:val="1"/>
                <w:color w:val="002B5F"/>
                <w:w w:val="92"/>
                <w:vertAlign w:val="superscript"/>
              </w:rPr>
              <w:t>(2)</w:t>
            </w:r>
          </w:p>
        </w:tc>
        <w:tc>
          <w:tcPr>
            <w:tcW w:w="800" w:type="dxa"/>
            <w:vAlign w:val="bottom"/>
            <w:tcBorders>
              <w:bottom w:val="single" w:sz="8" w:color="002B5F"/>
            </w:tcBorders>
          </w:tcPr>
          <w:p>
            <w:pPr>
              <w:jc w:val="center"/>
              <w:spacing w:after="0"/>
              <w:rPr>
                <w:sz w:val="20"/>
                <w:szCs w:val="20"/>
                <w:color w:val="auto"/>
              </w:rPr>
            </w:pPr>
            <w:r>
              <w:rPr>
                <w:rFonts w:ascii="Arial" w:cs="Arial" w:eastAsia="Arial" w:hAnsi="Arial"/>
                <w:sz w:val="9"/>
                <w:szCs w:val="9"/>
                <w:b w:val="1"/>
                <w:bCs w:val="1"/>
                <w:color w:val="002B5F"/>
                <w:w w:val="99"/>
              </w:rPr>
              <w:t>PEO</w:t>
            </w:r>
            <w:r>
              <w:rPr>
                <w:rFonts w:ascii="Arial" w:cs="Arial" w:eastAsia="Arial" w:hAnsi="Arial"/>
                <w:sz w:val="11"/>
                <w:szCs w:val="11"/>
                <w:b w:val="1"/>
                <w:bCs w:val="1"/>
                <w:color w:val="002B5F"/>
                <w:w w:val="99"/>
                <w:vertAlign w:val="superscript"/>
              </w:rPr>
              <w:t>(3)</w:t>
            </w:r>
          </w:p>
        </w:tc>
        <w:tc>
          <w:tcPr>
            <w:tcW w:w="740" w:type="dxa"/>
            <w:vAlign w:val="bottom"/>
            <w:tcBorders>
              <w:bottom w:val="single" w:sz="8" w:color="002B5F"/>
            </w:tcBorders>
          </w:tcPr>
          <w:p>
            <w:pPr>
              <w:jc w:val="center"/>
              <w:spacing w:after="0"/>
              <w:rPr>
                <w:sz w:val="20"/>
                <w:szCs w:val="20"/>
                <w:color w:val="auto"/>
              </w:rPr>
            </w:pPr>
            <w:r>
              <w:rPr>
                <w:rFonts w:ascii="Arial" w:cs="Arial" w:eastAsia="Arial" w:hAnsi="Arial"/>
                <w:sz w:val="9"/>
                <w:szCs w:val="9"/>
                <w:b w:val="1"/>
                <w:bCs w:val="1"/>
                <w:color w:val="002B5F"/>
                <w:w w:val="92"/>
              </w:rPr>
              <w:t>PEO</w:t>
            </w:r>
            <w:r>
              <w:rPr>
                <w:rFonts w:ascii="Arial" w:cs="Arial" w:eastAsia="Arial" w:hAnsi="Arial"/>
                <w:sz w:val="11"/>
                <w:szCs w:val="11"/>
                <w:b w:val="1"/>
                <w:bCs w:val="1"/>
                <w:color w:val="002B5F"/>
                <w:w w:val="92"/>
                <w:vertAlign w:val="superscript"/>
              </w:rPr>
              <w:t>(2)</w:t>
            </w:r>
          </w:p>
        </w:tc>
        <w:tc>
          <w:tcPr>
            <w:tcW w:w="800" w:type="dxa"/>
            <w:vAlign w:val="bottom"/>
            <w:tcBorders>
              <w:bottom w:val="single" w:sz="8" w:color="002B5F"/>
            </w:tcBorders>
          </w:tcPr>
          <w:p>
            <w:pPr>
              <w:jc w:val="center"/>
              <w:spacing w:after="0"/>
              <w:rPr>
                <w:sz w:val="20"/>
                <w:szCs w:val="20"/>
                <w:color w:val="auto"/>
              </w:rPr>
            </w:pPr>
            <w:r>
              <w:rPr>
                <w:rFonts w:ascii="Arial" w:cs="Arial" w:eastAsia="Arial" w:hAnsi="Arial"/>
                <w:sz w:val="9"/>
                <w:szCs w:val="9"/>
                <w:b w:val="1"/>
                <w:bCs w:val="1"/>
                <w:color w:val="002B5F"/>
                <w:w w:val="99"/>
              </w:rPr>
              <w:t>PEO</w:t>
            </w:r>
            <w:r>
              <w:rPr>
                <w:rFonts w:ascii="Arial" w:cs="Arial" w:eastAsia="Arial" w:hAnsi="Arial"/>
                <w:sz w:val="11"/>
                <w:szCs w:val="11"/>
                <w:b w:val="1"/>
                <w:bCs w:val="1"/>
                <w:color w:val="002B5F"/>
                <w:w w:val="99"/>
                <w:vertAlign w:val="superscript"/>
              </w:rPr>
              <w:t>(3)</w:t>
            </w:r>
          </w:p>
        </w:tc>
        <w:tc>
          <w:tcPr>
            <w:tcW w:w="740" w:type="dxa"/>
            <w:vAlign w:val="bottom"/>
            <w:tcBorders>
              <w:bottom w:val="single" w:sz="8" w:color="002B5F"/>
            </w:tcBorders>
          </w:tcPr>
          <w:p>
            <w:pPr>
              <w:jc w:val="center"/>
              <w:spacing w:after="0"/>
              <w:rPr>
                <w:sz w:val="20"/>
                <w:szCs w:val="20"/>
                <w:color w:val="auto"/>
              </w:rPr>
            </w:pPr>
            <w:r>
              <w:rPr>
                <w:rFonts w:ascii="Arial" w:cs="Arial" w:eastAsia="Arial" w:hAnsi="Arial"/>
                <w:sz w:val="9"/>
                <w:szCs w:val="9"/>
                <w:b w:val="1"/>
                <w:bCs w:val="1"/>
                <w:color w:val="002B5F"/>
                <w:w w:val="95"/>
              </w:rPr>
              <w:t>NEOs</w:t>
            </w:r>
            <w:r>
              <w:rPr>
                <w:rFonts w:ascii="Arial" w:cs="Arial" w:eastAsia="Arial" w:hAnsi="Arial"/>
                <w:sz w:val="11"/>
                <w:szCs w:val="11"/>
                <w:b w:val="1"/>
                <w:bCs w:val="1"/>
                <w:color w:val="002B5F"/>
                <w:w w:val="95"/>
                <w:vertAlign w:val="superscript"/>
              </w:rPr>
              <w:t>(2)</w:t>
            </w:r>
          </w:p>
        </w:tc>
        <w:tc>
          <w:tcPr>
            <w:tcW w:w="780" w:type="dxa"/>
            <w:vAlign w:val="bottom"/>
            <w:tcBorders>
              <w:bottom w:val="single" w:sz="8" w:color="002B5F"/>
            </w:tcBorders>
          </w:tcPr>
          <w:p>
            <w:pPr>
              <w:jc w:val="center"/>
              <w:ind w:right="53"/>
              <w:spacing w:after="0"/>
              <w:rPr>
                <w:sz w:val="20"/>
                <w:szCs w:val="20"/>
                <w:color w:val="auto"/>
              </w:rPr>
            </w:pPr>
            <w:r>
              <w:rPr>
                <w:rFonts w:ascii="Arial" w:cs="Arial" w:eastAsia="Arial" w:hAnsi="Arial"/>
                <w:sz w:val="9"/>
                <w:szCs w:val="9"/>
                <w:b w:val="1"/>
                <w:bCs w:val="1"/>
                <w:color w:val="002B5F"/>
                <w:w w:val="95"/>
              </w:rPr>
              <w:t>NEOs</w:t>
            </w:r>
            <w:r>
              <w:rPr>
                <w:rFonts w:ascii="Arial" w:cs="Arial" w:eastAsia="Arial" w:hAnsi="Arial"/>
                <w:sz w:val="11"/>
                <w:szCs w:val="11"/>
                <w:b w:val="1"/>
                <w:bCs w:val="1"/>
                <w:color w:val="002B5F"/>
                <w:w w:val="95"/>
                <w:vertAlign w:val="superscript"/>
              </w:rPr>
              <w:t>(3)</w:t>
            </w:r>
          </w:p>
        </w:tc>
        <w:tc>
          <w:tcPr>
            <w:tcW w:w="580" w:type="dxa"/>
            <w:vAlign w:val="bottom"/>
            <w:tcBorders>
              <w:bottom w:val="single" w:sz="8" w:color="002B5F"/>
            </w:tcBorders>
          </w:tcPr>
          <w:p>
            <w:pPr>
              <w:jc w:val="center"/>
              <w:ind w:left="33"/>
              <w:spacing w:after="0"/>
              <w:rPr>
                <w:sz w:val="20"/>
                <w:szCs w:val="20"/>
                <w:color w:val="auto"/>
              </w:rPr>
            </w:pPr>
            <w:r>
              <w:rPr>
                <w:rFonts w:ascii="Arial" w:cs="Arial" w:eastAsia="Arial" w:hAnsi="Arial"/>
                <w:sz w:val="9"/>
                <w:szCs w:val="9"/>
                <w:b w:val="1"/>
                <w:bCs w:val="1"/>
                <w:color w:val="002B5F"/>
              </w:rPr>
              <w:t>Return</w:t>
            </w:r>
          </w:p>
        </w:tc>
        <w:tc>
          <w:tcPr>
            <w:tcW w:w="720" w:type="dxa"/>
            <w:vAlign w:val="bottom"/>
            <w:tcBorders>
              <w:bottom w:val="single" w:sz="8" w:color="002B5F"/>
            </w:tcBorders>
            <w:gridSpan w:val="2"/>
          </w:tcPr>
          <w:p>
            <w:pPr>
              <w:jc w:val="right"/>
              <w:ind w:right="240"/>
              <w:spacing w:after="0"/>
              <w:rPr>
                <w:sz w:val="20"/>
                <w:szCs w:val="20"/>
                <w:color w:val="auto"/>
              </w:rPr>
            </w:pPr>
            <w:r>
              <w:rPr>
                <w:rFonts w:ascii="Arial" w:cs="Arial" w:eastAsia="Arial" w:hAnsi="Arial"/>
                <w:sz w:val="9"/>
                <w:szCs w:val="9"/>
                <w:b w:val="1"/>
                <w:bCs w:val="1"/>
                <w:color w:val="002B5F"/>
              </w:rPr>
              <w:t>Return</w:t>
            </w:r>
          </w:p>
        </w:tc>
        <w:tc>
          <w:tcPr>
            <w:tcW w:w="620" w:type="dxa"/>
            <w:vAlign w:val="bottom"/>
            <w:tcBorders>
              <w:bottom w:val="single" w:sz="8" w:color="002B5F"/>
            </w:tcBorders>
          </w:tcPr>
          <w:p>
            <w:pPr>
              <w:jc w:val="center"/>
              <w:ind w:left="13"/>
              <w:spacing w:after="0"/>
              <w:rPr>
                <w:sz w:val="20"/>
                <w:szCs w:val="20"/>
                <w:color w:val="auto"/>
              </w:rPr>
            </w:pPr>
            <w:r>
              <w:rPr>
                <w:rFonts w:ascii="Arial" w:cs="Arial" w:eastAsia="Arial" w:hAnsi="Arial"/>
                <w:sz w:val="9"/>
                <w:szCs w:val="9"/>
                <w:b w:val="1"/>
                <w:bCs w:val="1"/>
                <w:color w:val="002B5F"/>
                <w:w w:val="97"/>
              </w:rPr>
              <w:t>(millions)</w:t>
            </w:r>
            <w:r>
              <w:rPr>
                <w:rFonts w:ascii="Arial" w:cs="Arial" w:eastAsia="Arial" w:hAnsi="Arial"/>
                <w:sz w:val="11"/>
                <w:szCs w:val="11"/>
                <w:b w:val="1"/>
                <w:bCs w:val="1"/>
                <w:color w:val="002B5F"/>
                <w:w w:val="97"/>
                <w:vertAlign w:val="superscript"/>
              </w:rPr>
              <w:t>(6)</w:t>
            </w:r>
          </w:p>
        </w:tc>
        <w:tc>
          <w:tcPr>
            <w:tcW w:w="520" w:type="dxa"/>
            <w:vAlign w:val="bottom"/>
            <w:tcBorders>
              <w:bottom w:val="single" w:sz="8" w:color="002B5F"/>
            </w:tcBorders>
          </w:tcPr>
          <w:p>
            <w:pPr>
              <w:jc w:val="center"/>
              <w:spacing w:after="0"/>
              <w:rPr>
                <w:sz w:val="20"/>
                <w:szCs w:val="20"/>
                <w:color w:val="auto"/>
              </w:rPr>
            </w:pPr>
            <w:r>
              <w:rPr>
                <w:rFonts w:ascii="Arial" w:cs="Arial" w:eastAsia="Arial" w:hAnsi="Arial"/>
                <w:sz w:val="9"/>
                <w:szCs w:val="9"/>
                <w:b w:val="1"/>
                <w:bCs w:val="1"/>
                <w:color w:val="002B5F"/>
              </w:rPr>
              <w:t>(millions)</w:t>
            </w:r>
            <w:r>
              <w:rPr>
                <w:rFonts w:ascii="Arial" w:cs="Arial" w:eastAsia="Arial" w:hAnsi="Arial"/>
                <w:sz w:val="11"/>
                <w:szCs w:val="11"/>
                <w:b w:val="1"/>
                <w:bCs w:val="1"/>
                <w:color w:val="002B5F"/>
                <w:vertAlign w:val="superscript"/>
              </w:rPr>
              <w:t>(7)</w:t>
            </w:r>
          </w:p>
        </w:tc>
        <w:tc>
          <w:tcPr>
            <w:tcW w:w="6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341630</wp:posOffset>
            </wp:positionH>
            <wp:positionV relativeFrom="paragraph">
              <wp:posOffset>-7620</wp:posOffset>
            </wp:positionV>
            <wp:extent cx="4999990" cy="16192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4999990" cy="161925"/>
                    </a:xfrm>
                    <a:prstGeom prst="rect">
                      <a:avLst/>
                    </a:prstGeom>
                    <a:noFill/>
                  </pic:spPr>
                </pic:pic>
              </a:graphicData>
            </a:graphic>
          </wp:anchor>
        </w:drawing>
      </w:r>
    </w:p>
    <w:p>
      <w:pPr>
        <w:sectPr>
          <w:pgSz w:w="11900" w:h="16838" w:orient="portrait"/>
          <w:cols w:equalWidth="0" w:num="1">
            <w:col w:w="10800"/>
          </w:cols>
          <w:pgMar w:left="320" w:top="464" w:right="779" w:bottom="1440" w:gutter="0" w:footer="0" w:header="0"/>
        </w:sectPr>
      </w:pPr>
    </w:p>
    <w:p>
      <w:pPr>
        <w:spacing w:after="0" w:line="46" w:lineRule="exact"/>
        <w:rPr>
          <w:sz w:val="20"/>
          <w:szCs w:val="20"/>
          <w:color w:val="auto"/>
        </w:rPr>
      </w:pPr>
    </w:p>
    <w:tbl>
      <w:tblPr>
        <w:tblLayout w:type="fixed"/>
        <w:tblInd w:w="540" w:type="dxa"/>
        <w:tblCellMar>
          <w:top w:w="0" w:type="dxa"/>
          <w:left w:w="0" w:type="dxa"/>
          <w:bottom w:w="0" w:type="dxa"/>
          <w:right w:w="0" w:type="dxa"/>
        </w:tblCellMar>
      </w:tblPr>
      <w:tr>
        <w:trPr>
          <w:trHeight w:val="176"/>
        </w:trPr>
        <w:tc>
          <w:tcPr>
            <w:tcW w:w="800" w:type="dxa"/>
            <w:vAlign w:val="bottom"/>
          </w:tcPr>
          <w:p>
            <w:pPr>
              <w:jc w:val="right"/>
              <w:ind w:right="400"/>
              <w:spacing w:after="0"/>
              <w:rPr>
                <w:sz w:val="20"/>
                <w:szCs w:val="20"/>
                <w:color w:val="auto"/>
              </w:rPr>
            </w:pPr>
            <w:r>
              <w:rPr>
                <w:rFonts w:ascii="Arial" w:cs="Arial" w:eastAsia="Arial" w:hAnsi="Arial"/>
                <w:sz w:val="12"/>
                <w:szCs w:val="12"/>
                <w:color w:val="auto"/>
              </w:rPr>
              <w:t>2025</w:t>
            </w:r>
          </w:p>
        </w:tc>
        <w:tc>
          <w:tcPr>
            <w:tcW w:w="160" w:type="dxa"/>
            <w:vAlign w:val="bottom"/>
            <w:tcBorders>
              <w:bottom w:val="single" w:sz="8" w:color="F7F1EC"/>
            </w:tcBorders>
            <w:shd w:val="clear" w:color="auto" w:fill="F7F1EC"/>
          </w:tcPr>
          <w:p>
            <w:pPr>
              <w:jc w:val="right"/>
              <w:spacing w:after="0"/>
              <w:rPr>
                <w:sz w:val="20"/>
                <w:szCs w:val="20"/>
                <w:color w:val="auto"/>
              </w:rPr>
            </w:pPr>
            <w:r>
              <w:rPr>
                <w:rFonts w:ascii="Arial" w:cs="Arial" w:eastAsia="Arial" w:hAnsi="Arial"/>
                <w:sz w:val="12"/>
                <w:szCs w:val="12"/>
                <w:color w:val="auto"/>
              </w:rPr>
              <w:t>$</w:t>
            </w:r>
          </w:p>
        </w:tc>
        <w:tc>
          <w:tcPr>
            <w:tcW w:w="660" w:type="dxa"/>
            <w:vAlign w:val="bottom"/>
            <w:tcBorders>
              <w:bottom w:val="single" w:sz="8" w:color="F7F1EC"/>
            </w:tcBorders>
            <w:shd w:val="clear" w:color="auto" w:fill="F7F1EC"/>
          </w:tcPr>
          <w:p>
            <w:pPr>
              <w:jc w:val="right"/>
              <w:spacing w:after="0"/>
              <w:rPr>
                <w:sz w:val="20"/>
                <w:szCs w:val="20"/>
                <w:color w:val="auto"/>
              </w:rPr>
            </w:pPr>
            <w:r>
              <w:rPr>
                <w:rFonts w:ascii="Arial" w:cs="Arial" w:eastAsia="Arial" w:hAnsi="Arial"/>
                <w:sz w:val="12"/>
                <w:szCs w:val="12"/>
                <w:color w:val="auto"/>
                <w:w w:val="99"/>
              </w:rPr>
              <w:t>14,574,496</w:t>
            </w:r>
          </w:p>
        </w:tc>
        <w:tc>
          <w:tcPr>
            <w:tcW w:w="120" w:type="dxa"/>
            <w:vAlign w:val="bottom"/>
            <w:tcBorders>
              <w:bottom w:val="single" w:sz="8" w:color="F7F1EC"/>
            </w:tcBorders>
            <w:shd w:val="clear" w:color="auto" w:fill="F7F1EC"/>
          </w:tcPr>
          <w:p>
            <w:pPr>
              <w:jc w:val="right"/>
              <w:spacing w:after="0"/>
              <w:rPr>
                <w:sz w:val="20"/>
                <w:szCs w:val="20"/>
                <w:color w:val="auto"/>
              </w:rPr>
            </w:pPr>
            <w:r>
              <w:rPr>
                <w:rFonts w:ascii="Arial" w:cs="Arial" w:eastAsia="Arial" w:hAnsi="Arial"/>
                <w:sz w:val="12"/>
                <w:szCs w:val="12"/>
                <w:color w:val="auto"/>
              </w:rPr>
              <w:t>$</w:t>
            </w:r>
          </w:p>
        </w:tc>
        <w:tc>
          <w:tcPr>
            <w:tcW w:w="640" w:type="dxa"/>
            <w:vAlign w:val="bottom"/>
            <w:tcBorders>
              <w:bottom w:val="single" w:sz="8" w:color="F7F1EC"/>
            </w:tcBorders>
            <w:shd w:val="clear" w:color="auto" w:fill="F7F1EC"/>
          </w:tcPr>
          <w:p>
            <w:pPr>
              <w:jc w:val="right"/>
              <w:spacing w:after="0"/>
              <w:rPr>
                <w:sz w:val="20"/>
                <w:szCs w:val="20"/>
                <w:color w:val="auto"/>
              </w:rPr>
            </w:pPr>
            <w:r>
              <w:rPr>
                <w:rFonts w:ascii="Arial" w:cs="Arial" w:eastAsia="Arial" w:hAnsi="Arial"/>
                <w:sz w:val="12"/>
                <w:szCs w:val="12"/>
                <w:color w:val="auto"/>
                <w:w w:val="96"/>
              </w:rPr>
              <w:t>12,885,464</w:t>
            </w:r>
          </w:p>
        </w:tc>
        <w:tc>
          <w:tcPr>
            <w:tcW w:w="120" w:type="dxa"/>
            <w:vAlign w:val="bottom"/>
            <w:tcBorders>
              <w:bottom w:val="single" w:sz="8" w:color="F7F1EC"/>
            </w:tcBorders>
            <w:shd w:val="clear" w:color="auto" w:fill="F7F1EC"/>
          </w:tcPr>
          <w:p>
            <w:pPr>
              <w:jc w:val="right"/>
              <w:spacing w:after="0"/>
              <w:rPr>
                <w:sz w:val="20"/>
                <w:szCs w:val="20"/>
                <w:color w:val="auto"/>
              </w:rPr>
            </w:pPr>
            <w:r>
              <w:rPr>
                <w:rFonts w:ascii="Arial" w:cs="Arial" w:eastAsia="Arial" w:hAnsi="Arial"/>
                <w:sz w:val="12"/>
                <w:szCs w:val="12"/>
                <w:color w:val="auto"/>
              </w:rPr>
              <w:t>$</w:t>
            </w:r>
          </w:p>
        </w:tc>
        <w:tc>
          <w:tcPr>
            <w:tcW w:w="640" w:type="dxa"/>
            <w:vAlign w:val="bottom"/>
            <w:tcBorders>
              <w:bottom w:val="single" w:sz="8" w:color="F7F1EC"/>
            </w:tcBorders>
            <w:shd w:val="clear" w:color="auto" w:fill="F7F1EC"/>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F7F1EC"/>
            </w:tcBorders>
            <w:shd w:val="clear" w:color="auto" w:fill="F7F1EC"/>
          </w:tcPr>
          <w:p>
            <w:pPr>
              <w:jc w:val="right"/>
              <w:spacing w:after="0"/>
              <w:rPr>
                <w:sz w:val="20"/>
                <w:szCs w:val="20"/>
                <w:color w:val="auto"/>
              </w:rPr>
            </w:pPr>
            <w:r>
              <w:rPr>
                <w:rFonts w:ascii="Arial" w:cs="Arial" w:eastAsia="Arial" w:hAnsi="Arial"/>
                <w:sz w:val="12"/>
                <w:szCs w:val="12"/>
                <w:color w:val="auto"/>
              </w:rPr>
              <w:t>$</w:t>
            </w:r>
          </w:p>
        </w:tc>
        <w:tc>
          <w:tcPr>
            <w:tcW w:w="700" w:type="dxa"/>
            <w:vAlign w:val="bottom"/>
            <w:tcBorders>
              <w:bottom w:val="single" w:sz="8" w:color="F7F1EC"/>
            </w:tcBorders>
            <w:shd w:val="clear" w:color="auto" w:fill="F7F1EC"/>
          </w:tcPr>
          <w:p>
            <w:pPr>
              <w:jc w:val="right"/>
              <w:ind w:right="40"/>
              <w:spacing w:after="0"/>
              <w:rPr>
                <w:sz w:val="20"/>
                <w:szCs w:val="20"/>
                <w:color w:val="auto"/>
              </w:rPr>
            </w:pPr>
            <w:r>
              <w:rPr>
                <w:rFonts w:ascii="Arial" w:cs="Arial" w:eastAsia="Arial" w:hAnsi="Arial"/>
                <w:sz w:val="12"/>
                <w:szCs w:val="12"/>
                <w:color w:val="auto"/>
              </w:rPr>
              <w:t>—</w:t>
            </w:r>
          </w:p>
        </w:tc>
        <w:tc>
          <w:tcPr>
            <w:tcW w:w="700" w:type="dxa"/>
            <w:vAlign w:val="bottom"/>
            <w:tcBorders>
              <w:bottom w:val="single" w:sz="8" w:color="F7F1EC"/>
            </w:tcBorders>
            <w:shd w:val="clear" w:color="auto" w:fill="F7F1EC"/>
          </w:tcPr>
          <w:p>
            <w:pPr>
              <w:jc w:val="right"/>
              <w:spacing w:after="0"/>
              <w:rPr>
                <w:sz w:val="20"/>
                <w:szCs w:val="20"/>
                <w:color w:val="auto"/>
              </w:rPr>
            </w:pPr>
            <w:r>
              <w:rPr>
                <w:rFonts w:ascii="Arial" w:cs="Arial" w:eastAsia="Arial" w:hAnsi="Arial"/>
                <w:sz w:val="12"/>
                <w:szCs w:val="12"/>
                <w:color w:val="auto"/>
              </w:rPr>
              <w:t>$ 5,199,816</w:t>
            </w:r>
          </w:p>
        </w:tc>
        <w:tc>
          <w:tcPr>
            <w:tcW w:w="860" w:type="dxa"/>
            <w:vAlign w:val="bottom"/>
            <w:tcBorders>
              <w:bottom w:val="single" w:sz="8" w:color="F7F1EC"/>
            </w:tcBorders>
            <w:shd w:val="clear" w:color="auto" w:fill="F7F1EC"/>
          </w:tcPr>
          <w:p>
            <w:pPr>
              <w:jc w:val="right"/>
              <w:ind w:right="140"/>
              <w:spacing w:after="0"/>
              <w:rPr>
                <w:sz w:val="20"/>
                <w:szCs w:val="20"/>
                <w:color w:val="auto"/>
              </w:rPr>
            </w:pPr>
            <w:r>
              <w:rPr>
                <w:rFonts w:ascii="Arial" w:cs="Arial" w:eastAsia="Arial" w:hAnsi="Arial"/>
                <w:sz w:val="12"/>
                <w:szCs w:val="12"/>
                <w:color w:val="auto"/>
              </w:rPr>
              <w:t>$ 4,688,898</w:t>
            </w:r>
          </w:p>
        </w:tc>
        <w:tc>
          <w:tcPr>
            <w:tcW w:w="660" w:type="dxa"/>
            <w:vAlign w:val="bottom"/>
            <w:tcBorders>
              <w:bottom w:val="single" w:sz="8" w:color="F7F1EC"/>
            </w:tcBorders>
            <w:shd w:val="clear" w:color="auto" w:fill="F7F1EC"/>
          </w:tcPr>
          <w:p>
            <w:pPr>
              <w:jc w:val="right"/>
              <w:ind w:right="100"/>
              <w:spacing w:after="0"/>
              <w:rPr>
                <w:sz w:val="20"/>
                <w:szCs w:val="20"/>
                <w:color w:val="auto"/>
              </w:rPr>
            </w:pPr>
            <w:r>
              <w:rPr>
                <w:rFonts w:ascii="Arial" w:cs="Arial" w:eastAsia="Arial" w:hAnsi="Arial"/>
                <w:sz w:val="12"/>
                <w:szCs w:val="12"/>
                <w:color w:val="auto"/>
              </w:rPr>
              <w:t>$ 351</w:t>
            </w:r>
          </w:p>
        </w:tc>
        <w:tc>
          <w:tcPr>
            <w:tcW w:w="600" w:type="dxa"/>
            <w:vAlign w:val="bottom"/>
            <w:tcBorders>
              <w:bottom w:val="single" w:sz="8" w:color="F7F1EC"/>
            </w:tcBorders>
            <w:shd w:val="clear" w:color="auto" w:fill="F7F1EC"/>
          </w:tcPr>
          <w:p>
            <w:pPr>
              <w:jc w:val="right"/>
              <w:ind w:right="100"/>
              <w:spacing w:after="0"/>
              <w:rPr>
                <w:sz w:val="20"/>
                <w:szCs w:val="20"/>
                <w:color w:val="auto"/>
              </w:rPr>
            </w:pPr>
            <w:r>
              <w:rPr>
                <w:rFonts w:ascii="Arial" w:cs="Arial" w:eastAsia="Arial" w:hAnsi="Arial"/>
                <w:sz w:val="12"/>
                <w:szCs w:val="12"/>
                <w:color w:val="auto"/>
              </w:rPr>
              <w:t>$ 204</w:t>
            </w:r>
          </w:p>
        </w:tc>
        <w:tc>
          <w:tcPr>
            <w:tcW w:w="240" w:type="dxa"/>
            <w:vAlign w:val="bottom"/>
            <w:tcBorders>
              <w:bottom w:val="single" w:sz="8" w:color="F7F1EC"/>
            </w:tcBorders>
            <w:shd w:val="clear" w:color="auto" w:fill="F7F1EC"/>
          </w:tcPr>
          <w:p>
            <w:pPr>
              <w:jc w:val="right"/>
              <w:spacing w:after="0"/>
              <w:rPr>
                <w:sz w:val="20"/>
                <w:szCs w:val="20"/>
                <w:color w:val="auto"/>
              </w:rPr>
            </w:pPr>
            <w:r>
              <w:rPr>
                <w:rFonts w:ascii="Arial" w:cs="Arial" w:eastAsia="Arial" w:hAnsi="Arial"/>
                <w:sz w:val="12"/>
                <w:szCs w:val="12"/>
                <w:color w:val="auto"/>
              </w:rPr>
              <w:t>$</w:t>
            </w:r>
          </w:p>
        </w:tc>
        <w:tc>
          <w:tcPr>
            <w:tcW w:w="380" w:type="dxa"/>
            <w:vAlign w:val="bottom"/>
            <w:tcBorders>
              <w:bottom w:val="single" w:sz="8" w:color="F7F1EC"/>
            </w:tcBorders>
            <w:shd w:val="clear" w:color="auto" w:fill="F7F1EC"/>
          </w:tcPr>
          <w:p>
            <w:pPr>
              <w:jc w:val="right"/>
              <w:ind w:right="20"/>
              <w:spacing w:after="0"/>
              <w:rPr>
                <w:sz w:val="20"/>
                <w:szCs w:val="20"/>
                <w:color w:val="auto"/>
              </w:rPr>
            </w:pPr>
            <w:r>
              <w:rPr>
                <w:rFonts w:ascii="Arial" w:cs="Arial" w:eastAsia="Arial" w:hAnsi="Arial"/>
                <w:sz w:val="12"/>
                <w:szCs w:val="12"/>
                <w:color w:val="auto"/>
              </w:rPr>
              <w:t>863</w:t>
            </w:r>
          </w:p>
        </w:tc>
        <w:tc>
          <w:tcPr>
            <w:tcW w:w="480" w:type="dxa"/>
            <w:vAlign w:val="bottom"/>
            <w:tcBorders>
              <w:bottom w:val="single" w:sz="8" w:color="F7F1EC"/>
            </w:tcBorders>
            <w:shd w:val="clear" w:color="auto" w:fill="F7F1EC"/>
          </w:tcPr>
          <w:p>
            <w:pPr>
              <w:jc w:val="right"/>
              <w:spacing w:after="0"/>
              <w:rPr>
                <w:sz w:val="20"/>
                <w:szCs w:val="20"/>
                <w:color w:val="auto"/>
              </w:rPr>
            </w:pPr>
            <w:r>
              <w:rPr>
                <w:rFonts w:ascii="Arial" w:cs="Arial" w:eastAsia="Arial" w:hAnsi="Arial"/>
                <w:sz w:val="12"/>
                <w:szCs w:val="12"/>
                <w:color w:val="auto"/>
              </w:rPr>
              <w:t>$ 2,793</w:t>
            </w:r>
          </w:p>
        </w:tc>
        <w:tc>
          <w:tcPr>
            <w:tcW w:w="0" w:type="dxa"/>
            <w:vAlign w:val="bottom"/>
          </w:tcPr>
          <w:p>
            <w:pPr>
              <w:spacing w:after="0"/>
              <w:rPr>
                <w:sz w:val="1"/>
                <w:szCs w:val="1"/>
                <w:color w:val="auto"/>
              </w:rPr>
            </w:pPr>
          </w:p>
        </w:tc>
      </w:tr>
      <w:tr>
        <w:trPr>
          <w:trHeight w:val="217"/>
        </w:trPr>
        <w:tc>
          <w:tcPr>
            <w:tcW w:w="800" w:type="dxa"/>
            <w:vAlign w:val="bottom"/>
          </w:tcPr>
          <w:p>
            <w:pPr>
              <w:jc w:val="right"/>
              <w:ind w:right="400"/>
              <w:spacing w:after="0"/>
              <w:rPr>
                <w:sz w:val="20"/>
                <w:szCs w:val="20"/>
                <w:color w:val="auto"/>
              </w:rPr>
            </w:pPr>
            <w:r>
              <w:rPr>
                <w:rFonts w:ascii="Arial" w:cs="Arial" w:eastAsia="Arial" w:hAnsi="Arial"/>
                <w:sz w:val="12"/>
                <w:szCs w:val="12"/>
                <w:color w:val="auto"/>
              </w:rPr>
              <w:t>2024</w:t>
            </w: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4,717,883</w:t>
            </w:r>
          </w:p>
        </w:tc>
        <w:tc>
          <w:tcPr>
            <w:tcW w:w="120" w:type="dxa"/>
            <w:vAlign w:val="bottom"/>
          </w:tcPr>
          <w:p>
            <w:pPr>
              <w:jc w:val="right"/>
              <w:spacing w:after="0"/>
              <w:rPr>
                <w:sz w:val="20"/>
                <w:szCs w:val="20"/>
                <w:color w:val="auto"/>
              </w:rPr>
            </w:pPr>
            <w:r>
              <w:rPr>
                <w:rFonts w:ascii="Arial" w:cs="Arial" w:eastAsia="Arial" w:hAnsi="Arial"/>
                <w:sz w:val="12"/>
                <w:szCs w:val="12"/>
                <w:color w:val="auto"/>
              </w:rPr>
              <w:t>$</w:t>
            </w:r>
          </w:p>
        </w:tc>
        <w:tc>
          <w:tcPr>
            <w:tcW w:w="640" w:type="dxa"/>
            <w:vAlign w:val="bottom"/>
          </w:tcPr>
          <w:p>
            <w:pPr>
              <w:jc w:val="right"/>
              <w:spacing w:after="0"/>
              <w:rPr>
                <w:sz w:val="20"/>
                <w:szCs w:val="20"/>
                <w:color w:val="auto"/>
              </w:rPr>
            </w:pPr>
            <w:r>
              <w:rPr>
                <w:rFonts w:ascii="Arial" w:cs="Arial" w:eastAsia="Arial" w:hAnsi="Arial"/>
                <w:sz w:val="12"/>
                <w:szCs w:val="12"/>
                <w:color w:val="auto"/>
              </w:rPr>
              <w:t>7,307,861</w:t>
            </w:r>
          </w:p>
        </w:tc>
        <w:tc>
          <w:tcPr>
            <w:tcW w:w="120" w:type="dxa"/>
            <w:vAlign w:val="bottom"/>
          </w:tcPr>
          <w:p>
            <w:pPr>
              <w:jc w:val="right"/>
              <w:spacing w:after="0"/>
              <w:rPr>
                <w:sz w:val="20"/>
                <w:szCs w:val="20"/>
                <w:color w:val="auto"/>
              </w:rPr>
            </w:pPr>
            <w:r>
              <w:rPr>
                <w:rFonts w:ascii="Arial" w:cs="Arial" w:eastAsia="Arial" w:hAnsi="Arial"/>
                <w:sz w:val="12"/>
                <w:szCs w:val="12"/>
                <w:color w:val="auto"/>
              </w:rPr>
              <w:t>$</w:t>
            </w:r>
          </w:p>
        </w:tc>
        <w:tc>
          <w:tcPr>
            <w:tcW w:w="640" w:type="dxa"/>
            <w:vAlign w:val="bottom"/>
          </w:tcPr>
          <w:p>
            <w:pPr>
              <w:jc w:val="right"/>
              <w:spacing w:after="0"/>
              <w:rPr>
                <w:sz w:val="20"/>
                <w:szCs w:val="20"/>
                <w:color w:val="auto"/>
              </w:rPr>
            </w:pPr>
            <w:r>
              <w:rPr>
                <w:rFonts w:ascii="Arial" w:cs="Arial" w:eastAsia="Arial" w:hAnsi="Arial"/>
                <w:sz w:val="12"/>
                <w:szCs w:val="12"/>
                <w:color w:val="auto"/>
                <w:w w:val="96"/>
              </w:rPr>
              <w:t>26,347,995</w:t>
            </w:r>
          </w:p>
        </w:tc>
        <w:tc>
          <w:tcPr>
            <w:tcW w:w="120" w:type="dxa"/>
            <w:vAlign w:val="bottom"/>
          </w:tcPr>
          <w:p>
            <w:pPr>
              <w:jc w:val="right"/>
              <w:spacing w:after="0"/>
              <w:rPr>
                <w:sz w:val="20"/>
                <w:szCs w:val="20"/>
                <w:color w:val="auto"/>
              </w:rPr>
            </w:pPr>
            <w:r>
              <w:rPr>
                <w:rFonts w:ascii="Arial" w:cs="Arial" w:eastAsia="Arial" w:hAnsi="Arial"/>
                <w:sz w:val="12"/>
                <w:szCs w:val="12"/>
                <w:color w:val="auto"/>
              </w:rPr>
              <w:t>$</w:t>
            </w:r>
          </w:p>
        </w:tc>
        <w:tc>
          <w:tcPr>
            <w:tcW w:w="700" w:type="dxa"/>
            <w:vAlign w:val="bottom"/>
          </w:tcPr>
          <w:p>
            <w:pPr>
              <w:jc w:val="right"/>
              <w:spacing w:after="0"/>
              <w:rPr>
                <w:sz w:val="20"/>
                <w:szCs w:val="20"/>
                <w:color w:val="auto"/>
              </w:rPr>
            </w:pPr>
            <w:r>
              <w:rPr>
                <w:rFonts w:ascii="Arial" w:cs="Arial" w:eastAsia="Arial" w:hAnsi="Arial"/>
                <w:sz w:val="12"/>
                <w:szCs w:val="12"/>
                <w:color w:val="auto"/>
              </w:rPr>
              <w:t>(4,697,749)</w:t>
            </w:r>
          </w:p>
        </w:tc>
        <w:tc>
          <w:tcPr>
            <w:tcW w:w="700" w:type="dxa"/>
            <w:vAlign w:val="bottom"/>
          </w:tcPr>
          <w:p>
            <w:pPr>
              <w:jc w:val="right"/>
              <w:spacing w:after="0"/>
              <w:rPr>
                <w:sz w:val="20"/>
                <w:szCs w:val="20"/>
                <w:color w:val="auto"/>
              </w:rPr>
            </w:pPr>
            <w:r>
              <w:rPr>
                <w:rFonts w:ascii="Arial" w:cs="Arial" w:eastAsia="Arial" w:hAnsi="Arial"/>
                <w:sz w:val="12"/>
                <w:szCs w:val="12"/>
                <w:color w:val="auto"/>
              </w:rPr>
              <w:t>$ 3,525,515</w:t>
            </w:r>
          </w:p>
        </w:tc>
        <w:tc>
          <w:tcPr>
            <w:tcW w:w="860" w:type="dxa"/>
            <w:vAlign w:val="bottom"/>
          </w:tcPr>
          <w:p>
            <w:pPr>
              <w:jc w:val="right"/>
              <w:ind w:right="140"/>
              <w:spacing w:after="0"/>
              <w:rPr>
                <w:sz w:val="20"/>
                <w:szCs w:val="20"/>
                <w:color w:val="auto"/>
              </w:rPr>
            </w:pPr>
            <w:r>
              <w:rPr>
                <w:rFonts w:ascii="Arial" w:cs="Arial" w:eastAsia="Arial" w:hAnsi="Arial"/>
                <w:sz w:val="12"/>
                <w:szCs w:val="12"/>
                <w:color w:val="auto"/>
              </w:rPr>
              <w:t>$ 5,178,086</w:t>
            </w:r>
          </w:p>
        </w:tc>
        <w:tc>
          <w:tcPr>
            <w:tcW w:w="660" w:type="dxa"/>
            <w:vAlign w:val="bottom"/>
          </w:tcPr>
          <w:p>
            <w:pPr>
              <w:jc w:val="right"/>
              <w:ind w:right="100"/>
              <w:spacing w:after="0"/>
              <w:rPr>
                <w:sz w:val="20"/>
                <w:szCs w:val="20"/>
                <w:color w:val="auto"/>
              </w:rPr>
            </w:pPr>
            <w:r>
              <w:rPr>
                <w:rFonts w:ascii="Arial" w:cs="Arial" w:eastAsia="Arial" w:hAnsi="Arial"/>
                <w:sz w:val="12"/>
                <w:szCs w:val="12"/>
                <w:color w:val="auto"/>
              </w:rPr>
              <w:t>$ 320</w:t>
            </w:r>
          </w:p>
        </w:tc>
        <w:tc>
          <w:tcPr>
            <w:tcW w:w="600" w:type="dxa"/>
            <w:vAlign w:val="bottom"/>
          </w:tcPr>
          <w:p>
            <w:pPr>
              <w:jc w:val="right"/>
              <w:ind w:right="100"/>
              <w:spacing w:after="0"/>
              <w:rPr>
                <w:sz w:val="20"/>
                <w:szCs w:val="20"/>
                <w:color w:val="auto"/>
              </w:rPr>
            </w:pPr>
            <w:r>
              <w:rPr>
                <w:rFonts w:ascii="Arial" w:cs="Arial" w:eastAsia="Arial" w:hAnsi="Arial"/>
                <w:sz w:val="12"/>
                <w:szCs w:val="12"/>
                <w:color w:val="auto"/>
              </w:rPr>
              <w:t>$ 177</w:t>
            </w:r>
          </w:p>
        </w:tc>
        <w:tc>
          <w:tcPr>
            <w:tcW w:w="240" w:type="dxa"/>
            <w:vAlign w:val="bottom"/>
          </w:tcPr>
          <w:p>
            <w:pPr>
              <w:jc w:val="right"/>
              <w:spacing w:after="0"/>
              <w:rPr>
                <w:sz w:val="20"/>
                <w:szCs w:val="20"/>
                <w:color w:val="auto"/>
              </w:rPr>
            </w:pPr>
            <w:r>
              <w:rPr>
                <w:rFonts w:ascii="Arial" w:cs="Arial" w:eastAsia="Arial" w:hAnsi="Arial"/>
                <w:sz w:val="12"/>
                <w:szCs w:val="12"/>
                <w:color w:val="auto"/>
              </w:rPr>
              <w:t>$</w:t>
            </w:r>
          </w:p>
        </w:tc>
        <w:tc>
          <w:tcPr>
            <w:tcW w:w="380" w:type="dxa"/>
            <w:vAlign w:val="bottom"/>
          </w:tcPr>
          <w:p>
            <w:pPr>
              <w:jc w:val="right"/>
              <w:ind w:right="20"/>
              <w:spacing w:after="0"/>
              <w:rPr>
                <w:sz w:val="20"/>
                <w:szCs w:val="20"/>
                <w:color w:val="auto"/>
              </w:rPr>
            </w:pPr>
            <w:r>
              <w:rPr>
                <w:rFonts w:ascii="Arial" w:cs="Arial" w:eastAsia="Arial" w:hAnsi="Arial"/>
                <w:sz w:val="12"/>
                <w:szCs w:val="12"/>
                <w:color w:val="auto"/>
                <w:w w:val="93"/>
              </w:rPr>
              <w:t>1,059</w:t>
            </w:r>
          </w:p>
        </w:tc>
        <w:tc>
          <w:tcPr>
            <w:tcW w:w="480" w:type="dxa"/>
            <w:vAlign w:val="bottom"/>
          </w:tcPr>
          <w:p>
            <w:pPr>
              <w:jc w:val="right"/>
              <w:spacing w:after="0"/>
              <w:rPr>
                <w:sz w:val="20"/>
                <w:szCs w:val="20"/>
                <w:color w:val="auto"/>
              </w:rPr>
            </w:pPr>
            <w:r>
              <w:rPr>
                <w:rFonts w:ascii="Arial" w:cs="Arial" w:eastAsia="Arial" w:hAnsi="Arial"/>
                <w:sz w:val="12"/>
                <w:szCs w:val="12"/>
                <w:color w:val="auto"/>
              </w:rPr>
              <w:t>$ 2,305</w:t>
            </w:r>
          </w:p>
        </w:tc>
        <w:tc>
          <w:tcPr>
            <w:tcW w:w="0" w:type="dxa"/>
            <w:vAlign w:val="bottom"/>
          </w:tcPr>
          <w:p>
            <w:pPr>
              <w:spacing w:after="0"/>
              <w:rPr>
                <w:sz w:val="1"/>
                <w:szCs w:val="1"/>
                <w:color w:val="auto"/>
              </w:rPr>
            </w:pPr>
          </w:p>
        </w:tc>
      </w:tr>
      <w:tr>
        <w:trPr>
          <w:trHeight w:val="39"/>
        </w:trPr>
        <w:tc>
          <w:tcPr>
            <w:tcW w:w="800" w:type="dxa"/>
            <w:vAlign w:val="bottom"/>
          </w:tcPr>
          <w:p>
            <w:pPr>
              <w:spacing w:after="0"/>
              <w:rPr>
                <w:sz w:val="3"/>
                <w:szCs w:val="3"/>
                <w:color w:val="auto"/>
              </w:rPr>
            </w:pPr>
          </w:p>
        </w:tc>
        <w:tc>
          <w:tcPr>
            <w:tcW w:w="1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40" w:type="dxa"/>
            <w:vAlign w:val="bottom"/>
          </w:tcPr>
          <w:p>
            <w:pPr>
              <w:spacing w:after="0"/>
              <w:rPr>
                <w:sz w:val="3"/>
                <w:szCs w:val="3"/>
                <w:color w:val="auto"/>
              </w:rPr>
            </w:pPr>
          </w:p>
        </w:tc>
        <w:tc>
          <w:tcPr>
            <w:tcW w:w="380" w:type="dxa"/>
            <w:vAlign w:val="bottom"/>
          </w:tcPr>
          <w:p>
            <w:pPr>
              <w:spacing w:after="0"/>
              <w:rPr>
                <w:sz w:val="3"/>
                <w:szCs w:val="3"/>
                <w:color w:val="auto"/>
              </w:rPr>
            </w:pPr>
          </w:p>
        </w:tc>
        <w:tc>
          <w:tcPr>
            <w:tcW w:w="4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77"/>
        </w:trPr>
        <w:tc>
          <w:tcPr>
            <w:tcW w:w="800" w:type="dxa"/>
            <w:vAlign w:val="bottom"/>
            <w:vMerge w:val="restart"/>
            <w:shd w:val="clear" w:color="auto" w:fill="F7F1EC"/>
          </w:tcPr>
          <w:p>
            <w:pPr>
              <w:jc w:val="right"/>
              <w:ind w:right="400"/>
              <w:spacing w:after="0"/>
              <w:rPr>
                <w:sz w:val="20"/>
                <w:szCs w:val="20"/>
                <w:color w:val="auto"/>
              </w:rPr>
            </w:pPr>
            <w:r>
              <w:rPr>
                <w:rFonts w:ascii="Arial" w:cs="Arial" w:eastAsia="Arial" w:hAnsi="Arial"/>
                <w:sz w:val="12"/>
                <w:szCs w:val="12"/>
                <w:color w:val="auto"/>
              </w:rPr>
              <w:t>2023</w:t>
            </w:r>
          </w:p>
        </w:tc>
        <w:tc>
          <w:tcPr>
            <w:tcW w:w="160" w:type="dxa"/>
            <w:vAlign w:val="bottom"/>
            <w:vMerge w:val="restart"/>
            <w:shd w:val="clear" w:color="auto" w:fill="F7F1EC"/>
          </w:tcPr>
          <w:p>
            <w:pPr>
              <w:jc w:val="right"/>
              <w:spacing w:after="0"/>
              <w:rPr>
                <w:sz w:val="20"/>
                <w:szCs w:val="20"/>
                <w:color w:val="auto"/>
              </w:rPr>
            </w:pPr>
            <w:r>
              <w:rPr>
                <w:rFonts w:ascii="Arial" w:cs="Arial" w:eastAsia="Arial" w:hAnsi="Arial"/>
                <w:sz w:val="12"/>
                <w:szCs w:val="12"/>
                <w:color w:val="auto"/>
              </w:rPr>
              <w:t>$</w:t>
            </w:r>
          </w:p>
        </w:tc>
        <w:tc>
          <w:tcPr>
            <w:tcW w:w="660" w:type="dxa"/>
            <w:vAlign w:val="bottom"/>
            <w:vMerge w:val="restart"/>
            <w:shd w:val="clear" w:color="auto" w:fill="F7F1EC"/>
          </w:tcPr>
          <w:p>
            <w:pPr>
              <w:jc w:val="right"/>
              <w:spacing w:after="0"/>
              <w:rPr>
                <w:sz w:val="20"/>
                <w:szCs w:val="20"/>
                <w:color w:val="auto"/>
              </w:rPr>
            </w:pPr>
            <w:r>
              <w:rPr>
                <w:rFonts w:ascii="Arial" w:cs="Arial" w:eastAsia="Arial" w:hAnsi="Arial"/>
                <w:sz w:val="12"/>
                <w:szCs w:val="12"/>
                <w:color w:val="auto"/>
              </w:rPr>
              <w:t>—</w:t>
            </w:r>
          </w:p>
        </w:tc>
        <w:tc>
          <w:tcPr>
            <w:tcW w:w="120" w:type="dxa"/>
            <w:vAlign w:val="bottom"/>
            <w:vMerge w:val="restart"/>
            <w:shd w:val="clear" w:color="auto" w:fill="F7F1EC"/>
          </w:tcPr>
          <w:p>
            <w:pPr>
              <w:jc w:val="right"/>
              <w:spacing w:after="0"/>
              <w:rPr>
                <w:sz w:val="20"/>
                <w:szCs w:val="20"/>
                <w:color w:val="auto"/>
              </w:rPr>
            </w:pPr>
            <w:r>
              <w:rPr>
                <w:rFonts w:ascii="Arial" w:cs="Arial" w:eastAsia="Arial" w:hAnsi="Arial"/>
                <w:sz w:val="12"/>
                <w:szCs w:val="12"/>
                <w:color w:val="auto"/>
              </w:rPr>
              <w:t>$</w:t>
            </w:r>
          </w:p>
        </w:tc>
        <w:tc>
          <w:tcPr>
            <w:tcW w:w="640" w:type="dxa"/>
            <w:vAlign w:val="bottom"/>
            <w:vMerge w:val="restart"/>
            <w:shd w:val="clear" w:color="auto" w:fill="F7F1EC"/>
          </w:tcPr>
          <w:p>
            <w:pPr>
              <w:jc w:val="right"/>
              <w:spacing w:after="0"/>
              <w:rPr>
                <w:sz w:val="20"/>
                <w:szCs w:val="20"/>
                <w:color w:val="auto"/>
              </w:rPr>
            </w:pPr>
            <w:r>
              <w:rPr>
                <w:rFonts w:ascii="Arial" w:cs="Arial" w:eastAsia="Arial" w:hAnsi="Arial"/>
                <w:sz w:val="12"/>
                <w:szCs w:val="12"/>
                <w:color w:val="auto"/>
              </w:rPr>
              <w:t>—</w:t>
            </w:r>
          </w:p>
        </w:tc>
        <w:tc>
          <w:tcPr>
            <w:tcW w:w="120" w:type="dxa"/>
            <w:vAlign w:val="bottom"/>
            <w:vMerge w:val="restart"/>
            <w:shd w:val="clear" w:color="auto" w:fill="F7F1EC"/>
          </w:tcPr>
          <w:p>
            <w:pPr>
              <w:jc w:val="right"/>
              <w:spacing w:after="0"/>
              <w:rPr>
                <w:sz w:val="20"/>
                <w:szCs w:val="20"/>
                <w:color w:val="auto"/>
              </w:rPr>
            </w:pPr>
            <w:r>
              <w:rPr>
                <w:rFonts w:ascii="Arial" w:cs="Arial" w:eastAsia="Arial" w:hAnsi="Arial"/>
                <w:sz w:val="12"/>
                <w:szCs w:val="12"/>
                <w:color w:val="auto"/>
              </w:rPr>
              <w:t>$</w:t>
            </w:r>
          </w:p>
        </w:tc>
        <w:tc>
          <w:tcPr>
            <w:tcW w:w="640" w:type="dxa"/>
            <w:vAlign w:val="bottom"/>
            <w:vMerge w:val="restart"/>
            <w:shd w:val="clear" w:color="auto" w:fill="F7F1EC"/>
          </w:tcPr>
          <w:p>
            <w:pPr>
              <w:jc w:val="right"/>
              <w:spacing w:after="0"/>
              <w:rPr>
                <w:sz w:val="20"/>
                <w:szCs w:val="20"/>
                <w:color w:val="auto"/>
              </w:rPr>
            </w:pPr>
            <w:r>
              <w:rPr>
                <w:rFonts w:ascii="Arial" w:cs="Arial" w:eastAsia="Arial" w:hAnsi="Arial"/>
                <w:sz w:val="12"/>
                <w:szCs w:val="12"/>
                <w:color w:val="auto"/>
                <w:w w:val="96"/>
              </w:rPr>
              <w:t>16,937,790</w:t>
            </w:r>
          </w:p>
        </w:tc>
        <w:tc>
          <w:tcPr>
            <w:tcW w:w="120" w:type="dxa"/>
            <w:vAlign w:val="bottom"/>
            <w:vMerge w:val="restart"/>
            <w:shd w:val="clear" w:color="auto" w:fill="F7F1EC"/>
          </w:tcPr>
          <w:p>
            <w:pPr>
              <w:jc w:val="right"/>
              <w:spacing w:after="0"/>
              <w:rPr>
                <w:sz w:val="20"/>
                <w:szCs w:val="20"/>
                <w:color w:val="auto"/>
              </w:rPr>
            </w:pPr>
            <w:r>
              <w:rPr>
                <w:rFonts w:ascii="Arial" w:cs="Arial" w:eastAsia="Arial" w:hAnsi="Arial"/>
                <w:sz w:val="12"/>
                <w:szCs w:val="12"/>
                <w:color w:val="auto"/>
              </w:rPr>
              <w:t>$</w:t>
            </w:r>
          </w:p>
        </w:tc>
        <w:tc>
          <w:tcPr>
            <w:tcW w:w="700" w:type="dxa"/>
            <w:vAlign w:val="bottom"/>
            <w:vMerge w:val="restart"/>
            <w:shd w:val="clear" w:color="auto" w:fill="F7F1EC"/>
          </w:tcPr>
          <w:p>
            <w:pPr>
              <w:jc w:val="right"/>
              <w:ind w:right="40"/>
              <w:spacing w:after="0"/>
              <w:rPr>
                <w:sz w:val="20"/>
                <w:szCs w:val="20"/>
                <w:color w:val="auto"/>
              </w:rPr>
            </w:pPr>
            <w:r>
              <w:rPr>
                <w:rFonts w:ascii="Arial" w:cs="Arial" w:eastAsia="Arial" w:hAnsi="Arial"/>
                <w:sz w:val="12"/>
                <w:szCs w:val="12"/>
                <w:color w:val="auto"/>
                <w:w w:val="96"/>
              </w:rPr>
              <w:t>18,786,197</w:t>
            </w:r>
          </w:p>
        </w:tc>
        <w:tc>
          <w:tcPr>
            <w:tcW w:w="700" w:type="dxa"/>
            <w:vAlign w:val="bottom"/>
            <w:vMerge w:val="restart"/>
            <w:shd w:val="clear" w:color="auto" w:fill="F7F1EC"/>
          </w:tcPr>
          <w:p>
            <w:pPr>
              <w:jc w:val="right"/>
              <w:spacing w:after="0"/>
              <w:rPr>
                <w:sz w:val="20"/>
                <w:szCs w:val="20"/>
                <w:color w:val="auto"/>
              </w:rPr>
            </w:pPr>
            <w:r>
              <w:rPr>
                <w:rFonts w:ascii="Arial" w:cs="Arial" w:eastAsia="Arial" w:hAnsi="Arial"/>
                <w:sz w:val="12"/>
                <w:szCs w:val="12"/>
                <w:color w:val="auto"/>
              </w:rPr>
              <w:t>$ 3,242,815</w:t>
            </w:r>
          </w:p>
        </w:tc>
        <w:tc>
          <w:tcPr>
            <w:tcW w:w="860" w:type="dxa"/>
            <w:vAlign w:val="bottom"/>
            <w:vMerge w:val="restart"/>
            <w:shd w:val="clear" w:color="auto" w:fill="F7F1EC"/>
          </w:tcPr>
          <w:p>
            <w:pPr>
              <w:jc w:val="right"/>
              <w:ind w:right="140"/>
              <w:spacing w:after="0"/>
              <w:rPr>
                <w:sz w:val="20"/>
                <w:szCs w:val="20"/>
                <w:color w:val="auto"/>
              </w:rPr>
            </w:pPr>
            <w:r>
              <w:rPr>
                <w:rFonts w:ascii="Arial" w:cs="Arial" w:eastAsia="Arial" w:hAnsi="Arial"/>
                <w:sz w:val="12"/>
                <w:szCs w:val="12"/>
                <w:color w:val="auto"/>
              </w:rPr>
              <w:t>$ 3,697,130</w:t>
            </w:r>
          </w:p>
        </w:tc>
        <w:tc>
          <w:tcPr>
            <w:tcW w:w="660" w:type="dxa"/>
            <w:vAlign w:val="bottom"/>
            <w:vMerge w:val="restart"/>
            <w:shd w:val="clear" w:color="auto" w:fill="F7F1EC"/>
          </w:tcPr>
          <w:p>
            <w:pPr>
              <w:jc w:val="right"/>
              <w:ind w:right="100"/>
              <w:spacing w:after="0"/>
              <w:rPr>
                <w:sz w:val="20"/>
                <w:szCs w:val="20"/>
                <w:color w:val="auto"/>
              </w:rPr>
            </w:pPr>
            <w:r>
              <w:rPr>
                <w:rFonts w:ascii="Arial" w:cs="Arial" w:eastAsia="Arial" w:hAnsi="Arial"/>
                <w:sz w:val="12"/>
                <w:szCs w:val="12"/>
                <w:color w:val="auto"/>
              </w:rPr>
              <w:t>$ 222</w:t>
            </w:r>
          </w:p>
        </w:tc>
        <w:tc>
          <w:tcPr>
            <w:tcW w:w="600" w:type="dxa"/>
            <w:vAlign w:val="bottom"/>
            <w:vMerge w:val="restart"/>
            <w:shd w:val="clear" w:color="auto" w:fill="F7F1EC"/>
          </w:tcPr>
          <w:p>
            <w:pPr>
              <w:jc w:val="right"/>
              <w:ind w:right="100"/>
              <w:spacing w:after="0"/>
              <w:rPr>
                <w:sz w:val="20"/>
                <w:szCs w:val="20"/>
                <w:color w:val="auto"/>
              </w:rPr>
            </w:pPr>
            <w:r>
              <w:rPr>
                <w:rFonts w:ascii="Arial" w:cs="Arial" w:eastAsia="Arial" w:hAnsi="Arial"/>
                <w:sz w:val="12"/>
                <w:szCs w:val="12"/>
                <w:color w:val="auto"/>
              </w:rPr>
              <w:t>$ 136</w:t>
            </w:r>
          </w:p>
        </w:tc>
        <w:tc>
          <w:tcPr>
            <w:tcW w:w="240" w:type="dxa"/>
            <w:vAlign w:val="bottom"/>
            <w:vMerge w:val="restart"/>
            <w:shd w:val="clear" w:color="auto" w:fill="F7F1EC"/>
          </w:tcPr>
          <w:p>
            <w:pPr>
              <w:jc w:val="right"/>
              <w:spacing w:after="0"/>
              <w:rPr>
                <w:sz w:val="20"/>
                <w:szCs w:val="20"/>
                <w:color w:val="auto"/>
              </w:rPr>
            </w:pPr>
            <w:r>
              <w:rPr>
                <w:rFonts w:ascii="Arial" w:cs="Arial" w:eastAsia="Arial" w:hAnsi="Arial"/>
                <w:sz w:val="12"/>
                <w:szCs w:val="12"/>
                <w:color w:val="auto"/>
              </w:rPr>
              <w:t>$</w:t>
            </w:r>
          </w:p>
        </w:tc>
        <w:tc>
          <w:tcPr>
            <w:tcW w:w="380" w:type="dxa"/>
            <w:vAlign w:val="bottom"/>
            <w:vMerge w:val="restart"/>
            <w:shd w:val="clear" w:color="auto" w:fill="F7F1EC"/>
          </w:tcPr>
          <w:p>
            <w:pPr>
              <w:jc w:val="right"/>
              <w:ind w:right="20"/>
              <w:spacing w:after="0"/>
              <w:rPr>
                <w:sz w:val="20"/>
                <w:szCs w:val="20"/>
                <w:color w:val="auto"/>
              </w:rPr>
            </w:pPr>
            <w:r>
              <w:rPr>
                <w:rFonts w:ascii="Arial" w:cs="Arial" w:eastAsia="Arial" w:hAnsi="Arial"/>
                <w:sz w:val="12"/>
                <w:szCs w:val="12"/>
                <w:color w:val="auto"/>
                <w:w w:val="93"/>
              </w:rPr>
              <w:t>1,066</w:t>
            </w:r>
          </w:p>
        </w:tc>
        <w:tc>
          <w:tcPr>
            <w:tcW w:w="480" w:type="dxa"/>
            <w:vAlign w:val="bottom"/>
            <w:shd w:val="clear" w:color="auto" w:fill="F7F1EC"/>
          </w:tcPr>
          <w:p>
            <w:pPr>
              <w:spacing w:after="0"/>
              <w:rPr>
                <w:sz w:val="6"/>
                <w:szCs w:val="6"/>
                <w:color w:val="auto"/>
              </w:rPr>
            </w:pPr>
          </w:p>
        </w:tc>
        <w:tc>
          <w:tcPr>
            <w:tcW w:w="0" w:type="dxa"/>
            <w:vAlign w:val="bottom"/>
          </w:tcPr>
          <w:p>
            <w:pPr>
              <w:spacing w:after="0"/>
              <w:rPr>
                <w:sz w:val="1"/>
                <w:szCs w:val="1"/>
                <w:color w:val="auto"/>
              </w:rPr>
            </w:pPr>
          </w:p>
        </w:tc>
      </w:tr>
      <w:tr>
        <w:trPr>
          <w:trHeight w:val="159"/>
        </w:trPr>
        <w:tc>
          <w:tcPr>
            <w:tcW w:w="800" w:type="dxa"/>
            <w:vAlign w:val="bottom"/>
            <w:tcBorders>
              <w:bottom w:val="single" w:sz="8" w:color="F7F1EC"/>
            </w:tcBorders>
            <w:vMerge w:val="continue"/>
            <w:shd w:val="clear" w:color="auto" w:fill="F7F1EC"/>
          </w:tcPr>
          <w:p>
            <w:pPr>
              <w:spacing w:after="0"/>
              <w:rPr>
                <w:sz w:val="13"/>
                <w:szCs w:val="13"/>
                <w:color w:val="auto"/>
              </w:rPr>
            </w:pPr>
          </w:p>
        </w:tc>
        <w:tc>
          <w:tcPr>
            <w:tcW w:w="160" w:type="dxa"/>
            <w:vAlign w:val="bottom"/>
            <w:tcBorders>
              <w:bottom w:val="single" w:sz="8" w:color="F7F1EC"/>
            </w:tcBorders>
            <w:vMerge w:val="continue"/>
            <w:shd w:val="clear" w:color="auto" w:fill="F7F1EC"/>
          </w:tcPr>
          <w:p>
            <w:pPr>
              <w:spacing w:after="0"/>
              <w:rPr>
                <w:sz w:val="13"/>
                <w:szCs w:val="13"/>
                <w:color w:val="auto"/>
              </w:rPr>
            </w:pPr>
          </w:p>
        </w:tc>
        <w:tc>
          <w:tcPr>
            <w:tcW w:w="660" w:type="dxa"/>
            <w:vAlign w:val="bottom"/>
            <w:tcBorders>
              <w:bottom w:val="single" w:sz="8" w:color="F7F1EC"/>
            </w:tcBorders>
            <w:vMerge w:val="continue"/>
            <w:shd w:val="clear" w:color="auto" w:fill="F7F1EC"/>
          </w:tcPr>
          <w:p>
            <w:pPr>
              <w:spacing w:after="0"/>
              <w:rPr>
                <w:sz w:val="13"/>
                <w:szCs w:val="13"/>
                <w:color w:val="auto"/>
              </w:rPr>
            </w:pPr>
          </w:p>
        </w:tc>
        <w:tc>
          <w:tcPr>
            <w:tcW w:w="120" w:type="dxa"/>
            <w:vAlign w:val="bottom"/>
            <w:tcBorders>
              <w:bottom w:val="single" w:sz="8" w:color="F7F1EC"/>
            </w:tcBorders>
            <w:vMerge w:val="continue"/>
            <w:shd w:val="clear" w:color="auto" w:fill="F7F1EC"/>
          </w:tcPr>
          <w:p>
            <w:pPr>
              <w:spacing w:after="0"/>
              <w:rPr>
                <w:sz w:val="13"/>
                <w:szCs w:val="13"/>
                <w:color w:val="auto"/>
              </w:rPr>
            </w:pPr>
          </w:p>
        </w:tc>
        <w:tc>
          <w:tcPr>
            <w:tcW w:w="640" w:type="dxa"/>
            <w:vAlign w:val="bottom"/>
            <w:tcBorders>
              <w:bottom w:val="single" w:sz="8" w:color="F7F1EC"/>
            </w:tcBorders>
            <w:vMerge w:val="continue"/>
            <w:shd w:val="clear" w:color="auto" w:fill="F7F1EC"/>
          </w:tcPr>
          <w:p>
            <w:pPr>
              <w:spacing w:after="0"/>
              <w:rPr>
                <w:sz w:val="13"/>
                <w:szCs w:val="13"/>
                <w:color w:val="auto"/>
              </w:rPr>
            </w:pPr>
          </w:p>
        </w:tc>
        <w:tc>
          <w:tcPr>
            <w:tcW w:w="120" w:type="dxa"/>
            <w:vAlign w:val="bottom"/>
            <w:tcBorders>
              <w:bottom w:val="single" w:sz="8" w:color="F7F1EC"/>
            </w:tcBorders>
            <w:vMerge w:val="continue"/>
            <w:shd w:val="clear" w:color="auto" w:fill="F7F1EC"/>
          </w:tcPr>
          <w:p>
            <w:pPr>
              <w:spacing w:after="0"/>
              <w:rPr>
                <w:sz w:val="13"/>
                <w:szCs w:val="13"/>
                <w:color w:val="auto"/>
              </w:rPr>
            </w:pPr>
          </w:p>
        </w:tc>
        <w:tc>
          <w:tcPr>
            <w:tcW w:w="640" w:type="dxa"/>
            <w:vAlign w:val="bottom"/>
            <w:tcBorders>
              <w:bottom w:val="single" w:sz="8" w:color="F7F1EC"/>
            </w:tcBorders>
            <w:vMerge w:val="continue"/>
            <w:shd w:val="clear" w:color="auto" w:fill="F7F1EC"/>
          </w:tcPr>
          <w:p>
            <w:pPr>
              <w:spacing w:after="0"/>
              <w:rPr>
                <w:sz w:val="13"/>
                <w:szCs w:val="13"/>
                <w:color w:val="auto"/>
              </w:rPr>
            </w:pPr>
          </w:p>
        </w:tc>
        <w:tc>
          <w:tcPr>
            <w:tcW w:w="120" w:type="dxa"/>
            <w:vAlign w:val="bottom"/>
            <w:tcBorders>
              <w:bottom w:val="single" w:sz="8" w:color="F7F1EC"/>
            </w:tcBorders>
            <w:vMerge w:val="continue"/>
            <w:shd w:val="clear" w:color="auto" w:fill="F7F1EC"/>
          </w:tcPr>
          <w:p>
            <w:pPr>
              <w:spacing w:after="0"/>
              <w:rPr>
                <w:sz w:val="13"/>
                <w:szCs w:val="13"/>
                <w:color w:val="auto"/>
              </w:rPr>
            </w:pPr>
          </w:p>
        </w:tc>
        <w:tc>
          <w:tcPr>
            <w:tcW w:w="700" w:type="dxa"/>
            <w:vAlign w:val="bottom"/>
            <w:tcBorders>
              <w:bottom w:val="single" w:sz="8" w:color="F7F1EC"/>
            </w:tcBorders>
            <w:vMerge w:val="continue"/>
            <w:shd w:val="clear" w:color="auto" w:fill="F7F1EC"/>
          </w:tcPr>
          <w:p>
            <w:pPr>
              <w:spacing w:after="0"/>
              <w:rPr>
                <w:sz w:val="13"/>
                <w:szCs w:val="13"/>
                <w:color w:val="auto"/>
              </w:rPr>
            </w:pPr>
          </w:p>
        </w:tc>
        <w:tc>
          <w:tcPr>
            <w:tcW w:w="700" w:type="dxa"/>
            <w:vAlign w:val="bottom"/>
            <w:tcBorders>
              <w:bottom w:val="single" w:sz="8" w:color="F7F1EC"/>
            </w:tcBorders>
            <w:vMerge w:val="continue"/>
            <w:shd w:val="clear" w:color="auto" w:fill="F7F1EC"/>
          </w:tcPr>
          <w:p>
            <w:pPr>
              <w:spacing w:after="0"/>
              <w:rPr>
                <w:sz w:val="13"/>
                <w:szCs w:val="13"/>
                <w:color w:val="auto"/>
              </w:rPr>
            </w:pPr>
          </w:p>
        </w:tc>
        <w:tc>
          <w:tcPr>
            <w:tcW w:w="860" w:type="dxa"/>
            <w:vAlign w:val="bottom"/>
            <w:tcBorders>
              <w:bottom w:val="single" w:sz="8" w:color="F7F1EC"/>
            </w:tcBorders>
            <w:vMerge w:val="continue"/>
            <w:shd w:val="clear" w:color="auto" w:fill="F7F1EC"/>
          </w:tcPr>
          <w:p>
            <w:pPr>
              <w:spacing w:after="0"/>
              <w:rPr>
                <w:sz w:val="13"/>
                <w:szCs w:val="13"/>
                <w:color w:val="auto"/>
              </w:rPr>
            </w:pPr>
          </w:p>
        </w:tc>
        <w:tc>
          <w:tcPr>
            <w:tcW w:w="660" w:type="dxa"/>
            <w:vAlign w:val="bottom"/>
            <w:tcBorders>
              <w:bottom w:val="single" w:sz="8" w:color="F7F1EC"/>
            </w:tcBorders>
            <w:vMerge w:val="continue"/>
            <w:shd w:val="clear" w:color="auto" w:fill="F7F1EC"/>
          </w:tcPr>
          <w:p>
            <w:pPr>
              <w:spacing w:after="0"/>
              <w:rPr>
                <w:sz w:val="13"/>
                <w:szCs w:val="13"/>
                <w:color w:val="auto"/>
              </w:rPr>
            </w:pPr>
          </w:p>
        </w:tc>
        <w:tc>
          <w:tcPr>
            <w:tcW w:w="600" w:type="dxa"/>
            <w:vAlign w:val="bottom"/>
            <w:tcBorders>
              <w:bottom w:val="single" w:sz="8" w:color="F7F1EC"/>
            </w:tcBorders>
            <w:vMerge w:val="continue"/>
            <w:shd w:val="clear" w:color="auto" w:fill="F7F1EC"/>
          </w:tcPr>
          <w:p>
            <w:pPr>
              <w:spacing w:after="0"/>
              <w:rPr>
                <w:sz w:val="13"/>
                <w:szCs w:val="13"/>
                <w:color w:val="auto"/>
              </w:rPr>
            </w:pPr>
          </w:p>
        </w:tc>
        <w:tc>
          <w:tcPr>
            <w:tcW w:w="240" w:type="dxa"/>
            <w:vAlign w:val="bottom"/>
            <w:tcBorders>
              <w:bottom w:val="single" w:sz="8" w:color="F7F1EC"/>
            </w:tcBorders>
            <w:vMerge w:val="continue"/>
            <w:shd w:val="clear" w:color="auto" w:fill="F7F1EC"/>
          </w:tcPr>
          <w:p>
            <w:pPr>
              <w:spacing w:after="0"/>
              <w:rPr>
                <w:sz w:val="13"/>
                <w:szCs w:val="13"/>
                <w:color w:val="auto"/>
              </w:rPr>
            </w:pPr>
          </w:p>
        </w:tc>
        <w:tc>
          <w:tcPr>
            <w:tcW w:w="380" w:type="dxa"/>
            <w:vAlign w:val="bottom"/>
            <w:tcBorders>
              <w:bottom w:val="single" w:sz="8" w:color="F7F1EC"/>
            </w:tcBorders>
            <w:vMerge w:val="continue"/>
            <w:shd w:val="clear" w:color="auto" w:fill="F7F1EC"/>
          </w:tcPr>
          <w:p>
            <w:pPr>
              <w:spacing w:after="0"/>
              <w:rPr>
                <w:sz w:val="13"/>
                <w:szCs w:val="13"/>
                <w:color w:val="auto"/>
              </w:rPr>
            </w:pPr>
          </w:p>
        </w:tc>
        <w:tc>
          <w:tcPr>
            <w:tcW w:w="480" w:type="dxa"/>
            <w:vAlign w:val="bottom"/>
            <w:tcBorders>
              <w:bottom w:val="single" w:sz="8" w:color="F7F1EC"/>
            </w:tcBorders>
            <w:shd w:val="clear" w:color="auto" w:fill="F7F1EC"/>
          </w:tcPr>
          <w:p>
            <w:pPr>
              <w:jc w:val="right"/>
              <w:spacing w:after="0"/>
              <w:rPr>
                <w:sz w:val="20"/>
                <w:szCs w:val="20"/>
                <w:color w:val="auto"/>
              </w:rPr>
            </w:pPr>
            <w:r>
              <w:rPr>
                <w:rFonts w:ascii="Arial" w:cs="Arial" w:eastAsia="Arial" w:hAnsi="Arial"/>
                <w:sz w:val="12"/>
                <w:szCs w:val="12"/>
                <w:color w:val="auto"/>
              </w:rPr>
              <w:t>$ 2,170</w:t>
            </w:r>
          </w:p>
        </w:tc>
        <w:tc>
          <w:tcPr>
            <w:tcW w:w="0" w:type="dxa"/>
            <w:vAlign w:val="bottom"/>
          </w:tcPr>
          <w:p>
            <w:pPr>
              <w:spacing w:after="0"/>
              <w:rPr>
                <w:sz w:val="1"/>
                <w:szCs w:val="1"/>
                <w:color w:val="auto"/>
              </w:rPr>
            </w:pPr>
          </w:p>
        </w:tc>
      </w:tr>
      <w:tr>
        <w:trPr>
          <w:trHeight w:val="217"/>
        </w:trPr>
        <w:tc>
          <w:tcPr>
            <w:tcW w:w="800" w:type="dxa"/>
            <w:vAlign w:val="bottom"/>
          </w:tcPr>
          <w:p>
            <w:pPr>
              <w:jc w:val="right"/>
              <w:ind w:right="400"/>
              <w:spacing w:after="0"/>
              <w:rPr>
                <w:sz w:val="20"/>
                <w:szCs w:val="20"/>
                <w:color w:val="auto"/>
              </w:rPr>
            </w:pPr>
            <w:r>
              <w:rPr>
                <w:rFonts w:ascii="Arial" w:cs="Arial" w:eastAsia="Arial" w:hAnsi="Arial"/>
                <w:sz w:val="12"/>
                <w:szCs w:val="12"/>
                <w:color w:val="auto"/>
              </w:rPr>
              <w:t>2022</w:t>
            </w: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jc w:val="right"/>
              <w:spacing w:after="0"/>
              <w:rPr>
                <w:sz w:val="20"/>
                <w:szCs w:val="20"/>
                <w:color w:val="auto"/>
              </w:rPr>
            </w:pPr>
            <w:r>
              <w:rPr>
                <w:rFonts w:ascii="Arial" w:cs="Arial" w:eastAsia="Arial" w:hAnsi="Arial"/>
                <w:sz w:val="12"/>
                <w:szCs w:val="12"/>
                <w:color w:val="auto"/>
              </w:rPr>
              <w:t>$</w:t>
            </w:r>
          </w:p>
        </w:tc>
        <w:tc>
          <w:tcPr>
            <w:tcW w:w="64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jc w:val="right"/>
              <w:spacing w:after="0"/>
              <w:rPr>
                <w:sz w:val="20"/>
                <w:szCs w:val="20"/>
                <w:color w:val="auto"/>
              </w:rPr>
            </w:pPr>
            <w:r>
              <w:rPr>
                <w:rFonts w:ascii="Arial" w:cs="Arial" w:eastAsia="Arial" w:hAnsi="Arial"/>
                <w:sz w:val="12"/>
                <w:szCs w:val="12"/>
                <w:color w:val="auto"/>
              </w:rPr>
              <w:t>$</w:t>
            </w:r>
          </w:p>
        </w:tc>
        <w:tc>
          <w:tcPr>
            <w:tcW w:w="640" w:type="dxa"/>
            <w:vAlign w:val="bottom"/>
          </w:tcPr>
          <w:p>
            <w:pPr>
              <w:jc w:val="right"/>
              <w:spacing w:after="0"/>
              <w:rPr>
                <w:sz w:val="20"/>
                <w:szCs w:val="20"/>
                <w:color w:val="auto"/>
              </w:rPr>
            </w:pPr>
            <w:r>
              <w:rPr>
                <w:rFonts w:ascii="Arial" w:cs="Arial" w:eastAsia="Arial" w:hAnsi="Arial"/>
                <w:sz w:val="12"/>
                <w:szCs w:val="12"/>
                <w:color w:val="auto"/>
                <w:w w:val="96"/>
              </w:rPr>
              <w:t>13,750,390</w:t>
            </w:r>
          </w:p>
        </w:tc>
        <w:tc>
          <w:tcPr>
            <w:tcW w:w="120" w:type="dxa"/>
            <w:vAlign w:val="bottom"/>
          </w:tcPr>
          <w:p>
            <w:pPr>
              <w:jc w:val="right"/>
              <w:spacing w:after="0"/>
              <w:rPr>
                <w:sz w:val="20"/>
                <w:szCs w:val="20"/>
                <w:color w:val="auto"/>
              </w:rPr>
            </w:pPr>
            <w:r>
              <w:rPr>
                <w:rFonts w:ascii="Arial" w:cs="Arial" w:eastAsia="Arial" w:hAnsi="Arial"/>
                <w:sz w:val="12"/>
                <w:szCs w:val="12"/>
                <w:color w:val="auto"/>
              </w:rPr>
              <w:t>$</w:t>
            </w:r>
          </w:p>
        </w:tc>
        <w:tc>
          <w:tcPr>
            <w:tcW w:w="700" w:type="dxa"/>
            <w:vAlign w:val="bottom"/>
          </w:tcPr>
          <w:p>
            <w:pPr>
              <w:jc w:val="right"/>
              <w:ind w:right="40"/>
              <w:spacing w:after="0"/>
              <w:rPr>
                <w:sz w:val="20"/>
                <w:szCs w:val="20"/>
                <w:color w:val="auto"/>
              </w:rPr>
            </w:pPr>
            <w:r>
              <w:rPr>
                <w:rFonts w:ascii="Arial" w:cs="Arial" w:eastAsia="Arial" w:hAnsi="Arial"/>
                <w:sz w:val="12"/>
                <w:szCs w:val="12"/>
                <w:color w:val="auto"/>
                <w:w w:val="96"/>
              </w:rPr>
              <w:t>28,454,770</w:t>
            </w:r>
          </w:p>
        </w:tc>
        <w:tc>
          <w:tcPr>
            <w:tcW w:w="700" w:type="dxa"/>
            <w:vAlign w:val="bottom"/>
          </w:tcPr>
          <w:p>
            <w:pPr>
              <w:jc w:val="right"/>
              <w:spacing w:after="0"/>
              <w:rPr>
                <w:sz w:val="20"/>
                <w:szCs w:val="20"/>
                <w:color w:val="auto"/>
              </w:rPr>
            </w:pPr>
            <w:r>
              <w:rPr>
                <w:rFonts w:ascii="Arial" w:cs="Arial" w:eastAsia="Arial" w:hAnsi="Arial"/>
                <w:sz w:val="12"/>
                <w:szCs w:val="12"/>
                <w:color w:val="auto"/>
              </w:rPr>
              <w:t>$ 3,345,183</w:t>
            </w:r>
          </w:p>
        </w:tc>
        <w:tc>
          <w:tcPr>
            <w:tcW w:w="860" w:type="dxa"/>
            <w:vAlign w:val="bottom"/>
          </w:tcPr>
          <w:p>
            <w:pPr>
              <w:jc w:val="right"/>
              <w:ind w:right="140"/>
              <w:spacing w:after="0"/>
              <w:rPr>
                <w:sz w:val="20"/>
                <w:szCs w:val="20"/>
                <w:color w:val="auto"/>
              </w:rPr>
            </w:pPr>
            <w:r>
              <w:rPr>
                <w:rFonts w:ascii="Arial" w:cs="Arial" w:eastAsia="Arial" w:hAnsi="Arial"/>
                <w:sz w:val="12"/>
                <w:szCs w:val="12"/>
                <w:color w:val="auto"/>
              </w:rPr>
              <w:t>$ 4,710,541</w:t>
            </w:r>
          </w:p>
        </w:tc>
        <w:tc>
          <w:tcPr>
            <w:tcW w:w="660" w:type="dxa"/>
            <w:vAlign w:val="bottom"/>
          </w:tcPr>
          <w:p>
            <w:pPr>
              <w:jc w:val="right"/>
              <w:ind w:right="100"/>
              <w:spacing w:after="0"/>
              <w:rPr>
                <w:sz w:val="20"/>
                <w:szCs w:val="20"/>
                <w:color w:val="auto"/>
              </w:rPr>
            </w:pPr>
            <w:r>
              <w:rPr>
                <w:rFonts w:ascii="Arial" w:cs="Arial" w:eastAsia="Arial" w:hAnsi="Arial"/>
                <w:sz w:val="12"/>
                <w:szCs w:val="12"/>
                <w:color w:val="auto"/>
              </w:rPr>
              <w:t>$ 210</w:t>
            </w:r>
          </w:p>
        </w:tc>
        <w:tc>
          <w:tcPr>
            <w:tcW w:w="600" w:type="dxa"/>
            <w:vAlign w:val="bottom"/>
          </w:tcPr>
          <w:p>
            <w:pPr>
              <w:jc w:val="right"/>
              <w:ind w:right="100"/>
              <w:spacing w:after="0"/>
              <w:rPr>
                <w:sz w:val="20"/>
                <w:szCs w:val="20"/>
                <w:color w:val="auto"/>
              </w:rPr>
            </w:pPr>
            <w:r>
              <w:rPr>
                <w:rFonts w:ascii="Arial" w:cs="Arial" w:eastAsia="Arial" w:hAnsi="Arial"/>
                <w:sz w:val="12"/>
                <w:szCs w:val="12"/>
                <w:color w:val="auto"/>
              </w:rPr>
              <w:t>$ 121</w:t>
            </w:r>
          </w:p>
        </w:tc>
        <w:tc>
          <w:tcPr>
            <w:tcW w:w="240" w:type="dxa"/>
            <w:vAlign w:val="bottom"/>
          </w:tcPr>
          <w:p>
            <w:pPr>
              <w:jc w:val="right"/>
              <w:spacing w:after="0"/>
              <w:rPr>
                <w:sz w:val="20"/>
                <w:szCs w:val="20"/>
                <w:color w:val="auto"/>
              </w:rPr>
            </w:pPr>
            <w:r>
              <w:rPr>
                <w:rFonts w:ascii="Arial" w:cs="Arial" w:eastAsia="Arial" w:hAnsi="Arial"/>
                <w:sz w:val="12"/>
                <w:szCs w:val="12"/>
                <w:color w:val="auto"/>
              </w:rPr>
              <w:t>$</w:t>
            </w:r>
          </w:p>
        </w:tc>
        <w:tc>
          <w:tcPr>
            <w:tcW w:w="380" w:type="dxa"/>
            <w:vAlign w:val="bottom"/>
          </w:tcPr>
          <w:p>
            <w:pPr>
              <w:jc w:val="right"/>
              <w:ind w:right="20"/>
              <w:spacing w:after="0"/>
              <w:rPr>
                <w:sz w:val="20"/>
                <w:szCs w:val="20"/>
                <w:color w:val="auto"/>
              </w:rPr>
            </w:pPr>
            <w:r>
              <w:rPr>
                <w:rFonts w:ascii="Arial" w:cs="Arial" w:eastAsia="Arial" w:hAnsi="Arial"/>
                <w:sz w:val="12"/>
                <w:szCs w:val="12"/>
                <w:color w:val="auto"/>
              </w:rPr>
              <w:t>846</w:t>
            </w:r>
          </w:p>
        </w:tc>
        <w:tc>
          <w:tcPr>
            <w:tcW w:w="480" w:type="dxa"/>
            <w:vAlign w:val="bottom"/>
          </w:tcPr>
          <w:p>
            <w:pPr>
              <w:jc w:val="right"/>
              <w:spacing w:after="0"/>
              <w:rPr>
                <w:sz w:val="20"/>
                <w:szCs w:val="20"/>
                <w:color w:val="auto"/>
              </w:rPr>
            </w:pPr>
            <w:r>
              <w:rPr>
                <w:rFonts w:ascii="Arial" w:cs="Arial" w:eastAsia="Arial" w:hAnsi="Arial"/>
                <w:sz w:val="12"/>
                <w:szCs w:val="12"/>
                <w:color w:val="auto"/>
              </w:rPr>
              <w:t>$ 1,611</w:t>
            </w:r>
          </w:p>
        </w:tc>
        <w:tc>
          <w:tcPr>
            <w:tcW w:w="0" w:type="dxa"/>
            <w:vAlign w:val="bottom"/>
          </w:tcPr>
          <w:p>
            <w:pPr>
              <w:spacing w:after="0"/>
              <w:rPr>
                <w:sz w:val="1"/>
                <w:szCs w:val="1"/>
                <w:color w:val="auto"/>
              </w:rPr>
            </w:pPr>
          </w:p>
        </w:tc>
      </w:tr>
      <w:tr>
        <w:trPr>
          <w:trHeight w:val="39"/>
        </w:trPr>
        <w:tc>
          <w:tcPr>
            <w:tcW w:w="800" w:type="dxa"/>
            <w:vAlign w:val="bottom"/>
          </w:tcPr>
          <w:p>
            <w:pPr>
              <w:spacing w:after="0"/>
              <w:rPr>
                <w:sz w:val="3"/>
                <w:szCs w:val="3"/>
                <w:color w:val="auto"/>
              </w:rPr>
            </w:pPr>
          </w:p>
        </w:tc>
        <w:tc>
          <w:tcPr>
            <w:tcW w:w="1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40" w:type="dxa"/>
            <w:vAlign w:val="bottom"/>
          </w:tcPr>
          <w:p>
            <w:pPr>
              <w:spacing w:after="0"/>
              <w:rPr>
                <w:sz w:val="3"/>
                <w:szCs w:val="3"/>
                <w:color w:val="auto"/>
              </w:rPr>
            </w:pPr>
          </w:p>
        </w:tc>
        <w:tc>
          <w:tcPr>
            <w:tcW w:w="380" w:type="dxa"/>
            <w:vAlign w:val="bottom"/>
          </w:tcPr>
          <w:p>
            <w:pPr>
              <w:spacing w:after="0"/>
              <w:rPr>
                <w:sz w:val="3"/>
                <w:szCs w:val="3"/>
                <w:color w:val="auto"/>
              </w:rPr>
            </w:pPr>
          </w:p>
        </w:tc>
        <w:tc>
          <w:tcPr>
            <w:tcW w:w="4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77"/>
        </w:trPr>
        <w:tc>
          <w:tcPr>
            <w:tcW w:w="800" w:type="dxa"/>
            <w:vAlign w:val="bottom"/>
            <w:vMerge w:val="restart"/>
            <w:shd w:val="clear" w:color="auto" w:fill="F7F1EC"/>
          </w:tcPr>
          <w:p>
            <w:pPr>
              <w:jc w:val="right"/>
              <w:ind w:right="400"/>
              <w:spacing w:after="0"/>
              <w:rPr>
                <w:sz w:val="20"/>
                <w:szCs w:val="20"/>
                <w:color w:val="auto"/>
              </w:rPr>
            </w:pPr>
            <w:r>
              <w:rPr>
                <w:rFonts w:ascii="Arial" w:cs="Arial" w:eastAsia="Arial" w:hAnsi="Arial"/>
                <w:sz w:val="12"/>
                <w:szCs w:val="12"/>
                <w:color w:val="auto"/>
              </w:rPr>
              <w:t>2021</w:t>
            </w:r>
          </w:p>
        </w:tc>
        <w:tc>
          <w:tcPr>
            <w:tcW w:w="160" w:type="dxa"/>
            <w:vAlign w:val="bottom"/>
            <w:vMerge w:val="restart"/>
            <w:shd w:val="clear" w:color="auto" w:fill="F7F1EC"/>
          </w:tcPr>
          <w:p>
            <w:pPr>
              <w:jc w:val="right"/>
              <w:spacing w:after="0"/>
              <w:rPr>
                <w:sz w:val="20"/>
                <w:szCs w:val="20"/>
                <w:color w:val="auto"/>
              </w:rPr>
            </w:pPr>
            <w:r>
              <w:rPr>
                <w:rFonts w:ascii="Arial" w:cs="Arial" w:eastAsia="Arial" w:hAnsi="Arial"/>
                <w:sz w:val="12"/>
                <w:szCs w:val="12"/>
                <w:color w:val="auto"/>
              </w:rPr>
              <w:t>$</w:t>
            </w:r>
          </w:p>
        </w:tc>
        <w:tc>
          <w:tcPr>
            <w:tcW w:w="660" w:type="dxa"/>
            <w:vAlign w:val="bottom"/>
            <w:vMerge w:val="restart"/>
            <w:shd w:val="clear" w:color="auto" w:fill="F7F1EC"/>
          </w:tcPr>
          <w:p>
            <w:pPr>
              <w:jc w:val="right"/>
              <w:spacing w:after="0"/>
              <w:rPr>
                <w:sz w:val="20"/>
                <w:szCs w:val="20"/>
                <w:color w:val="auto"/>
              </w:rPr>
            </w:pPr>
            <w:r>
              <w:rPr>
                <w:rFonts w:ascii="Arial" w:cs="Arial" w:eastAsia="Arial" w:hAnsi="Arial"/>
                <w:sz w:val="12"/>
                <w:szCs w:val="12"/>
                <w:color w:val="auto"/>
              </w:rPr>
              <w:t>—</w:t>
            </w:r>
          </w:p>
        </w:tc>
        <w:tc>
          <w:tcPr>
            <w:tcW w:w="120" w:type="dxa"/>
            <w:vAlign w:val="bottom"/>
            <w:vMerge w:val="restart"/>
            <w:shd w:val="clear" w:color="auto" w:fill="F7F1EC"/>
          </w:tcPr>
          <w:p>
            <w:pPr>
              <w:jc w:val="right"/>
              <w:spacing w:after="0"/>
              <w:rPr>
                <w:sz w:val="20"/>
                <w:szCs w:val="20"/>
                <w:color w:val="auto"/>
              </w:rPr>
            </w:pPr>
            <w:r>
              <w:rPr>
                <w:rFonts w:ascii="Arial" w:cs="Arial" w:eastAsia="Arial" w:hAnsi="Arial"/>
                <w:sz w:val="12"/>
                <w:szCs w:val="12"/>
                <w:color w:val="auto"/>
              </w:rPr>
              <w:t>$</w:t>
            </w:r>
          </w:p>
        </w:tc>
        <w:tc>
          <w:tcPr>
            <w:tcW w:w="640" w:type="dxa"/>
            <w:vAlign w:val="bottom"/>
            <w:vMerge w:val="restart"/>
            <w:shd w:val="clear" w:color="auto" w:fill="F7F1EC"/>
          </w:tcPr>
          <w:p>
            <w:pPr>
              <w:jc w:val="right"/>
              <w:spacing w:after="0"/>
              <w:rPr>
                <w:sz w:val="20"/>
                <w:szCs w:val="20"/>
                <w:color w:val="auto"/>
              </w:rPr>
            </w:pPr>
            <w:r>
              <w:rPr>
                <w:rFonts w:ascii="Arial" w:cs="Arial" w:eastAsia="Arial" w:hAnsi="Arial"/>
                <w:sz w:val="12"/>
                <w:szCs w:val="12"/>
                <w:color w:val="auto"/>
              </w:rPr>
              <w:t>—</w:t>
            </w:r>
          </w:p>
        </w:tc>
        <w:tc>
          <w:tcPr>
            <w:tcW w:w="120" w:type="dxa"/>
            <w:vAlign w:val="bottom"/>
            <w:vMerge w:val="restart"/>
            <w:shd w:val="clear" w:color="auto" w:fill="F7F1EC"/>
          </w:tcPr>
          <w:p>
            <w:pPr>
              <w:jc w:val="right"/>
              <w:spacing w:after="0"/>
              <w:rPr>
                <w:sz w:val="20"/>
                <w:szCs w:val="20"/>
                <w:color w:val="auto"/>
              </w:rPr>
            </w:pPr>
            <w:r>
              <w:rPr>
                <w:rFonts w:ascii="Arial" w:cs="Arial" w:eastAsia="Arial" w:hAnsi="Arial"/>
                <w:sz w:val="12"/>
                <w:szCs w:val="12"/>
                <w:color w:val="auto"/>
              </w:rPr>
              <w:t>$</w:t>
            </w:r>
          </w:p>
        </w:tc>
        <w:tc>
          <w:tcPr>
            <w:tcW w:w="640" w:type="dxa"/>
            <w:vAlign w:val="bottom"/>
            <w:vMerge w:val="restart"/>
            <w:shd w:val="clear" w:color="auto" w:fill="F7F1EC"/>
          </w:tcPr>
          <w:p>
            <w:pPr>
              <w:jc w:val="right"/>
              <w:spacing w:after="0"/>
              <w:rPr>
                <w:sz w:val="20"/>
                <w:szCs w:val="20"/>
                <w:color w:val="auto"/>
              </w:rPr>
            </w:pPr>
            <w:r>
              <w:rPr>
                <w:rFonts w:ascii="Arial" w:cs="Arial" w:eastAsia="Arial" w:hAnsi="Arial"/>
                <w:sz w:val="12"/>
                <w:szCs w:val="12"/>
                <w:color w:val="auto"/>
                <w:w w:val="96"/>
              </w:rPr>
              <w:t>12,875,868</w:t>
            </w:r>
          </w:p>
        </w:tc>
        <w:tc>
          <w:tcPr>
            <w:tcW w:w="120" w:type="dxa"/>
            <w:vAlign w:val="bottom"/>
            <w:vMerge w:val="restart"/>
            <w:shd w:val="clear" w:color="auto" w:fill="F7F1EC"/>
          </w:tcPr>
          <w:p>
            <w:pPr>
              <w:jc w:val="right"/>
              <w:spacing w:after="0"/>
              <w:rPr>
                <w:sz w:val="20"/>
                <w:szCs w:val="20"/>
                <w:color w:val="auto"/>
              </w:rPr>
            </w:pPr>
            <w:r>
              <w:rPr>
                <w:rFonts w:ascii="Arial" w:cs="Arial" w:eastAsia="Arial" w:hAnsi="Arial"/>
                <w:sz w:val="12"/>
                <w:szCs w:val="12"/>
                <w:color w:val="auto"/>
              </w:rPr>
              <w:t>$</w:t>
            </w:r>
          </w:p>
        </w:tc>
        <w:tc>
          <w:tcPr>
            <w:tcW w:w="700" w:type="dxa"/>
            <w:vAlign w:val="bottom"/>
            <w:vMerge w:val="restart"/>
            <w:shd w:val="clear" w:color="auto" w:fill="F7F1EC"/>
          </w:tcPr>
          <w:p>
            <w:pPr>
              <w:jc w:val="right"/>
              <w:ind w:right="40"/>
              <w:spacing w:after="0"/>
              <w:rPr>
                <w:sz w:val="20"/>
                <w:szCs w:val="20"/>
                <w:color w:val="auto"/>
              </w:rPr>
            </w:pPr>
            <w:r>
              <w:rPr>
                <w:rFonts w:ascii="Arial" w:cs="Arial" w:eastAsia="Arial" w:hAnsi="Arial"/>
                <w:sz w:val="12"/>
                <w:szCs w:val="12"/>
                <w:color w:val="auto"/>
                <w:w w:val="96"/>
              </w:rPr>
              <w:t>23,880,808</w:t>
            </w:r>
          </w:p>
        </w:tc>
        <w:tc>
          <w:tcPr>
            <w:tcW w:w="700" w:type="dxa"/>
            <w:vAlign w:val="bottom"/>
            <w:vMerge w:val="restart"/>
            <w:shd w:val="clear" w:color="auto" w:fill="F7F1EC"/>
          </w:tcPr>
          <w:p>
            <w:pPr>
              <w:jc w:val="right"/>
              <w:spacing w:after="0"/>
              <w:rPr>
                <w:sz w:val="20"/>
                <w:szCs w:val="20"/>
                <w:color w:val="auto"/>
              </w:rPr>
            </w:pPr>
            <w:r>
              <w:rPr>
                <w:rFonts w:ascii="Arial" w:cs="Arial" w:eastAsia="Arial" w:hAnsi="Arial"/>
                <w:sz w:val="12"/>
                <w:szCs w:val="12"/>
                <w:color w:val="auto"/>
              </w:rPr>
              <w:t>$ 4,129,996</w:t>
            </w:r>
          </w:p>
        </w:tc>
        <w:tc>
          <w:tcPr>
            <w:tcW w:w="860" w:type="dxa"/>
            <w:vAlign w:val="bottom"/>
            <w:vMerge w:val="restart"/>
            <w:shd w:val="clear" w:color="auto" w:fill="F7F1EC"/>
          </w:tcPr>
          <w:p>
            <w:pPr>
              <w:jc w:val="right"/>
              <w:ind w:right="140"/>
              <w:spacing w:after="0"/>
              <w:rPr>
                <w:sz w:val="20"/>
                <w:szCs w:val="20"/>
                <w:color w:val="auto"/>
              </w:rPr>
            </w:pPr>
            <w:r>
              <w:rPr>
                <w:rFonts w:ascii="Arial" w:cs="Arial" w:eastAsia="Arial" w:hAnsi="Arial"/>
                <w:sz w:val="12"/>
                <w:szCs w:val="12"/>
                <w:color w:val="auto"/>
              </w:rPr>
              <w:t>$ 5,647,041</w:t>
            </w:r>
          </w:p>
        </w:tc>
        <w:tc>
          <w:tcPr>
            <w:tcW w:w="660" w:type="dxa"/>
            <w:vAlign w:val="bottom"/>
            <w:vMerge w:val="restart"/>
            <w:shd w:val="clear" w:color="auto" w:fill="F7F1EC"/>
          </w:tcPr>
          <w:p>
            <w:pPr>
              <w:jc w:val="right"/>
              <w:ind w:right="100"/>
              <w:spacing w:after="0"/>
              <w:rPr>
                <w:sz w:val="20"/>
                <w:szCs w:val="20"/>
                <w:color w:val="auto"/>
              </w:rPr>
            </w:pPr>
            <w:r>
              <w:rPr>
                <w:rFonts w:ascii="Arial" w:cs="Arial" w:eastAsia="Arial" w:hAnsi="Arial"/>
                <w:sz w:val="12"/>
                <w:szCs w:val="12"/>
                <w:color w:val="auto"/>
              </w:rPr>
              <w:t>$ 155</w:t>
            </w:r>
          </w:p>
        </w:tc>
        <w:tc>
          <w:tcPr>
            <w:tcW w:w="600" w:type="dxa"/>
            <w:vAlign w:val="bottom"/>
            <w:vMerge w:val="restart"/>
            <w:shd w:val="clear" w:color="auto" w:fill="F7F1EC"/>
          </w:tcPr>
          <w:p>
            <w:pPr>
              <w:jc w:val="right"/>
              <w:ind w:right="100"/>
              <w:spacing w:after="0"/>
              <w:rPr>
                <w:sz w:val="20"/>
                <w:szCs w:val="20"/>
                <w:color w:val="auto"/>
              </w:rPr>
            </w:pPr>
            <w:r>
              <w:rPr>
                <w:rFonts w:ascii="Arial" w:cs="Arial" w:eastAsia="Arial" w:hAnsi="Arial"/>
                <w:sz w:val="12"/>
                <w:szCs w:val="12"/>
                <w:color w:val="auto"/>
              </w:rPr>
              <w:t>$ 135</w:t>
            </w:r>
          </w:p>
        </w:tc>
        <w:tc>
          <w:tcPr>
            <w:tcW w:w="240" w:type="dxa"/>
            <w:vAlign w:val="bottom"/>
            <w:vMerge w:val="restart"/>
            <w:shd w:val="clear" w:color="auto" w:fill="F7F1EC"/>
          </w:tcPr>
          <w:p>
            <w:pPr>
              <w:jc w:val="right"/>
              <w:spacing w:after="0"/>
              <w:rPr>
                <w:sz w:val="20"/>
                <w:szCs w:val="20"/>
                <w:color w:val="auto"/>
              </w:rPr>
            </w:pPr>
            <w:r>
              <w:rPr>
                <w:rFonts w:ascii="Arial" w:cs="Arial" w:eastAsia="Arial" w:hAnsi="Arial"/>
                <w:sz w:val="12"/>
                <w:szCs w:val="12"/>
                <w:color w:val="auto"/>
              </w:rPr>
              <w:t>$</w:t>
            </w:r>
          </w:p>
        </w:tc>
        <w:tc>
          <w:tcPr>
            <w:tcW w:w="380" w:type="dxa"/>
            <w:vAlign w:val="bottom"/>
            <w:vMerge w:val="restart"/>
            <w:shd w:val="clear" w:color="auto" w:fill="F7F1EC"/>
          </w:tcPr>
          <w:p>
            <w:pPr>
              <w:jc w:val="right"/>
              <w:ind w:right="20"/>
              <w:spacing w:after="0"/>
              <w:rPr>
                <w:sz w:val="20"/>
                <w:szCs w:val="20"/>
                <w:color w:val="auto"/>
              </w:rPr>
            </w:pPr>
            <w:r>
              <w:rPr>
                <w:rFonts w:ascii="Arial" w:cs="Arial" w:eastAsia="Arial" w:hAnsi="Arial"/>
                <w:sz w:val="12"/>
                <w:szCs w:val="12"/>
                <w:color w:val="auto"/>
              </w:rPr>
              <w:t>460</w:t>
            </w:r>
          </w:p>
        </w:tc>
        <w:tc>
          <w:tcPr>
            <w:tcW w:w="480" w:type="dxa"/>
            <w:vAlign w:val="bottom"/>
            <w:shd w:val="clear" w:color="auto" w:fill="F7F1EC"/>
          </w:tcPr>
          <w:p>
            <w:pPr>
              <w:spacing w:after="0"/>
              <w:rPr>
                <w:sz w:val="6"/>
                <w:szCs w:val="6"/>
                <w:color w:val="auto"/>
              </w:rPr>
            </w:pPr>
          </w:p>
        </w:tc>
        <w:tc>
          <w:tcPr>
            <w:tcW w:w="0" w:type="dxa"/>
            <w:vAlign w:val="bottom"/>
          </w:tcPr>
          <w:p>
            <w:pPr>
              <w:spacing w:after="0"/>
              <w:rPr>
                <w:sz w:val="1"/>
                <w:szCs w:val="1"/>
                <w:color w:val="auto"/>
              </w:rPr>
            </w:pPr>
          </w:p>
        </w:tc>
      </w:tr>
      <w:tr>
        <w:trPr>
          <w:trHeight w:val="158"/>
        </w:trPr>
        <w:tc>
          <w:tcPr>
            <w:tcW w:w="800" w:type="dxa"/>
            <w:vAlign w:val="bottom"/>
            <w:vMerge w:val="continue"/>
            <w:shd w:val="clear" w:color="auto" w:fill="F7F1EC"/>
          </w:tcPr>
          <w:p>
            <w:pPr>
              <w:spacing w:after="0"/>
              <w:rPr>
                <w:sz w:val="13"/>
                <w:szCs w:val="13"/>
                <w:color w:val="auto"/>
              </w:rPr>
            </w:pPr>
          </w:p>
        </w:tc>
        <w:tc>
          <w:tcPr>
            <w:tcW w:w="160" w:type="dxa"/>
            <w:vAlign w:val="bottom"/>
            <w:vMerge w:val="continue"/>
            <w:shd w:val="clear" w:color="auto" w:fill="F7F1EC"/>
          </w:tcPr>
          <w:p>
            <w:pPr>
              <w:spacing w:after="0"/>
              <w:rPr>
                <w:sz w:val="13"/>
                <w:szCs w:val="13"/>
                <w:color w:val="auto"/>
              </w:rPr>
            </w:pPr>
          </w:p>
        </w:tc>
        <w:tc>
          <w:tcPr>
            <w:tcW w:w="660" w:type="dxa"/>
            <w:vAlign w:val="bottom"/>
            <w:vMerge w:val="continue"/>
            <w:shd w:val="clear" w:color="auto" w:fill="F7F1EC"/>
          </w:tcPr>
          <w:p>
            <w:pPr>
              <w:spacing w:after="0"/>
              <w:rPr>
                <w:sz w:val="13"/>
                <w:szCs w:val="13"/>
                <w:color w:val="auto"/>
              </w:rPr>
            </w:pPr>
          </w:p>
        </w:tc>
        <w:tc>
          <w:tcPr>
            <w:tcW w:w="120" w:type="dxa"/>
            <w:vAlign w:val="bottom"/>
            <w:vMerge w:val="continue"/>
            <w:shd w:val="clear" w:color="auto" w:fill="F7F1EC"/>
          </w:tcPr>
          <w:p>
            <w:pPr>
              <w:spacing w:after="0"/>
              <w:rPr>
                <w:sz w:val="13"/>
                <w:szCs w:val="13"/>
                <w:color w:val="auto"/>
              </w:rPr>
            </w:pPr>
          </w:p>
        </w:tc>
        <w:tc>
          <w:tcPr>
            <w:tcW w:w="640" w:type="dxa"/>
            <w:vAlign w:val="bottom"/>
            <w:vMerge w:val="continue"/>
            <w:shd w:val="clear" w:color="auto" w:fill="F7F1EC"/>
          </w:tcPr>
          <w:p>
            <w:pPr>
              <w:spacing w:after="0"/>
              <w:rPr>
                <w:sz w:val="13"/>
                <w:szCs w:val="13"/>
                <w:color w:val="auto"/>
              </w:rPr>
            </w:pPr>
          </w:p>
        </w:tc>
        <w:tc>
          <w:tcPr>
            <w:tcW w:w="120" w:type="dxa"/>
            <w:vAlign w:val="bottom"/>
            <w:vMerge w:val="continue"/>
            <w:shd w:val="clear" w:color="auto" w:fill="F7F1EC"/>
          </w:tcPr>
          <w:p>
            <w:pPr>
              <w:spacing w:after="0"/>
              <w:rPr>
                <w:sz w:val="13"/>
                <w:szCs w:val="13"/>
                <w:color w:val="auto"/>
              </w:rPr>
            </w:pPr>
          </w:p>
        </w:tc>
        <w:tc>
          <w:tcPr>
            <w:tcW w:w="640" w:type="dxa"/>
            <w:vAlign w:val="bottom"/>
            <w:vMerge w:val="continue"/>
            <w:shd w:val="clear" w:color="auto" w:fill="F7F1EC"/>
          </w:tcPr>
          <w:p>
            <w:pPr>
              <w:spacing w:after="0"/>
              <w:rPr>
                <w:sz w:val="13"/>
                <w:szCs w:val="13"/>
                <w:color w:val="auto"/>
              </w:rPr>
            </w:pPr>
          </w:p>
        </w:tc>
        <w:tc>
          <w:tcPr>
            <w:tcW w:w="120" w:type="dxa"/>
            <w:vAlign w:val="bottom"/>
            <w:vMerge w:val="continue"/>
            <w:shd w:val="clear" w:color="auto" w:fill="F7F1EC"/>
          </w:tcPr>
          <w:p>
            <w:pPr>
              <w:spacing w:after="0"/>
              <w:rPr>
                <w:sz w:val="13"/>
                <w:szCs w:val="13"/>
                <w:color w:val="auto"/>
              </w:rPr>
            </w:pPr>
          </w:p>
        </w:tc>
        <w:tc>
          <w:tcPr>
            <w:tcW w:w="700" w:type="dxa"/>
            <w:vAlign w:val="bottom"/>
            <w:vMerge w:val="continue"/>
            <w:shd w:val="clear" w:color="auto" w:fill="F7F1EC"/>
          </w:tcPr>
          <w:p>
            <w:pPr>
              <w:spacing w:after="0"/>
              <w:rPr>
                <w:sz w:val="13"/>
                <w:szCs w:val="13"/>
                <w:color w:val="auto"/>
              </w:rPr>
            </w:pPr>
          </w:p>
        </w:tc>
        <w:tc>
          <w:tcPr>
            <w:tcW w:w="700" w:type="dxa"/>
            <w:vAlign w:val="bottom"/>
            <w:vMerge w:val="continue"/>
            <w:shd w:val="clear" w:color="auto" w:fill="F7F1EC"/>
          </w:tcPr>
          <w:p>
            <w:pPr>
              <w:spacing w:after="0"/>
              <w:rPr>
                <w:sz w:val="13"/>
                <w:szCs w:val="13"/>
                <w:color w:val="auto"/>
              </w:rPr>
            </w:pPr>
          </w:p>
        </w:tc>
        <w:tc>
          <w:tcPr>
            <w:tcW w:w="860" w:type="dxa"/>
            <w:vAlign w:val="bottom"/>
            <w:vMerge w:val="continue"/>
            <w:shd w:val="clear" w:color="auto" w:fill="F7F1EC"/>
          </w:tcPr>
          <w:p>
            <w:pPr>
              <w:spacing w:after="0"/>
              <w:rPr>
                <w:sz w:val="13"/>
                <w:szCs w:val="13"/>
                <w:color w:val="auto"/>
              </w:rPr>
            </w:pPr>
          </w:p>
        </w:tc>
        <w:tc>
          <w:tcPr>
            <w:tcW w:w="660" w:type="dxa"/>
            <w:vAlign w:val="bottom"/>
            <w:vMerge w:val="continue"/>
            <w:shd w:val="clear" w:color="auto" w:fill="F7F1EC"/>
          </w:tcPr>
          <w:p>
            <w:pPr>
              <w:spacing w:after="0"/>
              <w:rPr>
                <w:sz w:val="13"/>
                <w:szCs w:val="13"/>
                <w:color w:val="auto"/>
              </w:rPr>
            </w:pPr>
          </w:p>
        </w:tc>
        <w:tc>
          <w:tcPr>
            <w:tcW w:w="600" w:type="dxa"/>
            <w:vAlign w:val="bottom"/>
            <w:vMerge w:val="continue"/>
            <w:shd w:val="clear" w:color="auto" w:fill="F7F1EC"/>
          </w:tcPr>
          <w:p>
            <w:pPr>
              <w:spacing w:after="0"/>
              <w:rPr>
                <w:sz w:val="13"/>
                <w:szCs w:val="13"/>
                <w:color w:val="auto"/>
              </w:rPr>
            </w:pPr>
          </w:p>
        </w:tc>
        <w:tc>
          <w:tcPr>
            <w:tcW w:w="240" w:type="dxa"/>
            <w:vAlign w:val="bottom"/>
            <w:vMerge w:val="continue"/>
            <w:shd w:val="clear" w:color="auto" w:fill="F7F1EC"/>
          </w:tcPr>
          <w:p>
            <w:pPr>
              <w:spacing w:after="0"/>
              <w:rPr>
                <w:sz w:val="13"/>
                <w:szCs w:val="13"/>
                <w:color w:val="auto"/>
              </w:rPr>
            </w:pPr>
          </w:p>
        </w:tc>
        <w:tc>
          <w:tcPr>
            <w:tcW w:w="380" w:type="dxa"/>
            <w:vAlign w:val="bottom"/>
            <w:vMerge w:val="continue"/>
            <w:shd w:val="clear" w:color="auto" w:fill="F7F1EC"/>
          </w:tcPr>
          <w:p>
            <w:pPr>
              <w:spacing w:after="0"/>
              <w:rPr>
                <w:sz w:val="13"/>
                <w:szCs w:val="13"/>
                <w:color w:val="auto"/>
              </w:rPr>
            </w:pPr>
          </w:p>
        </w:tc>
        <w:tc>
          <w:tcPr>
            <w:tcW w:w="480" w:type="dxa"/>
            <w:vAlign w:val="bottom"/>
            <w:shd w:val="clear" w:color="auto" w:fill="F7F1EC"/>
          </w:tcPr>
          <w:p>
            <w:pPr>
              <w:jc w:val="right"/>
              <w:spacing w:after="0"/>
              <w:rPr>
                <w:sz w:val="20"/>
                <w:szCs w:val="20"/>
                <w:color w:val="auto"/>
              </w:rPr>
            </w:pPr>
            <w:r>
              <w:rPr>
                <w:rFonts w:ascii="Arial" w:cs="Arial" w:eastAsia="Arial" w:hAnsi="Arial"/>
                <w:sz w:val="12"/>
                <w:szCs w:val="12"/>
                <w:color w:val="auto"/>
              </w:rPr>
              <w:t>$ 1,047</w:t>
            </w:r>
          </w:p>
        </w:tc>
        <w:tc>
          <w:tcPr>
            <w:tcW w:w="0" w:type="dxa"/>
            <w:vAlign w:val="bottom"/>
          </w:tcPr>
          <w:p>
            <w:pPr>
              <w:spacing w:after="0"/>
              <w:rPr>
                <w:sz w:val="1"/>
                <w:szCs w:val="1"/>
                <w:color w:val="auto"/>
              </w:rPr>
            </w:pPr>
          </w:p>
        </w:tc>
      </w:tr>
      <w:tr>
        <w:trPr>
          <w:trHeight w:val="21"/>
        </w:trPr>
        <w:tc>
          <w:tcPr>
            <w:tcW w:w="800" w:type="dxa"/>
            <w:vAlign w:val="bottom"/>
            <w:shd w:val="clear" w:color="auto" w:fill="F7F1EC"/>
          </w:tcPr>
          <w:p>
            <w:pPr>
              <w:spacing w:after="0" w:line="20" w:lineRule="exact"/>
              <w:rPr>
                <w:sz w:val="1"/>
                <w:szCs w:val="1"/>
                <w:color w:val="auto"/>
              </w:rPr>
            </w:pPr>
          </w:p>
        </w:tc>
        <w:tc>
          <w:tcPr>
            <w:tcW w:w="160" w:type="dxa"/>
            <w:vAlign w:val="bottom"/>
            <w:shd w:val="clear" w:color="auto" w:fill="F7F1EC"/>
          </w:tcPr>
          <w:p>
            <w:pPr>
              <w:spacing w:after="0" w:line="20" w:lineRule="exact"/>
              <w:rPr>
                <w:sz w:val="1"/>
                <w:szCs w:val="1"/>
                <w:color w:val="auto"/>
              </w:rPr>
            </w:pPr>
          </w:p>
        </w:tc>
        <w:tc>
          <w:tcPr>
            <w:tcW w:w="660" w:type="dxa"/>
            <w:vAlign w:val="bottom"/>
            <w:shd w:val="clear" w:color="auto" w:fill="F7F1EC"/>
          </w:tcPr>
          <w:p>
            <w:pPr>
              <w:spacing w:after="0" w:line="20" w:lineRule="exact"/>
              <w:rPr>
                <w:sz w:val="1"/>
                <w:szCs w:val="1"/>
                <w:color w:val="auto"/>
              </w:rPr>
            </w:pPr>
          </w:p>
        </w:tc>
        <w:tc>
          <w:tcPr>
            <w:tcW w:w="120" w:type="dxa"/>
            <w:vAlign w:val="bottom"/>
            <w:shd w:val="clear" w:color="auto" w:fill="F7F1EC"/>
          </w:tcPr>
          <w:p>
            <w:pPr>
              <w:spacing w:after="0" w:line="20" w:lineRule="exact"/>
              <w:rPr>
                <w:sz w:val="1"/>
                <w:szCs w:val="1"/>
                <w:color w:val="auto"/>
              </w:rPr>
            </w:pPr>
          </w:p>
        </w:tc>
        <w:tc>
          <w:tcPr>
            <w:tcW w:w="640" w:type="dxa"/>
            <w:vAlign w:val="bottom"/>
            <w:shd w:val="clear" w:color="auto" w:fill="F7F1EC"/>
          </w:tcPr>
          <w:p>
            <w:pPr>
              <w:spacing w:after="0" w:line="20" w:lineRule="exact"/>
              <w:rPr>
                <w:sz w:val="1"/>
                <w:szCs w:val="1"/>
                <w:color w:val="auto"/>
              </w:rPr>
            </w:pPr>
          </w:p>
        </w:tc>
        <w:tc>
          <w:tcPr>
            <w:tcW w:w="120" w:type="dxa"/>
            <w:vAlign w:val="bottom"/>
            <w:shd w:val="clear" w:color="auto" w:fill="F7F1EC"/>
          </w:tcPr>
          <w:p>
            <w:pPr>
              <w:spacing w:after="0" w:line="20" w:lineRule="exact"/>
              <w:rPr>
                <w:sz w:val="1"/>
                <w:szCs w:val="1"/>
                <w:color w:val="auto"/>
              </w:rPr>
            </w:pPr>
          </w:p>
        </w:tc>
        <w:tc>
          <w:tcPr>
            <w:tcW w:w="640" w:type="dxa"/>
            <w:vAlign w:val="bottom"/>
            <w:shd w:val="clear" w:color="auto" w:fill="F7F1EC"/>
          </w:tcPr>
          <w:p>
            <w:pPr>
              <w:spacing w:after="0" w:line="20" w:lineRule="exact"/>
              <w:rPr>
                <w:sz w:val="1"/>
                <w:szCs w:val="1"/>
                <w:color w:val="auto"/>
              </w:rPr>
            </w:pPr>
          </w:p>
        </w:tc>
        <w:tc>
          <w:tcPr>
            <w:tcW w:w="120" w:type="dxa"/>
            <w:vAlign w:val="bottom"/>
            <w:shd w:val="clear" w:color="auto" w:fill="F7F1EC"/>
          </w:tcPr>
          <w:p>
            <w:pPr>
              <w:spacing w:after="0" w:line="20" w:lineRule="exact"/>
              <w:rPr>
                <w:sz w:val="1"/>
                <w:szCs w:val="1"/>
                <w:color w:val="auto"/>
              </w:rPr>
            </w:pPr>
          </w:p>
        </w:tc>
        <w:tc>
          <w:tcPr>
            <w:tcW w:w="700" w:type="dxa"/>
            <w:vAlign w:val="bottom"/>
            <w:shd w:val="clear" w:color="auto" w:fill="F7F1EC"/>
          </w:tcPr>
          <w:p>
            <w:pPr>
              <w:spacing w:after="0" w:line="20" w:lineRule="exact"/>
              <w:rPr>
                <w:sz w:val="1"/>
                <w:szCs w:val="1"/>
                <w:color w:val="auto"/>
              </w:rPr>
            </w:pPr>
          </w:p>
        </w:tc>
        <w:tc>
          <w:tcPr>
            <w:tcW w:w="700" w:type="dxa"/>
            <w:vAlign w:val="bottom"/>
            <w:shd w:val="clear" w:color="auto" w:fill="F7F1EC"/>
          </w:tcPr>
          <w:p>
            <w:pPr>
              <w:spacing w:after="0" w:line="20" w:lineRule="exact"/>
              <w:rPr>
                <w:sz w:val="1"/>
                <w:szCs w:val="1"/>
                <w:color w:val="auto"/>
              </w:rPr>
            </w:pPr>
          </w:p>
        </w:tc>
        <w:tc>
          <w:tcPr>
            <w:tcW w:w="860" w:type="dxa"/>
            <w:vAlign w:val="bottom"/>
            <w:shd w:val="clear" w:color="auto" w:fill="F7F1EC"/>
          </w:tcPr>
          <w:p>
            <w:pPr>
              <w:spacing w:after="0" w:line="20" w:lineRule="exact"/>
              <w:rPr>
                <w:sz w:val="1"/>
                <w:szCs w:val="1"/>
                <w:color w:val="auto"/>
              </w:rPr>
            </w:pPr>
          </w:p>
        </w:tc>
        <w:tc>
          <w:tcPr>
            <w:tcW w:w="660" w:type="dxa"/>
            <w:vAlign w:val="bottom"/>
            <w:shd w:val="clear" w:color="auto" w:fill="F7F1EC"/>
          </w:tcPr>
          <w:p>
            <w:pPr>
              <w:spacing w:after="0" w:line="20" w:lineRule="exact"/>
              <w:rPr>
                <w:sz w:val="1"/>
                <w:szCs w:val="1"/>
                <w:color w:val="auto"/>
              </w:rPr>
            </w:pPr>
          </w:p>
        </w:tc>
        <w:tc>
          <w:tcPr>
            <w:tcW w:w="600" w:type="dxa"/>
            <w:vAlign w:val="bottom"/>
            <w:shd w:val="clear" w:color="auto" w:fill="F7F1EC"/>
          </w:tcPr>
          <w:p>
            <w:pPr>
              <w:spacing w:after="0" w:line="20" w:lineRule="exact"/>
              <w:rPr>
                <w:sz w:val="1"/>
                <w:szCs w:val="1"/>
                <w:color w:val="auto"/>
              </w:rPr>
            </w:pPr>
          </w:p>
        </w:tc>
        <w:tc>
          <w:tcPr>
            <w:tcW w:w="240" w:type="dxa"/>
            <w:vAlign w:val="bottom"/>
            <w:shd w:val="clear" w:color="auto" w:fill="F7F1EC"/>
          </w:tcPr>
          <w:p>
            <w:pPr>
              <w:spacing w:after="0" w:line="20" w:lineRule="exact"/>
              <w:rPr>
                <w:sz w:val="1"/>
                <w:szCs w:val="1"/>
                <w:color w:val="auto"/>
              </w:rPr>
            </w:pPr>
          </w:p>
        </w:tc>
        <w:tc>
          <w:tcPr>
            <w:tcW w:w="380" w:type="dxa"/>
            <w:vAlign w:val="bottom"/>
            <w:shd w:val="clear" w:color="auto" w:fill="F7F1EC"/>
          </w:tcPr>
          <w:p>
            <w:pPr>
              <w:spacing w:after="0" w:line="20" w:lineRule="exact"/>
              <w:rPr>
                <w:sz w:val="1"/>
                <w:szCs w:val="1"/>
                <w:color w:val="auto"/>
              </w:rPr>
            </w:pPr>
          </w:p>
        </w:tc>
        <w:tc>
          <w:tcPr>
            <w:tcW w:w="480" w:type="dxa"/>
            <w:vAlign w:val="bottom"/>
            <w:shd w:val="clear" w:color="auto" w:fill="F7F1E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7" w:lineRule="exact"/>
        <w:rPr>
          <w:sz w:val="20"/>
          <w:szCs w:val="20"/>
          <w:color w:val="auto"/>
        </w:rPr>
      </w:pPr>
    </w:p>
    <w:p>
      <w:pPr>
        <w:jc w:val="both"/>
        <w:ind w:left="780" w:right="140" w:hanging="241"/>
        <w:spacing w:after="0" w:line="239" w:lineRule="auto"/>
        <w:tabs>
          <w:tab w:leader="none" w:pos="780" w:val="left"/>
        </w:tabs>
        <w:numPr>
          <w:ilvl w:val="0"/>
          <w:numId w:val="86"/>
        </w:numPr>
        <w:rPr>
          <w:rFonts w:ascii="Arial" w:cs="Arial" w:eastAsia="Arial" w:hAnsi="Arial"/>
          <w:sz w:val="12"/>
          <w:szCs w:val="12"/>
          <w:color w:val="auto"/>
        </w:rPr>
      </w:pPr>
      <w:r>
        <w:rPr>
          <w:rFonts w:ascii="Arial" w:cs="Arial" w:eastAsia="Arial" w:hAnsi="Arial"/>
          <w:sz w:val="12"/>
          <w:szCs w:val="12"/>
          <w:color w:val="auto"/>
        </w:rPr>
        <w:t>Mr. Steinmeier served as the PEO beginning on October 1, 2024 with a compensation adjustment effective October 21, 2024 in connection with his appointment as chief executive officer. Dan Arnold served as the PEO until October 1, 2024 and for the entirety of 2023, 2022 and 2021, and our Other NEOs for the applicable years were as follows:</w:t>
      </w:r>
    </w:p>
    <w:p>
      <w:pPr>
        <w:spacing w:after="0" w:line="34" w:lineRule="exact"/>
        <w:rPr>
          <w:rFonts w:ascii="Arial" w:cs="Arial" w:eastAsia="Arial" w:hAnsi="Arial"/>
          <w:sz w:val="12"/>
          <w:szCs w:val="12"/>
          <w:color w:val="auto"/>
        </w:rPr>
      </w:pPr>
    </w:p>
    <w:p>
      <w:pPr>
        <w:ind w:left="1040" w:hanging="259"/>
        <w:spacing w:after="0"/>
        <w:tabs>
          <w:tab w:leader="none" w:pos="1040" w:val="left"/>
        </w:tabs>
        <w:numPr>
          <w:ilvl w:val="1"/>
          <w:numId w:val="86"/>
        </w:numPr>
        <w:rPr>
          <w:rFonts w:ascii="Arial" w:cs="Arial" w:eastAsia="Arial" w:hAnsi="Arial"/>
          <w:sz w:val="12"/>
          <w:szCs w:val="12"/>
          <w:color w:val="auto"/>
        </w:rPr>
      </w:pPr>
      <w:r>
        <w:rPr>
          <w:rFonts w:ascii="Arial" w:cs="Arial" w:eastAsia="Arial" w:hAnsi="Arial"/>
          <w:sz w:val="12"/>
          <w:szCs w:val="12"/>
          <w:color w:val="auto"/>
        </w:rPr>
        <w:t>2025: Matthew Audette, Matthew Enyedi, Greg Gates and Aneri Jambusaria</w:t>
      </w:r>
    </w:p>
    <w:p>
      <w:pPr>
        <w:spacing w:after="0" w:line="53" w:lineRule="exact"/>
        <w:rPr>
          <w:rFonts w:ascii="Arial" w:cs="Arial" w:eastAsia="Arial" w:hAnsi="Arial"/>
          <w:sz w:val="12"/>
          <w:szCs w:val="12"/>
          <w:color w:val="auto"/>
        </w:rPr>
      </w:pPr>
    </w:p>
    <w:p>
      <w:pPr>
        <w:ind w:left="1040" w:hanging="259"/>
        <w:spacing w:after="0"/>
        <w:tabs>
          <w:tab w:leader="none" w:pos="1040" w:val="left"/>
        </w:tabs>
        <w:numPr>
          <w:ilvl w:val="1"/>
          <w:numId w:val="86"/>
        </w:numPr>
        <w:rPr>
          <w:rFonts w:ascii="Arial" w:cs="Arial" w:eastAsia="Arial" w:hAnsi="Arial"/>
          <w:sz w:val="12"/>
          <w:szCs w:val="12"/>
          <w:color w:val="auto"/>
        </w:rPr>
      </w:pPr>
      <w:r>
        <w:rPr>
          <w:rFonts w:ascii="Arial" w:cs="Arial" w:eastAsia="Arial" w:hAnsi="Arial"/>
          <w:sz w:val="12"/>
          <w:szCs w:val="12"/>
          <w:color w:val="auto"/>
        </w:rPr>
        <w:t>2024: Matthew Audette, Althea Brown, Matthew Enyedi and Greg Gates</w:t>
      </w:r>
    </w:p>
    <w:p>
      <w:pPr>
        <w:spacing w:after="0" w:line="53" w:lineRule="exact"/>
        <w:rPr>
          <w:rFonts w:ascii="Arial" w:cs="Arial" w:eastAsia="Arial" w:hAnsi="Arial"/>
          <w:sz w:val="12"/>
          <w:szCs w:val="12"/>
          <w:color w:val="auto"/>
        </w:rPr>
      </w:pPr>
    </w:p>
    <w:p>
      <w:pPr>
        <w:ind w:left="1040" w:hanging="259"/>
        <w:spacing w:after="0"/>
        <w:tabs>
          <w:tab w:leader="none" w:pos="1040" w:val="left"/>
        </w:tabs>
        <w:numPr>
          <w:ilvl w:val="1"/>
          <w:numId w:val="86"/>
        </w:numPr>
        <w:rPr>
          <w:rFonts w:ascii="Arial" w:cs="Arial" w:eastAsia="Arial" w:hAnsi="Arial"/>
          <w:sz w:val="12"/>
          <w:szCs w:val="12"/>
          <w:color w:val="auto"/>
        </w:rPr>
      </w:pPr>
      <w:r>
        <w:rPr>
          <w:rFonts w:ascii="Arial" w:cs="Arial" w:eastAsia="Arial" w:hAnsi="Arial"/>
          <w:sz w:val="12"/>
          <w:szCs w:val="12"/>
          <w:color w:val="auto"/>
        </w:rPr>
        <w:t>2023: Matthew Audette, Matthew Enyedi, Greg Gates and Richard Steinmeier</w:t>
      </w:r>
    </w:p>
    <w:p>
      <w:pPr>
        <w:spacing w:after="0" w:line="53" w:lineRule="exact"/>
        <w:rPr>
          <w:rFonts w:ascii="Arial" w:cs="Arial" w:eastAsia="Arial" w:hAnsi="Arial"/>
          <w:sz w:val="12"/>
          <w:szCs w:val="12"/>
          <w:color w:val="auto"/>
        </w:rPr>
      </w:pPr>
    </w:p>
    <w:p>
      <w:pPr>
        <w:ind w:left="1040" w:hanging="259"/>
        <w:spacing w:after="0"/>
        <w:tabs>
          <w:tab w:leader="none" w:pos="1040" w:val="left"/>
        </w:tabs>
        <w:numPr>
          <w:ilvl w:val="1"/>
          <w:numId w:val="86"/>
        </w:numPr>
        <w:rPr>
          <w:rFonts w:ascii="Arial" w:cs="Arial" w:eastAsia="Arial" w:hAnsi="Arial"/>
          <w:sz w:val="12"/>
          <w:szCs w:val="12"/>
          <w:color w:val="auto"/>
        </w:rPr>
      </w:pPr>
      <w:r>
        <w:rPr>
          <w:rFonts w:ascii="Arial" w:cs="Arial" w:eastAsia="Arial" w:hAnsi="Arial"/>
          <w:sz w:val="12"/>
          <w:szCs w:val="12"/>
          <w:color w:val="auto"/>
        </w:rPr>
        <w:t>2022: Matthew Audette, Edward Fandrey, Dayton Semerjian, Kabir Sethi and Richard Steinmeier</w:t>
      </w:r>
    </w:p>
    <w:p>
      <w:pPr>
        <w:spacing w:after="0" w:line="53" w:lineRule="exact"/>
        <w:rPr>
          <w:rFonts w:ascii="Arial" w:cs="Arial" w:eastAsia="Arial" w:hAnsi="Arial"/>
          <w:sz w:val="12"/>
          <w:szCs w:val="12"/>
          <w:color w:val="auto"/>
        </w:rPr>
      </w:pPr>
    </w:p>
    <w:p>
      <w:pPr>
        <w:ind w:left="1040" w:hanging="259"/>
        <w:spacing w:after="0"/>
        <w:tabs>
          <w:tab w:leader="none" w:pos="1040" w:val="left"/>
        </w:tabs>
        <w:numPr>
          <w:ilvl w:val="1"/>
          <w:numId w:val="86"/>
        </w:numPr>
        <w:rPr>
          <w:rFonts w:ascii="Arial" w:cs="Arial" w:eastAsia="Arial" w:hAnsi="Arial"/>
          <w:sz w:val="12"/>
          <w:szCs w:val="12"/>
          <w:color w:val="auto"/>
        </w:rPr>
      </w:pPr>
      <w:r>
        <w:rPr>
          <w:rFonts w:ascii="Arial" w:cs="Arial" w:eastAsia="Arial" w:hAnsi="Arial"/>
          <w:sz w:val="12"/>
          <w:szCs w:val="12"/>
          <w:color w:val="auto"/>
        </w:rPr>
        <w:t>2021: Matthew Audette, Edward Fandrey, Dayton Semerjian and Richard Steinmeier</w:t>
      </w:r>
    </w:p>
    <w:p>
      <w:pPr>
        <w:spacing w:after="0" w:line="53" w:lineRule="exact"/>
        <w:rPr>
          <w:rFonts w:ascii="Arial" w:cs="Arial" w:eastAsia="Arial" w:hAnsi="Arial"/>
          <w:sz w:val="12"/>
          <w:szCs w:val="12"/>
          <w:color w:val="auto"/>
        </w:rPr>
      </w:pPr>
    </w:p>
    <w:p>
      <w:pPr>
        <w:ind w:left="780" w:right="100" w:hanging="241"/>
        <w:spacing w:after="0" w:line="235" w:lineRule="auto"/>
        <w:tabs>
          <w:tab w:leader="none" w:pos="780" w:val="left"/>
        </w:tabs>
        <w:numPr>
          <w:ilvl w:val="0"/>
          <w:numId w:val="86"/>
        </w:numPr>
        <w:rPr>
          <w:rFonts w:ascii="Arial" w:cs="Arial" w:eastAsia="Arial" w:hAnsi="Arial"/>
          <w:sz w:val="12"/>
          <w:szCs w:val="12"/>
          <w:color w:val="auto"/>
        </w:rPr>
      </w:pPr>
      <w:r>
        <w:rPr>
          <w:rFonts w:ascii="Arial" w:cs="Arial" w:eastAsia="Arial" w:hAnsi="Arial"/>
          <w:sz w:val="12"/>
          <w:szCs w:val="12"/>
          <w:color w:val="auto"/>
        </w:rPr>
        <w:t>Amounts reported in these columns represent (i) the total compensation reported in the Summary Compensation Table (“SCT”) for the applicable year in the case of Mr. Steinmeier as the PEO for 2024 and 2025, and Mr. Arnold as the Second PEO for 2021, 2022, 2023 and 2024, and (ii) the average of the total compensation reported in the SCT for the applicable year for our Other NEOs. Amounts shown for Mr. Steinmeier in 2024 include compensation earned in 2024 prior to his appointment as chief executive officer.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FFFFFF"/>
        </w:rPr>
        <w:t>Report of the</w:t>
      </w:r>
    </w:p>
    <w:p>
      <w:pPr>
        <w:spacing w:after="0" w:line="224" w:lineRule="auto"/>
        <w:rPr>
          <w:sz w:val="20"/>
          <w:szCs w:val="20"/>
          <w:color w:val="auto"/>
        </w:rPr>
      </w:pPr>
      <w:r>
        <w:rPr>
          <w:rFonts w:ascii="Arial" w:cs="Arial" w:eastAsia="Arial" w:hAnsi="Arial"/>
          <w:sz w:val="12"/>
          <w:szCs w:val="12"/>
          <w:color w:val="FFFFFF"/>
        </w:rPr>
        <w:t>Compensation</w:t>
      </w:r>
    </w:p>
    <w:p>
      <w:pPr>
        <w:spacing w:after="0" w:line="222" w:lineRule="auto"/>
        <w:rPr>
          <w:sz w:val="20"/>
          <w:szCs w:val="20"/>
          <w:color w:val="auto"/>
        </w:rPr>
      </w:pPr>
      <w:r>
        <w:rPr>
          <w:rFonts w:ascii="Arial" w:cs="Arial" w:eastAsia="Arial" w:hAnsi="Arial"/>
          <w:sz w:val="12"/>
          <w:szCs w:val="12"/>
          <w:color w:val="FFFFFF"/>
        </w:rPr>
        <w:t>and Human</w:t>
      </w:r>
    </w:p>
    <w:p>
      <w:pPr>
        <w:spacing w:after="0" w:line="222" w:lineRule="auto"/>
        <w:rPr>
          <w:sz w:val="20"/>
          <w:szCs w:val="20"/>
          <w:color w:val="auto"/>
        </w:rPr>
      </w:pPr>
      <w:r>
        <w:rPr>
          <w:rFonts w:ascii="Arial" w:cs="Arial" w:eastAsia="Arial" w:hAnsi="Arial"/>
          <w:sz w:val="12"/>
          <w:szCs w:val="12"/>
          <w:color w:val="FFFFFF"/>
        </w:rPr>
        <w:t>Resources</w:t>
      </w:r>
    </w:p>
    <w:p>
      <w:pPr>
        <w:spacing w:after="0" w:line="222" w:lineRule="auto"/>
        <w:rPr>
          <w:sz w:val="20"/>
          <w:szCs w:val="20"/>
          <w:color w:val="auto"/>
        </w:rPr>
      </w:pPr>
      <w:r>
        <w:rPr>
          <w:rFonts w:ascii="Arial" w:cs="Arial" w:eastAsia="Arial" w:hAnsi="Arial"/>
          <w:sz w:val="12"/>
          <w:szCs w:val="12"/>
          <w:color w:val="FFFFFF"/>
        </w:rPr>
        <w:t>Committee of the</w:t>
      </w:r>
    </w:p>
    <w:p>
      <w:pPr>
        <w:spacing w:after="0"/>
        <w:rPr>
          <w:sz w:val="20"/>
          <w:szCs w:val="20"/>
          <w:color w:val="auto"/>
        </w:rPr>
      </w:pPr>
      <w:r>
        <w:rPr>
          <w:rFonts w:ascii="Arial" w:cs="Arial" w:eastAsia="Arial" w:hAnsi="Arial"/>
          <w:sz w:val="11"/>
          <w:szCs w:val="11"/>
          <w:color w:val="FFFFFF"/>
        </w:rPr>
        <w:t>Board of Directors</w:t>
      </w:r>
    </w:p>
    <w:p>
      <w:pPr>
        <w:spacing w:after="0" w:line="155" w:lineRule="exact"/>
        <w:rPr>
          <w:sz w:val="20"/>
          <w:szCs w:val="20"/>
          <w:color w:val="auto"/>
        </w:rPr>
      </w:pPr>
    </w:p>
    <w:p>
      <w:pPr>
        <w:spacing w:after="0"/>
        <w:rPr>
          <w:sz w:val="20"/>
          <w:szCs w:val="20"/>
          <w:color w:val="auto"/>
        </w:rPr>
      </w:pPr>
      <w:r>
        <w:rPr>
          <w:rFonts w:ascii="Arial" w:cs="Arial" w:eastAsia="Arial" w:hAnsi="Arial"/>
          <w:sz w:val="12"/>
          <w:szCs w:val="12"/>
          <w:color w:val="FFFFFF"/>
        </w:rPr>
        <w:t>Compensation of</w:t>
      </w:r>
    </w:p>
    <w:p>
      <w:pPr>
        <w:spacing w:after="0" w:line="224" w:lineRule="auto"/>
        <w:rPr>
          <w:sz w:val="20"/>
          <w:szCs w:val="20"/>
          <w:color w:val="auto"/>
        </w:rPr>
      </w:pPr>
      <w:r>
        <w:rPr>
          <w:rFonts w:ascii="Arial" w:cs="Arial" w:eastAsia="Arial" w:hAnsi="Arial"/>
          <w:sz w:val="12"/>
          <w:szCs w:val="12"/>
          <w:color w:val="FFFFFF"/>
        </w:rPr>
        <w:t>Named Executive</w:t>
      </w:r>
    </w:p>
    <w:p>
      <w:pPr>
        <w:spacing w:after="0"/>
        <w:rPr>
          <w:sz w:val="20"/>
          <w:szCs w:val="20"/>
          <w:color w:val="auto"/>
        </w:rPr>
      </w:pPr>
      <w:r>
        <w:rPr>
          <w:rFonts w:ascii="Arial" w:cs="Arial" w:eastAsia="Arial" w:hAnsi="Arial"/>
          <w:sz w:val="12"/>
          <w:szCs w:val="12"/>
          <w:color w:val="FFFFFF"/>
        </w:rPr>
        <w:t>Officers</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b w:val="1"/>
          <w:bCs w:val="1"/>
          <w:color w:val="FFFFFF"/>
        </w:rPr>
        <w:t>Pay Versus</w:t>
      </w:r>
    </w:p>
    <w:p>
      <w:pPr>
        <w:spacing w:after="0" w:line="224" w:lineRule="auto"/>
        <w:rPr>
          <w:sz w:val="20"/>
          <w:szCs w:val="20"/>
          <w:color w:val="auto"/>
        </w:rPr>
      </w:pPr>
      <w:r>
        <w:rPr>
          <w:rFonts w:ascii="Arial" w:cs="Arial" w:eastAsia="Arial" w:hAnsi="Arial"/>
          <w:sz w:val="12"/>
          <w:szCs w:val="12"/>
          <w:b w:val="1"/>
          <w:bCs w:val="1"/>
          <w:color w:val="FFFFFF"/>
        </w:rPr>
        <w:t>Performance</w:t>
      </w:r>
    </w:p>
    <w:p>
      <w:pPr>
        <w:spacing w:after="0"/>
        <w:rPr>
          <w:sz w:val="20"/>
          <w:szCs w:val="20"/>
          <w:color w:val="auto"/>
        </w:rPr>
      </w:pPr>
      <w:r>
        <w:rPr>
          <w:rFonts w:ascii="Arial" w:cs="Arial" w:eastAsia="Arial" w:hAnsi="Arial"/>
          <w:sz w:val="12"/>
          <w:szCs w:val="12"/>
          <w:b w:val="1"/>
          <w:bCs w:val="1"/>
          <w:color w:val="FFFFFF"/>
        </w:rPr>
        <w:t>Disclosure</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Security</w:t>
      </w:r>
    </w:p>
    <w:p>
      <w:pPr>
        <w:spacing w:after="0" w:line="224" w:lineRule="auto"/>
        <w:rPr>
          <w:sz w:val="20"/>
          <w:szCs w:val="20"/>
          <w:color w:val="auto"/>
        </w:rPr>
      </w:pPr>
      <w:r>
        <w:rPr>
          <w:rFonts w:ascii="Arial" w:cs="Arial" w:eastAsia="Arial" w:hAnsi="Arial"/>
          <w:sz w:val="12"/>
          <w:szCs w:val="12"/>
          <w:color w:val="FFFFFF"/>
        </w:rPr>
        <w:t>Ownership of</w:t>
      </w:r>
    </w:p>
    <w:p>
      <w:pPr>
        <w:spacing w:after="0" w:line="222" w:lineRule="auto"/>
        <w:rPr>
          <w:sz w:val="20"/>
          <w:szCs w:val="20"/>
          <w:color w:val="auto"/>
        </w:rPr>
      </w:pPr>
      <w:r>
        <w:rPr>
          <w:rFonts w:ascii="Arial" w:cs="Arial" w:eastAsia="Arial" w:hAnsi="Arial"/>
          <w:sz w:val="12"/>
          <w:szCs w:val="12"/>
          <w:color w:val="FFFFFF"/>
        </w:rPr>
        <w:t>Certain Beneficial</w:t>
      </w:r>
    </w:p>
    <w:p>
      <w:pPr>
        <w:spacing w:after="0" w:line="222" w:lineRule="auto"/>
        <w:rPr>
          <w:sz w:val="20"/>
          <w:szCs w:val="20"/>
          <w:color w:val="auto"/>
        </w:rPr>
      </w:pPr>
      <w:r>
        <w:rPr>
          <w:rFonts w:ascii="Arial" w:cs="Arial" w:eastAsia="Arial" w:hAnsi="Arial"/>
          <w:sz w:val="12"/>
          <w:szCs w:val="12"/>
          <w:color w:val="FFFFFF"/>
        </w:rPr>
        <w:t>Owners and</w:t>
      </w:r>
    </w:p>
    <w:p>
      <w:pPr>
        <w:spacing w:after="0"/>
        <w:rPr>
          <w:sz w:val="20"/>
          <w:szCs w:val="20"/>
          <w:color w:val="auto"/>
        </w:rPr>
      </w:pPr>
      <w:r>
        <w:rPr>
          <w:rFonts w:ascii="Arial" w:cs="Arial" w:eastAsia="Arial" w:hAnsi="Arial"/>
          <w:sz w:val="12"/>
          <w:szCs w:val="12"/>
          <w:color w:val="FFFFFF"/>
        </w:rPr>
        <w:t>Management</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Certain</w:t>
      </w:r>
    </w:p>
    <w:p>
      <w:pPr>
        <w:spacing w:after="0" w:line="224" w:lineRule="auto"/>
        <w:rPr>
          <w:sz w:val="20"/>
          <w:szCs w:val="20"/>
          <w:color w:val="auto"/>
        </w:rPr>
      </w:pPr>
      <w:r>
        <w:rPr>
          <w:rFonts w:ascii="Arial" w:cs="Arial" w:eastAsia="Arial" w:hAnsi="Arial"/>
          <w:sz w:val="12"/>
          <w:szCs w:val="12"/>
          <w:color w:val="FFFFFF"/>
        </w:rPr>
        <w:t>Relationships and</w:t>
      </w:r>
    </w:p>
    <w:p>
      <w:pPr>
        <w:spacing w:after="0" w:line="222" w:lineRule="auto"/>
        <w:rPr>
          <w:sz w:val="20"/>
          <w:szCs w:val="20"/>
          <w:color w:val="auto"/>
        </w:rPr>
      </w:pPr>
      <w:r>
        <w:rPr>
          <w:rFonts w:ascii="Arial" w:cs="Arial" w:eastAsia="Arial" w:hAnsi="Arial"/>
          <w:sz w:val="12"/>
          <w:szCs w:val="12"/>
          <w:color w:val="FFFFFF"/>
        </w:rPr>
        <w:t>Related Party</w:t>
      </w:r>
    </w:p>
    <w:p>
      <w:pPr>
        <w:spacing w:after="0"/>
        <w:rPr>
          <w:sz w:val="20"/>
          <w:szCs w:val="20"/>
          <w:color w:val="auto"/>
        </w:rPr>
      </w:pPr>
      <w:r>
        <w:rPr>
          <w:rFonts w:ascii="Arial" w:cs="Arial" w:eastAsia="Arial" w:hAnsi="Arial"/>
          <w:sz w:val="12"/>
          <w:szCs w:val="12"/>
          <w:color w:val="FFFFFF"/>
        </w:rPr>
        <w:t>Transactions</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Proposal 2</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FFFFFF"/>
        </w:rPr>
        <w:t>Report of the</w:t>
      </w:r>
    </w:p>
    <w:p>
      <w:pPr>
        <w:spacing w:after="0" w:line="224" w:lineRule="auto"/>
        <w:rPr>
          <w:sz w:val="20"/>
          <w:szCs w:val="20"/>
          <w:color w:val="auto"/>
        </w:rPr>
      </w:pPr>
      <w:r>
        <w:rPr>
          <w:rFonts w:ascii="Arial" w:cs="Arial" w:eastAsia="Arial" w:hAnsi="Arial"/>
          <w:sz w:val="12"/>
          <w:szCs w:val="12"/>
          <w:color w:val="FFFFFF"/>
        </w:rPr>
        <w:t>Audit and Risk</w:t>
      </w:r>
    </w:p>
    <w:p>
      <w:pPr>
        <w:spacing w:after="0" w:line="222" w:lineRule="auto"/>
        <w:rPr>
          <w:sz w:val="20"/>
          <w:szCs w:val="20"/>
          <w:color w:val="auto"/>
        </w:rPr>
      </w:pPr>
      <w:r>
        <w:rPr>
          <w:rFonts w:ascii="Arial" w:cs="Arial" w:eastAsia="Arial" w:hAnsi="Arial"/>
          <w:sz w:val="12"/>
          <w:szCs w:val="12"/>
          <w:color w:val="FFFFFF"/>
        </w:rPr>
        <w:t>Committee of the</w:t>
      </w:r>
    </w:p>
    <w:p>
      <w:pPr>
        <w:spacing w:after="0"/>
        <w:rPr>
          <w:sz w:val="20"/>
          <w:szCs w:val="20"/>
          <w:color w:val="auto"/>
        </w:rPr>
      </w:pPr>
      <w:r>
        <w:rPr>
          <w:rFonts w:ascii="Arial" w:cs="Arial" w:eastAsia="Arial" w:hAnsi="Arial"/>
          <w:sz w:val="11"/>
          <w:szCs w:val="11"/>
          <w:color w:val="FFFFFF"/>
        </w:rPr>
        <w:t>Board of Directors</w:t>
      </w:r>
    </w:p>
    <w:p>
      <w:pPr>
        <w:spacing w:after="0" w:line="155" w:lineRule="exact"/>
        <w:rPr>
          <w:sz w:val="20"/>
          <w:szCs w:val="20"/>
          <w:color w:val="auto"/>
        </w:rPr>
      </w:pPr>
    </w:p>
    <w:p>
      <w:pPr>
        <w:spacing w:after="0"/>
        <w:rPr>
          <w:sz w:val="20"/>
          <w:szCs w:val="20"/>
          <w:color w:val="auto"/>
        </w:rPr>
      </w:pPr>
      <w:r>
        <w:rPr>
          <w:rFonts w:ascii="Arial" w:cs="Arial" w:eastAsia="Arial" w:hAnsi="Arial"/>
          <w:sz w:val="12"/>
          <w:szCs w:val="12"/>
          <w:color w:val="FFFFFF"/>
        </w:rPr>
        <w:t>Proposal 3</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FFFFFF"/>
        </w:rPr>
        <w:t>Proposal 4</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FFFFFF"/>
        </w:rPr>
        <w:t>Proposal 5</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FFFFFF"/>
        </w:rPr>
        <w:t>Proposal 6</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FFFFFF"/>
        </w:rPr>
        <w:t>Stockholder</w:t>
      </w:r>
    </w:p>
    <w:p>
      <w:pPr>
        <w:spacing w:after="0" w:line="224" w:lineRule="auto"/>
        <w:rPr>
          <w:sz w:val="20"/>
          <w:szCs w:val="20"/>
          <w:color w:val="auto"/>
        </w:rPr>
      </w:pPr>
      <w:r>
        <w:rPr>
          <w:rFonts w:ascii="Arial" w:cs="Arial" w:eastAsia="Arial" w:hAnsi="Arial"/>
          <w:sz w:val="12"/>
          <w:szCs w:val="12"/>
          <w:color w:val="FFFFFF"/>
        </w:rPr>
        <w:t>Proposals and</w:t>
      </w:r>
    </w:p>
    <w:p>
      <w:pPr>
        <w:spacing w:after="0"/>
        <w:rPr>
          <w:sz w:val="20"/>
          <w:szCs w:val="20"/>
          <w:color w:val="auto"/>
        </w:rPr>
      </w:pPr>
      <w:r>
        <w:rPr>
          <w:rFonts w:ascii="Arial" w:cs="Arial" w:eastAsia="Arial" w:hAnsi="Arial"/>
          <w:sz w:val="12"/>
          <w:szCs w:val="12"/>
          <w:color w:val="FFFFFF"/>
        </w:rPr>
        <w:t>Other Matters</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Delinquent</w:t>
      </w:r>
    </w:p>
    <w:p>
      <w:pPr>
        <w:spacing w:after="0" w:line="224" w:lineRule="auto"/>
        <w:rPr>
          <w:sz w:val="20"/>
          <w:szCs w:val="20"/>
          <w:color w:val="auto"/>
        </w:rPr>
      </w:pPr>
      <w:r>
        <w:rPr>
          <w:rFonts w:ascii="Arial" w:cs="Arial" w:eastAsia="Arial" w:hAnsi="Arial"/>
          <w:sz w:val="12"/>
          <w:szCs w:val="12"/>
          <w:color w:val="FFFFFF"/>
        </w:rPr>
        <w:t>Section 16(a)</w:t>
      </w:r>
    </w:p>
    <w:p>
      <w:pPr>
        <w:spacing w:after="0"/>
        <w:rPr>
          <w:sz w:val="20"/>
          <w:szCs w:val="20"/>
          <w:color w:val="auto"/>
        </w:rPr>
      </w:pPr>
      <w:r>
        <w:rPr>
          <w:rFonts w:ascii="Arial" w:cs="Arial" w:eastAsia="Arial" w:hAnsi="Arial"/>
          <w:sz w:val="12"/>
          <w:szCs w:val="12"/>
          <w:color w:val="FFFFFF"/>
        </w:rPr>
        <w:t>Reports</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Other</w:t>
      </w:r>
    </w:p>
    <w:p>
      <w:pPr>
        <w:spacing w:after="0" w:line="2" w:lineRule="exact"/>
        <w:rPr>
          <w:sz w:val="20"/>
          <w:szCs w:val="20"/>
          <w:color w:val="auto"/>
        </w:rPr>
      </w:pPr>
    </w:p>
    <w:p>
      <w:pPr>
        <w:spacing w:after="0"/>
        <w:rPr>
          <w:sz w:val="20"/>
          <w:szCs w:val="20"/>
          <w:color w:val="auto"/>
        </w:rPr>
      </w:pPr>
      <w:r>
        <w:rPr>
          <w:rFonts w:ascii="Arial" w:cs="Arial" w:eastAsia="Arial" w:hAnsi="Arial"/>
          <w:sz w:val="12"/>
          <w:szCs w:val="12"/>
          <w:color w:val="FFFFFF"/>
        </w:rPr>
        <w:t>Information</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Appendix A</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FFFFFF"/>
        </w:rPr>
        <w:t>Appendix B</w:t>
      </w:r>
    </w:p>
    <w:p>
      <w:pPr>
        <w:spacing w:after="0" w:line="200" w:lineRule="exact"/>
        <w:rPr>
          <w:sz w:val="20"/>
          <w:szCs w:val="20"/>
          <w:color w:val="auto"/>
        </w:rPr>
      </w:pPr>
    </w:p>
    <w:p>
      <w:pPr>
        <w:sectPr>
          <w:pgSz w:w="11900" w:h="16838" w:orient="portrait"/>
          <w:cols w:equalWidth="0" w:num="2">
            <w:col w:w="8500" w:space="720"/>
            <w:col w:w="1580"/>
          </w:cols>
          <w:pgMar w:left="320" w:top="464" w:right="7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6380"/>
        <w:spacing w:after="0"/>
        <w:tabs>
          <w:tab w:leader="none" w:pos="8500" w:val="left"/>
          <w:tab w:leader="none" w:pos="9960" w:val="left"/>
        </w:tabs>
        <w:rPr>
          <w:sz w:val="20"/>
          <w:szCs w:val="20"/>
          <w:color w:val="auto"/>
        </w:rPr>
      </w:pPr>
      <w:r>
        <w:rPr>
          <w:rFonts w:ascii="Arial" w:cs="Arial" w:eastAsia="Arial" w:hAnsi="Arial"/>
          <w:sz w:val="15"/>
          <w:szCs w:val="15"/>
          <w:b w:val="1"/>
          <w:bCs w:val="1"/>
          <w:color w:val="002B5F"/>
        </w:rPr>
        <w:t xml:space="preserve">2026 Proxy Statement  </w:t>
      </w:r>
      <w:r>
        <w:rPr>
          <w:rFonts w:ascii="Arial" w:cs="Arial" w:eastAsia="Arial" w:hAnsi="Arial"/>
          <w:sz w:val="20"/>
          <w:szCs w:val="20"/>
          <w:color w:val="002B5F"/>
        </w:rPr>
        <w:t>|</w:t>
      </w:r>
      <w:r>
        <w:rPr>
          <w:rFonts w:ascii="Arial" w:cs="Arial" w:eastAsia="Arial" w:hAnsi="Arial"/>
          <w:sz w:val="15"/>
          <w:szCs w:val="15"/>
          <w:b w:val="1"/>
          <w:bCs w:val="1"/>
          <w:color w:val="002B5F"/>
        </w:rPr>
        <w:t xml:space="preserve">  75</w:t>
      </w:r>
      <w:r>
        <w:rPr>
          <w:sz w:val="20"/>
          <w:szCs w:val="20"/>
          <w:color w:val="auto"/>
        </w:rPr>
        <w:tab/>
      </w:r>
      <w:r>
        <w:rPr>
          <w:rFonts w:ascii="Arial" w:cs="Arial" w:eastAsia="Arial" w:hAnsi="Arial"/>
          <w:sz w:val="17"/>
          <w:szCs w:val="17"/>
          <w:color w:val="auto"/>
        </w:rPr>
        <w:t xml:space="preserve">    </w:t>
      </w:r>
      <w:r>
        <w:rPr>
          <w:sz w:val="20"/>
          <w:szCs w:val="20"/>
          <w:color w:val="auto"/>
        </w:rPr>
        <w:tab/>
      </w:r>
      <w:r>
        <w:rPr>
          <w:rFonts w:ascii="Arial" w:cs="Arial" w:eastAsia="Arial" w:hAnsi="Arial"/>
          <w:sz w:val="17"/>
          <w:szCs w:val="17"/>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268605</wp:posOffset>
            </wp:positionH>
            <wp:positionV relativeFrom="paragraph">
              <wp:posOffset>-128905</wp:posOffset>
            </wp:positionV>
            <wp:extent cx="762000" cy="971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62000" cy="97155"/>
                    </a:xfrm>
                    <a:prstGeom prst="rect">
                      <a:avLst/>
                    </a:prstGeom>
                    <a:noFill/>
                  </pic:spPr>
                </pic:pic>
              </a:graphicData>
            </a:graphic>
          </wp:anchor>
        </w:drawing>
      </w:r>
    </w:p>
    <w:p>
      <w:pPr>
        <w:sectPr>
          <w:pgSz w:w="11900" w:h="16838" w:orient="portrait"/>
          <w:cols w:equalWidth="0" w:num="1">
            <w:col w:w="10800"/>
          </w:cols>
          <w:pgMar w:left="320" w:top="464" w:right="779" w:bottom="1440" w:gutter="0" w:footer="0" w:header="0"/>
          <w:type w:val="continuous"/>
        </w:sectPr>
      </w:pPr>
    </w:p>
    <w:bookmarkStart w:id="67" w:name="page68"/>
    <w:bookmarkEnd w:id="67"/>
    <w:p>
      <w:pPr>
        <w:spacing w:after="0"/>
        <w:rPr>
          <w:sz w:val="20"/>
          <w:szCs w:val="20"/>
          <w:color w:val="auto"/>
        </w:rPr>
      </w:pPr>
      <w:r>
        <w:rPr>
          <w:rFonts w:ascii="Times New Roman" w:cs="Times New Roman" w:eastAsia="Times New Roman" w:hAnsi="Times New Roman"/>
          <w:sz w:val="17"/>
          <w:szCs w:val="17"/>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268605</wp:posOffset>
            </wp:positionH>
            <wp:positionV relativeFrom="paragraph">
              <wp:posOffset>253365</wp:posOffset>
            </wp:positionV>
            <wp:extent cx="1183005" cy="745617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1183005" cy="7456170"/>
                    </a:xfrm>
                    <a:prstGeom prst="rect">
                      <a:avLst/>
                    </a:prstGeom>
                    <a:noFill/>
                  </pic:spPr>
                </pic:pic>
              </a:graphicData>
            </a:graphic>
          </wp:anchor>
        </w:drawing>
      </w:r>
    </w:p>
    <w:p>
      <w:pPr>
        <w:spacing w:after="0" w:line="200" w:lineRule="exact"/>
        <w:rPr>
          <w:sz w:val="20"/>
          <w:szCs w:val="20"/>
          <w:color w:val="auto"/>
        </w:rPr>
      </w:pPr>
    </w:p>
    <w:p>
      <w:pPr>
        <w:spacing w:after="0" w:line="304" w:lineRule="exact"/>
        <w:rPr>
          <w:sz w:val="20"/>
          <w:szCs w:val="20"/>
          <w:color w:val="auto"/>
        </w:rPr>
      </w:pPr>
    </w:p>
    <w:p>
      <w:pPr>
        <w:ind w:left="1120" w:right="460" w:hanging="672"/>
        <w:spacing w:after="0" w:line="382" w:lineRule="auto"/>
        <w:tabs>
          <w:tab w:leader="none" w:pos="610" w:val="left"/>
        </w:tabs>
        <w:numPr>
          <w:ilvl w:val="0"/>
          <w:numId w:val="87"/>
        </w:numPr>
        <w:rPr>
          <w:rFonts w:ascii="Arial" w:cs="Arial" w:eastAsia="Arial" w:hAnsi="Arial"/>
          <w:sz w:val="24"/>
          <w:szCs w:val="24"/>
          <w:color w:val="auto"/>
          <w:vertAlign w:val="subscript"/>
        </w:rPr>
      </w:pPr>
      <w:r>
        <w:rPr>
          <w:rFonts w:ascii="Arial" w:cs="Arial" w:eastAsia="Arial" w:hAnsi="Arial"/>
          <w:sz w:val="24"/>
          <w:szCs w:val="24"/>
          <w:color w:val="000000"/>
          <w:vertAlign w:val="subscript"/>
        </w:rPr>
        <w:t xml:space="preserve">     </w:t>
      </w:r>
      <w:r>
        <w:rPr>
          <w:rFonts w:ascii="Arial" w:cs="Arial" w:eastAsia="Arial" w:hAnsi="Arial"/>
          <w:sz w:val="10"/>
          <w:szCs w:val="10"/>
          <w:color w:val="FFFFFF"/>
        </w:rPr>
        <w:t xml:space="preserve"> General Information</w:t>
      </w:r>
    </w:p>
    <w:p>
      <w:pPr>
        <w:spacing w:after="0" w:line="1" w:lineRule="exact"/>
        <w:rPr>
          <w:sz w:val="20"/>
          <w:szCs w:val="20"/>
          <w:color w:val="auto"/>
        </w:rPr>
      </w:pPr>
    </w:p>
    <w:p>
      <w:pPr>
        <w:ind w:left="1120"/>
        <w:spacing w:after="0"/>
        <w:rPr>
          <w:sz w:val="20"/>
          <w:szCs w:val="20"/>
          <w:color w:val="auto"/>
        </w:rPr>
      </w:pPr>
      <w:r>
        <w:rPr>
          <w:rFonts w:ascii="Arial" w:cs="Arial" w:eastAsia="Arial" w:hAnsi="Arial"/>
          <w:sz w:val="11"/>
          <w:szCs w:val="11"/>
          <w:color w:val="FFFFFF"/>
        </w:rPr>
        <w:t>General Information</w:t>
      </w:r>
    </w:p>
    <w:p>
      <w:pPr>
        <w:spacing w:after="0" w:line="3"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About Corporate</w:t>
      </w:r>
    </w:p>
    <w:p>
      <w:pPr>
        <w:ind w:left="1120"/>
        <w:spacing w:after="0" w:line="221" w:lineRule="auto"/>
        <w:rPr>
          <w:sz w:val="20"/>
          <w:szCs w:val="20"/>
          <w:color w:val="auto"/>
        </w:rPr>
      </w:pPr>
      <w:r>
        <w:rPr>
          <w:rFonts w:ascii="Arial" w:cs="Arial" w:eastAsia="Arial" w:hAnsi="Arial"/>
          <w:sz w:val="12"/>
          <w:szCs w:val="12"/>
          <w:color w:val="FFFFFF"/>
        </w:rPr>
        <w:t>Governance</w:t>
      </w:r>
    </w:p>
    <w:p>
      <w:pPr>
        <w:ind w:left="1120"/>
        <w:spacing w:after="0" w:line="222" w:lineRule="auto"/>
        <w:rPr>
          <w:sz w:val="20"/>
          <w:szCs w:val="20"/>
          <w:color w:val="auto"/>
        </w:rPr>
      </w:pPr>
      <w:r>
        <w:rPr>
          <w:rFonts w:ascii="Arial" w:cs="Arial" w:eastAsia="Arial" w:hAnsi="Arial"/>
          <w:sz w:val="12"/>
          <w:szCs w:val="12"/>
          <w:color w:val="FFFFFF"/>
        </w:rPr>
        <w:t>and the Board of</w:t>
      </w:r>
    </w:p>
    <w:p>
      <w:pPr>
        <w:spacing w:after="0" w:line="1"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Directors</w:t>
      </w:r>
    </w:p>
    <w:p>
      <w:pPr>
        <w:spacing w:after="0" w:line="144" w:lineRule="exact"/>
        <w:rPr>
          <w:sz w:val="20"/>
          <w:szCs w:val="20"/>
          <w:color w:val="auto"/>
        </w:rPr>
      </w:pPr>
    </w:p>
    <w:p>
      <w:pPr>
        <w:jc w:val="center"/>
        <w:ind w:left="620"/>
        <w:spacing w:after="0"/>
        <w:rPr>
          <w:sz w:val="20"/>
          <w:szCs w:val="20"/>
          <w:color w:val="auto"/>
        </w:rPr>
      </w:pPr>
      <w:r>
        <w:rPr>
          <w:rFonts w:ascii="Arial" w:cs="Arial" w:eastAsia="Arial" w:hAnsi="Arial"/>
          <w:sz w:val="12"/>
          <w:szCs w:val="12"/>
          <w:color w:val="FFFFFF"/>
        </w:rPr>
        <w:t>Proposal 1</w:t>
      </w:r>
    </w:p>
    <w:p>
      <w:pPr>
        <w:spacing w:after="0" w:line="156"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Information</w:t>
      </w:r>
    </w:p>
    <w:p>
      <w:pPr>
        <w:ind w:left="1120"/>
        <w:spacing w:after="0" w:line="224" w:lineRule="auto"/>
        <w:rPr>
          <w:sz w:val="20"/>
          <w:szCs w:val="20"/>
          <w:color w:val="auto"/>
        </w:rPr>
      </w:pPr>
      <w:r>
        <w:rPr>
          <w:rFonts w:ascii="Arial" w:cs="Arial" w:eastAsia="Arial" w:hAnsi="Arial"/>
          <w:sz w:val="12"/>
          <w:szCs w:val="12"/>
          <w:color w:val="FFFFFF"/>
        </w:rPr>
        <w:t>Regarding Board</w:t>
      </w:r>
    </w:p>
    <w:p>
      <w:pPr>
        <w:ind w:left="1120"/>
        <w:spacing w:after="0" w:line="222" w:lineRule="auto"/>
        <w:rPr>
          <w:sz w:val="20"/>
          <w:szCs w:val="20"/>
          <w:color w:val="auto"/>
        </w:rPr>
      </w:pPr>
      <w:r>
        <w:rPr>
          <w:rFonts w:ascii="Arial" w:cs="Arial" w:eastAsia="Arial" w:hAnsi="Arial"/>
          <w:sz w:val="12"/>
          <w:szCs w:val="12"/>
          <w:color w:val="FFFFFF"/>
        </w:rPr>
        <w:t>and Committee</w:t>
      </w:r>
    </w:p>
    <w:p>
      <w:pPr>
        <w:ind w:left="1120"/>
        <w:spacing w:after="0"/>
        <w:rPr>
          <w:sz w:val="20"/>
          <w:szCs w:val="20"/>
          <w:color w:val="auto"/>
        </w:rPr>
      </w:pPr>
      <w:r>
        <w:rPr>
          <w:rFonts w:ascii="Arial" w:cs="Arial" w:eastAsia="Arial" w:hAnsi="Arial"/>
          <w:sz w:val="12"/>
          <w:szCs w:val="12"/>
          <w:color w:val="FFFFFF"/>
        </w:rPr>
        <w:t>Structure</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Board of Directors</w:t>
      </w:r>
    </w:p>
    <w:p>
      <w:pPr>
        <w:spacing w:after="0" w:line="2"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Compensation</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Compensation</w:t>
      </w:r>
    </w:p>
    <w:p>
      <w:pPr>
        <w:ind w:left="1120"/>
        <w:spacing w:after="0" w:line="224" w:lineRule="auto"/>
        <w:rPr>
          <w:sz w:val="20"/>
          <w:szCs w:val="20"/>
          <w:color w:val="auto"/>
        </w:rPr>
      </w:pPr>
      <w:r>
        <w:rPr>
          <w:rFonts w:ascii="Arial" w:cs="Arial" w:eastAsia="Arial" w:hAnsi="Arial"/>
          <w:sz w:val="12"/>
          <w:szCs w:val="12"/>
          <w:color w:val="FFFFFF"/>
        </w:rPr>
        <w:t>Discussion and</w:t>
      </w:r>
    </w:p>
    <w:p>
      <w:pPr>
        <w:ind w:left="1120"/>
        <w:spacing w:after="0"/>
        <w:rPr>
          <w:sz w:val="20"/>
          <w:szCs w:val="20"/>
          <w:color w:val="auto"/>
        </w:rPr>
      </w:pPr>
      <w:r>
        <w:rPr>
          <w:rFonts w:ascii="Arial" w:cs="Arial" w:eastAsia="Arial" w:hAnsi="Arial"/>
          <w:sz w:val="12"/>
          <w:szCs w:val="12"/>
          <w:color w:val="FFFFFF"/>
        </w:rPr>
        <w:t>Analysis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Report of the</w:t>
      </w:r>
    </w:p>
    <w:p>
      <w:pPr>
        <w:ind w:left="1120"/>
        <w:spacing w:after="0" w:line="224" w:lineRule="auto"/>
        <w:rPr>
          <w:sz w:val="20"/>
          <w:szCs w:val="20"/>
          <w:color w:val="auto"/>
        </w:rPr>
      </w:pPr>
      <w:r>
        <w:rPr>
          <w:rFonts w:ascii="Arial" w:cs="Arial" w:eastAsia="Arial" w:hAnsi="Arial"/>
          <w:sz w:val="12"/>
          <w:szCs w:val="12"/>
          <w:color w:val="FFFFFF"/>
        </w:rPr>
        <w:t>Compensation</w:t>
      </w:r>
    </w:p>
    <w:p>
      <w:pPr>
        <w:ind w:left="1120"/>
        <w:spacing w:after="0" w:line="222" w:lineRule="auto"/>
        <w:rPr>
          <w:sz w:val="20"/>
          <w:szCs w:val="20"/>
          <w:color w:val="auto"/>
        </w:rPr>
      </w:pPr>
      <w:r>
        <w:rPr>
          <w:rFonts w:ascii="Arial" w:cs="Arial" w:eastAsia="Arial" w:hAnsi="Arial"/>
          <w:sz w:val="12"/>
          <w:szCs w:val="12"/>
          <w:color w:val="FFFFFF"/>
        </w:rPr>
        <w:t>and Human</w:t>
      </w:r>
    </w:p>
    <w:p>
      <w:pPr>
        <w:ind w:left="1120"/>
        <w:spacing w:after="0" w:line="222" w:lineRule="auto"/>
        <w:rPr>
          <w:sz w:val="20"/>
          <w:szCs w:val="20"/>
          <w:color w:val="auto"/>
        </w:rPr>
      </w:pPr>
      <w:r>
        <w:rPr>
          <w:rFonts w:ascii="Arial" w:cs="Arial" w:eastAsia="Arial" w:hAnsi="Arial"/>
          <w:sz w:val="12"/>
          <w:szCs w:val="12"/>
          <w:color w:val="FFFFFF"/>
        </w:rPr>
        <w:t>Resources</w:t>
      </w:r>
    </w:p>
    <w:p>
      <w:pPr>
        <w:ind w:left="1120"/>
        <w:spacing w:after="0" w:line="222" w:lineRule="auto"/>
        <w:rPr>
          <w:sz w:val="20"/>
          <w:szCs w:val="20"/>
          <w:color w:val="auto"/>
        </w:rPr>
      </w:pPr>
      <w:r>
        <w:rPr>
          <w:rFonts w:ascii="Arial" w:cs="Arial" w:eastAsia="Arial" w:hAnsi="Arial"/>
          <w:sz w:val="12"/>
          <w:szCs w:val="12"/>
          <w:color w:val="FFFFFF"/>
        </w:rPr>
        <w:t>Committee of the</w:t>
      </w:r>
    </w:p>
    <w:p>
      <w:pPr>
        <w:ind w:left="1120"/>
        <w:spacing w:after="0"/>
        <w:rPr>
          <w:sz w:val="20"/>
          <w:szCs w:val="20"/>
          <w:color w:val="auto"/>
        </w:rPr>
      </w:pPr>
      <w:r>
        <w:rPr>
          <w:rFonts w:ascii="Arial" w:cs="Arial" w:eastAsia="Arial" w:hAnsi="Arial"/>
          <w:sz w:val="12"/>
          <w:szCs w:val="12"/>
          <w:color w:val="FFFFFF"/>
        </w:rPr>
        <w:t>Board of Directors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Compensation of</w:t>
      </w:r>
    </w:p>
    <w:p>
      <w:pPr>
        <w:ind w:left="1120"/>
        <w:spacing w:after="0" w:line="224" w:lineRule="auto"/>
        <w:rPr>
          <w:sz w:val="20"/>
          <w:szCs w:val="20"/>
          <w:color w:val="auto"/>
        </w:rPr>
      </w:pPr>
      <w:r>
        <w:rPr>
          <w:rFonts w:ascii="Arial" w:cs="Arial" w:eastAsia="Arial" w:hAnsi="Arial"/>
          <w:sz w:val="12"/>
          <w:szCs w:val="12"/>
          <w:color w:val="FFFFFF"/>
        </w:rPr>
        <w:t>Named Executive</w:t>
      </w:r>
    </w:p>
    <w:p>
      <w:pPr>
        <w:ind w:left="1120"/>
        <w:spacing w:after="0"/>
        <w:rPr>
          <w:sz w:val="20"/>
          <w:szCs w:val="20"/>
          <w:color w:val="auto"/>
        </w:rPr>
      </w:pPr>
      <w:r>
        <w:rPr>
          <w:rFonts w:ascii="Arial" w:cs="Arial" w:eastAsia="Arial" w:hAnsi="Arial"/>
          <w:sz w:val="12"/>
          <w:szCs w:val="12"/>
          <w:color w:val="FFFFFF"/>
        </w:rPr>
        <w:t>Officers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b w:val="1"/>
          <w:bCs w:val="1"/>
          <w:color w:val="FFFFFF"/>
        </w:rPr>
        <w:t>Pay Versus</w:t>
      </w:r>
    </w:p>
    <w:p>
      <w:pPr>
        <w:ind w:left="1120"/>
        <w:spacing w:after="0" w:line="224" w:lineRule="auto"/>
        <w:rPr>
          <w:sz w:val="20"/>
          <w:szCs w:val="20"/>
          <w:color w:val="auto"/>
        </w:rPr>
      </w:pPr>
      <w:r>
        <w:rPr>
          <w:rFonts w:ascii="Arial" w:cs="Arial" w:eastAsia="Arial" w:hAnsi="Arial"/>
          <w:sz w:val="12"/>
          <w:szCs w:val="12"/>
          <w:b w:val="1"/>
          <w:bCs w:val="1"/>
          <w:color w:val="FFFFFF"/>
        </w:rPr>
        <w:t>Performance</w:t>
      </w:r>
    </w:p>
    <w:p>
      <w:pPr>
        <w:ind w:left="1120"/>
        <w:spacing w:after="0"/>
        <w:rPr>
          <w:sz w:val="20"/>
          <w:szCs w:val="20"/>
          <w:color w:val="auto"/>
        </w:rPr>
      </w:pPr>
      <w:r>
        <w:rPr>
          <w:rFonts w:ascii="Arial" w:cs="Arial" w:eastAsia="Arial" w:hAnsi="Arial"/>
          <w:sz w:val="12"/>
          <w:szCs w:val="12"/>
          <w:b w:val="1"/>
          <w:bCs w:val="1"/>
          <w:color w:val="FFFFFF"/>
        </w:rPr>
        <w:t>Disclosure</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Security</w:t>
      </w:r>
    </w:p>
    <w:p>
      <w:pPr>
        <w:ind w:left="1120"/>
        <w:spacing w:after="0" w:line="224" w:lineRule="auto"/>
        <w:rPr>
          <w:sz w:val="20"/>
          <w:szCs w:val="20"/>
          <w:color w:val="auto"/>
        </w:rPr>
      </w:pPr>
      <w:r>
        <w:rPr>
          <w:rFonts w:ascii="Arial" w:cs="Arial" w:eastAsia="Arial" w:hAnsi="Arial"/>
          <w:sz w:val="12"/>
          <w:szCs w:val="12"/>
          <w:color w:val="FFFFFF"/>
        </w:rPr>
        <w:t>Ownership of</w:t>
      </w:r>
    </w:p>
    <w:p>
      <w:pPr>
        <w:ind w:left="1120"/>
        <w:spacing w:after="0" w:line="222" w:lineRule="auto"/>
        <w:rPr>
          <w:sz w:val="20"/>
          <w:szCs w:val="20"/>
          <w:color w:val="auto"/>
        </w:rPr>
      </w:pPr>
      <w:r>
        <w:rPr>
          <w:rFonts w:ascii="Arial" w:cs="Arial" w:eastAsia="Arial" w:hAnsi="Arial"/>
          <w:sz w:val="12"/>
          <w:szCs w:val="12"/>
          <w:color w:val="FFFFFF"/>
        </w:rPr>
        <w:t>Certain Beneficial</w:t>
      </w:r>
    </w:p>
    <w:p>
      <w:pPr>
        <w:ind w:left="1120"/>
        <w:spacing w:after="0" w:line="222" w:lineRule="auto"/>
        <w:rPr>
          <w:sz w:val="20"/>
          <w:szCs w:val="20"/>
          <w:color w:val="auto"/>
        </w:rPr>
      </w:pPr>
      <w:r>
        <w:rPr>
          <w:rFonts w:ascii="Arial" w:cs="Arial" w:eastAsia="Arial" w:hAnsi="Arial"/>
          <w:sz w:val="12"/>
          <w:szCs w:val="12"/>
          <w:color w:val="FFFFFF"/>
        </w:rPr>
        <w:t>Owners and</w:t>
      </w:r>
    </w:p>
    <w:p>
      <w:pPr>
        <w:ind w:left="1120"/>
        <w:spacing w:after="0"/>
        <w:rPr>
          <w:sz w:val="20"/>
          <w:szCs w:val="20"/>
          <w:color w:val="auto"/>
        </w:rPr>
      </w:pPr>
      <w:r>
        <w:rPr>
          <w:rFonts w:ascii="Arial" w:cs="Arial" w:eastAsia="Arial" w:hAnsi="Arial"/>
          <w:sz w:val="12"/>
          <w:szCs w:val="12"/>
          <w:color w:val="FFFFFF"/>
        </w:rPr>
        <w:t>Management</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Certain</w:t>
      </w:r>
    </w:p>
    <w:p>
      <w:pPr>
        <w:ind w:left="1120"/>
        <w:spacing w:after="0" w:line="224" w:lineRule="auto"/>
        <w:rPr>
          <w:sz w:val="20"/>
          <w:szCs w:val="20"/>
          <w:color w:val="auto"/>
        </w:rPr>
      </w:pPr>
      <w:r>
        <w:rPr>
          <w:rFonts w:ascii="Arial" w:cs="Arial" w:eastAsia="Arial" w:hAnsi="Arial"/>
          <w:sz w:val="12"/>
          <w:szCs w:val="12"/>
          <w:color w:val="FFFFFF"/>
        </w:rPr>
        <w:t>Relationships and</w:t>
      </w:r>
    </w:p>
    <w:p>
      <w:pPr>
        <w:ind w:left="1120"/>
        <w:spacing w:after="0" w:line="222" w:lineRule="auto"/>
        <w:rPr>
          <w:sz w:val="20"/>
          <w:szCs w:val="20"/>
          <w:color w:val="auto"/>
        </w:rPr>
      </w:pPr>
      <w:r>
        <w:rPr>
          <w:rFonts w:ascii="Arial" w:cs="Arial" w:eastAsia="Arial" w:hAnsi="Arial"/>
          <w:sz w:val="12"/>
          <w:szCs w:val="12"/>
          <w:color w:val="FFFFFF"/>
        </w:rPr>
        <w:t>Related Party</w:t>
      </w:r>
    </w:p>
    <w:p>
      <w:pPr>
        <w:ind w:left="1120"/>
        <w:spacing w:after="0"/>
        <w:rPr>
          <w:sz w:val="20"/>
          <w:szCs w:val="20"/>
          <w:color w:val="auto"/>
        </w:rPr>
      </w:pPr>
      <w:r>
        <w:rPr>
          <w:rFonts w:ascii="Arial" w:cs="Arial" w:eastAsia="Arial" w:hAnsi="Arial"/>
          <w:sz w:val="12"/>
          <w:szCs w:val="12"/>
          <w:color w:val="FFFFFF"/>
        </w:rPr>
        <w:t>Transactions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Proposal 2</w:t>
      </w:r>
    </w:p>
    <w:p>
      <w:pPr>
        <w:spacing w:after="0" w:line="156"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Report of the</w:t>
      </w:r>
    </w:p>
    <w:p>
      <w:pPr>
        <w:ind w:left="1120"/>
        <w:spacing w:after="0" w:line="224" w:lineRule="auto"/>
        <w:rPr>
          <w:sz w:val="20"/>
          <w:szCs w:val="20"/>
          <w:color w:val="auto"/>
        </w:rPr>
      </w:pPr>
      <w:r>
        <w:rPr>
          <w:rFonts w:ascii="Arial" w:cs="Arial" w:eastAsia="Arial" w:hAnsi="Arial"/>
          <w:sz w:val="12"/>
          <w:szCs w:val="12"/>
          <w:color w:val="FFFFFF"/>
        </w:rPr>
        <w:t>Audit and Risk</w:t>
      </w:r>
    </w:p>
    <w:p>
      <w:pPr>
        <w:ind w:left="1120"/>
        <w:spacing w:after="0" w:line="222" w:lineRule="auto"/>
        <w:rPr>
          <w:sz w:val="20"/>
          <w:szCs w:val="20"/>
          <w:color w:val="auto"/>
        </w:rPr>
      </w:pPr>
      <w:r>
        <w:rPr>
          <w:rFonts w:ascii="Arial" w:cs="Arial" w:eastAsia="Arial" w:hAnsi="Arial"/>
          <w:sz w:val="12"/>
          <w:szCs w:val="12"/>
          <w:color w:val="FFFFFF"/>
        </w:rPr>
        <w:t>Committee of the</w:t>
      </w:r>
    </w:p>
    <w:p>
      <w:pPr>
        <w:ind w:left="1120"/>
        <w:spacing w:after="0"/>
        <w:rPr>
          <w:sz w:val="20"/>
          <w:szCs w:val="20"/>
          <w:color w:val="auto"/>
        </w:rPr>
      </w:pPr>
      <w:r>
        <w:rPr>
          <w:rFonts w:ascii="Arial" w:cs="Arial" w:eastAsia="Arial" w:hAnsi="Arial"/>
          <w:sz w:val="12"/>
          <w:szCs w:val="12"/>
          <w:color w:val="FFFFFF"/>
        </w:rPr>
        <w:t>Board of Directors</w:t>
      </w:r>
    </w:p>
    <w:p>
      <w:pPr>
        <w:spacing w:after="0" w:line="144" w:lineRule="exact"/>
        <w:rPr>
          <w:sz w:val="20"/>
          <w:szCs w:val="20"/>
          <w:color w:val="auto"/>
        </w:rPr>
      </w:pPr>
    </w:p>
    <w:p>
      <w:pPr>
        <w:jc w:val="center"/>
        <w:ind w:left="620"/>
        <w:spacing w:after="0"/>
        <w:rPr>
          <w:sz w:val="20"/>
          <w:szCs w:val="20"/>
          <w:color w:val="auto"/>
        </w:rPr>
      </w:pPr>
      <w:r>
        <w:rPr>
          <w:rFonts w:ascii="Arial" w:cs="Arial" w:eastAsia="Arial" w:hAnsi="Arial"/>
          <w:sz w:val="12"/>
          <w:szCs w:val="12"/>
          <w:color w:val="FFFFFF"/>
        </w:rPr>
        <w:t>Proposal 3</w:t>
      </w:r>
    </w:p>
    <w:p>
      <w:pPr>
        <w:spacing w:after="0" w:line="156" w:lineRule="exact"/>
        <w:rPr>
          <w:sz w:val="20"/>
          <w:szCs w:val="20"/>
          <w:color w:val="auto"/>
        </w:rPr>
      </w:pPr>
    </w:p>
    <w:p>
      <w:pPr>
        <w:jc w:val="center"/>
        <w:ind w:left="620"/>
        <w:spacing w:after="0"/>
        <w:rPr>
          <w:sz w:val="20"/>
          <w:szCs w:val="20"/>
          <w:color w:val="auto"/>
        </w:rPr>
      </w:pPr>
      <w:r>
        <w:rPr>
          <w:rFonts w:ascii="Arial" w:cs="Arial" w:eastAsia="Arial" w:hAnsi="Arial"/>
          <w:sz w:val="12"/>
          <w:szCs w:val="12"/>
          <w:color w:val="FFFFFF"/>
        </w:rPr>
        <w:t>Proposal 4</w:t>
      </w:r>
    </w:p>
    <w:p>
      <w:pPr>
        <w:spacing w:after="0" w:line="156" w:lineRule="exact"/>
        <w:rPr>
          <w:sz w:val="20"/>
          <w:szCs w:val="20"/>
          <w:color w:val="auto"/>
        </w:rPr>
      </w:pPr>
    </w:p>
    <w:p>
      <w:pPr>
        <w:jc w:val="center"/>
        <w:ind w:left="620"/>
        <w:spacing w:after="0"/>
        <w:rPr>
          <w:sz w:val="20"/>
          <w:szCs w:val="20"/>
          <w:color w:val="auto"/>
        </w:rPr>
      </w:pPr>
      <w:r>
        <w:rPr>
          <w:rFonts w:ascii="Arial" w:cs="Arial" w:eastAsia="Arial" w:hAnsi="Arial"/>
          <w:sz w:val="12"/>
          <w:szCs w:val="12"/>
          <w:color w:val="FFFFFF"/>
        </w:rPr>
        <w:t>Proposal 5</w:t>
      </w:r>
    </w:p>
    <w:p>
      <w:pPr>
        <w:spacing w:after="0" w:line="156"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Proposal 6</w:t>
      </w:r>
    </w:p>
    <w:p>
      <w:pPr>
        <w:spacing w:after="0" w:line="156"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Stockholder</w:t>
      </w:r>
    </w:p>
    <w:p>
      <w:pPr>
        <w:ind w:left="1120"/>
        <w:spacing w:after="0" w:line="224" w:lineRule="auto"/>
        <w:rPr>
          <w:sz w:val="20"/>
          <w:szCs w:val="20"/>
          <w:color w:val="auto"/>
        </w:rPr>
      </w:pPr>
      <w:r>
        <w:rPr>
          <w:rFonts w:ascii="Arial" w:cs="Arial" w:eastAsia="Arial" w:hAnsi="Arial"/>
          <w:sz w:val="12"/>
          <w:szCs w:val="12"/>
          <w:color w:val="FFFFFF"/>
        </w:rPr>
        <w:t>Proposals and</w:t>
      </w:r>
    </w:p>
    <w:p>
      <w:pPr>
        <w:ind w:left="1120"/>
        <w:spacing w:after="0"/>
        <w:rPr>
          <w:sz w:val="20"/>
          <w:szCs w:val="20"/>
          <w:color w:val="auto"/>
        </w:rPr>
      </w:pPr>
      <w:r>
        <w:rPr>
          <w:rFonts w:ascii="Arial" w:cs="Arial" w:eastAsia="Arial" w:hAnsi="Arial"/>
          <w:sz w:val="12"/>
          <w:szCs w:val="12"/>
          <w:color w:val="FFFFFF"/>
        </w:rPr>
        <w:t>Other Matters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Delinquent</w:t>
      </w:r>
    </w:p>
    <w:p>
      <w:pPr>
        <w:ind w:left="1120"/>
        <w:spacing w:after="0" w:line="224" w:lineRule="auto"/>
        <w:rPr>
          <w:sz w:val="20"/>
          <w:szCs w:val="20"/>
          <w:color w:val="auto"/>
        </w:rPr>
      </w:pPr>
      <w:r>
        <w:rPr>
          <w:rFonts w:ascii="Arial" w:cs="Arial" w:eastAsia="Arial" w:hAnsi="Arial"/>
          <w:sz w:val="12"/>
          <w:szCs w:val="12"/>
          <w:color w:val="FFFFFF"/>
        </w:rPr>
        <w:t>Section 16(a)</w:t>
      </w:r>
    </w:p>
    <w:p>
      <w:pPr>
        <w:ind w:left="1120"/>
        <w:spacing w:after="0"/>
        <w:rPr>
          <w:sz w:val="20"/>
          <w:szCs w:val="20"/>
          <w:color w:val="auto"/>
        </w:rPr>
      </w:pPr>
      <w:r>
        <w:rPr>
          <w:rFonts w:ascii="Arial" w:cs="Arial" w:eastAsia="Arial" w:hAnsi="Arial"/>
          <w:sz w:val="12"/>
          <w:szCs w:val="12"/>
          <w:color w:val="FFFFFF"/>
        </w:rPr>
        <w:t>Reports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Other</w:t>
      </w:r>
    </w:p>
    <w:p>
      <w:pPr>
        <w:spacing w:after="0" w:line="2"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Information</w:t>
      </w:r>
    </w:p>
    <w:p>
      <w:pPr>
        <w:spacing w:after="0" w:line="144" w:lineRule="exact"/>
        <w:rPr>
          <w:sz w:val="20"/>
          <w:szCs w:val="20"/>
          <w:color w:val="auto"/>
        </w:rPr>
      </w:pPr>
    </w:p>
    <w:p>
      <w:pPr>
        <w:jc w:val="center"/>
        <w:ind w:left="660"/>
        <w:spacing w:after="0"/>
        <w:rPr>
          <w:sz w:val="20"/>
          <w:szCs w:val="20"/>
          <w:color w:val="auto"/>
        </w:rPr>
      </w:pPr>
      <w:r>
        <w:rPr>
          <w:rFonts w:ascii="Arial" w:cs="Arial" w:eastAsia="Arial" w:hAnsi="Arial"/>
          <w:sz w:val="12"/>
          <w:szCs w:val="12"/>
          <w:color w:val="FFFFFF"/>
        </w:rPr>
        <w:t>Appendix A</w:t>
      </w:r>
    </w:p>
    <w:p>
      <w:pPr>
        <w:spacing w:after="0" w:line="156" w:lineRule="exact"/>
        <w:rPr>
          <w:sz w:val="20"/>
          <w:szCs w:val="20"/>
          <w:color w:val="auto"/>
        </w:rPr>
      </w:pPr>
    </w:p>
    <w:p>
      <w:pPr>
        <w:jc w:val="center"/>
        <w:ind w:left="660"/>
        <w:spacing w:after="0"/>
        <w:rPr>
          <w:sz w:val="20"/>
          <w:szCs w:val="20"/>
          <w:color w:val="auto"/>
        </w:rPr>
      </w:pPr>
      <w:r>
        <w:rPr>
          <w:rFonts w:ascii="Arial" w:cs="Arial" w:eastAsia="Arial" w:hAnsi="Arial"/>
          <w:sz w:val="12"/>
          <w:szCs w:val="12"/>
          <w:color w:val="FFFFFF"/>
        </w:rPr>
        <w:t>Appendix 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240" w:hanging="233"/>
        <w:spacing w:after="0" w:line="232" w:lineRule="auto"/>
        <w:tabs>
          <w:tab w:leader="none" w:pos="240" w:val="left"/>
        </w:tabs>
        <w:numPr>
          <w:ilvl w:val="0"/>
          <w:numId w:val="88"/>
        </w:numPr>
        <w:rPr>
          <w:rFonts w:ascii="Arial" w:cs="Arial" w:eastAsia="Arial" w:hAnsi="Arial"/>
          <w:sz w:val="12"/>
          <w:szCs w:val="12"/>
          <w:color w:val="auto"/>
        </w:rPr>
      </w:pPr>
      <w:r>
        <w:rPr>
          <w:rFonts w:ascii="Arial" w:cs="Arial" w:eastAsia="Arial" w:hAnsi="Arial"/>
          <w:sz w:val="12"/>
          <w:szCs w:val="12"/>
          <w:color w:val="auto"/>
        </w:rPr>
        <w:t>Amounts reported in these columns represent (i) CAP for Mr. Steinmeier as PEO for 2024 and 2025, (ii) CAP for Mr. Arnold as the Second PEO for 2021, 2022, 2023 and 2024, and (iii) the average CAP for the applicable year for our Other NEOs. CAP represents the total compensation reported in the SCT for the applicable year after giving effect to adjustments required by SEC rules. A reconciliation of the adjustments that were used to calculate the CAP amounts from the SCT amounts for Mr. Steinmeier as the PEO, Mr. Arnold as the Second PEO and for the average of the Other NEOs is set forth in the following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-1737995</wp:posOffset>
            </wp:positionH>
            <wp:positionV relativeFrom="paragraph">
              <wp:posOffset>-1052195</wp:posOffset>
            </wp:positionV>
            <wp:extent cx="7181215" cy="5334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81215" cy="53340"/>
                    </a:xfrm>
                    <a:prstGeom prst="rect">
                      <a:avLst/>
                    </a:prstGeom>
                    <a:noFill/>
                  </pic:spPr>
                </pic:pic>
              </a:graphicData>
            </a:graphic>
          </wp:anchor>
        </w:drawing>
      </w:r>
    </w:p>
    <w:p>
      <w:pPr>
        <w:spacing w:after="0" w:line="195" w:lineRule="exact"/>
        <w:rPr>
          <w:sz w:val="20"/>
          <w:szCs w:val="20"/>
          <w:color w:val="auto"/>
        </w:rPr>
      </w:pPr>
    </w:p>
    <w:tbl>
      <w:tblPr>
        <w:tblLayout w:type="fixed"/>
        <w:tblInd w:w="20" w:type="dxa"/>
        <w:tblCellMar>
          <w:top w:w="0" w:type="dxa"/>
          <w:left w:w="0" w:type="dxa"/>
          <w:bottom w:w="0" w:type="dxa"/>
          <w:right w:w="0" w:type="dxa"/>
        </w:tblCellMar>
      </w:tblPr>
      <w:tr>
        <w:trPr>
          <w:trHeight w:val="124"/>
        </w:trPr>
        <w:tc>
          <w:tcPr>
            <w:tcW w:w="780" w:type="dxa"/>
            <w:vAlign w:val="bottom"/>
          </w:tcPr>
          <w:p>
            <w:pPr>
              <w:spacing w:after="0"/>
              <w:rPr>
                <w:sz w:val="10"/>
                <w:szCs w:val="10"/>
                <w:color w:val="auto"/>
              </w:rPr>
            </w:pPr>
          </w:p>
        </w:tc>
        <w:tc>
          <w:tcPr>
            <w:tcW w:w="1280" w:type="dxa"/>
            <w:vAlign w:val="bottom"/>
            <w:gridSpan w:val="3"/>
          </w:tcPr>
          <w:p>
            <w:pPr>
              <w:jc w:val="right"/>
              <w:ind w:right="470"/>
              <w:spacing w:after="0"/>
              <w:rPr>
                <w:sz w:val="20"/>
                <w:szCs w:val="20"/>
                <w:color w:val="auto"/>
              </w:rPr>
            </w:pPr>
            <w:r>
              <w:rPr>
                <w:rFonts w:ascii="Arial" w:cs="Arial" w:eastAsia="Arial" w:hAnsi="Arial"/>
                <w:sz w:val="9"/>
                <w:szCs w:val="9"/>
                <w:b w:val="1"/>
                <w:bCs w:val="1"/>
                <w:color w:val="002B5F"/>
              </w:rPr>
              <w:t>2025</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60" w:type="dxa"/>
            <w:vAlign w:val="bottom"/>
          </w:tcPr>
          <w:p>
            <w:pPr>
              <w:jc w:val="right"/>
              <w:ind w:right="230"/>
              <w:spacing w:after="0"/>
              <w:rPr>
                <w:sz w:val="20"/>
                <w:szCs w:val="20"/>
                <w:color w:val="auto"/>
              </w:rPr>
            </w:pPr>
            <w:r>
              <w:rPr>
                <w:rFonts w:ascii="Arial" w:cs="Arial" w:eastAsia="Arial" w:hAnsi="Arial"/>
                <w:sz w:val="9"/>
                <w:szCs w:val="9"/>
                <w:b w:val="1"/>
                <w:bCs w:val="1"/>
                <w:color w:val="002B5F"/>
              </w:rPr>
              <w:t>2024</w:t>
            </w:r>
          </w:p>
        </w:tc>
        <w:tc>
          <w:tcPr>
            <w:tcW w:w="560" w:type="dxa"/>
            <w:vAlign w:val="bottom"/>
          </w:tcPr>
          <w:p>
            <w:pPr>
              <w:spacing w:after="0"/>
              <w:rPr>
                <w:sz w:val="10"/>
                <w:szCs w:val="10"/>
                <w:color w:val="auto"/>
              </w:rPr>
            </w:pPr>
          </w:p>
        </w:tc>
        <w:tc>
          <w:tcPr>
            <w:tcW w:w="1300" w:type="dxa"/>
            <w:vAlign w:val="bottom"/>
            <w:gridSpan w:val="3"/>
          </w:tcPr>
          <w:p>
            <w:pPr>
              <w:jc w:val="right"/>
              <w:ind w:right="450"/>
              <w:spacing w:after="0"/>
              <w:rPr>
                <w:sz w:val="20"/>
                <w:szCs w:val="20"/>
                <w:color w:val="auto"/>
              </w:rPr>
            </w:pPr>
            <w:r>
              <w:rPr>
                <w:rFonts w:ascii="Arial" w:cs="Arial" w:eastAsia="Arial" w:hAnsi="Arial"/>
                <w:sz w:val="9"/>
                <w:szCs w:val="9"/>
                <w:b w:val="1"/>
                <w:bCs w:val="1"/>
                <w:color w:val="002B5F"/>
              </w:rPr>
              <w:t>2023</w:t>
            </w:r>
          </w:p>
        </w:tc>
        <w:tc>
          <w:tcPr>
            <w:tcW w:w="1280" w:type="dxa"/>
            <w:vAlign w:val="bottom"/>
            <w:gridSpan w:val="3"/>
          </w:tcPr>
          <w:p>
            <w:pPr>
              <w:jc w:val="right"/>
              <w:ind w:right="450"/>
              <w:spacing w:after="0"/>
              <w:rPr>
                <w:sz w:val="20"/>
                <w:szCs w:val="20"/>
                <w:color w:val="auto"/>
              </w:rPr>
            </w:pPr>
            <w:r>
              <w:rPr>
                <w:rFonts w:ascii="Arial" w:cs="Arial" w:eastAsia="Arial" w:hAnsi="Arial"/>
                <w:sz w:val="9"/>
                <w:szCs w:val="9"/>
                <w:b w:val="1"/>
                <w:bCs w:val="1"/>
                <w:color w:val="002B5F"/>
              </w:rPr>
              <w:t>2022</w:t>
            </w:r>
          </w:p>
        </w:tc>
        <w:tc>
          <w:tcPr>
            <w:tcW w:w="1280" w:type="dxa"/>
            <w:vAlign w:val="bottom"/>
            <w:gridSpan w:val="3"/>
          </w:tcPr>
          <w:p>
            <w:pPr>
              <w:jc w:val="right"/>
              <w:ind w:right="450"/>
              <w:spacing w:after="0"/>
              <w:rPr>
                <w:sz w:val="20"/>
                <w:szCs w:val="20"/>
                <w:color w:val="auto"/>
              </w:rPr>
            </w:pPr>
            <w:r>
              <w:rPr>
                <w:rFonts w:ascii="Arial" w:cs="Arial" w:eastAsia="Arial" w:hAnsi="Arial"/>
                <w:sz w:val="9"/>
                <w:szCs w:val="9"/>
                <w:b w:val="1"/>
                <w:bCs w:val="1"/>
                <w:color w:val="002B5F"/>
              </w:rPr>
              <w:t>2021</w:t>
            </w:r>
          </w:p>
        </w:tc>
        <w:tc>
          <w:tcPr>
            <w:tcW w:w="40" w:type="dxa"/>
            <w:vAlign w:val="bottom"/>
          </w:tcPr>
          <w:p>
            <w:pPr>
              <w:spacing w:after="0"/>
              <w:rPr>
                <w:sz w:val="10"/>
                <w:szCs w:val="10"/>
                <w:color w:val="auto"/>
              </w:rPr>
            </w:pPr>
          </w:p>
        </w:tc>
      </w:tr>
      <w:tr>
        <w:trPr>
          <w:trHeight w:val="112"/>
        </w:trPr>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660" w:type="dxa"/>
            <w:vAlign w:val="bottom"/>
            <w:tcBorders>
              <w:top w:val="single" w:sz="8" w:color="002B5F"/>
            </w:tcBorders>
          </w:tcPr>
          <w:p>
            <w:pPr>
              <w:spacing w:after="0"/>
              <w:rPr>
                <w:sz w:val="9"/>
                <w:szCs w:val="9"/>
                <w:color w:val="auto"/>
              </w:rPr>
            </w:pPr>
          </w:p>
        </w:tc>
        <w:tc>
          <w:tcPr>
            <w:tcW w:w="580" w:type="dxa"/>
            <w:vAlign w:val="bottom"/>
            <w:tcBorders>
              <w:top w:val="single" w:sz="8" w:color="002B5F"/>
            </w:tcBorders>
          </w:tcPr>
          <w:p>
            <w:pPr>
              <w:jc w:val="right"/>
              <w:ind w:right="30"/>
              <w:spacing w:after="0"/>
              <w:rPr>
                <w:sz w:val="20"/>
                <w:szCs w:val="20"/>
                <w:color w:val="auto"/>
              </w:rPr>
            </w:pPr>
            <w:r>
              <w:rPr>
                <w:rFonts w:ascii="Arial" w:cs="Arial" w:eastAsia="Arial" w:hAnsi="Arial"/>
                <w:sz w:val="9"/>
                <w:szCs w:val="9"/>
                <w:b w:val="1"/>
                <w:bCs w:val="1"/>
                <w:color w:val="002B5F"/>
              </w:rPr>
              <w:t>Average</w:t>
            </w: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Borders>
              <w:top w:val="single" w:sz="8" w:color="002B5F"/>
            </w:tcBorders>
          </w:tcPr>
          <w:p>
            <w:pPr>
              <w:spacing w:after="0"/>
              <w:rPr>
                <w:sz w:val="9"/>
                <w:szCs w:val="9"/>
                <w:color w:val="auto"/>
              </w:rPr>
            </w:pPr>
          </w:p>
        </w:tc>
        <w:tc>
          <w:tcPr>
            <w:tcW w:w="760" w:type="dxa"/>
            <w:vAlign w:val="bottom"/>
            <w:tcBorders>
              <w:top w:val="single" w:sz="8" w:color="002B5F"/>
            </w:tcBorders>
          </w:tcPr>
          <w:p>
            <w:pPr>
              <w:spacing w:after="0"/>
              <w:rPr>
                <w:sz w:val="9"/>
                <w:szCs w:val="9"/>
                <w:color w:val="auto"/>
              </w:rPr>
            </w:pPr>
          </w:p>
        </w:tc>
        <w:tc>
          <w:tcPr>
            <w:tcW w:w="560" w:type="dxa"/>
            <w:vAlign w:val="bottom"/>
            <w:tcBorders>
              <w:top w:val="single" w:sz="8" w:color="002B5F"/>
            </w:tcBorders>
          </w:tcPr>
          <w:p>
            <w:pPr>
              <w:jc w:val="right"/>
              <w:ind w:right="30"/>
              <w:spacing w:after="0"/>
              <w:rPr>
                <w:sz w:val="20"/>
                <w:szCs w:val="20"/>
                <w:color w:val="auto"/>
              </w:rPr>
            </w:pPr>
            <w:r>
              <w:rPr>
                <w:rFonts w:ascii="Arial" w:cs="Arial" w:eastAsia="Arial" w:hAnsi="Arial"/>
                <w:sz w:val="9"/>
                <w:szCs w:val="9"/>
                <w:b w:val="1"/>
                <w:bCs w:val="1"/>
                <w:color w:val="002B5F"/>
              </w:rPr>
              <w:t>Average</w:t>
            </w:r>
          </w:p>
        </w:tc>
        <w:tc>
          <w:tcPr>
            <w:tcW w:w="100" w:type="dxa"/>
            <w:vAlign w:val="bottom"/>
          </w:tcPr>
          <w:p>
            <w:pPr>
              <w:spacing w:after="0"/>
              <w:rPr>
                <w:sz w:val="9"/>
                <w:szCs w:val="9"/>
                <w:color w:val="auto"/>
              </w:rPr>
            </w:pPr>
          </w:p>
        </w:tc>
        <w:tc>
          <w:tcPr>
            <w:tcW w:w="620" w:type="dxa"/>
            <w:vAlign w:val="bottom"/>
            <w:tcBorders>
              <w:top w:val="single" w:sz="8" w:color="002B5F"/>
            </w:tcBorders>
          </w:tcPr>
          <w:p>
            <w:pPr>
              <w:spacing w:after="0"/>
              <w:rPr>
                <w:sz w:val="9"/>
                <w:szCs w:val="9"/>
                <w:color w:val="auto"/>
              </w:rPr>
            </w:pPr>
          </w:p>
        </w:tc>
        <w:tc>
          <w:tcPr>
            <w:tcW w:w="580" w:type="dxa"/>
            <w:vAlign w:val="bottom"/>
            <w:tcBorders>
              <w:top w:val="single" w:sz="8" w:color="002B5F"/>
            </w:tcBorders>
          </w:tcPr>
          <w:p>
            <w:pPr>
              <w:jc w:val="right"/>
              <w:ind w:right="30"/>
              <w:spacing w:after="0"/>
              <w:rPr>
                <w:sz w:val="20"/>
                <w:szCs w:val="20"/>
                <w:color w:val="auto"/>
              </w:rPr>
            </w:pPr>
            <w:r>
              <w:rPr>
                <w:rFonts w:ascii="Arial" w:cs="Arial" w:eastAsia="Arial" w:hAnsi="Arial"/>
                <w:sz w:val="9"/>
                <w:szCs w:val="9"/>
                <w:b w:val="1"/>
                <w:bCs w:val="1"/>
                <w:color w:val="002B5F"/>
              </w:rPr>
              <w:t>Average</w:t>
            </w:r>
          </w:p>
        </w:tc>
        <w:tc>
          <w:tcPr>
            <w:tcW w:w="80" w:type="dxa"/>
            <w:vAlign w:val="bottom"/>
          </w:tcPr>
          <w:p>
            <w:pPr>
              <w:spacing w:after="0"/>
              <w:rPr>
                <w:sz w:val="9"/>
                <w:szCs w:val="9"/>
                <w:color w:val="auto"/>
              </w:rPr>
            </w:pPr>
          </w:p>
        </w:tc>
        <w:tc>
          <w:tcPr>
            <w:tcW w:w="640" w:type="dxa"/>
            <w:vAlign w:val="bottom"/>
            <w:tcBorders>
              <w:top w:val="single" w:sz="8" w:color="002B5F"/>
            </w:tcBorders>
          </w:tcPr>
          <w:p>
            <w:pPr>
              <w:spacing w:after="0"/>
              <w:rPr>
                <w:sz w:val="9"/>
                <w:szCs w:val="9"/>
                <w:color w:val="auto"/>
              </w:rPr>
            </w:pPr>
          </w:p>
        </w:tc>
        <w:tc>
          <w:tcPr>
            <w:tcW w:w="560" w:type="dxa"/>
            <w:vAlign w:val="bottom"/>
            <w:tcBorders>
              <w:top w:val="single" w:sz="8" w:color="002B5F"/>
            </w:tcBorders>
          </w:tcPr>
          <w:p>
            <w:pPr>
              <w:jc w:val="right"/>
              <w:ind w:right="30"/>
              <w:spacing w:after="0"/>
              <w:rPr>
                <w:sz w:val="20"/>
                <w:szCs w:val="20"/>
                <w:color w:val="auto"/>
              </w:rPr>
            </w:pPr>
            <w:r>
              <w:rPr>
                <w:rFonts w:ascii="Arial" w:cs="Arial" w:eastAsia="Arial" w:hAnsi="Arial"/>
                <w:sz w:val="9"/>
                <w:szCs w:val="9"/>
                <w:b w:val="1"/>
                <w:bCs w:val="1"/>
                <w:color w:val="002B5F"/>
              </w:rPr>
              <w:t>Average</w:t>
            </w:r>
          </w:p>
        </w:tc>
        <w:tc>
          <w:tcPr>
            <w:tcW w:w="100" w:type="dxa"/>
            <w:vAlign w:val="bottom"/>
          </w:tcPr>
          <w:p>
            <w:pPr>
              <w:spacing w:after="0"/>
              <w:rPr>
                <w:sz w:val="9"/>
                <w:szCs w:val="9"/>
                <w:color w:val="auto"/>
              </w:rPr>
            </w:pPr>
          </w:p>
        </w:tc>
        <w:tc>
          <w:tcPr>
            <w:tcW w:w="620" w:type="dxa"/>
            <w:vAlign w:val="bottom"/>
            <w:tcBorders>
              <w:top w:val="single" w:sz="8" w:color="002B5F"/>
            </w:tcBorders>
          </w:tcPr>
          <w:p>
            <w:pPr>
              <w:spacing w:after="0"/>
              <w:rPr>
                <w:sz w:val="9"/>
                <w:szCs w:val="9"/>
                <w:color w:val="auto"/>
              </w:rPr>
            </w:pPr>
          </w:p>
        </w:tc>
        <w:tc>
          <w:tcPr>
            <w:tcW w:w="560" w:type="dxa"/>
            <w:vAlign w:val="bottom"/>
            <w:tcBorders>
              <w:top w:val="single" w:sz="8" w:color="002B5F"/>
            </w:tcBorders>
          </w:tcPr>
          <w:p>
            <w:pPr>
              <w:jc w:val="center"/>
              <w:spacing w:after="0"/>
              <w:rPr>
                <w:sz w:val="20"/>
                <w:szCs w:val="20"/>
                <w:color w:val="auto"/>
              </w:rPr>
            </w:pPr>
            <w:r>
              <w:rPr>
                <w:rFonts w:ascii="Arial" w:cs="Arial" w:eastAsia="Arial" w:hAnsi="Arial"/>
                <w:sz w:val="9"/>
                <w:szCs w:val="9"/>
                <w:b w:val="1"/>
                <w:bCs w:val="1"/>
                <w:color w:val="002B5F"/>
              </w:rPr>
              <w:t>Average</w:t>
            </w:r>
          </w:p>
        </w:tc>
        <w:tc>
          <w:tcPr>
            <w:tcW w:w="40" w:type="dxa"/>
            <w:vAlign w:val="bottom"/>
          </w:tcPr>
          <w:p>
            <w:pPr>
              <w:spacing w:after="0"/>
              <w:rPr>
                <w:sz w:val="9"/>
                <w:szCs w:val="9"/>
                <w:color w:val="auto"/>
              </w:rPr>
            </w:pPr>
          </w:p>
        </w:tc>
      </w:tr>
      <w:tr>
        <w:trPr>
          <w:trHeight w:val="115"/>
        </w:trPr>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660" w:type="dxa"/>
            <w:vAlign w:val="bottom"/>
          </w:tcPr>
          <w:p>
            <w:pPr>
              <w:spacing w:after="0"/>
              <w:rPr>
                <w:sz w:val="9"/>
                <w:szCs w:val="9"/>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9"/>
                <w:szCs w:val="9"/>
                <w:b w:val="1"/>
                <w:bCs w:val="1"/>
                <w:color w:val="002B5F"/>
              </w:rPr>
              <w:t>Other</w:t>
            </w:r>
          </w:p>
        </w:tc>
        <w:tc>
          <w:tcPr>
            <w:tcW w:w="40" w:type="dxa"/>
            <w:vAlign w:val="bottom"/>
          </w:tcPr>
          <w:p>
            <w:pPr>
              <w:spacing w:after="0"/>
              <w:rPr>
                <w:sz w:val="9"/>
                <w:szCs w:val="9"/>
                <w:color w:val="auto"/>
              </w:rPr>
            </w:pPr>
          </w:p>
        </w:tc>
        <w:tc>
          <w:tcPr>
            <w:tcW w:w="560" w:type="dxa"/>
            <w:vAlign w:val="bottom"/>
          </w:tcPr>
          <w:p>
            <w:pPr>
              <w:spacing w:after="0"/>
              <w:rPr>
                <w:sz w:val="9"/>
                <w:szCs w:val="9"/>
                <w:color w:val="auto"/>
              </w:rPr>
            </w:pPr>
          </w:p>
        </w:tc>
        <w:tc>
          <w:tcPr>
            <w:tcW w:w="760" w:type="dxa"/>
            <w:vAlign w:val="bottom"/>
          </w:tcPr>
          <w:p>
            <w:pPr>
              <w:jc w:val="right"/>
              <w:ind w:right="210"/>
              <w:spacing w:after="0"/>
              <w:rPr>
                <w:sz w:val="20"/>
                <w:szCs w:val="20"/>
                <w:color w:val="auto"/>
              </w:rPr>
            </w:pPr>
            <w:r>
              <w:rPr>
                <w:rFonts w:ascii="Arial" w:cs="Arial" w:eastAsia="Arial" w:hAnsi="Arial"/>
                <w:sz w:val="9"/>
                <w:szCs w:val="9"/>
                <w:b w:val="1"/>
                <w:bCs w:val="1"/>
                <w:color w:val="002B5F"/>
              </w:rPr>
              <w:t>Second</w:t>
            </w:r>
          </w:p>
        </w:tc>
        <w:tc>
          <w:tcPr>
            <w:tcW w:w="560" w:type="dxa"/>
            <w:vAlign w:val="bottom"/>
          </w:tcPr>
          <w:p>
            <w:pPr>
              <w:jc w:val="right"/>
              <w:ind w:right="90"/>
              <w:spacing w:after="0"/>
              <w:rPr>
                <w:sz w:val="20"/>
                <w:szCs w:val="20"/>
                <w:color w:val="auto"/>
              </w:rPr>
            </w:pPr>
            <w:r>
              <w:rPr>
                <w:rFonts w:ascii="Arial" w:cs="Arial" w:eastAsia="Arial" w:hAnsi="Arial"/>
                <w:sz w:val="9"/>
                <w:szCs w:val="9"/>
                <w:b w:val="1"/>
                <w:bCs w:val="1"/>
                <w:color w:val="002B5F"/>
              </w:rPr>
              <w:t>Other</w:t>
            </w:r>
          </w:p>
        </w:tc>
        <w:tc>
          <w:tcPr>
            <w:tcW w:w="100" w:type="dxa"/>
            <w:vAlign w:val="bottom"/>
          </w:tcPr>
          <w:p>
            <w:pPr>
              <w:spacing w:after="0"/>
              <w:rPr>
                <w:sz w:val="9"/>
                <w:szCs w:val="9"/>
                <w:color w:val="auto"/>
              </w:rPr>
            </w:pPr>
          </w:p>
        </w:tc>
        <w:tc>
          <w:tcPr>
            <w:tcW w:w="620" w:type="dxa"/>
            <w:vAlign w:val="bottom"/>
          </w:tcPr>
          <w:p>
            <w:pPr>
              <w:jc w:val="right"/>
              <w:ind w:right="111"/>
              <w:spacing w:after="0"/>
              <w:rPr>
                <w:sz w:val="20"/>
                <w:szCs w:val="20"/>
                <w:color w:val="auto"/>
              </w:rPr>
            </w:pPr>
            <w:r>
              <w:rPr>
                <w:rFonts w:ascii="Arial" w:cs="Arial" w:eastAsia="Arial" w:hAnsi="Arial"/>
                <w:sz w:val="9"/>
                <w:szCs w:val="9"/>
                <w:b w:val="1"/>
                <w:bCs w:val="1"/>
                <w:color w:val="002B5F"/>
              </w:rPr>
              <w:t>Second</w:t>
            </w:r>
          </w:p>
        </w:tc>
        <w:tc>
          <w:tcPr>
            <w:tcW w:w="580" w:type="dxa"/>
            <w:vAlign w:val="bottom"/>
          </w:tcPr>
          <w:p>
            <w:pPr>
              <w:jc w:val="right"/>
              <w:ind w:right="90"/>
              <w:spacing w:after="0"/>
              <w:rPr>
                <w:sz w:val="20"/>
                <w:szCs w:val="20"/>
                <w:color w:val="auto"/>
              </w:rPr>
            </w:pPr>
            <w:r>
              <w:rPr>
                <w:rFonts w:ascii="Arial" w:cs="Arial" w:eastAsia="Arial" w:hAnsi="Arial"/>
                <w:sz w:val="9"/>
                <w:szCs w:val="9"/>
                <w:b w:val="1"/>
                <w:bCs w:val="1"/>
                <w:color w:val="002B5F"/>
              </w:rPr>
              <w:t>Other</w:t>
            </w:r>
          </w:p>
        </w:tc>
        <w:tc>
          <w:tcPr>
            <w:tcW w:w="80" w:type="dxa"/>
            <w:vAlign w:val="bottom"/>
          </w:tcPr>
          <w:p>
            <w:pPr>
              <w:spacing w:after="0"/>
              <w:rPr>
                <w:sz w:val="9"/>
                <w:szCs w:val="9"/>
                <w:color w:val="auto"/>
              </w:rPr>
            </w:pPr>
          </w:p>
        </w:tc>
        <w:tc>
          <w:tcPr>
            <w:tcW w:w="640" w:type="dxa"/>
            <w:vAlign w:val="bottom"/>
          </w:tcPr>
          <w:p>
            <w:pPr>
              <w:jc w:val="right"/>
              <w:ind w:right="131"/>
              <w:spacing w:after="0"/>
              <w:rPr>
                <w:sz w:val="20"/>
                <w:szCs w:val="20"/>
                <w:color w:val="auto"/>
              </w:rPr>
            </w:pPr>
            <w:r>
              <w:rPr>
                <w:rFonts w:ascii="Arial" w:cs="Arial" w:eastAsia="Arial" w:hAnsi="Arial"/>
                <w:sz w:val="9"/>
                <w:szCs w:val="9"/>
                <w:b w:val="1"/>
                <w:bCs w:val="1"/>
                <w:color w:val="002B5F"/>
              </w:rPr>
              <w:t>Second</w:t>
            </w:r>
          </w:p>
        </w:tc>
        <w:tc>
          <w:tcPr>
            <w:tcW w:w="560" w:type="dxa"/>
            <w:vAlign w:val="bottom"/>
          </w:tcPr>
          <w:p>
            <w:pPr>
              <w:jc w:val="right"/>
              <w:ind w:right="90"/>
              <w:spacing w:after="0"/>
              <w:rPr>
                <w:sz w:val="20"/>
                <w:szCs w:val="20"/>
                <w:color w:val="auto"/>
              </w:rPr>
            </w:pPr>
            <w:r>
              <w:rPr>
                <w:rFonts w:ascii="Arial" w:cs="Arial" w:eastAsia="Arial" w:hAnsi="Arial"/>
                <w:sz w:val="9"/>
                <w:szCs w:val="9"/>
                <w:b w:val="1"/>
                <w:bCs w:val="1"/>
                <w:color w:val="002B5F"/>
              </w:rPr>
              <w:t>Other</w:t>
            </w:r>
          </w:p>
        </w:tc>
        <w:tc>
          <w:tcPr>
            <w:tcW w:w="100" w:type="dxa"/>
            <w:vAlign w:val="bottom"/>
          </w:tcPr>
          <w:p>
            <w:pPr>
              <w:spacing w:after="0"/>
              <w:rPr>
                <w:sz w:val="9"/>
                <w:szCs w:val="9"/>
                <w:color w:val="auto"/>
              </w:rPr>
            </w:pPr>
          </w:p>
        </w:tc>
        <w:tc>
          <w:tcPr>
            <w:tcW w:w="620" w:type="dxa"/>
            <w:vAlign w:val="bottom"/>
          </w:tcPr>
          <w:p>
            <w:pPr>
              <w:jc w:val="right"/>
              <w:ind w:right="131"/>
              <w:spacing w:after="0"/>
              <w:rPr>
                <w:sz w:val="20"/>
                <w:szCs w:val="20"/>
                <w:color w:val="auto"/>
              </w:rPr>
            </w:pPr>
            <w:r>
              <w:rPr>
                <w:rFonts w:ascii="Arial" w:cs="Arial" w:eastAsia="Arial" w:hAnsi="Arial"/>
                <w:sz w:val="9"/>
                <w:szCs w:val="9"/>
                <w:b w:val="1"/>
                <w:bCs w:val="1"/>
                <w:color w:val="002B5F"/>
              </w:rPr>
              <w:t>Second</w:t>
            </w:r>
          </w:p>
        </w:tc>
        <w:tc>
          <w:tcPr>
            <w:tcW w:w="600" w:type="dxa"/>
            <w:vAlign w:val="bottom"/>
            <w:gridSpan w:val="2"/>
          </w:tcPr>
          <w:p>
            <w:pPr>
              <w:jc w:val="center"/>
              <w:ind w:right="20"/>
              <w:spacing w:after="0"/>
              <w:rPr>
                <w:sz w:val="20"/>
                <w:szCs w:val="20"/>
                <w:color w:val="auto"/>
              </w:rPr>
            </w:pPr>
            <w:r>
              <w:rPr>
                <w:rFonts w:ascii="Arial" w:cs="Arial" w:eastAsia="Arial" w:hAnsi="Arial"/>
                <w:sz w:val="9"/>
                <w:szCs w:val="9"/>
                <w:b w:val="1"/>
                <w:bCs w:val="1"/>
                <w:color w:val="002B5F"/>
              </w:rPr>
              <w:t>Other</w:t>
            </w:r>
          </w:p>
        </w:tc>
      </w:tr>
      <w:tr>
        <w:trPr>
          <w:trHeight w:val="162"/>
        </w:trPr>
        <w:tc>
          <w:tcPr>
            <w:tcW w:w="780" w:type="dxa"/>
            <w:vAlign w:val="bottom"/>
            <w:tcBorders>
              <w:bottom w:val="single" w:sz="8" w:color="002B5F"/>
            </w:tcBorders>
          </w:tcPr>
          <w:p>
            <w:pPr>
              <w:spacing w:after="0"/>
              <w:rPr>
                <w:sz w:val="14"/>
                <w:szCs w:val="14"/>
                <w:color w:val="auto"/>
              </w:rPr>
            </w:pPr>
          </w:p>
        </w:tc>
        <w:tc>
          <w:tcPr>
            <w:tcW w:w="40" w:type="dxa"/>
            <w:vAlign w:val="bottom"/>
            <w:tcBorders>
              <w:bottom w:val="single" w:sz="8" w:color="002B5F"/>
            </w:tcBorders>
          </w:tcPr>
          <w:p>
            <w:pPr>
              <w:spacing w:after="0"/>
              <w:rPr>
                <w:sz w:val="14"/>
                <w:szCs w:val="14"/>
                <w:color w:val="auto"/>
              </w:rPr>
            </w:pPr>
          </w:p>
        </w:tc>
        <w:tc>
          <w:tcPr>
            <w:tcW w:w="660" w:type="dxa"/>
            <w:vAlign w:val="bottom"/>
            <w:tcBorders>
              <w:bottom w:val="single" w:sz="8" w:color="002B5F"/>
            </w:tcBorders>
          </w:tcPr>
          <w:p>
            <w:pPr>
              <w:jc w:val="right"/>
              <w:ind w:right="210"/>
              <w:spacing w:after="0"/>
              <w:rPr>
                <w:sz w:val="20"/>
                <w:szCs w:val="20"/>
                <w:color w:val="auto"/>
              </w:rPr>
            </w:pPr>
            <w:r>
              <w:rPr>
                <w:rFonts w:ascii="Arial" w:cs="Arial" w:eastAsia="Arial" w:hAnsi="Arial"/>
                <w:sz w:val="9"/>
                <w:szCs w:val="9"/>
                <w:b w:val="1"/>
                <w:bCs w:val="1"/>
                <w:color w:val="002B5F"/>
              </w:rPr>
              <w:t>PEO</w:t>
            </w:r>
          </w:p>
        </w:tc>
        <w:tc>
          <w:tcPr>
            <w:tcW w:w="660" w:type="dxa"/>
            <w:vAlign w:val="bottom"/>
            <w:tcBorders>
              <w:bottom w:val="single" w:sz="8" w:color="002B5F"/>
            </w:tcBorders>
            <w:gridSpan w:val="2"/>
          </w:tcPr>
          <w:p>
            <w:pPr>
              <w:jc w:val="right"/>
              <w:ind w:right="220"/>
              <w:spacing w:after="0"/>
              <w:rPr>
                <w:sz w:val="20"/>
                <w:szCs w:val="20"/>
                <w:color w:val="auto"/>
              </w:rPr>
            </w:pPr>
            <w:r>
              <w:rPr>
                <w:rFonts w:ascii="Arial" w:cs="Arial" w:eastAsia="Arial" w:hAnsi="Arial"/>
                <w:sz w:val="9"/>
                <w:szCs w:val="9"/>
                <w:b w:val="1"/>
                <w:bCs w:val="1"/>
                <w:color w:val="002B5F"/>
              </w:rPr>
              <w:t>NEOs</w:t>
            </w:r>
          </w:p>
        </w:tc>
        <w:tc>
          <w:tcPr>
            <w:tcW w:w="40" w:type="dxa"/>
            <w:vAlign w:val="bottom"/>
            <w:tcBorders>
              <w:bottom w:val="single" w:sz="8" w:color="002B5F"/>
            </w:tcBorders>
          </w:tcPr>
          <w:p>
            <w:pPr>
              <w:spacing w:after="0"/>
              <w:rPr>
                <w:sz w:val="14"/>
                <w:szCs w:val="14"/>
                <w:color w:val="auto"/>
              </w:rPr>
            </w:pPr>
          </w:p>
        </w:tc>
        <w:tc>
          <w:tcPr>
            <w:tcW w:w="560" w:type="dxa"/>
            <w:vAlign w:val="bottom"/>
            <w:tcBorders>
              <w:bottom w:val="single" w:sz="8" w:color="002B5F"/>
            </w:tcBorders>
          </w:tcPr>
          <w:p>
            <w:pPr>
              <w:jc w:val="right"/>
              <w:ind w:right="150"/>
              <w:spacing w:after="0"/>
              <w:rPr>
                <w:sz w:val="20"/>
                <w:szCs w:val="20"/>
                <w:color w:val="auto"/>
              </w:rPr>
            </w:pPr>
            <w:r>
              <w:rPr>
                <w:rFonts w:ascii="Arial" w:cs="Arial" w:eastAsia="Arial" w:hAnsi="Arial"/>
                <w:sz w:val="9"/>
                <w:szCs w:val="9"/>
                <w:b w:val="1"/>
                <w:bCs w:val="1"/>
                <w:color w:val="002B5F"/>
              </w:rPr>
              <w:t>PEO</w:t>
            </w:r>
          </w:p>
        </w:tc>
        <w:tc>
          <w:tcPr>
            <w:tcW w:w="760" w:type="dxa"/>
            <w:vAlign w:val="bottom"/>
            <w:tcBorders>
              <w:bottom w:val="single" w:sz="8" w:color="002B5F"/>
            </w:tcBorders>
          </w:tcPr>
          <w:p>
            <w:pPr>
              <w:jc w:val="right"/>
              <w:ind w:right="270"/>
              <w:spacing w:after="0"/>
              <w:rPr>
                <w:sz w:val="20"/>
                <w:szCs w:val="20"/>
                <w:color w:val="auto"/>
              </w:rPr>
            </w:pPr>
            <w:r>
              <w:rPr>
                <w:rFonts w:ascii="Arial" w:cs="Arial" w:eastAsia="Arial" w:hAnsi="Arial"/>
                <w:sz w:val="9"/>
                <w:szCs w:val="9"/>
                <w:b w:val="1"/>
                <w:bCs w:val="1"/>
                <w:color w:val="002B5F"/>
              </w:rPr>
              <w:t>PEO</w:t>
            </w:r>
          </w:p>
        </w:tc>
        <w:tc>
          <w:tcPr>
            <w:tcW w:w="560" w:type="dxa"/>
            <w:vAlign w:val="bottom"/>
            <w:tcBorders>
              <w:bottom w:val="single" w:sz="8" w:color="002B5F"/>
            </w:tcBorders>
          </w:tcPr>
          <w:p>
            <w:pPr>
              <w:jc w:val="right"/>
              <w:ind w:right="90"/>
              <w:spacing w:after="0"/>
              <w:rPr>
                <w:sz w:val="20"/>
                <w:szCs w:val="20"/>
                <w:color w:val="auto"/>
              </w:rPr>
            </w:pPr>
            <w:r>
              <w:rPr>
                <w:rFonts w:ascii="Arial" w:cs="Arial" w:eastAsia="Arial" w:hAnsi="Arial"/>
                <w:sz w:val="9"/>
                <w:szCs w:val="9"/>
                <w:b w:val="1"/>
                <w:bCs w:val="1"/>
                <w:color w:val="002B5F"/>
              </w:rPr>
              <w:t>NEOs</w:t>
            </w:r>
          </w:p>
        </w:tc>
        <w:tc>
          <w:tcPr>
            <w:tcW w:w="100" w:type="dxa"/>
            <w:vAlign w:val="bottom"/>
            <w:tcBorders>
              <w:bottom w:val="single" w:sz="8" w:color="002B5F"/>
            </w:tcBorders>
          </w:tcPr>
          <w:p>
            <w:pPr>
              <w:spacing w:after="0"/>
              <w:rPr>
                <w:sz w:val="14"/>
                <w:szCs w:val="14"/>
                <w:color w:val="auto"/>
              </w:rPr>
            </w:pPr>
          </w:p>
        </w:tc>
        <w:tc>
          <w:tcPr>
            <w:tcW w:w="620" w:type="dxa"/>
            <w:vAlign w:val="bottom"/>
            <w:tcBorders>
              <w:bottom w:val="single" w:sz="8" w:color="002B5F"/>
            </w:tcBorders>
          </w:tcPr>
          <w:p>
            <w:pPr>
              <w:jc w:val="right"/>
              <w:ind w:right="191"/>
              <w:spacing w:after="0"/>
              <w:rPr>
                <w:sz w:val="20"/>
                <w:szCs w:val="20"/>
                <w:color w:val="auto"/>
              </w:rPr>
            </w:pPr>
            <w:r>
              <w:rPr>
                <w:rFonts w:ascii="Arial" w:cs="Arial" w:eastAsia="Arial" w:hAnsi="Arial"/>
                <w:sz w:val="9"/>
                <w:szCs w:val="9"/>
                <w:b w:val="1"/>
                <w:bCs w:val="1"/>
                <w:color w:val="002B5F"/>
              </w:rPr>
              <w:t>PEO</w:t>
            </w:r>
          </w:p>
        </w:tc>
        <w:tc>
          <w:tcPr>
            <w:tcW w:w="580" w:type="dxa"/>
            <w:vAlign w:val="bottom"/>
            <w:tcBorders>
              <w:bottom w:val="single" w:sz="8" w:color="002B5F"/>
            </w:tcBorders>
          </w:tcPr>
          <w:p>
            <w:pPr>
              <w:jc w:val="right"/>
              <w:ind w:right="90"/>
              <w:spacing w:after="0"/>
              <w:rPr>
                <w:sz w:val="20"/>
                <w:szCs w:val="20"/>
                <w:color w:val="auto"/>
              </w:rPr>
            </w:pPr>
            <w:r>
              <w:rPr>
                <w:rFonts w:ascii="Arial" w:cs="Arial" w:eastAsia="Arial" w:hAnsi="Arial"/>
                <w:sz w:val="9"/>
                <w:szCs w:val="9"/>
                <w:b w:val="1"/>
                <w:bCs w:val="1"/>
                <w:color w:val="002B5F"/>
              </w:rPr>
              <w:t>NEOs</w:t>
            </w:r>
          </w:p>
        </w:tc>
        <w:tc>
          <w:tcPr>
            <w:tcW w:w="80" w:type="dxa"/>
            <w:vAlign w:val="bottom"/>
            <w:tcBorders>
              <w:bottom w:val="single" w:sz="8" w:color="002B5F"/>
            </w:tcBorders>
          </w:tcPr>
          <w:p>
            <w:pPr>
              <w:spacing w:after="0"/>
              <w:rPr>
                <w:sz w:val="14"/>
                <w:szCs w:val="14"/>
                <w:color w:val="auto"/>
              </w:rPr>
            </w:pPr>
          </w:p>
        </w:tc>
        <w:tc>
          <w:tcPr>
            <w:tcW w:w="640" w:type="dxa"/>
            <w:vAlign w:val="bottom"/>
            <w:tcBorders>
              <w:bottom w:val="single" w:sz="8" w:color="002B5F"/>
            </w:tcBorders>
          </w:tcPr>
          <w:p>
            <w:pPr>
              <w:jc w:val="right"/>
              <w:ind w:right="191"/>
              <w:spacing w:after="0"/>
              <w:rPr>
                <w:sz w:val="20"/>
                <w:szCs w:val="20"/>
                <w:color w:val="auto"/>
              </w:rPr>
            </w:pPr>
            <w:r>
              <w:rPr>
                <w:rFonts w:ascii="Arial" w:cs="Arial" w:eastAsia="Arial" w:hAnsi="Arial"/>
                <w:sz w:val="9"/>
                <w:szCs w:val="9"/>
                <w:b w:val="1"/>
                <w:bCs w:val="1"/>
                <w:color w:val="002B5F"/>
              </w:rPr>
              <w:t>PEO</w:t>
            </w:r>
          </w:p>
        </w:tc>
        <w:tc>
          <w:tcPr>
            <w:tcW w:w="560" w:type="dxa"/>
            <w:vAlign w:val="bottom"/>
            <w:tcBorders>
              <w:bottom w:val="single" w:sz="8" w:color="002B5F"/>
            </w:tcBorders>
          </w:tcPr>
          <w:p>
            <w:pPr>
              <w:jc w:val="right"/>
              <w:ind w:right="90"/>
              <w:spacing w:after="0"/>
              <w:rPr>
                <w:sz w:val="20"/>
                <w:szCs w:val="20"/>
                <w:color w:val="auto"/>
              </w:rPr>
            </w:pPr>
            <w:r>
              <w:rPr>
                <w:rFonts w:ascii="Arial" w:cs="Arial" w:eastAsia="Arial" w:hAnsi="Arial"/>
                <w:sz w:val="9"/>
                <w:szCs w:val="9"/>
                <w:b w:val="1"/>
                <w:bCs w:val="1"/>
                <w:color w:val="002B5F"/>
              </w:rPr>
              <w:t>NEOs</w:t>
            </w:r>
          </w:p>
        </w:tc>
        <w:tc>
          <w:tcPr>
            <w:tcW w:w="100" w:type="dxa"/>
            <w:vAlign w:val="bottom"/>
            <w:tcBorders>
              <w:bottom w:val="single" w:sz="8" w:color="002B5F"/>
            </w:tcBorders>
          </w:tcPr>
          <w:p>
            <w:pPr>
              <w:spacing w:after="0"/>
              <w:rPr>
                <w:sz w:val="14"/>
                <w:szCs w:val="14"/>
                <w:color w:val="auto"/>
              </w:rPr>
            </w:pPr>
          </w:p>
        </w:tc>
        <w:tc>
          <w:tcPr>
            <w:tcW w:w="620" w:type="dxa"/>
            <w:vAlign w:val="bottom"/>
            <w:tcBorders>
              <w:bottom w:val="single" w:sz="8" w:color="002B5F"/>
            </w:tcBorders>
          </w:tcPr>
          <w:p>
            <w:pPr>
              <w:jc w:val="right"/>
              <w:ind w:right="191"/>
              <w:spacing w:after="0"/>
              <w:rPr>
                <w:sz w:val="20"/>
                <w:szCs w:val="20"/>
                <w:color w:val="auto"/>
              </w:rPr>
            </w:pPr>
            <w:r>
              <w:rPr>
                <w:rFonts w:ascii="Arial" w:cs="Arial" w:eastAsia="Arial" w:hAnsi="Arial"/>
                <w:sz w:val="9"/>
                <w:szCs w:val="9"/>
                <w:b w:val="1"/>
                <w:bCs w:val="1"/>
                <w:color w:val="002B5F"/>
              </w:rPr>
              <w:t>PEO</w:t>
            </w:r>
          </w:p>
        </w:tc>
        <w:tc>
          <w:tcPr>
            <w:tcW w:w="600" w:type="dxa"/>
            <w:vAlign w:val="bottom"/>
            <w:tcBorders>
              <w:bottom w:val="single" w:sz="8" w:color="002B5F"/>
            </w:tcBorders>
            <w:gridSpan w:val="2"/>
          </w:tcPr>
          <w:p>
            <w:pPr>
              <w:jc w:val="center"/>
              <w:ind w:right="20"/>
              <w:spacing w:after="0"/>
              <w:rPr>
                <w:sz w:val="20"/>
                <w:szCs w:val="20"/>
                <w:color w:val="auto"/>
              </w:rPr>
            </w:pPr>
            <w:r>
              <w:rPr>
                <w:rFonts w:ascii="Arial" w:cs="Arial" w:eastAsia="Arial" w:hAnsi="Arial"/>
                <w:sz w:val="9"/>
                <w:szCs w:val="9"/>
                <w:b w:val="1"/>
                <w:bCs w:val="1"/>
                <w:color w:val="002B5F"/>
              </w:rPr>
              <w:t>NEOs</w:t>
            </w:r>
          </w:p>
        </w:tc>
      </w:tr>
      <w:tr>
        <w:trPr>
          <w:trHeight w:val="102"/>
        </w:trPr>
        <w:tc>
          <w:tcPr>
            <w:tcW w:w="780" w:type="dxa"/>
            <w:vAlign w:val="bottom"/>
            <w:shd w:val="clear" w:color="auto" w:fill="F7F1EC"/>
          </w:tcPr>
          <w:p>
            <w:pPr>
              <w:ind w:left="60"/>
              <w:spacing w:after="0" w:line="102" w:lineRule="exact"/>
              <w:rPr>
                <w:sz w:val="20"/>
                <w:szCs w:val="20"/>
                <w:color w:val="auto"/>
              </w:rPr>
            </w:pPr>
            <w:r>
              <w:rPr>
                <w:rFonts w:ascii="Arial" w:cs="Arial" w:eastAsia="Arial" w:hAnsi="Arial"/>
                <w:sz w:val="10"/>
                <w:szCs w:val="10"/>
                <w:b w:val="1"/>
                <w:bCs w:val="1"/>
                <w:color w:val="auto"/>
              </w:rPr>
              <w:t>Summary</w:t>
            </w:r>
          </w:p>
        </w:tc>
        <w:tc>
          <w:tcPr>
            <w:tcW w:w="40" w:type="dxa"/>
            <w:vAlign w:val="bottom"/>
            <w:shd w:val="clear" w:color="auto" w:fill="F7F1EC"/>
          </w:tcPr>
          <w:p>
            <w:pPr>
              <w:spacing w:after="0"/>
              <w:rPr>
                <w:sz w:val="8"/>
                <w:szCs w:val="8"/>
                <w:color w:val="auto"/>
              </w:rPr>
            </w:pPr>
          </w:p>
        </w:tc>
        <w:tc>
          <w:tcPr>
            <w:tcW w:w="660" w:type="dxa"/>
            <w:vAlign w:val="bottom"/>
            <w:shd w:val="clear" w:color="auto" w:fill="F7F1EC"/>
          </w:tcPr>
          <w:p>
            <w:pPr>
              <w:spacing w:after="0"/>
              <w:rPr>
                <w:sz w:val="8"/>
                <w:szCs w:val="8"/>
                <w:color w:val="auto"/>
              </w:rPr>
            </w:pPr>
          </w:p>
        </w:tc>
        <w:tc>
          <w:tcPr>
            <w:tcW w:w="580" w:type="dxa"/>
            <w:vAlign w:val="bottom"/>
            <w:shd w:val="clear" w:color="auto" w:fill="F7F1EC"/>
          </w:tcPr>
          <w:p>
            <w:pPr>
              <w:spacing w:after="0"/>
              <w:rPr>
                <w:sz w:val="8"/>
                <w:szCs w:val="8"/>
                <w:color w:val="auto"/>
              </w:rPr>
            </w:pPr>
          </w:p>
        </w:tc>
        <w:tc>
          <w:tcPr>
            <w:tcW w:w="80" w:type="dxa"/>
            <w:vAlign w:val="bottom"/>
            <w:shd w:val="clear" w:color="auto" w:fill="F7F1EC"/>
          </w:tcPr>
          <w:p>
            <w:pPr>
              <w:spacing w:after="0"/>
              <w:rPr>
                <w:sz w:val="8"/>
                <w:szCs w:val="8"/>
                <w:color w:val="auto"/>
              </w:rPr>
            </w:pPr>
          </w:p>
        </w:tc>
        <w:tc>
          <w:tcPr>
            <w:tcW w:w="40" w:type="dxa"/>
            <w:vAlign w:val="bottom"/>
            <w:shd w:val="clear" w:color="auto" w:fill="F7F1EC"/>
          </w:tcPr>
          <w:p>
            <w:pPr>
              <w:spacing w:after="0"/>
              <w:rPr>
                <w:sz w:val="8"/>
                <w:szCs w:val="8"/>
                <w:color w:val="auto"/>
              </w:rPr>
            </w:pPr>
          </w:p>
        </w:tc>
        <w:tc>
          <w:tcPr>
            <w:tcW w:w="560" w:type="dxa"/>
            <w:vAlign w:val="bottom"/>
            <w:shd w:val="clear" w:color="auto" w:fill="F7F1EC"/>
          </w:tcPr>
          <w:p>
            <w:pPr>
              <w:spacing w:after="0"/>
              <w:rPr>
                <w:sz w:val="8"/>
                <w:szCs w:val="8"/>
                <w:color w:val="auto"/>
              </w:rPr>
            </w:pPr>
          </w:p>
        </w:tc>
        <w:tc>
          <w:tcPr>
            <w:tcW w:w="760" w:type="dxa"/>
            <w:vAlign w:val="bottom"/>
            <w:shd w:val="clear" w:color="auto" w:fill="F7F1EC"/>
          </w:tcPr>
          <w:p>
            <w:pPr>
              <w:spacing w:after="0"/>
              <w:rPr>
                <w:sz w:val="8"/>
                <w:szCs w:val="8"/>
                <w:color w:val="auto"/>
              </w:rPr>
            </w:pPr>
          </w:p>
        </w:tc>
        <w:tc>
          <w:tcPr>
            <w:tcW w:w="560" w:type="dxa"/>
            <w:vAlign w:val="bottom"/>
            <w:shd w:val="clear" w:color="auto" w:fill="F7F1EC"/>
          </w:tcPr>
          <w:p>
            <w:pPr>
              <w:spacing w:after="0"/>
              <w:rPr>
                <w:sz w:val="8"/>
                <w:szCs w:val="8"/>
                <w:color w:val="auto"/>
              </w:rPr>
            </w:pPr>
          </w:p>
        </w:tc>
        <w:tc>
          <w:tcPr>
            <w:tcW w:w="100" w:type="dxa"/>
            <w:vAlign w:val="bottom"/>
            <w:shd w:val="clear" w:color="auto" w:fill="F7F1EC"/>
          </w:tcPr>
          <w:p>
            <w:pPr>
              <w:spacing w:after="0"/>
              <w:rPr>
                <w:sz w:val="8"/>
                <w:szCs w:val="8"/>
                <w:color w:val="auto"/>
              </w:rPr>
            </w:pPr>
          </w:p>
        </w:tc>
        <w:tc>
          <w:tcPr>
            <w:tcW w:w="620" w:type="dxa"/>
            <w:vAlign w:val="bottom"/>
            <w:shd w:val="clear" w:color="auto" w:fill="F7F1EC"/>
          </w:tcPr>
          <w:p>
            <w:pPr>
              <w:spacing w:after="0"/>
              <w:rPr>
                <w:sz w:val="8"/>
                <w:szCs w:val="8"/>
                <w:color w:val="auto"/>
              </w:rPr>
            </w:pPr>
          </w:p>
        </w:tc>
        <w:tc>
          <w:tcPr>
            <w:tcW w:w="580" w:type="dxa"/>
            <w:vAlign w:val="bottom"/>
            <w:shd w:val="clear" w:color="auto" w:fill="F7F1EC"/>
          </w:tcPr>
          <w:p>
            <w:pPr>
              <w:spacing w:after="0"/>
              <w:rPr>
                <w:sz w:val="8"/>
                <w:szCs w:val="8"/>
                <w:color w:val="auto"/>
              </w:rPr>
            </w:pPr>
          </w:p>
        </w:tc>
        <w:tc>
          <w:tcPr>
            <w:tcW w:w="80" w:type="dxa"/>
            <w:vAlign w:val="bottom"/>
            <w:shd w:val="clear" w:color="auto" w:fill="F7F1EC"/>
          </w:tcPr>
          <w:p>
            <w:pPr>
              <w:spacing w:after="0"/>
              <w:rPr>
                <w:sz w:val="8"/>
                <w:szCs w:val="8"/>
                <w:color w:val="auto"/>
              </w:rPr>
            </w:pPr>
          </w:p>
        </w:tc>
        <w:tc>
          <w:tcPr>
            <w:tcW w:w="640" w:type="dxa"/>
            <w:vAlign w:val="bottom"/>
            <w:shd w:val="clear" w:color="auto" w:fill="F7F1EC"/>
          </w:tcPr>
          <w:p>
            <w:pPr>
              <w:spacing w:after="0"/>
              <w:rPr>
                <w:sz w:val="8"/>
                <w:szCs w:val="8"/>
                <w:color w:val="auto"/>
              </w:rPr>
            </w:pPr>
          </w:p>
        </w:tc>
        <w:tc>
          <w:tcPr>
            <w:tcW w:w="560" w:type="dxa"/>
            <w:vAlign w:val="bottom"/>
            <w:shd w:val="clear" w:color="auto" w:fill="F7F1EC"/>
          </w:tcPr>
          <w:p>
            <w:pPr>
              <w:spacing w:after="0"/>
              <w:rPr>
                <w:sz w:val="8"/>
                <w:szCs w:val="8"/>
                <w:color w:val="auto"/>
              </w:rPr>
            </w:pPr>
          </w:p>
        </w:tc>
        <w:tc>
          <w:tcPr>
            <w:tcW w:w="100" w:type="dxa"/>
            <w:vAlign w:val="bottom"/>
            <w:shd w:val="clear" w:color="auto" w:fill="F7F1EC"/>
          </w:tcPr>
          <w:p>
            <w:pPr>
              <w:spacing w:after="0"/>
              <w:rPr>
                <w:sz w:val="8"/>
                <w:szCs w:val="8"/>
                <w:color w:val="auto"/>
              </w:rPr>
            </w:pPr>
          </w:p>
        </w:tc>
        <w:tc>
          <w:tcPr>
            <w:tcW w:w="620" w:type="dxa"/>
            <w:vAlign w:val="bottom"/>
            <w:shd w:val="clear" w:color="auto" w:fill="F7F1EC"/>
          </w:tcPr>
          <w:p>
            <w:pPr>
              <w:spacing w:after="0"/>
              <w:rPr>
                <w:sz w:val="8"/>
                <w:szCs w:val="8"/>
                <w:color w:val="auto"/>
              </w:rPr>
            </w:pPr>
          </w:p>
        </w:tc>
        <w:tc>
          <w:tcPr>
            <w:tcW w:w="560" w:type="dxa"/>
            <w:vAlign w:val="bottom"/>
            <w:shd w:val="clear" w:color="auto" w:fill="F7F1EC"/>
          </w:tcPr>
          <w:p>
            <w:pPr>
              <w:spacing w:after="0"/>
              <w:rPr>
                <w:sz w:val="8"/>
                <w:szCs w:val="8"/>
                <w:color w:val="auto"/>
              </w:rPr>
            </w:pPr>
          </w:p>
        </w:tc>
        <w:tc>
          <w:tcPr>
            <w:tcW w:w="40" w:type="dxa"/>
            <w:vAlign w:val="bottom"/>
            <w:shd w:val="clear" w:color="auto" w:fill="F7F1EC"/>
          </w:tcPr>
          <w:p>
            <w:pPr>
              <w:spacing w:after="0"/>
              <w:rPr>
                <w:sz w:val="8"/>
                <w:szCs w:val="8"/>
                <w:color w:val="auto"/>
              </w:rPr>
            </w:pPr>
          </w:p>
        </w:tc>
      </w:tr>
      <w:tr>
        <w:trPr>
          <w:trHeight w:val="115"/>
        </w:trPr>
        <w:tc>
          <w:tcPr>
            <w:tcW w:w="780" w:type="dxa"/>
            <w:vAlign w:val="bottom"/>
            <w:shd w:val="clear" w:color="auto" w:fill="F7F1EC"/>
          </w:tcPr>
          <w:p>
            <w:pPr>
              <w:ind w:left="60"/>
              <w:spacing w:after="0"/>
              <w:rPr>
                <w:sz w:val="20"/>
                <w:szCs w:val="20"/>
                <w:color w:val="auto"/>
              </w:rPr>
            </w:pPr>
            <w:r>
              <w:rPr>
                <w:rFonts w:ascii="Arial" w:cs="Arial" w:eastAsia="Arial" w:hAnsi="Arial"/>
                <w:sz w:val="10"/>
                <w:szCs w:val="10"/>
                <w:b w:val="1"/>
                <w:bCs w:val="1"/>
                <w:color w:val="auto"/>
              </w:rPr>
              <w:t>Compensation</w:t>
            </w:r>
          </w:p>
        </w:tc>
        <w:tc>
          <w:tcPr>
            <w:tcW w:w="40" w:type="dxa"/>
            <w:vAlign w:val="bottom"/>
            <w:shd w:val="clear" w:color="auto" w:fill="F7F1EC"/>
          </w:tcPr>
          <w:p>
            <w:pPr>
              <w:spacing w:after="0"/>
              <w:rPr>
                <w:sz w:val="9"/>
                <w:szCs w:val="9"/>
                <w:color w:val="auto"/>
              </w:rPr>
            </w:pPr>
          </w:p>
        </w:tc>
        <w:tc>
          <w:tcPr>
            <w:tcW w:w="660" w:type="dxa"/>
            <w:vAlign w:val="bottom"/>
            <w:shd w:val="clear" w:color="auto" w:fill="F7F1EC"/>
          </w:tcPr>
          <w:p>
            <w:pPr>
              <w:spacing w:after="0"/>
              <w:rPr>
                <w:sz w:val="9"/>
                <w:szCs w:val="9"/>
                <w:color w:val="auto"/>
              </w:rPr>
            </w:pPr>
          </w:p>
        </w:tc>
        <w:tc>
          <w:tcPr>
            <w:tcW w:w="580" w:type="dxa"/>
            <w:vAlign w:val="bottom"/>
            <w:shd w:val="clear" w:color="auto" w:fill="F7F1EC"/>
          </w:tcPr>
          <w:p>
            <w:pPr>
              <w:spacing w:after="0"/>
              <w:rPr>
                <w:sz w:val="9"/>
                <w:szCs w:val="9"/>
                <w:color w:val="auto"/>
              </w:rPr>
            </w:pPr>
          </w:p>
        </w:tc>
        <w:tc>
          <w:tcPr>
            <w:tcW w:w="80" w:type="dxa"/>
            <w:vAlign w:val="bottom"/>
            <w:shd w:val="clear" w:color="auto" w:fill="F7F1EC"/>
          </w:tcPr>
          <w:p>
            <w:pPr>
              <w:spacing w:after="0"/>
              <w:rPr>
                <w:sz w:val="9"/>
                <w:szCs w:val="9"/>
                <w:color w:val="auto"/>
              </w:rPr>
            </w:pPr>
          </w:p>
        </w:tc>
        <w:tc>
          <w:tcPr>
            <w:tcW w:w="40" w:type="dxa"/>
            <w:vAlign w:val="bottom"/>
            <w:shd w:val="clear" w:color="auto" w:fill="F7F1EC"/>
          </w:tcPr>
          <w:p>
            <w:pPr>
              <w:spacing w:after="0"/>
              <w:rPr>
                <w:sz w:val="9"/>
                <w:szCs w:val="9"/>
                <w:color w:val="auto"/>
              </w:rPr>
            </w:pPr>
          </w:p>
        </w:tc>
        <w:tc>
          <w:tcPr>
            <w:tcW w:w="560" w:type="dxa"/>
            <w:vAlign w:val="bottom"/>
            <w:shd w:val="clear" w:color="auto" w:fill="F7F1EC"/>
          </w:tcPr>
          <w:p>
            <w:pPr>
              <w:spacing w:after="0"/>
              <w:rPr>
                <w:sz w:val="9"/>
                <w:szCs w:val="9"/>
                <w:color w:val="auto"/>
              </w:rPr>
            </w:pPr>
          </w:p>
        </w:tc>
        <w:tc>
          <w:tcPr>
            <w:tcW w:w="760" w:type="dxa"/>
            <w:vAlign w:val="bottom"/>
            <w:shd w:val="clear" w:color="auto" w:fill="F7F1EC"/>
          </w:tcPr>
          <w:p>
            <w:pPr>
              <w:spacing w:after="0"/>
              <w:rPr>
                <w:sz w:val="9"/>
                <w:szCs w:val="9"/>
                <w:color w:val="auto"/>
              </w:rPr>
            </w:pPr>
          </w:p>
        </w:tc>
        <w:tc>
          <w:tcPr>
            <w:tcW w:w="560" w:type="dxa"/>
            <w:vAlign w:val="bottom"/>
            <w:shd w:val="clear" w:color="auto" w:fill="F7F1EC"/>
          </w:tcPr>
          <w:p>
            <w:pPr>
              <w:spacing w:after="0"/>
              <w:rPr>
                <w:sz w:val="9"/>
                <w:szCs w:val="9"/>
                <w:color w:val="auto"/>
              </w:rPr>
            </w:pPr>
          </w:p>
        </w:tc>
        <w:tc>
          <w:tcPr>
            <w:tcW w:w="100" w:type="dxa"/>
            <w:vAlign w:val="bottom"/>
            <w:shd w:val="clear" w:color="auto" w:fill="F7F1EC"/>
          </w:tcPr>
          <w:p>
            <w:pPr>
              <w:spacing w:after="0"/>
              <w:rPr>
                <w:sz w:val="9"/>
                <w:szCs w:val="9"/>
                <w:color w:val="auto"/>
              </w:rPr>
            </w:pPr>
          </w:p>
        </w:tc>
        <w:tc>
          <w:tcPr>
            <w:tcW w:w="620" w:type="dxa"/>
            <w:vAlign w:val="bottom"/>
            <w:shd w:val="clear" w:color="auto" w:fill="F7F1EC"/>
          </w:tcPr>
          <w:p>
            <w:pPr>
              <w:spacing w:after="0"/>
              <w:rPr>
                <w:sz w:val="9"/>
                <w:szCs w:val="9"/>
                <w:color w:val="auto"/>
              </w:rPr>
            </w:pPr>
          </w:p>
        </w:tc>
        <w:tc>
          <w:tcPr>
            <w:tcW w:w="580" w:type="dxa"/>
            <w:vAlign w:val="bottom"/>
            <w:shd w:val="clear" w:color="auto" w:fill="F7F1EC"/>
          </w:tcPr>
          <w:p>
            <w:pPr>
              <w:spacing w:after="0"/>
              <w:rPr>
                <w:sz w:val="9"/>
                <w:szCs w:val="9"/>
                <w:color w:val="auto"/>
              </w:rPr>
            </w:pPr>
          </w:p>
        </w:tc>
        <w:tc>
          <w:tcPr>
            <w:tcW w:w="80" w:type="dxa"/>
            <w:vAlign w:val="bottom"/>
            <w:shd w:val="clear" w:color="auto" w:fill="F7F1EC"/>
          </w:tcPr>
          <w:p>
            <w:pPr>
              <w:spacing w:after="0"/>
              <w:rPr>
                <w:sz w:val="9"/>
                <w:szCs w:val="9"/>
                <w:color w:val="auto"/>
              </w:rPr>
            </w:pPr>
          </w:p>
        </w:tc>
        <w:tc>
          <w:tcPr>
            <w:tcW w:w="640" w:type="dxa"/>
            <w:vAlign w:val="bottom"/>
            <w:shd w:val="clear" w:color="auto" w:fill="F7F1EC"/>
          </w:tcPr>
          <w:p>
            <w:pPr>
              <w:spacing w:after="0"/>
              <w:rPr>
                <w:sz w:val="9"/>
                <w:szCs w:val="9"/>
                <w:color w:val="auto"/>
              </w:rPr>
            </w:pPr>
          </w:p>
        </w:tc>
        <w:tc>
          <w:tcPr>
            <w:tcW w:w="560" w:type="dxa"/>
            <w:vAlign w:val="bottom"/>
            <w:shd w:val="clear" w:color="auto" w:fill="F7F1EC"/>
          </w:tcPr>
          <w:p>
            <w:pPr>
              <w:spacing w:after="0"/>
              <w:rPr>
                <w:sz w:val="9"/>
                <w:szCs w:val="9"/>
                <w:color w:val="auto"/>
              </w:rPr>
            </w:pPr>
          </w:p>
        </w:tc>
        <w:tc>
          <w:tcPr>
            <w:tcW w:w="100" w:type="dxa"/>
            <w:vAlign w:val="bottom"/>
            <w:shd w:val="clear" w:color="auto" w:fill="F7F1EC"/>
          </w:tcPr>
          <w:p>
            <w:pPr>
              <w:spacing w:after="0"/>
              <w:rPr>
                <w:sz w:val="9"/>
                <w:szCs w:val="9"/>
                <w:color w:val="auto"/>
              </w:rPr>
            </w:pPr>
          </w:p>
        </w:tc>
        <w:tc>
          <w:tcPr>
            <w:tcW w:w="620" w:type="dxa"/>
            <w:vAlign w:val="bottom"/>
            <w:shd w:val="clear" w:color="auto" w:fill="F7F1EC"/>
          </w:tcPr>
          <w:p>
            <w:pPr>
              <w:spacing w:after="0"/>
              <w:rPr>
                <w:sz w:val="9"/>
                <w:szCs w:val="9"/>
                <w:color w:val="auto"/>
              </w:rPr>
            </w:pPr>
          </w:p>
        </w:tc>
        <w:tc>
          <w:tcPr>
            <w:tcW w:w="560" w:type="dxa"/>
            <w:vAlign w:val="bottom"/>
            <w:shd w:val="clear" w:color="auto" w:fill="F7F1EC"/>
          </w:tcPr>
          <w:p>
            <w:pPr>
              <w:spacing w:after="0"/>
              <w:rPr>
                <w:sz w:val="9"/>
                <w:szCs w:val="9"/>
                <w:color w:val="auto"/>
              </w:rPr>
            </w:pPr>
          </w:p>
        </w:tc>
        <w:tc>
          <w:tcPr>
            <w:tcW w:w="40" w:type="dxa"/>
            <w:vAlign w:val="bottom"/>
            <w:shd w:val="clear" w:color="auto" w:fill="F7F1EC"/>
          </w:tcPr>
          <w:p>
            <w:pPr>
              <w:spacing w:after="0"/>
              <w:rPr>
                <w:sz w:val="9"/>
                <w:szCs w:val="9"/>
                <w:color w:val="auto"/>
              </w:rPr>
            </w:pPr>
          </w:p>
        </w:tc>
      </w:tr>
      <w:tr>
        <w:trPr>
          <w:trHeight w:val="128"/>
        </w:trPr>
        <w:tc>
          <w:tcPr>
            <w:tcW w:w="780" w:type="dxa"/>
            <w:vAlign w:val="bottom"/>
            <w:shd w:val="clear" w:color="auto" w:fill="F7F1EC"/>
          </w:tcPr>
          <w:p>
            <w:pPr>
              <w:ind w:left="60"/>
              <w:spacing w:after="0"/>
              <w:rPr>
                <w:sz w:val="20"/>
                <w:szCs w:val="20"/>
                <w:color w:val="auto"/>
              </w:rPr>
            </w:pPr>
            <w:r>
              <w:rPr>
                <w:rFonts w:ascii="Arial" w:cs="Arial" w:eastAsia="Arial" w:hAnsi="Arial"/>
                <w:sz w:val="10"/>
                <w:szCs w:val="10"/>
                <w:b w:val="1"/>
                <w:bCs w:val="1"/>
                <w:color w:val="auto"/>
              </w:rPr>
              <w:t>Table Total</w:t>
            </w:r>
          </w:p>
        </w:tc>
        <w:tc>
          <w:tcPr>
            <w:tcW w:w="700" w:type="dxa"/>
            <w:vAlign w:val="bottom"/>
            <w:gridSpan w:val="2"/>
            <w:shd w:val="clear" w:color="auto" w:fill="F7F1EC"/>
          </w:tcPr>
          <w:p>
            <w:pPr>
              <w:jc w:val="right"/>
              <w:ind w:right="30"/>
              <w:spacing w:after="0"/>
              <w:rPr>
                <w:sz w:val="20"/>
                <w:szCs w:val="20"/>
                <w:color w:val="auto"/>
              </w:rPr>
            </w:pPr>
            <w:r>
              <w:rPr>
                <w:rFonts w:ascii="Arial" w:cs="Arial" w:eastAsia="Arial" w:hAnsi="Arial"/>
                <w:sz w:val="10"/>
                <w:szCs w:val="10"/>
                <w:b w:val="1"/>
                <w:bCs w:val="1"/>
                <w:color w:val="auto"/>
              </w:rPr>
              <w:t>$ 14,574,496</w:t>
            </w:r>
          </w:p>
        </w:tc>
        <w:tc>
          <w:tcPr>
            <w:tcW w:w="580" w:type="dxa"/>
            <w:vAlign w:val="bottom"/>
            <w:shd w:val="clear" w:color="auto" w:fill="F7F1EC"/>
          </w:tcPr>
          <w:p>
            <w:pPr>
              <w:jc w:val="right"/>
              <w:spacing w:after="0"/>
              <w:rPr>
                <w:sz w:val="20"/>
                <w:szCs w:val="20"/>
                <w:color w:val="auto"/>
              </w:rPr>
            </w:pPr>
            <w:r>
              <w:rPr>
                <w:rFonts w:ascii="Arial" w:cs="Arial" w:eastAsia="Arial" w:hAnsi="Arial"/>
                <w:sz w:val="10"/>
                <w:szCs w:val="10"/>
                <w:b w:val="1"/>
                <w:bCs w:val="1"/>
                <w:color w:val="auto"/>
              </w:rPr>
              <w:t>$ 5,199,816</w:t>
            </w:r>
          </w:p>
        </w:tc>
        <w:tc>
          <w:tcPr>
            <w:tcW w:w="80" w:type="dxa"/>
            <w:vAlign w:val="bottom"/>
            <w:shd w:val="clear" w:color="auto" w:fill="F7F1EC"/>
          </w:tcPr>
          <w:p>
            <w:pPr>
              <w:spacing w:after="0"/>
              <w:rPr>
                <w:sz w:val="11"/>
                <w:szCs w:val="11"/>
                <w:color w:val="auto"/>
              </w:rPr>
            </w:pPr>
          </w:p>
        </w:tc>
        <w:tc>
          <w:tcPr>
            <w:tcW w:w="600" w:type="dxa"/>
            <w:vAlign w:val="bottom"/>
            <w:gridSpan w:val="2"/>
            <w:shd w:val="clear" w:color="auto" w:fill="F7F1EC"/>
          </w:tcPr>
          <w:p>
            <w:pPr>
              <w:jc w:val="right"/>
              <w:spacing w:after="0"/>
              <w:rPr>
                <w:sz w:val="20"/>
                <w:szCs w:val="20"/>
                <w:color w:val="auto"/>
              </w:rPr>
            </w:pPr>
            <w:r>
              <w:rPr>
                <w:rFonts w:ascii="Arial" w:cs="Arial" w:eastAsia="Arial" w:hAnsi="Arial"/>
                <w:sz w:val="10"/>
                <w:szCs w:val="10"/>
                <w:b w:val="1"/>
                <w:bCs w:val="1"/>
                <w:color w:val="auto"/>
              </w:rPr>
              <w:t>$ 4,717,883</w:t>
            </w:r>
          </w:p>
        </w:tc>
        <w:tc>
          <w:tcPr>
            <w:tcW w:w="760" w:type="dxa"/>
            <w:vAlign w:val="bottom"/>
            <w:shd w:val="clear" w:color="auto" w:fill="F7F1EC"/>
          </w:tcPr>
          <w:p>
            <w:pPr>
              <w:jc w:val="right"/>
              <w:ind w:right="70"/>
              <w:spacing w:after="0"/>
              <w:rPr>
                <w:sz w:val="20"/>
                <w:szCs w:val="20"/>
                <w:color w:val="auto"/>
              </w:rPr>
            </w:pPr>
            <w:r>
              <w:rPr>
                <w:rFonts w:ascii="Arial" w:cs="Arial" w:eastAsia="Arial" w:hAnsi="Arial"/>
                <w:sz w:val="10"/>
                <w:szCs w:val="10"/>
                <w:b w:val="1"/>
                <w:bCs w:val="1"/>
                <w:color w:val="auto"/>
              </w:rPr>
              <w:t>$ 26,347,995</w:t>
            </w:r>
          </w:p>
        </w:tc>
        <w:tc>
          <w:tcPr>
            <w:tcW w:w="560" w:type="dxa"/>
            <w:vAlign w:val="bottom"/>
            <w:shd w:val="clear" w:color="auto" w:fill="F7F1EC"/>
          </w:tcPr>
          <w:p>
            <w:pPr>
              <w:jc w:val="right"/>
              <w:spacing w:after="0"/>
              <w:rPr>
                <w:sz w:val="20"/>
                <w:szCs w:val="20"/>
                <w:color w:val="auto"/>
              </w:rPr>
            </w:pPr>
            <w:r>
              <w:rPr>
                <w:rFonts w:ascii="Arial" w:cs="Arial" w:eastAsia="Arial" w:hAnsi="Arial"/>
                <w:sz w:val="10"/>
                <w:szCs w:val="10"/>
                <w:b w:val="1"/>
                <w:bCs w:val="1"/>
                <w:color w:val="auto"/>
              </w:rPr>
              <w:t>$ 3,525,515</w:t>
            </w:r>
          </w:p>
        </w:tc>
        <w:tc>
          <w:tcPr>
            <w:tcW w:w="720" w:type="dxa"/>
            <w:vAlign w:val="bottom"/>
            <w:gridSpan w:val="2"/>
            <w:shd w:val="clear" w:color="auto" w:fill="F7F1EC"/>
          </w:tcPr>
          <w:p>
            <w:pPr>
              <w:jc w:val="right"/>
              <w:spacing w:after="0"/>
              <w:rPr>
                <w:sz w:val="20"/>
                <w:szCs w:val="20"/>
                <w:color w:val="auto"/>
              </w:rPr>
            </w:pPr>
            <w:r>
              <w:rPr>
                <w:rFonts w:ascii="Arial" w:cs="Arial" w:eastAsia="Arial" w:hAnsi="Arial"/>
                <w:sz w:val="10"/>
                <w:szCs w:val="10"/>
                <w:b w:val="1"/>
                <w:bCs w:val="1"/>
                <w:color w:val="auto"/>
              </w:rPr>
              <w:t>$ 16,937,790</w:t>
            </w:r>
          </w:p>
        </w:tc>
        <w:tc>
          <w:tcPr>
            <w:tcW w:w="580" w:type="dxa"/>
            <w:vAlign w:val="bottom"/>
            <w:shd w:val="clear" w:color="auto" w:fill="F7F1EC"/>
          </w:tcPr>
          <w:p>
            <w:pPr>
              <w:jc w:val="right"/>
              <w:spacing w:after="0"/>
              <w:rPr>
                <w:sz w:val="20"/>
                <w:szCs w:val="20"/>
                <w:color w:val="auto"/>
              </w:rPr>
            </w:pPr>
            <w:r>
              <w:rPr>
                <w:rFonts w:ascii="Arial" w:cs="Arial" w:eastAsia="Arial" w:hAnsi="Arial"/>
                <w:sz w:val="10"/>
                <w:szCs w:val="10"/>
                <w:b w:val="1"/>
                <w:bCs w:val="1"/>
                <w:color w:val="auto"/>
              </w:rPr>
              <w:t>$ 3,242,815</w:t>
            </w:r>
          </w:p>
        </w:tc>
        <w:tc>
          <w:tcPr>
            <w:tcW w:w="720" w:type="dxa"/>
            <w:vAlign w:val="bottom"/>
            <w:gridSpan w:val="2"/>
            <w:shd w:val="clear" w:color="auto" w:fill="F7F1EC"/>
          </w:tcPr>
          <w:p>
            <w:pPr>
              <w:jc w:val="right"/>
              <w:ind w:right="11"/>
              <w:spacing w:after="0"/>
              <w:rPr>
                <w:sz w:val="20"/>
                <w:szCs w:val="20"/>
                <w:color w:val="auto"/>
              </w:rPr>
            </w:pPr>
            <w:r>
              <w:rPr>
                <w:rFonts w:ascii="Arial" w:cs="Arial" w:eastAsia="Arial" w:hAnsi="Arial"/>
                <w:sz w:val="10"/>
                <w:szCs w:val="10"/>
                <w:b w:val="1"/>
                <w:bCs w:val="1"/>
                <w:color w:val="auto"/>
              </w:rPr>
              <w:t>$ 13,750,390</w:t>
            </w:r>
          </w:p>
        </w:tc>
        <w:tc>
          <w:tcPr>
            <w:tcW w:w="560" w:type="dxa"/>
            <w:vAlign w:val="bottom"/>
            <w:shd w:val="clear" w:color="auto" w:fill="F7F1EC"/>
          </w:tcPr>
          <w:p>
            <w:pPr>
              <w:jc w:val="right"/>
              <w:spacing w:after="0"/>
              <w:rPr>
                <w:sz w:val="20"/>
                <w:szCs w:val="20"/>
                <w:color w:val="auto"/>
              </w:rPr>
            </w:pPr>
            <w:r>
              <w:rPr>
                <w:rFonts w:ascii="Arial" w:cs="Arial" w:eastAsia="Arial" w:hAnsi="Arial"/>
                <w:sz w:val="10"/>
                <w:szCs w:val="10"/>
                <w:b w:val="1"/>
                <w:bCs w:val="1"/>
                <w:color w:val="auto"/>
              </w:rPr>
              <w:t>$ 3,345,183</w:t>
            </w:r>
          </w:p>
        </w:tc>
        <w:tc>
          <w:tcPr>
            <w:tcW w:w="720" w:type="dxa"/>
            <w:vAlign w:val="bottom"/>
            <w:gridSpan w:val="2"/>
            <w:shd w:val="clear" w:color="auto" w:fill="F7F1EC"/>
          </w:tcPr>
          <w:p>
            <w:pPr>
              <w:jc w:val="right"/>
              <w:spacing w:after="0"/>
              <w:rPr>
                <w:sz w:val="20"/>
                <w:szCs w:val="20"/>
                <w:color w:val="auto"/>
              </w:rPr>
            </w:pPr>
            <w:r>
              <w:rPr>
                <w:rFonts w:ascii="Arial" w:cs="Arial" w:eastAsia="Arial" w:hAnsi="Arial"/>
                <w:sz w:val="10"/>
                <w:szCs w:val="10"/>
                <w:b w:val="1"/>
                <w:bCs w:val="1"/>
                <w:color w:val="auto"/>
              </w:rPr>
              <w:t>$ 12,875,868</w:t>
            </w:r>
          </w:p>
        </w:tc>
        <w:tc>
          <w:tcPr>
            <w:tcW w:w="560" w:type="dxa"/>
            <w:vAlign w:val="bottom"/>
            <w:shd w:val="clear" w:color="auto" w:fill="F7F1EC"/>
          </w:tcPr>
          <w:p>
            <w:pPr>
              <w:jc w:val="right"/>
              <w:spacing w:after="0"/>
              <w:rPr>
                <w:sz w:val="20"/>
                <w:szCs w:val="20"/>
                <w:color w:val="auto"/>
              </w:rPr>
            </w:pPr>
            <w:r>
              <w:rPr>
                <w:rFonts w:ascii="Arial" w:cs="Arial" w:eastAsia="Arial" w:hAnsi="Arial"/>
                <w:sz w:val="10"/>
                <w:szCs w:val="10"/>
                <w:b w:val="1"/>
                <w:bCs w:val="1"/>
                <w:color w:val="auto"/>
              </w:rPr>
              <w:t>$ 4,129,996</w:t>
            </w:r>
          </w:p>
        </w:tc>
        <w:tc>
          <w:tcPr>
            <w:tcW w:w="40" w:type="dxa"/>
            <w:vAlign w:val="bottom"/>
            <w:shd w:val="clear" w:color="auto" w:fill="F7F1EC"/>
          </w:tcPr>
          <w:p>
            <w:pPr>
              <w:spacing w:after="0"/>
              <w:rPr>
                <w:sz w:val="11"/>
                <w:szCs w:val="11"/>
                <w:color w:val="auto"/>
              </w:rPr>
            </w:pPr>
          </w:p>
        </w:tc>
      </w:tr>
      <w:tr>
        <w:trPr>
          <w:trHeight w:val="178"/>
        </w:trPr>
        <w:tc>
          <w:tcPr>
            <w:tcW w:w="780" w:type="dxa"/>
            <w:vAlign w:val="bottom"/>
          </w:tcPr>
          <w:p>
            <w:pPr>
              <w:ind w:left="60"/>
              <w:spacing w:after="0"/>
              <w:rPr>
                <w:sz w:val="20"/>
                <w:szCs w:val="20"/>
                <w:color w:val="auto"/>
              </w:rPr>
            </w:pPr>
            <w:r>
              <w:rPr>
                <w:rFonts w:ascii="Arial" w:cs="Arial" w:eastAsia="Arial" w:hAnsi="Arial"/>
                <w:sz w:val="10"/>
                <w:szCs w:val="10"/>
                <w:i w:val="1"/>
                <w:iCs w:val="1"/>
                <w:color w:val="auto"/>
              </w:rPr>
              <w:t xml:space="preserve">Minus </w:t>
            </w:r>
            <w:r>
              <w:rPr>
                <w:rFonts w:ascii="Arial" w:cs="Arial" w:eastAsia="Arial" w:hAnsi="Arial"/>
                <w:sz w:val="10"/>
                <w:szCs w:val="10"/>
                <w:color w:val="auto"/>
              </w:rPr>
              <w:t>Equity</w:t>
            </w: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15"/>
        </w:trPr>
        <w:tc>
          <w:tcPr>
            <w:tcW w:w="780" w:type="dxa"/>
            <w:vAlign w:val="bottom"/>
          </w:tcPr>
          <w:p>
            <w:pPr>
              <w:ind w:left="60"/>
              <w:spacing w:after="0"/>
              <w:rPr>
                <w:sz w:val="20"/>
                <w:szCs w:val="20"/>
                <w:color w:val="auto"/>
              </w:rPr>
            </w:pPr>
            <w:r>
              <w:rPr>
                <w:rFonts w:ascii="Arial" w:cs="Arial" w:eastAsia="Arial" w:hAnsi="Arial"/>
                <w:sz w:val="10"/>
                <w:szCs w:val="10"/>
                <w:color w:val="auto"/>
              </w:rPr>
              <w:t>Award Value</w:t>
            </w:r>
          </w:p>
        </w:tc>
        <w:tc>
          <w:tcPr>
            <w:tcW w:w="40" w:type="dxa"/>
            <w:vAlign w:val="bottom"/>
          </w:tcPr>
          <w:p>
            <w:pPr>
              <w:spacing w:after="0"/>
              <w:rPr>
                <w:sz w:val="9"/>
                <w:szCs w:val="9"/>
                <w:color w:val="auto"/>
              </w:rPr>
            </w:pPr>
          </w:p>
        </w:tc>
        <w:tc>
          <w:tcPr>
            <w:tcW w:w="66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Pr>
          <w:p>
            <w:pPr>
              <w:spacing w:after="0"/>
              <w:rPr>
                <w:sz w:val="9"/>
                <w:szCs w:val="9"/>
                <w:color w:val="auto"/>
              </w:rPr>
            </w:pPr>
          </w:p>
        </w:tc>
        <w:tc>
          <w:tcPr>
            <w:tcW w:w="7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115"/>
        </w:trPr>
        <w:tc>
          <w:tcPr>
            <w:tcW w:w="780" w:type="dxa"/>
            <w:vAlign w:val="bottom"/>
          </w:tcPr>
          <w:p>
            <w:pPr>
              <w:ind w:left="60"/>
              <w:spacing w:after="0"/>
              <w:rPr>
                <w:sz w:val="20"/>
                <w:szCs w:val="20"/>
                <w:color w:val="auto"/>
              </w:rPr>
            </w:pPr>
            <w:r>
              <w:rPr>
                <w:rFonts w:ascii="Arial" w:cs="Arial" w:eastAsia="Arial" w:hAnsi="Arial"/>
                <w:sz w:val="10"/>
                <w:szCs w:val="10"/>
                <w:color w:val="auto"/>
              </w:rPr>
              <w:t>Reported in</w:t>
            </w:r>
          </w:p>
        </w:tc>
        <w:tc>
          <w:tcPr>
            <w:tcW w:w="40" w:type="dxa"/>
            <w:vAlign w:val="bottom"/>
          </w:tcPr>
          <w:p>
            <w:pPr>
              <w:spacing w:after="0"/>
              <w:rPr>
                <w:sz w:val="9"/>
                <w:szCs w:val="9"/>
                <w:color w:val="auto"/>
              </w:rPr>
            </w:pPr>
          </w:p>
        </w:tc>
        <w:tc>
          <w:tcPr>
            <w:tcW w:w="66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Pr>
          <w:p>
            <w:pPr>
              <w:spacing w:after="0"/>
              <w:rPr>
                <w:sz w:val="9"/>
                <w:szCs w:val="9"/>
                <w:color w:val="auto"/>
              </w:rPr>
            </w:pPr>
          </w:p>
        </w:tc>
        <w:tc>
          <w:tcPr>
            <w:tcW w:w="7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115"/>
        </w:trPr>
        <w:tc>
          <w:tcPr>
            <w:tcW w:w="780" w:type="dxa"/>
            <w:vAlign w:val="bottom"/>
          </w:tcPr>
          <w:p>
            <w:pPr>
              <w:ind w:left="60"/>
              <w:spacing w:after="0"/>
              <w:rPr>
                <w:sz w:val="20"/>
                <w:szCs w:val="20"/>
                <w:color w:val="auto"/>
              </w:rPr>
            </w:pPr>
            <w:r>
              <w:rPr>
                <w:rFonts w:ascii="Arial" w:cs="Arial" w:eastAsia="Arial" w:hAnsi="Arial"/>
                <w:sz w:val="10"/>
                <w:szCs w:val="10"/>
                <w:color w:val="auto"/>
              </w:rPr>
              <w:t>SCT for the</w:t>
            </w:r>
          </w:p>
        </w:tc>
        <w:tc>
          <w:tcPr>
            <w:tcW w:w="40" w:type="dxa"/>
            <w:vAlign w:val="bottom"/>
          </w:tcPr>
          <w:p>
            <w:pPr>
              <w:spacing w:after="0"/>
              <w:rPr>
                <w:sz w:val="9"/>
                <w:szCs w:val="9"/>
                <w:color w:val="auto"/>
              </w:rPr>
            </w:pPr>
          </w:p>
        </w:tc>
        <w:tc>
          <w:tcPr>
            <w:tcW w:w="66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Pr>
          <w:p>
            <w:pPr>
              <w:spacing w:after="0"/>
              <w:rPr>
                <w:sz w:val="9"/>
                <w:szCs w:val="9"/>
                <w:color w:val="auto"/>
              </w:rPr>
            </w:pPr>
          </w:p>
        </w:tc>
        <w:tc>
          <w:tcPr>
            <w:tcW w:w="7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134"/>
        </w:trPr>
        <w:tc>
          <w:tcPr>
            <w:tcW w:w="780" w:type="dxa"/>
            <w:vAlign w:val="bottom"/>
          </w:tcPr>
          <w:p>
            <w:pPr>
              <w:ind w:left="60"/>
              <w:spacing w:after="0"/>
              <w:rPr>
                <w:sz w:val="20"/>
                <w:szCs w:val="20"/>
                <w:color w:val="auto"/>
              </w:rPr>
            </w:pPr>
            <w:r>
              <w:rPr>
                <w:rFonts w:ascii="Arial" w:cs="Arial" w:eastAsia="Arial" w:hAnsi="Arial"/>
                <w:sz w:val="10"/>
                <w:szCs w:val="10"/>
                <w:color w:val="auto"/>
              </w:rPr>
              <w:t>Covered Year</w:t>
            </w:r>
          </w:p>
        </w:tc>
        <w:tc>
          <w:tcPr>
            <w:tcW w:w="700" w:type="dxa"/>
            <w:vAlign w:val="bottom"/>
            <w:gridSpan w:val="2"/>
          </w:tcPr>
          <w:p>
            <w:pPr>
              <w:jc w:val="right"/>
              <w:ind w:right="30"/>
              <w:spacing w:after="0"/>
              <w:rPr>
                <w:sz w:val="20"/>
                <w:szCs w:val="20"/>
                <w:color w:val="auto"/>
              </w:rPr>
            </w:pPr>
            <w:r>
              <w:rPr>
                <w:rFonts w:ascii="Arial" w:cs="Arial" w:eastAsia="Arial" w:hAnsi="Arial"/>
                <w:sz w:val="10"/>
                <w:szCs w:val="10"/>
                <w:color w:val="auto"/>
              </w:rPr>
              <w:t>10,045,542</w:t>
            </w:r>
          </w:p>
        </w:tc>
        <w:tc>
          <w:tcPr>
            <w:tcW w:w="580" w:type="dxa"/>
            <w:vAlign w:val="bottom"/>
          </w:tcPr>
          <w:p>
            <w:pPr>
              <w:jc w:val="right"/>
              <w:spacing w:after="0"/>
              <w:rPr>
                <w:sz w:val="20"/>
                <w:szCs w:val="20"/>
                <w:color w:val="auto"/>
              </w:rPr>
            </w:pPr>
            <w:r>
              <w:rPr>
                <w:rFonts w:ascii="Arial" w:cs="Arial" w:eastAsia="Arial" w:hAnsi="Arial"/>
                <w:sz w:val="10"/>
                <w:szCs w:val="10"/>
                <w:color w:val="auto"/>
              </w:rPr>
              <w:t>2,861,734</w:t>
            </w:r>
          </w:p>
        </w:tc>
        <w:tc>
          <w:tcPr>
            <w:tcW w:w="80" w:type="dxa"/>
            <w:vAlign w:val="bottom"/>
          </w:tcPr>
          <w:p>
            <w:pPr>
              <w:spacing w:after="0"/>
              <w:rPr>
                <w:sz w:val="11"/>
                <w:szCs w:val="11"/>
                <w:color w:val="auto"/>
              </w:rPr>
            </w:pPr>
          </w:p>
        </w:tc>
        <w:tc>
          <w:tcPr>
            <w:tcW w:w="600" w:type="dxa"/>
            <w:vAlign w:val="bottom"/>
            <w:gridSpan w:val="2"/>
          </w:tcPr>
          <w:p>
            <w:pPr>
              <w:jc w:val="right"/>
              <w:spacing w:after="0"/>
              <w:rPr>
                <w:sz w:val="20"/>
                <w:szCs w:val="20"/>
                <w:color w:val="auto"/>
              </w:rPr>
            </w:pPr>
            <w:r>
              <w:rPr>
                <w:rFonts w:ascii="Arial" w:cs="Arial" w:eastAsia="Arial" w:hAnsi="Arial"/>
                <w:sz w:val="10"/>
                <w:szCs w:val="10"/>
                <w:color w:val="auto"/>
              </w:rPr>
              <w:t>2,022,617</w:t>
            </w:r>
          </w:p>
        </w:tc>
        <w:tc>
          <w:tcPr>
            <w:tcW w:w="760" w:type="dxa"/>
            <w:vAlign w:val="bottom"/>
          </w:tcPr>
          <w:p>
            <w:pPr>
              <w:jc w:val="right"/>
              <w:ind w:right="70"/>
              <w:spacing w:after="0"/>
              <w:rPr>
                <w:sz w:val="20"/>
                <w:szCs w:val="20"/>
                <w:color w:val="auto"/>
              </w:rPr>
            </w:pPr>
            <w:r>
              <w:rPr>
                <w:rFonts w:ascii="Arial" w:cs="Arial" w:eastAsia="Arial" w:hAnsi="Arial"/>
                <w:sz w:val="10"/>
                <w:szCs w:val="10"/>
                <w:color w:val="auto"/>
              </w:rPr>
              <w:t>25,570,493</w:t>
            </w:r>
          </w:p>
        </w:tc>
        <w:tc>
          <w:tcPr>
            <w:tcW w:w="560" w:type="dxa"/>
            <w:vAlign w:val="bottom"/>
          </w:tcPr>
          <w:p>
            <w:pPr>
              <w:jc w:val="right"/>
              <w:spacing w:after="0"/>
              <w:rPr>
                <w:sz w:val="20"/>
                <w:szCs w:val="20"/>
                <w:color w:val="auto"/>
              </w:rPr>
            </w:pPr>
            <w:r>
              <w:rPr>
                <w:rFonts w:ascii="Arial" w:cs="Arial" w:eastAsia="Arial" w:hAnsi="Arial"/>
                <w:sz w:val="10"/>
                <w:szCs w:val="10"/>
                <w:color w:val="auto"/>
              </w:rPr>
              <w:t>1,621,076</w:t>
            </w:r>
          </w:p>
        </w:tc>
        <w:tc>
          <w:tcPr>
            <w:tcW w:w="720" w:type="dxa"/>
            <w:vAlign w:val="bottom"/>
            <w:gridSpan w:val="2"/>
          </w:tcPr>
          <w:p>
            <w:pPr>
              <w:jc w:val="right"/>
              <w:spacing w:after="0"/>
              <w:rPr>
                <w:sz w:val="20"/>
                <w:szCs w:val="20"/>
                <w:color w:val="auto"/>
              </w:rPr>
            </w:pPr>
            <w:r>
              <w:rPr>
                <w:rFonts w:ascii="Arial" w:cs="Arial" w:eastAsia="Arial" w:hAnsi="Arial"/>
                <w:sz w:val="10"/>
                <w:szCs w:val="10"/>
                <w:color w:val="auto"/>
              </w:rPr>
              <w:t>11,901,699</w:t>
            </w:r>
          </w:p>
        </w:tc>
        <w:tc>
          <w:tcPr>
            <w:tcW w:w="580" w:type="dxa"/>
            <w:vAlign w:val="bottom"/>
          </w:tcPr>
          <w:p>
            <w:pPr>
              <w:jc w:val="right"/>
              <w:spacing w:after="0"/>
              <w:rPr>
                <w:sz w:val="20"/>
                <w:szCs w:val="20"/>
                <w:color w:val="auto"/>
              </w:rPr>
            </w:pPr>
            <w:r>
              <w:rPr>
                <w:rFonts w:ascii="Arial" w:cs="Arial" w:eastAsia="Arial" w:hAnsi="Arial"/>
                <w:sz w:val="10"/>
                <w:szCs w:val="10"/>
                <w:color w:val="auto"/>
              </w:rPr>
              <w:t>1,309,482</w:t>
            </w:r>
          </w:p>
        </w:tc>
        <w:tc>
          <w:tcPr>
            <w:tcW w:w="720" w:type="dxa"/>
            <w:vAlign w:val="bottom"/>
            <w:gridSpan w:val="2"/>
          </w:tcPr>
          <w:p>
            <w:pPr>
              <w:jc w:val="right"/>
              <w:ind w:right="11"/>
              <w:spacing w:after="0"/>
              <w:rPr>
                <w:sz w:val="20"/>
                <w:szCs w:val="20"/>
                <w:color w:val="auto"/>
              </w:rPr>
            </w:pPr>
            <w:r>
              <w:rPr>
                <w:rFonts w:ascii="Arial" w:cs="Arial" w:eastAsia="Arial" w:hAnsi="Arial"/>
                <w:sz w:val="10"/>
                <w:szCs w:val="10"/>
                <w:color w:val="auto"/>
              </w:rPr>
              <w:t>8,906,441</w:t>
            </w:r>
          </w:p>
        </w:tc>
        <w:tc>
          <w:tcPr>
            <w:tcW w:w="560" w:type="dxa"/>
            <w:vAlign w:val="bottom"/>
          </w:tcPr>
          <w:p>
            <w:pPr>
              <w:jc w:val="right"/>
              <w:spacing w:after="0"/>
              <w:rPr>
                <w:sz w:val="20"/>
                <w:szCs w:val="20"/>
                <w:color w:val="auto"/>
              </w:rPr>
            </w:pPr>
            <w:r>
              <w:rPr>
                <w:rFonts w:ascii="Arial" w:cs="Arial" w:eastAsia="Arial" w:hAnsi="Arial"/>
                <w:sz w:val="10"/>
                <w:szCs w:val="10"/>
                <w:color w:val="auto"/>
              </w:rPr>
              <w:t>1,822,659</w:t>
            </w:r>
          </w:p>
        </w:tc>
        <w:tc>
          <w:tcPr>
            <w:tcW w:w="720" w:type="dxa"/>
            <w:vAlign w:val="bottom"/>
            <w:gridSpan w:val="2"/>
          </w:tcPr>
          <w:p>
            <w:pPr>
              <w:jc w:val="right"/>
              <w:spacing w:after="0"/>
              <w:rPr>
                <w:sz w:val="20"/>
                <w:szCs w:val="20"/>
                <w:color w:val="auto"/>
              </w:rPr>
            </w:pPr>
            <w:r>
              <w:rPr>
                <w:rFonts w:ascii="Arial" w:cs="Arial" w:eastAsia="Arial" w:hAnsi="Arial"/>
                <w:sz w:val="10"/>
                <w:szCs w:val="10"/>
                <w:color w:val="auto"/>
              </w:rPr>
              <w:t>8,569,310</w:t>
            </w:r>
          </w:p>
        </w:tc>
        <w:tc>
          <w:tcPr>
            <w:tcW w:w="560" w:type="dxa"/>
            <w:vAlign w:val="bottom"/>
          </w:tcPr>
          <w:p>
            <w:pPr>
              <w:jc w:val="right"/>
              <w:spacing w:after="0"/>
              <w:rPr>
                <w:sz w:val="20"/>
                <w:szCs w:val="20"/>
                <w:color w:val="auto"/>
              </w:rPr>
            </w:pPr>
            <w:r>
              <w:rPr>
                <w:rFonts w:ascii="Arial" w:cs="Arial" w:eastAsia="Arial" w:hAnsi="Arial"/>
                <w:sz w:val="10"/>
                <w:szCs w:val="10"/>
                <w:color w:val="auto"/>
              </w:rPr>
              <w:t>2,331,496</w:t>
            </w:r>
          </w:p>
        </w:tc>
        <w:tc>
          <w:tcPr>
            <w:tcW w:w="40" w:type="dxa"/>
            <w:vAlign w:val="bottom"/>
          </w:tcPr>
          <w:p>
            <w:pPr>
              <w:spacing w:after="0"/>
              <w:rPr>
                <w:sz w:val="11"/>
                <w:szCs w:val="11"/>
                <w:color w:val="auto"/>
              </w:rPr>
            </w:pPr>
          </w:p>
        </w:tc>
      </w:tr>
      <w:tr>
        <w:trPr>
          <w:trHeight w:val="45"/>
        </w:trPr>
        <w:tc>
          <w:tcPr>
            <w:tcW w:w="78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560" w:type="dxa"/>
            <w:vAlign w:val="bottom"/>
          </w:tcPr>
          <w:p>
            <w:pPr>
              <w:spacing w:after="0"/>
              <w:rPr>
                <w:sz w:val="3"/>
                <w:szCs w:val="3"/>
                <w:color w:val="auto"/>
              </w:rPr>
            </w:pPr>
          </w:p>
        </w:tc>
        <w:tc>
          <w:tcPr>
            <w:tcW w:w="7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r>
      <w:tr>
        <w:trPr>
          <w:trHeight w:val="178"/>
        </w:trPr>
        <w:tc>
          <w:tcPr>
            <w:tcW w:w="780" w:type="dxa"/>
            <w:vAlign w:val="bottom"/>
            <w:shd w:val="clear" w:color="auto" w:fill="F7F1EC"/>
          </w:tcPr>
          <w:p>
            <w:pPr>
              <w:ind w:left="60"/>
              <w:spacing w:after="0"/>
              <w:rPr>
                <w:sz w:val="20"/>
                <w:szCs w:val="20"/>
                <w:color w:val="auto"/>
              </w:rPr>
            </w:pPr>
            <w:r>
              <w:rPr>
                <w:rFonts w:ascii="Arial" w:cs="Arial" w:eastAsia="Arial" w:hAnsi="Arial"/>
                <w:sz w:val="10"/>
                <w:szCs w:val="10"/>
                <w:i w:val="1"/>
                <w:iCs w:val="1"/>
                <w:color w:val="auto"/>
              </w:rPr>
              <w:t xml:space="preserve">Plus </w:t>
            </w:r>
            <w:r>
              <w:rPr>
                <w:rFonts w:ascii="Arial" w:cs="Arial" w:eastAsia="Arial" w:hAnsi="Arial"/>
                <w:sz w:val="10"/>
                <w:szCs w:val="10"/>
                <w:color w:val="auto"/>
              </w:rPr>
              <w:t>Year End</w:t>
            </w:r>
          </w:p>
        </w:tc>
        <w:tc>
          <w:tcPr>
            <w:tcW w:w="40" w:type="dxa"/>
            <w:vAlign w:val="bottom"/>
            <w:shd w:val="clear" w:color="auto" w:fill="F7F1EC"/>
          </w:tcPr>
          <w:p>
            <w:pPr>
              <w:spacing w:after="0"/>
              <w:rPr>
                <w:sz w:val="15"/>
                <w:szCs w:val="15"/>
                <w:color w:val="auto"/>
              </w:rPr>
            </w:pPr>
          </w:p>
        </w:tc>
        <w:tc>
          <w:tcPr>
            <w:tcW w:w="660" w:type="dxa"/>
            <w:vAlign w:val="bottom"/>
            <w:shd w:val="clear" w:color="auto" w:fill="F7F1EC"/>
          </w:tcPr>
          <w:p>
            <w:pPr>
              <w:spacing w:after="0"/>
              <w:rPr>
                <w:sz w:val="15"/>
                <w:szCs w:val="15"/>
                <w:color w:val="auto"/>
              </w:rPr>
            </w:pPr>
          </w:p>
        </w:tc>
        <w:tc>
          <w:tcPr>
            <w:tcW w:w="580" w:type="dxa"/>
            <w:vAlign w:val="bottom"/>
            <w:shd w:val="clear" w:color="auto" w:fill="F7F1EC"/>
          </w:tcPr>
          <w:p>
            <w:pPr>
              <w:spacing w:after="0"/>
              <w:rPr>
                <w:sz w:val="15"/>
                <w:szCs w:val="15"/>
                <w:color w:val="auto"/>
              </w:rPr>
            </w:pPr>
          </w:p>
        </w:tc>
        <w:tc>
          <w:tcPr>
            <w:tcW w:w="80" w:type="dxa"/>
            <w:vAlign w:val="bottom"/>
            <w:shd w:val="clear" w:color="auto" w:fill="F7F1EC"/>
          </w:tcPr>
          <w:p>
            <w:pPr>
              <w:spacing w:after="0"/>
              <w:rPr>
                <w:sz w:val="15"/>
                <w:szCs w:val="15"/>
                <w:color w:val="auto"/>
              </w:rPr>
            </w:pPr>
          </w:p>
        </w:tc>
        <w:tc>
          <w:tcPr>
            <w:tcW w:w="40" w:type="dxa"/>
            <w:vAlign w:val="bottom"/>
            <w:shd w:val="clear" w:color="auto" w:fill="F7F1EC"/>
          </w:tcPr>
          <w:p>
            <w:pPr>
              <w:spacing w:after="0"/>
              <w:rPr>
                <w:sz w:val="15"/>
                <w:szCs w:val="15"/>
                <w:color w:val="auto"/>
              </w:rPr>
            </w:pPr>
          </w:p>
        </w:tc>
        <w:tc>
          <w:tcPr>
            <w:tcW w:w="560" w:type="dxa"/>
            <w:vAlign w:val="bottom"/>
            <w:shd w:val="clear" w:color="auto" w:fill="F7F1EC"/>
          </w:tcPr>
          <w:p>
            <w:pPr>
              <w:spacing w:after="0"/>
              <w:rPr>
                <w:sz w:val="15"/>
                <w:szCs w:val="15"/>
                <w:color w:val="auto"/>
              </w:rPr>
            </w:pPr>
          </w:p>
        </w:tc>
        <w:tc>
          <w:tcPr>
            <w:tcW w:w="760" w:type="dxa"/>
            <w:vAlign w:val="bottom"/>
            <w:shd w:val="clear" w:color="auto" w:fill="F7F1EC"/>
          </w:tcPr>
          <w:p>
            <w:pPr>
              <w:spacing w:after="0"/>
              <w:rPr>
                <w:sz w:val="15"/>
                <w:szCs w:val="15"/>
                <w:color w:val="auto"/>
              </w:rPr>
            </w:pPr>
          </w:p>
        </w:tc>
        <w:tc>
          <w:tcPr>
            <w:tcW w:w="560" w:type="dxa"/>
            <w:vAlign w:val="bottom"/>
            <w:shd w:val="clear" w:color="auto" w:fill="F7F1EC"/>
          </w:tcPr>
          <w:p>
            <w:pPr>
              <w:spacing w:after="0"/>
              <w:rPr>
                <w:sz w:val="15"/>
                <w:szCs w:val="15"/>
                <w:color w:val="auto"/>
              </w:rPr>
            </w:pPr>
          </w:p>
        </w:tc>
        <w:tc>
          <w:tcPr>
            <w:tcW w:w="100" w:type="dxa"/>
            <w:vAlign w:val="bottom"/>
            <w:shd w:val="clear" w:color="auto" w:fill="F7F1EC"/>
          </w:tcPr>
          <w:p>
            <w:pPr>
              <w:spacing w:after="0"/>
              <w:rPr>
                <w:sz w:val="15"/>
                <w:szCs w:val="15"/>
                <w:color w:val="auto"/>
              </w:rPr>
            </w:pPr>
          </w:p>
        </w:tc>
        <w:tc>
          <w:tcPr>
            <w:tcW w:w="620" w:type="dxa"/>
            <w:vAlign w:val="bottom"/>
            <w:shd w:val="clear" w:color="auto" w:fill="F7F1EC"/>
          </w:tcPr>
          <w:p>
            <w:pPr>
              <w:spacing w:after="0"/>
              <w:rPr>
                <w:sz w:val="15"/>
                <w:szCs w:val="15"/>
                <w:color w:val="auto"/>
              </w:rPr>
            </w:pPr>
          </w:p>
        </w:tc>
        <w:tc>
          <w:tcPr>
            <w:tcW w:w="580" w:type="dxa"/>
            <w:vAlign w:val="bottom"/>
            <w:shd w:val="clear" w:color="auto" w:fill="F7F1EC"/>
          </w:tcPr>
          <w:p>
            <w:pPr>
              <w:spacing w:after="0"/>
              <w:rPr>
                <w:sz w:val="15"/>
                <w:szCs w:val="15"/>
                <w:color w:val="auto"/>
              </w:rPr>
            </w:pPr>
          </w:p>
        </w:tc>
        <w:tc>
          <w:tcPr>
            <w:tcW w:w="80" w:type="dxa"/>
            <w:vAlign w:val="bottom"/>
            <w:shd w:val="clear" w:color="auto" w:fill="F7F1EC"/>
          </w:tcPr>
          <w:p>
            <w:pPr>
              <w:spacing w:after="0"/>
              <w:rPr>
                <w:sz w:val="15"/>
                <w:szCs w:val="15"/>
                <w:color w:val="auto"/>
              </w:rPr>
            </w:pPr>
          </w:p>
        </w:tc>
        <w:tc>
          <w:tcPr>
            <w:tcW w:w="640" w:type="dxa"/>
            <w:vAlign w:val="bottom"/>
            <w:shd w:val="clear" w:color="auto" w:fill="F7F1EC"/>
          </w:tcPr>
          <w:p>
            <w:pPr>
              <w:spacing w:after="0"/>
              <w:rPr>
                <w:sz w:val="15"/>
                <w:szCs w:val="15"/>
                <w:color w:val="auto"/>
              </w:rPr>
            </w:pPr>
          </w:p>
        </w:tc>
        <w:tc>
          <w:tcPr>
            <w:tcW w:w="560" w:type="dxa"/>
            <w:vAlign w:val="bottom"/>
            <w:shd w:val="clear" w:color="auto" w:fill="F7F1EC"/>
          </w:tcPr>
          <w:p>
            <w:pPr>
              <w:spacing w:after="0"/>
              <w:rPr>
                <w:sz w:val="15"/>
                <w:szCs w:val="15"/>
                <w:color w:val="auto"/>
              </w:rPr>
            </w:pPr>
          </w:p>
        </w:tc>
        <w:tc>
          <w:tcPr>
            <w:tcW w:w="100" w:type="dxa"/>
            <w:vAlign w:val="bottom"/>
            <w:shd w:val="clear" w:color="auto" w:fill="F7F1EC"/>
          </w:tcPr>
          <w:p>
            <w:pPr>
              <w:spacing w:after="0"/>
              <w:rPr>
                <w:sz w:val="15"/>
                <w:szCs w:val="15"/>
                <w:color w:val="auto"/>
              </w:rPr>
            </w:pPr>
          </w:p>
        </w:tc>
        <w:tc>
          <w:tcPr>
            <w:tcW w:w="620" w:type="dxa"/>
            <w:vAlign w:val="bottom"/>
            <w:shd w:val="clear" w:color="auto" w:fill="F7F1EC"/>
          </w:tcPr>
          <w:p>
            <w:pPr>
              <w:spacing w:after="0"/>
              <w:rPr>
                <w:sz w:val="15"/>
                <w:szCs w:val="15"/>
                <w:color w:val="auto"/>
              </w:rPr>
            </w:pPr>
          </w:p>
        </w:tc>
        <w:tc>
          <w:tcPr>
            <w:tcW w:w="560" w:type="dxa"/>
            <w:vAlign w:val="bottom"/>
            <w:shd w:val="clear" w:color="auto" w:fill="F7F1EC"/>
          </w:tcPr>
          <w:p>
            <w:pPr>
              <w:spacing w:after="0"/>
              <w:rPr>
                <w:sz w:val="15"/>
                <w:szCs w:val="15"/>
                <w:color w:val="auto"/>
              </w:rPr>
            </w:pPr>
          </w:p>
        </w:tc>
        <w:tc>
          <w:tcPr>
            <w:tcW w:w="40" w:type="dxa"/>
            <w:vAlign w:val="bottom"/>
            <w:shd w:val="clear" w:color="auto" w:fill="F7F1EC"/>
          </w:tcPr>
          <w:p>
            <w:pPr>
              <w:spacing w:after="0"/>
              <w:rPr>
                <w:sz w:val="15"/>
                <w:szCs w:val="15"/>
                <w:color w:val="auto"/>
              </w:rPr>
            </w:pPr>
          </w:p>
        </w:tc>
      </w:tr>
      <w:tr>
        <w:trPr>
          <w:trHeight w:val="115"/>
        </w:trPr>
        <w:tc>
          <w:tcPr>
            <w:tcW w:w="780" w:type="dxa"/>
            <w:vAlign w:val="bottom"/>
            <w:shd w:val="clear" w:color="auto" w:fill="F7F1EC"/>
          </w:tcPr>
          <w:p>
            <w:pPr>
              <w:ind w:left="60"/>
              <w:spacing w:after="0"/>
              <w:rPr>
                <w:sz w:val="20"/>
                <w:szCs w:val="20"/>
                <w:color w:val="auto"/>
              </w:rPr>
            </w:pPr>
            <w:r>
              <w:rPr>
                <w:rFonts w:ascii="Arial" w:cs="Arial" w:eastAsia="Arial" w:hAnsi="Arial"/>
                <w:sz w:val="10"/>
                <w:szCs w:val="10"/>
                <w:color w:val="auto"/>
              </w:rPr>
              <w:t>Fair Value of</w:t>
            </w:r>
          </w:p>
        </w:tc>
        <w:tc>
          <w:tcPr>
            <w:tcW w:w="40" w:type="dxa"/>
            <w:vAlign w:val="bottom"/>
            <w:shd w:val="clear" w:color="auto" w:fill="F7F1EC"/>
          </w:tcPr>
          <w:p>
            <w:pPr>
              <w:spacing w:after="0"/>
              <w:rPr>
                <w:sz w:val="9"/>
                <w:szCs w:val="9"/>
                <w:color w:val="auto"/>
              </w:rPr>
            </w:pPr>
          </w:p>
        </w:tc>
        <w:tc>
          <w:tcPr>
            <w:tcW w:w="660" w:type="dxa"/>
            <w:vAlign w:val="bottom"/>
            <w:shd w:val="clear" w:color="auto" w:fill="F7F1EC"/>
          </w:tcPr>
          <w:p>
            <w:pPr>
              <w:spacing w:after="0"/>
              <w:rPr>
                <w:sz w:val="9"/>
                <w:szCs w:val="9"/>
                <w:color w:val="auto"/>
              </w:rPr>
            </w:pPr>
          </w:p>
        </w:tc>
        <w:tc>
          <w:tcPr>
            <w:tcW w:w="580" w:type="dxa"/>
            <w:vAlign w:val="bottom"/>
            <w:shd w:val="clear" w:color="auto" w:fill="F7F1EC"/>
          </w:tcPr>
          <w:p>
            <w:pPr>
              <w:spacing w:after="0"/>
              <w:rPr>
                <w:sz w:val="9"/>
                <w:szCs w:val="9"/>
                <w:color w:val="auto"/>
              </w:rPr>
            </w:pPr>
          </w:p>
        </w:tc>
        <w:tc>
          <w:tcPr>
            <w:tcW w:w="80" w:type="dxa"/>
            <w:vAlign w:val="bottom"/>
            <w:shd w:val="clear" w:color="auto" w:fill="F7F1EC"/>
          </w:tcPr>
          <w:p>
            <w:pPr>
              <w:spacing w:after="0"/>
              <w:rPr>
                <w:sz w:val="9"/>
                <w:szCs w:val="9"/>
                <w:color w:val="auto"/>
              </w:rPr>
            </w:pPr>
          </w:p>
        </w:tc>
        <w:tc>
          <w:tcPr>
            <w:tcW w:w="40" w:type="dxa"/>
            <w:vAlign w:val="bottom"/>
            <w:shd w:val="clear" w:color="auto" w:fill="F7F1EC"/>
          </w:tcPr>
          <w:p>
            <w:pPr>
              <w:spacing w:after="0"/>
              <w:rPr>
                <w:sz w:val="9"/>
                <w:szCs w:val="9"/>
                <w:color w:val="auto"/>
              </w:rPr>
            </w:pPr>
          </w:p>
        </w:tc>
        <w:tc>
          <w:tcPr>
            <w:tcW w:w="560" w:type="dxa"/>
            <w:vAlign w:val="bottom"/>
            <w:shd w:val="clear" w:color="auto" w:fill="F7F1EC"/>
          </w:tcPr>
          <w:p>
            <w:pPr>
              <w:spacing w:after="0"/>
              <w:rPr>
                <w:sz w:val="9"/>
                <w:szCs w:val="9"/>
                <w:color w:val="auto"/>
              </w:rPr>
            </w:pPr>
          </w:p>
        </w:tc>
        <w:tc>
          <w:tcPr>
            <w:tcW w:w="760" w:type="dxa"/>
            <w:vAlign w:val="bottom"/>
            <w:shd w:val="clear" w:color="auto" w:fill="F7F1EC"/>
          </w:tcPr>
          <w:p>
            <w:pPr>
              <w:spacing w:after="0"/>
              <w:rPr>
                <w:sz w:val="9"/>
                <w:szCs w:val="9"/>
                <w:color w:val="auto"/>
              </w:rPr>
            </w:pPr>
          </w:p>
        </w:tc>
        <w:tc>
          <w:tcPr>
            <w:tcW w:w="560" w:type="dxa"/>
            <w:vAlign w:val="bottom"/>
            <w:shd w:val="clear" w:color="auto" w:fill="F7F1EC"/>
          </w:tcPr>
          <w:p>
            <w:pPr>
              <w:spacing w:after="0"/>
              <w:rPr>
                <w:sz w:val="9"/>
                <w:szCs w:val="9"/>
                <w:color w:val="auto"/>
              </w:rPr>
            </w:pPr>
          </w:p>
        </w:tc>
        <w:tc>
          <w:tcPr>
            <w:tcW w:w="100" w:type="dxa"/>
            <w:vAlign w:val="bottom"/>
            <w:shd w:val="clear" w:color="auto" w:fill="F7F1EC"/>
          </w:tcPr>
          <w:p>
            <w:pPr>
              <w:spacing w:after="0"/>
              <w:rPr>
                <w:sz w:val="9"/>
                <w:szCs w:val="9"/>
                <w:color w:val="auto"/>
              </w:rPr>
            </w:pPr>
          </w:p>
        </w:tc>
        <w:tc>
          <w:tcPr>
            <w:tcW w:w="620" w:type="dxa"/>
            <w:vAlign w:val="bottom"/>
            <w:shd w:val="clear" w:color="auto" w:fill="F7F1EC"/>
          </w:tcPr>
          <w:p>
            <w:pPr>
              <w:spacing w:after="0"/>
              <w:rPr>
                <w:sz w:val="9"/>
                <w:szCs w:val="9"/>
                <w:color w:val="auto"/>
              </w:rPr>
            </w:pPr>
          </w:p>
        </w:tc>
        <w:tc>
          <w:tcPr>
            <w:tcW w:w="580" w:type="dxa"/>
            <w:vAlign w:val="bottom"/>
            <w:shd w:val="clear" w:color="auto" w:fill="F7F1EC"/>
          </w:tcPr>
          <w:p>
            <w:pPr>
              <w:spacing w:after="0"/>
              <w:rPr>
                <w:sz w:val="9"/>
                <w:szCs w:val="9"/>
                <w:color w:val="auto"/>
              </w:rPr>
            </w:pPr>
          </w:p>
        </w:tc>
        <w:tc>
          <w:tcPr>
            <w:tcW w:w="80" w:type="dxa"/>
            <w:vAlign w:val="bottom"/>
            <w:shd w:val="clear" w:color="auto" w:fill="F7F1EC"/>
          </w:tcPr>
          <w:p>
            <w:pPr>
              <w:spacing w:after="0"/>
              <w:rPr>
                <w:sz w:val="9"/>
                <w:szCs w:val="9"/>
                <w:color w:val="auto"/>
              </w:rPr>
            </w:pPr>
          </w:p>
        </w:tc>
        <w:tc>
          <w:tcPr>
            <w:tcW w:w="640" w:type="dxa"/>
            <w:vAlign w:val="bottom"/>
            <w:shd w:val="clear" w:color="auto" w:fill="F7F1EC"/>
          </w:tcPr>
          <w:p>
            <w:pPr>
              <w:spacing w:after="0"/>
              <w:rPr>
                <w:sz w:val="9"/>
                <w:szCs w:val="9"/>
                <w:color w:val="auto"/>
              </w:rPr>
            </w:pPr>
          </w:p>
        </w:tc>
        <w:tc>
          <w:tcPr>
            <w:tcW w:w="560" w:type="dxa"/>
            <w:vAlign w:val="bottom"/>
            <w:shd w:val="clear" w:color="auto" w:fill="F7F1EC"/>
          </w:tcPr>
          <w:p>
            <w:pPr>
              <w:spacing w:after="0"/>
              <w:rPr>
                <w:sz w:val="9"/>
                <w:szCs w:val="9"/>
                <w:color w:val="auto"/>
              </w:rPr>
            </w:pPr>
          </w:p>
        </w:tc>
        <w:tc>
          <w:tcPr>
            <w:tcW w:w="100" w:type="dxa"/>
            <w:vAlign w:val="bottom"/>
            <w:shd w:val="clear" w:color="auto" w:fill="F7F1EC"/>
          </w:tcPr>
          <w:p>
            <w:pPr>
              <w:spacing w:after="0"/>
              <w:rPr>
                <w:sz w:val="9"/>
                <w:szCs w:val="9"/>
                <w:color w:val="auto"/>
              </w:rPr>
            </w:pPr>
          </w:p>
        </w:tc>
        <w:tc>
          <w:tcPr>
            <w:tcW w:w="620" w:type="dxa"/>
            <w:vAlign w:val="bottom"/>
            <w:shd w:val="clear" w:color="auto" w:fill="F7F1EC"/>
          </w:tcPr>
          <w:p>
            <w:pPr>
              <w:spacing w:after="0"/>
              <w:rPr>
                <w:sz w:val="9"/>
                <w:szCs w:val="9"/>
                <w:color w:val="auto"/>
              </w:rPr>
            </w:pPr>
          </w:p>
        </w:tc>
        <w:tc>
          <w:tcPr>
            <w:tcW w:w="560" w:type="dxa"/>
            <w:vAlign w:val="bottom"/>
            <w:shd w:val="clear" w:color="auto" w:fill="F7F1EC"/>
          </w:tcPr>
          <w:p>
            <w:pPr>
              <w:spacing w:after="0"/>
              <w:rPr>
                <w:sz w:val="9"/>
                <w:szCs w:val="9"/>
                <w:color w:val="auto"/>
              </w:rPr>
            </w:pPr>
          </w:p>
        </w:tc>
        <w:tc>
          <w:tcPr>
            <w:tcW w:w="40" w:type="dxa"/>
            <w:vAlign w:val="bottom"/>
            <w:shd w:val="clear" w:color="auto" w:fill="F7F1EC"/>
          </w:tcPr>
          <w:p>
            <w:pPr>
              <w:spacing w:after="0"/>
              <w:rPr>
                <w:sz w:val="9"/>
                <w:szCs w:val="9"/>
                <w:color w:val="auto"/>
              </w:rPr>
            </w:pPr>
          </w:p>
        </w:tc>
      </w:tr>
      <w:tr>
        <w:trPr>
          <w:trHeight w:val="115"/>
        </w:trPr>
        <w:tc>
          <w:tcPr>
            <w:tcW w:w="780" w:type="dxa"/>
            <w:vAlign w:val="bottom"/>
            <w:shd w:val="clear" w:color="auto" w:fill="F7F1EC"/>
          </w:tcPr>
          <w:p>
            <w:pPr>
              <w:ind w:left="60"/>
              <w:spacing w:after="0"/>
              <w:rPr>
                <w:sz w:val="20"/>
                <w:szCs w:val="20"/>
                <w:color w:val="auto"/>
              </w:rPr>
            </w:pPr>
            <w:r>
              <w:rPr>
                <w:rFonts w:ascii="Arial" w:cs="Arial" w:eastAsia="Arial" w:hAnsi="Arial"/>
                <w:sz w:val="10"/>
                <w:szCs w:val="10"/>
                <w:color w:val="auto"/>
              </w:rPr>
              <w:t>Equity Awards</w:t>
            </w:r>
          </w:p>
        </w:tc>
        <w:tc>
          <w:tcPr>
            <w:tcW w:w="40" w:type="dxa"/>
            <w:vAlign w:val="bottom"/>
            <w:shd w:val="clear" w:color="auto" w:fill="F7F1EC"/>
          </w:tcPr>
          <w:p>
            <w:pPr>
              <w:spacing w:after="0"/>
              <w:rPr>
                <w:sz w:val="9"/>
                <w:szCs w:val="9"/>
                <w:color w:val="auto"/>
              </w:rPr>
            </w:pPr>
          </w:p>
        </w:tc>
        <w:tc>
          <w:tcPr>
            <w:tcW w:w="660" w:type="dxa"/>
            <w:vAlign w:val="bottom"/>
            <w:shd w:val="clear" w:color="auto" w:fill="F7F1EC"/>
          </w:tcPr>
          <w:p>
            <w:pPr>
              <w:spacing w:after="0"/>
              <w:rPr>
                <w:sz w:val="9"/>
                <w:szCs w:val="9"/>
                <w:color w:val="auto"/>
              </w:rPr>
            </w:pPr>
          </w:p>
        </w:tc>
        <w:tc>
          <w:tcPr>
            <w:tcW w:w="580" w:type="dxa"/>
            <w:vAlign w:val="bottom"/>
            <w:shd w:val="clear" w:color="auto" w:fill="F7F1EC"/>
          </w:tcPr>
          <w:p>
            <w:pPr>
              <w:spacing w:after="0"/>
              <w:rPr>
                <w:sz w:val="9"/>
                <w:szCs w:val="9"/>
                <w:color w:val="auto"/>
              </w:rPr>
            </w:pPr>
          </w:p>
        </w:tc>
        <w:tc>
          <w:tcPr>
            <w:tcW w:w="80" w:type="dxa"/>
            <w:vAlign w:val="bottom"/>
            <w:shd w:val="clear" w:color="auto" w:fill="F7F1EC"/>
          </w:tcPr>
          <w:p>
            <w:pPr>
              <w:spacing w:after="0"/>
              <w:rPr>
                <w:sz w:val="9"/>
                <w:szCs w:val="9"/>
                <w:color w:val="auto"/>
              </w:rPr>
            </w:pPr>
          </w:p>
        </w:tc>
        <w:tc>
          <w:tcPr>
            <w:tcW w:w="40" w:type="dxa"/>
            <w:vAlign w:val="bottom"/>
            <w:shd w:val="clear" w:color="auto" w:fill="F7F1EC"/>
          </w:tcPr>
          <w:p>
            <w:pPr>
              <w:spacing w:after="0"/>
              <w:rPr>
                <w:sz w:val="9"/>
                <w:szCs w:val="9"/>
                <w:color w:val="auto"/>
              </w:rPr>
            </w:pPr>
          </w:p>
        </w:tc>
        <w:tc>
          <w:tcPr>
            <w:tcW w:w="560" w:type="dxa"/>
            <w:vAlign w:val="bottom"/>
            <w:shd w:val="clear" w:color="auto" w:fill="F7F1EC"/>
          </w:tcPr>
          <w:p>
            <w:pPr>
              <w:spacing w:after="0"/>
              <w:rPr>
                <w:sz w:val="9"/>
                <w:szCs w:val="9"/>
                <w:color w:val="auto"/>
              </w:rPr>
            </w:pPr>
          </w:p>
        </w:tc>
        <w:tc>
          <w:tcPr>
            <w:tcW w:w="760" w:type="dxa"/>
            <w:vAlign w:val="bottom"/>
            <w:shd w:val="clear" w:color="auto" w:fill="F7F1EC"/>
          </w:tcPr>
          <w:p>
            <w:pPr>
              <w:spacing w:after="0"/>
              <w:rPr>
                <w:sz w:val="9"/>
                <w:szCs w:val="9"/>
                <w:color w:val="auto"/>
              </w:rPr>
            </w:pPr>
          </w:p>
        </w:tc>
        <w:tc>
          <w:tcPr>
            <w:tcW w:w="560" w:type="dxa"/>
            <w:vAlign w:val="bottom"/>
            <w:shd w:val="clear" w:color="auto" w:fill="F7F1EC"/>
          </w:tcPr>
          <w:p>
            <w:pPr>
              <w:spacing w:after="0"/>
              <w:rPr>
                <w:sz w:val="9"/>
                <w:szCs w:val="9"/>
                <w:color w:val="auto"/>
              </w:rPr>
            </w:pPr>
          </w:p>
        </w:tc>
        <w:tc>
          <w:tcPr>
            <w:tcW w:w="100" w:type="dxa"/>
            <w:vAlign w:val="bottom"/>
            <w:shd w:val="clear" w:color="auto" w:fill="F7F1EC"/>
          </w:tcPr>
          <w:p>
            <w:pPr>
              <w:spacing w:after="0"/>
              <w:rPr>
                <w:sz w:val="9"/>
                <w:szCs w:val="9"/>
                <w:color w:val="auto"/>
              </w:rPr>
            </w:pPr>
          </w:p>
        </w:tc>
        <w:tc>
          <w:tcPr>
            <w:tcW w:w="620" w:type="dxa"/>
            <w:vAlign w:val="bottom"/>
            <w:shd w:val="clear" w:color="auto" w:fill="F7F1EC"/>
          </w:tcPr>
          <w:p>
            <w:pPr>
              <w:spacing w:after="0"/>
              <w:rPr>
                <w:sz w:val="9"/>
                <w:szCs w:val="9"/>
                <w:color w:val="auto"/>
              </w:rPr>
            </w:pPr>
          </w:p>
        </w:tc>
        <w:tc>
          <w:tcPr>
            <w:tcW w:w="580" w:type="dxa"/>
            <w:vAlign w:val="bottom"/>
            <w:shd w:val="clear" w:color="auto" w:fill="F7F1EC"/>
          </w:tcPr>
          <w:p>
            <w:pPr>
              <w:spacing w:after="0"/>
              <w:rPr>
                <w:sz w:val="9"/>
                <w:szCs w:val="9"/>
                <w:color w:val="auto"/>
              </w:rPr>
            </w:pPr>
          </w:p>
        </w:tc>
        <w:tc>
          <w:tcPr>
            <w:tcW w:w="80" w:type="dxa"/>
            <w:vAlign w:val="bottom"/>
            <w:shd w:val="clear" w:color="auto" w:fill="F7F1EC"/>
          </w:tcPr>
          <w:p>
            <w:pPr>
              <w:spacing w:after="0"/>
              <w:rPr>
                <w:sz w:val="9"/>
                <w:szCs w:val="9"/>
                <w:color w:val="auto"/>
              </w:rPr>
            </w:pPr>
          </w:p>
        </w:tc>
        <w:tc>
          <w:tcPr>
            <w:tcW w:w="640" w:type="dxa"/>
            <w:vAlign w:val="bottom"/>
            <w:shd w:val="clear" w:color="auto" w:fill="F7F1EC"/>
          </w:tcPr>
          <w:p>
            <w:pPr>
              <w:spacing w:after="0"/>
              <w:rPr>
                <w:sz w:val="9"/>
                <w:szCs w:val="9"/>
                <w:color w:val="auto"/>
              </w:rPr>
            </w:pPr>
          </w:p>
        </w:tc>
        <w:tc>
          <w:tcPr>
            <w:tcW w:w="560" w:type="dxa"/>
            <w:vAlign w:val="bottom"/>
            <w:shd w:val="clear" w:color="auto" w:fill="F7F1EC"/>
          </w:tcPr>
          <w:p>
            <w:pPr>
              <w:spacing w:after="0"/>
              <w:rPr>
                <w:sz w:val="9"/>
                <w:szCs w:val="9"/>
                <w:color w:val="auto"/>
              </w:rPr>
            </w:pPr>
          </w:p>
        </w:tc>
        <w:tc>
          <w:tcPr>
            <w:tcW w:w="100" w:type="dxa"/>
            <w:vAlign w:val="bottom"/>
            <w:shd w:val="clear" w:color="auto" w:fill="F7F1EC"/>
          </w:tcPr>
          <w:p>
            <w:pPr>
              <w:spacing w:after="0"/>
              <w:rPr>
                <w:sz w:val="9"/>
                <w:szCs w:val="9"/>
                <w:color w:val="auto"/>
              </w:rPr>
            </w:pPr>
          </w:p>
        </w:tc>
        <w:tc>
          <w:tcPr>
            <w:tcW w:w="620" w:type="dxa"/>
            <w:vAlign w:val="bottom"/>
            <w:shd w:val="clear" w:color="auto" w:fill="F7F1EC"/>
          </w:tcPr>
          <w:p>
            <w:pPr>
              <w:spacing w:after="0"/>
              <w:rPr>
                <w:sz w:val="9"/>
                <w:szCs w:val="9"/>
                <w:color w:val="auto"/>
              </w:rPr>
            </w:pPr>
          </w:p>
        </w:tc>
        <w:tc>
          <w:tcPr>
            <w:tcW w:w="560" w:type="dxa"/>
            <w:vAlign w:val="bottom"/>
            <w:shd w:val="clear" w:color="auto" w:fill="F7F1EC"/>
          </w:tcPr>
          <w:p>
            <w:pPr>
              <w:spacing w:after="0"/>
              <w:rPr>
                <w:sz w:val="9"/>
                <w:szCs w:val="9"/>
                <w:color w:val="auto"/>
              </w:rPr>
            </w:pPr>
          </w:p>
        </w:tc>
        <w:tc>
          <w:tcPr>
            <w:tcW w:w="40" w:type="dxa"/>
            <w:vAlign w:val="bottom"/>
            <w:shd w:val="clear" w:color="auto" w:fill="F7F1EC"/>
          </w:tcPr>
          <w:p>
            <w:pPr>
              <w:spacing w:after="0"/>
              <w:rPr>
                <w:sz w:val="9"/>
                <w:szCs w:val="9"/>
                <w:color w:val="auto"/>
              </w:rPr>
            </w:pPr>
          </w:p>
        </w:tc>
      </w:tr>
      <w:tr>
        <w:trPr>
          <w:trHeight w:val="115"/>
        </w:trPr>
        <w:tc>
          <w:tcPr>
            <w:tcW w:w="780" w:type="dxa"/>
            <w:vAlign w:val="bottom"/>
            <w:shd w:val="clear" w:color="auto" w:fill="F7F1EC"/>
          </w:tcPr>
          <w:p>
            <w:pPr>
              <w:ind w:left="60"/>
              <w:spacing w:after="0"/>
              <w:rPr>
                <w:sz w:val="20"/>
                <w:szCs w:val="20"/>
                <w:color w:val="auto"/>
              </w:rPr>
            </w:pPr>
            <w:r>
              <w:rPr>
                <w:rFonts w:ascii="Arial" w:cs="Arial" w:eastAsia="Arial" w:hAnsi="Arial"/>
                <w:sz w:val="10"/>
                <w:szCs w:val="10"/>
                <w:color w:val="auto"/>
              </w:rPr>
              <w:t>Granted During</w:t>
            </w:r>
          </w:p>
        </w:tc>
        <w:tc>
          <w:tcPr>
            <w:tcW w:w="40" w:type="dxa"/>
            <w:vAlign w:val="bottom"/>
            <w:shd w:val="clear" w:color="auto" w:fill="F7F1EC"/>
          </w:tcPr>
          <w:p>
            <w:pPr>
              <w:spacing w:after="0"/>
              <w:rPr>
                <w:sz w:val="9"/>
                <w:szCs w:val="9"/>
                <w:color w:val="auto"/>
              </w:rPr>
            </w:pPr>
          </w:p>
        </w:tc>
        <w:tc>
          <w:tcPr>
            <w:tcW w:w="660" w:type="dxa"/>
            <w:vAlign w:val="bottom"/>
            <w:shd w:val="clear" w:color="auto" w:fill="F7F1EC"/>
          </w:tcPr>
          <w:p>
            <w:pPr>
              <w:spacing w:after="0"/>
              <w:rPr>
                <w:sz w:val="9"/>
                <w:szCs w:val="9"/>
                <w:color w:val="auto"/>
              </w:rPr>
            </w:pPr>
          </w:p>
        </w:tc>
        <w:tc>
          <w:tcPr>
            <w:tcW w:w="580" w:type="dxa"/>
            <w:vAlign w:val="bottom"/>
            <w:shd w:val="clear" w:color="auto" w:fill="F7F1EC"/>
          </w:tcPr>
          <w:p>
            <w:pPr>
              <w:spacing w:after="0"/>
              <w:rPr>
                <w:sz w:val="9"/>
                <w:szCs w:val="9"/>
                <w:color w:val="auto"/>
              </w:rPr>
            </w:pPr>
          </w:p>
        </w:tc>
        <w:tc>
          <w:tcPr>
            <w:tcW w:w="80" w:type="dxa"/>
            <w:vAlign w:val="bottom"/>
            <w:shd w:val="clear" w:color="auto" w:fill="F7F1EC"/>
          </w:tcPr>
          <w:p>
            <w:pPr>
              <w:spacing w:after="0"/>
              <w:rPr>
                <w:sz w:val="9"/>
                <w:szCs w:val="9"/>
                <w:color w:val="auto"/>
              </w:rPr>
            </w:pPr>
          </w:p>
        </w:tc>
        <w:tc>
          <w:tcPr>
            <w:tcW w:w="40" w:type="dxa"/>
            <w:vAlign w:val="bottom"/>
            <w:shd w:val="clear" w:color="auto" w:fill="F7F1EC"/>
          </w:tcPr>
          <w:p>
            <w:pPr>
              <w:spacing w:after="0"/>
              <w:rPr>
                <w:sz w:val="9"/>
                <w:szCs w:val="9"/>
                <w:color w:val="auto"/>
              </w:rPr>
            </w:pPr>
          </w:p>
        </w:tc>
        <w:tc>
          <w:tcPr>
            <w:tcW w:w="560" w:type="dxa"/>
            <w:vAlign w:val="bottom"/>
            <w:shd w:val="clear" w:color="auto" w:fill="F7F1EC"/>
          </w:tcPr>
          <w:p>
            <w:pPr>
              <w:spacing w:after="0"/>
              <w:rPr>
                <w:sz w:val="9"/>
                <w:szCs w:val="9"/>
                <w:color w:val="auto"/>
              </w:rPr>
            </w:pPr>
          </w:p>
        </w:tc>
        <w:tc>
          <w:tcPr>
            <w:tcW w:w="760" w:type="dxa"/>
            <w:vAlign w:val="bottom"/>
            <w:shd w:val="clear" w:color="auto" w:fill="F7F1EC"/>
          </w:tcPr>
          <w:p>
            <w:pPr>
              <w:spacing w:after="0"/>
              <w:rPr>
                <w:sz w:val="9"/>
                <w:szCs w:val="9"/>
                <w:color w:val="auto"/>
              </w:rPr>
            </w:pPr>
          </w:p>
        </w:tc>
        <w:tc>
          <w:tcPr>
            <w:tcW w:w="560" w:type="dxa"/>
            <w:vAlign w:val="bottom"/>
            <w:shd w:val="clear" w:color="auto" w:fill="F7F1EC"/>
          </w:tcPr>
          <w:p>
            <w:pPr>
              <w:spacing w:after="0"/>
              <w:rPr>
                <w:sz w:val="9"/>
                <w:szCs w:val="9"/>
                <w:color w:val="auto"/>
              </w:rPr>
            </w:pPr>
          </w:p>
        </w:tc>
        <w:tc>
          <w:tcPr>
            <w:tcW w:w="100" w:type="dxa"/>
            <w:vAlign w:val="bottom"/>
            <w:shd w:val="clear" w:color="auto" w:fill="F7F1EC"/>
          </w:tcPr>
          <w:p>
            <w:pPr>
              <w:spacing w:after="0"/>
              <w:rPr>
                <w:sz w:val="9"/>
                <w:szCs w:val="9"/>
                <w:color w:val="auto"/>
              </w:rPr>
            </w:pPr>
          </w:p>
        </w:tc>
        <w:tc>
          <w:tcPr>
            <w:tcW w:w="620" w:type="dxa"/>
            <w:vAlign w:val="bottom"/>
            <w:shd w:val="clear" w:color="auto" w:fill="F7F1EC"/>
          </w:tcPr>
          <w:p>
            <w:pPr>
              <w:spacing w:after="0"/>
              <w:rPr>
                <w:sz w:val="9"/>
                <w:szCs w:val="9"/>
                <w:color w:val="auto"/>
              </w:rPr>
            </w:pPr>
          </w:p>
        </w:tc>
        <w:tc>
          <w:tcPr>
            <w:tcW w:w="580" w:type="dxa"/>
            <w:vAlign w:val="bottom"/>
            <w:shd w:val="clear" w:color="auto" w:fill="F7F1EC"/>
          </w:tcPr>
          <w:p>
            <w:pPr>
              <w:spacing w:after="0"/>
              <w:rPr>
                <w:sz w:val="9"/>
                <w:szCs w:val="9"/>
                <w:color w:val="auto"/>
              </w:rPr>
            </w:pPr>
          </w:p>
        </w:tc>
        <w:tc>
          <w:tcPr>
            <w:tcW w:w="80" w:type="dxa"/>
            <w:vAlign w:val="bottom"/>
            <w:shd w:val="clear" w:color="auto" w:fill="F7F1EC"/>
          </w:tcPr>
          <w:p>
            <w:pPr>
              <w:spacing w:after="0"/>
              <w:rPr>
                <w:sz w:val="9"/>
                <w:szCs w:val="9"/>
                <w:color w:val="auto"/>
              </w:rPr>
            </w:pPr>
          </w:p>
        </w:tc>
        <w:tc>
          <w:tcPr>
            <w:tcW w:w="640" w:type="dxa"/>
            <w:vAlign w:val="bottom"/>
            <w:shd w:val="clear" w:color="auto" w:fill="F7F1EC"/>
          </w:tcPr>
          <w:p>
            <w:pPr>
              <w:spacing w:after="0"/>
              <w:rPr>
                <w:sz w:val="9"/>
                <w:szCs w:val="9"/>
                <w:color w:val="auto"/>
              </w:rPr>
            </w:pPr>
          </w:p>
        </w:tc>
        <w:tc>
          <w:tcPr>
            <w:tcW w:w="560" w:type="dxa"/>
            <w:vAlign w:val="bottom"/>
            <w:shd w:val="clear" w:color="auto" w:fill="F7F1EC"/>
          </w:tcPr>
          <w:p>
            <w:pPr>
              <w:spacing w:after="0"/>
              <w:rPr>
                <w:sz w:val="9"/>
                <w:szCs w:val="9"/>
                <w:color w:val="auto"/>
              </w:rPr>
            </w:pPr>
          </w:p>
        </w:tc>
        <w:tc>
          <w:tcPr>
            <w:tcW w:w="100" w:type="dxa"/>
            <w:vAlign w:val="bottom"/>
            <w:shd w:val="clear" w:color="auto" w:fill="F7F1EC"/>
          </w:tcPr>
          <w:p>
            <w:pPr>
              <w:spacing w:after="0"/>
              <w:rPr>
                <w:sz w:val="9"/>
                <w:szCs w:val="9"/>
                <w:color w:val="auto"/>
              </w:rPr>
            </w:pPr>
          </w:p>
        </w:tc>
        <w:tc>
          <w:tcPr>
            <w:tcW w:w="620" w:type="dxa"/>
            <w:vAlign w:val="bottom"/>
            <w:shd w:val="clear" w:color="auto" w:fill="F7F1EC"/>
          </w:tcPr>
          <w:p>
            <w:pPr>
              <w:spacing w:after="0"/>
              <w:rPr>
                <w:sz w:val="9"/>
                <w:szCs w:val="9"/>
                <w:color w:val="auto"/>
              </w:rPr>
            </w:pPr>
          </w:p>
        </w:tc>
        <w:tc>
          <w:tcPr>
            <w:tcW w:w="560" w:type="dxa"/>
            <w:vAlign w:val="bottom"/>
            <w:shd w:val="clear" w:color="auto" w:fill="F7F1EC"/>
          </w:tcPr>
          <w:p>
            <w:pPr>
              <w:spacing w:after="0"/>
              <w:rPr>
                <w:sz w:val="9"/>
                <w:szCs w:val="9"/>
                <w:color w:val="auto"/>
              </w:rPr>
            </w:pPr>
          </w:p>
        </w:tc>
        <w:tc>
          <w:tcPr>
            <w:tcW w:w="40" w:type="dxa"/>
            <w:vAlign w:val="bottom"/>
            <w:shd w:val="clear" w:color="auto" w:fill="F7F1EC"/>
          </w:tcPr>
          <w:p>
            <w:pPr>
              <w:spacing w:after="0"/>
              <w:rPr>
                <w:sz w:val="9"/>
                <w:szCs w:val="9"/>
                <w:color w:val="auto"/>
              </w:rPr>
            </w:pPr>
          </w:p>
        </w:tc>
      </w:tr>
      <w:tr>
        <w:trPr>
          <w:trHeight w:val="115"/>
        </w:trPr>
        <w:tc>
          <w:tcPr>
            <w:tcW w:w="780" w:type="dxa"/>
            <w:vAlign w:val="bottom"/>
            <w:shd w:val="clear" w:color="auto" w:fill="F7F1EC"/>
          </w:tcPr>
          <w:p>
            <w:pPr>
              <w:ind w:left="60"/>
              <w:spacing w:after="0"/>
              <w:rPr>
                <w:sz w:val="20"/>
                <w:szCs w:val="20"/>
                <w:color w:val="auto"/>
              </w:rPr>
            </w:pPr>
            <w:r>
              <w:rPr>
                <w:rFonts w:ascii="Arial" w:cs="Arial" w:eastAsia="Arial" w:hAnsi="Arial"/>
                <w:sz w:val="10"/>
                <w:szCs w:val="10"/>
                <w:color w:val="auto"/>
              </w:rPr>
              <w:t>the Covered</w:t>
            </w:r>
          </w:p>
        </w:tc>
        <w:tc>
          <w:tcPr>
            <w:tcW w:w="40" w:type="dxa"/>
            <w:vAlign w:val="bottom"/>
            <w:shd w:val="clear" w:color="auto" w:fill="F7F1EC"/>
          </w:tcPr>
          <w:p>
            <w:pPr>
              <w:spacing w:after="0"/>
              <w:rPr>
                <w:sz w:val="9"/>
                <w:szCs w:val="9"/>
                <w:color w:val="auto"/>
              </w:rPr>
            </w:pPr>
          </w:p>
        </w:tc>
        <w:tc>
          <w:tcPr>
            <w:tcW w:w="660" w:type="dxa"/>
            <w:vAlign w:val="bottom"/>
            <w:shd w:val="clear" w:color="auto" w:fill="F7F1EC"/>
          </w:tcPr>
          <w:p>
            <w:pPr>
              <w:spacing w:after="0"/>
              <w:rPr>
                <w:sz w:val="9"/>
                <w:szCs w:val="9"/>
                <w:color w:val="auto"/>
              </w:rPr>
            </w:pPr>
          </w:p>
        </w:tc>
        <w:tc>
          <w:tcPr>
            <w:tcW w:w="580" w:type="dxa"/>
            <w:vAlign w:val="bottom"/>
            <w:shd w:val="clear" w:color="auto" w:fill="F7F1EC"/>
          </w:tcPr>
          <w:p>
            <w:pPr>
              <w:spacing w:after="0"/>
              <w:rPr>
                <w:sz w:val="9"/>
                <w:szCs w:val="9"/>
                <w:color w:val="auto"/>
              </w:rPr>
            </w:pPr>
          </w:p>
        </w:tc>
        <w:tc>
          <w:tcPr>
            <w:tcW w:w="80" w:type="dxa"/>
            <w:vAlign w:val="bottom"/>
            <w:shd w:val="clear" w:color="auto" w:fill="F7F1EC"/>
          </w:tcPr>
          <w:p>
            <w:pPr>
              <w:spacing w:after="0"/>
              <w:rPr>
                <w:sz w:val="9"/>
                <w:szCs w:val="9"/>
                <w:color w:val="auto"/>
              </w:rPr>
            </w:pPr>
          </w:p>
        </w:tc>
        <w:tc>
          <w:tcPr>
            <w:tcW w:w="40" w:type="dxa"/>
            <w:vAlign w:val="bottom"/>
            <w:shd w:val="clear" w:color="auto" w:fill="F7F1EC"/>
          </w:tcPr>
          <w:p>
            <w:pPr>
              <w:spacing w:after="0"/>
              <w:rPr>
                <w:sz w:val="9"/>
                <w:szCs w:val="9"/>
                <w:color w:val="auto"/>
              </w:rPr>
            </w:pPr>
          </w:p>
        </w:tc>
        <w:tc>
          <w:tcPr>
            <w:tcW w:w="560" w:type="dxa"/>
            <w:vAlign w:val="bottom"/>
            <w:shd w:val="clear" w:color="auto" w:fill="F7F1EC"/>
          </w:tcPr>
          <w:p>
            <w:pPr>
              <w:spacing w:after="0"/>
              <w:rPr>
                <w:sz w:val="9"/>
                <w:szCs w:val="9"/>
                <w:color w:val="auto"/>
              </w:rPr>
            </w:pPr>
          </w:p>
        </w:tc>
        <w:tc>
          <w:tcPr>
            <w:tcW w:w="760" w:type="dxa"/>
            <w:vAlign w:val="bottom"/>
            <w:shd w:val="clear" w:color="auto" w:fill="F7F1EC"/>
          </w:tcPr>
          <w:p>
            <w:pPr>
              <w:spacing w:after="0"/>
              <w:rPr>
                <w:sz w:val="9"/>
                <w:szCs w:val="9"/>
                <w:color w:val="auto"/>
              </w:rPr>
            </w:pPr>
          </w:p>
        </w:tc>
        <w:tc>
          <w:tcPr>
            <w:tcW w:w="560" w:type="dxa"/>
            <w:vAlign w:val="bottom"/>
            <w:shd w:val="clear" w:color="auto" w:fill="F7F1EC"/>
          </w:tcPr>
          <w:p>
            <w:pPr>
              <w:spacing w:after="0"/>
              <w:rPr>
                <w:sz w:val="9"/>
                <w:szCs w:val="9"/>
                <w:color w:val="auto"/>
              </w:rPr>
            </w:pPr>
          </w:p>
        </w:tc>
        <w:tc>
          <w:tcPr>
            <w:tcW w:w="100" w:type="dxa"/>
            <w:vAlign w:val="bottom"/>
            <w:shd w:val="clear" w:color="auto" w:fill="F7F1EC"/>
          </w:tcPr>
          <w:p>
            <w:pPr>
              <w:spacing w:after="0"/>
              <w:rPr>
                <w:sz w:val="9"/>
                <w:szCs w:val="9"/>
                <w:color w:val="auto"/>
              </w:rPr>
            </w:pPr>
          </w:p>
        </w:tc>
        <w:tc>
          <w:tcPr>
            <w:tcW w:w="620" w:type="dxa"/>
            <w:vAlign w:val="bottom"/>
            <w:shd w:val="clear" w:color="auto" w:fill="F7F1EC"/>
          </w:tcPr>
          <w:p>
            <w:pPr>
              <w:spacing w:after="0"/>
              <w:rPr>
                <w:sz w:val="9"/>
                <w:szCs w:val="9"/>
                <w:color w:val="auto"/>
              </w:rPr>
            </w:pPr>
          </w:p>
        </w:tc>
        <w:tc>
          <w:tcPr>
            <w:tcW w:w="580" w:type="dxa"/>
            <w:vAlign w:val="bottom"/>
            <w:shd w:val="clear" w:color="auto" w:fill="F7F1EC"/>
          </w:tcPr>
          <w:p>
            <w:pPr>
              <w:spacing w:after="0"/>
              <w:rPr>
                <w:sz w:val="9"/>
                <w:szCs w:val="9"/>
                <w:color w:val="auto"/>
              </w:rPr>
            </w:pPr>
          </w:p>
        </w:tc>
        <w:tc>
          <w:tcPr>
            <w:tcW w:w="80" w:type="dxa"/>
            <w:vAlign w:val="bottom"/>
            <w:shd w:val="clear" w:color="auto" w:fill="F7F1EC"/>
          </w:tcPr>
          <w:p>
            <w:pPr>
              <w:spacing w:after="0"/>
              <w:rPr>
                <w:sz w:val="9"/>
                <w:szCs w:val="9"/>
                <w:color w:val="auto"/>
              </w:rPr>
            </w:pPr>
          </w:p>
        </w:tc>
        <w:tc>
          <w:tcPr>
            <w:tcW w:w="640" w:type="dxa"/>
            <w:vAlign w:val="bottom"/>
            <w:shd w:val="clear" w:color="auto" w:fill="F7F1EC"/>
          </w:tcPr>
          <w:p>
            <w:pPr>
              <w:spacing w:after="0"/>
              <w:rPr>
                <w:sz w:val="9"/>
                <w:szCs w:val="9"/>
                <w:color w:val="auto"/>
              </w:rPr>
            </w:pPr>
          </w:p>
        </w:tc>
        <w:tc>
          <w:tcPr>
            <w:tcW w:w="560" w:type="dxa"/>
            <w:vAlign w:val="bottom"/>
            <w:shd w:val="clear" w:color="auto" w:fill="F7F1EC"/>
          </w:tcPr>
          <w:p>
            <w:pPr>
              <w:spacing w:after="0"/>
              <w:rPr>
                <w:sz w:val="9"/>
                <w:szCs w:val="9"/>
                <w:color w:val="auto"/>
              </w:rPr>
            </w:pPr>
          </w:p>
        </w:tc>
        <w:tc>
          <w:tcPr>
            <w:tcW w:w="100" w:type="dxa"/>
            <w:vAlign w:val="bottom"/>
            <w:shd w:val="clear" w:color="auto" w:fill="F7F1EC"/>
          </w:tcPr>
          <w:p>
            <w:pPr>
              <w:spacing w:after="0"/>
              <w:rPr>
                <w:sz w:val="9"/>
                <w:szCs w:val="9"/>
                <w:color w:val="auto"/>
              </w:rPr>
            </w:pPr>
          </w:p>
        </w:tc>
        <w:tc>
          <w:tcPr>
            <w:tcW w:w="620" w:type="dxa"/>
            <w:vAlign w:val="bottom"/>
            <w:shd w:val="clear" w:color="auto" w:fill="F7F1EC"/>
          </w:tcPr>
          <w:p>
            <w:pPr>
              <w:spacing w:after="0"/>
              <w:rPr>
                <w:sz w:val="9"/>
                <w:szCs w:val="9"/>
                <w:color w:val="auto"/>
              </w:rPr>
            </w:pPr>
          </w:p>
        </w:tc>
        <w:tc>
          <w:tcPr>
            <w:tcW w:w="560" w:type="dxa"/>
            <w:vAlign w:val="bottom"/>
            <w:shd w:val="clear" w:color="auto" w:fill="F7F1EC"/>
          </w:tcPr>
          <w:p>
            <w:pPr>
              <w:spacing w:after="0"/>
              <w:rPr>
                <w:sz w:val="9"/>
                <w:szCs w:val="9"/>
                <w:color w:val="auto"/>
              </w:rPr>
            </w:pPr>
          </w:p>
        </w:tc>
        <w:tc>
          <w:tcPr>
            <w:tcW w:w="40" w:type="dxa"/>
            <w:vAlign w:val="bottom"/>
            <w:shd w:val="clear" w:color="auto" w:fill="F7F1EC"/>
          </w:tcPr>
          <w:p>
            <w:pPr>
              <w:spacing w:after="0"/>
              <w:rPr>
                <w:sz w:val="9"/>
                <w:szCs w:val="9"/>
                <w:color w:val="auto"/>
              </w:rPr>
            </w:pPr>
          </w:p>
        </w:tc>
      </w:tr>
      <w:tr>
        <w:trPr>
          <w:trHeight w:val="115"/>
        </w:trPr>
        <w:tc>
          <w:tcPr>
            <w:tcW w:w="780" w:type="dxa"/>
            <w:vAlign w:val="bottom"/>
            <w:shd w:val="clear" w:color="auto" w:fill="F7F1EC"/>
          </w:tcPr>
          <w:p>
            <w:pPr>
              <w:ind w:left="60"/>
              <w:spacing w:after="0"/>
              <w:rPr>
                <w:sz w:val="20"/>
                <w:szCs w:val="20"/>
                <w:color w:val="auto"/>
              </w:rPr>
            </w:pPr>
            <w:r>
              <w:rPr>
                <w:rFonts w:ascii="Arial" w:cs="Arial" w:eastAsia="Arial" w:hAnsi="Arial"/>
                <w:sz w:val="10"/>
                <w:szCs w:val="10"/>
                <w:color w:val="auto"/>
              </w:rPr>
              <w:t>Year that</w:t>
            </w:r>
          </w:p>
        </w:tc>
        <w:tc>
          <w:tcPr>
            <w:tcW w:w="40" w:type="dxa"/>
            <w:vAlign w:val="bottom"/>
            <w:shd w:val="clear" w:color="auto" w:fill="F7F1EC"/>
          </w:tcPr>
          <w:p>
            <w:pPr>
              <w:spacing w:after="0"/>
              <w:rPr>
                <w:sz w:val="9"/>
                <w:szCs w:val="9"/>
                <w:color w:val="auto"/>
              </w:rPr>
            </w:pPr>
          </w:p>
        </w:tc>
        <w:tc>
          <w:tcPr>
            <w:tcW w:w="660" w:type="dxa"/>
            <w:vAlign w:val="bottom"/>
            <w:shd w:val="clear" w:color="auto" w:fill="F7F1EC"/>
          </w:tcPr>
          <w:p>
            <w:pPr>
              <w:spacing w:after="0"/>
              <w:rPr>
                <w:sz w:val="9"/>
                <w:szCs w:val="9"/>
                <w:color w:val="auto"/>
              </w:rPr>
            </w:pPr>
          </w:p>
        </w:tc>
        <w:tc>
          <w:tcPr>
            <w:tcW w:w="580" w:type="dxa"/>
            <w:vAlign w:val="bottom"/>
            <w:shd w:val="clear" w:color="auto" w:fill="F7F1EC"/>
          </w:tcPr>
          <w:p>
            <w:pPr>
              <w:spacing w:after="0"/>
              <w:rPr>
                <w:sz w:val="9"/>
                <w:szCs w:val="9"/>
                <w:color w:val="auto"/>
              </w:rPr>
            </w:pPr>
          </w:p>
        </w:tc>
        <w:tc>
          <w:tcPr>
            <w:tcW w:w="80" w:type="dxa"/>
            <w:vAlign w:val="bottom"/>
            <w:shd w:val="clear" w:color="auto" w:fill="F7F1EC"/>
          </w:tcPr>
          <w:p>
            <w:pPr>
              <w:spacing w:after="0"/>
              <w:rPr>
                <w:sz w:val="9"/>
                <w:szCs w:val="9"/>
                <w:color w:val="auto"/>
              </w:rPr>
            </w:pPr>
          </w:p>
        </w:tc>
        <w:tc>
          <w:tcPr>
            <w:tcW w:w="40" w:type="dxa"/>
            <w:vAlign w:val="bottom"/>
            <w:shd w:val="clear" w:color="auto" w:fill="F7F1EC"/>
          </w:tcPr>
          <w:p>
            <w:pPr>
              <w:spacing w:after="0"/>
              <w:rPr>
                <w:sz w:val="9"/>
                <w:szCs w:val="9"/>
                <w:color w:val="auto"/>
              </w:rPr>
            </w:pPr>
          </w:p>
        </w:tc>
        <w:tc>
          <w:tcPr>
            <w:tcW w:w="560" w:type="dxa"/>
            <w:vAlign w:val="bottom"/>
            <w:shd w:val="clear" w:color="auto" w:fill="F7F1EC"/>
          </w:tcPr>
          <w:p>
            <w:pPr>
              <w:spacing w:after="0"/>
              <w:rPr>
                <w:sz w:val="9"/>
                <w:szCs w:val="9"/>
                <w:color w:val="auto"/>
              </w:rPr>
            </w:pPr>
          </w:p>
        </w:tc>
        <w:tc>
          <w:tcPr>
            <w:tcW w:w="760" w:type="dxa"/>
            <w:vAlign w:val="bottom"/>
            <w:shd w:val="clear" w:color="auto" w:fill="F7F1EC"/>
          </w:tcPr>
          <w:p>
            <w:pPr>
              <w:spacing w:after="0"/>
              <w:rPr>
                <w:sz w:val="9"/>
                <w:szCs w:val="9"/>
                <w:color w:val="auto"/>
              </w:rPr>
            </w:pPr>
          </w:p>
        </w:tc>
        <w:tc>
          <w:tcPr>
            <w:tcW w:w="560" w:type="dxa"/>
            <w:vAlign w:val="bottom"/>
            <w:shd w:val="clear" w:color="auto" w:fill="F7F1EC"/>
          </w:tcPr>
          <w:p>
            <w:pPr>
              <w:spacing w:after="0"/>
              <w:rPr>
                <w:sz w:val="9"/>
                <w:szCs w:val="9"/>
                <w:color w:val="auto"/>
              </w:rPr>
            </w:pPr>
          </w:p>
        </w:tc>
        <w:tc>
          <w:tcPr>
            <w:tcW w:w="100" w:type="dxa"/>
            <w:vAlign w:val="bottom"/>
            <w:shd w:val="clear" w:color="auto" w:fill="F7F1EC"/>
          </w:tcPr>
          <w:p>
            <w:pPr>
              <w:spacing w:after="0"/>
              <w:rPr>
                <w:sz w:val="9"/>
                <w:szCs w:val="9"/>
                <w:color w:val="auto"/>
              </w:rPr>
            </w:pPr>
          </w:p>
        </w:tc>
        <w:tc>
          <w:tcPr>
            <w:tcW w:w="620" w:type="dxa"/>
            <w:vAlign w:val="bottom"/>
            <w:shd w:val="clear" w:color="auto" w:fill="F7F1EC"/>
          </w:tcPr>
          <w:p>
            <w:pPr>
              <w:spacing w:after="0"/>
              <w:rPr>
                <w:sz w:val="9"/>
                <w:szCs w:val="9"/>
                <w:color w:val="auto"/>
              </w:rPr>
            </w:pPr>
          </w:p>
        </w:tc>
        <w:tc>
          <w:tcPr>
            <w:tcW w:w="580" w:type="dxa"/>
            <w:vAlign w:val="bottom"/>
            <w:shd w:val="clear" w:color="auto" w:fill="F7F1EC"/>
          </w:tcPr>
          <w:p>
            <w:pPr>
              <w:spacing w:after="0"/>
              <w:rPr>
                <w:sz w:val="9"/>
                <w:szCs w:val="9"/>
                <w:color w:val="auto"/>
              </w:rPr>
            </w:pPr>
          </w:p>
        </w:tc>
        <w:tc>
          <w:tcPr>
            <w:tcW w:w="80" w:type="dxa"/>
            <w:vAlign w:val="bottom"/>
            <w:shd w:val="clear" w:color="auto" w:fill="F7F1EC"/>
          </w:tcPr>
          <w:p>
            <w:pPr>
              <w:spacing w:after="0"/>
              <w:rPr>
                <w:sz w:val="9"/>
                <w:szCs w:val="9"/>
                <w:color w:val="auto"/>
              </w:rPr>
            </w:pPr>
          </w:p>
        </w:tc>
        <w:tc>
          <w:tcPr>
            <w:tcW w:w="640" w:type="dxa"/>
            <w:vAlign w:val="bottom"/>
            <w:shd w:val="clear" w:color="auto" w:fill="F7F1EC"/>
          </w:tcPr>
          <w:p>
            <w:pPr>
              <w:spacing w:after="0"/>
              <w:rPr>
                <w:sz w:val="9"/>
                <w:szCs w:val="9"/>
                <w:color w:val="auto"/>
              </w:rPr>
            </w:pPr>
          </w:p>
        </w:tc>
        <w:tc>
          <w:tcPr>
            <w:tcW w:w="560" w:type="dxa"/>
            <w:vAlign w:val="bottom"/>
            <w:shd w:val="clear" w:color="auto" w:fill="F7F1EC"/>
          </w:tcPr>
          <w:p>
            <w:pPr>
              <w:spacing w:after="0"/>
              <w:rPr>
                <w:sz w:val="9"/>
                <w:szCs w:val="9"/>
                <w:color w:val="auto"/>
              </w:rPr>
            </w:pPr>
          </w:p>
        </w:tc>
        <w:tc>
          <w:tcPr>
            <w:tcW w:w="100" w:type="dxa"/>
            <w:vAlign w:val="bottom"/>
            <w:shd w:val="clear" w:color="auto" w:fill="F7F1EC"/>
          </w:tcPr>
          <w:p>
            <w:pPr>
              <w:spacing w:after="0"/>
              <w:rPr>
                <w:sz w:val="9"/>
                <w:szCs w:val="9"/>
                <w:color w:val="auto"/>
              </w:rPr>
            </w:pPr>
          </w:p>
        </w:tc>
        <w:tc>
          <w:tcPr>
            <w:tcW w:w="620" w:type="dxa"/>
            <w:vAlign w:val="bottom"/>
            <w:shd w:val="clear" w:color="auto" w:fill="F7F1EC"/>
          </w:tcPr>
          <w:p>
            <w:pPr>
              <w:spacing w:after="0"/>
              <w:rPr>
                <w:sz w:val="9"/>
                <w:szCs w:val="9"/>
                <w:color w:val="auto"/>
              </w:rPr>
            </w:pPr>
          </w:p>
        </w:tc>
        <w:tc>
          <w:tcPr>
            <w:tcW w:w="560" w:type="dxa"/>
            <w:vAlign w:val="bottom"/>
            <w:shd w:val="clear" w:color="auto" w:fill="F7F1EC"/>
          </w:tcPr>
          <w:p>
            <w:pPr>
              <w:spacing w:after="0"/>
              <w:rPr>
                <w:sz w:val="9"/>
                <w:szCs w:val="9"/>
                <w:color w:val="auto"/>
              </w:rPr>
            </w:pPr>
          </w:p>
        </w:tc>
        <w:tc>
          <w:tcPr>
            <w:tcW w:w="40" w:type="dxa"/>
            <w:vAlign w:val="bottom"/>
            <w:shd w:val="clear" w:color="auto" w:fill="F7F1EC"/>
          </w:tcPr>
          <w:p>
            <w:pPr>
              <w:spacing w:after="0"/>
              <w:rPr>
                <w:sz w:val="9"/>
                <w:szCs w:val="9"/>
                <w:color w:val="auto"/>
              </w:rPr>
            </w:pPr>
          </w:p>
        </w:tc>
      </w:tr>
      <w:tr>
        <w:trPr>
          <w:trHeight w:val="115"/>
        </w:trPr>
        <w:tc>
          <w:tcPr>
            <w:tcW w:w="780" w:type="dxa"/>
            <w:vAlign w:val="bottom"/>
            <w:shd w:val="clear" w:color="auto" w:fill="F7F1EC"/>
          </w:tcPr>
          <w:p>
            <w:pPr>
              <w:ind w:left="60"/>
              <w:spacing w:after="0"/>
              <w:rPr>
                <w:sz w:val="20"/>
                <w:szCs w:val="20"/>
                <w:color w:val="auto"/>
              </w:rPr>
            </w:pPr>
            <w:r>
              <w:rPr>
                <w:rFonts w:ascii="Arial" w:cs="Arial" w:eastAsia="Arial" w:hAnsi="Arial"/>
                <w:sz w:val="10"/>
                <w:szCs w:val="10"/>
                <w:color w:val="auto"/>
              </w:rPr>
              <w:t>Remain</w:t>
            </w:r>
          </w:p>
        </w:tc>
        <w:tc>
          <w:tcPr>
            <w:tcW w:w="40" w:type="dxa"/>
            <w:vAlign w:val="bottom"/>
            <w:shd w:val="clear" w:color="auto" w:fill="F7F1EC"/>
          </w:tcPr>
          <w:p>
            <w:pPr>
              <w:spacing w:after="0"/>
              <w:rPr>
                <w:sz w:val="9"/>
                <w:szCs w:val="9"/>
                <w:color w:val="auto"/>
              </w:rPr>
            </w:pPr>
          </w:p>
        </w:tc>
        <w:tc>
          <w:tcPr>
            <w:tcW w:w="660" w:type="dxa"/>
            <w:vAlign w:val="bottom"/>
            <w:shd w:val="clear" w:color="auto" w:fill="F7F1EC"/>
          </w:tcPr>
          <w:p>
            <w:pPr>
              <w:spacing w:after="0"/>
              <w:rPr>
                <w:sz w:val="9"/>
                <w:szCs w:val="9"/>
                <w:color w:val="auto"/>
              </w:rPr>
            </w:pPr>
          </w:p>
        </w:tc>
        <w:tc>
          <w:tcPr>
            <w:tcW w:w="580" w:type="dxa"/>
            <w:vAlign w:val="bottom"/>
            <w:shd w:val="clear" w:color="auto" w:fill="F7F1EC"/>
          </w:tcPr>
          <w:p>
            <w:pPr>
              <w:spacing w:after="0"/>
              <w:rPr>
                <w:sz w:val="9"/>
                <w:szCs w:val="9"/>
                <w:color w:val="auto"/>
              </w:rPr>
            </w:pPr>
          </w:p>
        </w:tc>
        <w:tc>
          <w:tcPr>
            <w:tcW w:w="80" w:type="dxa"/>
            <w:vAlign w:val="bottom"/>
            <w:shd w:val="clear" w:color="auto" w:fill="F7F1EC"/>
          </w:tcPr>
          <w:p>
            <w:pPr>
              <w:spacing w:after="0"/>
              <w:rPr>
                <w:sz w:val="9"/>
                <w:szCs w:val="9"/>
                <w:color w:val="auto"/>
              </w:rPr>
            </w:pPr>
          </w:p>
        </w:tc>
        <w:tc>
          <w:tcPr>
            <w:tcW w:w="40" w:type="dxa"/>
            <w:vAlign w:val="bottom"/>
            <w:shd w:val="clear" w:color="auto" w:fill="F7F1EC"/>
          </w:tcPr>
          <w:p>
            <w:pPr>
              <w:spacing w:after="0"/>
              <w:rPr>
                <w:sz w:val="9"/>
                <w:szCs w:val="9"/>
                <w:color w:val="auto"/>
              </w:rPr>
            </w:pPr>
          </w:p>
        </w:tc>
        <w:tc>
          <w:tcPr>
            <w:tcW w:w="560" w:type="dxa"/>
            <w:vAlign w:val="bottom"/>
            <w:shd w:val="clear" w:color="auto" w:fill="F7F1EC"/>
          </w:tcPr>
          <w:p>
            <w:pPr>
              <w:spacing w:after="0"/>
              <w:rPr>
                <w:sz w:val="9"/>
                <w:szCs w:val="9"/>
                <w:color w:val="auto"/>
              </w:rPr>
            </w:pPr>
          </w:p>
        </w:tc>
        <w:tc>
          <w:tcPr>
            <w:tcW w:w="760" w:type="dxa"/>
            <w:vAlign w:val="bottom"/>
            <w:shd w:val="clear" w:color="auto" w:fill="F7F1EC"/>
          </w:tcPr>
          <w:p>
            <w:pPr>
              <w:spacing w:after="0"/>
              <w:rPr>
                <w:sz w:val="9"/>
                <w:szCs w:val="9"/>
                <w:color w:val="auto"/>
              </w:rPr>
            </w:pPr>
          </w:p>
        </w:tc>
        <w:tc>
          <w:tcPr>
            <w:tcW w:w="560" w:type="dxa"/>
            <w:vAlign w:val="bottom"/>
            <w:shd w:val="clear" w:color="auto" w:fill="F7F1EC"/>
          </w:tcPr>
          <w:p>
            <w:pPr>
              <w:spacing w:after="0"/>
              <w:rPr>
                <w:sz w:val="9"/>
                <w:szCs w:val="9"/>
                <w:color w:val="auto"/>
              </w:rPr>
            </w:pPr>
          </w:p>
        </w:tc>
        <w:tc>
          <w:tcPr>
            <w:tcW w:w="100" w:type="dxa"/>
            <w:vAlign w:val="bottom"/>
            <w:shd w:val="clear" w:color="auto" w:fill="F7F1EC"/>
          </w:tcPr>
          <w:p>
            <w:pPr>
              <w:spacing w:after="0"/>
              <w:rPr>
                <w:sz w:val="9"/>
                <w:szCs w:val="9"/>
                <w:color w:val="auto"/>
              </w:rPr>
            </w:pPr>
          </w:p>
        </w:tc>
        <w:tc>
          <w:tcPr>
            <w:tcW w:w="620" w:type="dxa"/>
            <w:vAlign w:val="bottom"/>
            <w:shd w:val="clear" w:color="auto" w:fill="F7F1EC"/>
          </w:tcPr>
          <w:p>
            <w:pPr>
              <w:spacing w:after="0"/>
              <w:rPr>
                <w:sz w:val="9"/>
                <w:szCs w:val="9"/>
                <w:color w:val="auto"/>
              </w:rPr>
            </w:pPr>
          </w:p>
        </w:tc>
        <w:tc>
          <w:tcPr>
            <w:tcW w:w="580" w:type="dxa"/>
            <w:vAlign w:val="bottom"/>
            <w:shd w:val="clear" w:color="auto" w:fill="F7F1EC"/>
          </w:tcPr>
          <w:p>
            <w:pPr>
              <w:spacing w:after="0"/>
              <w:rPr>
                <w:sz w:val="9"/>
                <w:szCs w:val="9"/>
                <w:color w:val="auto"/>
              </w:rPr>
            </w:pPr>
          </w:p>
        </w:tc>
        <w:tc>
          <w:tcPr>
            <w:tcW w:w="80" w:type="dxa"/>
            <w:vAlign w:val="bottom"/>
            <w:shd w:val="clear" w:color="auto" w:fill="F7F1EC"/>
          </w:tcPr>
          <w:p>
            <w:pPr>
              <w:spacing w:after="0"/>
              <w:rPr>
                <w:sz w:val="9"/>
                <w:szCs w:val="9"/>
                <w:color w:val="auto"/>
              </w:rPr>
            </w:pPr>
          </w:p>
        </w:tc>
        <w:tc>
          <w:tcPr>
            <w:tcW w:w="640" w:type="dxa"/>
            <w:vAlign w:val="bottom"/>
            <w:shd w:val="clear" w:color="auto" w:fill="F7F1EC"/>
          </w:tcPr>
          <w:p>
            <w:pPr>
              <w:spacing w:after="0"/>
              <w:rPr>
                <w:sz w:val="9"/>
                <w:szCs w:val="9"/>
                <w:color w:val="auto"/>
              </w:rPr>
            </w:pPr>
          </w:p>
        </w:tc>
        <w:tc>
          <w:tcPr>
            <w:tcW w:w="560" w:type="dxa"/>
            <w:vAlign w:val="bottom"/>
            <w:shd w:val="clear" w:color="auto" w:fill="F7F1EC"/>
          </w:tcPr>
          <w:p>
            <w:pPr>
              <w:spacing w:after="0"/>
              <w:rPr>
                <w:sz w:val="9"/>
                <w:szCs w:val="9"/>
                <w:color w:val="auto"/>
              </w:rPr>
            </w:pPr>
          </w:p>
        </w:tc>
        <w:tc>
          <w:tcPr>
            <w:tcW w:w="100" w:type="dxa"/>
            <w:vAlign w:val="bottom"/>
            <w:shd w:val="clear" w:color="auto" w:fill="F7F1EC"/>
          </w:tcPr>
          <w:p>
            <w:pPr>
              <w:spacing w:after="0"/>
              <w:rPr>
                <w:sz w:val="9"/>
                <w:szCs w:val="9"/>
                <w:color w:val="auto"/>
              </w:rPr>
            </w:pPr>
          </w:p>
        </w:tc>
        <w:tc>
          <w:tcPr>
            <w:tcW w:w="620" w:type="dxa"/>
            <w:vAlign w:val="bottom"/>
            <w:shd w:val="clear" w:color="auto" w:fill="F7F1EC"/>
          </w:tcPr>
          <w:p>
            <w:pPr>
              <w:spacing w:after="0"/>
              <w:rPr>
                <w:sz w:val="9"/>
                <w:szCs w:val="9"/>
                <w:color w:val="auto"/>
              </w:rPr>
            </w:pPr>
          </w:p>
        </w:tc>
        <w:tc>
          <w:tcPr>
            <w:tcW w:w="560" w:type="dxa"/>
            <w:vAlign w:val="bottom"/>
            <w:shd w:val="clear" w:color="auto" w:fill="F7F1EC"/>
          </w:tcPr>
          <w:p>
            <w:pPr>
              <w:spacing w:after="0"/>
              <w:rPr>
                <w:sz w:val="9"/>
                <w:szCs w:val="9"/>
                <w:color w:val="auto"/>
              </w:rPr>
            </w:pPr>
          </w:p>
        </w:tc>
        <w:tc>
          <w:tcPr>
            <w:tcW w:w="40" w:type="dxa"/>
            <w:vAlign w:val="bottom"/>
            <w:shd w:val="clear" w:color="auto" w:fill="F7F1EC"/>
          </w:tcPr>
          <w:p>
            <w:pPr>
              <w:spacing w:after="0"/>
              <w:rPr>
                <w:sz w:val="9"/>
                <w:szCs w:val="9"/>
                <w:color w:val="auto"/>
              </w:rPr>
            </w:pPr>
          </w:p>
        </w:tc>
      </w:tr>
      <w:tr>
        <w:trPr>
          <w:trHeight w:val="115"/>
        </w:trPr>
        <w:tc>
          <w:tcPr>
            <w:tcW w:w="780" w:type="dxa"/>
            <w:vAlign w:val="bottom"/>
            <w:shd w:val="clear" w:color="auto" w:fill="F7F1EC"/>
          </w:tcPr>
          <w:p>
            <w:pPr>
              <w:ind w:left="60"/>
              <w:spacing w:after="0"/>
              <w:rPr>
                <w:sz w:val="20"/>
                <w:szCs w:val="20"/>
                <w:color w:val="auto"/>
              </w:rPr>
            </w:pPr>
            <w:r>
              <w:rPr>
                <w:rFonts w:ascii="Arial" w:cs="Arial" w:eastAsia="Arial" w:hAnsi="Arial"/>
                <w:sz w:val="10"/>
                <w:szCs w:val="10"/>
                <w:color w:val="auto"/>
              </w:rPr>
              <w:t>Outstanding</w:t>
            </w:r>
          </w:p>
        </w:tc>
        <w:tc>
          <w:tcPr>
            <w:tcW w:w="40" w:type="dxa"/>
            <w:vAlign w:val="bottom"/>
            <w:shd w:val="clear" w:color="auto" w:fill="F7F1EC"/>
          </w:tcPr>
          <w:p>
            <w:pPr>
              <w:spacing w:after="0"/>
              <w:rPr>
                <w:sz w:val="9"/>
                <w:szCs w:val="9"/>
                <w:color w:val="auto"/>
              </w:rPr>
            </w:pPr>
          </w:p>
        </w:tc>
        <w:tc>
          <w:tcPr>
            <w:tcW w:w="660" w:type="dxa"/>
            <w:vAlign w:val="bottom"/>
            <w:shd w:val="clear" w:color="auto" w:fill="F7F1EC"/>
          </w:tcPr>
          <w:p>
            <w:pPr>
              <w:spacing w:after="0"/>
              <w:rPr>
                <w:sz w:val="9"/>
                <w:szCs w:val="9"/>
                <w:color w:val="auto"/>
              </w:rPr>
            </w:pPr>
          </w:p>
        </w:tc>
        <w:tc>
          <w:tcPr>
            <w:tcW w:w="580" w:type="dxa"/>
            <w:vAlign w:val="bottom"/>
            <w:shd w:val="clear" w:color="auto" w:fill="F7F1EC"/>
          </w:tcPr>
          <w:p>
            <w:pPr>
              <w:spacing w:after="0"/>
              <w:rPr>
                <w:sz w:val="9"/>
                <w:szCs w:val="9"/>
                <w:color w:val="auto"/>
              </w:rPr>
            </w:pPr>
          </w:p>
        </w:tc>
        <w:tc>
          <w:tcPr>
            <w:tcW w:w="80" w:type="dxa"/>
            <w:vAlign w:val="bottom"/>
            <w:shd w:val="clear" w:color="auto" w:fill="F7F1EC"/>
          </w:tcPr>
          <w:p>
            <w:pPr>
              <w:spacing w:after="0"/>
              <w:rPr>
                <w:sz w:val="9"/>
                <w:szCs w:val="9"/>
                <w:color w:val="auto"/>
              </w:rPr>
            </w:pPr>
          </w:p>
        </w:tc>
        <w:tc>
          <w:tcPr>
            <w:tcW w:w="40" w:type="dxa"/>
            <w:vAlign w:val="bottom"/>
            <w:shd w:val="clear" w:color="auto" w:fill="F7F1EC"/>
          </w:tcPr>
          <w:p>
            <w:pPr>
              <w:spacing w:after="0"/>
              <w:rPr>
                <w:sz w:val="9"/>
                <w:szCs w:val="9"/>
                <w:color w:val="auto"/>
              </w:rPr>
            </w:pPr>
          </w:p>
        </w:tc>
        <w:tc>
          <w:tcPr>
            <w:tcW w:w="560" w:type="dxa"/>
            <w:vAlign w:val="bottom"/>
            <w:shd w:val="clear" w:color="auto" w:fill="F7F1EC"/>
          </w:tcPr>
          <w:p>
            <w:pPr>
              <w:spacing w:after="0"/>
              <w:rPr>
                <w:sz w:val="9"/>
                <w:szCs w:val="9"/>
                <w:color w:val="auto"/>
              </w:rPr>
            </w:pPr>
          </w:p>
        </w:tc>
        <w:tc>
          <w:tcPr>
            <w:tcW w:w="760" w:type="dxa"/>
            <w:vAlign w:val="bottom"/>
            <w:shd w:val="clear" w:color="auto" w:fill="F7F1EC"/>
          </w:tcPr>
          <w:p>
            <w:pPr>
              <w:spacing w:after="0"/>
              <w:rPr>
                <w:sz w:val="9"/>
                <w:szCs w:val="9"/>
                <w:color w:val="auto"/>
              </w:rPr>
            </w:pPr>
          </w:p>
        </w:tc>
        <w:tc>
          <w:tcPr>
            <w:tcW w:w="560" w:type="dxa"/>
            <w:vAlign w:val="bottom"/>
            <w:shd w:val="clear" w:color="auto" w:fill="F7F1EC"/>
          </w:tcPr>
          <w:p>
            <w:pPr>
              <w:spacing w:after="0"/>
              <w:rPr>
                <w:sz w:val="9"/>
                <w:szCs w:val="9"/>
                <w:color w:val="auto"/>
              </w:rPr>
            </w:pPr>
          </w:p>
        </w:tc>
        <w:tc>
          <w:tcPr>
            <w:tcW w:w="100" w:type="dxa"/>
            <w:vAlign w:val="bottom"/>
            <w:shd w:val="clear" w:color="auto" w:fill="F7F1EC"/>
          </w:tcPr>
          <w:p>
            <w:pPr>
              <w:spacing w:after="0"/>
              <w:rPr>
                <w:sz w:val="9"/>
                <w:szCs w:val="9"/>
                <w:color w:val="auto"/>
              </w:rPr>
            </w:pPr>
          </w:p>
        </w:tc>
        <w:tc>
          <w:tcPr>
            <w:tcW w:w="620" w:type="dxa"/>
            <w:vAlign w:val="bottom"/>
            <w:shd w:val="clear" w:color="auto" w:fill="F7F1EC"/>
          </w:tcPr>
          <w:p>
            <w:pPr>
              <w:spacing w:after="0"/>
              <w:rPr>
                <w:sz w:val="9"/>
                <w:szCs w:val="9"/>
                <w:color w:val="auto"/>
              </w:rPr>
            </w:pPr>
          </w:p>
        </w:tc>
        <w:tc>
          <w:tcPr>
            <w:tcW w:w="580" w:type="dxa"/>
            <w:vAlign w:val="bottom"/>
            <w:shd w:val="clear" w:color="auto" w:fill="F7F1EC"/>
          </w:tcPr>
          <w:p>
            <w:pPr>
              <w:spacing w:after="0"/>
              <w:rPr>
                <w:sz w:val="9"/>
                <w:szCs w:val="9"/>
                <w:color w:val="auto"/>
              </w:rPr>
            </w:pPr>
          </w:p>
        </w:tc>
        <w:tc>
          <w:tcPr>
            <w:tcW w:w="80" w:type="dxa"/>
            <w:vAlign w:val="bottom"/>
            <w:shd w:val="clear" w:color="auto" w:fill="F7F1EC"/>
          </w:tcPr>
          <w:p>
            <w:pPr>
              <w:spacing w:after="0"/>
              <w:rPr>
                <w:sz w:val="9"/>
                <w:szCs w:val="9"/>
                <w:color w:val="auto"/>
              </w:rPr>
            </w:pPr>
          </w:p>
        </w:tc>
        <w:tc>
          <w:tcPr>
            <w:tcW w:w="640" w:type="dxa"/>
            <w:vAlign w:val="bottom"/>
            <w:shd w:val="clear" w:color="auto" w:fill="F7F1EC"/>
          </w:tcPr>
          <w:p>
            <w:pPr>
              <w:spacing w:after="0"/>
              <w:rPr>
                <w:sz w:val="9"/>
                <w:szCs w:val="9"/>
                <w:color w:val="auto"/>
              </w:rPr>
            </w:pPr>
          </w:p>
        </w:tc>
        <w:tc>
          <w:tcPr>
            <w:tcW w:w="560" w:type="dxa"/>
            <w:vAlign w:val="bottom"/>
            <w:shd w:val="clear" w:color="auto" w:fill="F7F1EC"/>
          </w:tcPr>
          <w:p>
            <w:pPr>
              <w:spacing w:after="0"/>
              <w:rPr>
                <w:sz w:val="9"/>
                <w:szCs w:val="9"/>
                <w:color w:val="auto"/>
              </w:rPr>
            </w:pPr>
          </w:p>
        </w:tc>
        <w:tc>
          <w:tcPr>
            <w:tcW w:w="100" w:type="dxa"/>
            <w:vAlign w:val="bottom"/>
            <w:shd w:val="clear" w:color="auto" w:fill="F7F1EC"/>
          </w:tcPr>
          <w:p>
            <w:pPr>
              <w:spacing w:after="0"/>
              <w:rPr>
                <w:sz w:val="9"/>
                <w:szCs w:val="9"/>
                <w:color w:val="auto"/>
              </w:rPr>
            </w:pPr>
          </w:p>
        </w:tc>
        <w:tc>
          <w:tcPr>
            <w:tcW w:w="620" w:type="dxa"/>
            <w:vAlign w:val="bottom"/>
            <w:shd w:val="clear" w:color="auto" w:fill="F7F1EC"/>
          </w:tcPr>
          <w:p>
            <w:pPr>
              <w:spacing w:after="0"/>
              <w:rPr>
                <w:sz w:val="9"/>
                <w:szCs w:val="9"/>
                <w:color w:val="auto"/>
              </w:rPr>
            </w:pPr>
          </w:p>
        </w:tc>
        <w:tc>
          <w:tcPr>
            <w:tcW w:w="560" w:type="dxa"/>
            <w:vAlign w:val="bottom"/>
            <w:shd w:val="clear" w:color="auto" w:fill="F7F1EC"/>
          </w:tcPr>
          <w:p>
            <w:pPr>
              <w:spacing w:after="0"/>
              <w:rPr>
                <w:sz w:val="9"/>
                <w:szCs w:val="9"/>
                <w:color w:val="auto"/>
              </w:rPr>
            </w:pPr>
          </w:p>
        </w:tc>
        <w:tc>
          <w:tcPr>
            <w:tcW w:w="40" w:type="dxa"/>
            <w:vAlign w:val="bottom"/>
            <w:shd w:val="clear" w:color="auto" w:fill="F7F1EC"/>
          </w:tcPr>
          <w:p>
            <w:pPr>
              <w:spacing w:after="0"/>
              <w:rPr>
                <w:sz w:val="9"/>
                <w:szCs w:val="9"/>
                <w:color w:val="auto"/>
              </w:rPr>
            </w:pPr>
          </w:p>
        </w:tc>
      </w:tr>
      <w:tr>
        <w:trPr>
          <w:trHeight w:val="115"/>
        </w:trPr>
        <w:tc>
          <w:tcPr>
            <w:tcW w:w="780" w:type="dxa"/>
            <w:vAlign w:val="bottom"/>
            <w:shd w:val="clear" w:color="auto" w:fill="F7F1EC"/>
          </w:tcPr>
          <w:p>
            <w:pPr>
              <w:ind w:left="60"/>
              <w:spacing w:after="0"/>
              <w:rPr>
                <w:sz w:val="20"/>
                <w:szCs w:val="20"/>
                <w:color w:val="auto"/>
              </w:rPr>
            </w:pPr>
            <w:r>
              <w:rPr>
                <w:rFonts w:ascii="Arial" w:cs="Arial" w:eastAsia="Arial" w:hAnsi="Arial"/>
                <w:sz w:val="10"/>
                <w:szCs w:val="10"/>
                <w:color w:val="auto"/>
              </w:rPr>
              <w:t>and Unvested</w:t>
            </w:r>
          </w:p>
        </w:tc>
        <w:tc>
          <w:tcPr>
            <w:tcW w:w="40" w:type="dxa"/>
            <w:vAlign w:val="bottom"/>
            <w:shd w:val="clear" w:color="auto" w:fill="F7F1EC"/>
          </w:tcPr>
          <w:p>
            <w:pPr>
              <w:spacing w:after="0"/>
              <w:rPr>
                <w:sz w:val="9"/>
                <w:szCs w:val="9"/>
                <w:color w:val="auto"/>
              </w:rPr>
            </w:pPr>
          </w:p>
        </w:tc>
        <w:tc>
          <w:tcPr>
            <w:tcW w:w="660" w:type="dxa"/>
            <w:vAlign w:val="bottom"/>
            <w:shd w:val="clear" w:color="auto" w:fill="F7F1EC"/>
          </w:tcPr>
          <w:p>
            <w:pPr>
              <w:spacing w:after="0"/>
              <w:rPr>
                <w:sz w:val="9"/>
                <w:szCs w:val="9"/>
                <w:color w:val="auto"/>
              </w:rPr>
            </w:pPr>
          </w:p>
        </w:tc>
        <w:tc>
          <w:tcPr>
            <w:tcW w:w="580" w:type="dxa"/>
            <w:vAlign w:val="bottom"/>
            <w:shd w:val="clear" w:color="auto" w:fill="F7F1EC"/>
          </w:tcPr>
          <w:p>
            <w:pPr>
              <w:spacing w:after="0"/>
              <w:rPr>
                <w:sz w:val="9"/>
                <w:szCs w:val="9"/>
                <w:color w:val="auto"/>
              </w:rPr>
            </w:pPr>
          </w:p>
        </w:tc>
        <w:tc>
          <w:tcPr>
            <w:tcW w:w="80" w:type="dxa"/>
            <w:vAlign w:val="bottom"/>
            <w:shd w:val="clear" w:color="auto" w:fill="F7F1EC"/>
          </w:tcPr>
          <w:p>
            <w:pPr>
              <w:spacing w:after="0"/>
              <w:rPr>
                <w:sz w:val="9"/>
                <w:szCs w:val="9"/>
                <w:color w:val="auto"/>
              </w:rPr>
            </w:pPr>
          </w:p>
        </w:tc>
        <w:tc>
          <w:tcPr>
            <w:tcW w:w="40" w:type="dxa"/>
            <w:vAlign w:val="bottom"/>
            <w:shd w:val="clear" w:color="auto" w:fill="F7F1EC"/>
          </w:tcPr>
          <w:p>
            <w:pPr>
              <w:spacing w:after="0"/>
              <w:rPr>
                <w:sz w:val="9"/>
                <w:szCs w:val="9"/>
                <w:color w:val="auto"/>
              </w:rPr>
            </w:pPr>
          </w:p>
        </w:tc>
        <w:tc>
          <w:tcPr>
            <w:tcW w:w="560" w:type="dxa"/>
            <w:vAlign w:val="bottom"/>
            <w:shd w:val="clear" w:color="auto" w:fill="F7F1EC"/>
          </w:tcPr>
          <w:p>
            <w:pPr>
              <w:spacing w:after="0"/>
              <w:rPr>
                <w:sz w:val="9"/>
                <w:szCs w:val="9"/>
                <w:color w:val="auto"/>
              </w:rPr>
            </w:pPr>
          </w:p>
        </w:tc>
        <w:tc>
          <w:tcPr>
            <w:tcW w:w="760" w:type="dxa"/>
            <w:vAlign w:val="bottom"/>
            <w:shd w:val="clear" w:color="auto" w:fill="F7F1EC"/>
          </w:tcPr>
          <w:p>
            <w:pPr>
              <w:spacing w:after="0"/>
              <w:rPr>
                <w:sz w:val="9"/>
                <w:szCs w:val="9"/>
                <w:color w:val="auto"/>
              </w:rPr>
            </w:pPr>
          </w:p>
        </w:tc>
        <w:tc>
          <w:tcPr>
            <w:tcW w:w="560" w:type="dxa"/>
            <w:vAlign w:val="bottom"/>
            <w:shd w:val="clear" w:color="auto" w:fill="F7F1EC"/>
          </w:tcPr>
          <w:p>
            <w:pPr>
              <w:spacing w:after="0"/>
              <w:rPr>
                <w:sz w:val="9"/>
                <w:szCs w:val="9"/>
                <w:color w:val="auto"/>
              </w:rPr>
            </w:pPr>
          </w:p>
        </w:tc>
        <w:tc>
          <w:tcPr>
            <w:tcW w:w="100" w:type="dxa"/>
            <w:vAlign w:val="bottom"/>
            <w:shd w:val="clear" w:color="auto" w:fill="F7F1EC"/>
          </w:tcPr>
          <w:p>
            <w:pPr>
              <w:spacing w:after="0"/>
              <w:rPr>
                <w:sz w:val="9"/>
                <w:szCs w:val="9"/>
                <w:color w:val="auto"/>
              </w:rPr>
            </w:pPr>
          </w:p>
        </w:tc>
        <w:tc>
          <w:tcPr>
            <w:tcW w:w="620" w:type="dxa"/>
            <w:vAlign w:val="bottom"/>
            <w:shd w:val="clear" w:color="auto" w:fill="F7F1EC"/>
          </w:tcPr>
          <w:p>
            <w:pPr>
              <w:spacing w:after="0"/>
              <w:rPr>
                <w:sz w:val="9"/>
                <w:szCs w:val="9"/>
                <w:color w:val="auto"/>
              </w:rPr>
            </w:pPr>
          </w:p>
        </w:tc>
        <w:tc>
          <w:tcPr>
            <w:tcW w:w="580" w:type="dxa"/>
            <w:vAlign w:val="bottom"/>
            <w:shd w:val="clear" w:color="auto" w:fill="F7F1EC"/>
          </w:tcPr>
          <w:p>
            <w:pPr>
              <w:spacing w:after="0"/>
              <w:rPr>
                <w:sz w:val="9"/>
                <w:szCs w:val="9"/>
                <w:color w:val="auto"/>
              </w:rPr>
            </w:pPr>
          </w:p>
        </w:tc>
        <w:tc>
          <w:tcPr>
            <w:tcW w:w="80" w:type="dxa"/>
            <w:vAlign w:val="bottom"/>
            <w:shd w:val="clear" w:color="auto" w:fill="F7F1EC"/>
          </w:tcPr>
          <w:p>
            <w:pPr>
              <w:spacing w:after="0"/>
              <w:rPr>
                <w:sz w:val="9"/>
                <w:szCs w:val="9"/>
                <w:color w:val="auto"/>
              </w:rPr>
            </w:pPr>
          </w:p>
        </w:tc>
        <w:tc>
          <w:tcPr>
            <w:tcW w:w="640" w:type="dxa"/>
            <w:vAlign w:val="bottom"/>
            <w:shd w:val="clear" w:color="auto" w:fill="F7F1EC"/>
          </w:tcPr>
          <w:p>
            <w:pPr>
              <w:spacing w:after="0"/>
              <w:rPr>
                <w:sz w:val="9"/>
                <w:szCs w:val="9"/>
                <w:color w:val="auto"/>
              </w:rPr>
            </w:pPr>
          </w:p>
        </w:tc>
        <w:tc>
          <w:tcPr>
            <w:tcW w:w="560" w:type="dxa"/>
            <w:vAlign w:val="bottom"/>
            <w:shd w:val="clear" w:color="auto" w:fill="F7F1EC"/>
          </w:tcPr>
          <w:p>
            <w:pPr>
              <w:spacing w:after="0"/>
              <w:rPr>
                <w:sz w:val="9"/>
                <w:szCs w:val="9"/>
                <w:color w:val="auto"/>
              </w:rPr>
            </w:pPr>
          </w:p>
        </w:tc>
        <w:tc>
          <w:tcPr>
            <w:tcW w:w="100" w:type="dxa"/>
            <w:vAlign w:val="bottom"/>
            <w:shd w:val="clear" w:color="auto" w:fill="F7F1EC"/>
          </w:tcPr>
          <w:p>
            <w:pPr>
              <w:spacing w:after="0"/>
              <w:rPr>
                <w:sz w:val="9"/>
                <w:szCs w:val="9"/>
                <w:color w:val="auto"/>
              </w:rPr>
            </w:pPr>
          </w:p>
        </w:tc>
        <w:tc>
          <w:tcPr>
            <w:tcW w:w="620" w:type="dxa"/>
            <w:vAlign w:val="bottom"/>
            <w:shd w:val="clear" w:color="auto" w:fill="F7F1EC"/>
          </w:tcPr>
          <w:p>
            <w:pPr>
              <w:spacing w:after="0"/>
              <w:rPr>
                <w:sz w:val="9"/>
                <w:szCs w:val="9"/>
                <w:color w:val="auto"/>
              </w:rPr>
            </w:pPr>
          </w:p>
        </w:tc>
        <w:tc>
          <w:tcPr>
            <w:tcW w:w="560" w:type="dxa"/>
            <w:vAlign w:val="bottom"/>
            <w:shd w:val="clear" w:color="auto" w:fill="F7F1EC"/>
          </w:tcPr>
          <w:p>
            <w:pPr>
              <w:spacing w:after="0"/>
              <w:rPr>
                <w:sz w:val="9"/>
                <w:szCs w:val="9"/>
                <w:color w:val="auto"/>
              </w:rPr>
            </w:pPr>
          </w:p>
        </w:tc>
        <w:tc>
          <w:tcPr>
            <w:tcW w:w="40" w:type="dxa"/>
            <w:vAlign w:val="bottom"/>
            <w:shd w:val="clear" w:color="auto" w:fill="F7F1EC"/>
          </w:tcPr>
          <w:p>
            <w:pPr>
              <w:spacing w:after="0"/>
              <w:rPr>
                <w:sz w:val="9"/>
                <w:szCs w:val="9"/>
                <w:color w:val="auto"/>
              </w:rPr>
            </w:pPr>
          </w:p>
        </w:tc>
      </w:tr>
      <w:tr>
        <w:trPr>
          <w:trHeight w:val="115"/>
        </w:trPr>
        <w:tc>
          <w:tcPr>
            <w:tcW w:w="780" w:type="dxa"/>
            <w:vAlign w:val="bottom"/>
            <w:shd w:val="clear" w:color="auto" w:fill="F7F1EC"/>
          </w:tcPr>
          <w:p>
            <w:pPr>
              <w:ind w:left="60"/>
              <w:spacing w:after="0"/>
              <w:rPr>
                <w:sz w:val="20"/>
                <w:szCs w:val="20"/>
                <w:color w:val="auto"/>
              </w:rPr>
            </w:pPr>
            <w:r>
              <w:rPr>
                <w:rFonts w:ascii="Arial" w:cs="Arial" w:eastAsia="Arial" w:hAnsi="Arial"/>
                <w:sz w:val="10"/>
                <w:szCs w:val="10"/>
                <w:color w:val="auto"/>
              </w:rPr>
              <w:t>as of Last Day</w:t>
            </w:r>
          </w:p>
        </w:tc>
        <w:tc>
          <w:tcPr>
            <w:tcW w:w="40" w:type="dxa"/>
            <w:vAlign w:val="bottom"/>
            <w:shd w:val="clear" w:color="auto" w:fill="F7F1EC"/>
          </w:tcPr>
          <w:p>
            <w:pPr>
              <w:spacing w:after="0"/>
              <w:rPr>
                <w:sz w:val="9"/>
                <w:szCs w:val="9"/>
                <w:color w:val="auto"/>
              </w:rPr>
            </w:pPr>
          </w:p>
        </w:tc>
        <w:tc>
          <w:tcPr>
            <w:tcW w:w="660" w:type="dxa"/>
            <w:vAlign w:val="bottom"/>
            <w:shd w:val="clear" w:color="auto" w:fill="F7F1EC"/>
          </w:tcPr>
          <w:p>
            <w:pPr>
              <w:spacing w:after="0"/>
              <w:rPr>
                <w:sz w:val="9"/>
                <w:szCs w:val="9"/>
                <w:color w:val="auto"/>
              </w:rPr>
            </w:pPr>
          </w:p>
        </w:tc>
        <w:tc>
          <w:tcPr>
            <w:tcW w:w="580" w:type="dxa"/>
            <w:vAlign w:val="bottom"/>
            <w:shd w:val="clear" w:color="auto" w:fill="F7F1EC"/>
          </w:tcPr>
          <w:p>
            <w:pPr>
              <w:spacing w:after="0"/>
              <w:rPr>
                <w:sz w:val="9"/>
                <w:szCs w:val="9"/>
                <w:color w:val="auto"/>
              </w:rPr>
            </w:pPr>
          </w:p>
        </w:tc>
        <w:tc>
          <w:tcPr>
            <w:tcW w:w="80" w:type="dxa"/>
            <w:vAlign w:val="bottom"/>
            <w:shd w:val="clear" w:color="auto" w:fill="F7F1EC"/>
          </w:tcPr>
          <w:p>
            <w:pPr>
              <w:spacing w:after="0"/>
              <w:rPr>
                <w:sz w:val="9"/>
                <w:szCs w:val="9"/>
                <w:color w:val="auto"/>
              </w:rPr>
            </w:pPr>
          </w:p>
        </w:tc>
        <w:tc>
          <w:tcPr>
            <w:tcW w:w="40" w:type="dxa"/>
            <w:vAlign w:val="bottom"/>
            <w:shd w:val="clear" w:color="auto" w:fill="F7F1EC"/>
          </w:tcPr>
          <w:p>
            <w:pPr>
              <w:spacing w:after="0"/>
              <w:rPr>
                <w:sz w:val="9"/>
                <w:szCs w:val="9"/>
                <w:color w:val="auto"/>
              </w:rPr>
            </w:pPr>
          </w:p>
        </w:tc>
        <w:tc>
          <w:tcPr>
            <w:tcW w:w="560" w:type="dxa"/>
            <w:vAlign w:val="bottom"/>
            <w:shd w:val="clear" w:color="auto" w:fill="F7F1EC"/>
          </w:tcPr>
          <w:p>
            <w:pPr>
              <w:spacing w:after="0"/>
              <w:rPr>
                <w:sz w:val="9"/>
                <w:szCs w:val="9"/>
                <w:color w:val="auto"/>
              </w:rPr>
            </w:pPr>
          </w:p>
        </w:tc>
        <w:tc>
          <w:tcPr>
            <w:tcW w:w="760" w:type="dxa"/>
            <w:vAlign w:val="bottom"/>
            <w:shd w:val="clear" w:color="auto" w:fill="F7F1EC"/>
          </w:tcPr>
          <w:p>
            <w:pPr>
              <w:spacing w:after="0"/>
              <w:rPr>
                <w:sz w:val="9"/>
                <w:szCs w:val="9"/>
                <w:color w:val="auto"/>
              </w:rPr>
            </w:pPr>
          </w:p>
        </w:tc>
        <w:tc>
          <w:tcPr>
            <w:tcW w:w="560" w:type="dxa"/>
            <w:vAlign w:val="bottom"/>
            <w:shd w:val="clear" w:color="auto" w:fill="F7F1EC"/>
          </w:tcPr>
          <w:p>
            <w:pPr>
              <w:spacing w:after="0"/>
              <w:rPr>
                <w:sz w:val="9"/>
                <w:szCs w:val="9"/>
                <w:color w:val="auto"/>
              </w:rPr>
            </w:pPr>
          </w:p>
        </w:tc>
        <w:tc>
          <w:tcPr>
            <w:tcW w:w="100" w:type="dxa"/>
            <w:vAlign w:val="bottom"/>
            <w:shd w:val="clear" w:color="auto" w:fill="F7F1EC"/>
          </w:tcPr>
          <w:p>
            <w:pPr>
              <w:spacing w:after="0"/>
              <w:rPr>
                <w:sz w:val="9"/>
                <w:szCs w:val="9"/>
                <w:color w:val="auto"/>
              </w:rPr>
            </w:pPr>
          </w:p>
        </w:tc>
        <w:tc>
          <w:tcPr>
            <w:tcW w:w="620" w:type="dxa"/>
            <w:vAlign w:val="bottom"/>
            <w:shd w:val="clear" w:color="auto" w:fill="F7F1EC"/>
          </w:tcPr>
          <w:p>
            <w:pPr>
              <w:spacing w:after="0"/>
              <w:rPr>
                <w:sz w:val="9"/>
                <w:szCs w:val="9"/>
                <w:color w:val="auto"/>
              </w:rPr>
            </w:pPr>
          </w:p>
        </w:tc>
        <w:tc>
          <w:tcPr>
            <w:tcW w:w="580" w:type="dxa"/>
            <w:vAlign w:val="bottom"/>
            <w:shd w:val="clear" w:color="auto" w:fill="F7F1EC"/>
          </w:tcPr>
          <w:p>
            <w:pPr>
              <w:spacing w:after="0"/>
              <w:rPr>
                <w:sz w:val="9"/>
                <w:szCs w:val="9"/>
                <w:color w:val="auto"/>
              </w:rPr>
            </w:pPr>
          </w:p>
        </w:tc>
        <w:tc>
          <w:tcPr>
            <w:tcW w:w="80" w:type="dxa"/>
            <w:vAlign w:val="bottom"/>
            <w:shd w:val="clear" w:color="auto" w:fill="F7F1EC"/>
          </w:tcPr>
          <w:p>
            <w:pPr>
              <w:spacing w:after="0"/>
              <w:rPr>
                <w:sz w:val="9"/>
                <w:szCs w:val="9"/>
                <w:color w:val="auto"/>
              </w:rPr>
            </w:pPr>
          </w:p>
        </w:tc>
        <w:tc>
          <w:tcPr>
            <w:tcW w:w="640" w:type="dxa"/>
            <w:vAlign w:val="bottom"/>
            <w:shd w:val="clear" w:color="auto" w:fill="F7F1EC"/>
          </w:tcPr>
          <w:p>
            <w:pPr>
              <w:spacing w:after="0"/>
              <w:rPr>
                <w:sz w:val="9"/>
                <w:szCs w:val="9"/>
                <w:color w:val="auto"/>
              </w:rPr>
            </w:pPr>
          </w:p>
        </w:tc>
        <w:tc>
          <w:tcPr>
            <w:tcW w:w="560" w:type="dxa"/>
            <w:vAlign w:val="bottom"/>
            <w:shd w:val="clear" w:color="auto" w:fill="F7F1EC"/>
          </w:tcPr>
          <w:p>
            <w:pPr>
              <w:spacing w:after="0"/>
              <w:rPr>
                <w:sz w:val="9"/>
                <w:szCs w:val="9"/>
                <w:color w:val="auto"/>
              </w:rPr>
            </w:pPr>
          </w:p>
        </w:tc>
        <w:tc>
          <w:tcPr>
            <w:tcW w:w="100" w:type="dxa"/>
            <w:vAlign w:val="bottom"/>
            <w:shd w:val="clear" w:color="auto" w:fill="F7F1EC"/>
          </w:tcPr>
          <w:p>
            <w:pPr>
              <w:spacing w:after="0"/>
              <w:rPr>
                <w:sz w:val="9"/>
                <w:szCs w:val="9"/>
                <w:color w:val="auto"/>
              </w:rPr>
            </w:pPr>
          </w:p>
        </w:tc>
        <w:tc>
          <w:tcPr>
            <w:tcW w:w="620" w:type="dxa"/>
            <w:vAlign w:val="bottom"/>
            <w:shd w:val="clear" w:color="auto" w:fill="F7F1EC"/>
          </w:tcPr>
          <w:p>
            <w:pPr>
              <w:spacing w:after="0"/>
              <w:rPr>
                <w:sz w:val="9"/>
                <w:szCs w:val="9"/>
                <w:color w:val="auto"/>
              </w:rPr>
            </w:pPr>
          </w:p>
        </w:tc>
        <w:tc>
          <w:tcPr>
            <w:tcW w:w="560" w:type="dxa"/>
            <w:vAlign w:val="bottom"/>
            <w:shd w:val="clear" w:color="auto" w:fill="F7F1EC"/>
          </w:tcPr>
          <w:p>
            <w:pPr>
              <w:spacing w:after="0"/>
              <w:rPr>
                <w:sz w:val="9"/>
                <w:szCs w:val="9"/>
                <w:color w:val="auto"/>
              </w:rPr>
            </w:pPr>
          </w:p>
        </w:tc>
        <w:tc>
          <w:tcPr>
            <w:tcW w:w="40" w:type="dxa"/>
            <w:vAlign w:val="bottom"/>
            <w:shd w:val="clear" w:color="auto" w:fill="F7F1EC"/>
          </w:tcPr>
          <w:p>
            <w:pPr>
              <w:spacing w:after="0"/>
              <w:rPr>
                <w:sz w:val="9"/>
                <w:szCs w:val="9"/>
                <w:color w:val="auto"/>
              </w:rPr>
            </w:pPr>
          </w:p>
        </w:tc>
      </w:tr>
      <w:tr>
        <w:trPr>
          <w:trHeight w:val="115"/>
        </w:trPr>
        <w:tc>
          <w:tcPr>
            <w:tcW w:w="780" w:type="dxa"/>
            <w:vAlign w:val="bottom"/>
            <w:shd w:val="clear" w:color="auto" w:fill="F7F1EC"/>
          </w:tcPr>
          <w:p>
            <w:pPr>
              <w:ind w:left="60"/>
              <w:spacing w:after="0"/>
              <w:rPr>
                <w:sz w:val="20"/>
                <w:szCs w:val="20"/>
                <w:color w:val="auto"/>
              </w:rPr>
            </w:pPr>
            <w:r>
              <w:rPr>
                <w:rFonts w:ascii="Arial" w:cs="Arial" w:eastAsia="Arial" w:hAnsi="Arial"/>
                <w:sz w:val="10"/>
                <w:szCs w:val="10"/>
                <w:color w:val="auto"/>
              </w:rPr>
              <w:t>of the Covered</w:t>
            </w:r>
          </w:p>
        </w:tc>
        <w:tc>
          <w:tcPr>
            <w:tcW w:w="40" w:type="dxa"/>
            <w:vAlign w:val="bottom"/>
            <w:shd w:val="clear" w:color="auto" w:fill="F7F1EC"/>
          </w:tcPr>
          <w:p>
            <w:pPr>
              <w:spacing w:after="0"/>
              <w:rPr>
                <w:sz w:val="9"/>
                <w:szCs w:val="9"/>
                <w:color w:val="auto"/>
              </w:rPr>
            </w:pPr>
          </w:p>
        </w:tc>
        <w:tc>
          <w:tcPr>
            <w:tcW w:w="660" w:type="dxa"/>
            <w:vAlign w:val="bottom"/>
            <w:shd w:val="clear" w:color="auto" w:fill="F7F1EC"/>
          </w:tcPr>
          <w:p>
            <w:pPr>
              <w:spacing w:after="0"/>
              <w:rPr>
                <w:sz w:val="9"/>
                <w:szCs w:val="9"/>
                <w:color w:val="auto"/>
              </w:rPr>
            </w:pPr>
          </w:p>
        </w:tc>
        <w:tc>
          <w:tcPr>
            <w:tcW w:w="580" w:type="dxa"/>
            <w:vAlign w:val="bottom"/>
            <w:shd w:val="clear" w:color="auto" w:fill="F7F1EC"/>
          </w:tcPr>
          <w:p>
            <w:pPr>
              <w:spacing w:after="0"/>
              <w:rPr>
                <w:sz w:val="9"/>
                <w:szCs w:val="9"/>
                <w:color w:val="auto"/>
              </w:rPr>
            </w:pPr>
          </w:p>
        </w:tc>
        <w:tc>
          <w:tcPr>
            <w:tcW w:w="80" w:type="dxa"/>
            <w:vAlign w:val="bottom"/>
            <w:shd w:val="clear" w:color="auto" w:fill="F7F1EC"/>
          </w:tcPr>
          <w:p>
            <w:pPr>
              <w:spacing w:after="0"/>
              <w:rPr>
                <w:sz w:val="9"/>
                <w:szCs w:val="9"/>
                <w:color w:val="auto"/>
              </w:rPr>
            </w:pPr>
          </w:p>
        </w:tc>
        <w:tc>
          <w:tcPr>
            <w:tcW w:w="40" w:type="dxa"/>
            <w:vAlign w:val="bottom"/>
            <w:shd w:val="clear" w:color="auto" w:fill="F7F1EC"/>
          </w:tcPr>
          <w:p>
            <w:pPr>
              <w:spacing w:after="0"/>
              <w:rPr>
                <w:sz w:val="9"/>
                <w:szCs w:val="9"/>
                <w:color w:val="auto"/>
              </w:rPr>
            </w:pPr>
          </w:p>
        </w:tc>
        <w:tc>
          <w:tcPr>
            <w:tcW w:w="560" w:type="dxa"/>
            <w:vAlign w:val="bottom"/>
            <w:shd w:val="clear" w:color="auto" w:fill="F7F1EC"/>
          </w:tcPr>
          <w:p>
            <w:pPr>
              <w:spacing w:after="0"/>
              <w:rPr>
                <w:sz w:val="9"/>
                <w:szCs w:val="9"/>
                <w:color w:val="auto"/>
              </w:rPr>
            </w:pPr>
          </w:p>
        </w:tc>
        <w:tc>
          <w:tcPr>
            <w:tcW w:w="760" w:type="dxa"/>
            <w:vAlign w:val="bottom"/>
            <w:shd w:val="clear" w:color="auto" w:fill="F7F1EC"/>
          </w:tcPr>
          <w:p>
            <w:pPr>
              <w:spacing w:after="0"/>
              <w:rPr>
                <w:sz w:val="9"/>
                <w:szCs w:val="9"/>
                <w:color w:val="auto"/>
              </w:rPr>
            </w:pPr>
          </w:p>
        </w:tc>
        <w:tc>
          <w:tcPr>
            <w:tcW w:w="560" w:type="dxa"/>
            <w:vAlign w:val="bottom"/>
            <w:shd w:val="clear" w:color="auto" w:fill="F7F1EC"/>
          </w:tcPr>
          <w:p>
            <w:pPr>
              <w:spacing w:after="0"/>
              <w:rPr>
                <w:sz w:val="9"/>
                <w:szCs w:val="9"/>
                <w:color w:val="auto"/>
              </w:rPr>
            </w:pPr>
          </w:p>
        </w:tc>
        <w:tc>
          <w:tcPr>
            <w:tcW w:w="100" w:type="dxa"/>
            <w:vAlign w:val="bottom"/>
            <w:shd w:val="clear" w:color="auto" w:fill="F7F1EC"/>
          </w:tcPr>
          <w:p>
            <w:pPr>
              <w:spacing w:after="0"/>
              <w:rPr>
                <w:sz w:val="9"/>
                <w:szCs w:val="9"/>
                <w:color w:val="auto"/>
              </w:rPr>
            </w:pPr>
          </w:p>
        </w:tc>
        <w:tc>
          <w:tcPr>
            <w:tcW w:w="620" w:type="dxa"/>
            <w:vAlign w:val="bottom"/>
            <w:shd w:val="clear" w:color="auto" w:fill="F7F1EC"/>
          </w:tcPr>
          <w:p>
            <w:pPr>
              <w:spacing w:after="0"/>
              <w:rPr>
                <w:sz w:val="9"/>
                <w:szCs w:val="9"/>
                <w:color w:val="auto"/>
              </w:rPr>
            </w:pPr>
          </w:p>
        </w:tc>
        <w:tc>
          <w:tcPr>
            <w:tcW w:w="580" w:type="dxa"/>
            <w:vAlign w:val="bottom"/>
            <w:shd w:val="clear" w:color="auto" w:fill="F7F1EC"/>
          </w:tcPr>
          <w:p>
            <w:pPr>
              <w:spacing w:after="0"/>
              <w:rPr>
                <w:sz w:val="9"/>
                <w:szCs w:val="9"/>
                <w:color w:val="auto"/>
              </w:rPr>
            </w:pPr>
          </w:p>
        </w:tc>
        <w:tc>
          <w:tcPr>
            <w:tcW w:w="80" w:type="dxa"/>
            <w:vAlign w:val="bottom"/>
            <w:shd w:val="clear" w:color="auto" w:fill="F7F1EC"/>
          </w:tcPr>
          <w:p>
            <w:pPr>
              <w:spacing w:after="0"/>
              <w:rPr>
                <w:sz w:val="9"/>
                <w:szCs w:val="9"/>
                <w:color w:val="auto"/>
              </w:rPr>
            </w:pPr>
          </w:p>
        </w:tc>
        <w:tc>
          <w:tcPr>
            <w:tcW w:w="640" w:type="dxa"/>
            <w:vAlign w:val="bottom"/>
            <w:shd w:val="clear" w:color="auto" w:fill="F7F1EC"/>
          </w:tcPr>
          <w:p>
            <w:pPr>
              <w:spacing w:after="0"/>
              <w:rPr>
                <w:sz w:val="9"/>
                <w:szCs w:val="9"/>
                <w:color w:val="auto"/>
              </w:rPr>
            </w:pPr>
          </w:p>
        </w:tc>
        <w:tc>
          <w:tcPr>
            <w:tcW w:w="560" w:type="dxa"/>
            <w:vAlign w:val="bottom"/>
            <w:shd w:val="clear" w:color="auto" w:fill="F7F1EC"/>
          </w:tcPr>
          <w:p>
            <w:pPr>
              <w:spacing w:after="0"/>
              <w:rPr>
                <w:sz w:val="9"/>
                <w:szCs w:val="9"/>
                <w:color w:val="auto"/>
              </w:rPr>
            </w:pPr>
          </w:p>
        </w:tc>
        <w:tc>
          <w:tcPr>
            <w:tcW w:w="100" w:type="dxa"/>
            <w:vAlign w:val="bottom"/>
            <w:shd w:val="clear" w:color="auto" w:fill="F7F1EC"/>
          </w:tcPr>
          <w:p>
            <w:pPr>
              <w:spacing w:after="0"/>
              <w:rPr>
                <w:sz w:val="9"/>
                <w:szCs w:val="9"/>
                <w:color w:val="auto"/>
              </w:rPr>
            </w:pPr>
          </w:p>
        </w:tc>
        <w:tc>
          <w:tcPr>
            <w:tcW w:w="620" w:type="dxa"/>
            <w:vAlign w:val="bottom"/>
            <w:shd w:val="clear" w:color="auto" w:fill="F7F1EC"/>
          </w:tcPr>
          <w:p>
            <w:pPr>
              <w:spacing w:after="0"/>
              <w:rPr>
                <w:sz w:val="9"/>
                <w:szCs w:val="9"/>
                <w:color w:val="auto"/>
              </w:rPr>
            </w:pPr>
          </w:p>
        </w:tc>
        <w:tc>
          <w:tcPr>
            <w:tcW w:w="560" w:type="dxa"/>
            <w:vAlign w:val="bottom"/>
            <w:shd w:val="clear" w:color="auto" w:fill="F7F1EC"/>
          </w:tcPr>
          <w:p>
            <w:pPr>
              <w:spacing w:after="0"/>
              <w:rPr>
                <w:sz w:val="9"/>
                <w:szCs w:val="9"/>
                <w:color w:val="auto"/>
              </w:rPr>
            </w:pPr>
          </w:p>
        </w:tc>
        <w:tc>
          <w:tcPr>
            <w:tcW w:w="40" w:type="dxa"/>
            <w:vAlign w:val="bottom"/>
            <w:shd w:val="clear" w:color="auto" w:fill="F7F1EC"/>
          </w:tcPr>
          <w:p>
            <w:pPr>
              <w:spacing w:after="0"/>
              <w:rPr>
                <w:sz w:val="9"/>
                <w:szCs w:val="9"/>
                <w:color w:val="auto"/>
              </w:rPr>
            </w:pPr>
          </w:p>
        </w:tc>
      </w:tr>
      <w:tr>
        <w:trPr>
          <w:trHeight w:val="159"/>
        </w:trPr>
        <w:tc>
          <w:tcPr>
            <w:tcW w:w="780" w:type="dxa"/>
            <w:vAlign w:val="bottom"/>
            <w:tcBorders>
              <w:bottom w:val="single" w:sz="8" w:color="F7F1EC"/>
            </w:tcBorders>
            <w:shd w:val="clear" w:color="auto" w:fill="F7F1EC"/>
          </w:tcPr>
          <w:p>
            <w:pPr>
              <w:ind w:left="60"/>
              <w:spacing w:after="0"/>
              <w:rPr>
                <w:sz w:val="20"/>
                <w:szCs w:val="20"/>
                <w:color w:val="auto"/>
              </w:rPr>
            </w:pPr>
            <w:r>
              <w:rPr>
                <w:rFonts w:ascii="Arial" w:cs="Arial" w:eastAsia="Arial" w:hAnsi="Arial"/>
                <w:sz w:val="10"/>
                <w:szCs w:val="10"/>
                <w:color w:val="auto"/>
              </w:rPr>
              <w:t>Year</w:t>
            </w:r>
          </w:p>
        </w:tc>
        <w:tc>
          <w:tcPr>
            <w:tcW w:w="700" w:type="dxa"/>
            <w:vAlign w:val="bottom"/>
            <w:tcBorders>
              <w:bottom w:val="single" w:sz="8" w:color="F7F1EC"/>
            </w:tcBorders>
            <w:gridSpan w:val="2"/>
            <w:shd w:val="clear" w:color="auto" w:fill="F7F1EC"/>
          </w:tcPr>
          <w:p>
            <w:pPr>
              <w:jc w:val="right"/>
              <w:ind w:right="30"/>
              <w:spacing w:after="0"/>
              <w:rPr>
                <w:sz w:val="20"/>
                <w:szCs w:val="20"/>
                <w:color w:val="auto"/>
              </w:rPr>
            </w:pPr>
            <w:r>
              <w:rPr>
                <w:rFonts w:ascii="Arial" w:cs="Arial" w:eastAsia="Arial" w:hAnsi="Arial"/>
                <w:sz w:val="10"/>
                <w:szCs w:val="10"/>
                <w:color w:val="auto"/>
              </w:rPr>
              <w:t>8,483,254</w:t>
            </w:r>
          </w:p>
        </w:tc>
        <w:tc>
          <w:tcPr>
            <w:tcW w:w="580" w:type="dxa"/>
            <w:vAlign w:val="bottom"/>
            <w:tcBorders>
              <w:bottom w:val="single" w:sz="8" w:color="F7F1EC"/>
            </w:tcBorders>
            <w:shd w:val="clear" w:color="auto" w:fill="F7F1EC"/>
          </w:tcPr>
          <w:p>
            <w:pPr>
              <w:jc w:val="right"/>
              <w:spacing w:after="0"/>
              <w:rPr>
                <w:sz w:val="20"/>
                <w:szCs w:val="20"/>
                <w:color w:val="auto"/>
              </w:rPr>
            </w:pPr>
            <w:r>
              <w:rPr>
                <w:rFonts w:ascii="Arial" w:cs="Arial" w:eastAsia="Arial" w:hAnsi="Arial"/>
                <w:sz w:val="10"/>
                <w:szCs w:val="10"/>
                <w:color w:val="auto"/>
              </w:rPr>
              <w:t>2,471,117</w:t>
            </w:r>
          </w:p>
        </w:tc>
        <w:tc>
          <w:tcPr>
            <w:tcW w:w="80" w:type="dxa"/>
            <w:vAlign w:val="bottom"/>
            <w:tcBorders>
              <w:bottom w:val="single" w:sz="8" w:color="F7F1EC"/>
            </w:tcBorders>
            <w:shd w:val="clear" w:color="auto" w:fill="F7F1EC"/>
          </w:tcPr>
          <w:p>
            <w:pPr>
              <w:spacing w:after="0"/>
              <w:rPr>
                <w:sz w:val="13"/>
                <w:szCs w:val="13"/>
                <w:color w:val="auto"/>
              </w:rPr>
            </w:pPr>
          </w:p>
        </w:tc>
        <w:tc>
          <w:tcPr>
            <w:tcW w:w="600" w:type="dxa"/>
            <w:vAlign w:val="bottom"/>
            <w:tcBorders>
              <w:bottom w:val="single" w:sz="8" w:color="F7F1EC"/>
            </w:tcBorders>
            <w:gridSpan w:val="2"/>
            <w:shd w:val="clear" w:color="auto" w:fill="F7F1EC"/>
          </w:tcPr>
          <w:p>
            <w:pPr>
              <w:jc w:val="right"/>
              <w:spacing w:after="0"/>
              <w:rPr>
                <w:sz w:val="20"/>
                <w:szCs w:val="20"/>
                <w:color w:val="auto"/>
              </w:rPr>
            </w:pPr>
            <w:r>
              <w:rPr>
                <w:rFonts w:ascii="Arial" w:cs="Arial" w:eastAsia="Arial" w:hAnsi="Arial"/>
                <w:sz w:val="10"/>
                <w:szCs w:val="10"/>
                <w:color w:val="auto"/>
              </w:rPr>
              <w:t>2,431,930</w:t>
            </w:r>
          </w:p>
        </w:tc>
        <w:tc>
          <w:tcPr>
            <w:tcW w:w="760" w:type="dxa"/>
            <w:vAlign w:val="bottom"/>
            <w:tcBorders>
              <w:bottom w:val="single" w:sz="8" w:color="F7F1EC"/>
            </w:tcBorders>
            <w:shd w:val="clear" w:color="auto" w:fill="F7F1EC"/>
          </w:tcPr>
          <w:p>
            <w:pPr>
              <w:jc w:val="right"/>
              <w:ind w:right="70"/>
              <w:spacing w:after="0"/>
              <w:rPr>
                <w:sz w:val="20"/>
                <w:szCs w:val="20"/>
                <w:color w:val="auto"/>
              </w:rPr>
            </w:pPr>
            <w:r>
              <w:rPr>
                <w:rFonts w:ascii="Arial" w:cs="Arial" w:eastAsia="Arial" w:hAnsi="Arial"/>
                <w:sz w:val="10"/>
                <w:szCs w:val="10"/>
                <w:color w:val="auto"/>
              </w:rPr>
              <w:t>—</w:t>
            </w:r>
          </w:p>
        </w:tc>
        <w:tc>
          <w:tcPr>
            <w:tcW w:w="560" w:type="dxa"/>
            <w:vAlign w:val="bottom"/>
            <w:tcBorders>
              <w:bottom w:val="single" w:sz="8" w:color="F7F1EC"/>
            </w:tcBorders>
            <w:shd w:val="clear" w:color="auto" w:fill="F7F1EC"/>
          </w:tcPr>
          <w:p>
            <w:pPr>
              <w:jc w:val="right"/>
              <w:spacing w:after="0"/>
              <w:rPr>
                <w:sz w:val="20"/>
                <w:szCs w:val="20"/>
                <w:color w:val="auto"/>
              </w:rPr>
            </w:pPr>
            <w:r>
              <w:rPr>
                <w:rFonts w:ascii="Arial" w:cs="Arial" w:eastAsia="Arial" w:hAnsi="Arial"/>
                <w:sz w:val="10"/>
                <w:szCs w:val="10"/>
                <w:color w:val="auto"/>
              </w:rPr>
              <w:t>1,949,130</w:t>
            </w:r>
          </w:p>
        </w:tc>
        <w:tc>
          <w:tcPr>
            <w:tcW w:w="720" w:type="dxa"/>
            <w:vAlign w:val="bottom"/>
            <w:tcBorders>
              <w:bottom w:val="single" w:sz="8" w:color="F7F1EC"/>
            </w:tcBorders>
            <w:gridSpan w:val="2"/>
            <w:shd w:val="clear" w:color="auto" w:fill="F7F1EC"/>
          </w:tcPr>
          <w:p>
            <w:pPr>
              <w:jc w:val="right"/>
              <w:spacing w:after="0"/>
              <w:rPr>
                <w:sz w:val="20"/>
                <w:szCs w:val="20"/>
                <w:color w:val="auto"/>
              </w:rPr>
            </w:pPr>
            <w:r>
              <w:rPr>
                <w:rFonts w:ascii="Arial" w:cs="Arial" w:eastAsia="Arial" w:hAnsi="Arial"/>
                <w:sz w:val="10"/>
                <w:szCs w:val="10"/>
                <w:color w:val="auto"/>
              </w:rPr>
              <w:t>9,499,412</w:t>
            </w:r>
          </w:p>
        </w:tc>
        <w:tc>
          <w:tcPr>
            <w:tcW w:w="580" w:type="dxa"/>
            <w:vAlign w:val="bottom"/>
            <w:tcBorders>
              <w:bottom w:val="single" w:sz="8" w:color="F7F1EC"/>
            </w:tcBorders>
            <w:shd w:val="clear" w:color="auto" w:fill="F7F1EC"/>
          </w:tcPr>
          <w:p>
            <w:pPr>
              <w:jc w:val="right"/>
              <w:spacing w:after="0"/>
              <w:rPr>
                <w:sz w:val="20"/>
                <w:szCs w:val="20"/>
                <w:color w:val="auto"/>
              </w:rPr>
            </w:pPr>
            <w:r>
              <w:rPr>
                <w:rFonts w:ascii="Arial" w:cs="Arial" w:eastAsia="Arial" w:hAnsi="Arial"/>
                <w:sz w:val="10"/>
                <w:szCs w:val="10"/>
                <w:color w:val="auto"/>
              </w:rPr>
              <w:t>1,090,598</w:t>
            </w:r>
          </w:p>
        </w:tc>
        <w:tc>
          <w:tcPr>
            <w:tcW w:w="720" w:type="dxa"/>
            <w:vAlign w:val="bottom"/>
            <w:tcBorders>
              <w:bottom w:val="single" w:sz="8" w:color="F7F1EC"/>
            </w:tcBorders>
            <w:gridSpan w:val="2"/>
            <w:shd w:val="clear" w:color="auto" w:fill="F7F1EC"/>
          </w:tcPr>
          <w:p>
            <w:pPr>
              <w:jc w:val="right"/>
              <w:ind w:right="11"/>
              <w:spacing w:after="0"/>
              <w:rPr>
                <w:sz w:val="20"/>
                <w:szCs w:val="20"/>
                <w:color w:val="auto"/>
              </w:rPr>
            </w:pPr>
            <w:r>
              <w:rPr>
                <w:rFonts w:ascii="Arial" w:cs="Arial" w:eastAsia="Arial" w:hAnsi="Arial"/>
                <w:sz w:val="10"/>
                <w:szCs w:val="10"/>
                <w:color w:val="auto"/>
              </w:rPr>
              <w:t>11,733,474</w:t>
            </w:r>
          </w:p>
        </w:tc>
        <w:tc>
          <w:tcPr>
            <w:tcW w:w="560" w:type="dxa"/>
            <w:vAlign w:val="bottom"/>
            <w:tcBorders>
              <w:bottom w:val="single" w:sz="8" w:color="F7F1EC"/>
            </w:tcBorders>
            <w:shd w:val="clear" w:color="auto" w:fill="F7F1EC"/>
          </w:tcPr>
          <w:p>
            <w:pPr>
              <w:jc w:val="right"/>
              <w:spacing w:after="0"/>
              <w:rPr>
                <w:sz w:val="20"/>
                <w:szCs w:val="20"/>
                <w:color w:val="auto"/>
              </w:rPr>
            </w:pPr>
            <w:r>
              <w:rPr>
                <w:rFonts w:ascii="Arial" w:cs="Arial" w:eastAsia="Arial" w:hAnsi="Arial"/>
                <w:sz w:val="10"/>
                <w:szCs w:val="10"/>
                <w:color w:val="auto"/>
              </w:rPr>
              <w:t>1,752,675</w:t>
            </w:r>
          </w:p>
        </w:tc>
        <w:tc>
          <w:tcPr>
            <w:tcW w:w="720" w:type="dxa"/>
            <w:vAlign w:val="bottom"/>
            <w:tcBorders>
              <w:bottom w:val="single" w:sz="8" w:color="F7F1EC"/>
            </w:tcBorders>
            <w:gridSpan w:val="2"/>
            <w:shd w:val="clear" w:color="auto" w:fill="F7F1EC"/>
          </w:tcPr>
          <w:p>
            <w:pPr>
              <w:jc w:val="right"/>
              <w:spacing w:after="0"/>
              <w:rPr>
                <w:sz w:val="20"/>
                <w:szCs w:val="20"/>
                <w:color w:val="auto"/>
              </w:rPr>
            </w:pPr>
            <w:r>
              <w:rPr>
                <w:rFonts w:ascii="Arial" w:cs="Arial" w:eastAsia="Arial" w:hAnsi="Arial"/>
                <w:sz w:val="10"/>
                <w:szCs w:val="10"/>
                <w:color w:val="auto"/>
              </w:rPr>
              <w:t>9,927,564</w:t>
            </w:r>
          </w:p>
        </w:tc>
        <w:tc>
          <w:tcPr>
            <w:tcW w:w="560" w:type="dxa"/>
            <w:vAlign w:val="bottom"/>
            <w:tcBorders>
              <w:bottom w:val="single" w:sz="8" w:color="F7F1EC"/>
            </w:tcBorders>
            <w:shd w:val="clear" w:color="auto" w:fill="F7F1EC"/>
          </w:tcPr>
          <w:p>
            <w:pPr>
              <w:jc w:val="right"/>
              <w:spacing w:after="0"/>
              <w:rPr>
                <w:sz w:val="20"/>
                <w:szCs w:val="20"/>
                <w:color w:val="auto"/>
              </w:rPr>
            </w:pPr>
            <w:r>
              <w:rPr>
                <w:rFonts w:ascii="Arial" w:cs="Arial" w:eastAsia="Arial" w:hAnsi="Arial"/>
                <w:sz w:val="10"/>
                <w:szCs w:val="10"/>
                <w:color w:val="auto"/>
              </w:rPr>
              <w:t>2,632,703</w:t>
            </w:r>
          </w:p>
        </w:tc>
        <w:tc>
          <w:tcPr>
            <w:tcW w:w="40" w:type="dxa"/>
            <w:vAlign w:val="bottom"/>
            <w:tcBorders>
              <w:bottom w:val="single" w:sz="8" w:color="F7F1EC"/>
            </w:tcBorders>
            <w:shd w:val="clear" w:color="auto" w:fill="F7F1EC"/>
          </w:tcPr>
          <w:p>
            <w:pPr>
              <w:spacing w:after="0"/>
              <w:rPr>
                <w:sz w:val="13"/>
                <w:szCs w:val="13"/>
                <w:color w:val="auto"/>
              </w:rPr>
            </w:pPr>
          </w:p>
        </w:tc>
      </w:tr>
      <w:tr>
        <w:trPr>
          <w:trHeight w:val="178"/>
        </w:trPr>
        <w:tc>
          <w:tcPr>
            <w:tcW w:w="780" w:type="dxa"/>
            <w:vAlign w:val="bottom"/>
          </w:tcPr>
          <w:p>
            <w:pPr>
              <w:ind w:left="60"/>
              <w:spacing w:after="0"/>
              <w:rPr>
                <w:sz w:val="20"/>
                <w:szCs w:val="20"/>
                <w:color w:val="auto"/>
              </w:rPr>
            </w:pPr>
            <w:r>
              <w:rPr>
                <w:rFonts w:ascii="Arial" w:cs="Arial" w:eastAsia="Arial" w:hAnsi="Arial"/>
                <w:sz w:val="10"/>
                <w:szCs w:val="10"/>
                <w:i w:val="1"/>
                <w:iCs w:val="1"/>
                <w:color w:val="auto"/>
              </w:rPr>
              <w:t xml:space="preserve">Plus </w:t>
            </w:r>
            <w:r>
              <w:rPr>
                <w:rFonts w:ascii="Arial" w:cs="Arial" w:eastAsia="Arial" w:hAnsi="Arial"/>
                <w:sz w:val="10"/>
                <w:szCs w:val="10"/>
                <w:color w:val="auto"/>
              </w:rPr>
              <w:t>Year over</w:t>
            </w: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15"/>
        </w:trPr>
        <w:tc>
          <w:tcPr>
            <w:tcW w:w="780" w:type="dxa"/>
            <w:vAlign w:val="bottom"/>
          </w:tcPr>
          <w:p>
            <w:pPr>
              <w:ind w:left="60"/>
              <w:spacing w:after="0"/>
              <w:rPr>
                <w:sz w:val="20"/>
                <w:szCs w:val="20"/>
                <w:color w:val="auto"/>
              </w:rPr>
            </w:pPr>
            <w:r>
              <w:rPr>
                <w:rFonts w:ascii="Arial" w:cs="Arial" w:eastAsia="Arial" w:hAnsi="Arial"/>
                <w:sz w:val="10"/>
                <w:szCs w:val="10"/>
                <w:color w:val="auto"/>
              </w:rPr>
              <w:t>Year Change in</w:t>
            </w:r>
          </w:p>
        </w:tc>
        <w:tc>
          <w:tcPr>
            <w:tcW w:w="40" w:type="dxa"/>
            <w:vAlign w:val="bottom"/>
          </w:tcPr>
          <w:p>
            <w:pPr>
              <w:spacing w:after="0"/>
              <w:rPr>
                <w:sz w:val="9"/>
                <w:szCs w:val="9"/>
                <w:color w:val="auto"/>
              </w:rPr>
            </w:pPr>
          </w:p>
        </w:tc>
        <w:tc>
          <w:tcPr>
            <w:tcW w:w="66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Pr>
          <w:p>
            <w:pPr>
              <w:spacing w:after="0"/>
              <w:rPr>
                <w:sz w:val="9"/>
                <w:szCs w:val="9"/>
                <w:color w:val="auto"/>
              </w:rPr>
            </w:pPr>
          </w:p>
        </w:tc>
        <w:tc>
          <w:tcPr>
            <w:tcW w:w="7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115"/>
        </w:trPr>
        <w:tc>
          <w:tcPr>
            <w:tcW w:w="780" w:type="dxa"/>
            <w:vAlign w:val="bottom"/>
          </w:tcPr>
          <w:p>
            <w:pPr>
              <w:ind w:left="60"/>
              <w:spacing w:after="0"/>
              <w:rPr>
                <w:sz w:val="20"/>
                <w:szCs w:val="20"/>
                <w:color w:val="auto"/>
              </w:rPr>
            </w:pPr>
            <w:r>
              <w:rPr>
                <w:rFonts w:ascii="Arial" w:cs="Arial" w:eastAsia="Arial" w:hAnsi="Arial"/>
                <w:sz w:val="10"/>
                <w:szCs w:val="10"/>
                <w:color w:val="auto"/>
                <w:w w:val="99"/>
              </w:rPr>
              <w:t>Fair Value as of</w:t>
            </w:r>
          </w:p>
        </w:tc>
        <w:tc>
          <w:tcPr>
            <w:tcW w:w="40" w:type="dxa"/>
            <w:vAlign w:val="bottom"/>
          </w:tcPr>
          <w:p>
            <w:pPr>
              <w:spacing w:after="0"/>
              <w:rPr>
                <w:sz w:val="9"/>
                <w:szCs w:val="9"/>
                <w:color w:val="auto"/>
              </w:rPr>
            </w:pPr>
          </w:p>
        </w:tc>
        <w:tc>
          <w:tcPr>
            <w:tcW w:w="66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Pr>
          <w:p>
            <w:pPr>
              <w:spacing w:after="0"/>
              <w:rPr>
                <w:sz w:val="9"/>
                <w:szCs w:val="9"/>
                <w:color w:val="auto"/>
              </w:rPr>
            </w:pPr>
          </w:p>
        </w:tc>
        <w:tc>
          <w:tcPr>
            <w:tcW w:w="7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115"/>
        </w:trPr>
        <w:tc>
          <w:tcPr>
            <w:tcW w:w="780" w:type="dxa"/>
            <w:vAlign w:val="bottom"/>
          </w:tcPr>
          <w:p>
            <w:pPr>
              <w:ind w:left="60"/>
              <w:spacing w:after="0"/>
              <w:rPr>
                <w:sz w:val="20"/>
                <w:szCs w:val="20"/>
                <w:color w:val="auto"/>
              </w:rPr>
            </w:pPr>
            <w:r>
              <w:rPr>
                <w:rFonts w:ascii="Arial" w:cs="Arial" w:eastAsia="Arial" w:hAnsi="Arial"/>
                <w:sz w:val="10"/>
                <w:szCs w:val="10"/>
                <w:color w:val="auto"/>
              </w:rPr>
              <w:t>the Last Day of</w:t>
            </w:r>
          </w:p>
        </w:tc>
        <w:tc>
          <w:tcPr>
            <w:tcW w:w="40" w:type="dxa"/>
            <w:vAlign w:val="bottom"/>
          </w:tcPr>
          <w:p>
            <w:pPr>
              <w:spacing w:after="0"/>
              <w:rPr>
                <w:sz w:val="9"/>
                <w:szCs w:val="9"/>
                <w:color w:val="auto"/>
              </w:rPr>
            </w:pPr>
          </w:p>
        </w:tc>
        <w:tc>
          <w:tcPr>
            <w:tcW w:w="66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Pr>
          <w:p>
            <w:pPr>
              <w:spacing w:after="0"/>
              <w:rPr>
                <w:sz w:val="9"/>
                <w:szCs w:val="9"/>
                <w:color w:val="auto"/>
              </w:rPr>
            </w:pPr>
          </w:p>
        </w:tc>
        <w:tc>
          <w:tcPr>
            <w:tcW w:w="7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115"/>
        </w:trPr>
        <w:tc>
          <w:tcPr>
            <w:tcW w:w="780" w:type="dxa"/>
            <w:vAlign w:val="bottom"/>
          </w:tcPr>
          <w:p>
            <w:pPr>
              <w:ind w:left="60"/>
              <w:spacing w:after="0"/>
              <w:rPr>
                <w:sz w:val="20"/>
                <w:szCs w:val="20"/>
                <w:color w:val="auto"/>
              </w:rPr>
            </w:pPr>
            <w:r>
              <w:rPr>
                <w:rFonts w:ascii="Arial" w:cs="Arial" w:eastAsia="Arial" w:hAnsi="Arial"/>
                <w:sz w:val="10"/>
                <w:szCs w:val="10"/>
                <w:color w:val="auto"/>
              </w:rPr>
              <w:t>the Covered</w:t>
            </w:r>
          </w:p>
        </w:tc>
        <w:tc>
          <w:tcPr>
            <w:tcW w:w="40" w:type="dxa"/>
            <w:vAlign w:val="bottom"/>
          </w:tcPr>
          <w:p>
            <w:pPr>
              <w:spacing w:after="0"/>
              <w:rPr>
                <w:sz w:val="9"/>
                <w:szCs w:val="9"/>
                <w:color w:val="auto"/>
              </w:rPr>
            </w:pPr>
          </w:p>
        </w:tc>
        <w:tc>
          <w:tcPr>
            <w:tcW w:w="66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Pr>
          <w:p>
            <w:pPr>
              <w:spacing w:after="0"/>
              <w:rPr>
                <w:sz w:val="9"/>
                <w:szCs w:val="9"/>
                <w:color w:val="auto"/>
              </w:rPr>
            </w:pPr>
          </w:p>
        </w:tc>
        <w:tc>
          <w:tcPr>
            <w:tcW w:w="7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115"/>
        </w:trPr>
        <w:tc>
          <w:tcPr>
            <w:tcW w:w="780" w:type="dxa"/>
            <w:vAlign w:val="bottom"/>
          </w:tcPr>
          <w:p>
            <w:pPr>
              <w:ind w:left="60"/>
              <w:spacing w:after="0"/>
              <w:rPr>
                <w:sz w:val="20"/>
                <w:szCs w:val="20"/>
                <w:color w:val="auto"/>
              </w:rPr>
            </w:pPr>
            <w:r>
              <w:rPr>
                <w:rFonts w:ascii="Arial" w:cs="Arial" w:eastAsia="Arial" w:hAnsi="Arial"/>
                <w:sz w:val="10"/>
                <w:szCs w:val="10"/>
                <w:color w:val="auto"/>
              </w:rPr>
              <w:t>Year of</w:t>
            </w:r>
          </w:p>
        </w:tc>
        <w:tc>
          <w:tcPr>
            <w:tcW w:w="40" w:type="dxa"/>
            <w:vAlign w:val="bottom"/>
          </w:tcPr>
          <w:p>
            <w:pPr>
              <w:spacing w:after="0"/>
              <w:rPr>
                <w:sz w:val="9"/>
                <w:szCs w:val="9"/>
                <w:color w:val="auto"/>
              </w:rPr>
            </w:pPr>
          </w:p>
        </w:tc>
        <w:tc>
          <w:tcPr>
            <w:tcW w:w="66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Pr>
          <w:p>
            <w:pPr>
              <w:spacing w:after="0"/>
              <w:rPr>
                <w:sz w:val="9"/>
                <w:szCs w:val="9"/>
                <w:color w:val="auto"/>
              </w:rPr>
            </w:pPr>
          </w:p>
        </w:tc>
        <w:tc>
          <w:tcPr>
            <w:tcW w:w="7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115"/>
        </w:trPr>
        <w:tc>
          <w:tcPr>
            <w:tcW w:w="780" w:type="dxa"/>
            <w:vAlign w:val="bottom"/>
          </w:tcPr>
          <w:p>
            <w:pPr>
              <w:ind w:left="60"/>
              <w:spacing w:after="0"/>
              <w:rPr>
                <w:sz w:val="20"/>
                <w:szCs w:val="20"/>
                <w:color w:val="auto"/>
              </w:rPr>
            </w:pPr>
            <w:r>
              <w:rPr>
                <w:rFonts w:ascii="Arial" w:cs="Arial" w:eastAsia="Arial" w:hAnsi="Arial"/>
                <w:sz w:val="10"/>
                <w:szCs w:val="10"/>
                <w:color w:val="auto"/>
              </w:rPr>
              <w:t>Outstanding</w:t>
            </w:r>
          </w:p>
        </w:tc>
        <w:tc>
          <w:tcPr>
            <w:tcW w:w="40" w:type="dxa"/>
            <w:vAlign w:val="bottom"/>
          </w:tcPr>
          <w:p>
            <w:pPr>
              <w:spacing w:after="0"/>
              <w:rPr>
                <w:sz w:val="9"/>
                <w:szCs w:val="9"/>
                <w:color w:val="auto"/>
              </w:rPr>
            </w:pPr>
          </w:p>
        </w:tc>
        <w:tc>
          <w:tcPr>
            <w:tcW w:w="66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Pr>
          <w:p>
            <w:pPr>
              <w:spacing w:after="0"/>
              <w:rPr>
                <w:sz w:val="9"/>
                <w:szCs w:val="9"/>
                <w:color w:val="auto"/>
              </w:rPr>
            </w:pPr>
          </w:p>
        </w:tc>
        <w:tc>
          <w:tcPr>
            <w:tcW w:w="7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115"/>
        </w:trPr>
        <w:tc>
          <w:tcPr>
            <w:tcW w:w="780" w:type="dxa"/>
            <w:vAlign w:val="bottom"/>
          </w:tcPr>
          <w:p>
            <w:pPr>
              <w:ind w:left="60"/>
              <w:spacing w:after="0"/>
              <w:rPr>
                <w:sz w:val="20"/>
                <w:szCs w:val="20"/>
                <w:color w:val="auto"/>
              </w:rPr>
            </w:pPr>
            <w:r>
              <w:rPr>
                <w:rFonts w:ascii="Arial" w:cs="Arial" w:eastAsia="Arial" w:hAnsi="Arial"/>
                <w:sz w:val="10"/>
                <w:szCs w:val="10"/>
                <w:color w:val="auto"/>
              </w:rPr>
              <w:t>and Unvested</w:t>
            </w:r>
          </w:p>
        </w:tc>
        <w:tc>
          <w:tcPr>
            <w:tcW w:w="40" w:type="dxa"/>
            <w:vAlign w:val="bottom"/>
          </w:tcPr>
          <w:p>
            <w:pPr>
              <w:spacing w:after="0"/>
              <w:rPr>
                <w:sz w:val="9"/>
                <w:szCs w:val="9"/>
                <w:color w:val="auto"/>
              </w:rPr>
            </w:pPr>
          </w:p>
        </w:tc>
        <w:tc>
          <w:tcPr>
            <w:tcW w:w="66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Pr>
          <w:p>
            <w:pPr>
              <w:spacing w:after="0"/>
              <w:rPr>
                <w:sz w:val="9"/>
                <w:szCs w:val="9"/>
                <w:color w:val="auto"/>
              </w:rPr>
            </w:pPr>
          </w:p>
        </w:tc>
        <w:tc>
          <w:tcPr>
            <w:tcW w:w="7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115"/>
        </w:trPr>
        <w:tc>
          <w:tcPr>
            <w:tcW w:w="780" w:type="dxa"/>
            <w:vAlign w:val="bottom"/>
          </w:tcPr>
          <w:p>
            <w:pPr>
              <w:ind w:left="60"/>
              <w:spacing w:after="0"/>
              <w:rPr>
                <w:sz w:val="20"/>
                <w:szCs w:val="20"/>
                <w:color w:val="auto"/>
              </w:rPr>
            </w:pPr>
            <w:r>
              <w:rPr>
                <w:rFonts w:ascii="Arial" w:cs="Arial" w:eastAsia="Arial" w:hAnsi="Arial"/>
                <w:sz w:val="10"/>
                <w:szCs w:val="10"/>
                <w:color w:val="auto"/>
              </w:rPr>
              <w:t>Equity Awards</w:t>
            </w:r>
          </w:p>
        </w:tc>
        <w:tc>
          <w:tcPr>
            <w:tcW w:w="40" w:type="dxa"/>
            <w:vAlign w:val="bottom"/>
          </w:tcPr>
          <w:p>
            <w:pPr>
              <w:spacing w:after="0"/>
              <w:rPr>
                <w:sz w:val="9"/>
                <w:szCs w:val="9"/>
                <w:color w:val="auto"/>
              </w:rPr>
            </w:pPr>
          </w:p>
        </w:tc>
        <w:tc>
          <w:tcPr>
            <w:tcW w:w="66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Pr>
          <w:p>
            <w:pPr>
              <w:spacing w:after="0"/>
              <w:rPr>
                <w:sz w:val="9"/>
                <w:szCs w:val="9"/>
                <w:color w:val="auto"/>
              </w:rPr>
            </w:pPr>
          </w:p>
        </w:tc>
        <w:tc>
          <w:tcPr>
            <w:tcW w:w="7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115"/>
        </w:trPr>
        <w:tc>
          <w:tcPr>
            <w:tcW w:w="780" w:type="dxa"/>
            <w:vAlign w:val="bottom"/>
          </w:tcPr>
          <w:p>
            <w:pPr>
              <w:ind w:left="60"/>
              <w:spacing w:after="0"/>
              <w:rPr>
                <w:sz w:val="20"/>
                <w:szCs w:val="20"/>
                <w:color w:val="auto"/>
              </w:rPr>
            </w:pPr>
            <w:r>
              <w:rPr>
                <w:rFonts w:ascii="Arial" w:cs="Arial" w:eastAsia="Arial" w:hAnsi="Arial"/>
                <w:sz w:val="10"/>
                <w:szCs w:val="10"/>
                <w:color w:val="auto"/>
                <w:w w:val="99"/>
              </w:rPr>
              <w:t>Granted in Prior</w:t>
            </w:r>
          </w:p>
        </w:tc>
        <w:tc>
          <w:tcPr>
            <w:tcW w:w="40" w:type="dxa"/>
            <w:vAlign w:val="bottom"/>
          </w:tcPr>
          <w:p>
            <w:pPr>
              <w:spacing w:after="0"/>
              <w:rPr>
                <w:sz w:val="9"/>
                <w:szCs w:val="9"/>
                <w:color w:val="auto"/>
              </w:rPr>
            </w:pPr>
          </w:p>
        </w:tc>
        <w:tc>
          <w:tcPr>
            <w:tcW w:w="66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Pr>
          <w:p>
            <w:pPr>
              <w:spacing w:after="0"/>
              <w:rPr>
                <w:sz w:val="9"/>
                <w:szCs w:val="9"/>
                <w:color w:val="auto"/>
              </w:rPr>
            </w:pPr>
          </w:p>
        </w:tc>
        <w:tc>
          <w:tcPr>
            <w:tcW w:w="7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134"/>
        </w:trPr>
        <w:tc>
          <w:tcPr>
            <w:tcW w:w="780" w:type="dxa"/>
            <w:vAlign w:val="bottom"/>
          </w:tcPr>
          <w:p>
            <w:pPr>
              <w:ind w:left="60"/>
              <w:spacing w:after="0"/>
              <w:rPr>
                <w:sz w:val="20"/>
                <w:szCs w:val="20"/>
                <w:color w:val="auto"/>
              </w:rPr>
            </w:pPr>
            <w:r>
              <w:rPr>
                <w:rFonts w:ascii="Arial" w:cs="Arial" w:eastAsia="Arial" w:hAnsi="Arial"/>
                <w:sz w:val="10"/>
                <w:szCs w:val="10"/>
                <w:color w:val="auto"/>
              </w:rPr>
              <w:t>Years</w:t>
            </w:r>
          </w:p>
        </w:tc>
        <w:tc>
          <w:tcPr>
            <w:tcW w:w="700" w:type="dxa"/>
            <w:vAlign w:val="bottom"/>
            <w:gridSpan w:val="2"/>
          </w:tcPr>
          <w:p>
            <w:pPr>
              <w:jc w:val="right"/>
              <w:spacing w:after="0"/>
              <w:rPr>
                <w:sz w:val="20"/>
                <w:szCs w:val="20"/>
                <w:color w:val="auto"/>
              </w:rPr>
            </w:pPr>
            <w:r>
              <w:rPr>
                <w:rFonts w:ascii="Arial" w:cs="Arial" w:eastAsia="Arial" w:hAnsi="Arial"/>
                <w:sz w:val="10"/>
                <w:szCs w:val="10"/>
                <w:color w:val="auto"/>
              </w:rPr>
              <w:t>(499,780)</w:t>
            </w:r>
          </w:p>
        </w:tc>
        <w:tc>
          <w:tcPr>
            <w:tcW w:w="660" w:type="dxa"/>
            <w:vAlign w:val="bottom"/>
            <w:gridSpan w:val="2"/>
          </w:tcPr>
          <w:p>
            <w:pPr>
              <w:jc w:val="right"/>
              <w:ind w:right="40"/>
              <w:spacing w:after="0"/>
              <w:rPr>
                <w:sz w:val="20"/>
                <w:szCs w:val="20"/>
                <w:color w:val="auto"/>
              </w:rPr>
            </w:pPr>
            <w:r>
              <w:rPr>
                <w:rFonts w:ascii="Arial" w:cs="Arial" w:eastAsia="Arial" w:hAnsi="Arial"/>
                <w:sz w:val="10"/>
                <w:szCs w:val="10"/>
                <w:color w:val="auto"/>
              </w:rPr>
              <w:t>(367,176)</w:t>
            </w:r>
          </w:p>
        </w:tc>
        <w:tc>
          <w:tcPr>
            <w:tcW w:w="600" w:type="dxa"/>
            <w:vAlign w:val="bottom"/>
            <w:gridSpan w:val="2"/>
          </w:tcPr>
          <w:p>
            <w:pPr>
              <w:jc w:val="right"/>
              <w:spacing w:after="0"/>
              <w:rPr>
                <w:sz w:val="20"/>
                <w:szCs w:val="20"/>
                <w:color w:val="auto"/>
              </w:rPr>
            </w:pPr>
            <w:r>
              <w:rPr>
                <w:rFonts w:ascii="Arial" w:cs="Arial" w:eastAsia="Arial" w:hAnsi="Arial"/>
                <w:sz w:val="10"/>
                <w:szCs w:val="10"/>
                <w:color w:val="auto"/>
              </w:rPr>
              <w:t>1,619,545</w:t>
            </w:r>
          </w:p>
        </w:tc>
        <w:tc>
          <w:tcPr>
            <w:tcW w:w="760" w:type="dxa"/>
            <w:vAlign w:val="bottom"/>
          </w:tcPr>
          <w:p>
            <w:pPr>
              <w:jc w:val="right"/>
              <w:ind w:right="70"/>
              <w:spacing w:after="0"/>
              <w:rPr>
                <w:sz w:val="20"/>
                <w:szCs w:val="20"/>
                <w:color w:val="auto"/>
              </w:rPr>
            </w:pPr>
            <w:r>
              <w:rPr>
                <w:rFonts w:ascii="Arial" w:cs="Arial" w:eastAsia="Arial" w:hAnsi="Arial"/>
                <w:sz w:val="10"/>
                <w:szCs w:val="10"/>
                <w:color w:val="auto"/>
              </w:rPr>
              <w:t>—</w:t>
            </w:r>
          </w:p>
        </w:tc>
        <w:tc>
          <w:tcPr>
            <w:tcW w:w="560" w:type="dxa"/>
            <w:vAlign w:val="bottom"/>
          </w:tcPr>
          <w:p>
            <w:pPr>
              <w:jc w:val="right"/>
              <w:spacing w:after="0"/>
              <w:rPr>
                <w:sz w:val="20"/>
                <w:szCs w:val="20"/>
                <w:color w:val="auto"/>
              </w:rPr>
            </w:pPr>
            <w:r>
              <w:rPr>
                <w:rFonts w:ascii="Arial" w:cs="Arial" w:eastAsia="Arial" w:hAnsi="Arial"/>
                <w:sz w:val="10"/>
                <w:szCs w:val="10"/>
                <w:color w:val="auto"/>
              </w:rPr>
              <w:t>1,060,094</w:t>
            </w:r>
          </w:p>
        </w:tc>
        <w:tc>
          <w:tcPr>
            <w:tcW w:w="720" w:type="dxa"/>
            <w:vAlign w:val="bottom"/>
            <w:gridSpan w:val="2"/>
          </w:tcPr>
          <w:p>
            <w:pPr>
              <w:jc w:val="right"/>
              <w:spacing w:after="0"/>
              <w:rPr>
                <w:sz w:val="20"/>
                <w:szCs w:val="20"/>
                <w:color w:val="auto"/>
              </w:rPr>
            </w:pPr>
            <w:r>
              <w:rPr>
                <w:rFonts w:ascii="Arial" w:cs="Arial" w:eastAsia="Arial" w:hAnsi="Arial"/>
                <w:sz w:val="10"/>
                <w:szCs w:val="10"/>
                <w:color w:val="auto"/>
              </w:rPr>
              <w:t>2,137,341</w:t>
            </w:r>
          </w:p>
        </w:tc>
        <w:tc>
          <w:tcPr>
            <w:tcW w:w="580" w:type="dxa"/>
            <w:vAlign w:val="bottom"/>
          </w:tcPr>
          <w:p>
            <w:pPr>
              <w:jc w:val="right"/>
              <w:spacing w:after="0"/>
              <w:rPr>
                <w:sz w:val="20"/>
                <w:szCs w:val="20"/>
                <w:color w:val="auto"/>
              </w:rPr>
            </w:pPr>
            <w:r>
              <w:rPr>
                <w:rFonts w:ascii="Arial" w:cs="Arial" w:eastAsia="Arial" w:hAnsi="Arial"/>
                <w:sz w:val="10"/>
                <w:szCs w:val="10"/>
                <w:color w:val="auto"/>
              </w:rPr>
              <w:t>298,907</w:t>
            </w:r>
          </w:p>
        </w:tc>
        <w:tc>
          <w:tcPr>
            <w:tcW w:w="720" w:type="dxa"/>
            <w:vAlign w:val="bottom"/>
            <w:gridSpan w:val="2"/>
          </w:tcPr>
          <w:p>
            <w:pPr>
              <w:jc w:val="right"/>
              <w:ind w:right="11"/>
              <w:spacing w:after="0"/>
              <w:rPr>
                <w:sz w:val="20"/>
                <w:szCs w:val="20"/>
                <w:color w:val="auto"/>
              </w:rPr>
            </w:pPr>
            <w:r>
              <w:rPr>
                <w:rFonts w:ascii="Arial" w:cs="Arial" w:eastAsia="Arial" w:hAnsi="Arial"/>
                <w:sz w:val="10"/>
                <w:szCs w:val="10"/>
                <w:color w:val="auto"/>
              </w:rPr>
              <w:t>6,189,193</w:t>
            </w:r>
          </w:p>
        </w:tc>
        <w:tc>
          <w:tcPr>
            <w:tcW w:w="560" w:type="dxa"/>
            <w:vAlign w:val="bottom"/>
          </w:tcPr>
          <w:p>
            <w:pPr>
              <w:jc w:val="right"/>
              <w:spacing w:after="0"/>
              <w:rPr>
                <w:sz w:val="20"/>
                <w:szCs w:val="20"/>
                <w:color w:val="auto"/>
              </w:rPr>
            </w:pPr>
            <w:r>
              <w:rPr>
                <w:rFonts w:ascii="Arial" w:cs="Arial" w:eastAsia="Arial" w:hAnsi="Arial"/>
                <w:sz w:val="10"/>
                <w:szCs w:val="10"/>
                <w:color w:val="auto"/>
              </w:rPr>
              <w:t>830,202</w:t>
            </w:r>
          </w:p>
        </w:tc>
        <w:tc>
          <w:tcPr>
            <w:tcW w:w="720" w:type="dxa"/>
            <w:vAlign w:val="bottom"/>
            <w:gridSpan w:val="2"/>
          </w:tcPr>
          <w:p>
            <w:pPr>
              <w:jc w:val="right"/>
              <w:spacing w:after="0"/>
              <w:rPr>
                <w:sz w:val="20"/>
                <w:szCs w:val="20"/>
                <w:color w:val="auto"/>
              </w:rPr>
            </w:pPr>
            <w:r>
              <w:rPr>
                <w:rFonts w:ascii="Arial" w:cs="Arial" w:eastAsia="Arial" w:hAnsi="Arial"/>
                <w:sz w:val="10"/>
                <w:szCs w:val="10"/>
                <w:color w:val="auto"/>
              </w:rPr>
              <w:t>5,575,299</w:t>
            </w:r>
          </w:p>
        </w:tc>
        <w:tc>
          <w:tcPr>
            <w:tcW w:w="560" w:type="dxa"/>
            <w:vAlign w:val="bottom"/>
          </w:tcPr>
          <w:p>
            <w:pPr>
              <w:jc w:val="right"/>
              <w:spacing w:after="0"/>
              <w:rPr>
                <w:sz w:val="20"/>
                <w:szCs w:val="20"/>
                <w:color w:val="auto"/>
              </w:rPr>
            </w:pPr>
            <w:r>
              <w:rPr>
                <w:rFonts w:ascii="Arial" w:cs="Arial" w:eastAsia="Arial" w:hAnsi="Arial"/>
                <w:sz w:val="10"/>
                <w:szCs w:val="10"/>
                <w:color w:val="auto"/>
              </w:rPr>
              <w:t>805,582</w:t>
            </w:r>
          </w:p>
        </w:tc>
        <w:tc>
          <w:tcPr>
            <w:tcW w:w="40" w:type="dxa"/>
            <w:vAlign w:val="bottom"/>
          </w:tcPr>
          <w:p>
            <w:pPr>
              <w:spacing w:after="0"/>
              <w:rPr>
                <w:sz w:val="11"/>
                <w:szCs w:val="11"/>
                <w:color w:val="auto"/>
              </w:rPr>
            </w:pPr>
          </w:p>
        </w:tc>
      </w:tr>
      <w:tr>
        <w:trPr>
          <w:trHeight w:val="45"/>
        </w:trPr>
        <w:tc>
          <w:tcPr>
            <w:tcW w:w="78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560" w:type="dxa"/>
            <w:vAlign w:val="bottom"/>
          </w:tcPr>
          <w:p>
            <w:pPr>
              <w:spacing w:after="0"/>
              <w:rPr>
                <w:sz w:val="3"/>
                <w:szCs w:val="3"/>
                <w:color w:val="auto"/>
              </w:rPr>
            </w:pPr>
          </w:p>
        </w:tc>
        <w:tc>
          <w:tcPr>
            <w:tcW w:w="7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r>
      <w:tr>
        <w:trPr>
          <w:trHeight w:val="178"/>
        </w:trPr>
        <w:tc>
          <w:tcPr>
            <w:tcW w:w="780" w:type="dxa"/>
            <w:vAlign w:val="bottom"/>
            <w:shd w:val="clear" w:color="auto" w:fill="F7F1EC"/>
          </w:tcPr>
          <w:p>
            <w:pPr>
              <w:ind w:left="60"/>
              <w:spacing w:after="0"/>
              <w:rPr>
                <w:sz w:val="20"/>
                <w:szCs w:val="20"/>
                <w:color w:val="auto"/>
              </w:rPr>
            </w:pPr>
            <w:r>
              <w:rPr>
                <w:rFonts w:ascii="Arial" w:cs="Arial" w:eastAsia="Arial" w:hAnsi="Arial"/>
                <w:sz w:val="10"/>
                <w:szCs w:val="10"/>
                <w:i w:val="1"/>
                <w:iCs w:val="1"/>
                <w:color w:val="auto"/>
              </w:rPr>
              <w:t xml:space="preserve">Plus </w:t>
            </w:r>
            <w:r>
              <w:rPr>
                <w:rFonts w:ascii="Arial" w:cs="Arial" w:eastAsia="Arial" w:hAnsi="Arial"/>
                <w:sz w:val="10"/>
                <w:szCs w:val="10"/>
                <w:color w:val="auto"/>
              </w:rPr>
              <w:t>Fair Value</w:t>
            </w:r>
          </w:p>
        </w:tc>
        <w:tc>
          <w:tcPr>
            <w:tcW w:w="40" w:type="dxa"/>
            <w:vAlign w:val="bottom"/>
            <w:shd w:val="clear" w:color="auto" w:fill="F7F1EC"/>
          </w:tcPr>
          <w:p>
            <w:pPr>
              <w:spacing w:after="0"/>
              <w:rPr>
                <w:sz w:val="15"/>
                <w:szCs w:val="15"/>
                <w:color w:val="auto"/>
              </w:rPr>
            </w:pPr>
          </w:p>
        </w:tc>
        <w:tc>
          <w:tcPr>
            <w:tcW w:w="660" w:type="dxa"/>
            <w:vAlign w:val="bottom"/>
            <w:shd w:val="clear" w:color="auto" w:fill="F7F1EC"/>
          </w:tcPr>
          <w:p>
            <w:pPr>
              <w:spacing w:after="0"/>
              <w:rPr>
                <w:sz w:val="15"/>
                <w:szCs w:val="15"/>
                <w:color w:val="auto"/>
              </w:rPr>
            </w:pPr>
          </w:p>
        </w:tc>
        <w:tc>
          <w:tcPr>
            <w:tcW w:w="580" w:type="dxa"/>
            <w:vAlign w:val="bottom"/>
            <w:shd w:val="clear" w:color="auto" w:fill="F7F1EC"/>
          </w:tcPr>
          <w:p>
            <w:pPr>
              <w:spacing w:after="0"/>
              <w:rPr>
                <w:sz w:val="15"/>
                <w:szCs w:val="15"/>
                <w:color w:val="auto"/>
              </w:rPr>
            </w:pPr>
          </w:p>
        </w:tc>
        <w:tc>
          <w:tcPr>
            <w:tcW w:w="80" w:type="dxa"/>
            <w:vAlign w:val="bottom"/>
            <w:shd w:val="clear" w:color="auto" w:fill="F7F1EC"/>
          </w:tcPr>
          <w:p>
            <w:pPr>
              <w:spacing w:after="0"/>
              <w:rPr>
                <w:sz w:val="15"/>
                <w:szCs w:val="15"/>
                <w:color w:val="auto"/>
              </w:rPr>
            </w:pPr>
          </w:p>
        </w:tc>
        <w:tc>
          <w:tcPr>
            <w:tcW w:w="40" w:type="dxa"/>
            <w:vAlign w:val="bottom"/>
            <w:shd w:val="clear" w:color="auto" w:fill="F7F1EC"/>
          </w:tcPr>
          <w:p>
            <w:pPr>
              <w:spacing w:after="0"/>
              <w:rPr>
                <w:sz w:val="15"/>
                <w:szCs w:val="15"/>
                <w:color w:val="auto"/>
              </w:rPr>
            </w:pPr>
          </w:p>
        </w:tc>
        <w:tc>
          <w:tcPr>
            <w:tcW w:w="560" w:type="dxa"/>
            <w:vAlign w:val="bottom"/>
            <w:shd w:val="clear" w:color="auto" w:fill="F7F1EC"/>
          </w:tcPr>
          <w:p>
            <w:pPr>
              <w:spacing w:after="0"/>
              <w:rPr>
                <w:sz w:val="15"/>
                <w:szCs w:val="15"/>
                <w:color w:val="auto"/>
              </w:rPr>
            </w:pPr>
          </w:p>
        </w:tc>
        <w:tc>
          <w:tcPr>
            <w:tcW w:w="760" w:type="dxa"/>
            <w:vAlign w:val="bottom"/>
            <w:shd w:val="clear" w:color="auto" w:fill="F7F1EC"/>
          </w:tcPr>
          <w:p>
            <w:pPr>
              <w:spacing w:after="0"/>
              <w:rPr>
                <w:sz w:val="15"/>
                <w:szCs w:val="15"/>
                <w:color w:val="auto"/>
              </w:rPr>
            </w:pPr>
          </w:p>
        </w:tc>
        <w:tc>
          <w:tcPr>
            <w:tcW w:w="560" w:type="dxa"/>
            <w:vAlign w:val="bottom"/>
            <w:shd w:val="clear" w:color="auto" w:fill="F7F1EC"/>
          </w:tcPr>
          <w:p>
            <w:pPr>
              <w:spacing w:after="0"/>
              <w:rPr>
                <w:sz w:val="15"/>
                <w:szCs w:val="15"/>
                <w:color w:val="auto"/>
              </w:rPr>
            </w:pPr>
          </w:p>
        </w:tc>
        <w:tc>
          <w:tcPr>
            <w:tcW w:w="100" w:type="dxa"/>
            <w:vAlign w:val="bottom"/>
            <w:shd w:val="clear" w:color="auto" w:fill="F7F1EC"/>
          </w:tcPr>
          <w:p>
            <w:pPr>
              <w:spacing w:after="0"/>
              <w:rPr>
                <w:sz w:val="15"/>
                <w:szCs w:val="15"/>
                <w:color w:val="auto"/>
              </w:rPr>
            </w:pPr>
          </w:p>
        </w:tc>
        <w:tc>
          <w:tcPr>
            <w:tcW w:w="620" w:type="dxa"/>
            <w:vAlign w:val="bottom"/>
            <w:shd w:val="clear" w:color="auto" w:fill="F7F1EC"/>
          </w:tcPr>
          <w:p>
            <w:pPr>
              <w:spacing w:after="0"/>
              <w:rPr>
                <w:sz w:val="15"/>
                <w:szCs w:val="15"/>
                <w:color w:val="auto"/>
              </w:rPr>
            </w:pPr>
          </w:p>
        </w:tc>
        <w:tc>
          <w:tcPr>
            <w:tcW w:w="580" w:type="dxa"/>
            <w:vAlign w:val="bottom"/>
            <w:shd w:val="clear" w:color="auto" w:fill="F7F1EC"/>
          </w:tcPr>
          <w:p>
            <w:pPr>
              <w:spacing w:after="0"/>
              <w:rPr>
                <w:sz w:val="15"/>
                <w:szCs w:val="15"/>
                <w:color w:val="auto"/>
              </w:rPr>
            </w:pPr>
          </w:p>
        </w:tc>
        <w:tc>
          <w:tcPr>
            <w:tcW w:w="80" w:type="dxa"/>
            <w:vAlign w:val="bottom"/>
            <w:shd w:val="clear" w:color="auto" w:fill="F7F1EC"/>
          </w:tcPr>
          <w:p>
            <w:pPr>
              <w:spacing w:after="0"/>
              <w:rPr>
                <w:sz w:val="15"/>
                <w:szCs w:val="15"/>
                <w:color w:val="auto"/>
              </w:rPr>
            </w:pPr>
          </w:p>
        </w:tc>
        <w:tc>
          <w:tcPr>
            <w:tcW w:w="640" w:type="dxa"/>
            <w:vAlign w:val="bottom"/>
            <w:shd w:val="clear" w:color="auto" w:fill="F7F1EC"/>
          </w:tcPr>
          <w:p>
            <w:pPr>
              <w:spacing w:after="0"/>
              <w:rPr>
                <w:sz w:val="15"/>
                <w:szCs w:val="15"/>
                <w:color w:val="auto"/>
              </w:rPr>
            </w:pPr>
          </w:p>
        </w:tc>
        <w:tc>
          <w:tcPr>
            <w:tcW w:w="560" w:type="dxa"/>
            <w:vAlign w:val="bottom"/>
            <w:shd w:val="clear" w:color="auto" w:fill="F7F1EC"/>
          </w:tcPr>
          <w:p>
            <w:pPr>
              <w:spacing w:after="0"/>
              <w:rPr>
                <w:sz w:val="15"/>
                <w:szCs w:val="15"/>
                <w:color w:val="auto"/>
              </w:rPr>
            </w:pPr>
          </w:p>
        </w:tc>
        <w:tc>
          <w:tcPr>
            <w:tcW w:w="100" w:type="dxa"/>
            <w:vAlign w:val="bottom"/>
            <w:shd w:val="clear" w:color="auto" w:fill="F7F1EC"/>
          </w:tcPr>
          <w:p>
            <w:pPr>
              <w:spacing w:after="0"/>
              <w:rPr>
                <w:sz w:val="15"/>
                <w:szCs w:val="15"/>
                <w:color w:val="auto"/>
              </w:rPr>
            </w:pPr>
          </w:p>
        </w:tc>
        <w:tc>
          <w:tcPr>
            <w:tcW w:w="620" w:type="dxa"/>
            <w:vAlign w:val="bottom"/>
            <w:shd w:val="clear" w:color="auto" w:fill="F7F1EC"/>
          </w:tcPr>
          <w:p>
            <w:pPr>
              <w:spacing w:after="0"/>
              <w:rPr>
                <w:sz w:val="15"/>
                <w:szCs w:val="15"/>
                <w:color w:val="auto"/>
              </w:rPr>
            </w:pPr>
          </w:p>
        </w:tc>
        <w:tc>
          <w:tcPr>
            <w:tcW w:w="560" w:type="dxa"/>
            <w:vAlign w:val="bottom"/>
            <w:shd w:val="clear" w:color="auto" w:fill="F7F1EC"/>
          </w:tcPr>
          <w:p>
            <w:pPr>
              <w:spacing w:after="0"/>
              <w:rPr>
                <w:sz w:val="15"/>
                <w:szCs w:val="15"/>
                <w:color w:val="auto"/>
              </w:rPr>
            </w:pPr>
          </w:p>
        </w:tc>
        <w:tc>
          <w:tcPr>
            <w:tcW w:w="40" w:type="dxa"/>
            <w:vAlign w:val="bottom"/>
            <w:shd w:val="clear" w:color="auto" w:fill="F7F1EC"/>
          </w:tcPr>
          <w:p>
            <w:pPr>
              <w:spacing w:after="0"/>
              <w:rPr>
                <w:sz w:val="15"/>
                <w:szCs w:val="15"/>
                <w:color w:val="auto"/>
              </w:rPr>
            </w:pPr>
          </w:p>
        </w:tc>
      </w:tr>
      <w:tr>
        <w:trPr>
          <w:trHeight w:val="115"/>
        </w:trPr>
        <w:tc>
          <w:tcPr>
            <w:tcW w:w="780" w:type="dxa"/>
            <w:vAlign w:val="bottom"/>
            <w:shd w:val="clear" w:color="auto" w:fill="F7F1EC"/>
          </w:tcPr>
          <w:p>
            <w:pPr>
              <w:ind w:left="60"/>
              <w:spacing w:after="0"/>
              <w:rPr>
                <w:sz w:val="20"/>
                <w:szCs w:val="20"/>
                <w:color w:val="auto"/>
              </w:rPr>
            </w:pPr>
            <w:r>
              <w:rPr>
                <w:rFonts w:ascii="Arial" w:cs="Arial" w:eastAsia="Arial" w:hAnsi="Arial"/>
                <w:sz w:val="10"/>
                <w:szCs w:val="10"/>
                <w:color w:val="auto"/>
              </w:rPr>
              <w:t>as of Vesting</w:t>
            </w:r>
          </w:p>
        </w:tc>
        <w:tc>
          <w:tcPr>
            <w:tcW w:w="40" w:type="dxa"/>
            <w:vAlign w:val="bottom"/>
            <w:shd w:val="clear" w:color="auto" w:fill="F7F1EC"/>
          </w:tcPr>
          <w:p>
            <w:pPr>
              <w:spacing w:after="0"/>
              <w:rPr>
                <w:sz w:val="9"/>
                <w:szCs w:val="9"/>
                <w:color w:val="auto"/>
              </w:rPr>
            </w:pPr>
          </w:p>
        </w:tc>
        <w:tc>
          <w:tcPr>
            <w:tcW w:w="660" w:type="dxa"/>
            <w:vAlign w:val="bottom"/>
            <w:shd w:val="clear" w:color="auto" w:fill="F7F1EC"/>
          </w:tcPr>
          <w:p>
            <w:pPr>
              <w:spacing w:after="0"/>
              <w:rPr>
                <w:sz w:val="9"/>
                <w:szCs w:val="9"/>
                <w:color w:val="auto"/>
              </w:rPr>
            </w:pPr>
          </w:p>
        </w:tc>
        <w:tc>
          <w:tcPr>
            <w:tcW w:w="580" w:type="dxa"/>
            <w:vAlign w:val="bottom"/>
            <w:shd w:val="clear" w:color="auto" w:fill="F7F1EC"/>
          </w:tcPr>
          <w:p>
            <w:pPr>
              <w:spacing w:after="0"/>
              <w:rPr>
                <w:sz w:val="9"/>
                <w:szCs w:val="9"/>
                <w:color w:val="auto"/>
              </w:rPr>
            </w:pPr>
          </w:p>
        </w:tc>
        <w:tc>
          <w:tcPr>
            <w:tcW w:w="80" w:type="dxa"/>
            <w:vAlign w:val="bottom"/>
            <w:shd w:val="clear" w:color="auto" w:fill="F7F1EC"/>
          </w:tcPr>
          <w:p>
            <w:pPr>
              <w:spacing w:after="0"/>
              <w:rPr>
                <w:sz w:val="9"/>
                <w:szCs w:val="9"/>
                <w:color w:val="auto"/>
              </w:rPr>
            </w:pPr>
          </w:p>
        </w:tc>
        <w:tc>
          <w:tcPr>
            <w:tcW w:w="40" w:type="dxa"/>
            <w:vAlign w:val="bottom"/>
            <w:shd w:val="clear" w:color="auto" w:fill="F7F1EC"/>
          </w:tcPr>
          <w:p>
            <w:pPr>
              <w:spacing w:after="0"/>
              <w:rPr>
                <w:sz w:val="9"/>
                <w:szCs w:val="9"/>
                <w:color w:val="auto"/>
              </w:rPr>
            </w:pPr>
          </w:p>
        </w:tc>
        <w:tc>
          <w:tcPr>
            <w:tcW w:w="560" w:type="dxa"/>
            <w:vAlign w:val="bottom"/>
            <w:shd w:val="clear" w:color="auto" w:fill="F7F1EC"/>
          </w:tcPr>
          <w:p>
            <w:pPr>
              <w:spacing w:after="0"/>
              <w:rPr>
                <w:sz w:val="9"/>
                <w:szCs w:val="9"/>
                <w:color w:val="auto"/>
              </w:rPr>
            </w:pPr>
          </w:p>
        </w:tc>
        <w:tc>
          <w:tcPr>
            <w:tcW w:w="760" w:type="dxa"/>
            <w:vAlign w:val="bottom"/>
            <w:shd w:val="clear" w:color="auto" w:fill="F7F1EC"/>
          </w:tcPr>
          <w:p>
            <w:pPr>
              <w:spacing w:after="0"/>
              <w:rPr>
                <w:sz w:val="9"/>
                <w:szCs w:val="9"/>
                <w:color w:val="auto"/>
              </w:rPr>
            </w:pPr>
          </w:p>
        </w:tc>
        <w:tc>
          <w:tcPr>
            <w:tcW w:w="560" w:type="dxa"/>
            <w:vAlign w:val="bottom"/>
            <w:shd w:val="clear" w:color="auto" w:fill="F7F1EC"/>
          </w:tcPr>
          <w:p>
            <w:pPr>
              <w:spacing w:after="0"/>
              <w:rPr>
                <w:sz w:val="9"/>
                <w:szCs w:val="9"/>
                <w:color w:val="auto"/>
              </w:rPr>
            </w:pPr>
          </w:p>
        </w:tc>
        <w:tc>
          <w:tcPr>
            <w:tcW w:w="100" w:type="dxa"/>
            <w:vAlign w:val="bottom"/>
            <w:shd w:val="clear" w:color="auto" w:fill="F7F1EC"/>
          </w:tcPr>
          <w:p>
            <w:pPr>
              <w:spacing w:after="0"/>
              <w:rPr>
                <w:sz w:val="9"/>
                <w:szCs w:val="9"/>
                <w:color w:val="auto"/>
              </w:rPr>
            </w:pPr>
          </w:p>
        </w:tc>
        <w:tc>
          <w:tcPr>
            <w:tcW w:w="620" w:type="dxa"/>
            <w:vAlign w:val="bottom"/>
            <w:shd w:val="clear" w:color="auto" w:fill="F7F1EC"/>
          </w:tcPr>
          <w:p>
            <w:pPr>
              <w:spacing w:after="0"/>
              <w:rPr>
                <w:sz w:val="9"/>
                <w:szCs w:val="9"/>
                <w:color w:val="auto"/>
              </w:rPr>
            </w:pPr>
          </w:p>
        </w:tc>
        <w:tc>
          <w:tcPr>
            <w:tcW w:w="580" w:type="dxa"/>
            <w:vAlign w:val="bottom"/>
            <w:shd w:val="clear" w:color="auto" w:fill="F7F1EC"/>
          </w:tcPr>
          <w:p>
            <w:pPr>
              <w:spacing w:after="0"/>
              <w:rPr>
                <w:sz w:val="9"/>
                <w:szCs w:val="9"/>
                <w:color w:val="auto"/>
              </w:rPr>
            </w:pPr>
          </w:p>
        </w:tc>
        <w:tc>
          <w:tcPr>
            <w:tcW w:w="80" w:type="dxa"/>
            <w:vAlign w:val="bottom"/>
            <w:shd w:val="clear" w:color="auto" w:fill="F7F1EC"/>
          </w:tcPr>
          <w:p>
            <w:pPr>
              <w:spacing w:after="0"/>
              <w:rPr>
                <w:sz w:val="9"/>
                <w:szCs w:val="9"/>
                <w:color w:val="auto"/>
              </w:rPr>
            </w:pPr>
          </w:p>
        </w:tc>
        <w:tc>
          <w:tcPr>
            <w:tcW w:w="640" w:type="dxa"/>
            <w:vAlign w:val="bottom"/>
            <w:shd w:val="clear" w:color="auto" w:fill="F7F1EC"/>
          </w:tcPr>
          <w:p>
            <w:pPr>
              <w:spacing w:after="0"/>
              <w:rPr>
                <w:sz w:val="9"/>
                <w:szCs w:val="9"/>
                <w:color w:val="auto"/>
              </w:rPr>
            </w:pPr>
          </w:p>
        </w:tc>
        <w:tc>
          <w:tcPr>
            <w:tcW w:w="560" w:type="dxa"/>
            <w:vAlign w:val="bottom"/>
            <w:shd w:val="clear" w:color="auto" w:fill="F7F1EC"/>
          </w:tcPr>
          <w:p>
            <w:pPr>
              <w:spacing w:after="0"/>
              <w:rPr>
                <w:sz w:val="9"/>
                <w:szCs w:val="9"/>
                <w:color w:val="auto"/>
              </w:rPr>
            </w:pPr>
          </w:p>
        </w:tc>
        <w:tc>
          <w:tcPr>
            <w:tcW w:w="100" w:type="dxa"/>
            <w:vAlign w:val="bottom"/>
            <w:shd w:val="clear" w:color="auto" w:fill="F7F1EC"/>
          </w:tcPr>
          <w:p>
            <w:pPr>
              <w:spacing w:after="0"/>
              <w:rPr>
                <w:sz w:val="9"/>
                <w:szCs w:val="9"/>
                <w:color w:val="auto"/>
              </w:rPr>
            </w:pPr>
          </w:p>
        </w:tc>
        <w:tc>
          <w:tcPr>
            <w:tcW w:w="620" w:type="dxa"/>
            <w:vAlign w:val="bottom"/>
            <w:shd w:val="clear" w:color="auto" w:fill="F7F1EC"/>
          </w:tcPr>
          <w:p>
            <w:pPr>
              <w:spacing w:after="0"/>
              <w:rPr>
                <w:sz w:val="9"/>
                <w:szCs w:val="9"/>
                <w:color w:val="auto"/>
              </w:rPr>
            </w:pPr>
          </w:p>
        </w:tc>
        <w:tc>
          <w:tcPr>
            <w:tcW w:w="560" w:type="dxa"/>
            <w:vAlign w:val="bottom"/>
            <w:shd w:val="clear" w:color="auto" w:fill="F7F1EC"/>
          </w:tcPr>
          <w:p>
            <w:pPr>
              <w:spacing w:after="0"/>
              <w:rPr>
                <w:sz w:val="9"/>
                <w:szCs w:val="9"/>
                <w:color w:val="auto"/>
              </w:rPr>
            </w:pPr>
          </w:p>
        </w:tc>
        <w:tc>
          <w:tcPr>
            <w:tcW w:w="40" w:type="dxa"/>
            <w:vAlign w:val="bottom"/>
            <w:shd w:val="clear" w:color="auto" w:fill="F7F1EC"/>
          </w:tcPr>
          <w:p>
            <w:pPr>
              <w:spacing w:after="0"/>
              <w:rPr>
                <w:sz w:val="9"/>
                <w:szCs w:val="9"/>
                <w:color w:val="auto"/>
              </w:rPr>
            </w:pPr>
          </w:p>
        </w:tc>
      </w:tr>
      <w:tr>
        <w:trPr>
          <w:trHeight w:val="115"/>
        </w:trPr>
        <w:tc>
          <w:tcPr>
            <w:tcW w:w="780" w:type="dxa"/>
            <w:vAlign w:val="bottom"/>
            <w:shd w:val="clear" w:color="auto" w:fill="F7F1EC"/>
          </w:tcPr>
          <w:p>
            <w:pPr>
              <w:ind w:left="60"/>
              <w:spacing w:after="0"/>
              <w:rPr>
                <w:sz w:val="20"/>
                <w:szCs w:val="20"/>
                <w:color w:val="auto"/>
              </w:rPr>
            </w:pPr>
            <w:r>
              <w:rPr>
                <w:rFonts w:ascii="Arial" w:cs="Arial" w:eastAsia="Arial" w:hAnsi="Arial"/>
                <w:sz w:val="10"/>
                <w:szCs w:val="10"/>
                <w:color w:val="auto"/>
              </w:rPr>
              <w:t>Date of Equity</w:t>
            </w:r>
          </w:p>
        </w:tc>
        <w:tc>
          <w:tcPr>
            <w:tcW w:w="40" w:type="dxa"/>
            <w:vAlign w:val="bottom"/>
            <w:shd w:val="clear" w:color="auto" w:fill="F7F1EC"/>
          </w:tcPr>
          <w:p>
            <w:pPr>
              <w:spacing w:after="0"/>
              <w:rPr>
                <w:sz w:val="9"/>
                <w:szCs w:val="9"/>
                <w:color w:val="auto"/>
              </w:rPr>
            </w:pPr>
          </w:p>
        </w:tc>
        <w:tc>
          <w:tcPr>
            <w:tcW w:w="660" w:type="dxa"/>
            <w:vAlign w:val="bottom"/>
            <w:shd w:val="clear" w:color="auto" w:fill="F7F1EC"/>
          </w:tcPr>
          <w:p>
            <w:pPr>
              <w:spacing w:after="0"/>
              <w:rPr>
                <w:sz w:val="9"/>
                <w:szCs w:val="9"/>
                <w:color w:val="auto"/>
              </w:rPr>
            </w:pPr>
          </w:p>
        </w:tc>
        <w:tc>
          <w:tcPr>
            <w:tcW w:w="580" w:type="dxa"/>
            <w:vAlign w:val="bottom"/>
            <w:shd w:val="clear" w:color="auto" w:fill="F7F1EC"/>
          </w:tcPr>
          <w:p>
            <w:pPr>
              <w:spacing w:after="0"/>
              <w:rPr>
                <w:sz w:val="9"/>
                <w:szCs w:val="9"/>
                <w:color w:val="auto"/>
              </w:rPr>
            </w:pPr>
          </w:p>
        </w:tc>
        <w:tc>
          <w:tcPr>
            <w:tcW w:w="80" w:type="dxa"/>
            <w:vAlign w:val="bottom"/>
            <w:shd w:val="clear" w:color="auto" w:fill="F7F1EC"/>
          </w:tcPr>
          <w:p>
            <w:pPr>
              <w:spacing w:after="0"/>
              <w:rPr>
                <w:sz w:val="9"/>
                <w:szCs w:val="9"/>
                <w:color w:val="auto"/>
              </w:rPr>
            </w:pPr>
          </w:p>
        </w:tc>
        <w:tc>
          <w:tcPr>
            <w:tcW w:w="40" w:type="dxa"/>
            <w:vAlign w:val="bottom"/>
            <w:shd w:val="clear" w:color="auto" w:fill="F7F1EC"/>
          </w:tcPr>
          <w:p>
            <w:pPr>
              <w:spacing w:after="0"/>
              <w:rPr>
                <w:sz w:val="9"/>
                <w:szCs w:val="9"/>
                <w:color w:val="auto"/>
              </w:rPr>
            </w:pPr>
          </w:p>
        </w:tc>
        <w:tc>
          <w:tcPr>
            <w:tcW w:w="560" w:type="dxa"/>
            <w:vAlign w:val="bottom"/>
            <w:shd w:val="clear" w:color="auto" w:fill="F7F1EC"/>
          </w:tcPr>
          <w:p>
            <w:pPr>
              <w:spacing w:after="0"/>
              <w:rPr>
                <w:sz w:val="9"/>
                <w:szCs w:val="9"/>
                <w:color w:val="auto"/>
              </w:rPr>
            </w:pPr>
          </w:p>
        </w:tc>
        <w:tc>
          <w:tcPr>
            <w:tcW w:w="760" w:type="dxa"/>
            <w:vAlign w:val="bottom"/>
            <w:shd w:val="clear" w:color="auto" w:fill="F7F1EC"/>
          </w:tcPr>
          <w:p>
            <w:pPr>
              <w:spacing w:after="0"/>
              <w:rPr>
                <w:sz w:val="9"/>
                <w:szCs w:val="9"/>
                <w:color w:val="auto"/>
              </w:rPr>
            </w:pPr>
          </w:p>
        </w:tc>
        <w:tc>
          <w:tcPr>
            <w:tcW w:w="560" w:type="dxa"/>
            <w:vAlign w:val="bottom"/>
            <w:shd w:val="clear" w:color="auto" w:fill="F7F1EC"/>
          </w:tcPr>
          <w:p>
            <w:pPr>
              <w:spacing w:after="0"/>
              <w:rPr>
                <w:sz w:val="9"/>
                <w:szCs w:val="9"/>
                <w:color w:val="auto"/>
              </w:rPr>
            </w:pPr>
          </w:p>
        </w:tc>
        <w:tc>
          <w:tcPr>
            <w:tcW w:w="100" w:type="dxa"/>
            <w:vAlign w:val="bottom"/>
            <w:shd w:val="clear" w:color="auto" w:fill="F7F1EC"/>
          </w:tcPr>
          <w:p>
            <w:pPr>
              <w:spacing w:after="0"/>
              <w:rPr>
                <w:sz w:val="9"/>
                <w:szCs w:val="9"/>
                <w:color w:val="auto"/>
              </w:rPr>
            </w:pPr>
          </w:p>
        </w:tc>
        <w:tc>
          <w:tcPr>
            <w:tcW w:w="620" w:type="dxa"/>
            <w:vAlign w:val="bottom"/>
            <w:shd w:val="clear" w:color="auto" w:fill="F7F1EC"/>
          </w:tcPr>
          <w:p>
            <w:pPr>
              <w:spacing w:after="0"/>
              <w:rPr>
                <w:sz w:val="9"/>
                <w:szCs w:val="9"/>
                <w:color w:val="auto"/>
              </w:rPr>
            </w:pPr>
          </w:p>
        </w:tc>
        <w:tc>
          <w:tcPr>
            <w:tcW w:w="580" w:type="dxa"/>
            <w:vAlign w:val="bottom"/>
            <w:shd w:val="clear" w:color="auto" w:fill="F7F1EC"/>
          </w:tcPr>
          <w:p>
            <w:pPr>
              <w:spacing w:after="0"/>
              <w:rPr>
                <w:sz w:val="9"/>
                <w:szCs w:val="9"/>
                <w:color w:val="auto"/>
              </w:rPr>
            </w:pPr>
          </w:p>
        </w:tc>
        <w:tc>
          <w:tcPr>
            <w:tcW w:w="80" w:type="dxa"/>
            <w:vAlign w:val="bottom"/>
            <w:shd w:val="clear" w:color="auto" w:fill="F7F1EC"/>
          </w:tcPr>
          <w:p>
            <w:pPr>
              <w:spacing w:after="0"/>
              <w:rPr>
                <w:sz w:val="9"/>
                <w:szCs w:val="9"/>
                <w:color w:val="auto"/>
              </w:rPr>
            </w:pPr>
          </w:p>
        </w:tc>
        <w:tc>
          <w:tcPr>
            <w:tcW w:w="640" w:type="dxa"/>
            <w:vAlign w:val="bottom"/>
            <w:shd w:val="clear" w:color="auto" w:fill="F7F1EC"/>
          </w:tcPr>
          <w:p>
            <w:pPr>
              <w:spacing w:after="0"/>
              <w:rPr>
                <w:sz w:val="9"/>
                <w:szCs w:val="9"/>
                <w:color w:val="auto"/>
              </w:rPr>
            </w:pPr>
          </w:p>
        </w:tc>
        <w:tc>
          <w:tcPr>
            <w:tcW w:w="560" w:type="dxa"/>
            <w:vAlign w:val="bottom"/>
            <w:shd w:val="clear" w:color="auto" w:fill="F7F1EC"/>
          </w:tcPr>
          <w:p>
            <w:pPr>
              <w:spacing w:after="0"/>
              <w:rPr>
                <w:sz w:val="9"/>
                <w:szCs w:val="9"/>
                <w:color w:val="auto"/>
              </w:rPr>
            </w:pPr>
          </w:p>
        </w:tc>
        <w:tc>
          <w:tcPr>
            <w:tcW w:w="100" w:type="dxa"/>
            <w:vAlign w:val="bottom"/>
            <w:shd w:val="clear" w:color="auto" w:fill="F7F1EC"/>
          </w:tcPr>
          <w:p>
            <w:pPr>
              <w:spacing w:after="0"/>
              <w:rPr>
                <w:sz w:val="9"/>
                <w:szCs w:val="9"/>
                <w:color w:val="auto"/>
              </w:rPr>
            </w:pPr>
          </w:p>
        </w:tc>
        <w:tc>
          <w:tcPr>
            <w:tcW w:w="620" w:type="dxa"/>
            <w:vAlign w:val="bottom"/>
            <w:shd w:val="clear" w:color="auto" w:fill="F7F1EC"/>
          </w:tcPr>
          <w:p>
            <w:pPr>
              <w:spacing w:after="0"/>
              <w:rPr>
                <w:sz w:val="9"/>
                <w:szCs w:val="9"/>
                <w:color w:val="auto"/>
              </w:rPr>
            </w:pPr>
          </w:p>
        </w:tc>
        <w:tc>
          <w:tcPr>
            <w:tcW w:w="560" w:type="dxa"/>
            <w:vAlign w:val="bottom"/>
            <w:shd w:val="clear" w:color="auto" w:fill="F7F1EC"/>
          </w:tcPr>
          <w:p>
            <w:pPr>
              <w:spacing w:after="0"/>
              <w:rPr>
                <w:sz w:val="9"/>
                <w:szCs w:val="9"/>
                <w:color w:val="auto"/>
              </w:rPr>
            </w:pPr>
          </w:p>
        </w:tc>
        <w:tc>
          <w:tcPr>
            <w:tcW w:w="40" w:type="dxa"/>
            <w:vAlign w:val="bottom"/>
            <w:shd w:val="clear" w:color="auto" w:fill="F7F1EC"/>
          </w:tcPr>
          <w:p>
            <w:pPr>
              <w:spacing w:after="0"/>
              <w:rPr>
                <w:sz w:val="9"/>
                <w:szCs w:val="9"/>
                <w:color w:val="auto"/>
              </w:rPr>
            </w:pPr>
          </w:p>
        </w:tc>
      </w:tr>
      <w:tr>
        <w:trPr>
          <w:trHeight w:val="115"/>
        </w:trPr>
        <w:tc>
          <w:tcPr>
            <w:tcW w:w="780" w:type="dxa"/>
            <w:vAlign w:val="bottom"/>
            <w:shd w:val="clear" w:color="auto" w:fill="F7F1EC"/>
          </w:tcPr>
          <w:p>
            <w:pPr>
              <w:ind w:left="60"/>
              <w:spacing w:after="0"/>
              <w:rPr>
                <w:sz w:val="20"/>
                <w:szCs w:val="20"/>
                <w:color w:val="auto"/>
              </w:rPr>
            </w:pPr>
            <w:r>
              <w:rPr>
                <w:rFonts w:ascii="Arial" w:cs="Arial" w:eastAsia="Arial" w:hAnsi="Arial"/>
                <w:sz w:val="10"/>
                <w:szCs w:val="10"/>
                <w:color w:val="auto"/>
              </w:rPr>
              <w:t>Awards</w:t>
            </w:r>
          </w:p>
        </w:tc>
        <w:tc>
          <w:tcPr>
            <w:tcW w:w="40" w:type="dxa"/>
            <w:vAlign w:val="bottom"/>
            <w:shd w:val="clear" w:color="auto" w:fill="F7F1EC"/>
          </w:tcPr>
          <w:p>
            <w:pPr>
              <w:spacing w:after="0"/>
              <w:rPr>
                <w:sz w:val="9"/>
                <w:szCs w:val="9"/>
                <w:color w:val="auto"/>
              </w:rPr>
            </w:pPr>
          </w:p>
        </w:tc>
        <w:tc>
          <w:tcPr>
            <w:tcW w:w="660" w:type="dxa"/>
            <w:vAlign w:val="bottom"/>
            <w:shd w:val="clear" w:color="auto" w:fill="F7F1EC"/>
          </w:tcPr>
          <w:p>
            <w:pPr>
              <w:spacing w:after="0"/>
              <w:rPr>
                <w:sz w:val="9"/>
                <w:szCs w:val="9"/>
                <w:color w:val="auto"/>
              </w:rPr>
            </w:pPr>
          </w:p>
        </w:tc>
        <w:tc>
          <w:tcPr>
            <w:tcW w:w="580" w:type="dxa"/>
            <w:vAlign w:val="bottom"/>
            <w:shd w:val="clear" w:color="auto" w:fill="F7F1EC"/>
          </w:tcPr>
          <w:p>
            <w:pPr>
              <w:spacing w:after="0"/>
              <w:rPr>
                <w:sz w:val="9"/>
                <w:szCs w:val="9"/>
                <w:color w:val="auto"/>
              </w:rPr>
            </w:pPr>
          </w:p>
        </w:tc>
        <w:tc>
          <w:tcPr>
            <w:tcW w:w="80" w:type="dxa"/>
            <w:vAlign w:val="bottom"/>
            <w:shd w:val="clear" w:color="auto" w:fill="F7F1EC"/>
          </w:tcPr>
          <w:p>
            <w:pPr>
              <w:spacing w:after="0"/>
              <w:rPr>
                <w:sz w:val="9"/>
                <w:szCs w:val="9"/>
                <w:color w:val="auto"/>
              </w:rPr>
            </w:pPr>
          </w:p>
        </w:tc>
        <w:tc>
          <w:tcPr>
            <w:tcW w:w="40" w:type="dxa"/>
            <w:vAlign w:val="bottom"/>
            <w:shd w:val="clear" w:color="auto" w:fill="F7F1EC"/>
          </w:tcPr>
          <w:p>
            <w:pPr>
              <w:spacing w:after="0"/>
              <w:rPr>
                <w:sz w:val="9"/>
                <w:szCs w:val="9"/>
                <w:color w:val="auto"/>
              </w:rPr>
            </w:pPr>
          </w:p>
        </w:tc>
        <w:tc>
          <w:tcPr>
            <w:tcW w:w="560" w:type="dxa"/>
            <w:vAlign w:val="bottom"/>
            <w:shd w:val="clear" w:color="auto" w:fill="F7F1EC"/>
          </w:tcPr>
          <w:p>
            <w:pPr>
              <w:spacing w:after="0"/>
              <w:rPr>
                <w:sz w:val="9"/>
                <w:szCs w:val="9"/>
                <w:color w:val="auto"/>
              </w:rPr>
            </w:pPr>
          </w:p>
        </w:tc>
        <w:tc>
          <w:tcPr>
            <w:tcW w:w="760" w:type="dxa"/>
            <w:vAlign w:val="bottom"/>
            <w:shd w:val="clear" w:color="auto" w:fill="F7F1EC"/>
          </w:tcPr>
          <w:p>
            <w:pPr>
              <w:spacing w:after="0"/>
              <w:rPr>
                <w:sz w:val="9"/>
                <w:szCs w:val="9"/>
                <w:color w:val="auto"/>
              </w:rPr>
            </w:pPr>
          </w:p>
        </w:tc>
        <w:tc>
          <w:tcPr>
            <w:tcW w:w="560" w:type="dxa"/>
            <w:vAlign w:val="bottom"/>
            <w:shd w:val="clear" w:color="auto" w:fill="F7F1EC"/>
          </w:tcPr>
          <w:p>
            <w:pPr>
              <w:spacing w:after="0"/>
              <w:rPr>
                <w:sz w:val="9"/>
                <w:szCs w:val="9"/>
                <w:color w:val="auto"/>
              </w:rPr>
            </w:pPr>
          </w:p>
        </w:tc>
        <w:tc>
          <w:tcPr>
            <w:tcW w:w="100" w:type="dxa"/>
            <w:vAlign w:val="bottom"/>
            <w:shd w:val="clear" w:color="auto" w:fill="F7F1EC"/>
          </w:tcPr>
          <w:p>
            <w:pPr>
              <w:spacing w:after="0"/>
              <w:rPr>
                <w:sz w:val="9"/>
                <w:szCs w:val="9"/>
                <w:color w:val="auto"/>
              </w:rPr>
            </w:pPr>
          </w:p>
        </w:tc>
        <w:tc>
          <w:tcPr>
            <w:tcW w:w="620" w:type="dxa"/>
            <w:vAlign w:val="bottom"/>
            <w:shd w:val="clear" w:color="auto" w:fill="F7F1EC"/>
          </w:tcPr>
          <w:p>
            <w:pPr>
              <w:spacing w:after="0"/>
              <w:rPr>
                <w:sz w:val="9"/>
                <w:szCs w:val="9"/>
                <w:color w:val="auto"/>
              </w:rPr>
            </w:pPr>
          </w:p>
        </w:tc>
        <w:tc>
          <w:tcPr>
            <w:tcW w:w="580" w:type="dxa"/>
            <w:vAlign w:val="bottom"/>
            <w:shd w:val="clear" w:color="auto" w:fill="F7F1EC"/>
          </w:tcPr>
          <w:p>
            <w:pPr>
              <w:spacing w:after="0"/>
              <w:rPr>
                <w:sz w:val="9"/>
                <w:szCs w:val="9"/>
                <w:color w:val="auto"/>
              </w:rPr>
            </w:pPr>
          </w:p>
        </w:tc>
        <w:tc>
          <w:tcPr>
            <w:tcW w:w="80" w:type="dxa"/>
            <w:vAlign w:val="bottom"/>
            <w:shd w:val="clear" w:color="auto" w:fill="F7F1EC"/>
          </w:tcPr>
          <w:p>
            <w:pPr>
              <w:spacing w:after="0"/>
              <w:rPr>
                <w:sz w:val="9"/>
                <w:szCs w:val="9"/>
                <w:color w:val="auto"/>
              </w:rPr>
            </w:pPr>
          </w:p>
        </w:tc>
        <w:tc>
          <w:tcPr>
            <w:tcW w:w="640" w:type="dxa"/>
            <w:vAlign w:val="bottom"/>
            <w:shd w:val="clear" w:color="auto" w:fill="F7F1EC"/>
          </w:tcPr>
          <w:p>
            <w:pPr>
              <w:spacing w:after="0"/>
              <w:rPr>
                <w:sz w:val="9"/>
                <w:szCs w:val="9"/>
                <w:color w:val="auto"/>
              </w:rPr>
            </w:pPr>
          </w:p>
        </w:tc>
        <w:tc>
          <w:tcPr>
            <w:tcW w:w="560" w:type="dxa"/>
            <w:vAlign w:val="bottom"/>
            <w:shd w:val="clear" w:color="auto" w:fill="F7F1EC"/>
          </w:tcPr>
          <w:p>
            <w:pPr>
              <w:spacing w:after="0"/>
              <w:rPr>
                <w:sz w:val="9"/>
                <w:szCs w:val="9"/>
                <w:color w:val="auto"/>
              </w:rPr>
            </w:pPr>
          </w:p>
        </w:tc>
        <w:tc>
          <w:tcPr>
            <w:tcW w:w="100" w:type="dxa"/>
            <w:vAlign w:val="bottom"/>
            <w:shd w:val="clear" w:color="auto" w:fill="F7F1EC"/>
          </w:tcPr>
          <w:p>
            <w:pPr>
              <w:spacing w:after="0"/>
              <w:rPr>
                <w:sz w:val="9"/>
                <w:szCs w:val="9"/>
                <w:color w:val="auto"/>
              </w:rPr>
            </w:pPr>
          </w:p>
        </w:tc>
        <w:tc>
          <w:tcPr>
            <w:tcW w:w="620" w:type="dxa"/>
            <w:vAlign w:val="bottom"/>
            <w:shd w:val="clear" w:color="auto" w:fill="F7F1EC"/>
          </w:tcPr>
          <w:p>
            <w:pPr>
              <w:spacing w:after="0"/>
              <w:rPr>
                <w:sz w:val="9"/>
                <w:szCs w:val="9"/>
                <w:color w:val="auto"/>
              </w:rPr>
            </w:pPr>
          </w:p>
        </w:tc>
        <w:tc>
          <w:tcPr>
            <w:tcW w:w="560" w:type="dxa"/>
            <w:vAlign w:val="bottom"/>
            <w:shd w:val="clear" w:color="auto" w:fill="F7F1EC"/>
          </w:tcPr>
          <w:p>
            <w:pPr>
              <w:spacing w:after="0"/>
              <w:rPr>
                <w:sz w:val="9"/>
                <w:szCs w:val="9"/>
                <w:color w:val="auto"/>
              </w:rPr>
            </w:pPr>
          </w:p>
        </w:tc>
        <w:tc>
          <w:tcPr>
            <w:tcW w:w="40" w:type="dxa"/>
            <w:vAlign w:val="bottom"/>
            <w:shd w:val="clear" w:color="auto" w:fill="F7F1EC"/>
          </w:tcPr>
          <w:p>
            <w:pPr>
              <w:spacing w:after="0"/>
              <w:rPr>
                <w:sz w:val="9"/>
                <w:szCs w:val="9"/>
                <w:color w:val="auto"/>
              </w:rPr>
            </w:pPr>
          </w:p>
        </w:tc>
      </w:tr>
      <w:tr>
        <w:trPr>
          <w:trHeight w:val="115"/>
        </w:trPr>
        <w:tc>
          <w:tcPr>
            <w:tcW w:w="780" w:type="dxa"/>
            <w:vAlign w:val="bottom"/>
            <w:shd w:val="clear" w:color="auto" w:fill="F7F1EC"/>
          </w:tcPr>
          <w:p>
            <w:pPr>
              <w:ind w:left="60"/>
              <w:spacing w:after="0"/>
              <w:rPr>
                <w:sz w:val="20"/>
                <w:szCs w:val="20"/>
                <w:color w:val="auto"/>
              </w:rPr>
            </w:pPr>
            <w:r>
              <w:rPr>
                <w:rFonts w:ascii="Arial" w:cs="Arial" w:eastAsia="Arial" w:hAnsi="Arial"/>
                <w:sz w:val="10"/>
                <w:szCs w:val="10"/>
                <w:color w:val="auto"/>
              </w:rPr>
              <w:t>Granted and</w:t>
            </w:r>
          </w:p>
        </w:tc>
        <w:tc>
          <w:tcPr>
            <w:tcW w:w="40" w:type="dxa"/>
            <w:vAlign w:val="bottom"/>
            <w:shd w:val="clear" w:color="auto" w:fill="F7F1EC"/>
          </w:tcPr>
          <w:p>
            <w:pPr>
              <w:spacing w:after="0"/>
              <w:rPr>
                <w:sz w:val="9"/>
                <w:szCs w:val="9"/>
                <w:color w:val="auto"/>
              </w:rPr>
            </w:pPr>
          </w:p>
        </w:tc>
        <w:tc>
          <w:tcPr>
            <w:tcW w:w="660" w:type="dxa"/>
            <w:vAlign w:val="bottom"/>
            <w:shd w:val="clear" w:color="auto" w:fill="F7F1EC"/>
          </w:tcPr>
          <w:p>
            <w:pPr>
              <w:spacing w:after="0"/>
              <w:rPr>
                <w:sz w:val="9"/>
                <w:szCs w:val="9"/>
                <w:color w:val="auto"/>
              </w:rPr>
            </w:pPr>
          </w:p>
        </w:tc>
        <w:tc>
          <w:tcPr>
            <w:tcW w:w="580" w:type="dxa"/>
            <w:vAlign w:val="bottom"/>
            <w:shd w:val="clear" w:color="auto" w:fill="F7F1EC"/>
          </w:tcPr>
          <w:p>
            <w:pPr>
              <w:spacing w:after="0"/>
              <w:rPr>
                <w:sz w:val="9"/>
                <w:szCs w:val="9"/>
                <w:color w:val="auto"/>
              </w:rPr>
            </w:pPr>
          </w:p>
        </w:tc>
        <w:tc>
          <w:tcPr>
            <w:tcW w:w="80" w:type="dxa"/>
            <w:vAlign w:val="bottom"/>
            <w:shd w:val="clear" w:color="auto" w:fill="F7F1EC"/>
          </w:tcPr>
          <w:p>
            <w:pPr>
              <w:spacing w:after="0"/>
              <w:rPr>
                <w:sz w:val="9"/>
                <w:szCs w:val="9"/>
                <w:color w:val="auto"/>
              </w:rPr>
            </w:pPr>
          </w:p>
        </w:tc>
        <w:tc>
          <w:tcPr>
            <w:tcW w:w="40" w:type="dxa"/>
            <w:vAlign w:val="bottom"/>
            <w:shd w:val="clear" w:color="auto" w:fill="F7F1EC"/>
          </w:tcPr>
          <w:p>
            <w:pPr>
              <w:spacing w:after="0"/>
              <w:rPr>
                <w:sz w:val="9"/>
                <w:szCs w:val="9"/>
                <w:color w:val="auto"/>
              </w:rPr>
            </w:pPr>
          </w:p>
        </w:tc>
        <w:tc>
          <w:tcPr>
            <w:tcW w:w="560" w:type="dxa"/>
            <w:vAlign w:val="bottom"/>
            <w:shd w:val="clear" w:color="auto" w:fill="F7F1EC"/>
          </w:tcPr>
          <w:p>
            <w:pPr>
              <w:spacing w:after="0"/>
              <w:rPr>
                <w:sz w:val="9"/>
                <w:szCs w:val="9"/>
                <w:color w:val="auto"/>
              </w:rPr>
            </w:pPr>
          </w:p>
        </w:tc>
        <w:tc>
          <w:tcPr>
            <w:tcW w:w="760" w:type="dxa"/>
            <w:vAlign w:val="bottom"/>
            <w:shd w:val="clear" w:color="auto" w:fill="F7F1EC"/>
          </w:tcPr>
          <w:p>
            <w:pPr>
              <w:spacing w:after="0"/>
              <w:rPr>
                <w:sz w:val="9"/>
                <w:szCs w:val="9"/>
                <w:color w:val="auto"/>
              </w:rPr>
            </w:pPr>
          </w:p>
        </w:tc>
        <w:tc>
          <w:tcPr>
            <w:tcW w:w="560" w:type="dxa"/>
            <w:vAlign w:val="bottom"/>
            <w:shd w:val="clear" w:color="auto" w:fill="F7F1EC"/>
          </w:tcPr>
          <w:p>
            <w:pPr>
              <w:spacing w:after="0"/>
              <w:rPr>
                <w:sz w:val="9"/>
                <w:szCs w:val="9"/>
                <w:color w:val="auto"/>
              </w:rPr>
            </w:pPr>
          </w:p>
        </w:tc>
        <w:tc>
          <w:tcPr>
            <w:tcW w:w="100" w:type="dxa"/>
            <w:vAlign w:val="bottom"/>
            <w:shd w:val="clear" w:color="auto" w:fill="F7F1EC"/>
          </w:tcPr>
          <w:p>
            <w:pPr>
              <w:spacing w:after="0"/>
              <w:rPr>
                <w:sz w:val="9"/>
                <w:szCs w:val="9"/>
                <w:color w:val="auto"/>
              </w:rPr>
            </w:pPr>
          </w:p>
        </w:tc>
        <w:tc>
          <w:tcPr>
            <w:tcW w:w="620" w:type="dxa"/>
            <w:vAlign w:val="bottom"/>
            <w:shd w:val="clear" w:color="auto" w:fill="F7F1EC"/>
          </w:tcPr>
          <w:p>
            <w:pPr>
              <w:spacing w:after="0"/>
              <w:rPr>
                <w:sz w:val="9"/>
                <w:szCs w:val="9"/>
                <w:color w:val="auto"/>
              </w:rPr>
            </w:pPr>
          </w:p>
        </w:tc>
        <w:tc>
          <w:tcPr>
            <w:tcW w:w="580" w:type="dxa"/>
            <w:vAlign w:val="bottom"/>
            <w:shd w:val="clear" w:color="auto" w:fill="F7F1EC"/>
          </w:tcPr>
          <w:p>
            <w:pPr>
              <w:spacing w:after="0"/>
              <w:rPr>
                <w:sz w:val="9"/>
                <w:szCs w:val="9"/>
                <w:color w:val="auto"/>
              </w:rPr>
            </w:pPr>
          </w:p>
        </w:tc>
        <w:tc>
          <w:tcPr>
            <w:tcW w:w="80" w:type="dxa"/>
            <w:vAlign w:val="bottom"/>
            <w:shd w:val="clear" w:color="auto" w:fill="F7F1EC"/>
          </w:tcPr>
          <w:p>
            <w:pPr>
              <w:spacing w:after="0"/>
              <w:rPr>
                <w:sz w:val="9"/>
                <w:szCs w:val="9"/>
                <w:color w:val="auto"/>
              </w:rPr>
            </w:pPr>
          </w:p>
        </w:tc>
        <w:tc>
          <w:tcPr>
            <w:tcW w:w="640" w:type="dxa"/>
            <w:vAlign w:val="bottom"/>
            <w:shd w:val="clear" w:color="auto" w:fill="F7F1EC"/>
          </w:tcPr>
          <w:p>
            <w:pPr>
              <w:spacing w:after="0"/>
              <w:rPr>
                <w:sz w:val="9"/>
                <w:szCs w:val="9"/>
                <w:color w:val="auto"/>
              </w:rPr>
            </w:pPr>
          </w:p>
        </w:tc>
        <w:tc>
          <w:tcPr>
            <w:tcW w:w="560" w:type="dxa"/>
            <w:vAlign w:val="bottom"/>
            <w:shd w:val="clear" w:color="auto" w:fill="F7F1EC"/>
          </w:tcPr>
          <w:p>
            <w:pPr>
              <w:spacing w:after="0"/>
              <w:rPr>
                <w:sz w:val="9"/>
                <w:szCs w:val="9"/>
                <w:color w:val="auto"/>
              </w:rPr>
            </w:pPr>
          </w:p>
        </w:tc>
        <w:tc>
          <w:tcPr>
            <w:tcW w:w="100" w:type="dxa"/>
            <w:vAlign w:val="bottom"/>
            <w:shd w:val="clear" w:color="auto" w:fill="F7F1EC"/>
          </w:tcPr>
          <w:p>
            <w:pPr>
              <w:spacing w:after="0"/>
              <w:rPr>
                <w:sz w:val="9"/>
                <w:szCs w:val="9"/>
                <w:color w:val="auto"/>
              </w:rPr>
            </w:pPr>
          </w:p>
        </w:tc>
        <w:tc>
          <w:tcPr>
            <w:tcW w:w="620" w:type="dxa"/>
            <w:vAlign w:val="bottom"/>
            <w:shd w:val="clear" w:color="auto" w:fill="F7F1EC"/>
          </w:tcPr>
          <w:p>
            <w:pPr>
              <w:spacing w:after="0"/>
              <w:rPr>
                <w:sz w:val="9"/>
                <w:szCs w:val="9"/>
                <w:color w:val="auto"/>
              </w:rPr>
            </w:pPr>
          </w:p>
        </w:tc>
        <w:tc>
          <w:tcPr>
            <w:tcW w:w="560" w:type="dxa"/>
            <w:vAlign w:val="bottom"/>
            <w:shd w:val="clear" w:color="auto" w:fill="F7F1EC"/>
          </w:tcPr>
          <w:p>
            <w:pPr>
              <w:spacing w:after="0"/>
              <w:rPr>
                <w:sz w:val="9"/>
                <w:szCs w:val="9"/>
                <w:color w:val="auto"/>
              </w:rPr>
            </w:pPr>
          </w:p>
        </w:tc>
        <w:tc>
          <w:tcPr>
            <w:tcW w:w="40" w:type="dxa"/>
            <w:vAlign w:val="bottom"/>
            <w:shd w:val="clear" w:color="auto" w:fill="F7F1EC"/>
          </w:tcPr>
          <w:p>
            <w:pPr>
              <w:spacing w:after="0"/>
              <w:rPr>
                <w:sz w:val="9"/>
                <w:szCs w:val="9"/>
                <w:color w:val="auto"/>
              </w:rPr>
            </w:pPr>
          </w:p>
        </w:tc>
      </w:tr>
      <w:tr>
        <w:trPr>
          <w:trHeight w:val="115"/>
        </w:trPr>
        <w:tc>
          <w:tcPr>
            <w:tcW w:w="780" w:type="dxa"/>
            <w:vAlign w:val="bottom"/>
            <w:shd w:val="clear" w:color="auto" w:fill="F7F1EC"/>
          </w:tcPr>
          <w:p>
            <w:pPr>
              <w:ind w:left="60"/>
              <w:spacing w:after="0"/>
              <w:rPr>
                <w:sz w:val="20"/>
                <w:szCs w:val="20"/>
                <w:color w:val="auto"/>
              </w:rPr>
            </w:pPr>
            <w:r>
              <w:rPr>
                <w:rFonts w:ascii="Arial" w:cs="Arial" w:eastAsia="Arial" w:hAnsi="Arial"/>
                <w:sz w:val="10"/>
                <w:szCs w:val="10"/>
                <w:color w:val="auto"/>
              </w:rPr>
              <w:t>Vested in the</w:t>
            </w:r>
          </w:p>
        </w:tc>
        <w:tc>
          <w:tcPr>
            <w:tcW w:w="40" w:type="dxa"/>
            <w:vAlign w:val="bottom"/>
            <w:shd w:val="clear" w:color="auto" w:fill="F7F1EC"/>
          </w:tcPr>
          <w:p>
            <w:pPr>
              <w:spacing w:after="0"/>
              <w:rPr>
                <w:sz w:val="9"/>
                <w:szCs w:val="9"/>
                <w:color w:val="auto"/>
              </w:rPr>
            </w:pPr>
          </w:p>
        </w:tc>
        <w:tc>
          <w:tcPr>
            <w:tcW w:w="660" w:type="dxa"/>
            <w:vAlign w:val="bottom"/>
            <w:shd w:val="clear" w:color="auto" w:fill="F7F1EC"/>
          </w:tcPr>
          <w:p>
            <w:pPr>
              <w:spacing w:after="0"/>
              <w:rPr>
                <w:sz w:val="9"/>
                <w:szCs w:val="9"/>
                <w:color w:val="auto"/>
              </w:rPr>
            </w:pPr>
          </w:p>
        </w:tc>
        <w:tc>
          <w:tcPr>
            <w:tcW w:w="580" w:type="dxa"/>
            <w:vAlign w:val="bottom"/>
            <w:shd w:val="clear" w:color="auto" w:fill="F7F1EC"/>
          </w:tcPr>
          <w:p>
            <w:pPr>
              <w:spacing w:after="0"/>
              <w:rPr>
                <w:sz w:val="9"/>
                <w:szCs w:val="9"/>
                <w:color w:val="auto"/>
              </w:rPr>
            </w:pPr>
          </w:p>
        </w:tc>
        <w:tc>
          <w:tcPr>
            <w:tcW w:w="80" w:type="dxa"/>
            <w:vAlign w:val="bottom"/>
            <w:shd w:val="clear" w:color="auto" w:fill="F7F1EC"/>
          </w:tcPr>
          <w:p>
            <w:pPr>
              <w:spacing w:after="0"/>
              <w:rPr>
                <w:sz w:val="9"/>
                <w:szCs w:val="9"/>
                <w:color w:val="auto"/>
              </w:rPr>
            </w:pPr>
          </w:p>
        </w:tc>
        <w:tc>
          <w:tcPr>
            <w:tcW w:w="40" w:type="dxa"/>
            <w:vAlign w:val="bottom"/>
            <w:shd w:val="clear" w:color="auto" w:fill="F7F1EC"/>
          </w:tcPr>
          <w:p>
            <w:pPr>
              <w:spacing w:after="0"/>
              <w:rPr>
                <w:sz w:val="9"/>
                <w:szCs w:val="9"/>
                <w:color w:val="auto"/>
              </w:rPr>
            </w:pPr>
          </w:p>
        </w:tc>
        <w:tc>
          <w:tcPr>
            <w:tcW w:w="560" w:type="dxa"/>
            <w:vAlign w:val="bottom"/>
            <w:shd w:val="clear" w:color="auto" w:fill="F7F1EC"/>
          </w:tcPr>
          <w:p>
            <w:pPr>
              <w:spacing w:after="0"/>
              <w:rPr>
                <w:sz w:val="9"/>
                <w:szCs w:val="9"/>
                <w:color w:val="auto"/>
              </w:rPr>
            </w:pPr>
          </w:p>
        </w:tc>
        <w:tc>
          <w:tcPr>
            <w:tcW w:w="760" w:type="dxa"/>
            <w:vAlign w:val="bottom"/>
            <w:shd w:val="clear" w:color="auto" w:fill="F7F1EC"/>
          </w:tcPr>
          <w:p>
            <w:pPr>
              <w:spacing w:after="0"/>
              <w:rPr>
                <w:sz w:val="9"/>
                <w:szCs w:val="9"/>
                <w:color w:val="auto"/>
              </w:rPr>
            </w:pPr>
          </w:p>
        </w:tc>
        <w:tc>
          <w:tcPr>
            <w:tcW w:w="560" w:type="dxa"/>
            <w:vAlign w:val="bottom"/>
            <w:shd w:val="clear" w:color="auto" w:fill="F7F1EC"/>
          </w:tcPr>
          <w:p>
            <w:pPr>
              <w:spacing w:after="0"/>
              <w:rPr>
                <w:sz w:val="9"/>
                <w:szCs w:val="9"/>
                <w:color w:val="auto"/>
              </w:rPr>
            </w:pPr>
          </w:p>
        </w:tc>
        <w:tc>
          <w:tcPr>
            <w:tcW w:w="100" w:type="dxa"/>
            <w:vAlign w:val="bottom"/>
            <w:shd w:val="clear" w:color="auto" w:fill="F7F1EC"/>
          </w:tcPr>
          <w:p>
            <w:pPr>
              <w:spacing w:after="0"/>
              <w:rPr>
                <w:sz w:val="9"/>
                <w:szCs w:val="9"/>
                <w:color w:val="auto"/>
              </w:rPr>
            </w:pPr>
          </w:p>
        </w:tc>
        <w:tc>
          <w:tcPr>
            <w:tcW w:w="620" w:type="dxa"/>
            <w:vAlign w:val="bottom"/>
            <w:shd w:val="clear" w:color="auto" w:fill="F7F1EC"/>
          </w:tcPr>
          <w:p>
            <w:pPr>
              <w:spacing w:after="0"/>
              <w:rPr>
                <w:sz w:val="9"/>
                <w:szCs w:val="9"/>
                <w:color w:val="auto"/>
              </w:rPr>
            </w:pPr>
          </w:p>
        </w:tc>
        <w:tc>
          <w:tcPr>
            <w:tcW w:w="580" w:type="dxa"/>
            <w:vAlign w:val="bottom"/>
            <w:shd w:val="clear" w:color="auto" w:fill="F7F1EC"/>
          </w:tcPr>
          <w:p>
            <w:pPr>
              <w:spacing w:after="0"/>
              <w:rPr>
                <w:sz w:val="9"/>
                <w:szCs w:val="9"/>
                <w:color w:val="auto"/>
              </w:rPr>
            </w:pPr>
          </w:p>
        </w:tc>
        <w:tc>
          <w:tcPr>
            <w:tcW w:w="80" w:type="dxa"/>
            <w:vAlign w:val="bottom"/>
            <w:shd w:val="clear" w:color="auto" w:fill="F7F1EC"/>
          </w:tcPr>
          <w:p>
            <w:pPr>
              <w:spacing w:after="0"/>
              <w:rPr>
                <w:sz w:val="9"/>
                <w:szCs w:val="9"/>
                <w:color w:val="auto"/>
              </w:rPr>
            </w:pPr>
          </w:p>
        </w:tc>
        <w:tc>
          <w:tcPr>
            <w:tcW w:w="640" w:type="dxa"/>
            <w:vAlign w:val="bottom"/>
            <w:shd w:val="clear" w:color="auto" w:fill="F7F1EC"/>
          </w:tcPr>
          <w:p>
            <w:pPr>
              <w:spacing w:after="0"/>
              <w:rPr>
                <w:sz w:val="9"/>
                <w:szCs w:val="9"/>
                <w:color w:val="auto"/>
              </w:rPr>
            </w:pPr>
          </w:p>
        </w:tc>
        <w:tc>
          <w:tcPr>
            <w:tcW w:w="560" w:type="dxa"/>
            <w:vAlign w:val="bottom"/>
            <w:shd w:val="clear" w:color="auto" w:fill="F7F1EC"/>
          </w:tcPr>
          <w:p>
            <w:pPr>
              <w:spacing w:after="0"/>
              <w:rPr>
                <w:sz w:val="9"/>
                <w:szCs w:val="9"/>
                <w:color w:val="auto"/>
              </w:rPr>
            </w:pPr>
          </w:p>
        </w:tc>
        <w:tc>
          <w:tcPr>
            <w:tcW w:w="100" w:type="dxa"/>
            <w:vAlign w:val="bottom"/>
            <w:shd w:val="clear" w:color="auto" w:fill="F7F1EC"/>
          </w:tcPr>
          <w:p>
            <w:pPr>
              <w:spacing w:after="0"/>
              <w:rPr>
                <w:sz w:val="9"/>
                <w:szCs w:val="9"/>
                <w:color w:val="auto"/>
              </w:rPr>
            </w:pPr>
          </w:p>
        </w:tc>
        <w:tc>
          <w:tcPr>
            <w:tcW w:w="620" w:type="dxa"/>
            <w:vAlign w:val="bottom"/>
            <w:shd w:val="clear" w:color="auto" w:fill="F7F1EC"/>
          </w:tcPr>
          <w:p>
            <w:pPr>
              <w:spacing w:after="0"/>
              <w:rPr>
                <w:sz w:val="9"/>
                <w:szCs w:val="9"/>
                <w:color w:val="auto"/>
              </w:rPr>
            </w:pPr>
          </w:p>
        </w:tc>
        <w:tc>
          <w:tcPr>
            <w:tcW w:w="560" w:type="dxa"/>
            <w:vAlign w:val="bottom"/>
            <w:shd w:val="clear" w:color="auto" w:fill="F7F1EC"/>
          </w:tcPr>
          <w:p>
            <w:pPr>
              <w:spacing w:after="0"/>
              <w:rPr>
                <w:sz w:val="9"/>
                <w:szCs w:val="9"/>
                <w:color w:val="auto"/>
              </w:rPr>
            </w:pPr>
          </w:p>
        </w:tc>
        <w:tc>
          <w:tcPr>
            <w:tcW w:w="40" w:type="dxa"/>
            <w:vAlign w:val="bottom"/>
            <w:shd w:val="clear" w:color="auto" w:fill="F7F1EC"/>
          </w:tcPr>
          <w:p>
            <w:pPr>
              <w:spacing w:after="0"/>
              <w:rPr>
                <w:sz w:val="9"/>
                <w:szCs w:val="9"/>
                <w:color w:val="auto"/>
              </w:rPr>
            </w:pPr>
          </w:p>
        </w:tc>
      </w:tr>
      <w:tr>
        <w:trPr>
          <w:trHeight w:val="159"/>
        </w:trPr>
        <w:tc>
          <w:tcPr>
            <w:tcW w:w="780" w:type="dxa"/>
            <w:vAlign w:val="bottom"/>
            <w:tcBorders>
              <w:bottom w:val="single" w:sz="8" w:color="F7F1EC"/>
            </w:tcBorders>
            <w:shd w:val="clear" w:color="auto" w:fill="F7F1EC"/>
          </w:tcPr>
          <w:p>
            <w:pPr>
              <w:ind w:left="60"/>
              <w:spacing w:after="0"/>
              <w:rPr>
                <w:sz w:val="20"/>
                <w:szCs w:val="20"/>
                <w:color w:val="auto"/>
              </w:rPr>
            </w:pPr>
            <w:r>
              <w:rPr>
                <w:rFonts w:ascii="Arial" w:cs="Arial" w:eastAsia="Arial" w:hAnsi="Arial"/>
                <w:sz w:val="10"/>
                <w:szCs w:val="10"/>
                <w:color w:val="auto"/>
              </w:rPr>
              <w:t>Covered Year</w:t>
            </w:r>
          </w:p>
        </w:tc>
        <w:tc>
          <w:tcPr>
            <w:tcW w:w="40" w:type="dxa"/>
            <w:vAlign w:val="bottom"/>
            <w:tcBorders>
              <w:bottom w:val="single" w:sz="8" w:color="F7F1EC"/>
            </w:tcBorders>
            <w:shd w:val="clear" w:color="auto" w:fill="F7F1EC"/>
          </w:tcPr>
          <w:p>
            <w:pPr>
              <w:spacing w:after="0"/>
              <w:rPr>
                <w:sz w:val="13"/>
                <w:szCs w:val="13"/>
                <w:color w:val="auto"/>
              </w:rPr>
            </w:pPr>
          </w:p>
        </w:tc>
        <w:tc>
          <w:tcPr>
            <w:tcW w:w="660" w:type="dxa"/>
            <w:vAlign w:val="bottom"/>
            <w:tcBorders>
              <w:bottom w:val="single" w:sz="8" w:color="F7F1EC"/>
            </w:tcBorders>
            <w:shd w:val="clear" w:color="auto" w:fill="F7F1EC"/>
          </w:tcPr>
          <w:p>
            <w:pPr>
              <w:jc w:val="right"/>
              <w:ind w:right="30"/>
              <w:spacing w:after="0"/>
              <w:rPr>
                <w:sz w:val="20"/>
                <w:szCs w:val="20"/>
                <w:color w:val="auto"/>
              </w:rPr>
            </w:pPr>
            <w:r>
              <w:rPr>
                <w:rFonts w:ascii="Arial" w:cs="Arial" w:eastAsia="Arial" w:hAnsi="Arial"/>
                <w:sz w:val="10"/>
                <w:szCs w:val="10"/>
                <w:color w:val="auto"/>
              </w:rPr>
              <w:t>—</w:t>
            </w:r>
          </w:p>
        </w:tc>
        <w:tc>
          <w:tcPr>
            <w:tcW w:w="660" w:type="dxa"/>
            <w:vAlign w:val="bottom"/>
            <w:tcBorders>
              <w:bottom w:val="single" w:sz="8" w:color="F7F1EC"/>
            </w:tcBorders>
            <w:gridSpan w:val="2"/>
            <w:shd w:val="clear" w:color="auto" w:fill="F7F1EC"/>
          </w:tcPr>
          <w:p>
            <w:pPr>
              <w:jc w:val="right"/>
              <w:ind w:right="80"/>
              <w:spacing w:after="0"/>
              <w:rPr>
                <w:sz w:val="20"/>
                <w:szCs w:val="20"/>
                <w:color w:val="auto"/>
              </w:rPr>
            </w:pPr>
            <w:r>
              <w:rPr>
                <w:rFonts w:ascii="Arial" w:cs="Arial" w:eastAsia="Arial" w:hAnsi="Arial"/>
                <w:sz w:val="10"/>
                <w:szCs w:val="10"/>
                <w:color w:val="auto"/>
              </w:rPr>
              <w:t>—</w:t>
            </w:r>
          </w:p>
        </w:tc>
        <w:tc>
          <w:tcPr>
            <w:tcW w:w="40" w:type="dxa"/>
            <w:vAlign w:val="bottom"/>
            <w:tcBorders>
              <w:bottom w:val="single" w:sz="8" w:color="F7F1EC"/>
            </w:tcBorders>
            <w:shd w:val="clear" w:color="auto" w:fill="F7F1EC"/>
          </w:tcPr>
          <w:p>
            <w:pPr>
              <w:spacing w:after="0"/>
              <w:rPr>
                <w:sz w:val="13"/>
                <w:szCs w:val="13"/>
                <w:color w:val="auto"/>
              </w:rPr>
            </w:pPr>
          </w:p>
        </w:tc>
        <w:tc>
          <w:tcPr>
            <w:tcW w:w="560" w:type="dxa"/>
            <w:vAlign w:val="bottom"/>
            <w:tcBorders>
              <w:bottom w:val="single" w:sz="8" w:color="F7F1EC"/>
            </w:tcBorders>
            <w:shd w:val="clear" w:color="auto" w:fill="F7F1EC"/>
          </w:tcPr>
          <w:p>
            <w:pPr>
              <w:jc w:val="right"/>
              <w:spacing w:after="0"/>
              <w:rPr>
                <w:sz w:val="20"/>
                <w:szCs w:val="20"/>
                <w:color w:val="auto"/>
              </w:rPr>
            </w:pPr>
            <w:r>
              <w:rPr>
                <w:rFonts w:ascii="Arial" w:cs="Arial" w:eastAsia="Arial" w:hAnsi="Arial"/>
                <w:sz w:val="10"/>
                <w:szCs w:val="10"/>
                <w:color w:val="auto"/>
              </w:rPr>
              <w:t>—</w:t>
            </w:r>
          </w:p>
        </w:tc>
        <w:tc>
          <w:tcPr>
            <w:tcW w:w="760" w:type="dxa"/>
            <w:vAlign w:val="bottom"/>
            <w:tcBorders>
              <w:bottom w:val="single" w:sz="8" w:color="F7F1EC"/>
            </w:tcBorders>
            <w:shd w:val="clear" w:color="auto" w:fill="F7F1EC"/>
          </w:tcPr>
          <w:p>
            <w:pPr>
              <w:jc w:val="right"/>
              <w:ind w:right="10"/>
              <w:spacing w:after="0"/>
              <w:rPr>
                <w:sz w:val="20"/>
                <w:szCs w:val="20"/>
                <w:color w:val="auto"/>
              </w:rPr>
            </w:pPr>
            <w:r>
              <w:rPr>
                <w:rFonts w:ascii="Arial" w:cs="Arial" w:eastAsia="Arial" w:hAnsi="Arial"/>
                <w:sz w:val="10"/>
                <w:szCs w:val="10"/>
                <w:color w:val="auto"/>
              </w:rPr>
              <w:t>12,004,452</w:t>
            </w:r>
            <w:r>
              <w:rPr>
                <w:rFonts w:ascii="Arial" w:cs="Arial" w:eastAsia="Arial" w:hAnsi="Arial"/>
                <w:sz w:val="6"/>
                <w:szCs w:val="6"/>
                <w:color w:val="auto"/>
              </w:rPr>
              <w:t>(8)</w:t>
            </w:r>
          </w:p>
        </w:tc>
        <w:tc>
          <w:tcPr>
            <w:tcW w:w="560" w:type="dxa"/>
            <w:vAlign w:val="bottom"/>
            <w:tcBorders>
              <w:bottom w:val="single" w:sz="8" w:color="F7F1EC"/>
            </w:tcBorders>
            <w:shd w:val="clear" w:color="auto" w:fill="F7F1EC"/>
          </w:tcPr>
          <w:p>
            <w:pPr>
              <w:jc w:val="right"/>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F7F1EC"/>
            </w:tcBorders>
            <w:shd w:val="clear" w:color="auto" w:fill="F7F1EC"/>
          </w:tcPr>
          <w:p>
            <w:pPr>
              <w:spacing w:after="0"/>
              <w:rPr>
                <w:sz w:val="13"/>
                <w:szCs w:val="13"/>
                <w:color w:val="auto"/>
              </w:rPr>
            </w:pPr>
          </w:p>
        </w:tc>
        <w:tc>
          <w:tcPr>
            <w:tcW w:w="620" w:type="dxa"/>
            <w:vAlign w:val="bottom"/>
            <w:tcBorders>
              <w:bottom w:val="single" w:sz="8" w:color="F7F1EC"/>
            </w:tcBorders>
            <w:shd w:val="clear" w:color="auto" w:fill="F7F1EC"/>
          </w:tcPr>
          <w:p>
            <w:pPr>
              <w:jc w:val="right"/>
              <w:spacing w:after="0"/>
              <w:rPr>
                <w:sz w:val="20"/>
                <w:szCs w:val="20"/>
                <w:color w:val="auto"/>
              </w:rPr>
            </w:pPr>
            <w:r>
              <w:rPr>
                <w:rFonts w:ascii="Arial" w:cs="Arial" w:eastAsia="Arial" w:hAnsi="Arial"/>
                <w:sz w:val="10"/>
                <w:szCs w:val="10"/>
                <w:color w:val="auto"/>
              </w:rPr>
              <w:t>—</w:t>
            </w:r>
          </w:p>
        </w:tc>
        <w:tc>
          <w:tcPr>
            <w:tcW w:w="580" w:type="dxa"/>
            <w:vAlign w:val="bottom"/>
            <w:tcBorders>
              <w:bottom w:val="single" w:sz="8" w:color="F7F1EC"/>
            </w:tcBorders>
            <w:shd w:val="clear" w:color="auto" w:fill="F7F1EC"/>
          </w:tcPr>
          <w:p>
            <w:pPr>
              <w:jc w:val="right"/>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F7F1EC"/>
            </w:tcBorders>
            <w:shd w:val="clear" w:color="auto" w:fill="F7F1EC"/>
          </w:tcPr>
          <w:p>
            <w:pPr>
              <w:spacing w:after="0"/>
              <w:rPr>
                <w:sz w:val="13"/>
                <w:szCs w:val="13"/>
                <w:color w:val="auto"/>
              </w:rPr>
            </w:pPr>
          </w:p>
        </w:tc>
        <w:tc>
          <w:tcPr>
            <w:tcW w:w="640" w:type="dxa"/>
            <w:vAlign w:val="bottom"/>
            <w:tcBorders>
              <w:bottom w:val="single" w:sz="8" w:color="F7F1EC"/>
            </w:tcBorders>
            <w:shd w:val="clear" w:color="auto" w:fill="F7F1EC"/>
          </w:tcPr>
          <w:p>
            <w:pPr>
              <w:jc w:val="right"/>
              <w:ind w:right="11"/>
              <w:spacing w:after="0"/>
              <w:rPr>
                <w:sz w:val="20"/>
                <w:szCs w:val="20"/>
                <w:color w:val="auto"/>
              </w:rPr>
            </w:pPr>
            <w:r>
              <w:rPr>
                <w:rFonts w:ascii="Arial" w:cs="Arial" w:eastAsia="Arial" w:hAnsi="Arial"/>
                <w:sz w:val="10"/>
                <w:szCs w:val="10"/>
                <w:color w:val="auto"/>
              </w:rPr>
              <w:t>—</w:t>
            </w:r>
          </w:p>
        </w:tc>
        <w:tc>
          <w:tcPr>
            <w:tcW w:w="560" w:type="dxa"/>
            <w:vAlign w:val="bottom"/>
            <w:tcBorders>
              <w:bottom w:val="single" w:sz="8" w:color="F7F1EC"/>
            </w:tcBorders>
            <w:shd w:val="clear" w:color="auto" w:fill="F7F1EC"/>
          </w:tcPr>
          <w:p>
            <w:pPr>
              <w:jc w:val="right"/>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F7F1EC"/>
            </w:tcBorders>
            <w:shd w:val="clear" w:color="auto" w:fill="F7F1EC"/>
          </w:tcPr>
          <w:p>
            <w:pPr>
              <w:spacing w:after="0"/>
              <w:rPr>
                <w:sz w:val="13"/>
                <w:szCs w:val="13"/>
                <w:color w:val="auto"/>
              </w:rPr>
            </w:pPr>
          </w:p>
        </w:tc>
        <w:tc>
          <w:tcPr>
            <w:tcW w:w="620" w:type="dxa"/>
            <w:vAlign w:val="bottom"/>
            <w:tcBorders>
              <w:bottom w:val="single" w:sz="8" w:color="F7F1EC"/>
            </w:tcBorders>
            <w:shd w:val="clear" w:color="auto" w:fill="F7F1EC"/>
          </w:tcPr>
          <w:p>
            <w:pPr>
              <w:jc w:val="right"/>
              <w:spacing w:after="0"/>
              <w:rPr>
                <w:sz w:val="20"/>
                <w:szCs w:val="20"/>
                <w:color w:val="auto"/>
              </w:rPr>
            </w:pPr>
            <w:r>
              <w:rPr>
                <w:rFonts w:ascii="Arial" w:cs="Arial" w:eastAsia="Arial" w:hAnsi="Arial"/>
                <w:sz w:val="10"/>
                <w:szCs w:val="10"/>
                <w:color w:val="auto"/>
              </w:rPr>
              <w:t>—</w:t>
            </w:r>
          </w:p>
        </w:tc>
        <w:tc>
          <w:tcPr>
            <w:tcW w:w="600" w:type="dxa"/>
            <w:vAlign w:val="bottom"/>
            <w:tcBorders>
              <w:bottom w:val="single" w:sz="8" w:color="F7F1EC"/>
            </w:tcBorders>
            <w:gridSpan w:val="2"/>
            <w:shd w:val="clear" w:color="auto" w:fill="F7F1EC"/>
          </w:tcPr>
          <w:p>
            <w:pPr>
              <w:jc w:val="right"/>
              <w:ind w:right="40"/>
              <w:spacing w:after="0"/>
              <w:rPr>
                <w:sz w:val="20"/>
                <w:szCs w:val="20"/>
                <w:color w:val="auto"/>
              </w:rPr>
            </w:pPr>
            <w:r>
              <w:rPr>
                <w:rFonts w:ascii="Arial" w:cs="Arial" w:eastAsia="Arial" w:hAnsi="Arial"/>
                <w:sz w:val="10"/>
                <w:szCs w:val="10"/>
                <w:color w:val="auto"/>
              </w:rPr>
              <w:t>—</w:t>
            </w:r>
          </w:p>
        </w:tc>
      </w:tr>
      <w:tr>
        <w:trPr>
          <w:trHeight w:val="178"/>
        </w:trPr>
        <w:tc>
          <w:tcPr>
            <w:tcW w:w="780" w:type="dxa"/>
            <w:vAlign w:val="bottom"/>
          </w:tcPr>
          <w:p>
            <w:pPr>
              <w:ind w:left="60"/>
              <w:spacing w:after="0"/>
              <w:rPr>
                <w:sz w:val="20"/>
                <w:szCs w:val="20"/>
                <w:color w:val="auto"/>
              </w:rPr>
            </w:pPr>
            <w:r>
              <w:rPr>
                <w:rFonts w:ascii="Arial" w:cs="Arial" w:eastAsia="Arial" w:hAnsi="Arial"/>
                <w:sz w:val="10"/>
                <w:szCs w:val="10"/>
                <w:i w:val="1"/>
                <w:iCs w:val="1"/>
                <w:color w:val="auto"/>
              </w:rPr>
              <w:t xml:space="preserve">Plus </w:t>
            </w:r>
            <w:r>
              <w:rPr>
                <w:rFonts w:ascii="Arial" w:cs="Arial" w:eastAsia="Arial" w:hAnsi="Arial"/>
                <w:sz w:val="10"/>
                <w:szCs w:val="10"/>
                <w:color w:val="auto"/>
              </w:rPr>
              <w:t>Change in</w:t>
            </w: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15"/>
        </w:trPr>
        <w:tc>
          <w:tcPr>
            <w:tcW w:w="780" w:type="dxa"/>
            <w:vAlign w:val="bottom"/>
          </w:tcPr>
          <w:p>
            <w:pPr>
              <w:ind w:left="60"/>
              <w:spacing w:after="0"/>
              <w:rPr>
                <w:sz w:val="20"/>
                <w:szCs w:val="20"/>
                <w:color w:val="auto"/>
              </w:rPr>
            </w:pPr>
            <w:r>
              <w:rPr>
                <w:rFonts w:ascii="Arial" w:cs="Arial" w:eastAsia="Arial" w:hAnsi="Arial"/>
                <w:sz w:val="10"/>
                <w:szCs w:val="10"/>
                <w:color w:val="auto"/>
                <w:w w:val="99"/>
              </w:rPr>
              <w:t>Fair Value as of</w:t>
            </w:r>
          </w:p>
        </w:tc>
        <w:tc>
          <w:tcPr>
            <w:tcW w:w="40" w:type="dxa"/>
            <w:vAlign w:val="bottom"/>
          </w:tcPr>
          <w:p>
            <w:pPr>
              <w:spacing w:after="0"/>
              <w:rPr>
                <w:sz w:val="9"/>
                <w:szCs w:val="9"/>
                <w:color w:val="auto"/>
              </w:rPr>
            </w:pPr>
          </w:p>
        </w:tc>
        <w:tc>
          <w:tcPr>
            <w:tcW w:w="66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Pr>
          <w:p>
            <w:pPr>
              <w:spacing w:after="0"/>
              <w:rPr>
                <w:sz w:val="9"/>
                <w:szCs w:val="9"/>
                <w:color w:val="auto"/>
              </w:rPr>
            </w:pPr>
          </w:p>
        </w:tc>
        <w:tc>
          <w:tcPr>
            <w:tcW w:w="7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115"/>
        </w:trPr>
        <w:tc>
          <w:tcPr>
            <w:tcW w:w="780" w:type="dxa"/>
            <w:vAlign w:val="bottom"/>
          </w:tcPr>
          <w:p>
            <w:pPr>
              <w:ind w:left="60"/>
              <w:spacing w:after="0"/>
              <w:rPr>
                <w:sz w:val="20"/>
                <w:szCs w:val="20"/>
                <w:color w:val="auto"/>
              </w:rPr>
            </w:pPr>
            <w:r>
              <w:rPr>
                <w:rFonts w:ascii="Arial" w:cs="Arial" w:eastAsia="Arial" w:hAnsi="Arial"/>
                <w:sz w:val="10"/>
                <w:szCs w:val="10"/>
                <w:color w:val="auto"/>
              </w:rPr>
              <w:t>the Vesting</w:t>
            </w:r>
          </w:p>
        </w:tc>
        <w:tc>
          <w:tcPr>
            <w:tcW w:w="40" w:type="dxa"/>
            <w:vAlign w:val="bottom"/>
          </w:tcPr>
          <w:p>
            <w:pPr>
              <w:spacing w:after="0"/>
              <w:rPr>
                <w:sz w:val="9"/>
                <w:szCs w:val="9"/>
                <w:color w:val="auto"/>
              </w:rPr>
            </w:pPr>
          </w:p>
        </w:tc>
        <w:tc>
          <w:tcPr>
            <w:tcW w:w="66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Pr>
          <w:p>
            <w:pPr>
              <w:spacing w:after="0"/>
              <w:rPr>
                <w:sz w:val="9"/>
                <w:szCs w:val="9"/>
                <w:color w:val="auto"/>
              </w:rPr>
            </w:pPr>
          </w:p>
        </w:tc>
        <w:tc>
          <w:tcPr>
            <w:tcW w:w="7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115"/>
        </w:trPr>
        <w:tc>
          <w:tcPr>
            <w:tcW w:w="780" w:type="dxa"/>
            <w:vAlign w:val="bottom"/>
          </w:tcPr>
          <w:p>
            <w:pPr>
              <w:ind w:left="60"/>
              <w:spacing w:after="0"/>
              <w:rPr>
                <w:sz w:val="20"/>
                <w:szCs w:val="20"/>
                <w:color w:val="auto"/>
              </w:rPr>
            </w:pPr>
            <w:r>
              <w:rPr>
                <w:rFonts w:ascii="Arial" w:cs="Arial" w:eastAsia="Arial" w:hAnsi="Arial"/>
                <w:sz w:val="10"/>
                <w:szCs w:val="10"/>
                <w:color w:val="auto"/>
              </w:rPr>
              <w:t>Date from the</w:t>
            </w:r>
          </w:p>
        </w:tc>
        <w:tc>
          <w:tcPr>
            <w:tcW w:w="40" w:type="dxa"/>
            <w:vAlign w:val="bottom"/>
          </w:tcPr>
          <w:p>
            <w:pPr>
              <w:spacing w:after="0"/>
              <w:rPr>
                <w:sz w:val="9"/>
                <w:szCs w:val="9"/>
                <w:color w:val="auto"/>
              </w:rPr>
            </w:pPr>
          </w:p>
        </w:tc>
        <w:tc>
          <w:tcPr>
            <w:tcW w:w="66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Pr>
          <w:p>
            <w:pPr>
              <w:spacing w:after="0"/>
              <w:rPr>
                <w:sz w:val="9"/>
                <w:szCs w:val="9"/>
                <w:color w:val="auto"/>
              </w:rPr>
            </w:pPr>
          </w:p>
        </w:tc>
        <w:tc>
          <w:tcPr>
            <w:tcW w:w="7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115"/>
        </w:trPr>
        <w:tc>
          <w:tcPr>
            <w:tcW w:w="780" w:type="dxa"/>
            <w:vAlign w:val="bottom"/>
          </w:tcPr>
          <w:p>
            <w:pPr>
              <w:ind w:left="60"/>
              <w:spacing w:after="0"/>
              <w:rPr>
                <w:sz w:val="20"/>
                <w:szCs w:val="20"/>
                <w:color w:val="auto"/>
              </w:rPr>
            </w:pPr>
            <w:r>
              <w:rPr>
                <w:rFonts w:ascii="Arial" w:cs="Arial" w:eastAsia="Arial" w:hAnsi="Arial"/>
                <w:sz w:val="10"/>
                <w:szCs w:val="10"/>
                <w:color w:val="auto"/>
              </w:rPr>
              <w:t>Prior Year End</w:t>
            </w:r>
          </w:p>
        </w:tc>
        <w:tc>
          <w:tcPr>
            <w:tcW w:w="40" w:type="dxa"/>
            <w:vAlign w:val="bottom"/>
          </w:tcPr>
          <w:p>
            <w:pPr>
              <w:spacing w:after="0"/>
              <w:rPr>
                <w:sz w:val="9"/>
                <w:szCs w:val="9"/>
                <w:color w:val="auto"/>
              </w:rPr>
            </w:pPr>
          </w:p>
        </w:tc>
        <w:tc>
          <w:tcPr>
            <w:tcW w:w="66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Pr>
          <w:p>
            <w:pPr>
              <w:spacing w:after="0"/>
              <w:rPr>
                <w:sz w:val="9"/>
                <w:szCs w:val="9"/>
                <w:color w:val="auto"/>
              </w:rPr>
            </w:pPr>
          </w:p>
        </w:tc>
        <w:tc>
          <w:tcPr>
            <w:tcW w:w="7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115"/>
        </w:trPr>
        <w:tc>
          <w:tcPr>
            <w:tcW w:w="780" w:type="dxa"/>
            <w:vAlign w:val="bottom"/>
          </w:tcPr>
          <w:p>
            <w:pPr>
              <w:ind w:left="60"/>
              <w:spacing w:after="0"/>
              <w:rPr>
                <w:sz w:val="20"/>
                <w:szCs w:val="20"/>
                <w:color w:val="auto"/>
              </w:rPr>
            </w:pPr>
            <w:r>
              <w:rPr>
                <w:rFonts w:ascii="Arial" w:cs="Arial" w:eastAsia="Arial" w:hAnsi="Arial"/>
                <w:sz w:val="10"/>
                <w:szCs w:val="10"/>
                <w:color w:val="auto"/>
              </w:rPr>
              <w:t>of Equity</w:t>
            </w:r>
          </w:p>
        </w:tc>
        <w:tc>
          <w:tcPr>
            <w:tcW w:w="40" w:type="dxa"/>
            <w:vAlign w:val="bottom"/>
          </w:tcPr>
          <w:p>
            <w:pPr>
              <w:spacing w:after="0"/>
              <w:rPr>
                <w:sz w:val="9"/>
                <w:szCs w:val="9"/>
                <w:color w:val="auto"/>
              </w:rPr>
            </w:pPr>
          </w:p>
        </w:tc>
        <w:tc>
          <w:tcPr>
            <w:tcW w:w="66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Pr>
          <w:p>
            <w:pPr>
              <w:spacing w:after="0"/>
              <w:rPr>
                <w:sz w:val="9"/>
                <w:szCs w:val="9"/>
                <w:color w:val="auto"/>
              </w:rPr>
            </w:pPr>
          </w:p>
        </w:tc>
        <w:tc>
          <w:tcPr>
            <w:tcW w:w="7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115"/>
        </w:trPr>
        <w:tc>
          <w:tcPr>
            <w:tcW w:w="780" w:type="dxa"/>
            <w:vAlign w:val="bottom"/>
          </w:tcPr>
          <w:p>
            <w:pPr>
              <w:ind w:left="60"/>
              <w:spacing w:after="0"/>
              <w:rPr>
                <w:sz w:val="20"/>
                <w:szCs w:val="20"/>
                <w:color w:val="auto"/>
              </w:rPr>
            </w:pPr>
            <w:r>
              <w:rPr>
                <w:rFonts w:ascii="Arial" w:cs="Arial" w:eastAsia="Arial" w:hAnsi="Arial"/>
                <w:sz w:val="10"/>
                <w:szCs w:val="10"/>
                <w:color w:val="auto"/>
              </w:rPr>
              <w:t>Awards</w:t>
            </w:r>
          </w:p>
        </w:tc>
        <w:tc>
          <w:tcPr>
            <w:tcW w:w="40" w:type="dxa"/>
            <w:vAlign w:val="bottom"/>
          </w:tcPr>
          <w:p>
            <w:pPr>
              <w:spacing w:after="0"/>
              <w:rPr>
                <w:sz w:val="9"/>
                <w:szCs w:val="9"/>
                <w:color w:val="auto"/>
              </w:rPr>
            </w:pPr>
          </w:p>
        </w:tc>
        <w:tc>
          <w:tcPr>
            <w:tcW w:w="66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Pr>
          <w:p>
            <w:pPr>
              <w:spacing w:after="0"/>
              <w:rPr>
                <w:sz w:val="9"/>
                <w:szCs w:val="9"/>
                <w:color w:val="auto"/>
              </w:rPr>
            </w:pPr>
          </w:p>
        </w:tc>
        <w:tc>
          <w:tcPr>
            <w:tcW w:w="7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115"/>
        </w:trPr>
        <w:tc>
          <w:tcPr>
            <w:tcW w:w="780" w:type="dxa"/>
            <w:vAlign w:val="bottom"/>
          </w:tcPr>
          <w:p>
            <w:pPr>
              <w:ind w:left="60"/>
              <w:spacing w:after="0"/>
              <w:rPr>
                <w:sz w:val="20"/>
                <w:szCs w:val="20"/>
                <w:color w:val="auto"/>
              </w:rPr>
            </w:pPr>
            <w:r>
              <w:rPr>
                <w:rFonts w:ascii="Arial" w:cs="Arial" w:eastAsia="Arial" w:hAnsi="Arial"/>
                <w:sz w:val="10"/>
                <w:szCs w:val="10"/>
                <w:color w:val="auto"/>
                <w:w w:val="99"/>
              </w:rPr>
              <w:t>Granted in Prior</w:t>
            </w:r>
          </w:p>
        </w:tc>
        <w:tc>
          <w:tcPr>
            <w:tcW w:w="40" w:type="dxa"/>
            <w:vAlign w:val="bottom"/>
          </w:tcPr>
          <w:p>
            <w:pPr>
              <w:spacing w:after="0"/>
              <w:rPr>
                <w:sz w:val="9"/>
                <w:szCs w:val="9"/>
                <w:color w:val="auto"/>
              </w:rPr>
            </w:pPr>
          </w:p>
        </w:tc>
        <w:tc>
          <w:tcPr>
            <w:tcW w:w="66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Pr>
          <w:p>
            <w:pPr>
              <w:spacing w:after="0"/>
              <w:rPr>
                <w:sz w:val="9"/>
                <w:szCs w:val="9"/>
                <w:color w:val="auto"/>
              </w:rPr>
            </w:pPr>
          </w:p>
        </w:tc>
        <w:tc>
          <w:tcPr>
            <w:tcW w:w="7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115"/>
        </w:trPr>
        <w:tc>
          <w:tcPr>
            <w:tcW w:w="780" w:type="dxa"/>
            <w:vAlign w:val="bottom"/>
          </w:tcPr>
          <w:p>
            <w:pPr>
              <w:ind w:left="60"/>
              <w:spacing w:after="0"/>
              <w:rPr>
                <w:sz w:val="20"/>
                <w:szCs w:val="20"/>
                <w:color w:val="auto"/>
              </w:rPr>
            </w:pPr>
            <w:r>
              <w:rPr>
                <w:rFonts w:ascii="Arial" w:cs="Arial" w:eastAsia="Arial" w:hAnsi="Arial"/>
                <w:sz w:val="10"/>
                <w:szCs w:val="10"/>
                <w:color w:val="auto"/>
              </w:rPr>
              <w:t>Years that</w:t>
            </w:r>
          </w:p>
        </w:tc>
        <w:tc>
          <w:tcPr>
            <w:tcW w:w="40" w:type="dxa"/>
            <w:vAlign w:val="bottom"/>
          </w:tcPr>
          <w:p>
            <w:pPr>
              <w:spacing w:after="0"/>
              <w:rPr>
                <w:sz w:val="9"/>
                <w:szCs w:val="9"/>
                <w:color w:val="auto"/>
              </w:rPr>
            </w:pPr>
          </w:p>
        </w:tc>
        <w:tc>
          <w:tcPr>
            <w:tcW w:w="66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Pr>
          <w:p>
            <w:pPr>
              <w:spacing w:after="0"/>
              <w:rPr>
                <w:sz w:val="9"/>
                <w:szCs w:val="9"/>
                <w:color w:val="auto"/>
              </w:rPr>
            </w:pPr>
          </w:p>
        </w:tc>
        <w:tc>
          <w:tcPr>
            <w:tcW w:w="7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115"/>
        </w:trPr>
        <w:tc>
          <w:tcPr>
            <w:tcW w:w="780" w:type="dxa"/>
            <w:vAlign w:val="bottom"/>
          </w:tcPr>
          <w:p>
            <w:pPr>
              <w:ind w:left="60"/>
              <w:spacing w:after="0"/>
              <w:rPr>
                <w:sz w:val="20"/>
                <w:szCs w:val="20"/>
                <w:color w:val="auto"/>
              </w:rPr>
            </w:pPr>
            <w:r>
              <w:rPr>
                <w:rFonts w:ascii="Arial" w:cs="Arial" w:eastAsia="Arial" w:hAnsi="Arial"/>
                <w:sz w:val="10"/>
                <w:szCs w:val="10"/>
                <w:color w:val="auto"/>
              </w:rPr>
              <w:t>Vested During</w:t>
            </w:r>
          </w:p>
        </w:tc>
        <w:tc>
          <w:tcPr>
            <w:tcW w:w="40" w:type="dxa"/>
            <w:vAlign w:val="bottom"/>
          </w:tcPr>
          <w:p>
            <w:pPr>
              <w:spacing w:after="0"/>
              <w:rPr>
                <w:sz w:val="9"/>
                <w:szCs w:val="9"/>
                <w:color w:val="auto"/>
              </w:rPr>
            </w:pPr>
          </w:p>
        </w:tc>
        <w:tc>
          <w:tcPr>
            <w:tcW w:w="66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Pr>
          <w:p>
            <w:pPr>
              <w:spacing w:after="0"/>
              <w:rPr>
                <w:sz w:val="9"/>
                <w:szCs w:val="9"/>
                <w:color w:val="auto"/>
              </w:rPr>
            </w:pPr>
          </w:p>
        </w:tc>
        <w:tc>
          <w:tcPr>
            <w:tcW w:w="7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115"/>
        </w:trPr>
        <w:tc>
          <w:tcPr>
            <w:tcW w:w="780" w:type="dxa"/>
            <w:vAlign w:val="bottom"/>
          </w:tcPr>
          <w:p>
            <w:pPr>
              <w:ind w:left="60"/>
              <w:spacing w:after="0"/>
              <w:rPr>
                <w:sz w:val="20"/>
                <w:szCs w:val="20"/>
                <w:color w:val="auto"/>
              </w:rPr>
            </w:pPr>
            <w:r>
              <w:rPr>
                <w:rFonts w:ascii="Arial" w:cs="Arial" w:eastAsia="Arial" w:hAnsi="Arial"/>
                <w:sz w:val="10"/>
                <w:szCs w:val="10"/>
                <w:color w:val="auto"/>
              </w:rPr>
              <w:t>the Covered</w:t>
            </w:r>
          </w:p>
        </w:tc>
        <w:tc>
          <w:tcPr>
            <w:tcW w:w="40" w:type="dxa"/>
            <w:vAlign w:val="bottom"/>
          </w:tcPr>
          <w:p>
            <w:pPr>
              <w:spacing w:after="0"/>
              <w:rPr>
                <w:sz w:val="9"/>
                <w:szCs w:val="9"/>
                <w:color w:val="auto"/>
              </w:rPr>
            </w:pPr>
          </w:p>
        </w:tc>
        <w:tc>
          <w:tcPr>
            <w:tcW w:w="66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Pr>
          <w:p>
            <w:pPr>
              <w:spacing w:after="0"/>
              <w:rPr>
                <w:sz w:val="9"/>
                <w:szCs w:val="9"/>
                <w:color w:val="auto"/>
              </w:rPr>
            </w:pPr>
          </w:p>
        </w:tc>
        <w:tc>
          <w:tcPr>
            <w:tcW w:w="7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134"/>
        </w:trPr>
        <w:tc>
          <w:tcPr>
            <w:tcW w:w="780" w:type="dxa"/>
            <w:vAlign w:val="bottom"/>
          </w:tcPr>
          <w:p>
            <w:pPr>
              <w:ind w:left="60"/>
              <w:spacing w:after="0"/>
              <w:rPr>
                <w:sz w:val="20"/>
                <w:szCs w:val="20"/>
                <w:color w:val="auto"/>
              </w:rPr>
            </w:pPr>
            <w:r>
              <w:rPr>
                <w:rFonts w:ascii="Arial" w:cs="Arial" w:eastAsia="Arial" w:hAnsi="Arial"/>
                <w:sz w:val="10"/>
                <w:szCs w:val="10"/>
                <w:color w:val="auto"/>
              </w:rPr>
              <w:t>Year</w:t>
            </w:r>
          </w:p>
        </w:tc>
        <w:tc>
          <w:tcPr>
            <w:tcW w:w="700" w:type="dxa"/>
            <w:vAlign w:val="bottom"/>
            <w:gridSpan w:val="2"/>
          </w:tcPr>
          <w:p>
            <w:pPr>
              <w:jc w:val="right"/>
              <w:ind w:right="30"/>
              <w:spacing w:after="0"/>
              <w:rPr>
                <w:sz w:val="20"/>
                <w:szCs w:val="20"/>
                <w:color w:val="auto"/>
              </w:rPr>
            </w:pPr>
            <w:r>
              <w:rPr>
                <w:rFonts w:ascii="Arial" w:cs="Arial" w:eastAsia="Arial" w:hAnsi="Arial"/>
                <w:sz w:val="10"/>
                <w:szCs w:val="10"/>
                <w:color w:val="auto"/>
              </w:rPr>
              <w:t>373,036</w:t>
            </w:r>
          </w:p>
        </w:tc>
        <w:tc>
          <w:tcPr>
            <w:tcW w:w="580" w:type="dxa"/>
            <w:vAlign w:val="bottom"/>
          </w:tcPr>
          <w:p>
            <w:pPr>
              <w:jc w:val="right"/>
              <w:spacing w:after="0"/>
              <w:rPr>
                <w:sz w:val="20"/>
                <w:szCs w:val="20"/>
                <w:color w:val="auto"/>
              </w:rPr>
            </w:pPr>
            <w:r>
              <w:rPr>
                <w:rFonts w:ascii="Arial" w:cs="Arial" w:eastAsia="Arial" w:hAnsi="Arial"/>
                <w:sz w:val="10"/>
                <w:szCs w:val="10"/>
                <w:color w:val="auto"/>
              </w:rPr>
              <w:t>246,875</w:t>
            </w:r>
          </w:p>
        </w:tc>
        <w:tc>
          <w:tcPr>
            <w:tcW w:w="80" w:type="dxa"/>
            <w:vAlign w:val="bottom"/>
          </w:tcPr>
          <w:p>
            <w:pPr>
              <w:spacing w:after="0"/>
              <w:rPr>
                <w:sz w:val="11"/>
                <w:szCs w:val="11"/>
                <w:color w:val="auto"/>
              </w:rPr>
            </w:pPr>
          </w:p>
        </w:tc>
        <w:tc>
          <w:tcPr>
            <w:tcW w:w="600" w:type="dxa"/>
            <w:vAlign w:val="bottom"/>
            <w:gridSpan w:val="2"/>
          </w:tcPr>
          <w:p>
            <w:pPr>
              <w:jc w:val="right"/>
              <w:spacing w:after="0"/>
              <w:rPr>
                <w:sz w:val="20"/>
                <w:szCs w:val="20"/>
                <w:color w:val="auto"/>
              </w:rPr>
            </w:pPr>
            <w:r>
              <w:rPr>
                <w:rFonts w:ascii="Arial" w:cs="Arial" w:eastAsia="Arial" w:hAnsi="Arial"/>
                <w:sz w:val="10"/>
                <w:szCs w:val="10"/>
                <w:color w:val="auto"/>
              </w:rPr>
              <w:t>561,120</w:t>
            </w:r>
          </w:p>
        </w:tc>
        <w:tc>
          <w:tcPr>
            <w:tcW w:w="760" w:type="dxa"/>
            <w:vAlign w:val="bottom"/>
          </w:tcPr>
          <w:p>
            <w:pPr>
              <w:jc w:val="right"/>
              <w:ind w:right="70"/>
              <w:spacing w:after="0"/>
              <w:rPr>
                <w:sz w:val="20"/>
                <w:szCs w:val="20"/>
                <w:color w:val="auto"/>
              </w:rPr>
            </w:pPr>
            <w:r>
              <w:rPr>
                <w:rFonts w:ascii="Arial" w:cs="Arial" w:eastAsia="Arial" w:hAnsi="Arial"/>
                <w:sz w:val="10"/>
                <w:szCs w:val="10"/>
                <w:color w:val="auto"/>
              </w:rPr>
              <w:t>2,458,912</w:t>
            </w:r>
          </w:p>
        </w:tc>
        <w:tc>
          <w:tcPr>
            <w:tcW w:w="560" w:type="dxa"/>
            <w:vAlign w:val="bottom"/>
          </w:tcPr>
          <w:p>
            <w:pPr>
              <w:jc w:val="right"/>
              <w:spacing w:after="0"/>
              <w:rPr>
                <w:sz w:val="20"/>
                <w:szCs w:val="20"/>
                <w:color w:val="auto"/>
              </w:rPr>
            </w:pPr>
            <w:r>
              <w:rPr>
                <w:rFonts w:ascii="Arial" w:cs="Arial" w:eastAsia="Arial" w:hAnsi="Arial"/>
                <w:sz w:val="10"/>
                <w:szCs w:val="10"/>
                <w:color w:val="auto"/>
              </w:rPr>
              <w:t>264,424</w:t>
            </w:r>
          </w:p>
        </w:tc>
        <w:tc>
          <w:tcPr>
            <w:tcW w:w="720" w:type="dxa"/>
            <w:vAlign w:val="bottom"/>
            <w:gridSpan w:val="2"/>
          </w:tcPr>
          <w:p>
            <w:pPr>
              <w:jc w:val="right"/>
              <w:spacing w:after="0"/>
              <w:rPr>
                <w:sz w:val="20"/>
                <w:szCs w:val="20"/>
                <w:color w:val="auto"/>
              </w:rPr>
            </w:pPr>
            <w:r>
              <w:rPr>
                <w:rFonts w:ascii="Arial" w:cs="Arial" w:eastAsia="Arial" w:hAnsi="Arial"/>
                <w:sz w:val="10"/>
                <w:szCs w:val="10"/>
                <w:color w:val="auto"/>
              </w:rPr>
              <w:t>2,113,353</w:t>
            </w:r>
          </w:p>
        </w:tc>
        <w:tc>
          <w:tcPr>
            <w:tcW w:w="580" w:type="dxa"/>
            <w:vAlign w:val="bottom"/>
          </w:tcPr>
          <w:p>
            <w:pPr>
              <w:jc w:val="right"/>
              <w:spacing w:after="0"/>
              <w:rPr>
                <w:sz w:val="20"/>
                <w:szCs w:val="20"/>
                <w:color w:val="auto"/>
              </w:rPr>
            </w:pPr>
            <w:r>
              <w:rPr>
                <w:rFonts w:ascii="Arial" w:cs="Arial" w:eastAsia="Arial" w:hAnsi="Arial"/>
                <w:sz w:val="10"/>
                <w:szCs w:val="10"/>
                <w:color w:val="auto"/>
              </w:rPr>
              <w:t>374,292</w:t>
            </w:r>
          </w:p>
        </w:tc>
        <w:tc>
          <w:tcPr>
            <w:tcW w:w="720" w:type="dxa"/>
            <w:vAlign w:val="bottom"/>
            <w:gridSpan w:val="2"/>
          </w:tcPr>
          <w:p>
            <w:pPr>
              <w:jc w:val="right"/>
              <w:ind w:right="11"/>
              <w:spacing w:after="0"/>
              <w:rPr>
                <w:sz w:val="20"/>
                <w:szCs w:val="20"/>
                <w:color w:val="auto"/>
              </w:rPr>
            </w:pPr>
            <w:r>
              <w:rPr>
                <w:rFonts w:ascii="Arial" w:cs="Arial" w:eastAsia="Arial" w:hAnsi="Arial"/>
                <w:sz w:val="10"/>
                <w:szCs w:val="10"/>
                <w:color w:val="auto"/>
              </w:rPr>
              <w:t>5,688,154</w:t>
            </w:r>
          </w:p>
        </w:tc>
        <w:tc>
          <w:tcPr>
            <w:tcW w:w="560" w:type="dxa"/>
            <w:vAlign w:val="bottom"/>
          </w:tcPr>
          <w:p>
            <w:pPr>
              <w:jc w:val="right"/>
              <w:spacing w:after="0"/>
              <w:rPr>
                <w:sz w:val="20"/>
                <w:szCs w:val="20"/>
                <w:color w:val="auto"/>
              </w:rPr>
            </w:pPr>
            <w:r>
              <w:rPr>
                <w:rFonts w:ascii="Arial" w:cs="Arial" w:eastAsia="Arial" w:hAnsi="Arial"/>
                <w:sz w:val="10"/>
                <w:szCs w:val="10"/>
                <w:color w:val="auto"/>
              </w:rPr>
              <w:t>605,140</w:t>
            </w:r>
          </w:p>
        </w:tc>
        <w:tc>
          <w:tcPr>
            <w:tcW w:w="720" w:type="dxa"/>
            <w:vAlign w:val="bottom"/>
            <w:gridSpan w:val="2"/>
          </w:tcPr>
          <w:p>
            <w:pPr>
              <w:jc w:val="right"/>
              <w:spacing w:after="0"/>
              <w:rPr>
                <w:sz w:val="20"/>
                <w:szCs w:val="20"/>
                <w:color w:val="auto"/>
              </w:rPr>
            </w:pPr>
            <w:r>
              <w:rPr>
                <w:rFonts w:ascii="Arial" w:cs="Arial" w:eastAsia="Arial" w:hAnsi="Arial"/>
                <w:sz w:val="10"/>
                <w:szCs w:val="10"/>
                <w:color w:val="auto"/>
              </w:rPr>
              <w:t>4,071,387</w:t>
            </w:r>
          </w:p>
        </w:tc>
        <w:tc>
          <w:tcPr>
            <w:tcW w:w="560" w:type="dxa"/>
            <w:vAlign w:val="bottom"/>
          </w:tcPr>
          <w:p>
            <w:pPr>
              <w:jc w:val="right"/>
              <w:spacing w:after="0"/>
              <w:rPr>
                <w:sz w:val="20"/>
                <w:szCs w:val="20"/>
                <w:color w:val="auto"/>
              </w:rPr>
            </w:pPr>
            <w:r>
              <w:rPr>
                <w:rFonts w:ascii="Arial" w:cs="Arial" w:eastAsia="Arial" w:hAnsi="Arial"/>
                <w:sz w:val="10"/>
                <w:szCs w:val="10"/>
                <w:color w:val="auto"/>
              </w:rPr>
              <w:t>410,256</w:t>
            </w:r>
          </w:p>
        </w:tc>
        <w:tc>
          <w:tcPr>
            <w:tcW w:w="40" w:type="dxa"/>
            <w:vAlign w:val="bottom"/>
          </w:tcPr>
          <w:p>
            <w:pPr>
              <w:spacing w:after="0"/>
              <w:rPr>
                <w:sz w:val="11"/>
                <w:szCs w:val="11"/>
                <w:color w:val="auto"/>
              </w:rPr>
            </w:pPr>
          </w:p>
        </w:tc>
      </w:tr>
      <w:tr>
        <w:trPr>
          <w:trHeight w:val="45"/>
        </w:trPr>
        <w:tc>
          <w:tcPr>
            <w:tcW w:w="78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560" w:type="dxa"/>
            <w:vAlign w:val="bottom"/>
          </w:tcPr>
          <w:p>
            <w:pPr>
              <w:spacing w:after="0"/>
              <w:rPr>
                <w:sz w:val="3"/>
                <w:szCs w:val="3"/>
                <w:color w:val="auto"/>
              </w:rPr>
            </w:pPr>
          </w:p>
        </w:tc>
        <w:tc>
          <w:tcPr>
            <w:tcW w:w="7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r>
      <w:tr>
        <w:trPr>
          <w:trHeight w:val="178"/>
        </w:trPr>
        <w:tc>
          <w:tcPr>
            <w:tcW w:w="780" w:type="dxa"/>
            <w:vAlign w:val="bottom"/>
            <w:shd w:val="clear" w:color="auto" w:fill="F7F1EC"/>
          </w:tcPr>
          <w:p>
            <w:pPr>
              <w:ind w:left="60"/>
              <w:spacing w:after="0"/>
              <w:rPr>
                <w:sz w:val="20"/>
                <w:szCs w:val="20"/>
                <w:color w:val="auto"/>
              </w:rPr>
            </w:pPr>
            <w:r>
              <w:rPr>
                <w:rFonts w:ascii="Arial" w:cs="Arial" w:eastAsia="Arial" w:hAnsi="Arial"/>
                <w:sz w:val="10"/>
                <w:szCs w:val="10"/>
                <w:i w:val="1"/>
                <w:iCs w:val="1"/>
                <w:color w:val="auto"/>
              </w:rPr>
              <w:t xml:space="preserve">Minus </w:t>
            </w:r>
            <w:r>
              <w:rPr>
                <w:rFonts w:ascii="Arial" w:cs="Arial" w:eastAsia="Arial" w:hAnsi="Arial"/>
                <w:sz w:val="10"/>
                <w:szCs w:val="10"/>
                <w:color w:val="auto"/>
              </w:rPr>
              <w:t>Fair</w:t>
            </w:r>
          </w:p>
        </w:tc>
        <w:tc>
          <w:tcPr>
            <w:tcW w:w="40" w:type="dxa"/>
            <w:vAlign w:val="bottom"/>
            <w:shd w:val="clear" w:color="auto" w:fill="F7F1EC"/>
          </w:tcPr>
          <w:p>
            <w:pPr>
              <w:spacing w:after="0"/>
              <w:rPr>
                <w:sz w:val="15"/>
                <w:szCs w:val="15"/>
                <w:color w:val="auto"/>
              </w:rPr>
            </w:pPr>
          </w:p>
        </w:tc>
        <w:tc>
          <w:tcPr>
            <w:tcW w:w="660" w:type="dxa"/>
            <w:vAlign w:val="bottom"/>
            <w:shd w:val="clear" w:color="auto" w:fill="F7F1EC"/>
          </w:tcPr>
          <w:p>
            <w:pPr>
              <w:spacing w:after="0"/>
              <w:rPr>
                <w:sz w:val="15"/>
                <w:szCs w:val="15"/>
                <w:color w:val="auto"/>
              </w:rPr>
            </w:pPr>
          </w:p>
        </w:tc>
        <w:tc>
          <w:tcPr>
            <w:tcW w:w="580" w:type="dxa"/>
            <w:vAlign w:val="bottom"/>
            <w:shd w:val="clear" w:color="auto" w:fill="F7F1EC"/>
          </w:tcPr>
          <w:p>
            <w:pPr>
              <w:spacing w:after="0"/>
              <w:rPr>
                <w:sz w:val="15"/>
                <w:szCs w:val="15"/>
                <w:color w:val="auto"/>
              </w:rPr>
            </w:pPr>
          </w:p>
        </w:tc>
        <w:tc>
          <w:tcPr>
            <w:tcW w:w="80" w:type="dxa"/>
            <w:vAlign w:val="bottom"/>
            <w:shd w:val="clear" w:color="auto" w:fill="F7F1EC"/>
          </w:tcPr>
          <w:p>
            <w:pPr>
              <w:spacing w:after="0"/>
              <w:rPr>
                <w:sz w:val="15"/>
                <w:szCs w:val="15"/>
                <w:color w:val="auto"/>
              </w:rPr>
            </w:pPr>
          </w:p>
        </w:tc>
        <w:tc>
          <w:tcPr>
            <w:tcW w:w="40" w:type="dxa"/>
            <w:vAlign w:val="bottom"/>
            <w:shd w:val="clear" w:color="auto" w:fill="F7F1EC"/>
          </w:tcPr>
          <w:p>
            <w:pPr>
              <w:spacing w:after="0"/>
              <w:rPr>
                <w:sz w:val="15"/>
                <w:szCs w:val="15"/>
                <w:color w:val="auto"/>
              </w:rPr>
            </w:pPr>
          </w:p>
        </w:tc>
        <w:tc>
          <w:tcPr>
            <w:tcW w:w="560" w:type="dxa"/>
            <w:vAlign w:val="bottom"/>
            <w:shd w:val="clear" w:color="auto" w:fill="F7F1EC"/>
          </w:tcPr>
          <w:p>
            <w:pPr>
              <w:spacing w:after="0"/>
              <w:rPr>
                <w:sz w:val="15"/>
                <w:szCs w:val="15"/>
                <w:color w:val="auto"/>
              </w:rPr>
            </w:pPr>
          </w:p>
        </w:tc>
        <w:tc>
          <w:tcPr>
            <w:tcW w:w="760" w:type="dxa"/>
            <w:vAlign w:val="bottom"/>
            <w:shd w:val="clear" w:color="auto" w:fill="F7F1EC"/>
          </w:tcPr>
          <w:p>
            <w:pPr>
              <w:spacing w:after="0"/>
              <w:rPr>
                <w:sz w:val="15"/>
                <w:szCs w:val="15"/>
                <w:color w:val="auto"/>
              </w:rPr>
            </w:pPr>
          </w:p>
        </w:tc>
        <w:tc>
          <w:tcPr>
            <w:tcW w:w="560" w:type="dxa"/>
            <w:vAlign w:val="bottom"/>
            <w:shd w:val="clear" w:color="auto" w:fill="F7F1EC"/>
          </w:tcPr>
          <w:p>
            <w:pPr>
              <w:spacing w:after="0"/>
              <w:rPr>
                <w:sz w:val="15"/>
                <w:szCs w:val="15"/>
                <w:color w:val="auto"/>
              </w:rPr>
            </w:pPr>
          </w:p>
        </w:tc>
        <w:tc>
          <w:tcPr>
            <w:tcW w:w="100" w:type="dxa"/>
            <w:vAlign w:val="bottom"/>
            <w:shd w:val="clear" w:color="auto" w:fill="F7F1EC"/>
          </w:tcPr>
          <w:p>
            <w:pPr>
              <w:spacing w:after="0"/>
              <w:rPr>
                <w:sz w:val="15"/>
                <w:szCs w:val="15"/>
                <w:color w:val="auto"/>
              </w:rPr>
            </w:pPr>
          </w:p>
        </w:tc>
        <w:tc>
          <w:tcPr>
            <w:tcW w:w="620" w:type="dxa"/>
            <w:vAlign w:val="bottom"/>
            <w:shd w:val="clear" w:color="auto" w:fill="F7F1EC"/>
          </w:tcPr>
          <w:p>
            <w:pPr>
              <w:spacing w:after="0"/>
              <w:rPr>
                <w:sz w:val="15"/>
                <w:szCs w:val="15"/>
                <w:color w:val="auto"/>
              </w:rPr>
            </w:pPr>
          </w:p>
        </w:tc>
        <w:tc>
          <w:tcPr>
            <w:tcW w:w="580" w:type="dxa"/>
            <w:vAlign w:val="bottom"/>
            <w:shd w:val="clear" w:color="auto" w:fill="F7F1EC"/>
          </w:tcPr>
          <w:p>
            <w:pPr>
              <w:spacing w:after="0"/>
              <w:rPr>
                <w:sz w:val="15"/>
                <w:szCs w:val="15"/>
                <w:color w:val="auto"/>
              </w:rPr>
            </w:pPr>
          </w:p>
        </w:tc>
        <w:tc>
          <w:tcPr>
            <w:tcW w:w="80" w:type="dxa"/>
            <w:vAlign w:val="bottom"/>
            <w:shd w:val="clear" w:color="auto" w:fill="F7F1EC"/>
          </w:tcPr>
          <w:p>
            <w:pPr>
              <w:spacing w:after="0"/>
              <w:rPr>
                <w:sz w:val="15"/>
                <w:szCs w:val="15"/>
                <w:color w:val="auto"/>
              </w:rPr>
            </w:pPr>
          </w:p>
        </w:tc>
        <w:tc>
          <w:tcPr>
            <w:tcW w:w="640" w:type="dxa"/>
            <w:vAlign w:val="bottom"/>
            <w:shd w:val="clear" w:color="auto" w:fill="F7F1EC"/>
          </w:tcPr>
          <w:p>
            <w:pPr>
              <w:spacing w:after="0"/>
              <w:rPr>
                <w:sz w:val="15"/>
                <w:szCs w:val="15"/>
                <w:color w:val="auto"/>
              </w:rPr>
            </w:pPr>
          </w:p>
        </w:tc>
        <w:tc>
          <w:tcPr>
            <w:tcW w:w="560" w:type="dxa"/>
            <w:vAlign w:val="bottom"/>
            <w:shd w:val="clear" w:color="auto" w:fill="F7F1EC"/>
          </w:tcPr>
          <w:p>
            <w:pPr>
              <w:spacing w:after="0"/>
              <w:rPr>
                <w:sz w:val="15"/>
                <w:szCs w:val="15"/>
                <w:color w:val="auto"/>
              </w:rPr>
            </w:pPr>
          </w:p>
        </w:tc>
        <w:tc>
          <w:tcPr>
            <w:tcW w:w="100" w:type="dxa"/>
            <w:vAlign w:val="bottom"/>
            <w:shd w:val="clear" w:color="auto" w:fill="F7F1EC"/>
          </w:tcPr>
          <w:p>
            <w:pPr>
              <w:spacing w:after="0"/>
              <w:rPr>
                <w:sz w:val="15"/>
                <w:szCs w:val="15"/>
                <w:color w:val="auto"/>
              </w:rPr>
            </w:pPr>
          </w:p>
        </w:tc>
        <w:tc>
          <w:tcPr>
            <w:tcW w:w="620" w:type="dxa"/>
            <w:vAlign w:val="bottom"/>
            <w:shd w:val="clear" w:color="auto" w:fill="F7F1EC"/>
          </w:tcPr>
          <w:p>
            <w:pPr>
              <w:spacing w:after="0"/>
              <w:rPr>
                <w:sz w:val="15"/>
                <w:szCs w:val="15"/>
                <w:color w:val="auto"/>
              </w:rPr>
            </w:pPr>
          </w:p>
        </w:tc>
        <w:tc>
          <w:tcPr>
            <w:tcW w:w="560" w:type="dxa"/>
            <w:vAlign w:val="bottom"/>
            <w:shd w:val="clear" w:color="auto" w:fill="F7F1EC"/>
          </w:tcPr>
          <w:p>
            <w:pPr>
              <w:spacing w:after="0"/>
              <w:rPr>
                <w:sz w:val="15"/>
                <w:szCs w:val="15"/>
                <w:color w:val="auto"/>
              </w:rPr>
            </w:pPr>
          </w:p>
        </w:tc>
        <w:tc>
          <w:tcPr>
            <w:tcW w:w="40" w:type="dxa"/>
            <w:vAlign w:val="bottom"/>
            <w:shd w:val="clear" w:color="auto" w:fill="F7F1EC"/>
          </w:tcPr>
          <w:p>
            <w:pPr>
              <w:spacing w:after="0"/>
              <w:rPr>
                <w:sz w:val="15"/>
                <w:szCs w:val="15"/>
                <w:color w:val="auto"/>
              </w:rPr>
            </w:pPr>
          </w:p>
        </w:tc>
      </w:tr>
      <w:tr>
        <w:trPr>
          <w:trHeight w:val="115"/>
        </w:trPr>
        <w:tc>
          <w:tcPr>
            <w:tcW w:w="780" w:type="dxa"/>
            <w:vAlign w:val="bottom"/>
            <w:shd w:val="clear" w:color="auto" w:fill="F7F1EC"/>
          </w:tcPr>
          <w:p>
            <w:pPr>
              <w:ind w:left="60"/>
              <w:spacing w:after="0"/>
              <w:rPr>
                <w:sz w:val="20"/>
                <w:szCs w:val="20"/>
                <w:color w:val="auto"/>
              </w:rPr>
            </w:pPr>
            <w:r>
              <w:rPr>
                <w:rFonts w:ascii="Arial" w:cs="Arial" w:eastAsia="Arial" w:hAnsi="Arial"/>
                <w:sz w:val="10"/>
                <w:szCs w:val="10"/>
                <w:color w:val="auto"/>
              </w:rPr>
              <w:t>Value at the</w:t>
            </w:r>
          </w:p>
        </w:tc>
        <w:tc>
          <w:tcPr>
            <w:tcW w:w="40" w:type="dxa"/>
            <w:vAlign w:val="bottom"/>
            <w:shd w:val="clear" w:color="auto" w:fill="F7F1EC"/>
          </w:tcPr>
          <w:p>
            <w:pPr>
              <w:spacing w:after="0"/>
              <w:rPr>
                <w:sz w:val="9"/>
                <w:szCs w:val="9"/>
                <w:color w:val="auto"/>
              </w:rPr>
            </w:pPr>
          </w:p>
        </w:tc>
        <w:tc>
          <w:tcPr>
            <w:tcW w:w="660" w:type="dxa"/>
            <w:vAlign w:val="bottom"/>
            <w:shd w:val="clear" w:color="auto" w:fill="F7F1EC"/>
          </w:tcPr>
          <w:p>
            <w:pPr>
              <w:spacing w:after="0"/>
              <w:rPr>
                <w:sz w:val="9"/>
                <w:szCs w:val="9"/>
                <w:color w:val="auto"/>
              </w:rPr>
            </w:pPr>
          </w:p>
        </w:tc>
        <w:tc>
          <w:tcPr>
            <w:tcW w:w="580" w:type="dxa"/>
            <w:vAlign w:val="bottom"/>
            <w:shd w:val="clear" w:color="auto" w:fill="F7F1EC"/>
          </w:tcPr>
          <w:p>
            <w:pPr>
              <w:spacing w:after="0"/>
              <w:rPr>
                <w:sz w:val="9"/>
                <w:szCs w:val="9"/>
                <w:color w:val="auto"/>
              </w:rPr>
            </w:pPr>
          </w:p>
        </w:tc>
        <w:tc>
          <w:tcPr>
            <w:tcW w:w="80" w:type="dxa"/>
            <w:vAlign w:val="bottom"/>
            <w:shd w:val="clear" w:color="auto" w:fill="F7F1EC"/>
          </w:tcPr>
          <w:p>
            <w:pPr>
              <w:spacing w:after="0"/>
              <w:rPr>
                <w:sz w:val="9"/>
                <w:szCs w:val="9"/>
                <w:color w:val="auto"/>
              </w:rPr>
            </w:pPr>
          </w:p>
        </w:tc>
        <w:tc>
          <w:tcPr>
            <w:tcW w:w="40" w:type="dxa"/>
            <w:vAlign w:val="bottom"/>
            <w:shd w:val="clear" w:color="auto" w:fill="F7F1EC"/>
          </w:tcPr>
          <w:p>
            <w:pPr>
              <w:spacing w:after="0"/>
              <w:rPr>
                <w:sz w:val="9"/>
                <w:szCs w:val="9"/>
                <w:color w:val="auto"/>
              </w:rPr>
            </w:pPr>
          </w:p>
        </w:tc>
        <w:tc>
          <w:tcPr>
            <w:tcW w:w="560" w:type="dxa"/>
            <w:vAlign w:val="bottom"/>
            <w:shd w:val="clear" w:color="auto" w:fill="F7F1EC"/>
          </w:tcPr>
          <w:p>
            <w:pPr>
              <w:spacing w:after="0"/>
              <w:rPr>
                <w:sz w:val="9"/>
                <w:szCs w:val="9"/>
                <w:color w:val="auto"/>
              </w:rPr>
            </w:pPr>
          </w:p>
        </w:tc>
        <w:tc>
          <w:tcPr>
            <w:tcW w:w="760" w:type="dxa"/>
            <w:vAlign w:val="bottom"/>
            <w:shd w:val="clear" w:color="auto" w:fill="F7F1EC"/>
          </w:tcPr>
          <w:p>
            <w:pPr>
              <w:spacing w:after="0"/>
              <w:rPr>
                <w:sz w:val="9"/>
                <w:szCs w:val="9"/>
                <w:color w:val="auto"/>
              </w:rPr>
            </w:pPr>
          </w:p>
        </w:tc>
        <w:tc>
          <w:tcPr>
            <w:tcW w:w="560" w:type="dxa"/>
            <w:vAlign w:val="bottom"/>
            <w:shd w:val="clear" w:color="auto" w:fill="F7F1EC"/>
          </w:tcPr>
          <w:p>
            <w:pPr>
              <w:spacing w:after="0"/>
              <w:rPr>
                <w:sz w:val="9"/>
                <w:szCs w:val="9"/>
                <w:color w:val="auto"/>
              </w:rPr>
            </w:pPr>
          </w:p>
        </w:tc>
        <w:tc>
          <w:tcPr>
            <w:tcW w:w="100" w:type="dxa"/>
            <w:vAlign w:val="bottom"/>
            <w:shd w:val="clear" w:color="auto" w:fill="F7F1EC"/>
          </w:tcPr>
          <w:p>
            <w:pPr>
              <w:spacing w:after="0"/>
              <w:rPr>
                <w:sz w:val="9"/>
                <w:szCs w:val="9"/>
                <w:color w:val="auto"/>
              </w:rPr>
            </w:pPr>
          </w:p>
        </w:tc>
        <w:tc>
          <w:tcPr>
            <w:tcW w:w="620" w:type="dxa"/>
            <w:vAlign w:val="bottom"/>
            <w:shd w:val="clear" w:color="auto" w:fill="F7F1EC"/>
          </w:tcPr>
          <w:p>
            <w:pPr>
              <w:spacing w:after="0"/>
              <w:rPr>
                <w:sz w:val="9"/>
                <w:szCs w:val="9"/>
                <w:color w:val="auto"/>
              </w:rPr>
            </w:pPr>
          </w:p>
        </w:tc>
        <w:tc>
          <w:tcPr>
            <w:tcW w:w="580" w:type="dxa"/>
            <w:vAlign w:val="bottom"/>
            <w:shd w:val="clear" w:color="auto" w:fill="F7F1EC"/>
          </w:tcPr>
          <w:p>
            <w:pPr>
              <w:spacing w:after="0"/>
              <w:rPr>
                <w:sz w:val="9"/>
                <w:szCs w:val="9"/>
                <w:color w:val="auto"/>
              </w:rPr>
            </w:pPr>
          </w:p>
        </w:tc>
        <w:tc>
          <w:tcPr>
            <w:tcW w:w="80" w:type="dxa"/>
            <w:vAlign w:val="bottom"/>
            <w:shd w:val="clear" w:color="auto" w:fill="F7F1EC"/>
          </w:tcPr>
          <w:p>
            <w:pPr>
              <w:spacing w:after="0"/>
              <w:rPr>
                <w:sz w:val="9"/>
                <w:szCs w:val="9"/>
                <w:color w:val="auto"/>
              </w:rPr>
            </w:pPr>
          </w:p>
        </w:tc>
        <w:tc>
          <w:tcPr>
            <w:tcW w:w="640" w:type="dxa"/>
            <w:vAlign w:val="bottom"/>
            <w:shd w:val="clear" w:color="auto" w:fill="F7F1EC"/>
          </w:tcPr>
          <w:p>
            <w:pPr>
              <w:spacing w:after="0"/>
              <w:rPr>
                <w:sz w:val="9"/>
                <w:szCs w:val="9"/>
                <w:color w:val="auto"/>
              </w:rPr>
            </w:pPr>
          </w:p>
        </w:tc>
        <w:tc>
          <w:tcPr>
            <w:tcW w:w="560" w:type="dxa"/>
            <w:vAlign w:val="bottom"/>
            <w:shd w:val="clear" w:color="auto" w:fill="F7F1EC"/>
          </w:tcPr>
          <w:p>
            <w:pPr>
              <w:spacing w:after="0"/>
              <w:rPr>
                <w:sz w:val="9"/>
                <w:szCs w:val="9"/>
                <w:color w:val="auto"/>
              </w:rPr>
            </w:pPr>
          </w:p>
        </w:tc>
        <w:tc>
          <w:tcPr>
            <w:tcW w:w="100" w:type="dxa"/>
            <w:vAlign w:val="bottom"/>
            <w:shd w:val="clear" w:color="auto" w:fill="F7F1EC"/>
          </w:tcPr>
          <w:p>
            <w:pPr>
              <w:spacing w:after="0"/>
              <w:rPr>
                <w:sz w:val="9"/>
                <w:szCs w:val="9"/>
                <w:color w:val="auto"/>
              </w:rPr>
            </w:pPr>
          </w:p>
        </w:tc>
        <w:tc>
          <w:tcPr>
            <w:tcW w:w="620" w:type="dxa"/>
            <w:vAlign w:val="bottom"/>
            <w:shd w:val="clear" w:color="auto" w:fill="F7F1EC"/>
          </w:tcPr>
          <w:p>
            <w:pPr>
              <w:spacing w:after="0"/>
              <w:rPr>
                <w:sz w:val="9"/>
                <w:szCs w:val="9"/>
                <w:color w:val="auto"/>
              </w:rPr>
            </w:pPr>
          </w:p>
        </w:tc>
        <w:tc>
          <w:tcPr>
            <w:tcW w:w="560" w:type="dxa"/>
            <w:vAlign w:val="bottom"/>
            <w:shd w:val="clear" w:color="auto" w:fill="F7F1EC"/>
          </w:tcPr>
          <w:p>
            <w:pPr>
              <w:spacing w:after="0"/>
              <w:rPr>
                <w:sz w:val="9"/>
                <w:szCs w:val="9"/>
                <w:color w:val="auto"/>
              </w:rPr>
            </w:pPr>
          </w:p>
        </w:tc>
        <w:tc>
          <w:tcPr>
            <w:tcW w:w="40" w:type="dxa"/>
            <w:vAlign w:val="bottom"/>
            <w:shd w:val="clear" w:color="auto" w:fill="F7F1EC"/>
          </w:tcPr>
          <w:p>
            <w:pPr>
              <w:spacing w:after="0"/>
              <w:rPr>
                <w:sz w:val="9"/>
                <w:szCs w:val="9"/>
                <w:color w:val="auto"/>
              </w:rPr>
            </w:pPr>
          </w:p>
        </w:tc>
      </w:tr>
      <w:tr>
        <w:trPr>
          <w:trHeight w:val="115"/>
        </w:trPr>
        <w:tc>
          <w:tcPr>
            <w:tcW w:w="780" w:type="dxa"/>
            <w:vAlign w:val="bottom"/>
            <w:shd w:val="clear" w:color="auto" w:fill="F7F1EC"/>
          </w:tcPr>
          <w:p>
            <w:pPr>
              <w:ind w:left="60"/>
              <w:spacing w:after="0"/>
              <w:rPr>
                <w:sz w:val="20"/>
                <w:szCs w:val="20"/>
                <w:color w:val="auto"/>
              </w:rPr>
            </w:pPr>
            <w:r>
              <w:rPr>
                <w:rFonts w:ascii="Arial" w:cs="Arial" w:eastAsia="Arial" w:hAnsi="Arial"/>
                <w:sz w:val="10"/>
                <w:szCs w:val="10"/>
                <w:color w:val="auto"/>
              </w:rPr>
              <w:t>End of the Prior</w:t>
            </w:r>
          </w:p>
        </w:tc>
        <w:tc>
          <w:tcPr>
            <w:tcW w:w="40" w:type="dxa"/>
            <w:vAlign w:val="bottom"/>
            <w:shd w:val="clear" w:color="auto" w:fill="F7F1EC"/>
          </w:tcPr>
          <w:p>
            <w:pPr>
              <w:spacing w:after="0"/>
              <w:rPr>
                <w:sz w:val="9"/>
                <w:szCs w:val="9"/>
                <w:color w:val="auto"/>
              </w:rPr>
            </w:pPr>
          </w:p>
        </w:tc>
        <w:tc>
          <w:tcPr>
            <w:tcW w:w="660" w:type="dxa"/>
            <w:vAlign w:val="bottom"/>
            <w:shd w:val="clear" w:color="auto" w:fill="F7F1EC"/>
          </w:tcPr>
          <w:p>
            <w:pPr>
              <w:spacing w:after="0"/>
              <w:rPr>
                <w:sz w:val="9"/>
                <w:szCs w:val="9"/>
                <w:color w:val="auto"/>
              </w:rPr>
            </w:pPr>
          </w:p>
        </w:tc>
        <w:tc>
          <w:tcPr>
            <w:tcW w:w="580" w:type="dxa"/>
            <w:vAlign w:val="bottom"/>
            <w:shd w:val="clear" w:color="auto" w:fill="F7F1EC"/>
          </w:tcPr>
          <w:p>
            <w:pPr>
              <w:spacing w:after="0"/>
              <w:rPr>
                <w:sz w:val="9"/>
                <w:szCs w:val="9"/>
                <w:color w:val="auto"/>
              </w:rPr>
            </w:pPr>
          </w:p>
        </w:tc>
        <w:tc>
          <w:tcPr>
            <w:tcW w:w="80" w:type="dxa"/>
            <w:vAlign w:val="bottom"/>
            <w:shd w:val="clear" w:color="auto" w:fill="F7F1EC"/>
          </w:tcPr>
          <w:p>
            <w:pPr>
              <w:spacing w:after="0"/>
              <w:rPr>
                <w:sz w:val="9"/>
                <w:szCs w:val="9"/>
                <w:color w:val="auto"/>
              </w:rPr>
            </w:pPr>
          </w:p>
        </w:tc>
        <w:tc>
          <w:tcPr>
            <w:tcW w:w="40" w:type="dxa"/>
            <w:vAlign w:val="bottom"/>
            <w:shd w:val="clear" w:color="auto" w:fill="F7F1EC"/>
          </w:tcPr>
          <w:p>
            <w:pPr>
              <w:spacing w:after="0"/>
              <w:rPr>
                <w:sz w:val="9"/>
                <w:szCs w:val="9"/>
                <w:color w:val="auto"/>
              </w:rPr>
            </w:pPr>
          </w:p>
        </w:tc>
        <w:tc>
          <w:tcPr>
            <w:tcW w:w="560" w:type="dxa"/>
            <w:vAlign w:val="bottom"/>
            <w:shd w:val="clear" w:color="auto" w:fill="F7F1EC"/>
          </w:tcPr>
          <w:p>
            <w:pPr>
              <w:spacing w:after="0"/>
              <w:rPr>
                <w:sz w:val="9"/>
                <w:szCs w:val="9"/>
                <w:color w:val="auto"/>
              </w:rPr>
            </w:pPr>
          </w:p>
        </w:tc>
        <w:tc>
          <w:tcPr>
            <w:tcW w:w="760" w:type="dxa"/>
            <w:vAlign w:val="bottom"/>
            <w:shd w:val="clear" w:color="auto" w:fill="F7F1EC"/>
          </w:tcPr>
          <w:p>
            <w:pPr>
              <w:spacing w:after="0"/>
              <w:rPr>
                <w:sz w:val="9"/>
                <w:szCs w:val="9"/>
                <w:color w:val="auto"/>
              </w:rPr>
            </w:pPr>
          </w:p>
        </w:tc>
        <w:tc>
          <w:tcPr>
            <w:tcW w:w="560" w:type="dxa"/>
            <w:vAlign w:val="bottom"/>
            <w:shd w:val="clear" w:color="auto" w:fill="F7F1EC"/>
          </w:tcPr>
          <w:p>
            <w:pPr>
              <w:spacing w:after="0"/>
              <w:rPr>
                <w:sz w:val="9"/>
                <w:szCs w:val="9"/>
                <w:color w:val="auto"/>
              </w:rPr>
            </w:pPr>
          </w:p>
        </w:tc>
        <w:tc>
          <w:tcPr>
            <w:tcW w:w="100" w:type="dxa"/>
            <w:vAlign w:val="bottom"/>
            <w:shd w:val="clear" w:color="auto" w:fill="F7F1EC"/>
          </w:tcPr>
          <w:p>
            <w:pPr>
              <w:spacing w:after="0"/>
              <w:rPr>
                <w:sz w:val="9"/>
                <w:szCs w:val="9"/>
                <w:color w:val="auto"/>
              </w:rPr>
            </w:pPr>
          </w:p>
        </w:tc>
        <w:tc>
          <w:tcPr>
            <w:tcW w:w="620" w:type="dxa"/>
            <w:vAlign w:val="bottom"/>
            <w:shd w:val="clear" w:color="auto" w:fill="F7F1EC"/>
          </w:tcPr>
          <w:p>
            <w:pPr>
              <w:spacing w:after="0"/>
              <w:rPr>
                <w:sz w:val="9"/>
                <w:szCs w:val="9"/>
                <w:color w:val="auto"/>
              </w:rPr>
            </w:pPr>
          </w:p>
        </w:tc>
        <w:tc>
          <w:tcPr>
            <w:tcW w:w="580" w:type="dxa"/>
            <w:vAlign w:val="bottom"/>
            <w:shd w:val="clear" w:color="auto" w:fill="F7F1EC"/>
          </w:tcPr>
          <w:p>
            <w:pPr>
              <w:spacing w:after="0"/>
              <w:rPr>
                <w:sz w:val="9"/>
                <w:szCs w:val="9"/>
                <w:color w:val="auto"/>
              </w:rPr>
            </w:pPr>
          </w:p>
        </w:tc>
        <w:tc>
          <w:tcPr>
            <w:tcW w:w="80" w:type="dxa"/>
            <w:vAlign w:val="bottom"/>
            <w:shd w:val="clear" w:color="auto" w:fill="F7F1EC"/>
          </w:tcPr>
          <w:p>
            <w:pPr>
              <w:spacing w:after="0"/>
              <w:rPr>
                <w:sz w:val="9"/>
                <w:szCs w:val="9"/>
                <w:color w:val="auto"/>
              </w:rPr>
            </w:pPr>
          </w:p>
        </w:tc>
        <w:tc>
          <w:tcPr>
            <w:tcW w:w="640" w:type="dxa"/>
            <w:vAlign w:val="bottom"/>
            <w:shd w:val="clear" w:color="auto" w:fill="F7F1EC"/>
          </w:tcPr>
          <w:p>
            <w:pPr>
              <w:spacing w:after="0"/>
              <w:rPr>
                <w:sz w:val="9"/>
                <w:szCs w:val="9"/>
                <w:color w:val="auto"/>
              </w:rPr>
            </w:pPr>
          </w:p>
        </w:tc>
        <w:tc>
          <w:tcPr>
            <w:tcW w:w="560" w:type="dxa"/>
            <w:vAlign w:val="bottom"/>
            <w:shd w:val="clear" w:color="auto" w:fill="F7F1EC"/>
          </w:tcPr>
          <w:p>
            <w:pPr>
              <w:spacing w:after="0"/>
              <w:rPr>
                <w:sz w:val="9"/>
                <w:szCs w:val="9"/>
                <w:color w:val="auto"/>
              </w:rPr>
            </w:pPr>
          </w:p>
        </w:tc>
        <w:tc>
          <w:tcPr>
            <w:tcW w:w="100" w:type="dxa"/>
            <w:vAlign w:val="bottom"/>
            <w:shd w:val="clear" w:color="auto" w:fill="F7F1EC"/>
          </w:tcPr>
          <w:p>
            <w:pPr>
              <w:spacing w:after="0"/>
              <w:rPr>
                <w:sz w:val="9"/>
                <w:szCs w:val="9"/>
                <w:color w:val="auto"/>
              </w:rPr>
            </w:pPr>
          </w:p>
        </w:tc>
        <w:tc>
          <w:tcPr>
            <w:tcW w:w="620" w:type="dxa"/>
            <w:vAlign w:val="bottom"/>
            <w:shd w:val="clear" w:color="auto" w:fill="F7F1EC"/>
          </w:tcPr>
          <w:p>
            <w:pPr>
              <w:spacing w:after="0"/>
              <w:rPr>
                <w:sz w:val="9"/>
                <w:szCs w:val="9"/>
                <w:color w:val="auto"/>
              </w:rPr>
            </w:pPr>
          </w:p>
        </w:tc>
        <w:tc>
          <w:tcPr>
            <w:tcW w:w="560" w:type="dxa"/>
            <w:vAlign w:val="bottom"/>
            <w:shd w:val="clear" w:color="auto" w:fill="F7F1EC"/>
          </w:tcPr>
          <w:p>
            <w:pPr>
              <w:spacing w:after="0"/>
              <w:rPr>
                <w:sz w:val="9"/>
                <w:szCs w:val="9"/>
                <w:color w:val="auto"/>
              </w:rPr>
            </w:pPr>
          </w:p>
        </w:tc>
        <w:tc>
          <w:tcPr>
            <w:tcW w:w="40" w:type="dxa"/>
            <w:vAlign w:val="bottom"/>
            <w:shd w:val="clear" w:color="auto" w:fill="F7F1EC"/>
          </w:tcPr>
          <w:p>
            <w:pPr>
              <w:spacing w:after="0"/>
              <w:rPr>
                <w:sz w:val="9"/>
                <w:szCs w:val="9"/>
                <w:color w:val="auto"/>
              </w:rPr>
            </w:pPr>
          </w:p>
        </w:tc>
      </w:tr>
      <w:tr>
        <w:trPr>
          <w:trHeight w:val="115"/>
        </w:trPr>
        <w:tc>
          <w:tcPr>
            <w:tcW w:w="780" w:type="dxa"/>
            <w:vAlign w:val="bottom"/>
            <w:shd w:val="clear" w:color="auto" w:fill="F7F1EC"/>
          </w:tcPr>
          <w:p>
            <w:pPr>
              <w:ind w:left="60"/>
              <w:spacing w:after="0"/>
              <w:rPr>
                <w:sz w:val="20"/>
                <w:szCs w:val="20"/>
                <w:color w:val="auto"/>
              </w:rPr>
            </w:pPr>
            <w:r>
              <w:rPr>
                <w:rFonts w:ascii="Arial" w:cs="Arial" w:eastAsia="Arial" w:hAnsi="Arial"/>
                <w:sz w:val="10"/>
                <w:szCs w:val="10"/>
                <w:color w:val="auto"/>
              </w:rPr>
              <w:t>Year of Equity</w:t>
            </w:r>
          </w:p>
        </w:tc>
        <w:tc>
          <w:tcPr>
            <w:tcW w:w="40" w:type="dxa"/>
            <w:vAlign w:val="bottom"/>
            <w:shd w:val="clear" w:color="auto" w:fill="F7F1EC"/>
          </w:tcPr>
          <w:p>
            <w:pPr>
              <w:spacing w:after="0"/>
              <w:rPr>
                <w:sz w:val="9"/>
                <w:szCs w:val="9"/>
                <w:color w:val="auto"/>
              </w:rPr>
            </w:pPr>
          </w:p>
        </w:tc>
        <w:tc>
          <w:tcPr>
            <w:tcW w:w="660" w:type="dxa"/>
            <w:vAlign w:val="bottom"/>
            <w:shd w:val="clear" w:color="auto" w:fill="F7F1EC"/>
          </w:tcPr>
          <w:p>
            <w:pPr>
              <w:spacing w:after="0"/>
              <w:rPr>
                <w:sz w:val="9"/>
                <w:szCs w:val="9"/>
                <w:color w:val="auto"/>
              </w:rPr>
            </w:pPr>
          </w:p>
        </w:tc>
        <w:tc>
          <w:tcPr>
            <w:tcW w:w="580" w:type="dxa"/>
            <w:vAlign w:val="bottom"/>
            <w:shd w:val="clear" w:color="auto" w:fill="F7F1EC"/>
          </w:tcPr>
          <w:p>
            <w:pPr>
              <w:spacing w:after="0"/>
              <w:rPr>
                <w:sz w:val="9"/>
                <w:szCs w:val="9"/>
                <w:color w:val="auto"/>
              </w:rPr>
            </w:pPr>
          </w:p>
        </w:tc>
        <w:tc>
          <w:tcPr>
            <w:tcW w:w="80" w:type="dxa"/>
            <w:vAlign w:val="bottom"/>
            <w:shd w:val="clear" w:color="auto" w:fill="F7F1EC"/>
          </w:tcPr>
          <w:p>
            <w:pPr>
              <w:spacing w:after="0"/>
              <w:rPr>
                <w:sz w:val="9"/>
                <w:szCs w:val="9"/>
                <w:color w:val="auto"/>
              </w:rPr>
            </w:pPr>
          </w:p>
        </w:tc>
        <w:tc>
          <w:tcPr>
            <w:tcW w:w="40" w:type="dxa"/>
            <w:vAlign w:val="bottom"/>
            <w:shd w:val="clear" w:color="auto" w:fill="F7F1EC"/>
          </w:tcPr>
          <w:p>
            <w:pPr>
              <w:spacing w:after="0"/>
              <w:rPr>
                <w:sz w:val="9"/>
                <w:szCs w:val="9"/>
                <w:color w:val="auto"/>
              </w:rPr>
            </w:pPr>
          </w:p>
        </w:tc>
        <w:tc>
          <w:tcPr>
            <w:tcW w:w="560" w:type="dxa"/>
            <w:vAlign w:val="bottom"/>
            <w:shd w:val="clear" w:color="auto" w:fill="F7F1EC"/>
          </w:tcPr>
          <w:p>
            <w:pPr>
              <w:spacing w:after="0"/>
              <w:rPr>
                <w:sz w:val="9"/>
                <w:szCs w:val="9"/>
                <w:color w:val="auto"/>
              </w:rPr>
            </w:pPr>
          </w:p>
        </w:tc>
        <w:tc>
          <w:tcPr>
            <w:tcW w:w="760" w:type="dxa"/>
            <w:vAlign w:val="bottom"/>
            <w:shd w:val="clear" w:color="auto" w:fill="F7F1EC"/>
          </w:tcPr>
          <w:p>
            <w:pPr>
              <w:spacing w:after="0"/>
              <w:rPr>
                <w:sz w:val="9"/>
                <w:szCs w:val="9"/>
                <w:color w:val="auto"/>
              </w:rPr>
            </w:pPr>
          </w:p>
        </w:tc>
        <w:tc>
          <w:tcPr>
            <w:tcW w:w="560" w:type="dxa"/>
            <w:vAlign w:val="bottom"/>
            <w:shd w:val="clear" w:color="auto" w:fill="F7F1EC"/>
          </w:tcPr>
          <w:p>
            <w:pPr>
              <w:spacing w:after="0"/>
              <w:rPr>
                <w:sz w:val="9"/>
                <w:szCs w:val="9"/>
                <w:color w:val="auto"/>
              </w:rPr>
            </w:pPr>
          </w:p>
        </w:tc>
        <w:tc>
          <w:tcPr>
            <w:tcW w:w="100" w:type="dxa"/>
            <w:vAlign w:val="bottom"/>
            <w:shd w:val="clear" w:color="auto" w:fill="F7F1EC"/>
          </w:tcPr>
          <w:p>
            <w:pPr>
              <w:spacing w:after="0"/>
              <w:rPr>
                <w:sz w:val="9"/>
                <w:szCs w:val="9"/>
                <w:color w:val="auto"/>
              </w:rPr>
            </w:pPr>
          </w:p>
        </w:tc>
        <w:tc>
          <w:tcPr>
            <w:tcW w:w="620" w:type="dxa"/>
            <w:vAlign w:val="bottom"/>
            <w:shd w:val="clear" w:color="auto" w:fill="F7F1EC"/>
          </w:tcPr>
          <w:p>
            <w:pPr>
              <w:spacing w:after="0"/>
              <w:rPr>
                <w:sz w:val="9"/>
                <w:szCs w:val="9"/>
                <w:color w:val="auto"/>
              </w:rPr>
            </w:pPr>
          </w:p>
        </w:tc>
        <w:tc>
          <w:tcPr>
            <w:tcW w:w="580" w:type="dxa"/>
            <w:vAlign w:val="bottom"/>
            <w:shd w:val="clear" w:color="auto" w:fill="F7F1EC"/>
          </w:tcPr>
          <w:p>
            <w:pPr>
              <w:spacing w:after="0"/>
              <w:rPr>
                <w:sz w:val="9"/>
                <w:szCs w:val="9"/>
                <w:color w:val="auto"/>
              </w:rPr>
            </w:pPr>
          </w:p>
        </w:tc>
        <w:tc>
          <w:tcPr>
            <w:tcW w:w="80" w:type="dxa"/>
            <w:vAlign w:val="bottom"/>
            <w:shd w:val="clear" w:color="auto" w:fill="F7F1EC"/>
          </w:tcPr>
          <w:p>
            <w:pPr>
              <w:spacing w:after="0"/>
              <w:rPr>
                <w:sz w:val="9"/>
                <w:szCs w:val="9"/>
                <w:color w:val="auto"/>
              </w:rPr>
            </w:pPr>
          </w:p>
        </w:tc>
        <w:tc>
          <w:tcPr>
            <w:tcW w:w="640" w:type="dxa"/>
            <w:vAlign w:val="bottom"/>
            <w:shd w:val="clear" w:color="auto" w:fill="F7F1EC"/>
          </w:tcPr>
          <w:p>
            <w:pPr>
              <w:spacing w:after="0"/>
              <w:rPr>
                <w:sz w:val="9"/>
                <w:szCs w:val="9"/>
                <w:color w:val="auto"/>
              </w:rPr>
            </w:pPr>
          </w:p>
        </w:tc>
        <w:tc>
          <w:tcPr>
            <w:tcW w:w="560" w:type="dxa"/>
            <w:vAlign w:val="bottom"/>
            <w:shd w:val="clear" w:color="auto" w:fill="F7F1EC"/>
          </w:tcPr>
          <w:p>
            <w:pPr>
              <w:spacing w:after="0"/>
              <w:rPr>
                <w:sz w:val="9"/>
                <w:szCs w:val="9"/>
                <w:color w:val="auto"/>
              </w:rPr>
            </w:pPr>
          </w:p>
        </w:tc>
        <w:tc>
          <w:tcPr>
            <w:tcW w:w="100" w:type="dxa"/>
            <w:vAlign w:val="bottom"/>
            <w:shd w:val="clear" w:color="auto" w:fill="F7F1EC"/>
          </w:tcPr>
          <w:p>
            <w:pPr>
              <w:spacing w:after="0"/>
              <w:rPr>
                <w:sz w:val="9"/>
                <w:szCs w:val="9"/>
                <w:color w:val="auto"/>
              </w:rPr>
            </w:pPr>
          </w:p>
        </w:tc>
        <w:tc>
          <w:tcPr>
            <w:tcW w:w="620" w:type="dxa"/>
            <w:vAlign w:val="bottom"/>
            <w:shd w:val="clear" w:color="auto" w:fill="F7F1EC"/>
          </w:tcPr>
          <w:p>
            <w:pPr>
              <w:spacing w:after="0"/>
              <w:rPr>
                <w:sz w:val="9"/>
                <w:szCs w:val="9"/>
                <w:color w:val="auto"/>
              </w:rPr>
            </w:pPr>
          </w:p>
        </w:tc>
        <w:tc>
          <w:tcPr>
            <w:tcW w:w="560" w:type="dxa"/>
            <w:vAlign w:val="bottom"/>
            <w:shd w:val="clear" w:color="auto" w:fill="F7F1EC"/>
          </w:tcPr>
          <w:p>
            <w:pPr>
              <w:spacing w:after="0"/>
              <w:rPr>
                <w:sz w:val="9"/>
                <w:szCs w:val="9"/>
                <w:color w:val="auto"/>
              </w:rPr>
            </w:pPr>
          </w:p>
        </w:tc>
        <w:tc>
          <w:tcPr>
            <w:tcW w:w="40" w:type="dxa"/>
            <w:vAlign w:val="bottom"/>
            <w:shd w:val="clear" w:color="auto" w:fill="F7F1EC"/>
          </w:tcPr>
          <w:p>
            <w:pPr>
              <w:spacing w:after="0"/>
              <w:rPr>
                <w:sz w:val="9"/>
                <w:szCs w:val="9"/>
                <w:color w:val="auto"/>
              </w:rPr>
            </w:pPr>
          </w:p>
        </w:tc>
      </w:tr>
      <w:tr>
        <w:trPr>
          <w:trHeight w:val="115"/>
        </w:trPr>
        <w:tc>
          <w:tcPr>
            <w:tcW w:w="780" w:type="dxa"/>
            <w:vAlign w:val="bottom"/>
            <w:shd w:val="clear" w:color="auto" w:fill="F7F1EC"/>
          </w:tcPr>
          <w:p>
            <w:pPr>
              <w:ind w:left="60"/>
              <w:spacing w:after="0"/>
              <w:rPr>
                <w:sz w:val="20"/>
                <w:szCs w:val="20"/>
                <w:color w:val="auto"/>
              </w:rPr>
            </w:pPr>
            <w:r>
              <w:rPr>
                <w:rFonts w:ascii="Arial" w:cs="Arial" w:eastAsia="Arial" w:hAnsi="Arial"/>
                <w:sz w:val="10"/>
                <w:szCs w:val="10"/>
                <w:color w:val="auto"/>
              </w:rPr>
              <w:t>Awards that</w:t>
            </w:r>
          </w:p>
        </w:tc>
        <w:tc>
          <w:tcPr>
            <w:tcW w:w="40" w:type="dxa"/>
            <w:vAlign w:val="bottom"/>
            <w:shd w:val="clear" w:color="auto" w:fill="F7F1EC"/>
          </w:tcPr>
          <w:p>
            <w:pPr>
              <w:spacing w:after="0"/>
              <w:rPr>
                <w:sz w:val="9"/>
                <w:szCs w:val="9"/>
                <w:color w:val="auto"/>
              </w:rPr>
            </w:pPr>
          </w:p>
        </w:tc>
        <w:tc>
          <w:tcPr>
            <w:tcW w:w="660" w:type="dxa"/>
            <w:vAlign w:val="bottom"/>
            <w:shd w:val="clear" w:color="auto" w:fill="F7F1EC"/>
          </w:tcPr>
          <w:p>
            <w:pPr>
              <w:spacing w:after="0"/>
              <w:rPr>
                <w:sz w:val="9"/>
                <w:szCs w:val="9"/>
                <w:color w:val="auto"/>
              </w:rPr>
            </w:pPr>
          </w:p>
        </w:tc>
        <w:tc>
          <w:tcPr>
            <w:tcW w:w="580" w:type="dxa"/>
            <w:vAlign w:val="bottom"/>
            <w:shd w:val="clear" w:color="auto" w:fill="F7F1EC"/>
          </w:tcPr>
          <w:p>
            <w:pPr>
              <w:spacing w:after="0"/>
              <w:rPr>
                <w:sz w:val="9"/>
                <w:szCs w:val="9"/>
                <w:color w:val="auto"/>
              </w:rPr>
            </w:pPr>
          </w:p>
        </w:tc>
        <w:tc>
          <w:tcPr>
            <w:tcW w:w="80" w:type="dxa"/>
            <w:vAlign w:val="bottom"/>
            <w:shd w:val="clear" w:color="auto" w:fill="F7F1EC"/>
          </w:tcPr>
          <w:p>
            <w:pPr>
              <w:spacing w:after="0"/>
              <w:rPr>
                <w:sz w:val="9"/>
                <w:szCs w:val="9"/>
                <w:color w:val="auto"/>
              </w:rPr>
            </w:pPr>
          </w:p>
        </w:tc>
        <w:tc>
          <w:tcPr>
            <w:tcW w:w="40" w:type="dxa"/>
            <w:vAlign w:val="bottom"/>
            <w:shd w:val="clear" w:color="auto" w:fill="F7F1EC"/>
          </w:tcPr>
          <w:p>
            <w:pPr>
              <w:spacing w:after="0"/>
              <w:rPr>
                <w:sz w:val="9"/>
                <w:szCs w:val="9"/>
                <w:color w:val="auto"/>
              </w:rPr>
            </w:pPr>
          </w:p>
        </w:tc>
        <w:tc>
          <w:tcPr>
            <w:tcW w:w="560" w:type="dxa"/>
            <w:vAlign w:val="bottom"/>
            <w:shd w:val="clear" w:color="auto" w:fill="F7F1EC"/>
          </w:tcPr>
          <w:p>
            <w:pPr>
              <w:spacing w:after="0"/>
              <w:rPr>
                <w:sz w:val="9"/>
                <w:szCs w:val="9"/>
                <w:color w:val="auto"/>
              </w:rPr>
            </w:pPr>
          </w:p>
        </w:tc>
        <w:tc>
          <w:tcPr>
            <w:tcW w:w="760" w:type="dxa"/>
            <w:vAlign w:val="bottom"/>
            <w:shd w:val="clear" w:color="auto" w:fill="F7F1EC"/>
          </w:tcPr>
          <w:p>
            <w:pPr>
              <w:spacing w:after="0"/>
              <w:rPr>
                <w:sz w:val="9"/>
                <w:szCs w:val="9"/>
                <w:color w:val="auto"/>
              </w:rPr>
            </w:pPr>
          </w:p>
        </w:tc>
        <w:tc>
          <w:tcPr>
            <w:tcW w:w="560" w:type="dxa"/>
            <w:vAlign w:val="bottom"/>
            <w:shd w:val="clear" w:color="auto" w:fill="F7F1EC"/>
          </w:tcPr>
          <w:p>
            <w:pPr>
              <w:spacing w:after="0"/>
              <w:rPr>
                <w:sz w:val="9"/>
                <w:szCs w:val="9"/>
                <w:color w:val="auto"/>
              </w:rPr>
            </w:pPr>
          </w:p>
        </w:tc>
        <w:tc>
          <w:tcPr>
            <w:tcW w:w="100" w:type="dxa"/>
            <w:vAlign w:val="bottom"/>
            <w:shd w:val="clear" w:color="auto" w:fill="F7F1EC"/>
          </w:tcPr>
          <w:p>
            <w:pPr>
              <w:spacing w:after="0"/>
              <w:rPr>
                <w:sz w:val="9"/>
                <w:szCs w:val="9"/>
                <w:color w:val="auto"/>
              </w:rPr>
            </w:pPr>
          </w:p>
        </w:tc>
        <w:tc>
          <w:tcPr>
            <w:tcW w:w="620" w:type="dxa"/>
            <w:vAlign w:val="bottom"/>
            <w:shd w:val="clear" w:color="auto" w:fill="F7F1EC"/>
          </w:tcPr>
          <w:p>
            <w:pPr>
              <w:spacing w:after="0"/>
              <w:rPr>
                <w:sz w:val="9"/>
                <w:szCs w:val="9"/>
                <w:color w:val="auto"/>
              </w:rPr>
            </w:pPr>
          </w:p>
        </w:tc>
        <w:tc>
          <w:tcPr>
            <w:tcW w:w="580" w:type="dxa"/>
            <w:vAlign w:val="bottom"/>
            <w:shd w:val="clear" w:color="auto" w:fill="F7F1EC"/>
          </w:tcPr>
          <w:p>
            <w:pPr>
              <w:spacing w:after="0"/>
              <w:rPr>
                <w:sz w:val="9"/>
                <w:szCs w:val="9"/>
                <w:color w:val="auto"/>
              </w:rPr>
            </w:pPr>
          </w:p>
        </w:tc>
        <w:tc>
          <w:tcPr>
            <w:tcW w:w="80" w:type="dxa"/>
            <w:vAlign w:val="bottom"/>
            <w:shd w:val="clear" w:color="auto" w:fill="F7F1EC"/>
          </w:tcPr>
          <w:p>
            <w:pPr>
              <w:spacing w:after="0"/>
              <w:rPr>
                <w:sz w:val="9"/>
                <w:szCs w:val="9"/>
                <w:color w:val="auto"/>
              </w:rPr>
            </w:pPr>
          </w:p>
        </w:tc>
        <w:tc>
          <w:tcPr>
            <w:tcW w:w="640" w:type="dxa"/>
            <w:vAlign w:val="bottom"/>
            <w:shd w:val="clear" w:color="auto" w:fill="F7F1EC"/>
          </w:tcPr>
          <w:p>
            <w:pPr>
              <w:spacing w:after="0"/>
              <w:rPr>
                <w:sz w:val="9"/>
                <w:szCs w:val="9"/>
                <w:color w:val="auto"/>
              </w:rPr>
            </w:pPr>
          </w:p>
        </w:tc>
        <w:tc>
          <w:tcPr>
            <w:tcW w:w="560" w:type="dxa"/>
            <w:vAlign w:val="bottom"/>
            <w:shd w:val="clear" w:color="auto" w:fill="F7F1EC"/>
          </w:tcPr>
          <w:p>
            <w:pPr>
              <w:spacing w:after="0"/>
              <w:rPr>
                <w:sz w:val="9"/>
                <w:szCs w:val="9"/>
                <w:color w:val="auto"/>
              </w:rPr>
            </w:pPr>
          </w:p>
        </w:tc>
        <w:tc>
          <w:tcPr>
            <w:tcW w:w="100" w:type="dxa"/>
            <w:vAlign w:val="bottom"/>
            <w:shd w:val="clear" w:color="auto" w:fill="F7F1EC"/>
          </w:tcPr>
          <w:p>
            <w:pPr>
              <w:spacing w:after="0"/>
              <w:rPr>
                <w:sz w:val="9"/>
                <w:szCs w:val="9"/>
                <w:color w:val="auto"/>
              </w:rPr>
            </w:pPr>
          </w:p>
        </w:tc>
        <w:tc>
          <w:tcPr>
            <w:tcW w:w="620" w:type="dxa"/>
            <w:vAlign w:val="bottom"/>
            <w:shd w:val="clear" w:color="auto" w:fill="F7F1EC"/>
          </w:tcPr>
          <w:p>
            <w:pPr>
              <w:spacing w:after="0"/>
              <w:rPr>
                <w:sz w:val="9"/>
                <w:szCs w:val="9"/>
                <w:color w:val="auto"/>
              </w:rPr>
            </w:pPr>
          </w:p>
        </w:tc>
        <w:tc>
          <w:tcPr>
            <w:tcW w:w="560" w:type="dxa"/>
            <w:vAlign w:val="bottom"/>
            <w:shd w:val="clear" w:color="auto" w:fill="F7F1EC"/>
          </w:tcPr>
          <w:p>
            <w:pPr>
              <w:spacing w:after="0"/>
              <w:rPr>
                <w:sz w:val="9"/>
                <w:szCs w:val="9"/>
                <w:color w:val="auto"/>
              </w:rPr>
            </w:pPr>
          </w:p>
        </w:tc>
        <w:tc>
          <w:tcPr>
            <w:tcW w:w="40" w:type="dxa"/>
            <w:vAlign w:val="bottom"/>
            <w:shd w:val="clear" w:color="auto" w:fill="F7F1EC"/>
          </w:tcPr>
          <w:p>
            <w:pPr>
              <w:spacing w:after="0"/>
              <w:rPr>
                <w:sz w:val="9"/>
                <w:szCs w:val="9"/>
                <w:color w:val="auto"/>
              </w:rPr>
            </w:pPr>
          </w:p>
        </w:tc>
      </w:tr>
      <w:tr>
        <w:trPr>
          <w:trHeight w:val="115"/>
        </w:trPr>
        <w:tc>
          <w:tcPr>
            <w:tcW w:w="780" w:type="dxa"/>
            <w:vAlign w:val="bottom"/>
            <w:shd w:val="clear" w:color="auto" w:fill="F7F1EC"/>
          </w:tcPr>
          <w:p>
            <w:pPr>
              <w:ind w:left="60"/>
              <w:spacing w:after="0"/>
              <w:rPr>
                <w:sz w:val="20"/>
                <w:szCs w:val="20"/>
                <w:color w:val="auto"/>
              </w:rPr>
            </w:pPr>
            <w:r>
              <w:rPr>
                <w:rFonts w:ascii="Arial" w:cs="Arial" w:eastAsia="Arial" w:hAnsi="Arial"/>
                <w:sz w:val="10"/>
                <w:szCs w:val="10"/>
                <w:color w:val="auto"/>
              </w:rPr>
              <w:t>Failed to Meet</w:t>
            </w:r>
          </w:p>
        </w:tc>
        <w:tc>
          <w:tcPr>
            <w:tcW w:w="40" w:type="dxa"/>
            <w:vAlign w:val="bottom"/>
            <w:shd w:val="clear" w:color="auto" w:fill="F7F1EC"/>
          </w:tcPr>
          <w:p>
            <w:pPr>
              <w:spacing w:after="0"/>
              <w:rPr>
                <w:sz w:val="9"/>
                <w:szCs w:val="9"/>
                <w:color w:val="auto"/>
              </w:rPr>
            </w:pPr>
          </w:p>
        </w:tc>
        <w:tc>
          <w:tcPr>
            <w:tcW w:w="660" w:type="dxa"/>
            <w:vAlign w:val="bottom"/>
            <w:shd w:val="clear" w:color="auto" w:fill="F7F1EC"/>
          </w:tcPr>
          <w:p>
            <w:pPr>
              <w:spacing w:after="0"/>
              <w:rPr>
                <w:sz w:val="9"/>
                <w:szCs w:val="9"/>
                <w:color w:val="auto"/>
              </w:rPr>
            </w:pPr>
          </w:p>
        </w:tc>
        <w:tc>
          <w:tcPr>
            <w:tcW w:w="580" w:type="dxa"/>
            <w:vAlign w:val="bottom"/>
            <w:shd w:val="clear" w:color="auto" w:fill="F7F1EC"/>
          </w:tcPr>
          <w:p>
            <w:pPr>
              <w:spacing w:after="0"/>
              <w:rPr>
                <w:sz w:val="9"/>
                <w:szCs w:val="9"/>
                <w:color w:val="auto"/>
              </w:rPr>
            </w:pPr>
          </w:p>
        </w:tc>
        <w:tc>
          <w:tcPr>
            <w:tcW w:w="80" w:type="dxa"/>
            <w:vAlign w:val="bottom"/>
            <w:shd w:val="clear" w:color="auto" w:fill="F7F1EC"/>
          </w:tcPr>
          <w:p>
            <w:pPr>
              <w:spacing w:after="0"/>
              <w:rPr>
                <w:sz w:val="9"/>
                <w:szCs w:val="9"/>
                <w:color w:val="auto"/>
              </w:rPr>
            </w:pPr>
          </w:p>
        </w:tc>
        <w:tc>
          <w:tcPr>
            <w:tcW w:w="40" w:type="dxa"/>
            <w:vAlign w:val="bottom"/>
            <w:shd w:val="clear" w:color="auto" w:fill="F7F1EC"/>
          </w:tcPr>
          <w:p>
            <w:pPr>
              <w:spacing w:after="0"/>
              <w:rPr>
                <w:sz w:val="9"/>
                <w:szCs w:val="9"/>
                <w:color w:val="auto"/>
              </w:rPr>
            </w:pPr>
          </w:p>
        </w:tc>
        <w:tc>
          <w:tcPr>
            <w:tcW w:w="560" w:type="dxa"/>
            <w:vAlign w:val="bottom"/>
            <w:shd w:val="clear" w:color="auto" w:fill="F7F1EC"/>
          </w:tcPr>
          <w:p>
            <w:pPr>
              <w:spacing w:after="0"/>
              <w:rPr>
                <w:sz w:val="9"/>
                <w:szCs w:val="9"/>
                <w:color w:val="auto"/>
              </w:rPr>
            </w:pPr>
          </w:p>
        </w:tc>
        <w:tc>
          <w:tcPr>
            <w:tcW w:w="760" w:type="dxa"/>
            <w:vAlign w:val="bottom"/>
            <w:shd w:val="clear" w:color="auto" w:fill="F7F1EC"/>
          </w:tcPr>
          <w:p>
            <w:pPr>
              <w:spacing w:after="0"/>
              <w:rPr>
                <w:sz w:val="9"/>
                <w:szCs w:val="9"/>
                <w:color w:val="auto"/>
              </w:rPr>
            </w:pPr>
          </w:p>
        </w:tc>
        <w:tc>
          <w:tcPr>
            <w:tcW w:w="560" w:type="dxa"/>
            <w:vAlign w:val="bottom"/>
            <w:shd w:val="clear" w:color="auto" w:fill="F7F1EC"/>
          </w:tcPr>
          <w:p>
            <w:pPr>
              <w:spacing w:after="0"/>
              <w:rPr>
                <w:sz w:val="9"/>
                <w:szCs w:val="9"/>
                <w:color w:val="auto"/>
              </w:rPr>
            </w:pPr>
          </w:p>
        </w:tc>
        <w:tc>
          <w:tcPr>
            <w:tcW w:w="100" w:type="dxa"/>
            <w:vAlign w:val="bottom"/>
            <w:shd w:val="clear" w:color="auto" w:fill="F7F1EC"/>
          </w:tcPr>
          <w:p>
            <w:pPr>
              <w:spacing w:after="0"/>
              <w:rPr>
                <w:sz w:val="9"/>
                <w:szCs w:val="9"/>
                <w:color w:val="auto"/>
              </w:rPr>
            </w:pPr>
          </w:p>
        </w:tc>
        <w:tc>
          <w:tcPr>
            <w:tcW w:w="620" w:type="dxa"/>
            <w:vAlign w:val="bottom"/>
            <w:shd w:val="clear" w:color="auto" w:fill="F7F1EC"/>
          </w:tcPr>
          <w:p>
            <w:pPr>
              <w:spacing w:after="0"/>
              <w:rPr>
                <w:sz w:val="9"/>
                <w:szCs w:val="9"/>
                <w:color w:val="auto"/>
              </w:rPr>
            </w:pPr>
          </w:p>
        </w:tc>
        <w:tc>
          <w:tcPr>
            <w:tcW w:w="580" w:type="dxa"/>
            <w:vAlign w:val="bottom"/>
            <w:shd w:val="clear" w:color="auto" w:fill="F7F1EC"/>
          </w:tcPr>
          <w:p>
            <w:pPr>
              <w:spacing w:after="0"/>
              <w:rPr>
                <w:sz w:val="9"/>
                <w:szCs w:val="9"/>
                <w:color w:val="auto"/>
              </w:rPr>
            </w:pPr>
          </w:p>
        </w:tc>
        <w:tc>
          <w:tcPr>
            <w:tcW w:w="80" w:type="dxa"/>
            <w:vAlign w:val="bottom"/>
            <w:shd w:val="clear" w:color="auto" w:fill="F7F1EC"/>
          </w:tcPr>
          <w:p>
            <w:pPr>
              <w:spacing w:after="0"/>
              <w:rPr>
                <w:sz w:val="9"/>
                <w:szCs w:val="9"/>
                <w:color w:val="auto"/>
              </w:rPr>
            </w:pPr>
          </w:p>
        </w:tc>
        <w:tc>
          <w:tcPr>
            <w:tcW w:w="640" w:type="dxa"/>
            <w:vAlign w:val="bottom"/>
            <w:shd w:val="clear" w:color="auto" w:fill="F7F1EC"/>
          </w:tcPr>
          <w:p>
            <w:pPr>
              <w:spacing w:after="0"/>
              <w:rPr>
                <w:sz w:val="9"/>
                <w:szCs w:val="9"/>
                <w:color w:val="auto"/>
              </w:rPr>
            </w:pPr>
          </w:p>
        </w:tc>
        <w:tc>
          <w:tcPr>
            <w:tcW w:w="560" w:type="dxa"/>
            <w:vAlign w:val="bottom"/>
            <w:shd w:val="clear" w:color="auto" w:fill="F7F1EC"/>
          </w:tcPr>
          <w:p>
            <w:pPr>
              <w:spacing w:after="0"/>
              <w:rPr>
                <w:sz w:val="9"/>
                <w:szCs w:val="9"/>
                <w:color w:val="auto"/>
              </w:rPr>
            </w:pPr>
          </w:p>
        </w:tc>
        <w:tc>
          <w:tcPr>
            <w:tcW w:w="100" w:type="dxa"/>
            <w:vAlign w:val="bottom"/>
            <w:shd w:val="clear" w:color="auto" w:fill="F7F1EC"/>
          </w:tcPr>
          <w:p>
            <w:pPr>
              <w:spacing w:after="0"/>
              <w:rPr>
                <w:sz w:val="9"/>
                <w:szCs w:val="9"/>
                <w:color w:val="auto"/>
              </w:rPr>
            </w:pPr>
          </w:p>
        </w:tc>
        <w:tc>
          <w:tcPr>
            <w:tcW w:w="620" w:type="dxa"/>
            <w:vAlign w:val="bottom"/>
            <w:shd w:val="clear" w:color="auto" w:fill="F7F1EC"/>
          </w:tcPr>
          <w:p>
            <w:pPr>
              <w:spacing w:after="0"/>
              <w:rPr>
                <w:sz w:val="9"/>
                <w:szCs w:val="9"/>
                <w:color w:val="auto"/>
              </w:rPr>
            </w:pPr>
          </w:p>
        </w:tc>
        <w:tc>
          <w:tcPr>
            <w:tcW w:w="560" w:type="dxa"/>
            <w:vAlign w:val="bottom"/>
            <w:shd w:val="clear" w:color="auto" w:fill="F7F1EC"/>
          </w:tcPr>
          <w:p>
            <w:pPr>
              <w:spacing w:after="0"/>
              <w:rPr>
                <w:sz w:val="9"/>
                <w:szCs w:val="9"/>
                <w:color w:val="auto"/>
              </w:rPr>
            </w:pPr>
          </w:p>
        </w:tc>
        <w:tc>
          <w:tcPr>
            <w:tcW w:w="40" w:type="dxa"/>
            <w:vAlign w:val="bottom"/>
            <w:shd w:val="clear" w:color="auto" w:fill="F7F1EC"/>
          </w:tcPr>
          <w:p>
            <w:pPr>
              <w:spacing w:after="0"/>
              <w:rPr>
                <w:sz w:val="9"/>
                <w:szCs w:val="9"/>
                <w:color w:val="auto"/>
              </w:rPr>
            </w:pPr>
          </w:p>
        </w:tc>
      </w:tr>
      <w:tr>
        <w:trPr>
          <w:trHeight w:val="115"/>
        </w:trPr>
        <w:tc>
          <w:tcPr>
            <w:tcW w:w="780" w:type="dxa"/>
            <w:vAlign w:val="bottom"/>
            <w:shd w:val="clear" w:color="auto" w:fill="F7F1EC"/>
          </w:tcPr>
          <w:p>
            <w:pPr>
              <w:ind w:left="60"/>
              <w:spacing w:after="0"/>
              <w:rPr>
                <w:sz w:val="20"/>
                <w:szCs w:val="20"/>
                <w:color w:val="auto"/>
              </w:rPr>
            </w:pPr>
            <w:r>
              <w:rPr>
                <w:rFonts w:ascii="Arial" w:cs="Arial" w:eastAsia="Arial" w:hAnsi="Arial"/>
                <w:sz w:val="10"/>
                <w:szCs w:val="10"/>
                <w:color w:val="auto"/>
              </w:rPr>
              <w:t>Vesting</w:t>
            </w:r>
          </w:p>
        </w:tc>
        <w:tc>
          <w:tcPr>
            <w:tcW w:w="40" w:type="dxa"/>
            <w:vAlign w:val="bottom"/>
            <w:shd w:val="clear" w:color="auto" w:fill="F7F1EC"/>
          </w:tcPr>
          <w:p>
            <w:pPr>
              <w:spacing w:after="0"/>
              <w:rPr>
                <w:sz w:val="9"/>
                <w:szCs w:val="9"/>
                <w:color w:val="auto"/>
              </w:rPr>
            </w:pPr>
          </w:p>
        </w:tc>
        <w:tc>
          <w:tcPr>
            <w:tcW w:w="660" w:type="dxa"/>
            <w:vAlign w:val="bottom"/>
            <w:shd w:val="clear" w:color="auto" w:fill="F7F1EC"/>
          </w:tcPr>
          <w:p>
            <w:pPr>
              <w:spacing w:after="0"/>
              <w:rPr>
                <w:sz w:val="9"/>
                <w:szCs w:val="9"/>
                <w:color w:val="auto"/>
              </w:rPr>
            </w:pPr>
          </w:p>
        </w:tc>
        <w:tc>
          <w:tcPr>
            <w:tcW w:w="580" w:type="dxa"/>
            <w:vAlign w:val="bottom"/>
            <w:shd w:val="clear" w:color="auto" w:fill="F7F1EC"/>
          </w:tcPr>
          <w:p>
            <w:pPr>
              <w:spacing w:after="0"/>
              <w:rPr>
                <w:sz w:val="9"/>
                <w:szCs w:val="9"/>
                <w:color w:val="auto"/>
              </w:rPr>
            </w:pPr>
          </w:p>
        </w:tc>
        <w:tc>
          <w:tcPr>
            <w:tcW w:w="80" w:type="dxa"/>
            <w:vAlign w:val="bottom"/>
            <w:shd w:val="clear" w:color="auto" w:fill="F7F1EC"/>
          </w:tcPr>
          <w:p>
            <w:pPr>
              <w:spacing w:after="0"/>
              <w:rPr>
                <w:sz w:val="9"/>
                <w:szCs w:val="9"/>
                <w:color w:val="auto"/>
              </w:rPr>
            </w:pPr>
          </w:p>
        </w:tc>
        <w:tc>
          <w:tcPr>
            <w:tcW w:w="40" w:type="dxa"/>
            <w:vAlign w:val="bottom"/>
            <w:shd w:val="clear" w:color="auto" w:fill="F7F1EC"/>
          </w:tcPr>
          <w:p>
            <w:pPr>
              <w:spacing w:after="0"/>
              <w:rPr>
                <w:sz w:val="9"/>
                <w:szCs w:val="9"/>
                <w:color w:val="auto"/>
              </w:rPr>
            </w:pPr>
          </w:p>
        </w:tc>
        <w:tc>
          <w:tcPr>
            <w:tcW w:w="560" w:type="dxa"/>
            <w:vAlign w:val="bottom"/>
            <w:shd w:val="clear" w:color="auto" w:fill="F7F1EC"/>
          </w:tcPr>
          <w:p>
            <w:pPr>
              <w:spacing w:after="0"/>
              <w:rPr>
                <w:sz w:val="9"/>
                <w:szCs w:val="9"/>
                <w:color w:val="auto"/>
              </w:rPr>
            </w:pPr>
          </w:p>
        </w:tc>
        <w:tc>
          <w:tcPr>
            <w:tcW w:w="760" w:type="dxa"/>
            <w:vAlign w:val="bottom"/>
            <w:shd w:val="clear" w:color="auto" w:fill="F7F1EC"/>
          </w:tcPr>
          <w:p>
            <w:pPr>
              <w:spacing w:after="0"/>
              <w:rPr>
                <w:sz w:val="9"/>
                <w:szCs w:val="9"/>
                <w:color w:val="auto"/>
              </w:rPr>
            </w:pPr>
          </w:p>
        </w:tc>
        <w:tc>
          <w:tcPr>
            <w:tcW w:w="560" w:type="dxa"/>
            <w:vAlign w:val="bottom"/>
            <w:shd w:val="clear" w:color="auto" w:fill="F7F1EC"/>
          </w:tcPr>
          <w:p>
            <w:pPr>
              <w:spacing w:after="0"/>
              <w:rPr>
                <w:sz w:val="9"/>
                <w:szCs w:val="9"/>
                <w:color w:val="auto"/>
              </w:rPr>
            </w:pPr>
          </w:p>
        </w:tc>
        <w:tc>
          <w:tcPr>
            <w:tcW w:w="100" w:type="dxa"/>
            <w:vAlign w:val="bottom"/>
            <w:shd w:val="clear" w:color="auto" w:fill="F7F1EC"/>
          </w:tcPr>
          <w:p>
            <w:pPr>
              <w:spacing w:after="0"/>
              <w:rPr>
                <w:sz w:val="9"/>
                <w:szCs w:val="9"/>
                <w:color w:val="auto"/>
              </w:rPr>
            </w:pPr>
          </w:p>
        </w:tc>
        <w:tc>
          <w:tcPr>
            <w:tcW w:w="620" w:type="dxa"/>
            <w:vAlign w:val="bottom"/>
            <w:shd w:val="clear" w:color="auto" w:fill="F7F1EC"/>
          </w:tcPr>
          <w:p>
            <w:pPr>
              <w:spacing w:after="0"/>
              <w:rPr>
                <w:sz w:val="9"/>
                <w:szCs w:val="9"/>
                <w:color w:val="auto"/>
              </w:rPr>
            </w:pPr>
          </w:p>
        </w:tc>
        <w:tc>
          <w:tcPr>
            <w:tcW w:w="580" w:type="dxa"/>
            <w:vAlign w:val="bottom"/>
            <w:shd w:val="clear" w:color="auto" w:fill="F7F1EC"/>
          </w:tcPr>
          <w:p>
            <w:pPr>
              <w:spacing w:after="0"/>
              <w:rPr>
                <w:sz w:val="9"/>
                <w:szCs w:val="9"/>
                <w:color w:val="auto"/>
              </w:rPr>
            </w:pPr>
          </w:p>
        </w:tc>
        <w:tc>
          <w:tcPr>
            <w:tcW w:w="80" w:type="dxa"/>
            <w:vAlign w:val="bottom"/>
            <w:shd w:val="clear" w:color="auto" w:fill="F7F1EC"/>
          </w:tcPr>
          <w:p>
            <w:pPr>
              <w:spacing w:after="0"/>
              <w:rPr>
                <w:sz w:val="9"/>
                <w:szCs w:val="9"/>
                <w:color w:val="auto"/>
              </w:rPr>
            </w:pPr>
          </w:p>
        </w:tc>
        <w:tc>
          <w:tcPr>
            <w:tcW w:w="640" w:type="dxa"/>
            <w:vAlign w:val="bottom"/>
            <w:shd w:val="clear" w:color="auto" w:fill="F7F1EC"/>
          </w:tcPr>
          <w:p>
            <w:pPr>
              <w:spacing w:after="0"/>
              <w:rPr>
                <w:sz w:val="9"/>
                <w:szCs w:val="9"/>
                <w:color w:val="auto"/>
              </w:rPr>
            </w:pPr>
          </w:p>
        </w:tc>
        <w:tc>
          <w:tcPr>
            <w:tcW w:w="560" w:type="dxa"/>
            <w:vAlign w:val="bottom"/>
            <w:shd w:val="clear" w:color="auto" w:fill="F7F1EC"/>
          </w:tcPr>
          <w:p>
            <w:pPr>
              <w:spacing w:after="0"/>
              <w:rPr>
                <w:sz w:val="9"/>
                <w:szCs w:val="9"/>
                <w:color w:val="auto"/>
              </w:rPr>
            </w:pPr>
          </w:p>
        </w:tc>
        <w:tc>
          <w:tcPr>
            <w:tcW w:w="100" w:type="dxa"/>
            <w:vAlign w:val="bottom"/>
            <w:shd w:val="clear" w:color="auto" w:fill="F7F1EC"/>
          </w:tcPr>
          <w:p>
            <w:pPr>
              <w:spacing w:after="0"/>
              <w:rPr>
                <w:sz w:val="9"/>
                <w:szCs w:val="9"/>
                <w:color w:val="auto"/>
              </w:rPr>
            </w:pPr>
          </w:p>
        </w:tc>
        <w:tc>
          <w:tcPr>
            <w:tcW w:w="620" w:type="dxa"/>
            <w:vAlign w:val="bottom"/>
            <w:shd w:val="clear" w:color="auto" w:fill="F7F1EC"/>
          </w:tcPr>
          <w:p>
            <w:pPr>
              <w:spacing w:after="0"/>
              <w:rPr>
                <w:sz w:val="9"/>
                <w:szCs w:val="9"/>
                <w:color w:val="auto"/>
              </w:rPr>
            </w:pPr>
          </w:p>
        </w:tc>
        <w:tc>
          <w:tcPr>
            <w:tcW w:w="560" w:type="dxa"/>
            <w:vAlign w:val="bottom"/>
            <w:shd w:val="clear" w:color="auto" w:fill="F7F1EC"/>
          </w:tcPr>
          <w:p>
            <w:pPr>
              <w:spacing w:after="0"/>
              <w:rPr>
                <w:sz w:val="9"/>
                <w:szCs w:val="9"/>
                <w:color w:val="auto"/>
              </w:rPr>
            </w:pPr>
          </w:p>
        </w:tc>
        <w:tc>
          <w:tcPr>
            <w:tcW w:w="40" w:type="dxa"/>
            <w:vAlign w:val="bottom"/>
            <w:shd w:val="clear" w:color="auto" w:fill="F7F1EC"/>
          </w:tcPr>
          <w:p>
            <w:pPr>
              <w:spacing w:after="0"/>
              <w:rPr>
                <w:sz w:val="9"/>
                <w:szCs w:val="9"/>
                <w:color w:val="auto"/>
              </w:rPr>
            </w:pPr>
          </w:p>
        </w:tc>
      </w:tr>
      <w:tr>
        <w:trPr>
          <w:trHeight w:val="115"/>
        </w:trPr>
        <w:tc>
          <w:tcPr>
            <w:tcW w:w="780" w:type="dxa"/>
            <w:vAlign w:val="bottom"/>
            <w:shd w:val="clear" w:color="auto" w:fill="F7F1EC"/>
          </w:tcPr>
          <w:p>
            <w:pPr>
              <w:ind w:left="60"/>
              <w:spacing w:after="0"/>
              <w:rPr>
                <w:sz w:val="20"/>
                <w:szCs w:val="20"/>
                <w:color w:val="auto"/>
              </w:rPr>
            </w:pPr>
            <w:r>
              <w:rPr>
                <w:rFonts w:ascii="Arial" w:cs="Arial" w:eastAsia="Arial" w:hAnsi="Arial"/>
                <w:sz w:val="10"/>
                <w:szCs w:val="10"/>
                <w:color w:val="auto"/>
              </w:rPr>
              <w:t>Conditions in</w:t>
            </w:r>
          </w:p>
        </w:tc>
        <w:tc>
          <w:tcPr>
            <w:tcW w:w="40" w:type="dxa"/>
            <w:vAlign w:val="bottom"/>
            <w:shd w:val="clear" w:color="auto" w:fill="F7F1EC"/>
          </w:tcPr>
          <w:p>
            <w:pPr>
              <w:spacing w:after="0"/>
              <w:rPr>
                <w:sz w:val="9"/>
                <w:szCs w:val="9"/>
                <w:color w:val="auto"/>
              </w:rPr>
            </w:pPr>
          </w:p>
        </w:tc>
        <w:tc>
          <w:tcPr>
            <w:tcW w:w="660" w:type="dxa"/>
            <w:vAlign w:val="bottom"/>
            <w:shd w:val="clear" w:color="auto" w:fill="F7F1EC"/>
          </w:tcPr>
          <w:p>
            <w:pPr>
              <w:spacing w:after="0"/>
              <w:rPr>
                <w:sz w:val="9"/>
                <w:szCs w:val="9"/>
                <w:color w:val="auto"/>
              </w:rPr>
            </w:pPr>
          </w:p>
        </w:tc>
        <w:tc>
          <w:tcPr>
            <w:tcW w:w="580" w:type="dxa"/>
            <w:vAlign w:val="bottom"/>
            <w:shd w:val="clear" w:color="auto" w:fill="F7F1EC"/>
          </w:tcPr>
          <w:p>
            <w:pPr>
              <w:spacing w:after="0"/>
              <w:rPr>
                <w:sz w:val="9"/>
                <w:szCs w:val="9"/>
                <w:color w:val="auto"/>
              </w:rPr>
            </w:pPr>
          </w:p>
        </w:tc>
        <w:tc>
          <w:tcPr>
            <w:tcW w:w="80" w:type="dxa"/>
            <w:vAlign w:val="bottom"/>
            <w:shd w:val="clear" w:color="auto" w:fill="F7F1EC"/>
          </w:tcPr>
          <w:p>
            <w:pPr>
              <w:spacing w:after="0"/>
              <w:rPr>
                <w:sz w:val="9"/>
                <w:szCs w:val="9"/>
                <w:color w:val="auto"/>
              </w:rPr>
            </w:pPr>
          </w:p>
        </w:tc>
        <w:tc>
          <w:tcPr>
            <w:tcW w:w="40" w:type="dxa"/>
            <w:vAlign w:val="bottom"/>
            <w:shd w:val="clear" w:color="auto" w:fill="F7F1EC"/>
          </w:tcPr>
          <w:p>
            <w:pPr>
              <w:spacing w:after="0"/>
              <w:rPr>
                <w:sz w:val="9"/>
                <w:szCs w:val="9"/>
                <w:color w:val="auto"/>
              </w:rPr>
            </w:pPr>
          </w:p>
        </w:tc>
        <w:tc>
          <w:tcPr>
            <w:tcW w:w="560" w:type="dxa"/>
            <w:vAlign w:val="bottom"/>
            <w:shd w:val="clear" w:color="auto" w:fill="F7F1EC"/>
          </w:tcPr>
          <w:p>
            <w:pPr>
              <w:spacing w:after="0"/>
              <w:rPr>
                <w:sz w:val="9"/>
                <w:szCs w:val="9"/>
                <w:color w:val="auto"/>
              </w:rPr>
            </w:pPr>
          </w:p>
        </w:tc>
        <w:tc>
          <w:tcPr>
            <w:tcW w:w="760" w:type="dxa"/>
            <w:vAlign w:val="bottom"/>
            <w:shd w:val="clear" w:color="auto" w:fill="F7F1EC"/>
          </w:tcPr>
          <w:p>
            <w:pPr>
              <w:spacing w:after="0"/>
              <w:rPr>
                <w:sz w:val="9"/>
                <w:szCs w:val="9"/>
                <w:color w:val="auto"/>
              </w:rPr>
            </w:pPr>
          </w:p>
        </w:tc>
        <w:tc>
          <w:tcPr>
            <w:tcW w:w="560" w:type="dxa"/>
            <w:vAlign w:val="bottom"/>
            <w:shd w:val="clear" w:color="auto" w:fill="F7F1EC"/>
          </w:tcPr>
          <w:p>
            <w:pPr>
              <w:spacing w:after="0"/>
              <w:rPr>
                <w:sz w:val="9"/>
                <w:szCs w:val="9"/>
                <w:color w:val="auto"/>
              </w:rPr>
            </w:pPr>
          </w:p>
        </w:tc>
        <w:tc>
          <w:tcPr>
            <w:tcW w:w="100" w:type="dxa"/>
            <w:vAlign w:val="bottom"/>
            <w:shd w:val="clear" w:color="auto" w:fill="F7F1EC"/>
          </w:tcPr>
          <w:p>
            <w:pPr>
              <w:spacing w:after="0"/>
              <w:rPr>
                <w:sz w:val="9"/>
                <w:szCs w:val="9"/>
                <w:color w:val="auto"/>
              </w:rPr>
            </w:pPr>
          </w:p>
        </w:tc>
        <w:tc>
          <w:tcPr>
            <w:tcW w:w="620" w:type="dxa"/>
            <w:vAlign w:val="bottom"/>
            <w:shd w:val="clear" w:color="auto" w:fill="F7F1EC"/>
          </w:tcPr>
          <w:p>
            <w:pPr>
              <w:spacing w:after="0"/>
              <w:rPr>
                <w:sz w:val="9"/>
                <w:szCs w:val="9"/>
                <w:color w:val="auto"/>
              </w:rPr>
            </w:pPr>
          </w:p>
        </w:tc>
        <w:tc>
          <w:tcPr>
            <w:tcW w:w="580" w:type="dxa"/>
            <w:vAlign w:val="bottom"/>
            <w:shd w:val="clear" w:color="auto" w:fill="F7F1EC"/>
          </w:tcPr>
          <w:p>
            <w:pPr>
              <w:spacing w:after="0"/>
              <w:rPr>
                <w:sz w:val="9"/>
                <w:szCs w:val="9"/>
                <w:color w:val="auto"/>
              </w:rPr>
            </w:pPr>
          </w:p>
        </w:tc>
        <w:tc>
          <w:tcPr>
            <w:tcW w:w="80" w:type="dxa"/>
            <w:vAlign w:val="bottom"/>
            <w:shd w:val="clear" w:color="auto" w:fill="F7F1EC"/>
          </w:tcPr>
          <w:p>
            <w:pPr>
              <w:spacing w:after="0"/>
              <w:rPr>
                <w:sz w:val="9"/>
                <w:szCs w:val="9"/>
                <w:color w:val="auto"/>
              </w:rPr>
            </w:pPr>
          </w:p>
        </w:tc>
        <w:tc>
          <w:tcPr>
            <w:tcW w:w="640" w:type="dxa"/>
            <w:vAlign w:val="bottom"/>
            <w:shd w:val="clear" w:color="auto" w:fill="F7F1EC"/>
          </w:tcPr>
          <w:p>
            <w:pPr>
              <w:spacing w:after="0"/>
              <w:rPr>
                <w:sz w:val="9"/>
                <w:szCs w:val="9"/>
                <w:color w:val="auto"/>
              </w:rPr>
            </w:pPr>
          </w:p>
        </w:tc>
        <w:tc>
          <w:tcPr>
            <w:tcW w:w="560" w:type="dxa"/>
            <w:vAlign w:val="bottom"/>
            <w:shd w:val="clear" w:color="auto" w:fill="F7F1EC"/>
          </w:tcPr>
          <w:p>
            <w:pPr>
              <w:spacing w:after="0"/>
              <w:rPr>
                <w:sz w:val="9"/>
                <w:szCs w:val="9"/>
                <w:color w:val="auto"/>
              </w:rPr>
            </w:pPr>
          </w:p>
        </w:tc>
        <w:tc>
          <w:tcPr>
            <w:tcW w:w="100" w:type="dxa"/>
            <w:vAlign w:val="bottom"/>
            <w:shd w:val="clear" w:color="auto" w:fill="F7F1EC"/>
          </w:tcPr>
          <w:p>
            <w:pPr>
              <w:spacing w:after="0"/>
              <w:rPr>
                <w:sz w:val="9"/>
                <w:szCs w:val="9"/>
                <w:color w:val="auto"/>
              </w:rPr>
            </w:pPr>
          </w:p>
        </w:tc>
        <w:tc>
          <w:tcPr>
            <w:tcW w:w="620" w:type="dxa"/>
            <w:vAlign w:val="bottom"/>
            <w:shd w:val="clear" w:color="auto" w:fill="F7F1EC"/>
          </w:tcPr>
          <w:p>
            <w:pPr>
              <w:spacing w:after="0"/>
              <w:rPr>
                <w:sz w:val="9"/>
                <w:szCs w:val="9"/>
                <w:color w:val="auto"/>
              </w:rPr>
            </w:pPr>
          </w:p>
        </w:tc>
        <w:tc>
          <w:tcPr>
            <w:tcW w:w="560" w:type="dxa"/>
            <w:vAlign w:val="bottom"/>
            <w:shd w:val="clear" w:color="auto" w:fill="F7F1EC"/>
          </w:tcPr>
          <w:p>
            <w:pPr>
              <w:spacing w:after="0"/>
              <w:rPr>
                <w:sz w:val="9"/>
                <w:szCs w:val="9"/>
                <w:color w:val="auto"/>
              </w:rPr>
            </w:pPr>
          </w:p>
        </w:tc>
        <w:tc>
          <w:tcPr>
            <w:tcW w:w="40" w:type="dxa"/>
            <w:vAlign w:val="bottom"/>
            <w:shd w:val="clear" w:color="auto" w:fill="F7F1EC"/>
          </w:tcPr>
          <w:p>
            <w:pPr>
              <w:spacing w:after="0"/>
              <w:rPr>
                <w:sz w:val="9"/>
                <w:szCs w:val="9"/>
                <w:color w:val="auto"/>
              </w:rPr>
            </w:pPr>
          </w:p>
        </w:tc>
      </w:tr>
      <w:tr>
        <w:trPr>
          <w:trHeight w:val="115"/>
        </w:trPr>
        <w:tc>
          <w:tcPr>
            <w:tcW w:w="780" w:type="dxa"/>
            <w:vAlign w:val="bottom"/>
            <w:shd w:val="clear" w:color="auto" w:fill="F7F1EC"/>
          </w:tcPr>
          <w:p>
            <w:pPr>
              <w:ind w:left="60"/>
              <w:spacing w:after="0"/>
              <w:rPr>
                <w:sz w:val="20"/>
                <w:szCs w:val="20"/>
                <w:color w:val="auto"/>
              </w:rPr>
            </w:pPr>
            <w:r>
              <w:rPr>
                <w:rFonts w:ascii="Arial" w:cs="Arial" w:eastAsia="Arial" w:hAnsi="Arial"/>
                <w:sz w:val="10"/>
                <w:szCs w:val="10"/>
                <w:color w:val="auto"/>
              </w:rPr>
              <w:t>the Covered</w:t>
            </w:r>
          </w:p>
        </w:tc>
        <w:tc>
          <w:tcPr>
            <w:tcW w:w="40" w:type="dxa"/>
            <w:vAlign w:val="bottom"/>
            <w:shd w:val="clear" w:color="auto" w:fill="F7F1EC"/>
          </w:tcPr>
          <w:p>
            <w:pPr>
              <w:spacing w:after="0"/>
              <w:rPr>
                <w:sz w:val="9"/>
                <w:szCs w:val="9"/>
                <w:color w:val="auto"/>
              </w:rPr>
            </w:pPr>
          </w:p>
        </w:tc>
        <w:tc>
          <w:tcPr>
            <w:tcW w:w="660" w:type="dxa"/>
            <w:vAlign w:val="bottom"/>
            <w:shd w:val="clear" w:color="auto" w:fill="F7F1EC"/>
          </w:tcPr>
          <w:p>
            <w:pPr>
              <w:spacing w:after="0"/>
              <w:rPr>
                <w:sz w:val="9"/>
                <w:szCs w:val="9"/>
                <w:color w:val="auto"/>
              </w:rPr>
            </w:pPr>
          </w:p>
        </w:tc>
        <w:tc>
          <w:tcPr>
            <w:tcW w:w="580" w:type="dxa"/>
            <w:vAlign w:val="bottom"/>
            <w:shd w:val="clear" w:color="auto" w:fill="F7F1EC"/>
          </w:tcPr>
          <w:p>
            <w:pPr>
              <w:spacing w:after="0"/>
              <w:rPr>
                <w:sz w:val="9"/>
                <w:szCs w:val="9"/>
                <w:color w:val="auto"/>
              </w:rPr>
            </w:pPr>
          </w:p>
        </w:tc>
        <w:tc>
          <w:tcPr>
            <w:tcW w:w="80" w:type="dxa"/>
            <w:vAlign w:val="bottom"/>
            <w:shd w:val="clear" w:color="auto" w:fill="F7F1EC"/>
          </w:tcPr>
          <w:p>
            <w:pPr>
              <w:spacing w:after="0"/>
              <w:rPr>
                <w:sz w:val="9"/>
                <w:szCs w:val="9"/>
                <w:color w:val="auto"/>
              </w:rPr>
            </w:pPr>
          </w:p>
        </w:tc>
        <w:tc>
          <w:tcPr>
            <w:tcW w:w="40" w:type="dxa"/>
            <w:vAlign w:val="bottom"/>
            <w:shd w:val="clear" w:color="auto" w:fill="F7F1EC"/>
          </w:tcPr>
          <w:p>
            <w:pPr>
              <w:spacing w:after="0"/>
              <w:rPr>
                <w:sz w:val="9"/>
                <w:szCs w:val="9"/>
                <w:color w:val="auto"/>
              </w:rPr>
            </w:pPr>
          </w:p>
        </w:tc>
        <w:tc>
          <w:tcPr>
            <w:tcW w:w="560" w:type="dxa"/>
            <w:vAlign w:val="bottom"/>
            <w:shd w:val="clear" w:color="auto" w:fill="F7F1EC"/>
          </w:tcPr>
          <w:p>
            <w:pPr>
              <w:spacing w:after="0"/>
              <w:rPr>
                <w:sz w:val="9"/>
                <w:szCs w:val="9"/>
                <w:color w:val="auto"/>
              </w:rPr>
            </w:pPr>
          </w:p>
        </w:tc>
        <w:tc>
          <w:tcPr>
            <w:tcW w:w="760" w:type="dxa"/>
            <w:vAlign w:val="bottom"/>
            <w:shd w:val="clear" w:color="auto" w:fill="F7F1EC"/>
          </w:tcPr>
          <w:p>
            <w:pPr>
              <w:spacing w:after="0"/>
              <w:rPr>
                <w:sz w:val="9"/>
                <w:szCs w:val="9"/>
                <w:color w:val="auto"/>
              </w:rPr>
            </w:pPr>
          </w:p>
        </w:tc>
        <w:tc>
          <w:tcPr>
            <w:tcW w:w="560" w:type="dxa"/>
            <w:vAlign w:val="bottom"/>
            <w:shd w:val="clear" w:color="auto" w:fill="F7F1EC"/>
          </w:tcPr>
          <w:p>
            <w:pPr>
              <w:spacing w:after="0"/>
              <w:rPr>
                <w:sz w:val="9"/>
                <w:szCs w:val="9"/>
                <w:color w:val="auto"/>
              </w:rPr>
            </w:pPr>
          </w:p>
        </w:tc>
        <w:tc>
          <w:tcPr>
            <w:tcW w:w="100" w:type="dxa"/>
            <w:vAlign w:val="bottom"/>
            <w:shd w:val="clear" w:color="auto" w:fill="F7F1EC"/>
          </w:tcPr>
          <w:p>
            <w:pPr>
              <w:spacing w:after="0"/>
              <w:rPr>
                <w:sz w:val="9"/>
                <w:szCs w:val="9"/>
                <w:color w:val="auto"/>
              </w:rPr>
            </w:pPr>
          </w:p>
        </w:tc>
        <w:tc>
          <w:tcPr>
            <w:tcW w:w="620" w:type="dxa"/>
            <w:vAlign w:val="bottom"/>
            <w:shd w:val="clear" w:color="auto" w:fill="F7F1EC"/>
          </w:tcPr>
          <w:p>
            <w:pPr>
              <w:spacing w:after="0"/>
              <w:rPr>
                <w:sz w:val="9"/>
                <w:szCs w:val="9"/>
                <w:color w:val="auto"/>
              </w:rPr>
            </w:pPr>
          </w:p>
        </w:tc>
        <w:tc>
          <w:tcPr>
            <w:tcW w:w="580" w:type="dxa"/>
            <w:vAlign w:val="bottom"/>
            <w:shd w:val="clear" w:color="auto" w:fill="F7F1EC"/>
          </w:tcPr>
          <w:p>
            <w:pPr>
              <w:spacing w:after="0"/>
              <w:rPr>
                <w:sz w:val="9"/>
                <w:szCs w:val="9"/>
                <w:color w:val="auto"/>
              </w:rPr>
            </w:pPr>
          </w:p>
        </w:tc>
        <w:tc>
          <w:tcPr>
            <w:tcW w:w="80" w:type="dxa"/>
            <w:vAlign w:val="bottom"/>
            <w:shd w:val="clear" w:color="auto" w:fill="F7F1EC"/>
          </w:tcPr>
          <w:p>
            <w:pPr>
              <w:spacing w:after="0"/>
              <w:rPr>
                <w:sz w:val="9"/>
                <w:szCs w:val="9"/>
                <w:color w:val="auto"/>
              </w:rPr>
            </w:pPr>
          </w:p>
        </w:tc>
        <w:tc>
          <w:tcPr>
            <w:tcW w:w="640" w:type="dxa"/>
            <w:vAlign w:val="bottom"/>
            <w:shd w:val="clear" w:color="auto" w:fill="F7F1EC"/>
          </w:tcPr>
          <w:p>
            <w:pPr>
              <w:spacing w:after="0"/>
              <w:rPr>
                <w:sz w:val="9"/>
                <w:szCs w:val="9"/>
                <w:color w:val="auto"/>
              </w:rPr>
            </w:pPr>
          </w:p>
        </w:tc>
        <w:tc>
          <w:tcPr>
            <w:tcW w:w="560" w:type="dxa"/>
            <w:vAlign w:val="bottom"/>
            <w:shd w:val="clear" w:color="auto" w:fill="F7F1EC"/>
          </w:tcPr>
          <w:p>
            <w:pPr>
              <w:spacing w:after="0"/>
              <w:rPr>
                <w:sz w:val="9"/>
                <w:szCs w:val="9"/>
                <w:color w:val="auto"/>
              </w:rPr>
            </w:pPr>
          </w:p>
        </w:tc>
        <w:tc>
          <w:tcPr>
            <w:tcW w:w="100" w:type="dxa"/>
            <w:vAlign w:val="bottom"/>
            <w:shd w:val="clear" w:color="auto" w:fill="F7F1EC"/>
          </w:tcPr>
          <w:p>
            <w:pPr>
              <w:spacing w:after="0"/>
              <w:rPr>
                <w:sz w:val="9"/>
                <w:szCs w:val="9"/>
                <w:color w:val="auto"/>
              </w:rPr>
            </w:pPr>
          </w:p>
        </w:tc>
        <w:tc>
          <w:tcPr>
            <w:tcW w:w="620" w:type="dxa"/>
            <w:vAlign w:val="bottom"/>
            <w:shd w:val="clear" w:color="auto" w:fill="F7F1EC"/>
          </w:tcPr>
          <w:p>
            <w:pPr>
              <w:spacing w:after="0"/>
              <w:rPr>
                <w:sz w:val="9"/>
                <w:szCs w:val="9"/>
                <w:color w:val="auto"/>
              </w:rPr>
            </w:pPr>
          </w:p>
        </w:tc>
        <w:tc>
          <w:tcPr>
            <w:tcW w:w="560" w:type="dxa"/>
            <w:vAlign w:val="bottom"/>
            <w:shd w:val="clear" w:color="auto" w:fill="F7F1EC"/>
          </w:tcPr>
          <w:p>
            <w:pPr>
              <w:spacing w:after="0"/>
              <w:rPr>
                <w:sz w:val="9"/>
                <w:szCs w:val="9"/>
                <w:color w:val="auto"/>
              </w:rPr>
            </w:pPr>
          </w:p>
        </w:tc>
        <w:tc>
          <w:tcPr>
            <w:tcW w:w="40" w:type="dxa"/>
            <w:vAlign w:val="bottom"/>
            <w:shd w:val="clear" w:color="auto" w:fill="F7F1EC"/>
          </w:tcPr>
          <w:p>
            <w:pPr>
              <w:spacing w:after="0"/>
              <w:rPr>
                <w:sz w:val="9"/>
                <w:szCs w:val="9"/>
                <w:color w:val="auto"/>
              </w:rPr>
            </w:pPr>
          </w:p>
        </w:tc>
      </w:tr>
      <w:tr>
        <w:trPr>
          <w:trHeight w:val="159"/>
        </w:trPr>
        <w:tc>
          <w:tcPr>
            <w:tcW w:w="780" w:type="dxa"/>
            <w:vAlign w:val="bottom"/>
            <w:tcBorders>
              <w:bottom w:val="single" w:sz="8" w:color="F7F1EC"/>
            </w:tcBorders>
            <w:shd w:val="clear" w:color="auto" w:fill="F7F1EC"/>
          </w:tcPr>
          <w:p>
            <w:pPr>
              <w:ind w:left="60"/>
              <w:spacing w:after="0"/>
              <w:rPr>
                <w:sz w:val="20"/>
                <w:szCs w:val="20"/>
                <w:color w:val="auto"/>
              </w:rPr>
            </w:pPr>
            <w:r>
              <w:rPr>
                <w:rFonts w:ascii="Arial" w:cs="Arial" w:eastAsia="Arial" w:hAnsi="Arial"/>
                <w:sz w:val="10"/>
                <w:szCs w:val="10"/>
                <w:color w:val="auto"/>
              </w:rPr>
              <w:t>Year</w:t>
            </w:r>
          </w:p>
        </w:tc>
        <w:tc>
          <w:tcPr>
            <w:tcW w:w="40" w:type="dxa"/>
            <w:vAlign w:val="bottom"/>
            <w:tcBorders>
              <w:bottom w:val="single" w:sz="8" w:color="F7F1EC"/>
            </w:tcBorders>
            <w:shd w:val="clear" w:color="auto" w:fill="F7F1EC"/>
          </w:tcPr>
          <w:p>
            <w:pPr>
              <w:spacing w:after="0"/>
              <w:rPr>
                <w:sz w:val="13"/>
                <w:szCs w:val="13"/>
                <w:color w:val="auto"/>
              </w:rPr>
            </w:pPr>
          </w:p>
        </w:tc>
        <w:tc>
          <w:tcPr>
            <w:tcW w:w="660" w:type="dxa"/>
            <w:vAlign w:val="bottom"/>
            <w:tcBorders>
              <w:bottom w:val="single" w:sz="8" w:color="F7F1EC"/>
            </w:tcBorders>
            <w:shd w:val="clear" w:color="auto" w:fill="F7F1EC"/>
          </w:tcPr>
          <w:p>
            <w:pPr>
              <w:jc w:val="right"/>
              <w:ind w:right="30"/>
              <w:spacing w:after="0"/>
              <w:rPr>
                <w:sz w:val="20"/>
                <w:szCs w:val="20"/>
                <w:color w:val="auto"/>
              </w:rPr>
            </w:pPr>
            <w:r>
              <w:rPr>
                <w:rFonts w:ascii="Arial" w:cs="Arial" w:eastAsia="Arial" w:hAnsi="Arial"/>
                <w:sz w:val="10"/>
                <w:szCs w:val="10"/>
                <w:color w:val="auto"/>
              </w:rPr>
              <w:t>—</w:t>
            </w:r>
          </w:p>
        </w:tc>
        <w:tc>
          <w:tcPr>
            <w:tcW w:w="660" w:type="dxa"/>
            <w:vAlign w:val="bottom"/>
            <w:tcBorders>
              <w:bottom w:val="single" w:sz="8" w:color="F7F1EC"/>
            </w:tcBorders>
            <w:gridSpan w:val="2"/>
            <w:shd w:val="clear" w:color="auto" w:fill="F7F1EC"/>
          </w:tcPr>
          <w:p>
            <w:pPr>
              <w:jc w:val="right"/>
              <w:ind w:right="80"/>
              <w:spacing w:after="0"/>
              <w:rPr>
                <w:sz w:val="20"/>
                <w:szCs w:val="20"/>
                <w:color w:val="auto"/>
              </w:rPr>
            </w:pPr>
            <w:r>
              <w:rPr>
                <w:rFonts w:ascii="Arial" w:cs="Arial" w:eastAsia="Arial" w:hAnsi="Arial"/>
                <w:sz w:val="10"/>
                <w:szCs w:val="10"/>
                <w:color w:val="auto"/>
              </w:rPr>
              <w:t>—</w:t>
            </w:r>
          </w:p>
        </w:tc>
        <w:tc>
          <w:tcPr>
            <w:tcW w:w="40" w:type="dxa"/>
            <w:vAlign w:val="bottom"/>
            <w:tcBorders>
              <w:bottom w:val="single" w:sz="8" w:color="F7F1EC"/>
            </w:tcBorders>
            <w:shd w:val="clear" w:color="auto" w:fill="F7F1EC"/>
          </w:tcPr>
          <w:p>
            <w:pPr>
              <w:spacing w:after="0"/>
              <w:rPr>
                <w:sz w:val="13"/>
                <w:szCs w:val="13"/>
                <w:color w:val="auto"/>
              </w:rPr>
            </w:pPr>
          </w:p>
        </w:tc>
        <w:tc>
          <w:tcPr>
            <w:tcW w:w="560" w:type="dxa"/>
            <w:vAlign w:val="bottom"/>
            <w:tcBorders>
              <w:bottom w:val="single" w:sz="8" w:color="F7F1EC"/>
            </w:tcBorders>
            <w:shd w:val="clear" w:color="auto" w:fill="F7F1EC"/>
          </w:tcPr>
          <w:p>
            <w:pPr>
              <w:jc w:val="right"/>
              <w:spacing w:after="0"/>
              <w:rPr>
                <w:sz w:val="20"/>
                <w:szCs w:val="20"/>
                <w:color w:val="auto"/>
              </w:rPr>
            </w:pPr>
            <w:r>
              <w:rPr>
                <w:rFonts w:ascii="Arial" w:cs="Arial" w:eastAsia="Arial" w:hAnsi="Arial"/>
                <w:sz w:val="10"/>
                <w:szCs w:val="10"/>
                <w:color w:val="auto"/>
              </w:rPr>
              <w:t>—</w:t>
            </w:r>
          </w:p>
        </w:tc>
        <w:tc>
          <w:tcPr>
            <w:tcW w:w="760" w:type="dxa"/>
            <w:vAlign w:val="bottom"/>
            <w:tcBorders>
              <w:bottom w:val="single" w:sz="8" w:color="F7F1EC"/>
            </w:tcBorders>
            <w:shd w:val="clear" w:color="auto" w:fill="F7F1EC"/>
          </w:tcPr>
          <w:p>
            <w:pPr>
              <w:jc w:val="right"/>
              <w:ind w:right="70"/>
              <w:spacing w:after="0"/>
              <w:rPr>
                <w:sz w:val="20"/>
                <w:szCs w:val="20"/>
                <w:color w:val="auto"/>
              </w:rPr>
            </w:pPr>
            <w:r>
              <w:rPr>
                <w:rFonts w:ascii="Arial" w:cs="Arial" w:eastAsia="Arial" w:hAnsi="Arial"/>
                <w:sz w:val="10"/>
                <w:szCs w:val="10"/>
                <w:color w:val="auto"/>
              </w:rPr>
              <w:t>19,938,615</w:t>
            </w:r>
          </w:p>
        </w:tc>
        <w:tc>
          <w:tcPr>
            <w:tcW w:w="560" w:type="dxa"/>
            <w:vAlign w:val="bottom"/>
            <w:tcBorders>
              <w:bottom w:val="single" w:sz="8" w:color="F7F1EC"/>
            </w:tcBorders>
            <w:shd w:val="clear" w:color="auto" w:fill="F7F1EC"/>
          </w:tcPr>
          <w:p>
            <w:pPr>
              <w:jc w:val="right"/>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F7F1EC"/>
            </w:tcBorders>
            <w:shd w:val="clear" w:color="auto" w:fill="F7F1EC"/>
          </w:tcPr>
          <w:p>
            <w:pPr>
              <w:spacing w:after="0"/>
              <w:rPr>
                <w:sz w:val="13"/>
                <w:szCs w:val="13"/>
                <w:color w:val="auto"/>
              </w:rPr>
            </w:pPr>
          </w:p>
        </w:tc>
        <w:tc>
          <w:tcPr>
            <w:tcW w:w="620" w:type="dxa"/>
            <w:vAlign w:val="bottom"/>
            <w:tcBorders>
              <w:bottom w:val="single" w:sz="8" w:color="F7F1EC"/>
            </w:tcBorders>
            <w:shd w:val="clear" w:color="auto" w:fill="F7F1EC"/>
          </w:tcPr>
          <w:p>
            <w:pPr>
              <w:jc w:val="right"/>
              <w:spacing w:after="0"/>
              <w:rPr>
                <w:sz w:val="20"/>
                <w:szCs w:val="20"/>
                <w:color w:val="auto"/>
              </w:rPr>
            </w:pPr>
            <w:r>
              <w:rPr>
                <w:rFonts w:ascii="Arial" w:cs="Arial" w:eastAsia="Arial" w:hAnsi="Arial"/>
                <w:sz w:val="10"/>
                <w:szCs w:val="10"/>
                <w:color w:val="auto"/>
              </w:rPr>
              <w:t>—</w:t>
            </w:r>
          </w:p>
        </w:tc>
        <w:tc>
          <w:tcPr>
            <w:tcW w:w="580" w:type="dxa"/>
            <w:vAlign w:val="bottom"/>
            <w:tcBorders>
              <w:bottom w:val="single" w:sz="8" w:color="F7F1EC"/>
            </w:tcBorders>
            <w:shd w:val="clear" w:color="auto" w:fill="F7F1EC"/>
          </w:tcPr>
          <w:p>
            <w:pPr>
              <w:jc w:val="right"/>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F7F1EC"/>
            </w:tcBorders>
            <w:shd w:val="clear" w:color="auto" w:fill="F7F1EC"/>
          </w:tcPr>
          <w:p>
            <w:pPr>
              <w:spacing w:after="0"/>
              <w:rPr>
                <w:sz w:val="13"/>
                <w:szCs w:val="13"/>
                <w:color w:val="auto"/>
              </w:rPr>
            </w:pPr>
          </w:p>
        </w:tc>
        <w:tc>
          <w:tcPr>
            <w:tcW w:w="640" w:type="dxa"/>
            <w:vAlign w:val="bottom"/>
            <w:tcBorders>
              <w:bottom w:val="single" w:sz="8" w:color="F7F1EC"/>
            </w:tcBorders>
            <w:shd w:val="clear" w:color="auto" w:fill="F7F1EC"/>
          </w:tcPr>
          <w:p>
            <w:pPr>
              <w:jc w:val="right"/>
              <w:ind w:right="11"/>
              <w:spacing w:after="0"/>
              <w:rPr>
                <w:sz w:val="20"/>
                <w:szCs w:val="20"/>
                <w:color w:val="auto"/>
              </w:rPr>
            </w:pPr>
            <w:r>
              <w:rPr>
                <w:rFonts w:ascii="Arial" w:cs="Arial" w:eastAsia="Arial" w:hAnsi="Arial"/>
                <w:sz w:val="10"/>
                <w:szCs w:val="10"/>
                <w:color w:val="auto"/>
              </w:rPr>
              <w:t>—</w:t>
            </w:r>
          </w:p>
        </w:tc>
        <w:tc>
          <w:tcPr>
            <w:tcW w:w="560" w:type="dxa"/>
            <w:vAlign w:val="bottom"/>
            <w:tcBorders>
              <w:bottom w:val="single" w:sz="8" w:color="F7F1EC"/>
            </w:tcBorders>
            <w:shd w:val="clear" w:color="auto" w:fill="F7F1EC"/>
          </w:tcPr>
          <w:p>
            <w:pPr>
              <w:jc w:val="right"/>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F7F1EC"/>
            </w:tcBorders>
            <w:shd w:val="clear" w:color="auto" w:fill="F7F1EC"/>
          </w:tcPr>
          <w:p>
            <w:pPr>
              <w:spacing w:after="0"/>
              <w:rPr>
                <w:sz w:val="13"/>
                <w:szCs w:val="13"/>
                <w:color w:val="auto"/>
              </w:rPr>
            </w:pPr>
          </w:p>
        </w:tc>
        <w:tc>
          <w:tcPr>
            <w:tcW w:w="620" w:type="dxa"/>
            <w:vAlign w:val="bottom"/>
            <w:tcBorders>
              <w:bottom w:val="single" w:sz="8" w:color="F7F1EC"/>
            </w:tcBorders>
            <w:shd w:val="clear" w:color="auto" w:fill="F7F1EC"/>
          </w:tcPr>
          <w:p>
            <w:pPr>
              <w:jc w:val="right"/>
              <w:spacing w:after="0"/>
              <w:rPr>
                <w:sz w:val="20"/>
                <w:szCs w:val="20"/>
                <w:color w:val="auto"/>
              </w:rPr>
            </w:pPr>
            <w:r>
              <w:rPr>
                <w:rFonts w:ascii="Arial" w:cs="Arial" w:eastAsia="Arial" w:hAnsi="Arial"/>
                <w:sz w:val="10"/>
                <w:szCs w:val="10"/>
                <w:color w:val="auto"/>
              </w:rPr>
              <w:t>—</w:t>
            </w:r>
          </w:p>
        </w:tc>
        <w:tc>
          <w:tcPr>
            <w:tcW w:w="600" w:type="dxa"/>
            <w:vAlign w:val="bottom"/>
            <w:tcBorders>
              <w:bottom w:val="single" w:sz="8" w:color="F7F1EC"/>
            </w:tcBorders>
            <w:gridSpan w:val="2"/>
            <w:shd w:val="clear" w:color="auto" w:fill="F7F1EC"/>
          </w:tcPr>
          <w:p>
            <w:pPr>
              <w:jc w:val="right"/>
              <w:ind w:right="40"/>
              <w:spacing w:after="0"/>
              <w:rPr>
                <w:sz w:val="20"/>
                <w:szCs w:val="20"/>
                <w:color w:val="auto"/>
              </w:rPr>
            </w:pPr>
            <w:r>
              <w:rPr>
                <w:rFonts w:ascii="Arial" w:cs="Arial" w:eastAsia="Arial" w:hAnsi="Arial"/>
                <w:sz w:val="10"/>
                <w:szCs w:val="10"/>
                <w:color w:val="auto"/>
              </w:rPr>
              <w:t>—</w:t>
            </w:r>
          </w:p>
        </w:tc>
      </w:tr>
      <w:tr>
        <w:trPr>
          <w:trHeight w:val="178"/>
        </w:trPr>
        <w:tc>
          <w:tcPr>
            <w:tcW w:w="780" w:type="dxa"/>
            <w:vAlign w:val="bottom"/>
          </w:tcPr>
          <w:p>
            <w:pPr>
              <w:ind w:left="60"/>
              <w:spacing w:after="0"/>
              <w:rPr>
                <w:sz w:val="20"/>
                <w:szCs w:val="20"/>
                <w:color w:val="auto"/>
              </w:rPr>
            </w:pPr>
            <w:r>
              <w:rPr>
                <w:rFonts w:ascii="Arial" w:cs="Arial" w:eastAsia="Arial" w:hAnsi="Arial"/>
                <w:sz w:val="10"/>
                <w:szCs w:val="10"/>
                <w:i w:val="1"/>
                <w:iCs w:val="1"/>
                <w:color w:val="auto"/>
              </w:rPr>
              <w:t xml:space="preserve">Plus </w:t>
            </w:r>
            <w:r>
              <w:rPr>
                <w:rFonts w:ascii="Arial" w:cs="Arial" w:eastAsia="Arial" w:hAnsi="Arial"/>
                <w:sz w:val="10"/>
                <w:szCs w:val="10"/>
                <w:color w:val="auto"/>
              </w:rPr>
              <w:t>Value of</w:t>
            </w: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15"/>
        </w:trPr>
        <w:tc>
          <w:tcPr>
            <w:tcW w:w="780" w:type="dxa"/>
            <w:vAlign w:val="bottom"/>
          </w:tcPr>
          <w:p>
            <w:pPr>
              <w:ind w:left="60"/>
              <w:spacing w:after="0"/>
              <w:rPr>
                <w:sz w:val="20"/>
                <w:szCs w:val="20"/>
                <w:color w:val="auto"/>
              </w:rPr>
            </w:pPr>
            <w:r>
              <w:rPr>
                <w:rFonts w:ascii="Arial" w:cs="Arial" w:eastAsia="Arial" w:hAnsi="Arial"/>
                <w:sz w:val="10"/>
                <w:szCs w:val="10"/>
                <w:color w:val="auto"/>
              </w:rPr>
              <w:t>Dividends or</w:t>
            </w:r>
          </w:p>
        </w:tc>
        <w:tc>
          <w:tcPr>
            <w:tcW w:w="40" w:type="dxa"/>
            <w:vAlign w:val="bottom"/>
          </w:tcPr>
          <w:p>
            <w:pPr>
              <w:spacing w:after="0"/>
              <w:rPr>
                <w:sz w:val="9"/>
                <w:szCs w:val="9"/>
                <w:color w:val="auto"/>
              </w:rPr>
            </w:pPr>
          </w:p>
        </w:tc>
        <w:tc>
          <w:tcPr>
            <w:tcW w:w="66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Pr>
          <w:p>
            <w:pPr>
              <w:spacing w:after="0"/>
              <w:rPr>
                <w:sz w:val="9"/>
                <w:szCs w:val="9"/>
                <w:color w:val="auto"/>
              </w:rPr>
            </w:pPr>
          </w:p>
        </w:tc>
        <w:tc>
          <w:tcPr>
            <w:tcW w:w="7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115"/>
        </w:trPr>
        <w:tc>
          <w:tcPr>
            <w:tcW w:w="780" w:type="dxa"/>
            <w:vAlign w:val="bottom"/>
          </w:tcPr>
          <w:p>
            <w:pPr>
              <w:ind w:left="60"/>
              <w:spacing w:after="0"/>
              <w:rPr>
                <w:sz w:val="20"/>
                <w:szCs w:val="20"/>
                <w:color w:val="auto"/>
              </w:rPr>
            </w:pPr>
            <w:r>
              <w:rPr>
                <w:rFonts w:ascii="Arial" w:cs="Arial" w:eastAsia="Arial" w:hAnsi="Arial"/>
                <w:sz w:val="10"/>
                <w:szCs w:val="10"/>
                <w:color w:val="auto"/>
              </w:rPr>
              <w:t>other Earnings</w:t>
            </w:r>
          </w:p>
        </w:tc>
        <w:tc>
          <w:tcPr>
            <w:tcW w:w="40" w:type="dxa"/>
            <w:vAlign w:val="bottom"/>
          </w:tcPr>
          <w:p>
            <w:pPr>
              <w:spacing w:after="0"/>
              <w:rPr>
                <w:sz w:val="9"/>
                <w:szCs w:val="9"/>
                <w:color w:val="auto"/>
              </w:rPr>
            </w:pPr>
          </w:p>
        </w:tc>
        <w:tc>
          <w:tcPr>
            <w:tcW w:w="66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Pr>
          <w:p>
            <w:pPr>
              <w:spacing w:after="0"/>
              <w:rPr>
                <w:sz w:val="9"/>
                <w:szCs w:val="9"/>
                <w:color w:val="auto"/>
              </w:rPr>
            </w:pPr>
          </w:p>
        </w:tc>
        <w:tc>
          <w:tcPr>
            <w:tcW w:w="7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115"/>
        </w:trPr>
        <w:tc>
          <w:tcPr>
            <w:tcW w:w="780" w:type="dxa"/>
            <w:vAlign w:val="bottom"/>
          </w:tcPr>
          <w:p>
            <w:pPr>
              <w:ind w:left="60"/>
              <w:spacing w:after="0"/>
              <w:rPr>
                <w:sz w:val="20"/>
                <w:szCs w:val="20"/>
                <w:color w:val="auto"/>
              </w:rPr>
            </w:pPr>
            <w:r>
              <w:rPr>
                <w:rFonts w:ascii="Arial" w:cs="Arial" w:eastAsia="Arial" w:hAnsi="Arial"/>
                <w:sz w:val="10"/>
                <w:szCs w:val="10"/>
                <w:color w:val="auto"/>
              </w:rPr>
              <w:t>Paid on Equity</w:t>
            </w:r>
          </w:p>
        </w:tc>
        <w:tc>
          <w:tcPr>
            <w:tcW w:w="40" w:type="dxa"/>
            <w:vAlign w:val="bottom"/>
          </w:tcPr>
          <w:p>
            <w:pPr>
              <w:spacing w:after="0"/>
              <w:rPr>
                <w:sz w:val="9"/>
                <w:szCs w:val="9"/>
                <w:color w:val="auto"/>
              </w:rPr>
            </w:pPr>
          </w:p>
        </w:tc>
        <w:tc>
          <w:tcPr>
            <w:tcW w:w="66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Pr>
          <w:p>
            <w:pPr>
              <w:spacing w:after="0"/>
              <w:rPr>
                <w:sz w:val="9"/>
                <w:szCs w:val="9"/>
                <w:color w:val="auto"/>
              </w:rPr>
            </w:pPr>
          </w:p>
        </w:tc>
        <w:tc>
          <w:tcPr>
            <w:tcW w:w="7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115"/>
        </w:trPr>
        <w:tc>
          <w:tcPr>
            <w:tcW w:w="780" w:type="dxa"/>
            <w:vAlign w:val="bottom"/>
          </w:tcPr>
          <w:p>
            <w:pPr>
              <w:ind w:left="60"/>
              <w:spacing w:after="0"/>
              <w:rPr>
                <w:sz w:val="20"/>
                <w:szCs w:val="20"/>
                <w:color w:val="auto"/>
              </w:rPr>
            </w:pPr>
            <w:r>
              <w:rPr>
                <w:rFonts w:ascii="Arial" w:cs="Arial" w:eastAsia="Arial" w:hAnsi="Arial"/>
                <w:sz w:val="10"/>
                <w:szCs w:val="10"/>
                <w:color w:val="auto"/>
              </w:rPr>
              <w:t>Awards Not</w:t>
            </w:r>
          </w:p>
        </w:tc>
        <w:tc>
          <w:tcPr>
            <w:tcW w:w="40" w:type="dxa"/>
            <w:vAlign w:val="bottom"/>
          </w:tcPr>
          <w:p>
            <w:pPr>
              <w:spacing w:after="0"/>
              <w:rPr>
                <w:sz w:val="9"/>
                <w:szCs w:val="9"/>
                <w:color w:val="auto"/>
              </w:rPr>
            </w:pPr>
          </w:p>
        </w:tc>
        <w:tc>
          <w:tcPr>
            <w:tcW w:w="66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Pr>
          <w:p>
            <w:pPr>
              <w:spacing w:after="0"/>
              <w:rPr>
                <w:sz w:val="9"/>
                <w:szCs w:val="9"/>
                <w:color w:val="auto"/>
              </w:rPr>
            </w:pPr>
          </w:p>
        </w:tc>
        <w:tc>
          <w:tcPr>
            <w:tcW w:w="7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115"/>
        </w:trPr>
        <w:tc>
          <w:tcPr>
            <w:tcW w:w="780" w:type="dxa"/>
            <w:vAlign w:val="bottom"/>
          </w:tcPr>
          <w:p>
            <w:pPr>
              <w:ind w:left="60"/>
              <w:spacing w:after="0"/>
              <w:rPr>
                <w:sz w:val="20"/>
                <w:szCs w:val="20"/>
                <w:color w:val="auto"/>
              </w:rPr>
            </w:pPr>
            <w:r>
              <w:rPr>
                <w:rFonts w:ascii="Arial" w:cs="Arial" w:eastAsia="Arial" w:hAnsi="Arial"/>
                <w:sz w:val="10"/>
                <w:szCs w:val="10"/>
                <w:color w:val="auto"/>
              </w:rPr>
              <w:t>Otherwise</w:t>
            </w:r>
          </w:p>
        </w:tc>
        <w:tc>
          <w:tcPr>
            <w:tcW w:w="40" w:type="dxa"/>
            <w:vAlign w:val="bottom"/>
          </w:tcPr>
          <w:p>
            <w:pPr>
              <w:spacing w:after="0"/>
              <w:rPr>
                <w:sz w:val="9"/>
                <w:szCs w:val="9"/>
                <w:color w:val="auto"/>
              </w:rPr>
            </w:pPr>
          </w:p>
        </w:tc>
        <w:tc>
          <w:tcPr>
            <w:tcW w:w="66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Pr>
          <w:p>
            <w:pPr>
              <w:spacing w:after="0"/>
              <w:rPr>
                <w:sz w:val="9"/>
                <w:szCs w:val="9"/>
                <w:color w:val="auto"/>
              </w:rPr>
            </w:pPr>
          </w:p>
        </w:tc>
        <w:tc>
          <w:tcPr>
            <w:tcW w:w="7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115"/>
        </w:trPr>
        <w:tc>
          <w:tcPr>
            <w:tcW w:w="780" w:type="dxa"/>
            <w:vAlign w:val="bottom"/>
          </w:tcPr>
          <w:p>
            <w:pPr>
              <w:ind w:left="60"/>
              <w:spacing w:after="0"/>
              <w:rPr>
                <w:sz w:val="20"/>
                <w:szCs w:val="20"/>
                <w:color w:val="auto"/>
              </w:rPr>
            </w:pPr>
            <w:r>
              <w:rPr>
                <w:rFonts w:ascii="Arial" w:cs="Arial" w:eastAsia="Arial" w:hAnsi="Arial"/>
                <w:sz w:val="10"/>
                <w:szCs w:val="10"/>
                <w:color w:val="auto"/>
              </w:rPr>
              <w:t>Reflected in</w:t>
            </w:r>
          </w:p>
        </w:tc>
        <w:tc>
          <w:tcPr>
            <w:tcW w:w="40" w:type="dxa"/>
            <w:vAlign w:val="bottom"/>
          </w:tcPr>
          <w:p>
            <w:pPr>
              <w:spacing w:after="0"/>
              <w:rPr>
                <w:sz w:val="9"/>
                <w:szCs w:val="9"/>
                <w:color w:val="auto"/>
              </w:rPr>
            </w:pPr>
          </w:p>
        </w:tc>
        <w:tc>
          <w:tcPr>
            <w:tcW w:w="66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Pr>
          <w:p>
            <w:pPr>
              <w:spacing w:after="0"/>
              <w:rPr>
                <w:sz w:val="9"/>
                <w:szCs w:val="9"/>
                <w:color w:val="auto"/>
              </w:rPr>
            </w:pPr>
          </w:p>
        </w:tc>
        <w:tc>
          <w:tcPr>
            <w:tcW w:w="7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115"/>
        </w:trPr>
        <w:tc>
          <w:tcPr>
            <w:tcW w:w="780" w:type="dxa"/>
            <w:vAlign w:val="bottom"/>
          </w:tcPr>
          <w:p>
            <w:pPr>
              <w:ind w:left="60"/>
              <w:spacing w:after="0"/>
              <w:rPr>
                <w:sz w:val="20"/>
                <w:szCs w:val="20"/>
                <w:color w:val="auto"/>
              </w:rPr>
            </w:pPr>
            <w:r>
              <w:rPr>
                <w:rFonts w:ascii="Arial" w:cs="Arial" w:eastAsia="Arial" w:hAnsi="Arial"/>
                <w:sz w:val="10"/>
                <w:szCs w:val="10"/>
                <w:color w:val="auto"/>
              </w:rPr>
              <w:t>Fair Value or</w:t>
            </w:r>
          </w:p>
        </w:tc>
        <w:tc>
          <w:tcPr>
            <w:tcW w:w="40" w:type="dxa"/>
            <w:vAlign w:val="bottom"/>
          </w:tcPr>
          <w:p>
            <w:pPr>
              <w:spacing w:after="0"/>
              <w:rPr>
                <w:sz w:val="9"/>
                <w:szCs w:val="9"/>
                <w:color w:val="auto"/>
              </w:rPr>
            </w:pPr>
          </w:p>
        </w:tc>
        <w:tc>
          <w:tcPr>
            <w:tcW w:w="66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Pr>
          <w:p>
            <w:pPr>
              <w:spacing w:after="0"/>
              <w:rPr>
                <w:sz w:val="9"/>
                <w:szCs w:val="9"/>
                <w:color w:val="auto"/>
              </w:rPr>
            </w:pPr>
          </w:p>
        </w:tc>
        <w:tc>
          <w:tcPr>
            <w:tcW w:w="7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115"/>
        </w:trPr>
        <w:tc>
          <w:tcPr>
            <w:tcW w:w="780" w:type="dxa"/>
            <w:vAlign w:val="bottom"/>
          </w:tcPr>
          <w:p>
            <w:pPr>
              <w:ind w:left="60"/>
              <w:spacing w:after="0"/>
              <w:rPr>
                <w:sz w:val="20"/>
                <w:szCs w:val="20"/>
                <w:color w:val="auto"/>
              </w:rPr>
            </w:pPr>
            <w:r>
              <w:rPr>
                <w:rFonts w:ascii="Arial" w:cs="Arial" w:eastAsia="Arial" w:hAnsi="Arial"/>
                <w:sz w:val="10"/>
                <w:szCs w:val="10"/>
                <w:color w:val="auto"/>
              </w:rPr>
              <w:t>Total</w:t>
            </w:r>
          </w:p>
        </w:tc>
        <w:tc>
          <w:tcPr>
            <w:tcW w:w="40" w:type="dxa"/>
            <w:vAlign w:val="bottom"/>
          </w:tcPr>
          <w:p>
            <w:pPr>
              <w:spacing w:after="0"/>
              <w:rPr>
                <w:sz w:val="9"/>
                <w:szCs w:val="9"/>
                <w:color w:val="auto"/>
              </w:rPr>
            </w:pPr>
          </w:p>
        </w:tc>
        <w:tc>
          <w:tcPr>
            <w:tcW w:w="66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Pr>
          <w:p>
            <w:pPr>
              <w:spacing w:after="0"/>
              <w:rPr>
                <w:sz w:val="9"/>
                <w:szCs w:val="9"/>
                <w:color w:val="auto"/>
              </w:rPr>
            </w:pPr>
          </w:p>
        </w:tc>
        <w:tc>
          <w:tcPr>
            <w:tcW w:w="7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115"/>
        </w:trPr>
        <w:tc>
          <w:tcPr>
            <w:tcW w:w="780" w:type="dxa"/>
            <w:vAlign w:val="bottom"/>
          </w:tcPr>
          <w:p>
            <w:pPr>
              <w:ind w:left="60"/>
              <w:spacing w:after="0"/>
              <w:rPr>
                <w:sz w:val="20"/>
                <w:szCs w:val="20"/>
                <w:color w:val="auto"/>
              </w:rPr>
            </w:pPr>
            <w:r>
              <w:rPr>
                <w:rFonts w:ascii="Arial" w:cs="Arial" w:eastAsia="Arial" w:hAnsi="Arial"/>
                <w:sz w:val="10"/>
                <w:szCs w:val="10"/>
                <w:color w:val="auto"/>
              </w:rPr>
              <w:t>Compensation</w:t>
            </w:r>
          </w:p>
        </w:tc>
        <w:tc>
          <w:tcPr>
            <w:tcW w:w="40" w:type="dxa"/>
            <w:vAlign w:val="bottom"/>
          </w:tcPr>
          <w:p>
            <w:pPr>
              <w:spacing w:after="0"/>
              <w:rPr>
                <w:sz w:val="9"/>
                <w:szCs w:val="9"/>
                <w:color w:val="auto"/>
              </w:rPr>
            </w:pPr>
          </w:p>
        </w:tc>
        <w:tc>
          <w:tcPr>
            <w:tcW w:w="66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Pr>
          <w:p>
            <w:pPr>
              <w:spacing w:after="0"/>
              <w:rPr>
                <w:sz w:val="9"/>
                <w:szCs w:val="9"/>
                <w:color w:val="auto"/>
              </w:rPr>
            </w:pPr>
          </w:p>
        </w:tc>
        <w:tc>
          <w:tcPr>
            <w:tcW w:w="7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115"/>
        </w:trPr>
        <w:tc>
          <w:tcPr>
            <w:tcW w:w="780" w:type="dxa"/>
            <w:vAlign w:val="bottom"/>
          </w:tcPr>
          <w:p>
            <w:pPr>
              <w:ind w:left="60"/>
              <w:spacing w:after="0"/>
              <w:rPr>
                <w:sz w:val="20"/>
                <w:szCs w:val="20"/>
                <w:color w:val="auto"/>
              </w:rPr>
            </w:pPr>
            <w:r>
              <w:rPr>
                <w:rFonts w:ascii="Arial" w:cs="Arial" w:eastAsia="Arial" w:hAnsi="Arial"/>
                <w:sz w:val="10"/>
                <w:szCs w:val="10"/>
                <w:color w:val="auto"/>
              </w:rPr>
              <w:t>for the Covered</w:t>
            </w:r>
          </w:p>
        </w:tc>
        <w:tc>
          <w:tcPr>
            <w:tcW w:w="40" w:type="dxa"/>
            <w:vAlign w:val="bottom"/>
          </w:tcPr>
          <w:p>
            <w:pPr>
              <w:spacing w:after="0"/>
              <w:rPr>
                <w:sz w:val="9"/>
                <w:szCs w:val="9"/>
                <w:color w:val="auto"/>
              </w:rPr>
            </w:pPr>
          </w:p>
        </w:tc>
        <w:tc>
          <w:tcPr>
            <w:tcW w:w="66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Pr>
          <w:p>
            <w:pPr>
              <w:spacing w:after="0"/>
              <w:rPr>
                <w:sz w:val="9"/>
                <w:szCs w:val="9"/>
                <w:color w:val="auto"/>
              </w:rPr>
            </w:pPr>
          </w:p>
        </w:tc>
        <w:tc>
          <w:tcPr>
            <w:tcW w:w="7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128"/>
        </w:trPr>
        <w:tc>
          <w:tcPr>
            <w:tcW w:w="780" w:type="dxa"/>
            <w:vAlign w:val="bottom"/>
          </w:tcPr>
          <w:p>
            <w:pPr>
              <w:ind w:left="60"/>
              <w:spacing w:after="0"/>
              <w:rPr>
                <w:sz w:val="20"/>
                <w:szCs w:val="20"/>
                <w:color w:val="auto"/>
              </w:rPr>
            </w:pPr>
            <w:r>
              <w:rPr>
                <w:rFonts w:ascii="Arial" w:cs="Arial" w:eastAsia="Arial" w:hAnsi="Arial"/>
                <w:sz w:val="10"/>
                <w:szCs w:val="10"/>
                <w:color w:val="auto"/>
              </w:rPr>
              <w:t>Year</w:t>
            </w:r>
          </w:p>
        </w:tc>
        <w:tc>
          <w:tcPr>
            <w:tcW w:w="40" w:type="dxa"/>
            <w:vAlign w:val="bottom"/>
          </w:tcPr>
          <w:p>
            <w:pPr>
              <w:spacing w:after="0"/>
              <w:rPr>
                <w:sz w:val="11"/>
                <w:szCs w:val="11"/>
                <w:color w:val="auto"/>
              </w:rPr>
            </w:pPr>
          </w:p>
        </w:tc>
        <w:tc>
          <w:tcPr>
            <w:tcW w:w="660" w:type="dxa"/>
            <w:vAlign w:val="bottom"/>
          </w:tcPr>
          <w:p>
            <w:pPr>
              <w:jc w:val="right"/>
              <w:ind w:right="30"/>
              <w:spacing w:after="0"/>
              <w:rPr>
                <w:sz w:val="20"/>
                <w:szCs w:val="20"/>
                <w:color w:val="auto"/>
              </w:rPr>
            </w:pPr>
            <w:r>
              <w:rPr>
                <w:rFonts w:ascii="Arial" w:cs="Arial" w:eastAsia="Arial" w:hAnsi="Arial"/>
                <w:sz w:val="10"/>
                <w:szCs w:val="10"/>
                <w:color w:val="auto"/>
              </w:rPr>
              <w:t>—</w:t>
            </w:r>
          </w:p>
        </w:tc>
        <w:tc>
          <w:tcPr>
            <w:tcW w:w="660" w:type="dxa"/>
            <w:vAlign w:val="bottom"/>
            <w:gridSpan w:val="2"/>
          </w:tcPr>
          <w:p>
            <w:pPr>
              <w:jc w:val="right"/>
              <w:ind w:right="8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0"/>
                <w:szCs w:val="10"/>
                <w:color w:val="auto"/>
              </w:rPr>
              <w:t>—</w:t>
            </w:r>
          </w:p>
        </w:tc>
        <w:tc>
          <w:tcPr>
            <w:tcW w:w="760" w:type="dxa"/>
            <w:vAlign w:val="bottom"/>
          </w:tcPr>
          <w:p>
            <w:pPr>
              <w:jc w:val="right"/>
              <w:ind w:right="70"/>
              <w:spacing w:after="0"/>
              <w:rPr>
                <w:sz w:val="20"/>
                <w:szCs w:val="20"/>
                <w:color w:val="auto"/>
              </w:rPr>
            </w:pPr>
            <w:r>
              <w:rPr>
                <w:rFonts w:ascii="Arial" w:cs="Arial" w:eastAsia="Arial" w:hAnsi="Arial"/>
                <w:sz w:val="10"/>
                <w:szCs w:val="10"/>
                <w:color w:val="auto"/>
              </w:rPr>
              <w:t>—</w:t>
            </w:r>
          </w:p>
        </w:tc>
        <w:tc>
          <w:tcPr>
            <w:tcW w:w="560" w:type="dxa"/>
            <w:vAlign w:val="bottom"/>
          </w:tcPr>
          <w:p>
            <w:pPr>
              <w:jc w:val="right"/>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auto"/>
              </w:rPr>
              <w:t>—</w:t>
            </w:r>
          </w:p>
        </w:tc>
        <w:tc>
          <w:tcPr>
            <w:tcW w:w="580" w:type="dxa"/>
            <w:vAlign w:val="bottom"/>
          </w:tcPr>
          <w:p>
            <w:pPr>
              <w:jc w:val="right"/>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64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560" w:type="dxa"/>
            <w:vAlign w:val="bottom"/>
          </w:tcPr>
          <w:p>
            <w:pPr>
              <w:jc w:val="right"/>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auto"/>
              </w:rPr>
              <w:t>—</w:t>
            </w:r>
          </w:p>
        </w:tc>
        <w:tc>
          <w:tcPr>
            <w:tcW w:w="600" w:type="dxa"/>
            <w:vAlign w:val="bottom"/>
            <w:gridSpan w:val="2"/>
          </w:tcPr>
          <w:p>
            <w:pPr>
              <w:jc w:val="right"/>
              <w:ind w:right="40"/>
              <w:spacing w:after="0"/>
              <w:rPr>
                <w:sz w:val="20"/>
                <w:szCs w:val="20"/>
                <w:color w:val="auto"/>
              </w:rPr>
            </w:pPr>
            <w:r>
              <w:rPr>
                <w:rFonts w:ascii="Arial" w:cs="Arial" w:eastAsia="Arial" w:hAnsi="Arial"/>
                <w:sz w:val="10"/>
                <w:szCs w:val="10"/>
                <w:color w:val="auto"/>
              </w:rPr>
              <w:t>—</w:t>
            </w:r>
          </w:p>
        </w:tc>
      </w:tr>
      <w:tr>
        <w:trPr>
          <w:trHeight w:val="102"/>
        </w:trPr>
        <w:tc>
          <w:tcPr>
            <w:tcW w:w="780" w:type="dxa"/>
            <w:vAlign w:val="bottom"/>
            <w:shd w:val="clear" w:color="auto" w:fill="F7F1EC"/>
          </w:tcPr>
          <w:p>
            <w:pPr>
              <w:ind w:left="60"/>
              <w:spacing w:after="0" w:line="102" w:lineRule="exact"/>
              <w:rPr>
                <w:sz w:val="20"/>
                <w:szCs w:val="20"/>
                <w:color w:val="auto"/>
              </w:rPr>
            </w:pPr>
            <w:r>
              <w:rPr>
                <w:rFonts w:ascii="Arial" w:cs="Arial" w:eastAsia="Arial" w:hAnsi="Arial"/>
                <w:sz w:val="10"/>
                <w:szCs w:val="10"/>
                <w:b w:val="1"/>
                <w:bCs w:val="1"/>
                <w:color w:val="auto"/>
              </w:rPr>
              <w:t>Compensation</w:t>
            </w:r>
          </w:p>
        </w:tc>
        <w:tc>
          <w:tcPr>
            <w:tcW w:w="40" w:type="dxa"/>
            <w:vAlign w:val="bottom"/>
            <w:shd w:val="clear" w:color="auto" w:fill="F7F1EC"/>
          </w:tcPr>
          <w:p>
            <w:pPr>
              <w:spacing w:after="0"/>
              <w:rPr>
                <w:sz w:val="8"/>
                <w:szCs w:val="8"/>
                <w:color w:val="auto"/>
              </w:rPr>
            </w:pPr>
          </w:p>
        </w:tc>
        <w:tc>
          <w:tcPr>
            <w:tcW w:w="660" w:type="dxa"/>
            <w:vAlign w:val="bottom"/>
            <w:shd w:val="clear" w:color="auto" w:fill="F7F1EC"/>
          </w:tcPr>
          <w:p>
            <w:pPr>
              <w:spacing w:after="0"/>
              <w:rPr>
                <w:sz w:val="8"/>
                <w:szCs w:val="8"/>
                <w:color w:val="auto"/>
              </w:rPr>
            </w:pPr>
          </w:p>
        </w:tc>
        <w:tc>
          <w:tcPr>
            <w:tcW w:w="580" w:type="dxa"/>
            <w:vAlign w:val="bottom"/>
            <w:shd w:val="clear" w:color="auto" w:fill="F7F1EC"/>
          </w:tcPr>
          <w:p>
            <w:pPr>
              <w:spacing w:after="0"/>
              <w:rPr>
                <w:sz w:val="8"/>
                <w:szCs w:val="8"/>
                <w:color w:val="auto"/>
              </w:rPr>
            </w:pPr>
          </w:p>
        </w:tc>
        <w:tc>
          <w:tcPr>
            <w:tcW w:w="80" w:type="dxa"/>
            <w:vAlign w:val="bottom"/>
            <w:shd w:val="clear" w:color="auto" w:fill="F7F1EC"/>
          </w:tcPr>
          <w:p>
            <w:pPr>
              <w:spacing w:after="0"/>
              <w:rPr>
                <w:sz w:val="8"/>
                <w:szCs w:val="8"/>
                <w:color w:val="auto"/>
              </w:rPr>
            </w:pPr>
          </w:p>
        </w:tc>
        <w:tc>
          <w:tcPr>
            <w:tcW w:w="40" w:type="dxa"/>
            <w:vAlign w:val="bottom"/>
            <w:shd w:val="clear" w:color="auto" w:fill="F7F1EC"/>
          </w:tcPr>
          <w:p>
            <w:pPr>
              <w:spacing w:after="0"/>
              <w:rPr>
                <w:sz w:val="8"/>
                <w:szCs w:val="8"/>
                <w:color w:val="auto"/>
              </w:rPr>
            </w:pPr>
          </w:p>
        </w:tc>
        <w:tc>
          <w:tcPr>
            <w:tcW w:w="560" w:type="dxa"/>
            <w:vAlign w:val="bottom"/>
            <w:shd w:val="clear" w:color="auto" w:fill="F7F1EC"/>
          </w:tcPr>
          <w:p>
            <w:pPr>
              <w:spacing w:after="0"/>
              <w:rPr>
                <w:sz w:val="8"/>
                <w:szCs w:val="8"/>
                <w:color w:val="auto"/>
              </w:rPr>
            </w:pPr>
          </w:p>
        </w:tc>
        <w:tc>
          <w:tcPr>
            <w:tcW w:w="760" w:type="dxa"/>
            <w:vAlign w:val="bottom"/>
            <w:shd w:val="clear" w:color="auto" w:fill="F7F1EC"/>
          </w:tcPr>
          <w:p>
            <w:pPr>
              <w:spacing w:after="0"/>
              <w:rPr>
                <w:sz w:val="8"/>
                <w:szCs w:val="8"/>
                <w:color w:val="auto"/>
              </w:rPr>
            </w:pPr>
          </w:p>
        </w:tc>
        <w:tc>
          <w:tcPr>
            <w:tcW w:w="560" w:type="dxa"/>
            <w:vAlign w:val="bottom"/>
            <w:shd w:val="clear" w:color="auto" w:fill="F7F1EC"/>
          </w:tcPr>
          <w:p>
            <w:pPr>
              <w:spacing w:after="0"/>
              <w:rPr>
                <w:sz w:val="8"/>
                <w:szCs w:val="8"/>
                <w:color w:val="auto"/>
              </w:rPr>
            </w:pPr>
          </w:p>
        </w:tc>
        <w:tc>
          <w:tcPr>
            <w:tcW w:w="100" w:type="dxa"/>
            <w:vAlign w:val="bottom"/>
            <w:shd w:val="clear" w:color="auto" w:fill="F7F1EC"/>
          </w:tcPr>
          <w:p>
            <w:pPr>
              <w:spacing w:after="0"/>
              <w:rPr>
                <w:sz w:val="8"/>
                <w:szCs w:val="8"/>
                <w:color w:val="auto"/>
              </w:rPr>
            </w:pPr>
          </w:p>
        </w:tc>
        <w:tc>
          <w:tcPr>
            <w:tcW w:w="620" w:type="dxa"/>
            <w:vAlign w:val="bottom"/>
            <w:shd w:val="clear" w:color="auto" w:fill="F7F1EC"/>
          </w:tcPr>
          <w:p>
            <w:pPr>
              <w:spacing w:after="0"/>
              <w:rPr>
                <w:sz w:val="8"/>
                <w:szCs w:val="8"/>
                <w:color w:val="auto"/>
              </w:rPr>
            </w:pPr>
          </w:p>
        </w:tc>
        <w:tc>
          <w:tcPr>
            <w:tcW w:w="580" w:type="dxa"/>
            <w:vAlign w:val="bottom"/>
            <w:shd w:val="clear" w:color="auto" w:fill="F7F1EC"/>
          </w:tcPr>
          <w:p>
            <w:pPr>
              <w:spacing w:after="0"/>
              <w:rPr>
                <w:sz w:val="8"/>
                <w:szCs w:val="8"/>
                <w:color w:val="auto"/>
              </w:rPr>
            </w:pPr>
          </w:p>
        </w:tc>
        <w:tc>
          <w:tcPr>
            <w:tcW w:w="80" w:type="dxa"/>
            <w:vAlign w:val="bottom"/>
            <w:shd w:val="clear" w:color="auto" w:fill="F7F1EC"/>
          </w:tcPr>
          <w:p>
            <w:pPr>
              <w:spacing w:after="0"/>
              <w:rPr>
                <w:sz w:val="8"/>
                <w:szCs w:val="8"/>
                <w:color w:val="auto"/>
              </w:rPr>
            </w:pPr>
          </w:p>
        </w:tc>
        <w:tc>
          <w:tcPr>
            <w:tcW w:w="640" w:type="dxa"/>
            <w:vAlign w:val="bottom"/>
            <w:shd w:val="clear" w:color="auto" w:fill="F7F1EC"/>
          </w:tcPr>
          <w:p>
            <w:pPr>
              <w:spacing w:after="0"/>
              <w:rPr>
                <w:sz w:val="8"/>
                <w:szCs w:val="8"/>
                <w:color w:val="auto"/>
              </w:rPr>
            </w:pPr>
          </w:p>
        </w:tc>
        <w:tc>
          <w:tcPr>
            <w:tcW w:w="560" w:type="dxa"/>
            <w:vAlign w:val="bottom"/>
            <w:shd w:val="clear" w:color="auto" w:fill="F7F1EC"/>
          </w:tcPr>
          <w:p>
            <w:pPr>
              <w:spacing w:after="0"/>
              <w:rPr>
                <w:sz w:val="8"/>
                <w:szCs w:val="8"/>
                <w:color w:val="auto"/>
              </w:rPr>
            </w:pPr>
          </w:p>
        </w:tc>
        <w:tc>
          <w:tcPr>
            <w:tcW w:w="100" w:type="dxa"/>
            <w:vAlign w:val="bottom"/>
            <w:shd w:val="clear" w:color="auto" w:fill="F7F1EC"/>
          </w:tcPr>
          <w:p>
            <w:pPr>
              <w:spacing w:after="0"/>
              <w:rPr>
                <w:sz w:val="8"/>
                <w:szCs w:val="8"/>
                <w:color w:val="auto"/>
              </w:rPr>
            </w:pPr>
          </w:p>
        </w:tc>
        <w:tc>
          <w:tcPr>
            <w:tcW w:w="620" w:type="dxa"/>
            <w:vAlign w:val="bottom"/>
            <w:shd w:val="clear" w:color="auto" w:fill="F7F1EC"/>
          </w:tcPr>
          <w:p>
            <w:pPr>
              <w:spacing w:after="0"/>
              <w:rPr>
                <w:sz w:val="8"/>
                <w:szCs w:val="8"/>
                <w:color w:val="auto"/>
              </w:rPr>
            </w:pPr>
          </w:p>
        </w:tc>
        <w:tc>
          <w:tcPr>
            <w:tcW w:w="560" w:type="dxa"/>
            <w:vAlign w:val="bottom"/>
            <w:shd w:val="clear" w:color="auto" w:fill="F7F1EC"/>
          </w:tcPr>
          <w:p>
            <w:pPr>
              <w:spacing w:after="0"/>
              <w:rPr>
                <w:sz w:val="8"/>
                <w:szCs w:val="8"/>
                <w:color w:val="auto"/>
              </w:rPr>
            </w:pPr>
          </w:p>
        </w:tc>
        <w:tc>
          <w:tcPr>
            <w:tcW w:w="40" w:type="dxa"/>
            <w:vAlign w:val="bottom"/>
            <w:shd w:val="clear" w:color="auto" w:fill="F7F1EC"/>
          </w:tcPr>
          <w:p>
            <w:pPr>
              <w:spacing w:after="0"/>
              <w:rPr>
                <w:sz w:val="8"/>
                <w:szCs w:val="8"/>
                <w:color w:val="auto"/>
              </w:rPr>
            </w:pPr>
          </w:p>
        </w:tc>
      </w:tr>
      <w:tr>
        <w:trPr>
          <w:trHeight w:val="128"/>
        </w:trPr>
        <w:tc>
          <w:tcPr>
            <w:tcW w:w="780" w:type="dxa"/>
            <w:vAlign w:val="bottom"/>
            <w:shd w:val="clear" w:color="auto" w:fill="F7F1EC"/>
          </w:tcPr>
          <w:p>
            <w:pPr>
              <w:ind w:left="60"/>
              <w:spacing w:after="0"/>
              <w:rPr>
                <w:sz w:val="20"/>
                <w:szCs w:val="20"/>
                <w:color w:val="auto"/>
              </w:rPr>
            </w:pPr>
            <w:r>
              <w:rPr>
                <w:rFonts w:ascii="Arial" w:cs="Arial" w:eastAsia="Arial" w:hAnsi="Arial"/>
                <w:sz w:val="10"/>
                <w:szCs w:val="10"/>
                <w:b w:val="1"/>
                <w:bCs w:val="1"/>
                <w:color w:val="auto"/>
              </w:rPr>
              <w:t>Actually Paid</w:t>
            </w:r>
          </w:p>
        </w:tc>
        <w:tc>
          <w:tcPr>
            <w:tcW w:w="700" w:type="dxa"/>
            <w:vAlign w:val="bottom"/>
            <w:gridSpan w:val="2"/>
            <w:shd w:val="clear" w:color="auto" w:fill="F7F1EC"/>
          </w:tcPr>
          <w:p>
            <w:pPr>
              <w:jc w:val="right"/>
              <w:ind w:right="30"/>
              <w:spacing w:after="0"/>
              <w:rPr>
                <w:sz w:val="20"/>
                <w:szCs w:val="20"/>
                <w:color w:val="auto"/>
              </w:rPr>
            </w:pPr>
            <w:r>
              <w:rPr>
                <w:rFonts w:ascii="Arial" w:cs="Arial" w:eastAsia="Arial" w:hAnsi="Arial"/>
                <w:sz w:val="10"/>
                <w:szCs w:val="10"/>
                <w:b w:val="1"/>
                <w:bCs w:val="1"/>
                <w:color w:val="auto"/>
              </w:rPr>
              <w:t>$ 12,885,464</w:t>
            </w:r>
          </w:p>
        </w:tc>
        <w:tc>
          <w:tcPr>
            <w:tcW w:w="580" w:type="dxa"/>
            <w:vAlign w:val="bottom"/>
            <w:shd w:val="clear" w:color="auto" w:fill="F7F1EC"/>
          </w:tcPr>
          <w:p>
            <w:pPr>
              <w:jc w:val="right"/>
              <w:spacing w:after="0"/>
              <w:rPr>
                <w:sz w:val="20"/>
                <w:szCs w:val="20"/>
                <w:color w:val="auto"/>
              </w:rPr>
            </w:pPr>
            <w:r>
              <w:rPr>
                <w:rFonts w:ascii="Arial" w:cs="Arial" w:eastAsia="Arial" w:hAnsi="Arial"/>
                <w:sz w:val="10"/>
                <w:szCs w:val="10"/>
                <w:b w:val="1"/>
                <w:bCs w:val="1"/>
                <w:color w:val="auto"/>
              </w:rPr>
              <w:t>$ 4,688,898</w:t>
            </w:r>
          </w:p>
        </w:tc>
        <w:tc>
          <w:tcPr>
            <w:tcW w:w="80" w:type="dxa"/>
            <w:vAlign w:val="bottom"/>
            <w:shd w:val="clear" w:color="auto" w:fill="F7F1EC"/>
          </w:tcPr>
          <w:p>
            <w:pPr>
              <w:spacing w:after="0"/>
              <w:rPr>
                <w:sz w:val="11"/>
                <w:szCs w:val="11"/>
                <w:color w:val="auto"/>
              </w:rPr>
            </w:pPr>
          </w:p>
        </w:tc>
        <w:tc>
          <w:tcPr>
            <w:tcW w:w="600" w:type="dxa"/>
            <w:vAlign w:val="bottom"/>
            <w:gridSpan w:val="2"/>
            <w:shd w:val="clear" w:color="auto" w:fill="F7F1EC"/>
          </w:tcPr>
          <w:p>
            <w:pPr>
              <w:jc w:val="right"/>
              <w:spacing w:after="0"/>
              <w:rPr>
                <w:sz w:val="20"/>
                <w:szCs w:val="20"/>
                <w:color w:val="auto"/>
              </w:rPr>
            </w:pPr>
            <w:r>
              <w:rPr>
                <w:rFonts w:ascii="Arial" w:cs="Arial" w:eastAsia="Arial" w:hAnsi="Arial"/>
                <w:sz w:val="10"/>
                <w:szCs w:val="10"/>
                <w:b w:val="1"/>
                <w:bCs w:val="1"/>
                <w:color w:val="auto"/>
              </w:rPr>
              <w:t>$ 7,307,861</w:t>
            </w:r>
          </w:p>
        </w:tc>
        <w:tc>
          <w:tcPr>
            <w:tcW w:w="760" w:type="dxa"/>
            <w:vAlign w:val="bottom"/>
            <w:shd w:val="clear" w:color="auto" w:fill="F7F1EC"/>
          </w:tcPr>
          <w:p>
            <w:pPr>
              <w:jc w:val="right"/>
              <w:ind w:right="50"/>
              <w:spacing w:after="0"/>
              <w:rPr>
                <w:sz w:val="20"/>
                <w:szCs w:val="20"/>
                <w:color w:val="auto"/>
              </w:rPr>
            </w:pPr>
            <w:r>
              <w:rPr>
                <w:rFonts w:ascii="Arial" w:cs="Arial" w:eastAsia="Arial" w:hAnsi="Arial"/>
                <w:sz w:val="10"/>
                <w:szCs w:val="10"/>
                <w:b w:val="1"/>
                <w:bCs w:val="1"/>
                <w:color w:val="auto"/>
              </w:rPr>
              <w:t>$ (4,697,749)</w:t>
            </w:r>
          </w:p>
        </w:tc>
        <w:tc>
          <w:tcPr>
            <w:tcW w:w="560" w:type="dxa"/>
            <w:vAlign w:val="bottom"/>
            <w:shd w:val="clear" w:color="auto" w:fill="F7F1EC"/>
          </w:tcPr>
          <w:p>
            <w:pPr>
              <w:jc w:val="right"/>
              <w:spacing w:after="0"/>
              <w:rPr>
                <w:sz w:val="20"/>
                <w:szCs w:val="20"/>
                <w:color w:val="auto"/>
              </w:rPr>
            </w:pPr>
            <w:r>
              <w:rPr>
                <w:rFonts w:ascii="Arial" w:cs="Arial" w:eastAsia="Arial" w:hAnsi="Arial"/>
                <w:sz w:val="10"/>
                <w:szCs w:val="10"/>
                <w:b w:val="1"/>
                <w:bCs w:val="1"/>
                <w:color w:val="auto"/>
              </w:rPr>
              <w:t>$ 5,178,086</w:t>
            </w:r>
          </w:p>
        </w:tc>
        <w:tc>
          <w:tcPr>
            <w:tcW w:w="720" w:type="dxa"/>
            <w:vAlign w:val="bottom"/>
            <w:gridSpan w:val="2"/>
            <w:shd w:val="clear" w:color="auto" w:fill="F7F1EC"/>
          </w:tcPr>
          <w:p>
            <w:pPr>
              <w:jc w:val="right"/>
              <w:spacing w:after="0"/>
              <w:rPr>
                <w:sz w:val="20"/>
                <w:szCs w:val="20"/>
                <w:color w:val="auto"/>
              </w:rPr>
            </w:pPr>
            <w:r>
              <w:rPr>
                <w:rFonts w:ascii="Arial" w:cs="Arial" w:eastAsia="Arial" w:hAnsi="Arial"/>
                <w:sz w:val="10"/>
                <w:szCs w:val="10"/>
                <w:b w:val="1"/>
                <w:bCs w:val="1"/>
                <w:color w:val="auto"/>
              </w:rPr>
              <w:t>$ 18,786,197</w:t>
            </w:r>
          </w:p>
        </w:tc>
        <w:tc>
          <w:tcPr>
            <w:tcW w:w="580" w:type="dxa"/>
            <w:vAlign w:val="bottom"/>
            <w:shd w:val="clear" w:color="auto" w:fill="F7F1EC"/>
          </w:tcPr>
          <w:p>
            <w:pPr>
              <w:jc w:val="right"/>
              <w:spacing w:after="0"/>
              <w:rPr>
                <w:sz w:val="20"/>
                <w:szCs w:val="20"/>
                <w:color w:val="auto"/>
              </w:rPr>
            </w:pPr>
            <w:r>
              <w:rPr>
                <w:rFonts w:ascii="Arial" w:cs="Arial" w:eastAsia="Arial" w:hAnsi="Arial"/>
                <w:sz w:val="10"/>
                <w:szCs w:val="10"/>
                <w:b w:val="1"/>
                <w:bCs w:val="1"/>
                <w:color w:val="auto"/>
              </w:rPr>
              <w:t>$ 3,697,130</w:t>
            </w:r>
          </w:p>
        </w:tc>
        <w:tc>
          <w:tcPr>
            <w:tcW w:w="720" w:type="dxa"/>
            <w:vAlign w:val="bottom"/>
            <w:gridSpan w:val="2"/>
            <w:shd w:val="clear" w:color="auto" w:fill="F7F1EC"/>
          </w:tcPr>
          <w:p>
            <w:pPr>
              <w:jc w:val="right"/>
              <w:ind w:right="11"/>
              <w:spacing w:after="0"/>
              <w:rPr>
                <w:sz w:val="20"/>
                <w:szCs w:val="20"/>
                <w:color w:val="auto"/>
              </w:rPr>
            </w:pPr>
            <w:r>
              <w:rPr>
                <w:rFonts w:ascii="Arial" w:cs="Arial" w:eastAsia="Arial" w:hAnsi="Arial"/>
                <w:sz w:val="10"/>
                <w:szCs w:val="10"/>
                <w:b w:val="1"/>
                <w:bCs w:val="1"/>
                <w:color w:val="auto"/>
              </w:rPr>
              <w:t>$ 28,454,770</w:t>
            </w:r>
          </w:p>
        </w:tc>
        <w:tc>
          <w:tcPr>
            <w:tcW w:w="560" w:type="dxa"/>
            <w:vAlign w:val="bottom"/>
            <w:shd w:val="clear" w:color="auto" w:fill="F7F1EC"/>
          </w:tcPr>
          <w:p>
            <w:pPr>
              <w:jc w:val="right"/>
              <w:spacing w:after="0"/>
              <w:rPr>
                <w:sz w:val="20"/>
                <w:szCs w:val="20"/>
                <w:color w:val="auto"/>
              </w:rPr>
            </w:pPr>
            <w:r>
              <w:rPr>
                <w:rFonts w:ascii="Arial" w:cs="Arial" w:eastAsia="Arial" w:hAnsi="Arial"/>
                <w:sz w:val="10"/>
                <w:szCs w:val="10"/>
                <w:b w:val="1"/>
                <w:bCs w:val="1"/>
                <w:color w:val="auto"/>
              </w:rPr>
              <w:t>$ 4,710,541</w:t>
            </w:r>
          </w:p>
        </w:tc>
        <w:tc>
          <w:tcPr>
            <w:tcW w:w="720" w:type="dxa"/>
            <w:vAlign w:val="bottom"/>
            <w:gridSpan w:val="2"/>
            <w:shd w:val="clear" w:color="auto" w:fill="F7F1EC"/>
          </w:tcPr>
          <w:p>
            <w:pPr>
              <w:jc w:val="right"/>
              <w:spacing w:after="0"/>
              <w:rPr>
                <w:sz w:val="20"/>
                <w:szCs w:val="20"/>
                <w:color w:val="auto"/>
              </w:rPr>
            </w:pPr>
            <w:r>
              <w:rPr>
                <w:rFonts w:ascii="Arial" w:cs="Arial" w:eastAsia="Arial" w:hAnsi="Arial"/>
                <w:sz w:val="10"/>
                <w:szCs w:val="10"/>
                <w:b w:val="1"/>
                <w:bCs w:val="1"/>
                <w:color w:val="auto"/>
              </w:rPr>
              <w:t>$ 23,880,808</w:t>
            </w:r>
          </w:p>
        </w:tc>
        <w:tc>
          <w:tcPr>
            <w:tcW w:w="560" w:type="dxa"/>
            <w:vAlign w:val="bottom"/>
            <w:shd w:val="clear" w:color="auto" w:fill="F7F1EC"/>
          </w:tcPr>
          <w:p>
            <w:pPr>
              <w:jc w:val="right"/>
              <w:spacing w:after="0"/>
              <w:rPr>
                <w:sz w:val="20"/>
                <w:szCs w:val="20"/>
                <w:color w:val="auto"/>
              </w:rPr>
            </w:pPr>
            <w:r>
              <w:rPr>
                <w:rFonts w:ascii="Arial" w:cs="Arial" w:eastAsia="Arial" w:hAnsi="Arial"/>
                <w:sz w:val="10"/>
                <w:szCs w:val="10"/>
                <w:b w:val="1"/>
                <w:bCs w:val="1"/>
                <w:color w:val="auto"/>
              </w:rPr>
              <w:t>$ 5,647,041</w:t>
            </w:r>
          </w:p>
        </w:tc>
        <w:tc>
          <w:tcPr>
            <w:tcW w:w="40" w:type="dxa"/>
            <w:vAlign w:val="bottom"/>
            <w:shd w:val="clear" w:color="auto" w:fill="F7F1EC"/>
          </w:tcPr>
          <w:p>
            <w:pPr>
              <w:spacing w:after="0"/>
              <w:rPr>
                <w:sz w:val="11"/>
                <w:szCs w:val="11"/>
                <w:color w:val="auto"/>
              </w:rPr>
            </w:pPr>
          </w:p>
        </w:tc>
      </w:tr>
    </w:tbl>
    <w:p>
      <w:pPr>
        <w:spacing w:after="0" w:line="84" w:lineRule="exact"/>
        <w:rPr>
          <w:sz w:val="20"/>
          <w:szCs w:val="20"/>
          <w:color w:val="auto"/>
        </w:rPr>
      </w:pPr>
    </w:p>
    <w:p>
      <w:pPr>
        <w:spacing w:after="0"/>
        <w:rPr>
          <w:sz w:val="20"/>
          <w:szCs w:val="20"/>
          <w:color w:val="auto"/>
        </w:rPr>
      </w:pPr>
      <w:r>
        <w:rPr>
          <w:rFonts w:ascii="Arial" w:cs="Arial" w:eastAsia="Arial" w:hAnsi="Arial"/>
          <w:sz w:val="12"/>
          <w:szCs w:val="12"/>
          <w:color w:val="auto"/>
        </w:rPr>
        <w:t>Totals may not foot due to rounding.</w:t>
      </w:r>
    </w:p>
    <w:p>
      <w:pPr>
        <w:spacing w:after="0" w:line="51" w:lineRule="exact"/>
        <w:rPr>
          <w:sz w:val="20"/>
          <w:szCs w:val="20"/>
          <w:color w:val="auto"/>
        </w:rPr>
      </w:pPr>
    </w:p>
    <w:p>
      <w:pPr>
        <w:spacing w:after="0" w:line="234" w:lineRule="auto"/>
        <w:rPr>
          <w:sz w:val="20"/>
          <w:szCs w:val="20"/>
          <w:color w:val="auto"/>
        </w:rPr>
      </w:pPr>
      <w:r>
        <w:rPr>
          <w:rFonts w:ascii="Arial" w:cs="Arial" w:eastAsia="Arial" w:hAnsi="Arial"/>
          <w:sz w:val="14"/>
          <w:szCs w:val="14"/>
          <w:color w:val="auto"/>
        </w:rPr>
        <w:t>In the table above, the unvested equity values are computed in accordance with the methodology used for financial reporting purposes, and for unvested awards subject to performance-based vesting conditions, based on the probable outcome of such performance-based vesting conditions as of the last day of the year. For the change in fair value of stock options, we used the Black-Scholes option pricing model with corresponding assumptions (risk-free interest rate, dividend yield, expected volatility factor and expected option life) determined as of the applicable measurement date. Otherwise, the valuation assumptions used to calculate fair values did not materially differ from those used in our disclosures of fair value as of the grant date.</w:t>
      </w:r>
    </w:p>
    <w:p>
      <w:pPr>
        <w:spacing w:after="0" w:line="31" w:lineRule="exact"/>
        <w:rPr>
          <w:sz w:val="20"/>
          <w:szCs w:val="20"/>
          <w:color w:val="auto"/>
        </w:rPr>
      </w:pPr>
    </w:p>
    <w:p>
      <w:pPr>
        <w:ind w:left="240" w:right="20" w:hanging="233"/>
        <w:spacing w:after="0" w:line="256" w:lineRule="auto"/>
        <w:tabs>
          <w:tab w:leader="none" w:pos="240" w:val="left"/>
        </w:tabs>
        <w:numPr>
          <w:ilvl w:val="0"/>
          <w:numId w:val="89"/>
        </w:numPr>
        <w:rPr>
          <w:rFonts w:ascii="Arial" w:cs="Arial" w:eastAsia="Arial" w:hAnsi="Arial"/>
          <w:sz w:val="12"/>
          <w:szCs w:val="12"/>
          <w:color w:val="auto"/>
        </w:rPr>
      </w:pPr>
      <w:r>
        <w:rPr>
          <w:rFonts w:ascii="Arial" w:cs="Arial" w:eastAsia="Arial" w:hAnsi="Arial"/>
          <w:sz w:val="12"/>
          <w:szCs w:val="12"/>
          <w:color w:val="auto"/>
        </w:rPr>
        <w:t>Total Shareholder Return (TSR) is cumulative for the measurement periods beginning on December 31, 2020 and ending on December 31 of each of 2025, 2024, 2023, 2022 and 2021, respectively, calculated in accordance with Item 201(e) of Regulation S-K.</w:t>
      </w:r>
    </w:p>
    <w:p>
      <w:pPr>
        <w:spacing w:after="0" w:line="24" w:lineRule="exact"/>
        <w:rPr>
          <w:rFonts w:ascii="Arial" w:cs="Arial" w:eastAsia="Arial" w:hAnsi="Arial"/>
          <w:sz w:val="12"/>
          <w:szCs w:val="12"/>
          <w:color w:val="auto"/>
        </w:rPr>
      </w:pPr>
    </w:p>
    <w:p>
      <w:pPr>
        <w:ind w:left="240" w:right="360" w:hanging="233"/>
        <w:spacing w:after="0" w:line="256" w:lineRule="auto"/>
        <w:tabs>
          <w:tab w:leader="none" w:pos="240" w:val="left"/>
        </w:tabs>
        <w:numPr>
          <w:ilvl w:val="0"/>
          <w:numId w:val="89"/>
        </w:numPr>
        <w:rPr>
          <w:rFonts w:ascii="Arial" w:cs="Arial" w:eastAsia="Arial" w:hAnsi="Arial"/>
          <w:sz w:val="12"/>
          <w:szCs w:val="12"/>
          <w:color w:val="auto"/>
        </w:rPr>
      </w:pPr>
      <w:r>
        <w:rPr>
          <w:rFonts w:ascii="Arial" w:cs="Arial" w:eastAsia="Arial" w:hAnsi="Arial"/>
          <w:sz w:val="12"/>
          <w:szCs w:val="12"/>
          <w:color w:val="auto"/>
        </w:rPr>
        <w:t>“Peer Group” represents the S&amp;P 500 Financial Sector Index, which is used by the Company for purposes of compliance with Item 201(e) of Regulation S-K.</w:t>
      </w:r>
    </w:p>
    <w:p>
      <w:pPr>
        <w:spacing w:after="0" w:line="24" w:lineRule="exact"/>
        <w:rPr>
          <w:rFonts w:ascii="Arial" w:cs="Arial" w:eastAsia="Arial" w:hAnsi="Arial"/>
          <w:sz w:val="12"/>
          <w:szCs w:val="12"/>
          <w:color w:val="auto"/>
        </w:rPr>
      </w:pPr>
    </w:p>
    <w:p>
      <w:pPr>
        <w:ind w:left="240" w:hanging="233"/>
        <w:spacing w:after="0"/>
        <w:tabs>
          <w:tab w:leader="none" w:pos="240" w:val="left"/>
        </w:tabs>
        <w:numPr>
          <w:ilvl w:val="0"/>
          <w:numId w:val="89"/>
        </w:numPr>
        <w:rPr>
          <w:rFonts w:ascii="Arial" w:cs="Arial" w:eastAsia="Arial" w:hAnsi="Arial"/>
          <w:sz w:val="12"/>
          <w:szCs w:val="12"/>
          <w:color w:val="auto"/>
        </w:rPr>
      </w:pPr>
      <w:r>
        <w:rPr>
          <w:rFonts w:ascii="Arial" w:cs="Arial" w:eastAsia="Arial" w:hAnsi="Arial"/>
          <w:sz w:val="12"/>
          <w:szCs w:val="12"/>
          <w:color w:val="auto"/>
        </w:rPr>
        <w:t>This column reflects net income as reported for each year in the Company’s Annual Report on Form 10-K.</w:t>
      </w:r>
    </w:p>
    <w:p>
      <w:pPr>
        <w:spacing w:after="0" w:line="53" w:lineRule="exact"/>
        <w:rPr>
          <w:rFonts w:ascii="Arial" w:cs="Arial" w:eastAsia="Arial" w:hAnsi="Arial"/>
          <w:sz w:val="12"/>
          <w:szCs w:val="12"/>
          <w:color w:val="auto"/>
        </w:rPr>
      </w:pPr>
    </w:p>
    <w:p>
      <w:pPr>
        <w:ind w:left="240" w:right="320" w:hanging="233"/>
        <w:spacing w:after="0" w:line="239" w:lineRule="auto"/>
        <w:tabs>
          <w:tab w:leader="none" w:pos="240" w:val="left"/>
        </w:tabs>
        <w:numPr>
          <w:ilvl w:val="0"/>
          <w:numId w:val="89"/>
        </w:numPr>
        <w:rPr>
          <w:rFonts w:ascii="Arial" w:cs="Arial" w:eastAsia="Arial" w:hAnsi="Arial"/>
          <w:sz w:val="12"/>
          <w:szCs w:val="12"/>
          <w:color w:val="auto"/>
        </w:rPr>
      </w:pPr>
      <w:r>
        <w:rPr>
          <w:rFonts w:ascii="Arial" w:cs="Arial" w:eastAsia="Arial" w:hAnsi="Arial"/>
          <w:sz w:val="12"/>
          <w:szCs w:val="12"/>
          <w:color w:val="auto"/>
        </w:rPr>
        <w:t>Incentive EBITDA is the company selected measure and is defined as Adjusted EBITDA, further adjusted to exclude the impact of certain acquisitions or integrations during the periods. See Appendix A in this Proxy Statement for a reconciliation of Incentive EBITDA, a non-GAAP measure, to net income, the most directly comparable GAAP measure.</w:t>
      </w:r>
    </w:p>
    <w:p>
      <w:pPr>
        <w:spacing w:after="0" w:line="200" w:lineRule="exact"/>
        <w:rPr>
          <w:sz w:val="20"/>
          <w:szCs w:val="20"/>
          <w:color w:val="auto"/>
        </w:rPr>
      </w:pPr>
    </w:p>
    <w:p>
      <w:pPr>
        <w:sectPr>
          <w:pgSz w:w="11900" w:h="16838" w:orient="portrait"/>
          <w:cols w:equalWidth="0" w:num="2">
            <w:col w:w="2160" w:space="560"/>
            <w:col w:w="7980"/>
          </w:cols>
          <w:pgMar w:left="320" w:top="464" w:right="879" w:bottom="1012" w:gutter="0" w:footer="0" w:header="0"/>
        </w:sectPr>
      </w:pPr>
    </w:p>
    <w:p>
      <w:pPr>
        <w:spacing w:after="0" w:line="311" w:lineRule="exact"/>
        <w:rPr>
          <w:sz w:val="20"/>
          <w:szCs w:val="20"/>
          <w:color w:val="auto"/>
        </w:rPr>
      </w:pPr>
    </w:p>
    <w:p>
      <w:pPr>
        <w:ind w:left="420"/>
        <w:spacing w:after="0"/>
        <w:tabs>
          <w:tab w:leader="none" w:pos="2380" w:val="left"/>
          <w:tab w:leader="none" w:pos="2800" w:val="left"/>
        </w:tabs>
        <w:rPr>
          <w:sz w:val="20"/>
          <w:szCs w:val="20"/>
          <w:color w:val="auto"/>
        </w:rPr>
      </w:pPr>
      <w:r>
        <w:rPr>
          <w:rFonts w:ascii="Arial" w:cs="Arial" w:eastAsia="Arial" w:hAnsi="Arial"/>
          <w:sz w:val="30"/>
          <w:szCs w:val="30"/>
          <w:color w:val="000000"/>
          <w:vertAlign w:val="superscript"/>
        </w:rPr>
        <w:t xml:space="preserve">             </w:t>
      </w:r>
      <w:r>
        <w:rPr>
          <w:sz w:val="20"/>
          <w:szCs w:val="20"/>
          <w:color w:val="auto"/>
        </w:rPr>
        <w:tab/>
      </w:r>
      <w:r>
        <w:rPr>
          <w:rFonts w:ascii="Arial" w:cs="Arial" w:eastAsia="Arial" w:hAnsi="Arial"/>
          <w:sz w:val="31"/>
          <w:szCs w:val="31"/>
          <w:color w:val="auto"/>
          <w:vertAlign w:val="superscript"/>
        </w:rPr>
        <w:t xml:space="preserve">    </w:t>
      </w:r>
      <w:r>
        <w:rPr>
          <w:sz w:val="20"/>
          <w:szCs w:val="20"/>
          <w:color w:val="auto"/>
        </w:rPr>
        <w:tab/>
      </w:r>
      <w:r>
        <w:rPr>
          <w:rFonts w:ascii="Arial" w:cs="Arial" w:eastAsia="Arial" w:hAnsi="Arial"/>
          <w:sz w:val="15"/>
          <w:szCs w:val="15"/>
          <w:b w:val="1"/>
          <w:bCs w:val="1"/>
          <w:color w:val="002B5F"/>
        </w:rPr>
        <w:t xml:space="preserve">76  </w:t>
      </w:r>
      <w:r>
        <w:rPr>
          <w:rFonts w:ascii="Arial" w:cs="Arial" w:eastAsia="Arial" w:hAnsi="Arial"/>
          <w:sz w:val="20"/>
          <w:szCs w:val="20"/>
          <w:color w:val="002B5F"/>
        </w:rPr>
        <w:t>|</w:t>
      </w:r>
      <w:r>
        <w:rPr>
          <w:rFonts w:ascii="Arial" w:cs="Arial" w:eastAsia="Arial" w:hAnsi="Arial"/>
          <w:sz w:val="15"/>
          <w:szCs w:val="15"/>
          <w:b w:val="1"/>
          <w:bCs w:val="1"/>
          <w:color w:val="002B5F"/>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6111875</wp:posOffset>
            </wp:positionH>
            <wp:positionV relativeFrom="paragraph">
              <wp:posOffset>-208915</wp:posOffset>
            </wp:positionV>
            <wp:extent cx="769620" cy="971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69620" cy="97155"/>
                    </a:xfrm>
                    <a:prstGeom prst="rect">
                      <a:avLst/>
                    </a:prstGeom>
                    <a:noFill/>
                  </pic:spPr>
                </pic:pic>
              </a:graphicData>
            </a:graphic>
          </wp:anchor>
        </w:drawing>
      </w:r>
    </w:p>
    <w:p>
      <w:pPr>
        <w:sectPr>
          <w:pgSz w:w="11900" w:h="16838" w:orient="portrait"/>
          <w:cols w:equalWidth="0" w:num="1">
            <w:col w:w="10700"/>
          </w:cols>
          <w:pgMar w:left="320" w:top="464" w:right="879" w:bottom="1012" w:gutter="0" w:footer="0" w:header="0"/>
          <w:type w:val="continuous"/>
        </w:sectPr>
      </w:pPr>
    </w:p>
    <w:bookmarkStart w:id="68" w:name="page69"/>
    <w:bookmarkEnd w:id="6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5334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81215" cy="5334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5617845</wp:posOffset>
            </wp:positionH>
            <wp:positionV relativeFrom="paragraph">
              <wp:posOffset>253365</wp:posOffset>
            </wp:positionV>
            <wp:extent cx="1256030" cy="745617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1256030" cy="7456170"/>
                    </a:xfrm>
                    <a:prstGeom prst="rect">
                      <a:avLst/>
                    </a:prstGeom>
                    <a:noFill/>
                  </pic:spPr>
                </pic:pic>
              </a:graphicData>
            </a:graphic>
          </wp:anchor>
        </w:drawing>
      </w:r>
    </w:p>
    <w:p>
      <w:pPr>
        <w:spacing w:after="0" w:line="200" w:lineRule="exact"/>
        <w:rPr>
          <w:sz w:val="20"/>
          <w:szCs w:val="20"/>
          <w:color w:val="auto"/>
        </w:rPr>
      </w:pPr>
    </w:p>
    <w:p>
      <w:pPr>
        <w:spacing w:after="0" w:line="241" w:lineRule="exact"/>
        <w:rPr>
          <w:sz w:val="20"/>
          <w:szCs w:val="20"/>
          <w:color w:val="auto"/>
        </w:rPr>
      </w:pPr>
    </w:p>
    <w:tbl>
      <w:tblPr>
        <w:tblLayout w:type="fixed"/>
        <w:tblInd w:w="540" w:type="dxa"/>
        <w:tblCellMar>
          <w:top w:w="0" w:type="dxa"/>
          <w:left w:w="0" w:type="dxa"/>
          <w:bottom w:w="0" w:type="dxa"/>
          <w:right w:w="0" w:type="dxa"/>
        </w:tblCellMar>
      </w:tblPr>
      <w:tr>
        <w:trPr>
          <w:trHeight w:val="138"/>
        </w:trPr>
        <w:tc>
          <w:tcPr>
            <w:tcW w:w="8100" w:type="dxa"/>
            <w:vAlign w:val="bottom"/>
          </w:tcPr>
          <w:p>
            <w:pPr>
              <w:spacing w:after="0"/>
              <w:rPr>
                <w:sz w:val="20"/>
                <w:szCs w:val="20"/>
                <w:color w:val="auto"/>
              </w:rPr>
            </w:pPr>
            <w:r>
              <w:rPr>
                <w:rFonts w:ascii="Arial" w:cs="Arial" w:eastAsia="Arial" w:hAnsi="Arial"/>
                <w:sz w:val="12"/>
                <w:szCs w:val="12"/>
                <w:color w:val="auto"/>
              </w:rPr>
              <w:t>(8)  This amount is not a new award or severance payment that Mr. Arnold received in 2024. It represents the incremental fair value (determined in</w:t>
            </w:r>
          </w:p>
        </w:tc>
        <w:tc>
          <w:tcPr>
            <w:tcW w:w="4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8100" w:type="dxa"/>
            <w:vAlign w:val="bottom"/>
          </w:tcPr>
          <w:p>
            <w:pPr>
              <w:ind w:left="240"/>
              <w:spacing w:after="0" w:line="128" w:lineRule="exact"/>
              <w:rPr>
                <w:sz w:val="20"/>
                <w:szCs w:val="20"/>
                <w:color w:val="auto"/>
              </w:rPr>
            </w:pPr>
            <w:r>
              <w:rPr>
                <w:rFonts w:ascii="Arial" w:cs="Arial" w:eastAsia="Arial" w:hAnsi="Arial"/>
                <w:sz w:val="12"/>
                <w:szCs w:val="12"/>
                <w:color w:val="auto"/>
              </w:rPr>
              <w:t>accordance with FASB ASC Topic 718) of an accounting modification with respect to the 47,994 vested but unexercised options, originally</w:t>
            </w:r>
          </w:p>
        </w:tc>
        <w:tc>
          <w:tcPr>
            <w:tcW w:w="440" w:type="dxa"/>
            <w:vAlign w:val="bottom"/>
            <w:vMerge w:val="restart"/>
          </w:tcPr>
          <w:p>
            <w:pPr>
              <w:ind w:left="240"/>
              <w:spacing w:after="0"/>
              <w:rPr>
                <w:sz w:val="20"/>
                <w:szCs w:val="20"/>
                <w:color w:val="auto"/>
              </w:rPr>
            </w:pPr>
            <w:r>
              <w:rPr>
                <w:rFonts w:ascii="Arial" w:cs="Arial" w:eastAsia="Arial" w:hAnsi="Arial"/>
                <w:sz w:val="15"/>
                <w:szCs w:val="15"/>
                <w:color w:val="auto"/>
              </w:rPr>
              <w:t> </w:t>
            </w:r>
          </w:p>
        </w:tc>
        <w:tc>
          <w:tcPr>
            <w:tcW w:w="1280" w:type="dxa"/>
            <w:vAlign w:val="bottom"/>
          </w:tcPr>
          <w:p>
            <w:pPr>
              <w:spacing w:after="0"/>
              <w:rPr>
                <w:sz w:val="11"/>
                <w:szCs w:val="11"/>
                <w:color w:val="auto"/>
              </w:rPr>
            </w:pPr>
          </w:p>
        </w:tc>
        <w:tc>
          <w:tcPr>
            <w:tcW w:w="440" w:type="dxa"/>
            <w:vAlign w:val="bottom"/>
            <w:vMerge w:val="restart"/>
          </w:tcPr>
          <w:p>
            <w:pPr>
              <w:ind w:left="80"/>
              <w:spacing w:after="0"/>
              <w:rPr>
                <w:sz w:val="20"/>
                <w:szCs w:val="20"/>
                <w:color w:val="auto"/>
              </w:rPr>
            </w:pPr>
            <w:r>
              <w:rPr>
                <w:rFonts w:ascii="Arial" w:cs="Arial" w:eastAsia="Arial" w:hAnsi="Arial"/>
                <w:sz w:val="15"/>
                <w:szCs w:val="15"/>
                <w:color w:val="auto"/>
              </w:rPr>
              <w:t xml:space="preserve">       </w:t>
            </w:r>
          </w:p>
        </w:tc>
        <w:tc>
          <w:tcPr>
            <w:tcW w:w="0" w:type="dxa"/>
            <w:vAlign w:val="bottom"/>
          </w:tcPr>
          <w:p>
            <w:pPr>
              <w:spacing w:after="0"/>
              <w:rPr>
                <w:sz w:val="1"/>
                <w:szCs w:val="1"/>
                <w:color w:val="auto"/>
              </w:rPr>
            </w:pPr>
          </w:p>
        </w:tc>
      </w:tr>
      <w:tr>
        <w:trPr>
          <w:trHeight w:val="140"/>
        </w:trPr>
        <w:tc>
          <w:tcPr>
            <w:tcW w:w="8100" w:type="dxa"/>
            <w:vAlign w:val="bottom"/>
          </w:tcPr>
          <w:p>
            <w:pPr>
              <w:ind w:left="240"/>
              <w:spacing w:after="0"/>
              <w:rPr>
                <w:sz w:val="20"/>
                <w:szCs w:val="20"/>
                <w:color w:val="auto"/>
              </w:rPr>
            </w:pPr>
            <w:r>
              <w:rPr>
                <w:rFonts w:ascii="Arial" w:cs="Arial" w:eastAsia="Arial" w:hAnsi="Arial"/>
                <w:sz w:val="12"/>
                <w:szCs w:val="12"/>
                <w:color w:val="auto"/>
              </w:rPr>
              <w:t>granted in 2019, that Mr. Arnold was permitted to retain and exercise pursuant to the terms of the Settlement Agreement until December 31,</w:t>
            </w:r>
          </w:p>
        </w:tc>
        <w:tc>
          <w:tcPr>
            <w:tcW w:w="440" w:type="dxa"/>
            <w:vAlign w:val="bottom"/>
            <w:vMerge w:val="continue"/>
          </w:tcPr>
          <w:p>
            <w:pPr>
              <w:spacing w:after="0"/>
              <w:rPr>
                <w:sz w:val="12"/>
                <w:szCs w:val="12"/>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General</w:t>
            </w:r>
          </w:p>
        </w:tc>
        <w:tc>
          <w:tcPr>
            <w:tcW w:w="4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6"/>
        </w:trPr>
        <w:tc>
          <w:tcPr>
            <w:tcW w:w="8100" w:type="dxa"/>
            <w:vAlign w:val="bottom"/>
          </w:tcPr>
          <w:p>
            <w:pPr>
              <w:ind w:left="240"/>
              <w:spacing w:after="0" w:line="116" w:lineRule="exact"/>
              <w:rPr>
                <w:sz w:val="20"/>
                <w:szCs w:val="20"/>
                <w:color w:val="auto"/>
              </w:rPr>
            </w:pPr>
            <w:r>
              <w:rPr>
                <w:rFonts w:ascii="Arial" w:cs="Arial" w:eastAsia="Arial" w:hAnsi="Arial"/>
                <w:sz w:val="12"/>
                <w:szCs w:val="12"/>
                <w:color w:val="auto"/>
              </w:rPr>
              <w:t>2024. Please refer to “</w:t>
            </w:r>
            <w:r>
              <w:rPr>
                <w:rFonts w:ascii="Arial" w:cs="Arial" w:eastAsia="Arial" w:hAnsi="Arial"/>
                <w:sz w:val="12"/>
                <w:szCs w:val="12"/>
                <w:i w:val="1"/>
                <w:iCs w:val="1"/>
                <w:color w:val="auto"/>
              </w:rPr>
              <w:t>Executive Officer Transitions</w:t>
            </w:r>
            <w:r>
              <w:rPr>
                <w:rFonts w:ascii="Arial" w:cs="Arial" w:eastAsia="Arial" w:hAnsi="Arial"/>
                <w:sz w:val="12"/>
                <w:szCs w:val="12"/>
                <w:color w:val="auto"/>
              </w:rPr>
              <w:t>” within our Compensation Discussion and Analysis in our 2025 proxy statement for more</w:t>
            </w:r>
          </w:p>
        </w:tc>
        <w:tc>
          <w:tcPr>
            <w:tcW w:w="440" w:type="dxa"/>
            <w:vAlign w:val="bottom"/>
          </w:tcPr>
          <w:p>
            <w:pPr>
              <w:spacing w:after="0"/>
              <w:rPr>
                <w:sz w:val="10"/>
                <w:szCs w:val="10"/>
                <w:color w:val="auto"/>
              </w:rPr>
            </w:pPr>
          </w:p>
        </w:tc>
        <w:tc>
          <w:tcPr>
            <w:tcW w:w="1280" w:type="dxa"/>
            <w:vAlign w:val="bottom"/>
          </w:tcPr>
          <w:p>
            <w:pPr>
              <w:ind w:left="140"/>
              <w:spacing w:after="0" w:line="116" w:lineRule="exact"/>
              <w:rPr>
                <w:sz w:val="20"/>
                <w:szCs w:val="20"/>
                <w:color w:val="auto"/>
              </w:rPr>
            </w:pPr>
            <w:r>
              <w:rPr>
                <w:rFonts w:ascii="Arial" w:cs="Arial" w:eastAsia="Arial" w:hAnsi="Arial"/>
                <w:sz w:val="12"/>
                <w:szCs w:val="12"/>
                <w:color w:val="FFFFFF"/>
              </w:rPr>
              <w:t>Information</w:t>
            </w: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8100" w:type="dxa"/>
            <w:vAlign w:val="bottom"/>
          </w:tcPr>
          <w:p>
            <w:pPr>
              <w:ind w:left="240"/>
              <w:spacing w:after="0"/>
              <w:rPr>
                <w:sz w:val="20"/>
                <w:szCs w:val="20"/>
                <w:color w:val="auto"/>
              </w:rPr>
            </w:pPr>
            <w:r>
              <w:rPr>
                <w:rFonts w:ascii="Arial" w:cs="Arial" w:eastAsia="Arial" w:hAnsi="Arial"/>
                <w:sz w:val="12"/>
                <w:szCs w:val="12"/>
                <w:color w:val="auto"/>
              </w:rPr>
              <w:t>information.</w:t>
            </w:r>
          </w:p>
        </w:tc>
        <w:tc>
          <w:tcPr>
            <w:tcW w:w="4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8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80" w:type="dxa"/>
            <w:vAlign w:val="bottom"/>
          </w:tcPr>
          <w:p>
            <w:pPr>
              <w:ind w:left="140"/>
              <w:spacing w:after="0" w:line="136" w:lineRule="exact"/>
              <w:rPr>
                <w:sz w:val="20"/>
                <w:szCs w:val="20"/>
                <w:color w:val="auto"/>
              </w:rPr>
            </w:pPr>
            <w:r>
              <w:rPr>
                <w:rFonts w:ascii="Arial" w:cs="Arial" w:eastAsia="Arial" w:hAnsi="Arial"/>
                <w:sz w:val="12"/>
                <w:szCs w:val="12"/>
                <w:color w:val="FFFFFF"/>
              </w:rPr>
              <w:t>General Information</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100" w:type="dxa"/>
            <w:vAlign w:val="bottom"/>
            <w:vMerge w:val="restart"/>
          </w:tcPr>
          <w:p>
            <w:pPr>
              <w:spacing w:after="0" w:line="273" w:lineRule="exact"/>
              <w:rPr>
                <w:sz w:val="20"/>
                <w:szCs w:val="20"/>
                <w:color w:val="auto"/>
              </w:rPr>
            </w:pPr>
            <w:r>
              <w:rPr>
                <w:rFonts w:ascii="Arial" w:cs="Arial" w:eastAsia="Arial" w:hAnsi="Arial"/>
                <w:sz w:val="24"/>
                <w:szCs w:val="24"/>
                <w:color w:val="B95827"/>
              </w:rPr>
              <w:t>Performance Measures Used to Link Company Performance and CAP</w:t>
            </w:r>
          </w:p>
        </w:tc>
        <w:tc>
          <w:tcPr>
            <w:tcW w:w="440" w:type="dxa"/>
            <w:vAlign w:val="bottom"/>
          </w:tcPr>
          <w:p>
            <w:pPr>
              <w:spacing w:after="0"/>
              <w:rPr>
                <w:sz w:val="11"/>
                <w:szCs w:val="11"/>
                <w:color w:val="auto"/>
              </w:rPr>
            </w:pPr>
          </w:p>
        </w:tc>
        <w:tc>
          <w:tcPr>
            <w:tcW w:w="1280" w:type="dxa"/>
            <w:vAlign w:val="bottom"/>
          </w:tcPr>
          <w:p>
            <w:pPr>
              <w:ind w:left="140"/>
              <w:spacing w:after="0" w:line="128" w:lineRule="exact"/>
              <w:rPr>
                <w:sz w:val="20"/>
                <w:szCs w:val="20"/>
                <w:color w:val="auto"/>
              </w:rPr>
            </w:pPr>
            <w:r>
              <w:rPr>
                <w:rFonts w:ascii="Arial" w:cs="Arial" w:eastAsia="Arial" w:hAnsi="Arial"/>
                <w:sz w:val="12"/>
                <w:szCs w:val="12"/>
                <w:color w:val="FFFFFF"/>
              </w:rPr>
              <w:t>About Corporate</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810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Governance</w:t>
            </w: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0"/>
        </w:trPr>
        <w:tc>
          <w:tcPr>
            <w:tcW w:w="8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80" w:type="dxa"/>
            <w:vAlign w:val="bottom"/>
          </w:tcPr>
          <w:p>
            <w:pPr>
              <w:ind w:left="140"/>
              <w:spacing w:after="0" w:line="110" w:lineRule="exact"/>
              <w:rPr>
                <w:sz w:val="20"/>
                <w:szCs w:val="20"/>
                <w:color w:val="auto"/>
              </w:rPr>
            </w:pPr>
            <w:r>
              <w:rPr>
                <w:rFonts w:ascii="Arial" w:cs="Arial" w:eastAsia="Arial" w:hAnsi="Arial"/>
                <w:sz w:val="12"/>
                <w:szCs w:val="12"/>
                <w:color w:val="FFFFFF"/>
              </w:rPr>
              <w:t>and the Board of</w:t>
            </w: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8100" w:type="dxa"/>
            <w:vAlign w:val="bottom"/>
            <w:vMerge w:val="restart"/>
          </w:tcPr>
          <w:p>
            <w:pPr>
              <w:spacing w:after="0"/>
              <w:rPr>
                <w:sz w:val="20"/>
                <w:szCs w:val="20"/>
                <w:color w:val="auto"/>
              </w:rPr>
            </w:pPr>
            <w:r>
              <w:rPr>
                <w:rFonts w:ascii="Arial" w:cs="Arial" w:eastAsia="Arial" w:hAnsi="Arial"/>
                <w:sz w:val="15"/>
                <w:szCs w:val="15"/>
                <w:color w:val="auto"/>
              </w:rPr>
              <w:t>The following is a list of performance measures, which in our assessment represent the most important performance</w:t>
            </w:r>
          </w:p>
        </w:tc>
        <w:tc>
          <w:tcPr>
            <w:tcW w:w="440" w:type="dxa"/>
            <w:vAlign w:val="bottom"/>
          </w:tcPr>
          <w:p>
            <w:pPr>
              <w:spacing w:after="0"/>
              <w:rPr>
                <w:sz w:val="13"/>
                <w:szCs w:val="13"/>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Directors</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5"/>
        </w:trPr>
        <w:tc>
          <w:tcPr>
            <w:tcW w:w="810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1280" w:type="dxa"/>
            <w:vAlign w:val="bottom"/>
          </w:tcPr>
          <w:p>
            <w:pPr>
              <w:spacing w:after="0"/>
              <w:rPr>
                <w:sz w:val="5"/>
                <w:szCs w:val="5"/>
                <w:color w:val="auto"/>
              </w:rPr>
            </w:pPr>
          </w:p>
        </w:tc>
        <w:tc>
          <w:tcPr>
            <w:tcW w:w="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1"/>
        </w:trPr>
        <w:tc>
          <w:tcPr>
            <w:tcW w:w="8100" w:type="dxa"/>
            <w:vAlign w:val="bottom"/>
          </w:tcPr>
          <w:p>
            <w:pPr>
              <w:spacing w:after="0"/>
              <w:rPr>
                <w:sz w:val="20"/>
                <w:szCs w:val="20"/>
                <w:color w:val="auto"/>
              </w:rPr>
            </w:pPr>
            <w:r>
              <w:rPr>
                <w:rFonts w:ascii="Arial" w:cs="Arial" w:eastAsia="Arial" w:hAnsi="Arial"/>
                <w:sz w:val="15"/>
                <w:szCs w:val="15"/>
                <w:color w:val="auto"/>
              </w:rPr>
              <w:t>measures used by the Company to link compensation actually paid to the named executive officers for 2025. Each</w:t>
            </w:r>
          </w:p>
        </w:tc>
        <w:tc>
          <w:tcPr>
            <w:tcW w:w="440" w:type="dxa"/>
            <w:vAlign w:val="bottom"/>
          </w:tcPr>
          <w:p>
            <w:pPr>
              <w:spacing w:after="0"/>
              <w:rPr>
                <w:sz w:val="16"/>
                <w:szCs w:val="16"/>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Proposal 1</w:t>
            </w: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8100" w:type="dxa"/>
            <w:vAlign w:val="bottom"/>
          </w:tcPr>
          <w:p>
            <w:pPr>
              <w:spacing w:after="0" w:line="167" w:lineRule="exact"/>
              <w:rPr>
                <w:sz w:val="20"/>
                <w:szCs w:val="20"/>
                <w:color w:val="auto"/>
              </w:rPr>
            </w:pPr>
            <w:r>
              <w:rPr>
                <w:rFonts w:ascii="Arial" w:cs="Arial" w:eastAsia="Arial" w:hAnsi="Arial"/>
                <w:sz w:val="15"/>
                <w:szCs w:val="15"/>
                <w:color w:val="auto"/>
              </w:rPr>
              <w:t>metric below is used for purposes of determining payouts under either our annual cash bonus plan or vesting of our</w:t>
            </w:r>
          </w:p>
        </w:tc>
        <w:tc>
          <w:tcPr>
            <w:tcW w:w="4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8100" w:type="dxa"/>
            <w:vAlign w:val="bottom"/>
          </w:tcPr>
          <w:p>
            <w:pPr>
              <w:spacing w:after="0" w:line="153" w:lineRule="exact"/>
              <w:rPr>
                <w:sz w:val="20"/>
                <w:szCs w:val="20"/>
                <w:color w:val="auto"/>
              </w:rPr>
            </w:pPr>
            <w:r>
              <w:rPr>
                <w:rFonts w:ascii="Arial" w:cs="Arial" w:eastAsia="Arial" w:hAnsi="Arial"/>
                <w:sz w:val="15"/>
                <w:szCs w:val="15"/>
                <w:color w:val="auto"/>
              </w:rPr>
              <w:t>performance stock units. Please see the CD&amp;A for a further description of these metrics and how they are used in</w:t>
            </w:r>
          </w:p>
        </w:tc>
        <w:tc>
          <w:tcPr>
            <w:tcW w:w="440" w:type="dxa"/>
            <w:vAlign w:val="bottom"/>
          </w:tcPr>
          <w:p>
            <w:pPr>
              <w:spacing w:after="0"/>
              <w:rPr>
                <w:sz w:val="13"/>
                <w:szCs w:val="13"/>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Information</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0"/>
        </w:trPr>
        <w:tc>
          <w:tcPr>
            <w:tcW w:w="8100" w:type="dxa"/>
            <w:vAlign w:val="bottom"/>
            <w:vMerge w:val="restart"/>
          </w:tcPr>
          <w:p>
            <w:pPr>
              <w:spacing w:after="0"/>
              <w:rPr>
                <w:sz w:val="20"/>
                <w:szCs w:val="20"/>
                <w:color w:val="auto"/>
              </w:rPr>
            </w:pPr>
            <w:r>
              <w:rPr>
                <w:rFonts w:ascii="Arial" w:cs="Arial" w:eastAsia="Arial" w:hAnsi="Arial"/>
                <w:sz w:val="15"/>
                <w:szCs w:val="15"/>
                <w:color w:val="auto"/>
              </w:rPr>
              <w:t>the Company’s executive compensation program.</w:t>
            </w:r>
          </w:p>
        </w:tc>
        <w:tc>
          <w:tcPr>
            <w:tcW w:w="440" w:type="dxa"/>
            <w:vAlign w:val="bottom"/>
          </w:tcPr>
          <w:p>
            <w:pPr>
              <w:spacing w:after="0"/>
              <w:rPr>
                <w:sz w:val="9"/>
                <w:szCs w:val="9"/>
                <w:color w:val="auto"/>
              </w:rPr>
            </w:pPr>
          </w:p>
        </w:tc>
        <w:tc>
          <w:tcPr>
            <w:tcW w:w="1280" w:type="dxa"/>
            <w:vAlign w:val="bottom"/>
          </w:tcPr>
          <w:p>
            <w:pPr>
              <w:ind w:left="140"/>
              <w:spacing w:after="0" w:line="110" w:lineRule="exact"/>
              <w:rPr>
                <w:sz w:val="20"/>
                <w:szCs w:val="20"/>
                <w:color w:val="auto"/>
              </w:rPr>
            </w:pPr>
            <w:r>
              <w:rPr>
                <w:rFonts w:ascii="Arial" w:cs="Arial" w:eastAsia="Arial" w:hAnsi="Arial"/>
                <w:sz w:val="12"/>
                <w:szCs w:val="12"/>
                <w:color w:val="FFFFFF"/>
              </w:rPr>
              <w:t>Regarding Board</w:t>
            </w: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8100" w:type="dxa"/>
            <w:vAlign w:val="bottom"/>
            <w:vMerge w:val="continue"/>
          </w:tcPr>
          <w:p>
            <w:pPr>
              <w:spacing w:after="0"/>
              <w:rPr>
                <w:sz w:val="11"/>
                <w:szCs w:val="11"/>
                <w:color w:val="auto"/>
              </w:rPr>
            </w:pPr>
          </w:p>
        </w:tc>
        <w:tc>
          <w:tcPr>
            <w:tcW w:w="440" w:type="dxa"/>
            <w:vAlign w:val="bottom"/>
          </w:tcPr>
          <w:p>
            <w:pPr>
              <w:spacing w:after="0"/>
              <w:rPr>
                <w:sz w:val="11"/>
                <w:szCs w:val="11"/>
                <w:color w:val="auto"/>
              </w:rPr>
            </w:pPr>
          </w:p>
        </w:tc>
        <w:tc>
          <w:tcPr>
            <w:tcW w:w="1280" w:type="dxa"/>
            <w:vAlign w:val="bottom"/>
          </w:tcPr>
          <w:p>
            <w:pPr>
              <w:ind w:left="140"/>
              <w:spacing w:after="0" w:line="128" w:lineRule="exact"/>
              <w:rPr>
                <w:sz w:val="20"/>
                <w:szCs w:val="20"/>
                <w:color w:val="auto"/>
              </w:rPr>
            </w:pPr>
            <w:r>
              <w:rPr>
                <w:rFonts w:ascii="Arial" w:cs="Arial" w:eastAsia="Arial" w:hAnsi="Arial"/>
                <w:sz w:val="12"/>
                <w:szCs w:val="12"/>
                <w:color w:val="FFFFFF"/>
              </w:rPr>
              <w:t>and Committee</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8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Structure</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341630</wp:posOffset>
            </wp:positionH>
            <wp:positionV relativeFrom="paragraph">
              <wp:posOffset>32385</wp:posOffset>
            </wp:positionV>
            <wp:extent cx="1750695" cy="19431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1750695" cy="194310"/>
                    </a:xfrm>
                    <a:prstGeom prst="rect">
                      <a:avLst/>
                    </a:prstGeom>
                    <a:noFill/>
                  </pic:spPr>
                </pic:pic>
              </a:graphicData>
            </a:graphic>
          </wp:anchor>
        </w:drawing>
      </w:r>
    </w:p>
    <w:p>
      <w:pPr>
        <w:sectPr>
          <w:pgSz w:w="11900" w:h="16838" w:orient="portrait"/>
          <w:cols w:equalWidth="0" w:num="1">
            <w:col w:w="10800"/>
          </w:cols>
          <w:pgMar w:left="320" w:top="464" w:right="779" w:bottom="1440" w:gutter="0" w:footer="0" w:header="0"/>
        </w:sectPr>
      </w:pPr>
    </w:p>
    <w:p>
      <w:pPr>
        <w:spacing w:after="0" w:line="116" w:lineRule="exact"/>
        <w:rPr>
          <w:sz w:val="20"/>
          <w:szCs w:val="20"/>
          <w:color w:val="auto"/>
        </w:rPr>
      </w:pPr>
    </w:p>
    <w:p>
      <w:pPr>
        <w:ind w:left="600"/>
        <w:spacing w:after="0"/>
        <w:rPr>
          <w:sz w:val="20"/>
          <w:szCs w:val="20"/>
          <w:color w:val="auto"/>
        </w:rPr>
      </w:pPr>
      <w:r>
        <w:rPr>
          <w:rFonts w:ascii="Arial" w:cs="Arial" w:eastAsia="Arial" w:hAnsi="Arial"/>
          <w:sz w:val="15"/>
          <w:szCs w:val="15"/>
          <w:color w:val="auto"/>
        </w:rPr>
        <w:t>Incentive EBITDA</w:t>
      </w:r>
    </w:p>
    <w:p>
      <w:pPr>
        <w:spacing w:after="0" w:line="134" w:lineRule="exact"/>
        <w:rPr>
          <w:sz w:val="20"/>
          <w:szCs w:val="20"/>
          <w:color w:val="auto"/>
        </w:rPr>
      </w:pPr>
    </w:p>
    <w:p>
      <w:pPr>
        <w:ind w:left="600"/>
        <w:spacing w:after="0"/>
        <w:rPr>
          <w:sz w:val="20"/>
          <w:szCs w:val="20"/>
          <w:color w:val="auto"/>
        </w:rPr>
      </w:pPr>
      <w:r>
        <w:rPr>
          <w:rFonts w:ascii="Arial" w:cs="Arial" w:eastAsia="Arial" w:hAnsi="Arial"/>
          <w:sz w:val="15"/>
          <w:szCs w:val="15"/>
          <w:color w:val="auto"/>
        </w:rPr>
        <w:t>Operating Margin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341630</wp:posOffset>
            </wp:positionH>
            <wp:positionV relativeFrom="paragraph">
              <wp:posOffset>43815</wp:posOffset>
            </wp:positionV>
            <wp:extent cx="1750695" cy="19431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1750695" cy="194310"/>
                    </a:xfrm>
                    <a:prstGeom prst="rect">
                      <a:avLst/>
                    </a:prstGeom>
                    <a:noFill/>
                  </pic:spPr>
                </pic:pic>
              </a:graphicData>
            </a:graphic>
          </wp:anchor>
        </w:drawing>
      </w:r>
    </w:p>
    <w:p>
      <w:pPr>
        <w:spacing w:after="0" w:line="114" w:lineRule="exact"/>
        <w:rPr>
          <w:sz w:val="20"/>
          <w:szCs w:val="20"/>
          <w:color w:val="auto"/>
        </w:rPr>
      </w:pPr>
    </w:p>
    <w:p>
      <w:pPr>
        <w:ind w:left="600"/>
        <w:spacing w:after="0"/>
        <w:rPr>
          <w:sz w:val="20"/>
          <w:szCs w:val="20"/>
          <w:color w:val="auto"/>
        </w:rPr>
      </w:pPr>
      <w:r>
        <w:rPr>
          <w:rFonts w:ascii="Arial" w:cs="Arial" w:eastAsia="Arial" w:hAnsi="Arial"/>
          <w:sz w:val="15"/>
          <w:szCs w:val="15"/>
          <w:color w:val="auto"/>
        </w:rPr>
        <w:t>Organic Growth</w:t>
      </w:r>
    </w:p>
    <w:p>
      <w:pPr>
        <w:spacing w:after="0" w:line="134" w:lineRule="exact"/>
        <w:rPr>
          <w:sz w:val="20"/>
          <w:szCs w:val="20"/>
          <w:color w:val="auto"/>
        </w:rPr>
      </w:pPr>
    </w:p>
    <w:p>
      <w:pPr>
        <w:ind w:left="600"/>
        <w:spacing w:after="0"/>
        <w:rPr>
          <w:sz w:val="20"/>
          <w:szCs w:val="20"/>
          <w:color w:val="auto"/>
        </w:rPr>
      </w:pPr>
      <w:r>
        <w:rPr>
          <w:rFonts w:ascii="Arial" w:cs="Arial" w:eastAsia="Arial" w:hAnsi="Arial"/>
          <w:sz w:val="15"/>
          <w:szCs w:val="15"/>
          <w:color w:val="auto"/>
        </w:rPr>
        <w:t>Relative TSR</w:t>
      </w:r>
    </w:p>
    <w:p>
      <w:pPr>
        <w:spacing w:after="0" w:line="157" w:lineRule="exact"/>
        <w:rPr>
          <w:sz w:val="20"/>
          <w:szCs w:val="20"/>
          <w:color w:val="auto"/>
        </w:rPr>
      </w:pPr>
    </w:p>
    <w:p>
      <w:pPr>
        <w:ind w:left="540" w:right="200"/>
        <w:spacing w:after="0" w:line="262" w:lineRule="auto"/>
        <w:rPr>
          <w:sz w:val="20"/>
          <w:szCs w:val="20"/>
          <w:color w:val="auto"/>
        </w:rPr>
      </w:pPr>
      <w:r>
        <w:rPr>
          <w:rFonts w:ascii="Arial" w:cs="Arial" w:eastAsia="Arial" w:hAnsi="Arial"/>
          <w:sz w:val="15"/>
          <w:szCs w:val="15"/>
          <w:b w:val="1"/>
          <w:bCs w:val="1"/>
          <w:color w:val="auto"/>
        </w:rPr>
        <w:t xml:space="preserve">Relationship between CAP and TSR. </w:t>
      </w:r>
      <w:r>
        <w:rPr>
          <w:rFonts w:ascii="Arial" w:cs="Arial" w:eastAsia="Arial" w:hAnsi="Arial"/>
          <w:sz w:val="15"/>
          <w:szCs w:val="15"/>
          <w:color w:val="auto"/>
        </w:rPr>
        <w:t>The graph below illustrates the relationship between our TSR and the Peer</w:t>
      </w:r>
      <w:r>
        <w:rPr>
          <w:rFonts w:ascii="Arial" w:cs="Arial" w:eastAsia="Arial" w:hAnsi="Arial"/>
          <w:sz w:val="15"/>
          <w:szCs w:val="15"/>
          <w:b w:val="1"/>
          <w:bCs w:val="1"/>
          <w:color w:val="auto"/>
        </w:rPr>
        <w:t xml:space="preserve"> </w:t>
      </w:r>
      <w:r>
        <w:rPr>
          <w:rFonts w:ascii="Arial" w:cs="Arial" w:eastAsia="Arial" w:hAnsi="Arial"/>
          <w:sz w:val="15"/>
          <w:szCs w:val="15"/>
          <w:color w:val="auto"/>
        </w:rPr>
        <w:t>Group TSR, as well as the relationship between CAP and our TSR for the PEO, the Second PEO and average Other NEOs for the applicable reporting year. Generally, CAP for our PEO and average CAP for our Other NEOs have each increased and decreased over the periods shown and our TSR has increased over the periods shown.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341630</wp:posOffset>
            </wp:positionH>
            <wp:positionV relativeFrom="paragraph">
              <wp:posOffset>130175</wp:posOffset>
            </wp:positionV>
            <wp:extent cx="5267960" cy="298259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5267960" cy="29825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16" w:lineRule="exact"/>
        <w:rPr>
          <w:sz w:val="20"/>
          <w:szCs w:val="20"/>
          <w:color w:val="auto"/>
        </w:rPr>
      </w:pPr>
    </w:p>
    <w:p>
      <w:pPr>
        <w:spacing w:after="0"/>
        <w:rPr>
          <w:sz w:val="20"/>
          <w:szCs w:val="20"/>
          <w:color w:val="auto"/>
        </w:rPr>
      </w:pPr>
      <w:r>
        <w:rPr>
          <w:rFonts w:ascii="Arial" w:cs="Arial" w:eastAsia="Arial" w:hAnsi="Arial"/>
          <w:sz w:val="11"/>
          <w:szCs w:val="11"/>
          <w:color w:val="FFFFFF"/>
        </w:rPr>
        <w:t>Board of Directors</w:t>
      </w:r>
    </w:p>
    <w:p>
      <w:pPr>
        <w:spacing w:after="0" w:line="13" w:lineRule="exact"/>
        <w:rPr>
          <w:sz w:val="20"/>
          <w:szCs w:val="20"/>
          <w:color w:val="auto"/>
        </w:rPr>
      </w:pPr>
    </w:p>
    <w:p>
      <w:pPr>
        <w:spacing w:after="0"/>
        <w:rPr>
          <w:sz w:val="20"/>
          <w:szCs w:val="20"/>
          <w:color w:val="auto"/>
        </w:rPr>
      </w:pPr>
      <w:r>
        <w:rPr>
          <w:rFonts w:ascii="Arial" w:cs="Arial" w:eastAsia="Arial" w:hAnsi="Arial"/>
          <w:sz w:val="12"/>
          <w:szCs w:val="12"/>
          <w:color w:val="FFFFFF"/>
        </w:rPr>
        <w:t>Compensation</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Compensation</w:t>
      </w:r>
    </w:p>
    <w:p>
      <w:pPr>
        <w:spacing w:after="0" w:line="224" w:lineRule="auto"/>
        <w:rPr>
          <w:sz w:val="20"/>
          <w:szCs w:val="20"/>
          <w:color w:val="auto"/>
        </w:rPr>
      </w:pPr>
      <w:r>
        <w:rPr>
          <w:rFonts w:ascii="Arial" w:cs="Arial" w:eastAsia="Arial" w:hAnsi="Arial"/>
          <w:sz w:val="12"/>
          <w:szCs w:val="12"/>
          <w:color w:val="FFFFFF"/>
        </w:rPr>
        <w:t>Discussion and</w:t>
      </w:r>
    </w:p>
    <w:p>
      <w:pPr>
        <w:spacing w:after="0"/>
        <w:rPr>
          <w:sz w:val="20"/>
          <w:szCs w:val="20"/>
          <w:color w:val="auto"/>
        </w:rPr>
      </w:pPr>
      <w:r>
        <w:rPr>
          <w:rFonts w:ascii="Arial" w:cs="Arial" w:eastAsia="Arial" w:hAnsi="Arial"/>
          <w:sz w:val="12"/>
          <w:szCs w:val="12"/>
          <w:color w:val="FFFFFF"/>
        </w:rPr>
        <w:t>Analysis</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Report of the</w:t>
      </w:r>
    </w:p>
    <w:p>
      <w:pPr>
        <w:spacing w:after="0" w:line="224" w:lineRule="auto"/>
        <w:rPr>
          <w:sz w:val="20"/>
          <w:szCs w:val="20"/>
          <w:color w:val="auto"/>
        </w:rPr>
      </w:pPr>
      <w:r>
        <w:rPr>
          <w:rFonts w:ascii="Arial" w:cs="Arial" w:eastAsia="Arial" w:hAnsi="Arial"/>
          <w:sz w:val="12"/>
          <w:szCs w:val="12"/>
          <w:color w:val="FFFFFF"/>
        </w:rPr>
        <w:t>Compensation</w:t>
      </w:r>
    </w:p>
    <w:p>
      <w:pPr>
        <w:spacing w:after="0" w:line="222" w:lineRule="auto"/>
        <w:rPr>
          <w:sz w:val="20"/>
          <w:szCs w:val="20"/>
          <w:color w:val="auto"/>
        </w:rPr>
      </w:pPr>
      <w:r>
        <w:rPr>
          <w:rFonts w:ascii="Arial" w:cs="Arial" w:eastAsia="Arial" w:hAnsi="Arial"/>
          <w:sz w:val="12"/>
          <w:szCs w:val="12"/>
          <w:color w:val="FFFFFF"/>
        </w:rPr>
        <w:t>and Human</w:t>
      </w:r>
    </w:p>
    <w:p>
      <w:pPr>
        <w:spacing w:after="0" w:line="222" w:lineRule="auto"/>
        <w:rPr>
          <w:sz w:val="20"/>
          <w:szCs w:val="20"/>
          <w:color w:val="auto"/>
        </w:rPr>
      </w:pPr>
      <w:r>
        <w:rPr>
          <w:rFonts w:ascii="Arial" w:cs="Arial" w:eastAsia="Arial" w:hAnsi="Arial"/>
          <w:sz w:val="12"/>
          <w:szCs w:val="12"/>
          <w:color w:val="FFFFFF"/>
        </w:rPr>
        <w:t>Resources</w:t>
      </w:r>
    </w:p>
    <w:p>
      <w:pPr>
        <w:spacing w:after="0" w:line="222" w:lineRule="auto"/>
        <w:rPr>
          <w:sz w:val="20"/>
          <w:szCs w:val="20"/>
          <w:color w:val="auto"/>
        </w:rPr>
      </w:pPr>
      <w:r>
        <w:rPr>
          <w:rFonts w:ascii="Arial" w:cs="Arial" w:eastAsia="Arial" w:hAnsi="Arial"/>
          <w:sz w:val="12"/>
          <w:szCs w:val="12"/>
          <w:color w:val="FFFFFF"/>
        </w:rPr>
        <w:t>Committee of the</w:t>
      </w:r>
    </w:p>
    <w:p>
      <w:pPr>
        <w:spacing w:after="0"/>
        <w:rPr>
          <w:sz w:val="20"/>
          <w:szCs w:val="20"/>
          <w:color w:val="auto"/>
        </w:rPr>
      </w:pPr>
      <w:r>
        <w:rPr>
          <w:rFonts w:ascii="Arial" w:cs="Arial" w:eastAsia="Arial" w:hAnsi="Arial"/>
          <w:sz w:val="11"/>
          <w:szCs w:val="11"/>
          <w:color w:val="FFFFFF"/>
        </w:rPr>
        <w:t>Board of Directors</w:t>
      </w:r>
    </w:p>
    <w:p>
      <w:pPr>
        <w:spacing w:after="0" w:line="155" w:lineRule="exact"/>
        <w:rPr>
          <w:sz w:val="20"/>
          <w:szCs w:val="20"/>
          <w:color w:val="auto"/>
        </w:rPr>
      </w:pPr>
    </w:p>
    <w:p>
      <w:pPr>
        <w:spacing w:after="0"/>
        <w:rPr>
          <w:sz w:val="20"/>
          <w:szCs w:val="20"/>
          <w:color w:val="auto"/>
        </w:rPr>
      </w:pPr>
      <w:r>
        <w:rPr>
          <w:rFonts w:ascii="Arial" w:cs="Arial" w:eastAsia="Arial" w:hAnsi="Arial"/>
          <w:sz w:val="12"/>
          <w:szCs w:val="12"/>
          <w:color w:val="FFFFFF"/>
        </w:rPr>
        <w:t>Compensation of</w:t>
      </w:r>
    </w:p>
    <w:p>
      <w:pPr>
        <w:spacing w:after="0" w:line="224" w:lineRule="auto"/>
        <w:rPr>
          <w:sz w:val="20"/>
          <w:szCs w:val="20"/>
          <w:color w:val="auto"/>
        </w:rPr>
      </w:pPr>
      <w:r>
        <w:rPr>
          <w:rFonts w:ascii="Arial" w:cs="Arial" w:eastAsia="Arial" w:hAnsi="Arial"/>
          <w:sz w:val="12"/>
          <w:szCs w:val="12"/>
          <w:color w:val="FFFFFF"/>
        </w:rPr>
        <w:t>Named Executive</w:t>
      </w:r>
    </w:p>
    <w:p>
      <w:pPr>
        <w:spacing w:after="0"/>
        <w:rPr>
          <w:sz w:val="20"/>
          <w:szCs w:val="20"/>
          <w:color w:val="auto"/>
        </w:rPr>
      </w:pPr>
      <w:r>
        <w:rPr>
          <w:rFonts w:ascii="Arial" w:cs="Arial" w:eastAsia="Arial" w:hAnsi="Arial"/>
          <w:sz w:val="12"/>
          <w:szCs w:val="12"/>
          <w:color w:val="FFFFFF"/>
        </w:rPr>
        <w:t>Officers</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b w:val="1"/>
          <w:bCs w:val="1"/>
          <w:color w:val="FFFFFF"/>
        </w:rPr>
        <w:t>Pay Versus</w:t>
      </w:r>
    </w:p>
    <w:p>
      <w:pPr>
        <w:spacing w:after="0" w:line="224" w:lineRule="auto"/>
        <w:rPr>
          <w:sz w:val="20"/>
          <w:szCs w:val="20"/>
          <w:color w:val="auto"/>
        </w:rPr>
      </w:pPr>
      <w:r>
        <w:rPr>
          <w:rFonts w:ascii="Arial" w:cs="Arial" w:eastAsia="Arial" w:hAnsi="Arial"/>
          <w:sz w:val="12"/>
          <w:szCs w:val="12"/>
          <w:b w:val="1"/>
          <w:bCs w:val="1"/>
          <w:color w:val="FFFFFF"/>
        </w:rPr>
        <w:t>Performance</w:t>
      </w:r>
    </w:p>
    <w:p>
      <w:pPr>
        <w:spacing w:after="0"/>
        <w:rPr>
          <w:sz w:val="20"/>
          <w:szCs w:val="20"/>
          <w:color w:val="auto"/>
        </w:rPr>
      </w:pPr>
      <w:r>
        <w:rPr>
          <w:rFonts w:ascii="Arial" w:cs="Arial" w:eastAsia="Arial" w:hAnsi="Arial"/>
          <w:sz w:val="12"/>
          <w:szCs w:val="12"/>
          <w:b w:val="1"/>
          <w:bCs w:val="1"/>
          <w:color w:val="FFFFFF"/>
        </w:rPr>
        <w:t>Disclosure</w:t>
      </w:r>
    </w:p>
    <w:p>
      <w:pPr>
        <w:spacing w:after="0" w:line="144" w:lineRule="exact"/>
        <w:rPr>
          <w:sz w:val="20"/>
          <w:szCs w:val="20"/>
          <w:color w:val="auto"/>
        </w:rPr>
      </w:pPr>
    </w:p>
    <w:p>
      <w:pPr>
        <w:sectPr>
          <w:pgSz w:w="11900" w:h="16838" w:orient="portrait"/>
          <w:cols w:equalWidth="0" w:num="2">
            <w:col w:w="8500" w:space="720"/>
            <w:col w:w="1580"/>
          </w:cols>
          <w:pgMar w:left="320" w:top="464" w:right="779" w:bottom="1440" w:gutter="0" w:footer="0" w:header="0"/>
          <w:type w:val="continuous"/>
        </w:sectPr>
      </w:pPr>
    </w:p>
    <w:p>
      <w:pPr>
        <w:ind w:left="9220"/>
        <w:spacing w:after="0"/>
        <w:rPr>
          <w:sz w:val="20"/>
          <w:szCs w:val="20"/>
          <w:color w:val="auto"/>
        </w:rPr>
      </w:pPr>
      <w:r>
        <w:rPr>
          <w:rFonts w:ascii="Arial" w:cs="Arial" w:eastAsia="Arial" w:hAnsi="Arial"/>
          <w:sz w:val="12"/>
          <w:szCs w:val="12"/>
          <w:color w:val="FFFFFF"/>
        </w:rPr>
        <w:t>Security</w:t>
      </w:r>
    </w:p>
    <w:p>
      <w:pPr>
        <w:ind w:left="9220"/>
        <w:spacing w:after="0" w:line="224" w:lineRule="auto"/>
        <w:rPr>
          <w:sz w:val="20"/>
          <w:szCs w:val="20"/>
          <w:color w:val="auto"/>
        </w:rPr>
      </w:pPr>
      <w:r>
        <w:rPr>
          <w:rFonts w:ascii="Arial" w:cs="Arial" w:eastAsia="Arial" w:hAnsi="Arial"/>
          <w:sz w:val="12"/>
          <w:szCs w:val="12"/>
          <w:color w:val="FFFFFF"/>
        </w:rPr>
        <w:t>Ownership of</w:t>
      </w:r>
    </w:p>
    <w:p>
      <w:pPr>
        <w:ind w:left="9220"/>
        <w:spacing w:after="0" w:line="222" w:lineRule="auto"/>
        <w:rPr>
          <w:sz w:val="20"/>
          <w:szCs w:val="20"/>
          <w:color w:val="auto"/>
        </w:rPr>
      </w:pPr>
      <w:r>
        <w:rPr>
          <w:rFonts w:ascii="Arial" w:cs="Arial" w:eastAsia="Arial" w:hAnsi="Arial"/>
          <w:sz w:val="12"/>
          <w:szCs w:val="12"/>
          <w:color w:val="FFFFFF"/>
        </w:rPr>
        <w:t>Certain Beneficial</w:t>
      </w:r>
    </w:p>
    <w:p>
      <w:pPr>
        <w:ind w:left="9220"/>
        <w:spacing w:after="0" w:line="222" w:lineRule="auto"/>
        <w:rPr>
          <w:sz w:val="20"/>
          <w:szCs w:val="20"/>
          <w:color w:val="auto"/>
        </w:rPr>
      </w:pPr>
      <w:r>
        <w:rPr>
          <w:rFonts w:ascii="Arial" w:cs="Arial" w:eastAsia="Arial" w:hAnsi="Arial"/>
          <w:sz w:val="12"/>
          <w:szCs w:val="12"/>
          <w:color w:val="FFFFFF"/>
        </w:rPr>
        <w:t>Owners and</w:t>
      </w:r>
    </w:p>
    <w:p>
      <w:pPr>
        <w:ind w:left="9220"/>
        <w:spacing w:after="0"/>
        <w:rPr>
          <w:sz w:val="20"/>
          <w:szCs w:val="20"/>
          <w:color w:val="auto"/>
        </w:rPr>
      </w:pPr>
      <w:r>
        <w:rPr>
          <w:rFonts w:ascii="Arial" w:cs="Arial" w:eastAsia="Arial" w:hAnsi="Arial"/>
          <w:sz w:val="12"/>
          <w:szCs w:val="12"/>
          <w:color w:val="FFFFFF"/>
        </w:rPr>
        <w:t>Management</w:t>
      </w:r>
    </w:p>
    <w:p>
      <w:pPr>
        <w:spacing w:after="0" w:line="144" w:lineRule="exact"/>
        <w:rPr>
          <w:sz w:val="20"/>
          <w:szCs w:val="20"/>
          <w:color w:val="auto"/>
        </w:rPr>
      </w:pPr>
    </w:p>
    <w:p>
      <w:pPr>
        <w:ind w:left="9220"/>
        <w:spacing w:after="0"/>
        <w:rPr>
          <w:sz w:val="20"/>
          <w:szCs w:val="20"/>
          <w:color w:val="auto"/>
        </w:rPr>
      </w:pPr>
      <w:r>
        <w:rPr>
          <w:rFonts w:ascii="Arial" w:cs="Arial" w:eastAsia="Arial" w:hAnsi="Arial"/>
          <w:sz w:val="12"/>
          <w:szCs w:val="12"/>
          <w:color w:val="FFFFFF"/>
        </w:rPr>
        <w:t>Certain</w:t>
      </w:r>
    </w:p>
    <w:p>
      <w:pPr>
        <w:ind w:left="9220"/>
        <w:spacing w:after="0" w:line="224" w:lineRule="auto"/>
        <w:rPr>
          <w:sz w:val="20"/>
          <w:szCs w:val="20"/>
          <w:color w:val="auto"/>
        </w:rPr>
      </w:pPr>
      <w:r>
        <w:rPr>
          <w:rFonts w:ascii="Arial" w:cs="Arial" w:eastAsia="Arial" w:hAnsi="Arial"/>
          <w:sz w:val="12"/>
          <w:szCs w:val="12"/>
          <w:color w:val="FFFFFF"/>
        </w:rPr>
        <w:t>Relationships and</w:t>
      </w:r>
    </w:p>
    <w:p>
      <w:pPr>
        <w:ind w:left="9220"/>
        <w:spacing w:after="0" w:line="222" w:lineRule="auto"/>
        <w:rPr>
          <w:sz w:val="20"/>
          <w:szCs w:val="20"/>
          <w:color w:val="auto"/>
        </w:rPr>
      </w:pPr>
      <w:r>
        <w:rPr>
          <w:rFonts w:ascii="Arial" w:cs="Arial" w:eastAsia="Arial" w:hAnsi="Arial"/>
          <w:sz w:val="12"/>
          <w:szCs w:val="12"/>
          <w:color w:val="FFFFFF"/>
        </w:rPr>
        <w:t>Related Party</w:t>
      </w:r>
    </w:p>
    <w:p>
      <w:pPr>
        <w:ind w:left="9220"/>
        <w:spacing w:after="0"/>
        <w:rPr>
          <w:sz w:val="20"/>
          <w:szCs w:val="20"/>
          <w:color w:val="auto"/>
        </w:rPr>
      </w:pPr>
      <w:r>
        <w:rPr>
          <w:rFonts w:ascii="Arial" w:cs="Arial" w:eastAsia="Arial" w:hAnsi="Arial"/>
          <w:sz w:val="12"/>
          <w:szCs w:val="12"/>
          <w:color w:val="FFFFFF"/>
        </w:rPr>
        <w:t>Transactions</w:t>
      </w:r>
    </w:p>
    <w:p>
      <w:pPr>
        <w:spacing w:after="0" w:line="144" w:lineRule="exact"/>
        <w:rPr>
          <w:sz w:val="20"/>
          <w:szCs w:val="20"/>
          <w:color w:val="auto"/>
        </w:rPr>
      </w:pPr>
    </w:p>
    <w:p>
      <w:pPr>
        <w:ind w:left="9220"/>
        <w:spacing w:after="0"/>
        <w:rPr>
          <w:sz w:val="20"/>
          <w:szCs w:val="20"/>
          <w:color w:val="auto"/>
        </w:rPr>
      </w:pPr>
      <w:r>
        <w:rPr>
          <w:rFonts w:ascii="Arial" w:cs="Arial" w:eastAsia="Arial" w:hAnsi="Arial"/>
          <w:sz w:val="12"/>
          <w:szCs w:val="12"/>
          <w:color w:val="FFFFFF"/>
        </w:rPr>
        <w:t>Proposal 2</w:t>
      </w:r>
    </w:p>
    <w:p>
      <w:pPr>
        <w:spacing w:after="0" w:line="156" w:lineRule="exact"/>
        <w:rPr>
          <w:sz w:val="20"/>
          <w:szCs w:val="20"/>
          <w:color w:val="auto"/>
        </w:rPr>
      </w:pPr>
    </w:p>
    <w:p>
      <w:pPr>
        <w:ind w:left="9220"/>
        <w:spacing w:after="0"/>
        <w:rPr>
          <w:sz w:val="20"/>
          <w:szCs w:val="20"/>
          <w:color w:val="auto"/>
        </w:rPr>
      </w:pPr>
      <w:r>
        <w:rPr>
          <w:rFonts w:ascii="Arial" w:cs="Arial" w:eastAsia="Arial" w:hAnsi="Arial"/>
          <w:sz w:val="12"/>
          <w:szCs w:val="12"/>
          <w:color w:val="FFFFFF"/>
        </w:rPr>
        <w:t>Report of the</w:t>
      </w:r>
    </w:p>
    <w:p>
      <w:pPr>
        <w:ind w:left="9220"/>
        <w:spacing w:after="0" w:line="224" w:lineRule="auto"/>
        <w:rPr>
          <w:sz w:val="20"/>
          <w:szCs w:val="20"/>
          <w:color w:val="auto"/>
        </w:rPr>
      </w:pPr>
      <w:r>
        <w:rPr>
          <w:rFonts w:ascii="Arial" w:cs="Arial" w:eastAsia="Arial" w:hAnsi="Arial"/>
          <w:sz w:val="12"/>
          <w:szCs w:val="12"/>
          <w:color w:val="FFFFFF"/>
        </w:rPr>
        <w:t>Audit and Risk</w:t>
      </w:r>
    </w:p>
    <w:p>
      <w:pPr>
        <w:ind w:left="9220"/>
        <w:spacing w:after="0" w:line="222" w:lineRule="auto"/>
        <w:rPr>
          <w:sz w:val="20"/>
          <w:szCs w:val="20"/>
          <w:color w:val="auto"/>
        </w:rPr>
      </w:pPr>
      <w:r>
        <w:rPr>
          <w:rFonts w:ascii="Arial" w:cs="Arial" w:eastAsia="Arial" w:hAnsi="Arial"/>
          <w:sz w:val="12"/>
          <w:szCs w:val="12"/>
          <w:color w:val="FFFFFF"/>
        </w:rPr>
        <w:t>Committee of the</w:t>
      </w:r>
    </w:p>
    <w:p>
      <w:pPr>
        <w:ind w:left="9220"/>
        <w:spacing w:after="0"/>
        <w:rPr>
          <w:sz w:val="20"/>
          <w:szCs w:val="20"/>
          <w:color w:val="auto"/>
        </w:rPr>
      </w:pPr>
      <w:r>
        <w:rPr>
          <w:rFonts w:ascii="Arial" w:cs="Arial" w:eastAsia="Arial" w:hAnsi="Arial"/>
          <w:sz w:val="12"/>
          <w:szCs w:val="12"/>
          <w:color w:val="FFFFFF"/>
        </w:rPr>
        <w:t>Board of Directors</w:t>
      </w:r>
    </w:p>
    <w:p>
      <w:pPr>
        <w:spacing w:after="0" w:line="144" w:lineRule="exact"/>
        <w:rPr>
          <w:sz w:val="20"/>
          <w:szCs w:val="20"/>
          <w:color w:val="auto"/>
        </w:rPr>
      </w:pPr>
    </w:p>
    <w:p>
      <w:pPr>
        <w:ind w:left="9220"/>
        <w:spacing w:after="0"/>
        <w:rPr>
          <w:sz w:val="20"/>
          <w:szCs w:val="20"/>
          <w:color w:val="auto"/>
        </w:rPr>
      </w:pPr>
      <w:r>
        <w:rPr>
          <w:rFonts w:ascii="Arial" w:cs="Arial" w:eastAsia="Arial" w:hAnsi="Arial"/>
          <w:sz w:val="12"/>
          <w:szCs w:val="12"/>
          <w:color w:val="FFFFFF"/>
        </w:rPr>
        <w:t>Proposal 3</w:t>
      </w:r>
    </w:p>
    <w:p>
      <w:pPr>
        <w:spacing w:after="0" w:line="156" w:lineRule="exact"/>
        <w:rPr>
          <w:sz w:val="20"/>
          <w:szCs w:val="20"/>
          <w:color w:val="auto"/>
        </w:rPr>
      </w:pPr>
    </w:p>
    <w:p>
      <w:pPr>
        <w:ind w:left="9220"/>
        <w:spacing w:after="0"/>
        <w:rPr>
          <w:sz w:val="20"/>
          <w:szCs w:val="20"/>
          <w:color w:val="auto"/>
        </w:rPr>
      </w:pPr>
      <w:r>
        <w:rPr>
          <w:rFonts w:ascii="Arial" w:cs="Arial" w:eastAsia="Arial" w:hAnsi="Arial"/>
          <w:sz w:val="12"/>
          <w:szCs w:val="12"/>
          <w:color w:val="FFFFFF"/>
        </w:rPr>
        <w:t>Proposal 4</w:t>
      </w:r>
    </w:p>
    <w:p>
      <w:pPr>
        <w:spacing w:after="0" w:line="156" w:lineRule="exact"/>
        <w:rPr>
          <w:sz w:val="20"/>
          <w:szCs w:val="20"/>
          <w:color w:val="auto"/>
        </w:rPr>
      </w:pPr>
    </w:p>
    <w:p>
      <w:pPr>
        <w:ind w:left="9220"/>
        <w:spacing w:after="0"/>
        <w:rPr>
          <w:sz w:val="20"/>
          <w:szCs w:val="20"/>
          <w:color w:val="auto"/>
        </w:rPr>
      </w:pPr>
      <w:r>
        <w:rPr>
          <w:rFonts w:ascii="Arial" w:cs="Arial" w:eastAsia="Arial" w:hAnsi="Arial"/>
          <w:sz w:val="12"/>
          <w:szCs w:val="12"/>
          <w:color w:val="FFFFFF"/>
        </w:rPr>
        <w:t>Proposal 5</w:t>
      </w:r>
    </w:p>
    <w:p>
      <w:pPr>
        <w:spacing w:after="0" w:line="156" w:lineRule="exact"/>
        <w:rPr>
          <w:sz w:val="20"/>
          <w:szCs w:val="20"/>
          <w:color w:val="auto"/>
        </w:rPr>
      </w:pPr>
    </w:p>
    <w:p>
      <w:pPr>
        <w:ind w:left="9220"/>
        <w:spacing w:after="0"/>
        <w:rPr>
          <w:sz w:val="20"/>
          <w:szCs w:val="20"/>
          <w:color w:val="auto"/>
        </w:rPr>
      </w:pPr>
      <w:r>
        <w:rPr>
          <w:rFonts w:ascii="Arial" w:cs="Arial" w:eastAsia="Arial" w:hAnsi="Arial"/>
          <w:sz w:val="12"/>
          <w:szCs w:val="12"/>
          <w:color w:val="FFFFFF"/>
        </w:rPr>
        <w:t>Proposal 6</w:t>
      </w:r>
    </w:p>
    <w:p>
      <w:pPr>
        <w:spacing w:after="0" w:line="156" w:lineRule="exact"/>
        <w:rPr>
          <w:sz w:val="20"/>
          <w:szCs w:val="20"/>
          <w:color w:val="auto"/>
        </w:rPr>
      </w:pPr>
    </w:p>
    <w:p>
      <w:pPr>
        <w:ind w:left="9220"/>
        <w:spacing w:after="0"/>
        <w:rPr>
          <w:sz w:val="20"/>
          <w:szCs w:val="20"/>
          <w:color w:val="auto"/>
        </w:rPr>
      </w:pPr>
      <w:r>
        <w:rPr>
          <w:rFonts w:ascii="Arial" w:cs="Arial" w:eastAsia="Arial" w:hAnsi="Arial"/>
          <w:sz w:val="12"/>
          <w:szCs w:val="12"/>
          <w:color w:val="FFFFFF"/>
        </w:rPr>
        <w:t>Stockholder</w:t>
      </w:r>
    </w:p>
    <w:p>
      <w:pPr>
        <w:ind w:left="9220"/>
        <w:spacing w:after="0" w:line="224" w:lineRule="auto"/>
        <w:rPr>
          <w:sz w:val="20"/>
          <w:szCs w:val="20"/>
          <w:color w:val="auto"/>
        </w:rPr>
      </w:pPr>
      <w:r>
        <w:rPr>
          <w:rFonts w:ascii="Arial" w:cs="Arial" w:eastAsia="Arial" w:hAnsi="Arial"/>
          <w:sz w:val="12"/>
          <w:szCs w:val="12"/>
          <w:color w:val="FFFFFF"/>
        </w:rPr>
        <w:t>Proposals and</w:t>
      </w:r>
    </w:p>
    <w:p>
      <w:pPr>
        <w:ind w:left="9220"/>
        <w:spacing w:after="0"/>
        <w:rPr>
          <w:sz w:val="20"/>
          <w:szCs w:val="20"/>
          <w:color w:val="auto"/>
        </w:rPr>
      </w:pPr>
      <w:r>
        <w:rPr>
          <w:rFonts w:ascii="Arial" w:cs="Arial" w:eastAsia="Arial" w:hAnsi="Arial"/>
          <w:sz w:val="12"/>
          <w:szCs w:val="12"/>
          <w:color w:val="FFFFFF"/>
        </w:rPr>
        <w:t>Other Matters</w:t>
      </w:r>
    </w:p>
    <w:p>
      <w:pPr>
        <w:spacing w:after="0" w:line="144" w:lineRule="exact"/>
        <w:rPr>
          <w:sz w:val="20"/>
          <w:szCs w:val="20"/>
          <w:color w:val="auto"/>
        </w:rPr>
      </w:pPr>
    </w:p>
    <w:p>
      <w:pPr>
        <w:ind w:left="9220"/>
        <w:spacing w:after="0"/>
        <w:rPr>
          <w:sz w:val="20"/>
          <w:szCs w:val="20"/>
          <w:color w:val="auto"/>
        </w:rPr>
      </w:pPr>
      <w:r>
        <w:rPr>
          <w:rFonts w:ascii="Arial" w:cs="Arial" w:eastAsia="Arial" w:hAnsi="Arial"/>
          <w:sz w:val="12"/>
          <w:szCs w:val="12"/>
          <w:color w:val="FFFFFF"/>
        </w:rPr>
        <w:t>Delinquent</w:t>
      </w:r>
    </w:p>
    <w:p>
      <w:pPr>
        <w:ind w:left="9220"/>
        <w:spacing w:after="0" w:line="224" w:lineRule="auto"/>
        <w:rPr>
          <w:sz w:val="20"/>
          <w:szCs w:val="20"/>
          <w:color w:val="auto"/>
        </w:rPr>
      </w:pPr>
      <w:r>
        <w:rPr>
          <w:rFonts w:ascii="Arial" w:cs="Arial" w:eastAsia="Arial" w:hAnsi="Arial"/>
          <w:sz w:val="12"/>
          <w:szCs w:val="12"/>
          <w:color w:val="FFFFFF"/>
        </w:rPr>
        <w:t>Section 16(a)</w:t>
      </w:r>
    </w:p>
    <w:p>
      <w:pPr>
        <w:ind w:left="9220"/>
        <w:spacing w:after="0"/>
        <w:rPr>
          <w:sz w:val="20"/>
          <w:szCs w:val="20"/>
          <w:color w:val="auto"/>
        </w:rPr>
      </w:pPr>
      <w:r>
        <w:rPr>
          <w:rFonts w:ascii="Arial" w:cs="Arial" w:eastAsia="Arial" w:hAnsi="Arial"/>
          <w:sz w:val="12"/>
          <w:szCs w:val="12"/>
          <w:color w:val="FFFFFF"/>
        </w:rPr>
        <w:t>Reports</w:t>
      </w:r>
    </w:p>
    <w:p>
      <w:pPr>
        <w:spacing w:after="0" w:line="144" w:lineRule="exact"/>
        <w:rPr>
          <w:sz w:val="20"/>
          <w:szCs w:val="20"/>
          <w:color w:val="auto"/>
        </w:rPr>
      </w:pPr>
    </w:p>
    <w:p>
      <w:pPr>
        <w:ind w:left="9220"/>
        <w:spacing w:after="0"/>
        <w:rPr>
          <w:sz w:val="20"/>
          <w:szCs w:val="20"/>
          <w:color w:val="auto"/>
        </w:rPr>
      </w:pPr>
      <w:r>
        <w:rPr>
          <w:rFonts w:ascii="Arial" w:cs="Arial" w:eastAsia="Arial" w:hAnsi="Arial"/>
          <w:sz w:val="12"/>
          <w:szCs w:val="12"/>
          <w:color w:val="FFFFFF"/>
        </w:rPr>
        <w:t>Other</w:t>
      </w:r>
    </w:p>
    <w:p>
      <w:pPr>
        <w:spacing w:after="0" w:line="2" w:lineRule="exact"/>
        <w:rPr>
          <w:sz w:val="20"/>
          <w:szCs w:val="20"/>
          <w:color w:val="auto"/>
        </w:rPr>
      </w:pPr>
    </w:p>
    <w:p>
      <w:pPr>
        <w:ind w:left="9220"/>
        <w:spacing w:after="0"/>
        <w:rPr>
          <w:sz w:val="20"/>
          <w:szCs w:val="20"/>
          <w:color w:val="auto"/>
        </w:rPr>
      </w:pPr>
      <w:r>
        <w:rPr>
          <w:rFonts w:ascii="Arial" w:cs="Arial" w:eastAsia="Arial" w:hAnsi="Arial"/>
          <w:sz w:val="12"/>
          <w:szCs w:val="12"/>
          <w:color w:val="FFFFFF"/>
        </w:rPr>
        <w:t>Information</w:t>
      </w:r>
    </w:p>
    <w:p>
      <w:pPr>
        <w:spacing w:after="0" w:line="144" w:lineRule="exact"/>
        <w:rPr>
          <w:sz w:val="20"/>
          <w:szCs w:val="20"/>
          <w:color w:val="auto"/>
        </w:rPr>
      </w:pPr>
    </w:p>
    <w:p>
      <w:pPr>
        <w:ind w:left="9220"/>
        <w:spacing w:after="0"/>
        <w:rPr>
          <w:sz w:val="20"/>
          <w:szCs w:val="20"/>
          <w:color w:val="auto"/>
        </w:rPr>
      </w:pPr>
      <w:r>
        <w:rPr>
          <w:rFonts w:ascii="Arial" w:cs="Arial" w:eastAsia="Arial" w:hAnsi="Arial"/>
          <w:sz w:val="12"/>
          <w:szCs w:val="12"/>
          <w:color w:val="FFFFFF"/>
        </w:rPr>
        <w:t>Appendix A</w:t>
      </w:r>
    </w:p>
    <w:p>
      <w:pPr>
        <w:spacing w:after="0" w:line="156" w:lineRule="exact"/>
        <w:rPr>
          <w:sz w:val="20"/>
          <w:szCs w:val="20"/>
          <w:color w:val="auto"/>
        </w:rPr>
      </w:pPr>
    </w:p>
    <w:p>
      <w:pPr>
        <w:ind w:left="9220"/>
        <w:spacing w:after="0"/>
        <w:rPr>
          <w:sz w:val="20"/>
          <w:szCs w:val="20"/>
          <w:color w:val="auto"/>
        </w:rPr>
      </w:pPr>
      <w:r>
        <w:rPr>
          <w:rFonts w:ascii="Arial" w:cs="Arial" w:eastAsia="Arial" w:hAnsi="Arial"/>
          <w:sz w:val="12"/>
          <w:szCs w:val="12"/>
          <w:color w:val="FFFFFF"/>
        </w:rPr>
        <w:t>Appendix 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6380"/>
        <w:spacing w:after="0"/>
        <w:tabs>
          <w:tab w:leader="none" w:pos="8500" w:val="left"/>
          <w:tab w:leader="none" w:pos="9960" w:val="left"/>
        </w:tabs>
        <w:rPr>
          <w:sz w:val="20"/>
          <w:szCs w:val="20"/>
          <w:color w:val="auto"/>
        </w:rPr>
      </w:pPr>
      <w:r>
        <w:rPr>
          <w:rFonts w:ascii="Arial" w:cs="Arial" w:eastAsia="Arial" w:hAnsi="Arial"/>
          <w:sz w:val="15"/>
          <w:szCs w:val="15"/>
          <w:b w:val="1"/>
          <w:bCs w:val="1"/>
          <w:color w:val="002B5F"/>
        </w:rPr>
        <w:t xml:space="preserve">2026 Proxy Statement  </w:t>
      </w:r>
      <w:r>
        <w:rPr>
          <w:rFonts w:ascii="Arial" w:cs="Arial" w:eastAsia="Arial" w:hAnsi="Arial"/>
          <w:sz w:val="20"/>
          <w:szCs w:val="20"/>
          <w:color w:val="002B5F"/>
        </w:rPr>
        <w:t>|</w:t>
      </w:r>
      <w:r>
        <w:rPr>
          <w:rFonts w:ascii="Arial" w:cs="Arial" w:eastAsia="Arial" w:hAnsi="Arial"/>
          <w:sz w:val="15"/>
          <w:szCs w:val="15"/>
          <w:b w:val="1"/>
          <w:bCs w:val="1"/>
          <w:color w:val="002B5F"/>
        </w:rPr>
        <w:t xml:space="preserve">  77</w:t>
      </w:r>
      <w:r>
        <w:rPr>
          <w:sz w:val="20"/>
          <w:szCs w:val="20"/>
          <w:color w:val="auto"/>
        </w:rPr>
        <w:tab/>
      </w:r>
      <w:r>
        <w:rPr>
          <w:rFonts w:ascii="Arial" w:cs="Arial" w:eastAsia="Arial" w:hAnsi="Arial"/>
          <w:sz w:val="17"/>
          <w:szCs w:val="17"/>
          <w:color w:val="auto"/>
        </w:rPr>
        <w:t xml:space="preserve">    </w:t>
      </w:r>
      <w:r>
        <w:rPr>
          <w:sz w:val="20"/>
          <w:szCs w:val="20"/>
          <w:color w:val="auto"/>
        </w:rPr>
        <w:tab/>
      </w:r>
      <w:r>
        <w:rPr>
          <w:rFonts w:ascii="Arial" w:cs="Arial" w:eastAsia="Arial" w:hAnsi="Arial"/>
          <w:sz w:val="17"/>
          <w:szCs w:val="17"/>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268605</wp:posOffset>
            </wp:positionH>
            <wp:positionV relativeFrom="paragraph">
              <wp:posOffset>-128905</wp:posOffset>
            </wp:positionV>
            <wp:extent cx="762000" cy="971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62000" cy="97155"/>
                    </a:xfrm>
                    <a:prstGeom prst="rect">
                      <a:avLst/>
                    </a:prstGeom>
                    <a:noFill/>
                  </pic:spPr>
                </pic:pic>
              </a:graphicData>
            </a:graphic>
          </wp:anchor>
        </w:drawing>
      </w:r>
    </w:p>
    <w:p>
      <w:pPr>
        <w:sectPr>
          <w:pgSz w:w="11900" w:h="16838" w:orient="portrait"/>
          <w:cols w:equalWidth="0" w:num="1">
            <w:col w:w="10800"/>
          </w:cols>
          <w:pgMar w:left="320" w:top="464" w:right="779" w:bottom="1440" w:gutter="0" w:footer="0" w:header="0"/>
          <w:type w:val="continuous"/>
        </w:sectPr>
      </w:pPr>
    </w:p>
    <w:bookmarkStart w:id="69" w:name="page70"/>
    <w:bookmarkEnd w:id="69"/>
    <w:p>
      <w:pPr>
        <w:spacing w:after="0"/>
        <w:rPr>
          <w:sz w:val="20"/>
          <w:szCs w:val="20"/>
          <w:color w:val="auto"/>
        </w:rPr>
      </w:pPr>
      <w:r>
        <w:rPr>
          <w:rFonts w:ascii="Times New Roman" w:cs="Times New Roman" w:eastAsia="Times New Roman" w:hAnsi="Times New Roman"/>
          <w:sz w:val="17"/>
          <w:szCs w:val="17"/>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268605</wp:posOffset>
            </wp:positionH>
            <wp:positionV relativeFrom="paragraph">
              <wp:posOffset>253365</wp:posOffset>
            </wp:positionV>
            <wp:extent cx="1183005" cy="745617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1183005" cy="7456170"/>
                    </a:xfrm>
                    <a:prstGeom prst="rect">
                      <a:avLst/>
                    </a:prstGeom>
                    <a:noFill/>
                  </pic:spPr>
                </pic:pic>
              </a:graphicData>
            </a:graphic>
          </wp:anchor>
        </w:drawing>
      </w:r>
    </w:p>
    <w:p>
      <w:pPr>
        <w:spacing w:after="0" w:line="200" w:lineRule="exact"/>
        <w:rPr>
          <w:sz w:val="20"/>
          <w:szCs w:val="20"/>
          <w:color w:val="auto"/>
        </w:rPr>
      </w:pPr>
    </w:p>
    <w:p>
      <w:pPr>
        <w:spacing w:after="0" w:line="304" w:lineRule="exact"/>
        <w:rPr>
          <w:sz w:val="20"/>
          <w:szCs w:val="20"/>
          <w:color w:val="auto"/>
        </w:rPr>
      </w:pPr>
    </w:p>
    <w:p>
      <w:pPr>
        <w:ind w:left="1120" w:right="460" w:hanging="672"/>
        <w:spacing w:after="0" w:line="382" w:lineRule="auto"/>
        <w:tabs>
          <w:tab w:leader="none" w:pos="610" w:val="left"/>
        </w:tabs>
        <w:numPr>
          <w:ilvl w:val="0"/>
          <w:numId w:val="90"/>
        </w:numPr>
        <w:rPr>
          <w:rFonts w:ascii="Arial" w:cs="Arial" w:eastAsia="Arial" w:hAnsi="Arial"/>
          <w:sz w:val="24"/>
          <w:szCs w:val="24"/>
          <w:color w:val="auto"/>
          <w:vertAlign w:val="subscript"/>
        </w:rPr>
      </w:pPr>
      <w:r>
        <w:rPr>
          <w:rFonts w:ascii="Arial" w:cs="Arial" w:eastAsia="Arial" w:hAnsi="Arial"/>
          <w:sz w:val="24"/>
          <w:szCs w:val="24"/>
          <w:color w:val="000000"/>
          <w:vertAlign w:val="subscript"/>
        </w:rPr>
        <w:t xml:space="preserve">     </w:t>
      </w:r>
      <w:r>
        <w:rPr>
          <w:rFonts w:ascii="Arial" w:cs="Arial" w:eastAsia="Arial" w:hAnsi="Arial"/>
          <w:sz w:val="10"/>
          <w:szCs w:val="10"/>
          <w:color w:val="FFFFFF"/>
        </w:rPr>
        <w:t xml:space="preserve"> General Information</w:t>
      </w:r>
    </w:p>
    <w:p>
      <w:pPr>
        <w:spacing w:after="0" w:line="1" w:lineRule="exact"/>
        <w:rPr>
          <w:sz w:val="20"/>
          <w:szCs w:val="20"/>
          <w:color w:val="auto"/>
        </w:rPr>
      </w:pPr>
    </w:p>
    <w:p>
      <w:pPr>
        <w:ind w:left="1120"/>
        <w:spacing w:after="0"/>
        <w:rPr>
          <w:sz w:val="20"/>
          <w:szCs w:val="20"/>
          <w:color w:val="auto"/>
        </w:rPr>
      </w:pPr>
      <w:r>
        <w:rPr>
          <w:rFonts w:ascii="Arial" w:cs="Arial" w:eastAsia="Arial" w:hAnsi="Arial"/>
          <w:sz w:val="11"/>
          <w:szCs w:val="11"/>
          <w:color w:val="FFFFFF"/>
        </w:rPr>
        <w:t>General Information</w:t>
      </w:r>
    </w:p>
    <w:p>
      <w:pPr>
        <w:spacing w:after="0" w:line="3"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About Corporate</w:t>
      </w:r>
    </w:p>
    <w:p>
      <w:pPr>
        <w:ind w:left="1120"/>
        <w:spacing w:after="0" w:line="221" w:lineRule="auto"/>
        <w:rPr>
          <w:sz w:val="20"/>
          <w:szCs w:val="20"/>
          <w:color w:val="auto"/>
        </w:rPr>
      </w:pPr>
      <w:r>
        <w:rPr>
          <w:rFonts w:ascii="Arial" w:cs="Arial" w:eastAsia="Arial" w:hAnsi="Arial"/>
          <w:sz w:val="12"/>
          <w:szCs w:val="12"/>
          <w:color w:val="FFFFFF"/>
        </w:rPr>
        <w:t>Governance</w:t>
      </w:r>
    </w:p>
    <w:p>
      <w:pPr>
        <w:ind w:left="1120"/>
        <w:spacing w:after="0" w:line="222" w:lineRule="auto"/>
        <w:rPr>
          <w:sz w:val="20"/>
          <w:szCs w:val="20"/>
          <w:color w:val="auto"/>
        </w:rPr>
      </w:pPr>
      <w:r>
        <w:rPr>
          <w:rFonts w:ascii="Arial" w:cs="Arial" w:eastAsia="Arial" w:hAnsi="Arial"/>
          <w:sz w:val="12"/>
          <w:szCs w:val="12"/>
          <w:color w:val="FFFFFF"/>
        </w:rPr>
        <w:t>and the Board of</w:t>
      </w:r>
    </w:p>
    <w:p>
      <w:pPr>
        <w:spacing w:after="0" w:line="1"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Directors</w:t>
      </w:r>
    </w:p>
    <w:p>
      <w:pPr>
        <w:spacing w:after="0" w:line="144" w:lineRule="exact"/>
        <w:rPr>
          <w:sz w:val="20"/>
          <w:szCs w:val="20"/>
          <w:color w:val="auto"/>
        </w:rPr>
      </w:pPr>
    </w:p>
    <w:p>
      <w:pPr>
        <w:jc w:val="center"/>
        <w:ind w:left="620"/>
        <w:spacing w:after="0"/>
        <w:rPr>
          <w:sz w:val="20"/>
          <w:szCs w:val="20"/>
          <w:color w:val="auto"/>
        </w:rPr>
      </w:pPr>
      <w:r>
        <w:rPr>
          <w:rFonts w:ascii="Arial" w:cs="Arial" w:eastAsia="Arial" w:hAnsi="Arial"/>
          <w:sz w:val="12"/>
          <w:szCs w:val="12"/>
          <w:color w:val="FFFFFF"/>
        </w:rPr>
        <w:t>Proposal 1</w:t>
      </w:r>
    </w:p>
    <w:p>
      <w:pPr>
        <w:spacing w:after="0" w:line="156"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Information</w:t>
      </w:r>
    </w:p>
    <w:p>
      <w:pPr>
        <w:ind w:left="1120"/>
        <w:spacing w:after="0" w:line="224" w:lineRule="auto"/>
        <w:rPr>
          <w:sz w:val="20"/>
          <w:szCs w:val="20"/>
          <w:color w:val="auto"/>
        </w:rPr>
      </w:pPr>
      <w:r>
        <w:rPr>
          <w:rFonts w:ascii="Arial" w:cs="Arial" w:eastAsia="Arial" w:hAnsi="Arial"/>
          <w:sz w:val="12"/>
          <w:szCs w:val="12"/>
          <w:color w:val="FFFFFF"/>
        </w:rPr>
        <w:t>Regarding Board</w:t>
      </w:r>
    </w:p>
    <w:p>
      <w:pPr>
        <w:ind w:left="1120"/>
        <w:spacing w:after="0" w:line="222" w:lineRule="auto"/>
        <w:rPr>
          <w:sz w:val="20"/>
          <w:szCs w:val="20"/>
          <w:color w:val="auto"/>
        </w:rPr>
      </w:pPr>
      <w:r>
        <w:rPr>
          <w:rFonts w:ascii="Arial" w:cs="Arial" w:eastAsia="Arial" w:hAnsi="Arial"/>
          <w:sz w:val="12"/>
          <w:szCs w:val="12"/>
          <w:color w:val="FFFFFF"/>
        </w:rPr>
        <w:t>and Committee</w:t>
      </w:r>
    </w:p>
    <w:p>
      <w:pPr>
        <w:ind w:left="1120"/>
        <w:spacing w:after="0"/>
        <w:rPr>
          <w:sz w:val="20"/>
          <w:szCs w:val="20"/>
          <w:color w:val="auto"/>
        </w:rPr>
      </w:pPr>
      <w:r>
        <w:rPr>
          <w:rFonts w:ascii="Arial" w:cs="Arial" w:eastAsia="Arial" w:hAnsi="Arial"/>
          <w:sz w:val="12"/>
          <w:szCs w:val="12"/>
          <w:color w:val="FFFFFF"/>
        </w:rPr>
        <w:t>Structure</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Board of Directors</w:t>
      </w:r>
    </w:p>
    <w:p>
      <w:pPr>
        <w:spacing w:after="0" w:line="2"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Compensation</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Compensation</w:t>
      </w:r>
    </w:p>
    <w:p>
      <w:pPr>
        <w:ind w:left="1120"/>
        <w:spacing w:after="0" w:line="224" w:lineRule="auto"/>
        <w:rPr>
          <w:sz w:val="20"/>
          <w:szCs w:val="20"/>
          <w:color w:val="auto"/>
        </w:rPr>
      </w:pPr>
      <w:r>
        <w:rPr>
          <w:rFonts w:ascii="Arial" w:cs="Arial" w:eastAsia="Arial" w:hAnsi="Arial"/>
          <w:sz w:val="12"/>
          <w:szCs w:val="12"/>
          <w:color w:val="FFFFFF"/>
        </w:rPr>
        <w:t>Discussion and</w:t>
      </w:r>
    </w:p>
    <w:p>
      <w:pPr>
        <w:ind w:left="1120"/>
        <w:spacing w:after="0"/>
        <w:rPr>
          <w:sz w:val="20"/>
          <w:szCs w:val="20"/>
          <w:color w:val="auto"/>
        </w:rPr>
      </w:pPr>
      <w:r>
        <w:rPr>
          <w:rFonts w:ascii="Arial" w:cs="Arial" w:eastAsia="Arial" w:hAnsi="Arial"/>
          <w:sz w:val="12"/>
          <w:szCs w:val="12"/>
          <w:color w:val="FFFFFF"/>
        </w:rPr>
        <w:t>Analysis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Report of the</w:t>
      </w:r>
    </w:p>
    <w:p>
      <w:pPr>
        <w:ind w:left="1120"/>
        <w:spacing w:after="0" w:line="224" w:lineRule="auto"/>
        <w:rPr>
          <w:sz w:val="20"/>
          <w:szCs w:val="20"/>
          <w:color w:val="auto"/>
        </w:rPr>
      </w:pPr>
      <w:r>
        <w:rPr>
          <w:rFonts w:ascii="Arial" w:cs="Arial" w:eastAsia="Arial" w:hAnsi="Arial"/>
          <w:sz w:val="12"/>
          <w:szCs w:val="12"/>
          <w:color w:val="FFFFFF"/>
        </w:rPr>
        <w:t>Compensation</w:t>
      </w:r>
    </w:p>
    <w:p>
      <w:pPr>
        <w:ind w:left="1120"/>
        <w:spacing w:after="0" w:line="222" w:lineRule="auto"/>
        <w:rPr>
          <w:sz w:val="20"/>
          <w:szCs w:val="20"/>
          <w:color w:val="auto"/>
        </w:rPr>
      </w:pPr>
      <w:r>
        <w:rPr>
          <w:rFonts w:ascii="Arial" w:cs="Arial" w:eastAsia="Arial" w:hAnsi="Arial"/>
          <w:sz w:val="12"/>
          <w:szCs w:val="12"/>
          <w:color w:val="FFFFFF"/>
        </w:rPr>
        <w:t>and Human</w:t>
      </w:r>
    </w:p>
    <w:p>
      <w:pPr>
        <w:ind w:left="1120"/>
        <w:spacing w:after="0" w:line="222" w:lineRule="auto"/>
        <w:rPr>
          <w:sz w:val="20"/>
          <w:szCs w:val="20"/>
          <w:color w:val="auto"/>
        </w:rPr>
      </w:pPr>
      <w:r>
        <w:rPr>
          <w:rFonts w:ascii="Arial" w:cs="Arial" w:eastAsia="Arial" w:hAnsi="Arial"/>
          <w:sz w:val="12"/>
          <w:szCs w:val="12"/>
          <w:color w:val="FFFFFF"/>
        </w:rPr>
        <w:t>Resources</w:t>
      </w:r>
    </w:p>
    <w:p>
      <w:pPr>
        <w:ind w:left="1120"/>
        <w:spacing w:after="0" w:line="222" w:lineRule="auto"/>
        <w:rPr>
          <w:sz w:val="20"/>
          <w:szCs w:val="20"/>
          <w:color w:val="auto"/>
        </w:rPr>
      </w:pPr>
      <w:r>
        <w:rPr>
          <w:rFonts w:ascii="Arial" w:cs="Arial" w:eastAsia="Arial" w:hAnsi="Arial"/>
          <w:sz w:val="12"/>
          <w:szCs w:val="12"/>
          <w:color w:val="FFFFFF"/>
        </w:rPr>
        <w:t>Committee of the</w:t>
      </w:r>
    </w:p>
    <w:p>
      <w:pPr>
        <w:ind w:left="1120"/>
        <w:spacing w:after="0"/>
        <w:rPr>
          <w:sz w:val="20"/>
          <w:szCs w:val="20"/>
          <w:color w:val="auto"/>
        </w:rPr>
      </w:pPr>
      <w:r>
        <w:rPr>
          <w:rFonts w:ascii="Arial" w:cs="Arial" w:eastAsia="Arial" w:hAnsi="Arial"/>
          <w:sz w:val="12"/>
          <w:szCs w:val="12"/>
          <w:color w:val="FFFFFF"/>
        </w:rPr>
        <w:t>Board of Directors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Compensation of</w:t>
      </w:r>
    </w:p>
    <w:p>
      <w:pPr>
        <w:ind w:left="1120"/>
        <w:spacing w:after="0" w:line="224" w:lineRule="auto"/>
        <w:rPr>
          <w:sz w:val="20"/>
          <w:szCs w:val="20"/>
          <w:color w:val="auto"/>
        </w:rPr>
      </w:pPr>
      <w:r>
        <w:rPr>
          <w:rFonts w:ascii="Arial" w:cs="Arial" w:eastAsia="Arial" w:hAnsi="Arial"/>
          <w:sz w:val="12"/>
          <w:szCs w:val="12"/>
          <w:color w:val="FFFFFF"/>
        </w:rPr>
        <w:t>Named Executive</w:t>
      </w:r>
    </w:p>
    <w:p>
      <w:pPr>
        <w:ind w:left="1120"/>
        <w:spacing w:after="0"/>
        <w:rPr>
          <w:sz w:val="20"/>
          <w:szCs w:val="20"/>
          <w:color w:val="auto"/>
        </w:rPr>
      </w:pPr>
      <w:r>
        <w:rPr>
          <w:rFonts w:ascii="Arial" w:cs="Arial" w:eastAsia="Arial" w:hAnsi="Arial"/>
          <w:sz w:val="12"/>
          <w:szCs w:val="12"/>
          <w:color w:val="FFFFFF"/>
        </w:rPr>
        <w:t>Officers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b w:val="1"/>
          <w:bCs w:val="1"/>
          <w:color w:val="FFFFFF"/>
        </w:rPr>
        <w:t>Pay Versus</w:t>
      </w:r>
    </w:p>
    <w:p>
      <w:pPr>
        <w:ind w:left="1120"/>
        <w:spacing w:after="0" w:line="224" w:lineRule="auto"/>
        <w:rPr>
          <w:sz w:val="20"/>
          <w:szCs w:val="20"/>
          <w:color w:val="auto"/>
        </w:rPr>
      </w:pPr>
      <w:r>
        <w:rPr>
          <w:rFonts w:ascii="Arial" w:cs="Arial" w:eastAsia="Arial" w:hAnsi="Arial"/>
          <w:sz w:val="12"/>
          <w:szCs w:val="12"/>
          <w:b w:val="1"/>
          <w:bCs w:val="1"/>
          <w:color w:val="FFFFFF"/>
        </w:rPr>
        <w:t>Performance</w:t>
      </w:r>
    </w:p>
    <w:p>
      <w:pPr>
        <w:ind w:left="1120"/>
        <w:spacing w:after="0"/>
        <w:rPr>
          <w:sz w:val="20"/>
          <w:szCs w:val="20"/>
          <w:color w:val="auto"/>
        </w:rPr>
      </w:pPr>
      <w:r>
        <w:rPr>
          <w:rFonts w:ascii="Arial" w:cs="Arial" w:eastAsia="Arial" w:hAnsi="Arial"/>
          <w:sz w:val="12"/>
          <w:szCs w:val="12"/>
          <w:b w:val="1"/>
          <w:bCs w:val="1"/>
          <w:color w:val="FFFFFF"/>
        </w:rPr>
        <w:t>Disclosure</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Security</w:t>
      </w:r>
    </w:p>
    <w:p>
      <w:pPr>
        <w:ind w:left="1120"/>
        <w:spacing w:after="0" w:line="224" w:lineRule="auto"/>
        <w:rPr>
          <w:sz w:val="20"/>
          <w:szCs w:val="20"/>
          <w:color w:val="auto"/>
        </w:rPr>
      </w:pPr>
      <w:r>
        <w:rPr>
          <w:rFonts w:ascii="Arial" w:cs="Arial" w:eastAsia="Arial" w:hAnsi="Arial"/>
          <w:sz w:val="12"/>
          <w:szCs w:val="12"/>
          <w:color w:val="FFFFFF"/>
        </w:rPr>
        <w:t>Ownership of</w:t>
      </w:r>
    </w:p>
    <w:p>
      <w:pPr>
        <w:ind w:left="1120"/>
        <w:spacing w:after="0" w:line="222" w:lineRule="auto"/>
        <w:rPr>
          <w:sz w:val="20"/>
          <w:szCs w:val="20"/>
          <w:color w:val="auto"/>
        </w:rPr>
      </w:pPr>
      <w:r>
        <w:rPr>
          <w:rFonts w:ascii="Arial" w:cs="Arial" w:eastAsia="Arial" w:hAnsi="Arial"/>
          <w:sz w:val="12"/>
          <w:szCs w:val="12"/>
          <w:color w:val="FFFFFF"/>
        </w:rPr>
        <w:t>Certain Beneficial</w:t>
      </w:r>
    </w:p>
    <w:p>
      <w:pPr>
        <w:ind w:left="1120"/>
        <w:spacing w:after="0" w:line="222" w:lineRule="auto"/>
        <w:rPr>
          <w:sz w:val="20"/>
          <w:szCs w:val="20"/>
          <w:color w:val="auto"/>
        </w:rPr>
      </w:pPr>
      <w:r>
        <w:rPr>
          <w:rFonts w:ascii="Arial" w:cs="Arial" w:eastAsia="Arial" w:hAnsi="Arial"/>
          <w:sz w:val="12"/>
          <w:szCs w:val="12"/>
          <w:color w:val="FFFFFF"/>
        </w:rPr>
        <w:t>Owners and</w:t>
      </w:r>
    </w:p>
    <w:p>
      <w:pPr>
        <w:ind w:left="1120"/>
        <w:spacing w:after="0"/>
        <w:rPr>
          <w:sz w:val="20"/>
          <w:szCs w:val="20"/>
          <w:color w:val="auto"/>
        </w:rPr>
      </w:pPr>
      <w:r>
        <w:rPr>
          <w:rFonts w:ascii="Arial" w:cs="Arial" w:eastAsia="Arial" w:hAnsi="Arial"/>
          <w:sz w:val="12"/>
          <w:szCs w:val="12"/>
          <w:color w:val="FFFFFF"/>
        </w:rPr>
        <w:t>Management</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Certain</w:t>
      </w:r>
    </w:p>
    <w:p>
      <w:pPr>
        <w:ind w:left="1120"/>
        <w:spacing w:after="0" w:line="224" w:lineRule="auto"/>
        <w:rPr>
          <w:sz w:val="20"/>
          <w:szCs w:val="20"/>
          <w:color w:val="auto"/>
        </w:rPr>
      </w:pPr>
      <w:r>
        <w:rPr>
          <w:rFonts w:ascii="Arial" w:cs="Arial" w:eastAsia="Arial" w:hAnsi="Arial"/>
          <w:sz w:val="12"/>
          <w:szCs w:val="12"/>
          <w:color w:val="FFFFFF"/>
        </w:rPr>
        <w:t>Relationships and</w:t>
      </w:r>
    </w:p>
    <w:p>
      <w:pPr>
        <w:ind w:left="1120"/>
        <w:spacing w:after="0" w:line="222" w:lineRule="auto"/>
        <w:rPr>
          <w:sz w:val="20"/>
          <w:szCs w:val="20"/>
          <w:color w:val="auto"/>
        </w:rPr>
      </w:pPr>
      <w:r>
        <w:rPr>
          <w:rFonts w:ascii="Arial" w:cs="Arial" w:eastAsia="Arial" w:hAnsi="Arial"/>
          <w:sz w:val="12"/>
          <w:szCs w:val="12"/>
          <w:color w:val="FFFFFF"/>
        </w:rPr>
        <w:t>Related Party</w:t>
      </w:r>
    </w:p>
    <w:p>
      <w:pPr>
        <w:ind w:left="1120"/>
        <w:spacing w:after="0"/>
        <w:rPr>
          <w:sz w:val="20"/>
          <w:szCs w:val="20"/>
          <w:color w:val="auto"/>
        </w:rPr>
      </w:pPr>
      <w:r>
        <w:rPr>
          <w:rFonts w:ascii="Arial" w:cs="Arial" w:eastAsia="Arial" w:hAnsi="Arial"/>
          <w:sz w:val="12"/>
          <w:szCs w:val="12"/>
          <w:color w:val="FFFFFF"/>
        </w:rPr>
        <w:t>Transactions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Proposal 2</w:t>
      </w:r>
    </w:p>
    <w:p>
      <w:pPr>
        <w:spacing w:after="0" w:line="156"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Report of the</w:t>
      </w:r>
    </w:p>
    <w:p>
      <w:pPr>
        <w:ind w:left="1120"/>
        <w:spacing w:after="0" w:line="224" w:lineRule="auto"/>
        <w:rPr>
          <w:sz w:val="20"/>
          <w:szCs w:val="20"/>
          <w:color w:val="auto"/>
        </w:rPr>
      </w:pPr>
      <w:r>
        <w:rPr>
          <w:rFonts w:ascii="Arial" w:cs="Arial" w:eastAsia="Arial" w:hAnsi="Arial"/>
          <w:sz w:val="12"/>
          <w:szCs w:val="12"/>
          <w:color w:val="FFFFFF"/>
        </w:rPr>
        <w:t>Audit and Risk</w:t>
      </w:r>
    </w:p>
    <w:p>
      <w:pPr>
        <w:ind w:left="1120"/>
        <w:spacing w:after="0" w:line="222" w:lineRule="auto"/>
        <w:rPr>
          <w:sz w:val="20"/>
          <w:szCs w:val="20"/>
          <w:color w:val="auto"/>
        </w:rPr>
      </w:pPr>
      <w:r>
        <w:rPr>
          <w:rFonts w:ascii="Arial" w:cs="Arial" w:eastAsia="Arial" w:hAnsi="Arial"/>
          <w:sz w:val="12"/>
          <w:szCs w:val="12"/>
          <w:color w:val="FFFFFF"/>
        </w:rPr>
        <w:t>Committee of the</w:t>
      </w:r>
    </w:p>
    <w:p>
      <w:pPr>
        <w:ind w:left="1120"/>
        <w:spacing w:after="0"/>
        <w:rPr>
          <w:sz w:val="20"/>
          <w:szCs w:val="20"/>
          <w:color w:val="auto"/>
        </w:rPr>
      </w:pPr>
      <w:r>
        <w:rPr>
          <w:rFonts w:ascii="Arial" w:cs="Arial" w:eastAsia="Arial" w:hAnsi="Arial"/>
          <w:sz w:val="12"/>
          <w:szCs w:val="12"/>
          <w:color w:val="FFFFFF"/>
        </w:rPr>
        <w:t>Board of Directors</w:t>
      </w:r>
    </w:p>
    <w:p>
      <w:pPr>
        <w:spacing w:after="0" w:line="144" w:lineRule="exact"/>
        <w:rPr>
          <w:sz w:val="20"/>
          <w:szCs w:val="20"/>
          <w:color w:val="auto"/>
        </w:rPr>
      </w:pPr>
    </w:p>
    <w:p>
      <w:pPr>
        <w:jc w:val="center"/>
        <w:ind w:left="620"/>
        <w:spacing w:after="0"/>
        <w:rPr>
          <w:sz w:val="20"/>
          <w:szCs w:val="20"/>
          <w:color w:val="auto"/>
        </w:rPr>
      </w:pPr>
      <w:r>
        <w:rPr>
          <w:rFonts w:ascii="Arial" w:cs="Arial" w:eastAsia="Arial" w:hAnsi="Arial"/>
          <w:sz w:val="12"/>
          <w:szCs w:val="12"/>
          <w:color w:val="FFFFFF"/>
        </w:rPr>
        <w:t>Proposal 3</w:t>
      </w:r>
    </w:p>
    <w:p>
      <w:pPr>
        <w:spacing w:after="0" w:line="156" w:lineRule="exact"/>
        <w:rPr>
          <w:sz w:val="20"/>
          <w:szCs w:val="20"/>
          <w:color w:val="auto"/>
        </w:rPr>
      </w:pPr>
    </w:p>
    <w:p>
      <w:pPr>
        <w:jc w:val="center"/>
        <w:ind w:left="620"/>
        <w:spacing w:after="0"/>
        <w:rPr>
          <w:sz w:val="20"/>
          <w:szCs w:val="20"/>
          <w:color w:val="auto"/>
        </w:rPr>
      </w:pPr>
      <w:r>
        <w:rPr>
          <w:rFonts w:ascii="Arial" w:cs="Arial" w:eastAsia="Arial" w:hAnsi="Arial"/>
          <w:sz w:val="12"/>
          <w:szCs w:val="12"/>
          <w:color w:val="FFFFFF"/>
        </w:rPr>
        <w:t>Proposal 4</w:t>
      </w:r>
    </w:p>
    <w:p>
      <w:pPr>
        <w:spacing w:after="0" w:line="156" w:lineRule="exact"/>
        <w:rPr>
          <w:sz w:val="20"/>
          <w:szCs w:val="20"/>
          <w:color w:val="auto"/>
        </w:rPr>
      </w:pPr>
    </w:p>
    <w:p>
      <w:pPr>
        <w:jc w:val="center"/>
        <w:ind w:left="620"/>
        <w:spacing w:after="0"/>
        <w:rPr>
          <w:sz w:val="20"/>
          <w:szCs w:val="20"/>
          <w:color w:val="auto"/>
        </w:rPr>
      </w:pPr>
      <w:r>
        <w:rPr>
          <w:rFonts w:ascii="Arial" w:cs="Arial" w:eastAsia="Arial" w:hAnsi="Arial"/>
          <w:sz w:val="12"/>
          <w:szCs w:val="12"/>
          <w:color w:val="FFFFFF"/>
        </w:rPr>
        <w:t>Proposal 5</w:t>
      </w:r>
    </w:p>
    <w:p>
      <w:pPr>
        <w:spacing w:after="0" w:line="156"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Proposal 6</w:t>
      </w:r>
    </w:p>
    <w:p>
      <w:pPr>
        <w:spacing w:after="0" w:line="156"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Stockholder</w:t>
      </w:r>
    </w:p>
    <w:p>
      <w:pPr>
        <w:ind w:left="1120"/>
        <w:spacing w:after="0" w:line="224" w:lineRule="auto"/>
        <w:rPr>
          <w:sz w:val="20"/>
          <w:szCs w:val="20"/>
          <w:color w:val="auto"/>
        </w:rPr>
      </w:pPr>
      <w:r>
        <w:rPr>
          <w:rFonts w:ascii="Arial" w:cs="Arial" w:eastAsia="Arial" w:hAnsi="Arial"/>
          <w:sz w:val="12"/>
          <w:szCs w:val="12"/>
          <w:color w:val="FFFFFF"/>
        </w:rPr>
        <w:t>Proposals and</w:t>
      </w:r>
    </w:p>
    <w:p>
      <w:pPr>
        <w:ind w:left="1120"/>
        <w:spacing w:after="0"/>
        <w:rPr>
          <w:sz w:val="20"/>
          <w:szCs w:val="20"/>
          <w:color w:val="auto"/>
        </w:rPr>
      </w:pPr>
      <w:r>
        <w:rPr>
          <w:rFonts w:ascii="Arial" w:cs="Arial" w:eastAsia="Arial" w:hAnsi="Arial"/>
          <w:sz w:val="12"/>
          <w:szCs w:val="12"/>
          <w:color w:val="FFFFFF"/>
        </w:rPr>
        <w:t>Other Matters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Delinquent</w:t>
      </w:r>
    </w:p>
    <w:p>
      <w:pPr>
        <w:ind w:left="1120"/>
        <w:spacing w:after="0" w:line="224" w:lineRule="auto"/>
        <w:rPr>
          <w:sz w:val="20"/>
          <w:szCs w:val="20"/>
          <w:color w:val="auto"/>
        </w:rPr>
      </w:pPr>
      <w:r>
        <w:rPr>
          <w:rFonts w:ascii="Arial" w:cs="Arial" w:eastAsia="Arial" w:hAnsi="Arial"/>
          <w:sz w:val="12"/>
          <w:szCs w:val="12"/>
          <w:color w:val="FFFFFF"/>
        </w:rPr>
        <w:t>Section 16(a)</w:t>
      </w:r>
    </w:p>
    <w:p>
      <w:pPr>
        <w:ind w:left="1120"/>
        <w:spacing w:after="0"/>
        <w:rPr>
          <w:sz w:val="20"/>
          <w:szCs w:val="20"/>
          <w:color w:val="auto"/>
        </w:rPr>
      </w:pPr>
      <w:r>
        <w:rPr>
          <w:rFonts w:ascii="Arial" w:cs="Arial" w:eastAsia="Arial" w:hAnsi="Arial"/>
          <w:sz w:val="12"/>
          <w:szCs w:val="12"/>
          <w:color w:val="FFFFFF"/>
        </w:rPr>
        <w:t>Reports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Other</w:t>
      </w:r>
    </w:p>
    <w:p>
      <w:pPr>
        <w:spacing w:after="0" w:line="2"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Information</w:t>
      </w:r>
    </w:p>
    <w:p>
      <w:pPr>
        <w:spacing w:after="0" w:line="144" w:lineRule="exact"/>
        <w:rPr>
          <w:sz w:val="20"/>
          <w:szCs w:val="20"/>
          <w:color w:val="auto"/>
        </w:rPr>
      </w:pPr>
    </w:p>
    <w:p>
      <w:pPr>
        <w:jc w:val="center"/>
        <w:ind w:left="660"/>
        <w:spacing w:after="0"/>
        <w:rPr>
          <w:sz w:val="20"/>
          <w:szCs w:val="20"/>
          <w:color w:val="auto"/>
        </w:rPr>
      </w:pPr>
      <w:r>
        <w:rPr>
          <w:rFonts w:ascii="Arial" w:cs="Arial" w:eastAsia="Arial" w:hAnsi="Arial"/>
          <w:sz w:val="12"/>
          <w:szCs w:val="12"/>
          <w:color w:val="FFFFFF"/>
        </w:rPr>
        <w:t>Appendix A</w:t>
      </w:r>
    </w:p>
    <w:p>
      <w:pPr>
        <w:spacing w:after="0" w:line="156" w:lineRule="exact"/>
        <w:rPr>
          <w:sz w:val="20"/>
          <w:szCs w:val="20"/>
          <w:color w:val="auto"/>
        </w:rPr>
      </w:pPr>
    </w:p>
    <w:p>
      <w:pPr>
        <w:jc w:val="center"/>
        <w:ind w:left="660"/>
        <w:spacing w:after="0"/>
        <w:rPr>
          <w:sz w:val="20"/>
          <w:szCs w:val="20"/>
          <w:color w:val="auto"/>
        </w:rPr>
      </w:pPr>
      <w:r>
        <w:rPr>
          <w:rFonts w:ascii="Arial" w:cs="Arial" w:eastAsia="Arial" w:hAnsi="Arial"/>
          <w:sz w:val="12"/>
          <w:szCs w:val="12"/>
          <w:color w:val="FFFFFF"/>
        </w:rPr>
        <w:t>Appendix 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right="260"/>
        <w:spacing w:after="0" w:line="262" w:lineRule="auto"/>
        <w:rPr>
          <w:sz w:val="20"/>
          <w:szCs w:val="20"/>
          <w:color w:val="auto"/>
        </w:rPr>
      </w:pPr>
      <w:r>
        <w:rPr>
          <w:rFonts w:ascii="Arial" w:cs="Arial" w:eastAsia="Arial" w:hAnsi="Arial"/>
          <w:sz w:val="15"/>
          <w:szCs w:val="15"/>
          <w:b w:val="1"/>
          <w:bCs w:val="1"/>
          <w:color w:val="auto"/>
        </w:rPr>
        <w:t xml:space="preserve">Relationship between CAP and Net Income. </w:t>
      </w:r>
      <w:r>
        <w:rPr>
          <w:rFonts w:ascii="Arial" w:cs="Arial" w:eastAsia="Arial" w:hAnsi="Arial"/>
          <w:sz w:val="15"/>
          <w:szCs w:val="15"/>
          <w:color w:val="auto"/>
        </w:rPr>
        <w:t>The graph below reflects the relationship between CAP and Net</w:t>
      </w:r>
      <w:r>
        <w:rPr>
          <w:rFonts w:ascii="Arial" w:cs="Arial" w:eastAsia="Arial" w:hAnsi="Arial"/>
          <w:sz w:val="15"/>
          <w:szCs w:val="15"/>
          <w:b w:val="1"/>
          <w:bCs w:val="1"/>
          <w:color w:val="auto"/>
        </w:rPr>
        <w:t xml:space="preserve"> </w:t>
      </w:r>
      <w:r>
        <w:rPr>
          <w:rFonts w:ascii="Arial" w:cs="Arial" w:eastAsia="Arial" w:hAnsi="Arial"/>
          <w:sz w:val="15"/>
          <w:szCs w:val="15"/>
          <w:color w:val="auto"/>
        </w:rPr>
        <w:t>Income for the PEO, the Second PEO and the average for our Other NEOs for the applicable reporting year. Generally, CAP for our PEO and average CAP for our Other NEOs have each increased and decreased over the periods shown and our Net Income has increased and decreased over the periods shown.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-1737995</wp:posOffset>
            </wp:positionH>
            <wp:positionV relativeFrom="paragraph">
              <wp:posOffset>-1108710</wp:posOffset>
            </wp:positionV>
            <wp:extent cx="7181215" cy="5334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81215" cy="5334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130175</wp:posOffset>
            </wp:positionV>
            <wp:extent cx="5465445" cy="307975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5465445" cy="3079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line="262" w:lineRule="auto"/>
        <w:rPr>
          <w:sz w:val="20"/>
          <w:szCs w:val="20"/>
          <w:color w:val="auto"/>
        </w:rPr>
      </w:pPr>
      <w:r>
        <w:rPr>
          <w:rFonts w:ascii="Arial" w:cs="Arial" w:eastAsia="Arial" w:hAnsi="Arial"/>
          <w:sz w:val="15"/>
          <w:szCs w:val="15"/>
          <w:b w:val="1"/>
          <w:bCs w:val="1"/>
          <w:color w:val="auto"/>
        </w:rPr>
        <w:t xml:space="preserve">Relationship between CAP and Incentive EBITDA (our Company-Selected Measure). </w:t>
      </w:r>
      <w:r>
        <w:rPr>
          <w:rFonts w:ascii="Arial" w:cs="Arial" w:eastAsia="Arial" w:hAnsi="Arial"/>
          <w:sz w:val="15"/>
          <w:szCs w:val="15"/>
          <w:color w:val="auto"/>
        </w:rPr>
        <w:t>The graph below reflects</w:t>
      </w:r>
      <w:r>
        <w:rPr>
          <w:rFonts w:ascii="Arial" w:cs="Arial" w:eastAsia="Arial" w:hAnsi="Arial"/>
          <w:sz w:val="15"/>
          <w:szCs w:val="15"/>
          <w:b w:val="1"/>
          <w:bCs w:val="1"/>
          <w:color w:val="auto"/>
        </w:rPr>
        <w:t xml:space="preserve"> </w:t>
      </w:r>
      <w:r>
        <w:rPr>
          <w:rFonts w:ascii="Arial" w:cs="Arial" w:eastAsia="Arial" w:hAnsi="Arial"/>
          <w:sz w:val="15"/>
          <w:szCs w:val="15"/>
          <w:color w:val="auto"/>
        </w:rPr>
        <w:t>the relationship between CAP and Incentive EBITDA for the PEO, the Second PEO and average Other NEOs for the applicable reporting year. Generally, CAP for our PEO and average CAP for our Other NEOs have each increased and decreased over the periods shown and our Incentive EBITDA has increased over the periods shown.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130175</wp:posOffset>
            </wp:positionV>
            <wp:extent cx="4797425" cy="260985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4797425" cy="2609850"/>
                    </a:xfrm>
                    <a:prstGeom prst="rect">
                      <a:avLst/>
                    </a:prstGeom>
                    <a:noFill/>
                  </pic:spPr>
                </pic:pic>
              </a:graphicData>
            </a:graphic>
          </wp:anchor>
        </w:drawing>
      </w:r>
    </w:p>
    <w:p>
      <w:pPr>
        <w:spacing w:after="0" w:line="4571" w:lineRule="exact"/>
        <w:rPr>
          <w:sz w:val="20"/>
          <w:szCs w:val="20"/>
          <w:color w:val="auto"/>
        </w:rPr>
      </w:pPr>
    </w:p>
    <w:p>
      <w:pPr>
        <w:sectPr>
          <w:pgSz w:w="11900" w:h="16838" w:orient="portrait"/>
          <w:cols w:equalWidth="0" w:num="2">
            <w:col w:w="2160" w:space="560"/>
            <w:col w:w="7880"/>
          </w:cols>
          <w:pgMar w:left="320" w:top="464" w:right="979" w:bottom="1440" w:gutter="0" w:footer="0" w:header="0"/>
        </w:sectPr>
      </w:pPr>
    </w:p>
    <w:p>
      <w:pPr>
        <w:spacing w:after="0" w:line="200" w:lineRule="exact"/>
        <w:rPr>
          <w:sz w:val="20"/>
          <w:szCs w:val="20"/>
          <w:color w:val="auto"/>
        </w:rPr>
      </w:pPr>
    </w:p>
    <w:p>
      <w:pPr>
        <w:spacing w:after="0" w:line="385" w:lineRule="exact"/>
        <w:rPr>
          <w:sz w:val="20"/>
          <w:szCs w:val="20"/>
          <w:color w:val="auto"/>
        </w:rPr>
      </w:pPr>
    </w:p>
    <w:p>
      <w:pPr>
        <w:ind w:left="420"/>
        <w:spacing w:after="0"/>
        <w:tabs>
          <w:tab w:leader="none" w:pos="2380" w:val="left"/>
          <w:tab w:leader="none" w:pos="2800" w:val="left"/>
        </w:tabs>
        <w:rPr>
          <w:sz w:val="20"/>
          <w:szCs w:val="20"/>
          <w:color w:val="auto"/>
        </w:rPr>
      </w:pPr>
      <w:r>
        <w:rPr>
          <w:rFonts w:ascii="Arial" w:cs="Arial" w:eastAsia="Arial" w:hAnsi="Arial"/>
          <w:sz w:val="30"/>
          <w:szCs w:val="30"/>
          <w:color w:val="000000"/>
          <w:vertAlign w:val="superscript"/>
        </w:rPr>
        <w:t xml:space="preserve">             </w:t>
      </w:r>
      <w:r>
        <w:rPr>
          <w:sz w:val="20"/>
          <w:szCs w:val="20"/>
          <w:color w:val="auto"/>
        </w:rPr>
        <w:tab/>
      </w:r>
      <w:r>
        <w:rPr>
          <w:rFonts w:ascii="Arial" w:cs="Arial" w:eastAsia="Arial" w:hAnsi="Arial"/>
          <w:sz w:val="31"/>
          <w:szCs w:val="31"/>
          <w:color w:val="auto"/>
          <w:vertAlign w:val="superscript"/>
        </w:rPr>
        <w:t xml:space="preserve">    </w:t>
      </w:r>
      <w:r>
        <w:rPr>
          <w:sz w:val="20"/>
          <w:szCs w:val="20"/>
          <w:color w:val="auto"/>
        </w:rPr>
        <w:tab/>
      </w:r>
      <w:r>
        <w:rPr>
          <w:rFonts w:ascii="Arial" w:cs="Arial" w:eastAsia="Arial" w:hAnsi="Arial"/>
          <w:sz w:val="15"/>
          <w:szCs w:val="15"/>
          <w:b w:val="1"/>
          <w:bCs w:val="1"/>
          <w:color w:val="002B5F"/>
        </w:rPr>
        <w:t xml:space="preserve">78  </w:t>
      </w:r>
      <w:r>
        <w:rPr>
          <w:rFonts w:ascii="Arial" w:cs="Arial" w:eastAsia="Arial" w:hAnsi="Arial"/>
          <w:sz w:val="20"/>
          <w:szCs w:val="20"/>
          <w:color w:val="002B5F"/>
        </w:rPr>
        <w:t>|</w:t>
      </w:r>
      <w:r>
        <w:rPr>
          <w:rFonts w:ascii="Arial" w:cs="Arial" w:eastAsia="Arial" w:hAnsi="Arial"/>
          <w:sz w:val="15"/>
          <w:szCs w:val="15"/>
          <w:b w:val="1"/>
          <w:bCs w:val="1"/>
          <w:color w:val="002B5F"/>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6111875</wp:posOffset>
            </wp:positionH>
            <wp:positionV relativeFrom="paragraph">
              <wp:posOffset>-208915</wp:posOffset>
            </wp:positionV>
            <wp:extent cx="769620" cy="971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69620" cy="97155"/>
                    </a:xfrm>
                    <a:prstGeom prst="rect">
                      <a:avLst/>
                    </a:prstGeom>
                    <a:noFill/>
                  </pic:spPr>
                </pic:pic>
              </a:graphicData>
            </a:graphic>
          </wp:anchor>
        </w:drawing>
      </w:r>
    </w:p>
    <w:p>
      <w:pPr>
        <w:sectPr>
          <w:pgSz w:w="11900" w:h="16838" w:orient="portrait"/>
          <w:cols w:equalWidth="0" w:num="1">
            <w:col w:w="10600"/>
          </w:cols>
          <w:pgMar w:left="320" w:top="464" w:right="979" w:bottom="1440" w:gutter="0" w:footer="0" w:header="0"/>
          <w:type w:val="continuous"/>
        </w:sectPr>
      </w:pPr>
    </w:p>
    <w:bookmarkStart w:id="70" w:name="page71"/>
    <w:bookmarkEnd w:id="7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5334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81215" cy="5334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5617845</wp:posOffset>
            </wp:positionH>
            <wp:positionV relativeFrom="paragraph">
              <wp:posOffset>253365</wp:posOffset>
            </wp:positionV>
            <wp:extent cx="1256030" cy="74720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1256030" cy="7472045"/>
                    </a:xfrm>
                    <a:prstGeom prst="rect">
                      <a:avLst/>
                    </a:prstGeom>
                    <a:noFill/>
                  </pic:spPr>
                </pic:pic>
              </a:graphicData>
            </a:graphic>
          </wp:anchor>
        </w:drawing>
      </w:r>
    </w:p>
    <w:p>
      <w:pPr>
        <w:spacing w:after="0" w:line="166" w:lineRule="exact"/>
        <w:rPr>
          <w:sz w:val="20"/>
          <w:szCs w:val="20"/>
          <w:color w:val="auto"/>
        </w:rPr>
      </w:pPr>
    </w:p>
    <w:tbl>
      <w:tblPr>
        <w:tblLayout w:type="fixed"/>
        <w:tblInd w:w="540" w:type="dxa"/>
        <w:tblCellMar>
          <w:top w:w="0" w:type="dxa"/>
          <w:left w:w="0" w:type="dxa"/>
          <w:bottom w:w="0" w:type="dxa"/>
          <w:right w:w="0" w:type="dxa"/>
        </w:tblCellMar>
      </w:tblPr>
      <w:tr>
        <w:trPr>
          <w:trHeight w:val="552"/>
        </w:trPr>
        <w:tc>
          <w:tcPr>
            <w:tcW w:w="7880" w:type="dxa"/>
            <w:vAlign w:val="bottom"/>
          </w:tcPr>
          <w:p>
            <w:pPr>
              <w:spacing w:after="0"/>
              <w:rPr>
                <w:sz w:val="20"/>
                <w:szCs w:val="20"/>
                <w:color w:val="auto"/>
              </w:rPr>
            </w:pPr>
            <w:r>
              <w:rPr>
                <w:rFonts w:ascii="Times New Roman" w:cs="Times New Roman" w:eastAsia="Times New Roman" w:hAnsi="Times New Roman"/>
                <w:sz w:val="48"/>
                <w:szCs w:val="48"/>
                <w:b w:val="1"/>
                <w:bCs w:val="1"/>
                <w:color w:val="002B5F"/>
              </w:rPr>
              <w:t>Report of the Compensation and</w:t>
            </w:r>
          </w:p>
        </w:tc>
        <w:tc>
          <w:tcPr>
            <w:tcW w:w="660" w:type="dxa"/>
            <w:vAlign w:val="bottom"/>
            <w:vMerge w:val="restart"/>
          </w:tcPr>
          <w:p>
            <w:pPr>
              <w:ind w:left="460"/>
              <w:spacing w:after="0"/>
              <w:rPr>
                <w:sz w:val="20"/>
                <w:szCs w:val="20"/>
                <w:color w:val="auto"/>
              </w:rPr>
            </w:pPr>
            <w:r>
              <w:rPr>
                <w:rFonts w:ascii="Arial" w:cs="Arial" w:eastAsia="Arial" w:hAnsi="Arial"/>
                <w:sz w:val="15"/>
                <w:szCs w:val="15"/>
                <w:color w:val="auto"/>
              </w:rPr>
              <w:t> </w:t>
            </w:r>
          </w:p>
        </w:tc>
        <w:tc>
          <w:tcPr>
            <w:tcW w:w="1280" w:type="dxa"/>
            <w:vAlign w:val="bottom"/>
          </w:tcPr>
          <w:p>
            <w:pPr>
              <w:ind w:left="140"/>
              <w:spacing w:after="0"/>
              <w:rPr>
                <w:sz w:val="20"/>
                <w:szCs w:val="20"/>
                <w:color w:val="auto"/>
              </w:rPr>
            </w:pPr>
            <w:r>
              <w:rPr>
                <w:rFonts w:ascii="Arial" w:cs="Arial" w:eastAsia="Arial" w:hAnsi="Arial"/>
                <w:sz w:val="12"/>
                <w:szCs w:val="12"/>
                <w:color w:val="FFFFFF"/>
              </w:rPr>
              <w:t>Information</w:t>
            </w:r>
          </w:p>
        </w:tc>
        <w:tc>
          <w:tcPr>
            <w:tcW w:w="440" w:type="dxa"/>
            <w:vAlign w:val="bottom"/>
            <w:vMerge w:val="restart"/>
          </w:tcPr>
          <w:p>
            <w:pPr>
              <w:ind w:left="80"/>
              <w:spacing w:after="0"/>
              <w:rPr>
                <w:sz w:val="20"/>
                <w:szCs w:val="20"/>
                <w:color w:val="auto"/>
              </w:rPr>
            </w:pPr>
            <w:r>
              <w:rPr>
                <w:rFonts w:ascii="Arial" w:cs="Arial" w:eastAsia="Arial" w:hAnsi="Arial"/>
                <w:sz w:val="15"/>
                <w:szCs w:val="15"/>
                <w:color w:val="auto"/>
              </w:rPr>
              <w:t xml:space="preserve">       </w:t>
            </w:r>
          </w:p>
        </w:tc>
        <w:tc>
          <w:tcPr>
            <w:tcW w:w="0" w:type="dxa"/>
            <w:vAlign w:val="bottom"/>
          </w:tcPr>
          <w:p>
            <w:pPr>
              <w:spacing w:after="0"/>
              <w:rPr>
                <w:sz w:val="1"/>
                <w:szCs w:val="1"/>
                <w:color w:val="auto"/>
              </w:rPr>
            </w:pPr>
          </w:p>
        </w:tc>
      </w:tr>
      <w:tr>
        <w:trPr>
          <w:trHeight w:val="194"/>
        </w:trPr>
        <w:tc>
          <w:tcPr>
            <w:tcW w:w="7880" w:type="dxa"/>
            <w:vAlign w:val="bottom"/>
            <w:vMerge w:val="restart"/>
          </w:tcPr>
          <w:p>
            <w:pPr>
              <w:spacing w:after="0" w:line="421" w:lineRule="exact"/>
              <w:rPr>
                <w:sz w:val="20"/>
                <w:szCs w:val="20"/>
                <w:color w:val="auto"/>
              </w:rPr>
            </w:pPr>
            <w:r>
              <w:rPr>
                <w:rFonts w:ascii="Times New Roman" w:cs="Times New Roman" w:eastAsia="Times New Roman" w:hAnsi="Times New Roman"/>
                <w:sz w:val="48"/>
                <w:szCs w:val="48"/>
                <w:b w:val="1"/>
                <w:bCs w:val="1"/>
                <w:color w:val="002B5F"/>
              </w:rPr>
              <w:t>Human Resources Committee of the</w:t>
            </w:r>
          </w:p>
        </w:tc>
        <w:tc>
          <w:tcPr>
            <w:tcW w:w="660" w:type="dxa"/>
            <w:vAlign w:val="bottom"/>
            <w:vMerge w:val="continue"/>
          </w:tcPr>
          <w:p>
            <w:pPr>
              <w:spacing w:after="0"/>
              <w:rPr>
                <w:sz w:val="16"/>
                <w:szCs w:val="16"/>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General</w:t>
            </w:r>
          </w:p>
        </w:tc>
        <w:tc>
          <w:tcPr>
            <w:tcW w:w="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788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Governance</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6"/>
        </w:trPr>
        <w:tc>
          <w:tcPr>
            <w:tcW w:w="78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80" w:type="dxa"/>
            <w:vAlign w:val="bottom"/>
          </w:tcPr>
          <w:p>
            <w:pPr>
              <w:ind w:left="140"/>
              <w:spacing w:after="0" w:line="116" w:lineRule="exact"/>
              <w:rPr>
                <w:sz w:val="20"/>
                <w:szCs w:val="20"/>
                <w:color w:val="auto"/>
              </w:rPr>
            </w:pPr>
            <w:r>
              <w:rPr>
                <w:rFonts w:ascii="Arial" w:cs="Arial" w:eastAsia="Arial" w:hAnsi="Arial"/>
                <w:sz w:val="12"/>
                <w:szCs w:val="12"/>
                <w:color w:val="FFFFFF"/>
              </w:rPr>
              <w:t>General Information</w:t>
            </w: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78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About Corporate</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7"/>
        </w:trPr>
        <w:tc>
          <w:tcPr>
            <w:tcW w:w="7880" w:type="dxa"/>
            <w:vAlign w:val="bottom"/>
            <w:vMerge w:val="restart"/>
          </w:tcPr>
          <w:p>
            <w:pPr>
              <w:spacing w:after="0" w:line="237" w:lineRule="exact"/>
              <w:rPr>
                <w:sz w:val="20"/>
                <w:szCs w:val="20"/>
                <w:color w:val="auto"/>
              </w:rPr>
            </w:pPr>
            <w:r>
              <w:rPr>
                <w:rFonts w:ascii="Times New Roman" w:cs="Times New Roman" w:eastAsia="Times New Roman" w:hAnsi="Times New Roman"/>
                <w:sz w:val="27"/>
                <w:szCs w:val="27"/>
                <w:b w:val="1"/>
                <w:bCs w:val="1"/>
                <w:color w:val="002B5F"/>
              </w:rPr>
              <w:t>Board of Directors</w:t>
            </w:r>
          </w:p>
        </w:tc>
        <w:tc>
          <w:tcPr>
            <w:tcW w:w="660" w:type="dxa"/>
            <w:vAlign w:val="bottom"/>
          </w:tcPr>
          <w:p>
            <w:pPr>
              <w:spacing w:after="0"/>
              <w:rPr>
                <w:sz w:val="20"/>
                <w:szCs w:val="20"/>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and the Board of</w:t>
            </w: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0"/>
        </w:trPr>
        <w:tc>
          <w:tcPr>
            <w:tcW w:w="7880" w:type="dxa"/>
            <w:vAlign w:val="bottom"/>
            <w:vMerge w:val="continu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80" w:type="dxa"/>
            <w:vAlign w:val="bottom"/>
          </w:tcPr>
          <w:p>
            <w:pPr>
              <w:ind w:left="140"/>
              <w:spacing w:after="0" w:line="1" w:lineRule="exact"/>
              <w:rPr>
                <w:sz w:val="20"/>
                <w:szCs w:val="20"/>
                <w:color w:val="auto"/>
              </w:rPr>
            </w:pPr>
            <w:r>
              <w:rPr>
                <w:rFonts w:ascii="Arial" w:cs="Arial" w:eastAsia="Arial" w:hAnsi="Arial"/>
                <w:sz w:val="1"/>
                <w:szCs w:val="1"/>
                <w:color w:val="FFFFFF"/>
              </w:rPr>
              <w:t>Proposal 1</w:t>
            </w: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78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Directors</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58"/>
        </w:trPr>
        <w:tc>
          <w:tcPr>
            <w:tcW w:w="7880" w:type="dxa"/>
            <w:vAlign w:val="bottom"/>
            <w:tcBorders>
              <w:bottom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1280" w:type="dxa"/>
            <w:vAlign w:val="bottom"/>
            <w:vMerge w:val="restart"/>
          </w:tcPr>
          <w:p>
            <w:pPr>
              <w:ind w:left="140"/>
              <w:spacing w:after="0"/>
              <w:rPr>
                <w:sz w:val="20"/>
                <w:szCs w:val="20"/>
                <w:color w:val="auto"/>
              </w:rPr>
            </w:pPr>
            <w:r>
              <w:rPr>
                <w:rFonts w:ascii="Arial" w:cs="Arial" w:eastAsia="Arial" w:hAnsi="Arial"/>
                <w:sz w:val="12"/>
                <w:szCs w:val="12"/>
                <w:color w:val="FFFFFF"/>
              </w:rPr>
              <w:t>Information</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78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7880" w:type="dxa"/>
            <w:vAlign w:val="bottom"/>
          </w:tcPr>
          <w:p>
            <w:pPr>
              <w:spacing w:after="0" w:line="171" w:lineRule="exact"/>
              <w:rPr>
                <w:sz w:val="20"/>
                <w:szCs w:val="20"/>
                <w:color w:val="auto"/>
              </w:rPr>
            </w:pPr>
            <w:r>
              <w:rPr>
                <w:rFonts w:ascii="Arial" w:cs="Arial" w:eastAsia="Arial" w:hAnsi="Arial"/>
                <w:sz w:val="15"/>
                <w:szCs w:val="15"/>
                <w:color w:val="auto"/>
              </w:rPr>
              <w:t>The following independent directors, who constitute the Compensation Committee, have reviewed the</w:t>
            </w:r>
          </w:p>
        </w:tc>
        <w:tc>
          <w:tcPr>
            <w:tcW w:w="660" w:type="dxa"/>
            <w:vAlign w:val="bottom"/>
          </w:tcPr>
          <w:p>
            <w:pPr>
              <w:spacing w:after="0"/>
              <w:rPr>
                <w:sz w:val="14"/>
                <w:szCs w:val="14"/>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Regarding Board</w:t>
            </w: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7880" w:type="dxa"/>
            <w:vAlign w:val="bottom"/>
            <w:vMerge w:val="restart"/>
          </w:tcPr>
          <w:p>
            <w:pPr>
              <w:spacing w:after="0"/>
              <w:rPr>
                <w:sz w:val="20"/>
                <w:szCs w:val="20"/>
                <w:color w:val="auto"/>
              </w:rPr>
            </w:pPr>
            <w:r>
              <w:rPr>
                <w:rFonts w:ascii="Arial" w:cs="Arial" w:eastAsia="Arial" w:hAnsi="Arial"/>
                <w:sz w:val="15"/>
                <w:szCs w:val="15"/>
                <w:color w:val="auto"/>
              </w:rPr>
              <w:t>Compensation Discussion and Analysis with our management and recommended that it be included in this proxy</w:t>
            </w:r>
          </w:p>
        </w:tc>
        <w:tc>
          <w:tcPr>
            <w:tcW w:w="660" w:type="dxa"/>
            <w:vAlign w:val="bottom"/>
          </w:tcPr>
          <w:p>
            <w:pPr>
              <w:spacing w:after="0"/>
              <w:rPr>
                <w:sz w:val="7"/>
                <w:szCs w:val="7"/>
                <w:color w:val="auto"/>
              </w:rPr>
            </w:pPr>
          </w:p>
        </w:tc>
        <w:tc>
          <w:tcPr>
            <w:tcW w:w="1280" w:type="dxa"/>
            <w:vAlign w:val="bottom"/>
          </w:tcPr>
          <w:p>
            <w:pPr>
              <w:ind w:left="140"/>
              <w:spacing w:after="0" w:line="85" w:lineRule="exact"/>
              <w:rPr>
                <w:sz w:val="20"/>
                <w:szCs w:val="20"/>
                <w:color w:val="auto"/>
              </w:rPr>
            </w:pPr>
            <w:r>
              <w:rPr>
                <w:rFonts w:ascii="Arial" w:cs="Arial" w:eastAsia="Arial" w:hAnsi="Arial"/>
                <w:sz w:val="8"/>
                <w:szCs w:val="8"/>
                <w:color w:val="FFFFFF"/>
              </w:rPr>
              <w:t>and Committee</w:t>
            </w:r>
          </w:p>
        </w:tc>
        <w:tc>
          <w:tcPr>
            <w:tcW w:w="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0"/>
        </w:trPr>
        <w:tc>
          <w:tcPr>
            <w:tcW w:w="7880" w:type="dxa"/>
            <w:vAlign w:val="bottom"/>
            <w:vMerge w:val="continue"/>
          </w:tcPr>
          <w:p>
            <w:pPr>
              <w:spacing w:after="0"/>
              <w:rPr>
                <w:sz w:val="10"/>
                <w:szCs w:val="10"/>
                <w:color w:val="auto"/>
              </w:rPr>
            </w:pPr>
          </w:p>
        </w:tc>
        <w:tc>
          <w:tcPr>
            <w:tcW w:w="660" w:type="dxa"/>
            <w:vAlign w:val="bottom"/>
          </w:tcPr>
          <w:p>
            <w:pPr>
              <w:spacing w:after="0"/>
              <w:rPr>
                <w:sz w:val="10"/>
                <w:szCs w:val="10"/>
                <w:color w:val="auto"/>
              </w:rPr>
            </w:pPr>
          </w:p>
        </w:tc>
        <w:tc>
          <w:tcPr>
            <w:tcW w:w="1280" w:type="dxa"/>
            <w:vAlign w:val="bottom"/>
          </w:tcPr>
          <w:p>
            <w:pPr>
              <w:ind w:left="140"/>
              <w:spacing w:after="0" w:line="121" w:lineRule="exact"/>
              <w:rPr>
                <w:sz w:val="20"/>
                <w:szCs w:val="20"/>
                <w:color w:val="auto"/>
              </w:rPr>
            </w:pPr>
            <w:r>
              <w:rPr>
                <w:rFonts w:ascii="Arial" w:cs="Arial" w:eastAsia="Arial" w:hAnsi="Arial"/>
                <w:sz w:val="12"/>
                <w:szCs w:val="12"/>
                <w:color w:val="FFFFFF"/>
              </w:rPr>
              <w:t>Structure</w:t>
            </w: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7880" w:type="dxa"/>
            <w:vAlign w:val="bottom"/>
          </w:tcPr>
          <w:p>
            <w:pPr>
              <w:spacing w:after="0"/>
              <w:rPr>
                <w:sz w:val="20"/>
                <w:szCs w:val="20"/>
                <w:color w:val="auto"/>
              </w:rPr>
            </w:pPr>
            <w:r>
              <w:rPr>
                <w:rFonts w:ascii="Arial" w:cs="Arial" w:eastAsia="Arial" w:hAnsi="Arial"/>
                <w:sz w:val="15"/>
                <w:szCs w:val="15"/>
                <w:color w:val="auto"/>
              </w:rPr>
              <w:t>statement.</w:t>
            </w:r>
          </w:p>
        </w:tc>
        <w:tc>
          <w:tcPr>
            <w:tcW w:w="6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0800"/>
          </w:cols>
          <w:pgMar w:left="320" w:top="464" w:right="779" w:bottom="1440" w:gutter="0" w:footer="0" w:header="0"/>
        </w:sectPr>
      </w:pPr>
    </w:p>
    <w:p>
      <w:pPr>
        <w:spacing w:after="0" w:line="222" w:lineRule="exact"/>
        <w:rPr>
          <w:sz w:val="20"/>
          <w:szCs w:val="20"/>
          <w:color w:val="auto"/>
        </w:rPr>
      </w:pPr>
    </w:p>
    <w:p>
      <w:pPr>
        <w:jc w:val="center"/>
        <w:ind w:left="5180"/>
        <w:spacing w:after="0"/>
        <w:rPr>
          <w:sz w:val="20"/>
          <w:szCs w:val="20"/>
          <w:color w:val="auto"/>
        </w:rPr>
      </w:pPr>
      <w:r>
        <w:rPr>
          <w:rFonts w:ascii="Arial" w:cs="Arial" w:eastAsia="Arial" w:hAnsi="Arial"/>
          <w:sz w:val="15"/>
          <w:szCs w:val="15"/>
          <w:color w:val="auto"/>
        </w:rPr>
        <w:t>Allison H. Mnookin, Chair</w:t>
      </w:r>
    </w:p>
    <w:p>
      <w:pPr>
        <w:spacing w:after="0" w:line="20" w:lineRule="exact"/>
        <w:rPr>
          <w:sz w:val="20"/>
          <w:szCs w:val="20"/>
          <w:color w:val="auto"/>
        </w:rPr>
      </w:pPr>
    </w:p>
    <w:p>
      <w:pPr>
        <w:jc w:val="center"/>
        <w:ind w:left="5180"/>
        <w:spacing w:after="0"/>
        <w:rPr>
          <w:sz w:val="20"/>
          <w:szCs w:val="20"/>
          <w:color w:val="auto"/>
        </w:rPr>
      </w:pPr>
      <w:r>
        <w:rPr>
          <w:rFonts w:ascii="Arial" w:cs="Arial" w:eastAsia="Arial" w:hAnsi="Arial"/>
          <w:sz w:val="15"/>
          <w:szCs w:val="15"/>
          <w:color w:val="auto"/>
        </w:rPr>
        <w:t>Edward C. Bernard</w:t>
      </w:r>
    </w:p>
    <w:p>
      <w:pPr>
        <w:spacing w:after="0" w:line="6" w:lineRule="exact"/>
        <w:rPr>
          <w:sz w:val="20"/>
          <w:szCs w:val="20"/>
          <w:color w:val="auto"/>
        </w:rPr>
      </w:pPr>
    </w:p>
    <w:p>
      <w:pPr>
        <w:jc w:val="center"/>
        <w:ind w:left="5180"/>
        <w:spacing w:after="0"/>
        <w:rPr>
          <w:sz w:val="20"/>
          <w:szCs w:val="20"/>
          <w:color w:val="auto"/>
        </w:rPr>
      </w:pPr>
      <w:r>
        <w:rPr>
          <w:rFonts w:ascii="Arial" w:cs="Arial" w:eastAsia="Arial" w:hAnsi="Arial"/>
          <w:sz w:val="15"/>
          <w:szCs w:val="15"/>
          <w:color w:val="auto"/>
        </w:rPr>
        <w:t>H. Paulett Eberhart</w:t>
      </w:r>
    </w:p>
    <w:p>
      <w:pPr>
        <w:spacing w:after="0" w:line="6" w:lineRule="exact"/>
        <w:rPr>
          <w:sz w:val="20"/>
          <w:szCs w:val="20"/>
          <w:color w:val="auto"/>
        </w:rPr>
      </w:pPr>
    </w:p>
    <w:p>
      <w:pPr>
        <w:jc w:val="center"/>
        <w:ind w:left="5180"/>
        <w:spacing w:after="0"/>
        <w:rPr>
          <w:sz w:val="20"/>
          <w:szCs w:val="20"/>
          <w:color w:val="auto"/>
        </w:rPr>
      </w:pPr>
      <w:r>
        <w:rPr>
          <w:rFonts w:ascii="Arial" w:cs="Arial" w:eastAsia="Arial" w:hAnsi="Arial"/>
          <w:sz w:val="15"/>
          <w:szCs w:val="15"/>
          <w:color w:val="auto"/>
        </w:rPr>
        <w:t>William F. Glavin, Jr.</w:t>
      </w:r>
    </w:p>
    <w:p>
      <w:pPr>
        <w:spacing w:after="0" w:line="6" w:lineRule="exact"/>
        <w:rPr>
          <w:sz w:val="20"/>
          <w:szCs w:val="20"/>
          <w:color w:val="auto"/>
        </w:rPr>
      </w:pPr>
    </w:p>
    <w:p>
      <w:pPr>
        <w:jc w:val="center"/>
        <w:ind w:left="5180"/>
        <w:spacing w:after="0"/>
        <w:rPr>
          <w:sz w:val="20"/>
          <w:szCs w:val="20"/>
          <w:color w:val="auto"/>
        </w:rPr>
      </w:pPr>
      <w:r>
        <w:rPr>
          <w:rFonts w:ascii="Arial" w:cs="Arial" w:eastAsia="Arial" w:hAnsi="Arial"/>
          <w:sz w:val="15"/>
          <w:szCs w:val="15"/>
          <w:color w:val="auto"/>
        </w:rPr>
        <w:t>James S. Putnam</w:t>
      </w:r>
    </w:p>
    <w:p>
      <w:pPr>
        <w:spacing w:after="0" w:line="235" w:lineRule="exact"/>
        <w:rPr>
          <w:sz w:val="20"/>
          <w:szCs w:val="20"/>
          <w:color w:val="auto"/>
        </w:rPr>
      </w:pPr>
    </w:p>
    <w:p>
      <w:pPr>
        <w:ind w:left="6540"/>
        <w:spacing w:after="0"/>
        <w:rPr>
          <w:sz w:val="20"/>
          <w:szCs w:val="20"/>
          <w:color w:val="auto"/>
        </w:rPr>
      </w:pPr>
      <w:r>
        <w:rPr>
          <w:rFonts w:ascii="Arial" w:cs="Arial" w:eastAsia="Arial" w:hAnsi="Arial"/>
          <w:sz w:val="15"/>
          <w:szCs w:val="15"/>
          <w:color w:val="auto"/>
        </w:rPr>
        <w:t>[</w:t>
      </w:r>
      <w:r>
        <w:rPr>
          <w:rFonts w:ascii="Times New Roman" w:cs="Times New Roman" w:eastAsia="Times New Roman" w:hAnsi="Times New Roman"/>
          <w:sz w:val="15"/>
          <w:szCs w:val="15"/>
          <w:color w:val="auto"/>
        </w:rPr>
        <w:t>●</w:t>
      </w:r>
      <w:r>
        <w:rPr>
          <w:rFonts w:ascii="Arial" w:cs="Arial" w:eastAsia="Arial" w:hAnsi="Arial"/>
          <w:sz w:val="15"/>
          <w:szCs w:val="15"/>
          <w:color w:val="auto"/>
        </w:rPr>
        <w:t>], 2026</w:t>
      </w:r>
    </w:p>
    <w:p>
      <w:pPr>
        <w:spacing w:after="0" w:line="20" w:lineRule="exact"/>
        <w:rPr>
          <w:sz w:val="20"/>
          <w:szCs w:val="20"/>
          <w:color w:val="auto"/>
        </w:rPr>
      </w:pPr>
      <w:r>
        <w:rPr>
          <w:sz w:val="20"/>
          <w:szCs w:val="20"/>
          <w:color w:val="auto"/>
        </w:rPr>
        <w:br w:type="column"/>
      </w:r>
    </w:p>
    <w:p>
      <w:pPr>
        <w:spacing w:after="0" w:line="221" w:lineRule="auto"/>
        <w:rPr>
          <w:sz w:val="20"/>
          <w:szCs w:val="20"/>
          <w:color w:val="auto"/>
        </w:rPr>
      </w:pPr>
      <w:r>
        <w:rPr>
          <w:rFonts w:ascii="Arial" w:cs="Arial" w:eastAsia="Arial" w:hAnsi="Arial"/>
          <w:sz w:val="12"/>
          <w:szCs w:val="12"/>
          <w:color w:val="FFFFFF"/>
        </w:rPr>
        <w:t>Board of Directors</w:t>
      </w:r>
    </w:p>
    <w:p>
      <w:pPr>
        <w:spacing w:after="0" w:line="1" w:lineRule="exact"/>
        <w:rPr>
          <w:sz w:val="20"/>
          <w:szCs w:val="20"/>
          <w:color w:val="auto"/>
        </w:rPr>
      </w:pPr>
    </w:p>
    <w:p>
      <w:pPr>
        <w:spacing w:after="0"/>
        <w:rPr>
          <w:sz w:val="20"/>
          <w:szCs w:val="20"/>
          <w:color w:val="auto"/>
        </w:rPr>
      </w:pPr>
      <w:r>
        <w:rPr>
          <w:rFonts w:ascii="Arial" w:cs="Arial" w:eastAsia="Arial" w:hAnsi="Arial"/>
          <w:sz w:val="12"/>
          <w:szCs w:val="12"/>
          <w:color w:val="FFFFFF"/>
        </w:rPr>
        <w:t>Compensation</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Compensation</w:t>
      </w:r>
    </w:p>
    <w:p>
      <w:pPr>
        <w:spacing w:after="0" w:line="224" w:lineRule="auto"/>
        <w:rPr>
          <w:sz w:val="20"/>
          <w:szCs w:val="20"/>
          <w:color w:val="auto"/>
        </w:rPr>
      </w:pPr>
      <w:r>
        <w:rPr>
          <w:rFonts w:ascii="Arial" w:cs="Arial" w:eastAsia="Arial" w:hAnsi="Arial"/>
          <w:sz w:val="12"/>
          <w:szCs w:val="12"/>
          <w:color w:val="FFFFFF"/>
        </w:rPr>
        <w:t>Discussion and</w:t>
      </w:r>
    </w:p>
    <w:p>
      <w:pPr>
        <w:spacing w:after="0"/>
        <w:rPr>
          <w:sz w:val="20"/>
          <w:szCs w:val="20"/>
          <w:color w:val="auto"/>
        </w:rPr>
      </w:pPr>
      <w:r>
        <w:rPr>
          <w:rFonts w:ascii="Arial" w:cs="Arial" w:eastAsia="Arial" w:hAnsi="Arial"/>
          <w:sz w:val="12"/>
          <w:szCs w:val="12"/>
          <w:color w:val="FFFFFF"/>
        </w:rPr>
        <w:t>Analysis</w:t>
      </w:r>
    </w:p>
    <w:p>
      <w:pPr>
        <w:spacing w:after="0" w:line="144" w:lineRule="exact"/>
        <w:rPr>
          <w:sz w:val="20"/>
          <w:szCs w:val="20"/>
          <w:color w:val="auto"/>
        </w:rPr>
      </w:pPr>
    </w:p>
    <w:p>
      <w:pPr>
        <w:ind w:right="520"/>
        <w:spacing w:after="0" w:line="232" w:lineRule="auto"/>
        <w:rPr>
          <w:sz w:val="20"/>
          <w:szCs w:val="20"/>
          <w:color w:val="auto"/>
        </w:rPr>
      </w:pPr>
      <w:r>
        <w:rPr>
          <w:rFonts w:ascii="Arial" w:cs="Arial" w:eastAsia="Arial" w:hAnsi="Arial"/>
          <w:sz w:val="12"/>
          <w:szCs w:val="12"/>
          <w:b w:val="1"/>
          <w:bCs w:val="1"/>
          <w:color w:val="FFFFFF"/>
        </w:rPr>
        <w:t>Report of the Compensation and Human Resources Committee of the Board of Directors</w:t>
      </w:r>
    </w:p>
    <w:p>
      <w:pPr>
        <w:spacing w:after="0" w:line="131" w:lineRule="exact"/>
        <w:rPr>
          <w:sz w:val="20"/>
          <w:szCs w:val="20"/>
          <w:color w:val="auto"/>
        </w:rPr>
      </w:pPr>
    </w:p>
    <w:p>
      <w:pPr>
        <w:spacing w:after="0"/>
        <w:rPr>
          <w:sz w:val="20"/>
          <w:szCs w:val="20"/>
          <w:color w:val="auto"/>
        </w:rPr>
      </w:pPr>
      <w:r>
        <w:rPr>
          <w:rFonts w:ascii="Arial" w:cs="Arial" w:eastAsia="Arial" w:hAnsi="Arial"/>
          <w:sz w:val="12"/>
          <w:szCs w:val="12"/>
          <w:color w:val="FFFFFF"/>
        </w:rPr>
        <w:t>Compensation of</w:t>
      </w:r>
    </w:p>
    <w:p>
      <w:pPr>
        <w:spacing w:after="0" w:line="224" w:lineRule="auto"/>
        <w:rPr>
          <w:sz w:val="20"/>
          <w:szCs w:val="20"/>
          <w:color w:val="auto"/>
        </w:rPr>
      </w:pPr>
      <w:r>
        <w:rPr>
          <w:rFonts w:ascii="Arial" w:cs="Arial" w:eastAsia="Arial" w:hAnsi="Arial"/>
          <w:sz w:val="12"/>
          <w:szCs w:val="12"/>
          <w:color w:val="FFFFFF"/>
        </w:rPr>
        <w:t>Named Executive</w:t>
      </w:r>
    </w:p>
    <w:p>
      <w:pPr>
        <w:spacing w:after="0"/>
        <w:rPr>
          <w:sz w:val="20"/>
          <w:szCs w:val="20"/>
          <w:color w:val="auto"/>
        </w:rPr>
      </w:pPr>
      <w:r>
        <w:rPr>
          <w:rFonts w:ascii="Arial" w:cs="Arial" w:eastAsia="Arial" w:hAnsi="Arial"/>
          <w:sz w:val="12"/>
          <w:szCs w:val="12"/>
          <w:color w:val="FFFFFF"/>
        </w:rPr>
        <w:t>Officers</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Pay Versus</w:t>
      </w:r>
    </w:p>
    <w:p>
      <w:pPr>
        <w:spacing w:after="0" w:line="224" w:lineRule="auto"/>
        <w:rPr>
          <w:sz w:val="20"/>
          <w:szCs w:val="20"/>
          <w:color w:val="auto"/>
        </w:rPr>
      </w:pPr>
      <w:r>
        <w:rPr>
          <w:rFonts w:ascii="Arial" w:cs="Arial" w:eastAsia="Arial" w:hAnsi="Arial"/>
          <w:sz w:val="12"/>
          <w:szCs w:val="12"/>
          <w:color w:val="FFFFFF"/>
        </w:rPr>
        <w:t>Performance</w:t>
      </w:r>
    </w:p>
    <w:p>
      <w:pPr>
        <w:spacing w:after="0"/>
        <w:rPr>
          <w:sz w:val="20"/>
          <w:szCs w:val="20"/>
          <w:color w:val="auto"/>
        </w:rPr>
      </w:pPr>
      <w:r>
        <w:rPr>
          <w:rFonts w:ascii="Arial" w:cs="Arial" w:eastAsia="Arial" w:hAnsi="Arial"/>
          <w:sz w:val="12"/>
          <w:szCs w:val="12"/>
          <w:color w:val="FFFFFF"/>
        </w:rPr>
        <w:t>Disclosure</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Security</w:t>
      </w:r>
    </w:p>
    <w:p>
      <w:pPr>
        <w:spacing w:after="0" w:line="224" w:lineRule="auto"/>
        <w:rPr>
          <w:sz w:val="20"/>
          <w:szCs w:val="20"/>
          <w:color w:val="auto"/>
        </w:rPr>
      </w:pPr>
      <w:r>
        <w:rPr>
          <w:rFonts w:ascii="Arial" w:cs="Arial" w:eastAsia="Arial" w:hAnsi="Arial"/>
          <w:sz w:val="12"/>
          <w:szCs w:val="12"/>
          <w:color w:val="FFFFFF"/>
        </w:rPr>
        <w:t>Ownership of</w:t>
      </w:r>
    </w:p>
    <w:p>
      <w:pPr>
        <w:spacing w:after="0" w:line="222" w:lineRule="auto"/>
        <w:rPr>
          <w:sz w:val="20"/>
          <w:szCs w:val="20"/>
          <w:color w:val="auto"/>
        </w:rPr>
      </w:pPr>
      <w:r>
        <w:rPr>
          <w:rFonts w:ascii="Arial" w:cs="Arial" w:eastAsia="Arial" w:hAnsi="Arial"/>
          <w:sz w:val="12"/>
          <w:szCs w:val="12"/>
          <w:color w:val="FFFFFF"/>
        </w:rPr>
        <w:t>Certain Beneficial</w:t>
      </w:r>
    </w:p>
    <w:p>
      <w:pPr>
        <w:spacing w:after="0" w:line="222" w:lineRule="auto"/>
        <w:rPr>
          <w:sz w:val="20"/>
          <w:szCs w:val="20"/>
          <w:color w:val="auto"/>
        </w:rPr>
      </w:pPr>
      <w:r>
        <w:rPr>
          <w:rFonts w:ascii="Arial" w:cs="Arial" w:eastAsia="Arial" w:hAnsi="Arial"/>
          <w:sz w:val="12"/>
          <w:szCs w:val="12"/>
          <w:color w:val="FFFFFF"/>
        </w:rPr>
        <w:t>Owners and</w:t>
      </w:r>
    </w:p>
    <w:p>
      <w:pPr>
        <w:spacing w:after="0"/>
        <w:rPr>
          <w:sz w:val="20"/>
          <w:szCs w:val="20"/>
          <w:color w:val="auto"/>
        </w:rPr>
      </w:pPr>
      <w:r>
        <w:rPr>
          <w:rFonts w:ascii="Arial" w:cs="Arial" w:eastAsia="Arial" w:hAnsi="Arial"/>
          <w:sz w:val="12"/>
          <w:szCs w:val="12"/>
          <w:color w:val="FFFFFF"/>
        </w:rPr>
        <w:t>Management</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Certain</w:t>
      </w:r>
    </w:p>
    <w:p>
      <w:pPr>
        <w:spacing w:after="0" w:line="224" w:lineRule="auto"/>
        <w:rPr>
          <w:sz w:val="20"/>
          <w:szCs w:val="20"/>
          <w:color w:val="auto"/>
        </w:rPr>
      </w:pPr>
      <w:r>
        <w:rPr>
          <w:rFonts w:ascii="Arial" w:cs="Arial" w:eastAsia="Arial" w:hAnsi="Arial"/>
          <w:sz w:val="12"/>
          <w:szCs w:val="12"/>
          <w:color w:val="FFFFFF"/>
        </w:rPr>
        <w:t>Relationships and</w:t>
      </w:r>
    </w:p>
    <w:p>
      <w:pPr>
        <w:spacing w:after="0" w:line="222" w:lineRule="auto"/>
        <w:rPr>
          <w:sz w:val="20"/>
          <w:szCs w:val="20"/>
          <w:color w:val="auto"/>
        </w:rPr>
      </w:pPr>
      <w:r>
        <w:rPr>
          <w:rFonts w:ascii="Arial" w:cs="Arial" w:eastAsia="Arial" w:hAnsi="Arial"/>
          <w:sz w:val="12"/>
          <w:szCs w:val="12"/>
          <w:color w:val="FFFFFF"/>
        </w:rPr>
        <w:t>Related Party</w:t>
      </w:r>
    </w:p>
    <w:p>
      <w:pPr>
        <w:spacing w:after="0"/>
        <w:rPr>
          <w:sz w:val="20"/>
          <w:szCs w:val="20"/>
          <w:color w:val="auto"/>
        </w:rPr>
      </w:pPr>
      <w:r>
        <w:rPr>
          <w:rFonts w:ascii="Arial" w:cs="Arial" w:eastAsia="Arial" w:hAnsi="Arial"/>
          <w:sz w:val="12"/>
          <w:szCs w:val="12"/>
          <w:color w:val="FFFFFF"/>
        </w:rPr>
        <w:t>Transactions</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Proposal 2</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FFFFFF"/>
        </w:rPr>
        <w:t>Report of the</w:t>
      </w:r>
    </w:p>
    <w:p>
      <w:pPr>
        <w:spacing w:after="0" w:line="224" w:lineRule="auto"/>
        <w:rPr>
          <w:sz w:val="20"/>
          <w:szCs w:val="20"/>
          <w:color w:val="auto"/>
        </w:rPr>
      </w:pPr>
      <w:r>
        <w:rPr>
          <w:rFonts w:ascii="Arial" w:cs="Arial" w:eastAsia="Arial" w:hAnsi="Arial"/>
          <w:sz w:val="12"/>
          <w:szCs w:val="12"/>
          <w:color w:val="FFFFFF"/>
        </w:rPr>
        <w:t>Audit and Risk</w:t>
      </w:r>
    </w:p>
    <w:p>
      <w:pPr>
        <w:spacing w:after="0" w:line="222" w:lineRule="auto"/>
        <w:rPr>
          <w:sz w:val="20"/>
          <w:szCs w:val="20"/>
          <w:color w:val="auto"/>
        </w:rPr>
      </w:pPr>
      <w:r>
        <w:rPr>
          <w:rFonts w:ascii="Arial" w:cs="Arial" w:eastAsia="Arial" w:hAnsi="Arial"/>
          <w:sz w:val="12"/>
          <w:szCs w:val="12"/>
          <w:color w:val="FFFFFF"/>
        </w:rPr>
        <w:t>Committee of the</w:t>
      </w:r>
    </w:p>
    <w:p>
      <w:pPr>
        <w:spacing w:after="0"/>
        <w:rPr>
          <w:sz w:val="20"/>
          <w:szCs w:val="20"/>
          <w:color w:val="auto"/>
        </w:rPr>
      </w:pPr>
      <w:r>
        <w:rPr>
          <w:rFonts w:ascii="Arial" w:cs="Arial" w:eastAsia="Arial" w:hAnsi="Arial"/>
          <w:sz w:val="12"/>
          <w:szCs w:val="12"/>
          <w:color w:val="FFFFFF"/>
        </w:rPr>
        <w:t>Board of Directors</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Proposal 3</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FFFFFF"/>
        </w:rPr>
        <w:t>Proposal 4</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FFFFFF"/>
        </w:rPr>
        <w:t>Proposal 5</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FFFFFF"/>
        </w:rPr>
        <w:t>Proposal 6</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FFFFFF"/>
        </w:rPr>
        <w:t>Stockholder</w:t>
      </w:r>
    </w:p>
    <w:p>
      <w:pPr>
        <w:spacing w:after="0" w:line="224" w:lineRule="auto"/>
        <w:rPr>
          <w:sz w:val="20"/>
          <w:szCs w:val="20"/>
          <w:color w:val="auto"/>
        </w:rPr>
      </w:pPr>
      <w:r>
        <w:rPr>
          <w:rFonts w:ascii="Arial" w:cs="Arial" w:eastAsia="Arial" w:hAnsi="Arial"/>
          <w:sz w:val="12"/>
          <w:szCs w:val="12"/>
          <w:color w:val="FFFFFF"/>
        </w:rPr>
        <w:t>Proposals and</w:t>
      </w:r>
    </w:p>
    <w:p>
      <w:pPr>
        <w:spacing w:after="0"/>
        <w:rPr>
          <w:sz w:val="20"/>
          <w:szCs w:val="20"/>
          <w:color w:val="auto"/>
        </w:rPr>
      </w:pPr>
      <w:r>
        <w:rPr>
          <w:rFonts w:ascii="Arial" w:cs="Arial" w:eastAsia="Arial" w:hAnsi="Arial"/>
          <w:sz w:val="12"/>
          <w:szCs w:val="12"/>
          <w:color w:val="FFFFFF"/>
        </w:rPr>
        <w:t>Other Matters</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Delinquent</w:t>
      </w:r>
    </w:p>
    <w:p>
      <w:pPr>
        <w:spacing w:after="0" w:line="224" w:lineRule="auto"/>
        <w:rPr>
          <w:sz w:val="20"/>
          <w:szCs w:val="20"/>
          <w:color w:val="auto"/>
        </w:rPr>
      </w:pPr>
      <w:r>
        <w:rPr>
          <w:rFonts w:ascii="Arial" w:cs="Arial" w:eastAsia="Arial" w:hAnsi="Arial"/>
          <w:sz w:val="12"/>
          <w:szCs w:val="12"/>
          <w:color w:val="FFFFFF"/>
        </w:rPr>
        <w:t>Section 16(a)</w:t>
      </w:r>
    </w:p>
    <w:p>
      <w:pPr>
        <w:spacing w:after="0"/>
        <w:rPr>
          <w:sz w:val="20"/>
          <w:szCs w:val="20"/>
          <w:color w:val="auto"/>
        </w:rPr>
      </w:pPr>
      <w:r>
        <w:rPr>
          <w:rFonts w:ascii="Arial" w:cs="Arial" w:eastAsia="Arial" w:hAnsi="Arial"/>
          <w:sz w:val="12"/>
          <w:szCs w:val="12"/>
          <w:color w:val="FFFFFF"/>
        </w:rPr>
        <w:t>Reports</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Other</w:t>
      </w:r>
    </w:p>
    <w:p>
      <w:pPr>
        <w:spacing w:after="0" w:line="2" w:lineRule="exact"/>
        <w:rPr>
          <w:sz w:val="20"/>
          <w:szCs w:val="20"/>
          <w:color w:val="auto"/>
        </w:rPr>
      </w:pPr>
    </w:p>
    <w:p>
      <w:pPr>
        <w:spacing w:after="0"/>
        <w:rPr>
          <w:sz w:val="20"/>
          <w:szCs w:val="20"/>
          <w:color w:val="auto"/>
        </w:rPr>
      </w:pPr>
      <w:r>
        <w:rPr>
          <w:rFonts w:ascii="Arial" w:cs="Arial" w:eastAsia="Arial" w:hAnsi="Arial"/>
          <w:sz w:val="12"/>
          <w:szCs w:val="12"/>
          <w:color w:val="FFFFFF"/>
        </w:rPr>
        <w:t>Information</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Appendix A</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FFFFFF"/>
        </w:rPr>
        <w:t>Appendix B</w:t>
      </w:r>
    </w:p>
    <w:p>
      <w:pPr>
        <w:spacing w:after="0" w:line="200" w:lineRule="exact"/>
        <w:rPr>
          <w:sz w:val="20"/>
          <w:szCs w:val="20"/>
          <w:color w:val="auto"/>
        </w:rPr>
      </w:pPr>
    </w:p>
    <w:p>
      <w:pPr>
        <w:sectPr>
          <w:pgSz w:w="11900" w:h="16838" w:orient="portrait"/>
          <w:cols w:equalWidth="0" w:num="2">
            <w:col w:w="8500" w:space="720"/>
            <w:col w:w="1580"/>
          </w:cols>
          <w:pgMar w:left="320" w:top="464" w:right="7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6380"/>
        <w:spacing w:after="0"/>
        <w:tabs>
          <w:tab w:leader="none" w:pos="8500" w:val="left"/>
          <w:tab w:leader="none" w:pos="9960" w:val="left"/>
        </w:tabs>
        <w:rPr>
          <w:sz w:val="20"/>
          <w:szCs w:val="20"/>
          <w:color w:val="auto"/>
        </w:rPr>
      </w:pPr>
      <w:r>
        <w:rPr>
          <w:rFonts w:ascii="Arial" w:cs="Arial" w:eastAsia="Arial" w:hAnsi="Arial"/>
          <w:sz w:val="15"/>
          <w:szCs w:val="15"/>
          <w:b w:val="1"/>
          <w:bCs w:val="1"/>
          <w:color w:val="002B5F"/>
        </w:rPr>
        <w:t xml:space="preserve">2026 Proxy Statement  </w:t>
      </w:r>
      <w:r>
        <w:rPr>
          <w:rFonts w:ascii="Arial" w:cs="Arial" w:eastAsia="Arial" w:hAnsi="Arial"/>
          <w:sz w:val="20"/>
          <w:szCs w:val="20"/>
          <w:color w:val="002B5F"/>
        </w:rPr>
        <w:t>|</w:t>
      </w:r>
      <w:r>
        <w:rPr>
          <w:rFonts w:ascii="Arial" w:cs="Arial" w:eastAsia="Arial" w:hAnsi="Arial"/>
          <w:sz w:val="15"/>
          <w:szCs w:val="15"/>
          <w:b w:val="1"/>
          <w:bCs w:val="1"/>
          <w:color w:val="002B5F"/>
        </w:rPr>
        <w:t xml:space="preserve">  59</w:t>
      </w:r>
      <w:r>
        <w:rPr>
          <w:sz w:val="20"/>
          <w:szCs w:val="20"/>
          <w:color w:val="auto"/>
        </w:rPr>
        <w:tab/>
      </w:r>
      <w:r>
        <w:rPr>
          <w:rFonts w:ascii="Arial" w:cs="Arial" w:eastAsia="Arial" w:hAnsi="Arial"/>
          <w:sz w:val="17"/>
          <w:szCs w:val="17"/>
          <w:color w:val="auto"/>
        </w:rPr>
        <w:t xml:space="preserve">    </w:t>
      </w:r>
      <w:r>
        <w:rPr>
          <w:sz w:val="20"/>
          <w:szCs w:val="20"/>
          <w:color w:val="auto"/>
        </w:rPr>
        <w:tab/>
      </w:r>
      <w:r>
        <w:rPr>
          <w:rFonts w:ascii="Arial" w:cs="Arial" w:eastAsia="Arial" w:hAnsi="Arial"/>
          <w:sz w:val="17"/>
          <w:szCs w:val="17"/>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268605</wp:posOffset>
            </wp:positionH>
            <wp:positionV relativeFrom="paragraph">
              <wp:posOffset>-128905</wp:posOffset>
            </wp:positionV>
            <wp:extent cx="762000" cy="971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62000" cy="97155"/>
                    </a:xfrm>
                    <a:prstGeom prst="rect">
                      <a:avLst/>
                    </a:prstGeom>
                    <a:noFill/>
                  </pic:spPr>
                </pic:pic>
              </a:graphicData>
            </a:graphic>
          </wp:anchor>
        </w:drawing>
      </w:r>
    </w:p>
    <w:p>
      <w:pPr>
        <w:sectPr>
          <w:pgSz w:w="11900" w:h="16838" w:orient="portrait"/>
          <w:cols w:equalWidth="0" w:num="1">
            <w:col w:w="10800"/>
          </w:cols>
          <w:pgMar w:left="320" w:top="464" w:right="779" w:bottom="1440" w:gutter="0" w:footer="0" w:header="0"/>
          <w:type w:val="continuous"/>
        </w:sectPr>
      </w:pPr>
    </w:p>
    <w:bookmarkStart w:id="71" w:name="page72"/>
    <w:bookmarkEnd w:id="71"/>
    <w:p>
      <w:pPr>
        <w:spacing w:after="0"/>
        <w:rPr>
          <w:sz w:val="20"/>
          <w:szCs w:val="20"/>
          <w:color w:val="auto"/>
        </w:rPr>
      </w:pPr>
      <w:r>
        <w:rPr>
          <w:rFonts w:ascii="Times New Roman" w:cs="Times New Roman" w:eastAsia="Times New Roman" w:hAnsi="Times New Roman"/>
          <w:sz w:val="17"/>
          <w:szCs w:val="17"/>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268605</wp:posOffset>
            </wp:positionH>
            <wp:positionV relativeFrom="paragraph">
              <wp:posOffset>253365</wp:posOffset>
            </wp:positionV>
            <wp:extent cx="1183005" cy="745617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1183005" cy="7456170"/>
                    </a:xfrm>
                    <a:prstGeom prst="rect">
                      <a:avLst/>
                    </a:prstGeom>
                    <a:noFill/>
                  </pic:spPr>
                </pic:pic>
              </a:graphicData>
            </a:graphic>
          </wp:anchor>
        </w:drawing>
      </w:r>
    </w:p>
    <w:p>
      <w:pPr>
        <w:spacing w:after="0" w:line="200" w:lineRule="exact"/>
        <w:rPr>
          <w:sz w:val="20"/>
          <w:szCs w:val="20"/>
          <w:color w:val="auto"/>
        </w:rPr>
      </w:pPr>
    </w:p>
    <w:p>
      <w:pPr>
        <w:spacing w:after="0" w:line="304" w:lineRule="exact"/>
        <w:rPr>
          <w:sz w:val="20"/>
          <w:szCs w:val="20"/>
          <w:color w:val="auto"/>
        </w:rPr>
      </w:pPr>
    </w:p>
    <w:p>
      <w:pPr>
        <w:ind w:left="1120" w:right="460" w:hanging="672"/>
        <w:spacing w:after="0" w:line="382" w:lineRule="auto"/>
        <w:tabs>
          <w:tab w:leader="none" w:pos="610" w:val="left"/>
        </w:tabs>
        <w:numPr>
          <w:ilvl w:val="0"/>
          <w:numId w:val="91"/>
        </w:numPr>
        <w:rPr>
          <w:rFonts w:ascii="Arial" w:cs="Arial" w:eastAsia="Arial" w:hAnsi="Arial"/>
          <w:sz w:val="24"/>
          <w:szCs w:val="24"/>
          <w:color w:val="auto"/>
          <w:vertAlign w:val="subscript"/>
        </w:rPr>
      </w:pPr>
      <w:r>
        <w:rPr>
          <w:rFonts w:ascii="Arial" w:cs="Arial" w:eastAsia="Arial" w:hAnsi="Arial"/>
          <w:sz w:val="24"/>
          <w:szCs w:val="24"/>
          <w:color w:val="000000"/>
          <w:vertAlign w:val="subscript"/>
        </w:rPr>
        <w:t xml:space="preserve">     </w:t>
      </w:r>
      <w:r>
        <w:rPr>
          <w:rFonts w:ascii="Arial" w:cs="Arial" w:eastAsia="Arial" w:hAnsi="Arial"/>
          <w:sz w:val="10"/>
          <w:szCs w:val="10"/>
          <w:color w:val="FFFFFF"/>
        </w:rPr>
        <w:t xml:space="preserve"> General Information</w:t>
      </w:r>
    </w:p>
    <w:p>
      <w:pPr>
        <w:spacing w:after="0" w:line="1" w:lineRule="exact"/>
        <w:rPr>
          <w:sz w:val="20"/>
          <w:szCs w:val="20"/>
          <w:color w:val="auto"/>
        </w:rPr>
      </w:pPr>
    </w:p>
    <w:p>
      <w:pPr>
        <w:ind w:left="1120"/>
        <w:spacing w:after="0"/>
        <w:rPr>
          <w:sz w:val="20"/>
          <w:szCs w:val="20"/>
          <w:color w:val="auto"/>
        </w:rPr>
      </w:pPr>
      <w:r>
        <w:rPr>
          <w:rFonts w:ascii="Arial" w:cs="Arial" w:eastAsia="Arial" w:hAnsi="Arial"/>
          <w:sz w:val="11"/>
          <w:szCs w:val="11"/>
          <w:color w:val="FFFFFF"/>
        </w:rPr>
        <w:t>General Information</w:t>
      </w:r>
    </w:p>
    <w:p>
      <w:pPr>
        <w:spacing w:after="0" w:line="3"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About Corporate</w:t>
      </w:r>
    </w:p>
    <w:p>
      <w:pPr>
        <w:ind w:left="1120"/>
        <w:spacing w:after="0" w:line="221" w:lineRule="auto"/>
        <w:rPr>
          <w:sz w:val="20"/>
          <w:szCs w:val="20"/>
          <w:color w:val="auto"/>
        </w:rPr>
      </w:pPr>
      <w:r>
        <w:rPr>
          <w:rFonts w:ascii="Arial" w:cs="Arial" w:eastAsia="Arial" w:hAnsi="Arial"/>
          <w:sz w:val="12"/>
          <w:szCs w:val="12"/>
          <w:color w:val="FFFFFF"/>
        </w:rPr>
        <w:t>Governance</w:t>
      </w:r>
    </w:p>
    <w:p>
      <w:pPr>
        <w:ind w:left="1120"/>
        <w:spacing w:after="0" w:line="222" w:lineRule="auto"/>
        <w:rPr>
          <w:sz w:val="20"/>
          <w:szCs w:val="20"/>
          <w:color w:val="auto"/>
        </w:rPr>
      </w:pPr>
      <w:r>
        <w:rPr>
          <w:rFonts w:ascii="Arial" w:cs="Arial" w:eastAsia="Arial" w:hAnsi="Arial"/>
          <w:sz w:val="12"/>
          <w:szCs w:val="12"/>
          <w:color w:val="FFFFFF"/>
        </w:rPr>
        <w:t>and the Board of</w:t>
      </w:r>
    </w:p>
    <w:p>
      <w:pPr>
        <w:spacing w:after="0" w:line="1"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Directors</w:t>
      </w:r>
    </w:p>
    <w:p>
      <w:pPr>
        <w:spacing w:after="0" w:line="144" w:lineRule="exact"/>
        <w:rPr>
          <w:sz w:val="20"/>
          <w:szCs w:val="20"/>
          <w:color w:val="auto"/>
        </w:rPr>
      </w:pPr>
    </w:p>
    <w:p>
      <w:pPr>
        <w:jc w:val="center"/>
        <w:ind w:left="620"/>
        <w:spacing w:after="0"/>
        <w:rPr>
          <w:sz w:val="20"/>
          <w:szCs w:val="20"/>
          <w:color w:val="auto"/>
        </w:rPr>
      </w:pPr>
      <w:r>
        <w:rPr>
          <w:rFonts w:ascii="Arial" w:cs="Arial" w:eastAsia="Arial" w:hAnsi="Arial"/>
          <w:sz w:val="12"/>
          <w:szCs w:val="12"/>
          <w:color w:val="FFFFFF"/>
        </w:rPr>
        <w:t>Proposal 1</w:t>
      </w:r>
    </w:p>
    <w:p>
      <w:pPr>
        <w:spacing w:after="0" w:line="156"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Information</w:t>
      </w:r>
    </w:p>
    <w:p>
      <w:pPr>
        <w:ind w:left="1120"/>
        <w:spacing w:after="0" w:line="224" w:lineRule="auto"/>
        <w:rPr>
          <w:sz w:val="20"/>
          <w:szCs w:val="20"/>
          <w:color w:val="auto"/>
        </w:rPr>
      </w:pPr>
      <w:r>
        <w:rPr>
          <w:rFonts w:ascii="Arial" w:cs="Arial" w:eastAsia="Arial" w:hAnsi="Arial"/>
          <w:sz w:val="12"/>
          <w:szCs w:val="12"/>
          <w:color w:val="FFFFFF"/>
        </w:rPr>
        <w:t>Regarding Board</w:t>
      </w:r>
    </w:p>
    <w:p>
      <w:pPr>
        <w:ind w:left="1120"/>
        <w:spacing w:after="0" w:line="222" w:lineRule="auto"/>
        <w:rPr>
          <w:sz w:val="20"/>
          <w:szCs w:val="20"/>
          <w:color w:val="auto"/>
        </w:rPr>
      </w:pPr>
      <w:r>
        <w:rPr>
          <w:rFonts w:ascii="Arial" w:cs="Arial" w:eastAsia="Arial" w:hAnsi="Arial"/>
          <w:sz w:val="12"/>
          <w:szCs w:val="12"/>
          <w:color w:val="FFFFFF"/>
        </w:rPr>
        <w:t>and Committee</w:t>
      </w:r>
    </w:p>
    <w:p>
      <w:pPr>
        <w:ind w:left="1120"/>
        <w:spacing w:after="0"/>
        <w:rPr>
          <w:sz w:val="20"/>
          <w:szCs w:val="20"/>
          <w:color w:val="auto"/>
        </w:rPr>
      </w:pPr>
      <w:r>
        <w:rPr>
          <w:rFonts w:ascii="Arial" w:cs="Arial" w:eastAsia="Arial" w:hAnsi="Arial"/>
          <w:sz w:val="12"/>
          <w:szCs w:val="12"/>
          <w:color w:val="FFFFFF"/>
        </w:rPr>
        <w:t>Structure</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Board of Directors</w:t>
      </w:r>
    </w:p>
    <w:p>
      <w:pPr>
        <w:spacing w:after="0" w:line="2"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Compensation</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Compensation</w:t>
      </w:r>
    </w:p>
    <w:p>
      <w:pPr>
        <w:ind w:left="1120"/>
        <w:spacing w:after="0" w:line="224" w:lineRule="auto"/>
        <w:rPr>
          <w:sz w:val="20"/>
          <w:szCs w:val="20"/>
          <w:color w:val="auto"/>
        </w:rPr>
      </w:pPr>
      <w:r>
        <w:rPr>
          <w:rFonts w:ascii="Arial" w:cs="Arial" w:eastAsia="Arial" w:hAnsi="Arial"/>
          <w:sz w:val="12"/>
          <w:szCs w:val="12"/>
          <w:color w:val="FFFFFF"/>
        </w:rPr>
        <w:t>Discussion and</w:t>
      </w:r>
    </w:p>
    <w:p>
      <w:pPr>
        <w:ind w:left="1120"/>
        <w:spacing w:after="0"/>
        <w:rPr>
          <w:sz w:val="20"/>
          <w:szCs w:val="20"/>
          <w:color w:val="auto"/>
        </w:rPr>
      </w:pPr>
      <w:r>
        <w:rPr>
          <w:rFonts w:ascii="Arial" w:cs="Arial" w:eastAsia="Arial" w:hAnsi="Arial"/>
          <w:sz w:val="12"/>
          <w:szCs w:val="12"/>
          <w:color w:val="FFFFFF"/>
        </w:rPr>
        <w:t>Analysis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Report of the</w:t>
      </w:r>
    </w:p>
    <w:p>
      <w:pPr>
        <w:ind w:left="1120"/>
        <w:spacing w:after="0" w:line="224" w:lineRule="auto"/>
        <w:rPr>
          <w:sz w:val="20"/>
          <w:szCs w:val="20"/>
          <w:color w:val="auto"/>
        </w:rPr>
      </w:pPr>
      <w:r>
        <w:rPr>
          <w:rFonts w:ascii="Arial" w:cs="Arial" w:eastAsia="Arial" w:hAnsi="Arial"/>
          <w:sz w:val="12"/>
          <w:szCs w:val="12"/>
          <w:color w:val="FFFFFF"/>
        </w:rPr>
        <w:t>Compensation</w:t>
      </w:r>
    </w:p>
    <w:p>
      <w:pPr>
        <w:ind w:left="1120"/>
        <w:spacing w:after="0" w:line="222" w:lineRule="auto"/>
        <w:rPr>
          <w:sz w:val="20"/>
          <w:szCs w:val="20"/>
          <w:color w:val="auto"/>
        </w:rPr>
      </w:pPr>
      <w:r>
        <w:rPr>
          <w:rFonts w:ascii="Arial" w:cs="Arial" w:eastAsia="Arial" w:hAnsi="Arial"/>
          <w:sz w:val="12"/>
          <w:szCs w:val="12"/>
          <w:color w:val="FFFFFF"/>
        </w:rPr>
        <w:t>and Human</w:t>
      </w:r>
    </w:p>
    <w:p>
      <w:pPr>
        <w:ind w:left="1120"/>
        <w:spacing w:after="0" w:line="222" w:lineRule="auto"/>
        <w:rPr>
          <w:sz w:val="20"/>
          <w:szCs w:val="20"/>
          <w:color w:val="auto"/>
        </w:rPr>
      </w:pPr>
      <w:r>
        <w:rPr>
          <w:rFonts w:ascii="Arial" w:cs="Arial" w:eastAsia="Arial" w:hAnsi="Arial"/>
          <w:sz w:val="12"/>
          <w:szCs w:val="12"/>
          <w:color w:val="FFFFFF"/>
        </w:rPr>
        <w:t>Resources</w:t>
      </w:r>
    </w:p>
    <w:p>
      <w:pPr>
        <w:ind w:left="1120"/>
        <w:spacing w:after="0" w:line="222" w:lineRule="auto"/>
        <w:rPr>
          <w:sz w:val="20"/>
          <w:szCs w:val="20"/>
          <w:color w:val="auto"/>
        </w:rPr>
      </w:pPr>
      <w:r>
        <w:rPr>
          <w:rFonts w:ascii="Arial" w:cs="Arial" w:eastAsia="Arial" w:hAnsi="Arial"/>
          <w:sz w:val="12"/>
          <w:szCs w:val="12"/>
          <w:color w:val="FFFFFF"/>
        </w:rPr>
        <w:t>Committee of the</w:t>
      </w:r>
    </w:p>
    <w:p>
      <w:pPr>
        <w:ind w:left="1120"/>
        <w:spacing w:after="0"/>
        <w:rPr>
          <w:sz w:val="20"/>
          <w:szCs w:val="20"/>
          <w:color w:val="auto"/>
        </w:rPr>
      </w:pPr>
      <w:r>
        <w:rPr>
          <w:rFonts w:ascii="Arial" w:cs="Arial" w:eastAsia="Arial" w:hAnsi="Arial"/>
          <w:sz w:val="12"/>
          <w:szCs w:val="12"/>
          <w:color w:val="FFFFFF"/>
        </w:rPr>
        <w:t>Board of Directors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b w:val="1"/>
          <w:bCs w:val="1"/>
          <w:color w:val="FFFFFF"/>
        </w:rPr>
        <w:t>Compensation of</w:t>
      </w:r>
    </w:p>
    <w:p>
      <w:pPr>
        <w:ind w:left="1120"/>
        <w:spacing w:after="0" w:line="224" w:lineRule="auto"/>
        <w:rPr>
          <w:sz w:val="20"/>
          <w:szCs w:val="20"/>
          <w:color w:val="auto"/>
        </w:rPr>
      </w:pPr>
      <w:r>
        <w:rPr>
          <w:rFonts w:ascii="Arial" w:cs="Arial" w:eastAsia="Arial" w:hAnsi="Arial"/>
          <w:sz w:val="12"/>
          <w:szCs w:val="12"/>
          <w:b w:val="1"/>
          <w:bCs w:val="1"/>
          <w:color w:val="FFFFFF"/>
        </w:rPr>
        <w:t>Named Executive</w:t>
      </w:r>
    </w:p>
    <w:p>
      <w:pPr>
        <w:ind w:left="1120"/>
        <w:spacing w:after="0"/>
        <w:rPr>
          <w:sz w:val="20"/>
          <w:szCs w:val="20"/>
          <w:color w:val="auto"/>
        </w:rPr>
      </w:pPr>
      <w:r>
        <w:rPr>
          <w:rFonts w:ascii="Arial" w:cs="Arial" w:eastAsia="Arial" w:hAnsi="Arial"/>
          <w:sz w:val="12"/>
          <w:szCs w:val="12"/>
          <w:b w:val="1"/>
          <w:bCs w:val="1"/>
          <w:color w:val="FFFFFF"/>
        </w:rPr>
        <w:t>Officers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Pay Versus</w:t>
      </w:r>
    </w:p>
    <w:p>
      <w:pPr>
        <w:ind w:left="1120"/>
        <w:spacing w:after="0" w:line="224" w:lineRule="auto"/>
        <w:rPr>
          <w:sz w:val="20"/>
          <w:szCs w:val="20"/>
          <w:color w:val="auto"/>
        </w:rPr>
      </w:pPr>
      <w:r>
        <w:rPr>
          <w:rFonts w:ascii="Arial" w:cs="Arial" w:eastAsia="Arial" w:hAnsi="Arial"/>
          <w:sz w:val="12"/>
          <w:szCs w:val="12"/>
          <w:color w:val="FFFFFF"/>
        </w:rPr>
        <w:t>Performance</w:t>
      </w:r>
    </w:p>
    <w:p>
      <w:pPr>
        <w:ind w:left="1120"/>
        <w:spacing w:after="0"/>
        <w:rPr>
          <w:sz w:val="20"/>
          <w:szCs w:val="20"/>
          <w:color w:val="auto"/>
        </w:rPr>
      </w:pPr>
      <w:r>
        <w:rPr>
          <w:rFonts w:ascii="Arial" w:cs="Arial" w:eastAsia="Arial" w:hAnsi="Arial"/>
          <w:sz w:val="12"/>
          <w:szCs w:val="12"/>
          <w:color w:val="FFFFFF"/>
        </w:rPr>
        <w:t>Disclosure</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Security</w:t>
      </w:r>
    </w:p>
    <w:p>
      <w:pPr>
        <w:ind w:left="1120"/>
        <w:spacing w:after="0" w:line="224" w:lineRule="auto"/>
        <w:rPr>
          <w:sz w:val="20"/>
          <w:szCs w:val="20"/>
          <w:color w:val="auto"/>
        </w:rPr>
      </w:pPr>
      <w:r>
        <w:rPr>
          <w:rFonts w:ascii="Arial" w:cs="Arial" w:eastAsia="Arial" w:hAnsi="Arial"/>
          <w:sz w:val="12"/>
          <w:szCs w:val="12"/>
          <w:color w:val="FFFFFF"/>
        </w:rPr>
        <w:t>Ownership of</w:t>
      </w:r>
    </w:p>
    <w:p>
      <w:pPr>
        <w:ind w:left="1120"/>
        <w:spacing w:after="0" w:line="222" w:lineRule="auto"/>
        <w:rPr>
          <w:sz w:val="20"/>
          <w:szCs w:val="20"/>
          <w:color w:val="auto"/>
        </w:rPr>
      </w:pPr>
      <w:r>
        <w:rPr>
          <w:rFonts w:ascii="Arial" w:cs="Arial" w:eastAsia="Arial" w:hAnsi="Arial"/>
          <w:sz w:val="12"/>
          <w:szCs w:val="12"/>
          <w:color w:val="FFFFFF"/>
        </w:rPr>
        <w:t>Certain Beneficial</w:t>
      </w:r>
    </w:p>
    <w:p>
      <w:pPr>
        <w:ind w:left="1120"/>
        <w:spacing w:after="0" w:line="222" w:lineRule="auto"/>
        <w:rPr>
          <w:sz w:val="20"/>
          <w:szCs w:val="20"/>
          <w:color w:val="auto"/>
        </w:rPr>
      </w:pPr>
      <w:r>
        <w:rPr>
          <w:rFonts w:ascii="Arial" w:cs="Arial" w:eastAsia="Arial" w:hAnsi="Arial"/>
          <w:sz w:val="12"/>
          <w:szCs w:val="12"/>
          <w:color w:val="FFFFFF"/>
        </w:rPr>
        <w:t>Owners and</w:t>
      </w:r>
    </w:p>
    <w:p>
      <w:pPr>
        <w:ind w:left="1120"/>
        <w:spacing w:after="0"/>
        <w:rPr>
          <w:sz w:val="20"/>
          <w:szCs w:val="20"/>
          <w:color w:val="auto"/>
        </w:rPr>
      </w:pPr>
      <w:r>
        <w:rPr>
          <w:rFonts w:ascii="Arial" w:cs="Arial" w:eastAsia="Arial" w:hAnsi="Arial"/>
          <w:sz w:val="12"/>
          <w:szCs w:val="12"/>
          <w:color w:val="FFFFFF"/>
        </w:rPr>
        <w:t>Management</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Certain</w:t>
      </w:r>
    </w:p>
    <w:p>
      <w:pPr>
        <w:ind w:left="1120"/>
        <w:spacing w:after="0" w:line="224" w:lineRule="auto"/>
        <w:rPr>
          <w:sz w:val="20"/>
          <w:szCs w:val="20"/>
          <w:color w:val="auto"/>
        </w:rPr>
      </w:pPr>
      <w:r>
        <w:rPr>
          <w:rFonts w:ascii="Arial" w:cs="Arial" w:eastAsia="Arial" w:hAnsi="Arial"/>
          <w:sz w:val="12"/>
          <w:szCs w:val="12"/>
          <w:color w:val="FFFFFF"/>
        </w:rPr>
        <w:t>Relationships and</w:t>
      </w:r>
    </w:p>
    <w:p>
      <w:pPr>
        <w:ind w:left="1120"/>
        <w:spacing w:after="0" w:line="222" w:lineRule="auto"/>
        <w:rPr>
          <w:sz w:val="20"/>
          <w:szCs w:val="20"/>
          <w:color w:val="auto"/>
        </w:rPr>
      </w:pPr>
      <w:r>
        <w:rPr>
          <w:rFonts w:ascii="Arial" w:cs="Arial" w:eastAsia="Arial" w:hAnsi="Arial"/>
          <w:sz w:val="12"/>
          <w:szCs w:val="12"/>
          <w:color w:val="FFFFFF"/>
        </w:rPr>
        <w:t>Related Party</w:t>
      </w:r>
    </w:p>
    <w:p>
      <w:pPr>
        <w:ind w:left="1120"/>
        <w:spacing w:after="0"/>
        <w:rPr>
          <w:sz w:val="20"/>
          <w:szCs w:val="20"/>
          <w:color w:val="auto"/>
        </w:rPr>
      </w:pPr>
      <w:r>
        <w:rPr>
          <w:rFonts w:ascii="Arial" w:cs="Arial" w:eastAsia="Arial" w:hAnsi="Arial"/>
          <w:sz w:val="12"/>
          <w:szCs w:val="12"/>
          <w:color w:val="FFFFFF"/>
        </w:rPr>
        <w:t>Transactions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Proposal 2</w:t>
      </w:r>
    </w:p>
    <w:p>
      <w:pPr>
        <w:spacing w:after="0" w:line="156"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Report of the</w:t>
      </w:r>
    </w:p>
    <w:p>
      <w:pPr>
        <w:ind w:left="1120"/>
        <w:spacing w:after="0" w:line="224" w:lineRule="auto"/>
        <w:rPr>
          <w:sz w:val="20"/>
          <w:szCs w:val="20"/>
          <w:color w:val="auto"/>
        </w:rPr>
      </w:pPr>
      <w:r>
        <w:rPr>
          <w:rFonts w:ascii="Arial" w:cs="Arial" w:eastAsia="Arial" w:hAnsi="Arial"/>
          <w:sz w:val="12"/>
          <w:szCs w:val="12"/>
          <w:color w:val="FFFFFF"/>
        </w:rPr>
        <w:t>Audit and Risk</w:t>
      </w:r>
    </w:p>
    <w:p>
      <w:pPr>
        <w:ind w:left="1120"/>
        <w:spacing w:after="0" w:line="222" w:lineRule="auto"/>
        <w:rPr>
          <w:sz w:val="20"/>
          <w:szCs w:val="20"/>
          <w:color w:val="auto"/>
        </w:rPr>
      </w:pPr>
      <w:r>
        <w:rPr>
          <w:rFonts w:ascii="Arial" w:cs="Arial" w:eastAsia="Arial" w:hAnsi="Arial"/>
          <w:sz w:val="12"/>
          <w:szCs w:val="12"/>
          <w:color w:val="FFFFFF"/>
        </w:rPr>
        <w:t>Committee of the</w:t>
      </w:r>
    </w:p>
    <w:p>
      <w:pPr>
        <w:ind w:left="1120"/>
        <w:spacing w:after="0"/>
        <w:rPr>
          <w:sz w:val="20"/>
          <w:szCs w:val="20"/>
          <w:color w:val="auto"/>
        </w:rPr>
      </w:pPr>
      <w:r>
        <w:rPr>
          <w:rFonts w:ascii="Arial" w:cs="Arial" w:eastAsia="Arial" w:hAnsi="Arial"/>
          <w:sz w:val="12"/>
          <w:szCs w:val="12"/>
          <w:color w:val="FFFFFF"/>
        </w:rPr>
        <w:t>Board of Directors</w:t>
      </w:r>
    </w:p>
    <w:p>
      <w:pPr>
        <w:spacing w:after="0" w:line="144" w:lineRule="exact"/>
        <w:rPr>
          <w:sz w:val="20"/>
          <w:szCs w:val="20"/>
          <w:color w:val="auto"/>
        </w:rPr>
      </w:pPr>
    </w:p>
    <w:p>
      <w:pPr>
        <w:jc w:val="center"/>
        <w:ind w:left="620"/>
        <w:spacing w:after="0"/>
        <w:rPr>
          <w:sz w:val="20"/>
          <w:szCs w:val="20"/>
          <w:color w:val="auto"/>
        </w:rPr>
      </w:pPr>
      <w:r>
        <w:rPr>
          <w:rFonts w:ascii="Arial" w:cs="Arial" w:eastAsia="Arial" w:hAnsi="Arial"/>
          <w:sz w:val="12"/>
          <w:szCs w:val="12"/>
          <w:color w:val="FFFFFF"/>
        </w:rPr>
        <w:t>Proposal 3</w:t>
      </w:r>
    </w:p>
    <w:p>
      <w:pPr>
        <w:spacing w:after="0" w:line="156" w:lineRule="exact"/>
        <w:rPr>
          <w:sz w:val="20"/>
          <w:szCs w:val="20"/>
          <w:color w:val="auto"/>
        </w:rPr>
      </w:pPr>
    </w:p>
    <w:p>
      <w:pPr>
        <w:jc w:val="center"/>
        <w:ind w:left="620"/>
        <w:spacing w:after="0"/>
        <w:rPr>
          <w:sz w:val="20"/>
          <w:szCs w:val="20"/>
          <w:color w:val="auto"/>
        </w:rPr>
      </w:pPr>
      <w:r>
        <w:rPr>
          <w:rFonts w:ascii="Arial" w:cs="Arial" w:eastAsia="Arial" w:hAnsi="Arial"/>
          <w:sz w:val="12"/>
          <w:szCs w:val="12"/>
          <w:color w:val="FFFFFF"/>
        </w:rPr>
        <w:t>Proposal 4</w:t>
      </w:r>
    </w:p>
    <w:p>
      <w:pPr>
        <w:spacing w:after="0" w:line="156" w:lineRule="exact"/>
        <w:rPr>
          <w:sz w:val="20"/>
          <w:szCs w:val="20"/>
          <w:color w:val="auto"/>
        </w:rPr>
      </w:pPr>
    </w:p>
    <w:p>
      <w:pPr>
        <w:jc w:val="center"/>
        <w:ind w:left="620"/>
        <w:spacing w:after="0"/>
        <w:rPr>
          <w:sz w:val="20"/>
          <w:szCs w:val="20"/>
          <w:color w:val="auto"/>
        </w:rPr>
      </w:pPr>
      <w:r>
        <w:rPr>
          <w:rFonts w:ascii="Arial" w:cs="Arial" w:eastAsia="Arial" w:hAnsi="Arial"/>
          <w:sz w:val="12"/>
          <w:szCs w:val="12"/>
          <w:color w:val="FFFFFF"/>
        </w:rPr>
        <w:t>Proposal 5</w:t>
      </w:r>
    </w:p>
    <w:p>
      <w:pPr>
        <w:spacing w:after="0" w:line="156"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Proposal 6</w:t>
      </w:r>
    </w:p>
    <w:p>
      <w:pPr>
        <w:spacing w:after="0" w:line="156"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Stockholder</w:t>
      </w:r>
    </w:p>
    <w:p>
      <w:pPr>
        <w:ind w:left="1120"/>
        <w:spacing w:after="0" w:line="224" w:lineRule="auto"/>
        <w:rPr>
          <w:sz w:val="20"/>
          <w:szCs w:val="20"/>
          <w:color w:val="auto"/>
        </w:rPr>
      </w:pPr>
      <w:r>
        <w:rPr>
          <w:rFonts w:ascii="Arial" w:cs="Arial" w:eastAsia="Arial" w:hAnsi="Arial"/>
          <w:sz w:val="12"/>
          <w:szCs w:val="12"/>
          <w:color w:val="FFFFFF"/>
        </w:rPr>
        <w:t>Proposals and</w:t>
      </w:r>
    </w:p>
    <w:p>
      <w:pPr>
        <w:ind w:left="1120"/>
        <w:spacing w:after="0"/>
        <w:rPr>
          <w:sz w:val="20"/>
          <w:szCs w:val="20"/>
          <w:color w:val="auto"/>
        </w:rPr>
      </w:pPr>
      <w:r>
        <w:rPr>
          <w:rFonts w:ascii="Arial" w:cs="Arial" w:eastAsia="Arial" w:hAnsi="Arial"/>
          <w:sz w:val="12"/>
          <w:szCs w:val="12"/>
          <w:color w:val="FFFFFF"/>
        </w:rPr>
        <w:t>Other Matters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Delinquent</w:t>
      </w:r>
    </w:p>
    <w:p>
      <w:pPr>
        <w:ind w:left="1120"/>
        <w:spacing w:after="0" w:line="224" w:lineRule="auto"/>
        <w:rPr>
          <w:sz w:val="20"/>
          <w:szCs w:val="20"/>
          <w:color w:val="auto"/>
        </w:rPr>
      </w:pPr>
      <w:r>
        <w:rPr>
          <w:rFonts w:ascii="Arial" w:cs="Arial" w:eastAsia="Arial" w:hAnsi="Arial"/>
          <w:sz w:val="12"/>
          <w:szCs w:val="12"/>
          <w:color w:val="FFFFFF"/>
        </w:rPr>
        <w:t>Section 16(a)</w:t>
      </w:r>
    </w:p>
    <w:p>
      <w:pPr>
        <w:ind w:left="1120"/>
        <w:spacing w:after="0"/>
        <w:rPr>
          <w:sz w:val="20"/>
          <w:szCs w:val="20"/>
          <w:color w:val="auto"/>
        </w:rPr>
      </w:pPr>
      <w:r>
        <w:rPr>
          <w:rFonts w:ascii="Arial" w:cs="Arial" w:eastAsia="Arial" w:hAnsi="Arial"/>
          <w:sz w:val="12"/>
          <w:szCs w:val="12"/>
          <w:color w:val="FFFFFF"/>
        </w:rPr>
        <w:t>Reports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Other</w:t>
      </w:r>
    </w:p>
    <w:p>
      <w:pPr>
        <w:spacing w:after="0" w:line="2"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Information</w:t>
      </w:r>
    </w:p>
    <w:p>
      <w:pPr>
        <w:spacing w:after="0" w:line="144" w:lineRule="exact"/>
        <w:rPr>
          <w:sz w:val="20"/>
          <w:szCs w:val="20"/>
          <w:color w:val="auto"/>
        </w:rPr>
      </w:pPr>
    </w:p>
    <w:p>
      <w:pPr>
        <w:jc w:val="center"/>
        <w:ind w:left="660"/>
        <w:spacing w:after="0"/>
        <w:rPr>
          <w:sz w:val="20"/>
          <w:szCs w:val="20"/>
          <w:color w:val="auto"/>
        </w:rPr>
      </w:pPr>
      <w:r>
        <w:rPr>
          <w:rFonts w:ascii="Arial" w:cs="Arial" w:eastAsia="Arial" w:hAnsi="Arial"/>
          <w:sz w:val="12"/>
          <w:szCs w:val="12"/>
          <w:color w:val="FFFFFF"/>
        </w:rPr>
        <w:t>Appendix A</w:t>
      </w:r>
    </w:p>
    <w:p>
      <w:pPr>
        <w:spacing w:after="0" w:line="156" w:lineRule="exact"/>
        <w:rPr>
          <w:sz w:val="20"/>
          <w:szCs w:val="20"/>
          <w:color w:val="auto"/>
        </w:rPr>
      </w:pPr>
    </w:p>
    <w:p>
      <w:pPr>
        <w:jc w:val="center"/>
        <w:ind w:left="660"/>
        <w:spacing w:after="0"/>
        <w:rPr>
          <w:sz w:val="20"/>
          <w:szCs w:val="20"/>
          <w:color w:val="auto"/>
        </w:rPr>
      </w:pPr>
      <w:r>
        <w:rPr>
          <w:rFonts w:ascii="Arial" w:cs="Arial" w:eastAsia="Arial" w:hAnsi="Arial"/>
          <w:sz w:val="12"/>
          <w:szCs w:val="12"/>
          <w:color w:val="FFFFFF"/>
        </w:rPr>
        <w:t>Appendix 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right="840"/>
        <w:spacing w:after="0" w:line="273" w:lineRule="auto"/>
        <w:rPr>
          <w:sz w:val="20"/>
          <w:szCs w:val="20"/>
          <w:color w:val="auto"/>
        </w:rPr>
      </w:pPr>
      <w:r>
        <w:rPr>
          <w:rFonts w:ascii="Times New Roman" w:cs="Times New Roman" w:eastAsia="Times New Roman" w:hAnsi="Times New Roman"/>
          <w:sz w:val="48"/>
          <w:szCs w:val="48"/>
          <w:b w:val="1"/>
          <w:bCs w:val="1"/>
          <w:color w:val="002B5F"/>
        </w:rPr>
        <w:t>Compensation of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-1737995</wp:posOffset>
            </wp:positionH>
            <wp:positionV relativeFrom="paragraph">
              <wp:posOffset>-1402080</wp:posOffset>
            </wp:positionV>
            <wp:extent cx="7181215" cy="5334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81215" cy="5334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-32385</wp:posOffset>
            </wp:positionV>
            <wp:extent cx="5065395"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5065395" cy="8255"/>
                    </a:xfrm>
                    <a:prstGeom prst="rect">
                      <a:avLst/>
                    </a:prstGeom>
                    <a:noFill/>
                  </pic:spPr>
                </pic:pic>
              </a:graphicData>
            </a:graphic>
          </wp:anchor>
        </w:drawing>
      </w:r>
    </w:p>
    <w:p>
      <w:pPr>
        <w:spacing w:after="0" w:line="132" w:lineRule="exact"/>
        <w:rPr>
          <w:sz w:val="20"/>
          <w:szCs w:val="20"/>
          <w:color w:val="auto"/>
        </w:rPr>
      </w:pPr>
    </w:p>
    <w:p>
      <w:pPr>
        <w:ind w:right="120"/>
        <w:spacing w:after="0" w:line="268" w:lineRule="auto"/>
        <w:rPr>
          <w:sz w:val="20"/>
          <w:szCs w:val="20"/>
          <w:color w:val="auto"/>
        </w:rPr>
      </w:pPr>
      <w:r>
        <w:rPr>
          <w:rFonts w:ascii="Arial" w:cs="Arial" w:eastAsia="Arial" w:hAnsi="Arial"/>
          <w:sz w:val="15"/>
          <w:szCs w:val="15"/>
          <w:color w:val="auto"/>
        </w:rPr>
        <w:t>The tables in the following sections of this proxy statement provide information required by the SEC regarding compensation paid to or earned by our NEOs. The footnotes to these tables provide important information to explain the values presented in the tables and are an important part of our disclosures.</w:t>
      </w:r>
    </w:p>
    <w:p>
      <w:pPr>
        <w:spacing w:after="0" w:line="152" w:lineRule="exact"/>
        <w:rPr>
          <w:sz w:val="20"/>
          <w:szCs w:val="20"/>
          <w:color w:val="auto"/>
        </w:rPr>
      </w:pPr>
    </w:p>
    <w:p>
      <w:pPr>
        <w:spacing w:after="0"/>
        <w:rPr>
          <w:sz w:val="20"/>
          <w:szCs w:val="20"/>
          <w:color w:val="auto"/>
        </w:rPr>
      </w:pPr>
      <w:r>
        <w:rPr>
          <w:rFonts w:ascii="Arial" w:cs="Arial" w:eastAsia="Arial" w:hAnsi="Arial"/>
          <w:sz w:val="24"/>
          <w:szCs w:val="24"/>
          <w:color w:val="B95827"/>
        </w:rPr>
        <w:t>Summary Compensation Table</w:t>
      </w:r>
    </w:p>
    <w:p>
      <w:pPr>
        <w:spacing w:after="0" w:line="117" w:lineRule="exact"/>
        <w:rPr>
          <w:sz w:val="20"/>
          <w:szCs w:val="20"/>
          <w:color w:val="auto"/>
        </w:rPr>
      </w:pPr>
    </w:p>
    <w:p>
      <w:pPr>
        <w:spacing w:after="0"/>
        <w:rPr>
          <w:sz w:val="20"/>
          <w:szCs w:val="20"/>
          <w:color w:val="auto"/>
        </w:rPr>
      </w:pPr>
      <w:r>
        <w:rPr>
          <w:rFonts w:ascii="Arial" w:cs="Arial" w:eastAsia="Arial" w:hAnsi="Arial"/>
          <w:sz w:val="15"/>
          <w:szCs w:val="15"/>
          <w:color w:val="auto"/>
        </w:rPr>
        <w:t>The following table sets forth information for our NEOs concerning the total compensation for the years ended</w:t>
      </w:r>
    </w:p>
    <w:p>
      <w:pPr>
        <w:spacing w:after="0" w:line="20" w:lineRule="exact"/>
        <w:rPr>
          <w:sz w:val="20"/>
          <w:szCs w:val="20"/>
          <w:color w:val="auto"/>
        </w:rPr>
      </w:pPr>
    </w:p>
    <w:p>
      <w:pPr>
        <w:spacing w:after="0"/>
        <w:rPr>
          <w:sz w:val="20"/>
          <w:szCs w:val="20"/>
          <w:color w:val="auto"/>
        </w:rPr>
      </w:pPr>
      <w:r>
        <w:rPr>
          <w:rFonts w:ascii="Arial" w:cs="Arial" w:eastAsia="Arial" w:hAnsi="Arial"/>
          <w:sz w:val="15"/>
          <w:szCs w:val="15"/>
          <w:color w:val="auto"/>
        </w:rPr>
        <w:t>December 31, 2025, 2024 and 2023, as applicable to such NEO (or such shorter period of the NEO’s service):</w:t>
      </w:r>
    </w:p>
    <w:p>
      <w:pPr>
        <w:spacing w:after="0" w:line="212"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2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0" w:type="dxa"/>
            <w:vAlign w:val="bottom"/>
          </w:tcPr>
          <w:p>
            <w:pPr>
              <w:jc w:val="center"/>
              <w:spacing w:after="0"/>
              <w:rPr>
                <w:sz w:val="20"/>
                <w:szCs w:val="20"/>
                <w:color w:val="auto"/>
              </w:rPr>
            </w:pPr>
            <w:r>
              <w:rPr>
                <w:rFonts w:ascii="Arial" w:cs="Arial" w:eastAsia="Arial" w:hAnsi="Arial"/>
                <w:sz w:val="13"/>
                <w:szCs w:val="13"/>
                <w:b w:val="1"/>
                <w:bCs w:val="1"/>
                <w:color w:val="002B5F"/>
                <w:w w:val="98"/>
              </w:rPr>
              <w:t>Non-Equity</w:t>
            </w:r>
          </w:p>
        </w:tc>
        <w:tc>
          <w:tcPr>
            <w:tcW w:w="10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2780" w:type="dxa"/>
            <w:vAlign w:val="bottom"/>
          </w:tcPr>
          <w:p>
            <w:pPr>
              <w:ind w:left="60"/>
              <w:spacing w:after="0" w:line="141" w:lineRule="exact"/>
              <w:rPr>
                <w:sz w:val="20"/>
                <w:szCs w:val="20"/>
                <w:color w:val="auto"/>
              </w:rPr>
            </w:pPr>
            <w:r>
              <w:rPr>
                <w:rFonts w:ascii="Arial" w:cs="Arial" w:eastAsia="Arial" w:hAnsi="Arial"/>
                <w:sz w:val="13"/>
                <w:szCs w:val="13"/>
                <w:b w:val="1"/>
                <w:bCs w:val="1"/>
                <w:color w:val="002B5F"/>
              </w:rPr>
              <w:t>Named</w:t>
            </w: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80" w:type="dxa"/>
            <w:vAlign w:val="bottom"/>
          </w:tcPr>
          <w:p>
            <w:pPr>
              <w:jc w:val="center"/>
              <w:spacing w:after="0" w:line="141" w:lineRule="exact"/>
              <w:rPr>
                <w:sz w:val="20"/>
                <w:szCs w:val="20"/>
                <w:color w:val="auto"/>
              </w:rPr>
            </w:pPr>
            <w:r>
              <w:rPr>
                <w:rFonts w:ascii="Arial" w:cs="Arial" w:eastAsia="Arial" w:hAnsi="Arial"/>
                <w:sz w:val="13"/>
                <w:szCs w:val="13"/>
                <w:b w:val="1"/>
                <w:bCs w:val="1"/>
                <w:color w:val="002B5F"/>
                <w:w w:val="95"/>
              </w:rPr>
              <w:t>Stock</w:t>
            </w:r>
          </w:p>
        </w:tc>
        <w:tc>
          <w:tcPr>
            <w:tcW w:w="1000" w:type="dxa"/>
            <w:vAlign w:val="bottom"/>
          </w:tcPr>
          <w:p>
            <w:pPr>
              <w:jc w:val="center"/>
              <w:spacing w:after="0" w:line="141" w:lineRule="exact"/>
              <w:rPr>
                <w:sz w:val="20"/>
                <w:szCs w:val="20"/>
                <w:color w:val="auto"/>
              </w:rPr>
            </w:pPr>
            <w:r>
              <w:rPr>
                <w:rFonts w:ascii="Arial" w:cs="Arial" w:eastAsia="Arial" w:hAnsi="Arial"/>
                <w:sz w:val="13"/>
                <w:szCs w:val="13"/>
                <w:b w:val="1"/>
                <w:bCs w:val="1"/>
                <w:color w:val="002B5F"/>
                <w:w w:val="98"/>
              </w:rPr>
              <w:t>Incentive Plan</w:t>
            </w:r>
          </w:p>
        </w:tc>
        <w:tc>
          <w:tcPr>
            <w:tcW w:w="1060" w:type="dxa"/>
            <w:vAlign w:val="bottom"/>
          </w:tcPr>
          <w:p>
            <w:pPr>
              <w:jc w:val="center"/>
              <w:spacing w:after="0" w:line="141" w:lineRule="exact"/>
              <w:rPr>
                <w:sz w:val="20"/>
                <w:szCs w:val="20"/>
                <w:color w:val="auto"/>
              </w:rPr>
            </w:pPr>
            <w:r>
              <w:rPr>
                <w:rFonts w:ascii="Arial" w:cs="Arial" w:eastAsia="Arial" w:hAnsi="Arial"/>
                <w:sz w:val="13"/>
                <w:szCs w:val="13"/>
                <w:b w:val="1"/>
                <w:bCs w:val="1"/>
                <w:color w:val="002B5F"/>
                <w:w w:val="98"/>
              </w:rPr>
              <w:t>All Other</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780" w:type="dxa"/>
            <w:vAlign w:val="bottom"/>
          </w:tcPr>
          <w:p>
            <w:pPr>
              <w:ind w:left="60"/>
              <w:spacing w:after="0" w:line="141" w:lineRule="exact"/>
              <w:rPr>
                <w:sz w:val="20"/>
                <w:szCs w:val="20"/>
                <w:color w:val="auto"/>
              </w:rPr>
            </w:pPr>
            <w:r>
              <w:rPr>
                <w:rFonts w:ascii="Arial" w:cs="Arial" w:eastAsia="Arial" w:hAnsi="Arial"/>
                <w:sz w:val="13"/>
                <w:szCs w:val="13"/>
                <w:b w:val="1"/>
                <w:bCs w:val="1"/>
                <w:color w:val="002B5F"/>
              </w:rPr>
              <w:t>Executive Officer and</w:t>
            </w: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40" w:type="dxa"/>
            <w:vAlign w:val="bottom"/>
          </w:tcPr>
          <w:p>
            <w:pPr>
              <w:ind w:left="200"/>
              <w:spacing w:after="0" w:line="141" w:lineRule="exact"/>
              <w:rPr>
                <w:sz w:val="20"/>
                <w:szCs w:val="20"/>
                <w:color w:val="auto"/>
              </w:rPr>
            </w:pPr>
            <w:r>
              <w:rPr>
                <w:rFonts w:ascii="Arial" w:cs="Arial" w:eastAsia="Arial" w:hAnsi="Arial"/>
                <w:sz w:val="13"/>
                <w:szCs w:val="13"/>
                <w:b w:val="1"/>
                <w:bCs w:val="1"/>
                <w:color w:val="002B5F"/>
              </w:rPr>
              <w:t>Salary</w:t>
            </w:r>
          </w:p>
        </w:tc>
        <w:tc>
          <w:tcPr>
            <w:tcW w:w="880" w:type="dxa"/>
            <w:vAlign w:val="bottom"/>
          </w:tcPr>
          <w:p>
            <w:pPr>
              <w:jc w:val="center"/>
              <w:spacing w:after="0" w:line="141" w:lineRule="exact"/>
              <w:rPr>
                <w:sz w:val="20"/>
                <w:szCs w:val="20"/>
                <w:color w:val="auto"/>
              </w:rPr>
            </w:pPr>
            <w:r>
              <w:rPr>
                <w:rFonts w:ascii="Arial" w:cs="Arial" w:eastAsia="Arial" w:hAnsi="Arial"/>
                <w:sz w:val="13"/>
                <w:szCs w:val="13"/>
                <w:b w:val="1"/>
                <w:bCs w:val="1"/>
                <w:color w:val="002B5F"/>
                <w:w w:val="97"/>
              </w:rPr>
              <w:t>Awards</w:t>
            </w:r>
          </w:p>
        </w:tc>
        <w:tc>
          <w:tcPr>
            <w:tcW w:w="1000" w:type="dxa"/>
            <w:vAlign w:val="bottom"/>
          </w:tcPr>
          <w:p>
            <w:pPr>
              <w:jc w:val="center"/>
              <w:spacing w:after="0" w:line="141" w:lineRule="exact"/>
              <w:rPr>
                <w:sz w:val="20"/>
                <w:szCs w:val="20"/>
                <w:color w:val="auto"/>
              </w:rPr>
            </w:pPr>
            <w:r>
              <w:rPr>
                <w:rFonts w:ascii="Arial" w:cs="Arial" w:eastAsia="Arial" w:hAnsi="Arial"/>
                <w:sz w:val="13"/>
                <w:szCs w:val="13"/>
                <w:b w:val="1"/>
                <w:bCs w:val="1"/>
                <w:color w:val="002B5F"/>
                <w:w w:val="97"/>
              </w:rPr>
              <w:t>Compensation</w:t>
            </w:r>
          </w:p>
        </w:tc>
        <w:tc>
          <w:tcPr>
            <w:tcW w:w="1060" w:type="dxa"/>
            <w:vAlign w:val="bottom"/>
          </w:tcPr>
          <w:p>
            <w:pPr>
              <w:jc w:val="center"/>
              <w:spacing w:after="0" w:line="141" w:lineRule="exact"/>
              <w:rPr>
                <w:sz w:val="20"/>
                <w:szCs w:val="20"/>
                <w:color w:val="auto"/>
              </w:rPr>
            </w:pPr>
            <w:r>
              <w:rPr>
                <w:rFonts w:ascii="Arial" w:cs="Arial" w:eastAsia="Arial" w:hAnsi="Arial"/>
                <w:sz w:val="13"/>
                <w:szCs w:val="13"/>
                <w:b w:val="1"/>
                <w:bCs w:val="1"/>
                <w:color w:val="002B5F"/>
                <w:w w:val="99"/>
              </w:rPr>
              <w:t>Compensation</w:t>
            </w:r>
          </w:p>
        </w:tc>
        <w:tc>
          <w:tcPr>
            <w:tcW w:w="800" w:type="dxa"/>
            <w:vAlign w:val="bottom"/>
          </w:tcPr>
          <w:p>
            <w:pPr>
              <w:jc w:val="right"/>
              <w:ind w:right="193"/>
              <w:spacing w:after="0" w:line="141" w:lineRule="exact"/>
              <w:rPr>
                <w:sz w:val="20"/>
                <w:szCs w:val="20"/>
                <w:color w:val="auto"/>
              </w:rPr>
            </w:pPr>
            <w:r>
              <w:rPr>
                <w:rFonts w:ascii="Arial" w:cs="Arial" w:eastAsia="Arial" w:hAnsi="Arial"/>
                <w:sz w:val="13"/>
                <w:szCs w:val="13"/>
                <w:b w:val="1"/>
                <w:bCs w:val="1"/>
                <w:color w:val="002B5F"/>
              </w:rPr>
              <w:t>Total</w:t>
            </w:r>
          </w:p>
        </w:tc>
        <w:tc>
          <w:tcPr>
            <w:tcW w:w="0" w:type="dxa"/>
            <w:vAlign w:val="bottom"/>
          </w:tcPr>
          <w:p>
            <w:pPr>
              <w:spacing w:after="0"/>
              <w:rPr>
                <w:sz w:val="1"/>
                <w:szCs w:val="1"/>
                <w:color w:val="auto"/>
              </w:rPr>
            </w:pPr>
          </w:p>
        </w:tc>
      </w:tr>
      <w:tr>
        <w:trPr>
          <w:trHeight w:val="197"/>
        </w:trPr>
        <w:tc>
          <w:tcPr>
            <w:tcW w:w="2780" w:type="dxa"/>
            <w:vAlign w:val="bottom"/>
            <w:tcBorders>
              <w:bottom w:val="single" w:sz="8" w:color="002B5F"/>
            </w:tcBorders>
          </w:tcPr>
          <w:p>
            <w:pPr>
              <w:ind w:left="60"/>
              <w:spacing w:after="0"/>
              <w:rPr>
                <w:sz w:val="20"/>
                <w:szCs w:val="20"/>
                <w:color w:val="auto"/>
              </w:rPr>
            </w:pPr>
            <w:r>
              <w:rPr>
                <w:rFonts w:ascii="Arial" w:cs="Arial" w:eastAsia="Arial" w:hAnsi="Arial"/>
                <w:sz w:val="13"/>
                <w:szCs w:val="13"/>
                <w:b w:val="1"/>
                <w:bCs w:val="1"/>
                <w:color w:val="002B5F"/>
              </w:rPr>
              <w:t>Principal Position</w:t>
            </w:r>
          </w:p>
        </w:tc>
        <w:tc>
          <w:tcPr>
            <w:tcW w:w="160" w:type="dxa"/>
            <w:vAlign w:val="bottom"/>
            <w:tcBorders>
              <w:bottom w:val="single" w:sz="8" w:color="002B5F"/>
            </w:tcBorders>
          </w:tcPr>
          <w:p>
            <w:pPr>
              <w:spacing w:after="0"/>
              <w:rPr>
                <w:sz w:val="17"/>
                <w:szCs w:val="17"/>
                <w:color w:val="auto"/>
              </w:rPr>
            </w:pPr>
          </w:p>
        </w:tc>
        <w:tc>
          <w:tcPr>
            <w:tcW w:w="440" w:type="dxa"/>
            <w:vAlign w:val="bottom"/>
            <w:tcBorders>
              <w:bottom w:val="single" w:sz="8" w:color="002B5F"/>
            </w:tcBorders>
          </w:tcPr>
          <w:p>
            <w:pPr>
              <w:ind w:left="20"/>
              <w:spacing w:after="0"/>
              <w:rPr>
                <w:sz w:val="20"/>
                <w:szCs w:val="20"/>
                <w:color w:val="auto"/>
              </w:rPr>
            </w:pPr>
            <w:r>
              <w:rPr>
                <w:rFonts w:ascii="Arial" w:cs="Arial" w:eastAsia="Arial" w:hAnsi="Arial"/>
                <w:sz w:val="13"/>
                <w:szCs w:val="13"/>
                <w:b w:val="1"/>
                <w:bCs w:val="1"/>
                <w:color w:val="002B5F"/>
              </w:rPr>
              <w:t>Year</w:t>
            </w:r>
          </w:p>
        </w:tc>
        <w:tc>
          <w:tcPr>
            <w:tcW w:w="840" w:type="dxa"/>
            <w:vAlign w:val="bottom"/>
            <w:tcBorders>
              <w:bottom w:val="single" w:sz="8" w:color="002B5F"/>
            </w:tcBorders>
          </w:tcPr>
          <w:p>
            <w:pPr>
              <w:ind w:left="320"/>
              <w:spacing w:after="0"/>
              <w:rPr>
                <w:sz w:val="20"/>
                <w:szCs w:val="20"/>
                <w:color w:val="auto"/>
              </w:rPr>
            </w:pPr>
            <w:r>
              <w:rPr>
                <w:rFonts w:ascii="Arial" w:cs="Arial" w:eastAsia="Arial" w:hAnsi="Arial"/>
                <w:sz w:val="13"/>
                <w:szCs w:val="13"/>
                <w:b w:val="1"/>
                <w:bCs w:val="1"/>
                <w:color w:val="002B5F"/>
              </w:rPr>
              <w:t>($)</w:t>
            </w:r>
          </w:p>
        </w:tc>
        <w:tc>
          <w:tcPr>
            <w:tcW w:w="880" w:type="dxa"/>
            <w:vAlign w:val="bottom"/>
            <w:tcBorders>
              <w:bottom w:val="single" w:sz="8" w:color="002B5F"/>
            </w:tcBorders>
          </w:tcPr>
          <w:p>
            <w:pPr>
              <w:jc w:val="center"/>
              <w:spacing w:after="0" w:line="192" w:lineRule="exact"/>
              <w:rPr>
                <w:sz w:val="20"/>
                <w:szCs w:val="20"/>
                <w:color w:val="auto"/>
              </w:rPr>
            </w:pPr>
            <w:r>
              <w:rPr>
                <w:rFonts w:ascii="Arial" w:cs="Arial" w:eastAsia="Arial" w:hAnsi="Arial"/>
                <w:sz w:val="13"/>
                <w:szCs w:val="13"/>
                <w:b w:val="1"/>
                <w:bCs w:val="1"/>
                <w:color w:val="002B5F"/>
                <w:w w:val="89"/>
              </w:rPr>
              <w:t>($)</w:t>
            </w:r>
            <w:r>
              <w:rPr>
                <w:rFonts w:ascii="Arial" w:cs="Arial" w:eastAsia="Arial" w:hAnsi="Arial"/>
                <w:sz w:val="19"/>
                <w:szCs w:val="19"/>
                <w:b w:val="1"/>
                <w:bCs w:val="1"/>
                <w:color w:val="002B5F"/>
                <w:w w:val="89"/>
                <w:vertAlign w:val="superscript"/>
              </w:rPr>
              <w:t>(1)</w:t>
            </w:r>
          </w:p>
        </w:tc>
        <w:tc>
          <w:tcPr>
            <w:tcW w:w="1000" w:type="dxa"/>
            <w:vAlign w:val="bottom"/>
            <w:tcBorders>
              <w:bottom w:val="single" w:sz="8" w:color="002B5F"/>
            </w:tcBorders>
          </w:tcPr>
          <w:p>
            <w:pPr>
              <w:jc w:val="center"/>
              <w:spacing w:after="0" w:line="192" w:lineRule="exact"/>
              <w:rPr>
                <w:sz w:val="20"/>
                <w:szCs w:val="20"/>
                <w:color w:val="auto"/>
              </w:rPr>
            </w:pPr>
            <w:r>
              <w:rPr>
                <w:rFonts w:ascii="Arial" w:cs="Arial" w:eastAsia="Arial" w:hAnsi="Arial"/>
                <w:sz w:val="13"/>
                <w:szCs w:val="13"/>
                <w:b w:val="1"/>
                <w:bCs w:val="1"/>
                <w:color w:val="002B5F"/>
                <w:w w:val="89"/>
              </w:rPr>
              <w:t>($)</w:t>
            </w:r>
            <w:r>
              <w:rPr>
                <w:rFonts w:ascii="Arial" w:cs="Arial" w:eastAsia="Arial" w:hAnsi="Arial"/>
                <w:sz w:val="19"/>
                <w:szCs w:val="19"/>
                <w:b w:val="1"/>
                <w:bCs w:val="1"/>
                <w:color w:val="002B5F"/>
                <w:w w:val="89"/>
                <w:vertAlign w:val="superscript"/>
              </w:rPr>
              <w:t>(2)</w:t>
            </w:r>
          </w:p>
        </w:tc>
        <w:tc>
          <w:tcPr>
            <w:tcW w:w="1060" w:type="dxa"/>
            <w:vAlign w:val="bottom"/>
            <w:tcBorders>
              <w:bottom w:val="single" w:sz="8" w:color="002B5F"/>
            </w:tcBorders>
          </w:tcPr>
          <w:p>
            <w:pPr>
              <w:jc w:val="center"/>
              <w:spacing w:after="0" w:line="192" w:lineRule="exact"/>
              <w:rPr>
                <w:sz w:val="20"/>
                <w:szCs w:val="20"/>
                <w:color w:val="auto"/>
              </w:rPr>
            </w:pPr>
            <w:r>
              <w:rPr>
                <w:rFonts w:ascii="Arial" w:cs="Arial" w:eastAsia="Arial" w:hAnsi="Arial"/>
                <w:sz w:val="13"/>
                <w:szCs w:val="13"/>
                <w:b w:val="1"/>
                <w:bCs w:val="1"/>
                <w:color w:val="002B5F"/>
                <w:w w:val="82"/>
              </w:rPr>
              <w:t>($)</w:t>
            </w:r>
            <w:r>
              <w:rPr>
                <w:rFonts w:ascii="Arial" w:cs="Arial" w:eastAsia="Arial" w:hAnsi="Arial"/>
                <w:sz w:val="19"/>
                <w:szCs w:val="19"/>
                <w:b w:val="1"/>
                <w:bCs w:val="1"/>
                <w:color w:val="002B5F"/>
                <w:w w:val="82"/>
                <w:vertAlign w:val="superscript"/>
              </w:rPr>
              <w:t>(3)</w:t>
            </w:r>
          </w:p>
        </w:tc>
        <w:tc>
          <w:tcPr>
            <w:tcW w:w="800" w:type="dxa"/>
            <w:vAlign w:val="bottom"/>
            <w:tcBorders>
              <w:bottom w:val="single" w:sz="8" w:color="002B5F"/>
            </w:tcBorders>
          </w:tcPr>
          <w:p>
            <w:pPr>
              <w:jc w:val="right"/>
              <w:ind w:right="253"/>
              <w:spacing w:after="0"/>
              <w:rPr>
                <w:sz w:val="20"/>
                <w:szCs w:val="20"/>
                <w:color w:val="auto"/>
              </w:rPr>
            </w:pPr>
            <w:r>
              <w:rPr>
                <w:rFonts w:ascii="Arial" w:cs="Arial" w:eastAsia="Arial" w:hAnsi="Arial"/>
                <w:sz w:val="13"/>
                <w:szCs w:val="13"/>
                <w:b w:val="1"/>
                <w:bCs w:val="1"/>
                <w:color w:val="002B5F"/>
              </w:rPr>
              <w:t>($)</w:t>
            </w:r>
          </w:p>
        </w:tc>
        <w:tc>
          <w:tcPr>
            <w:tcW w:w="0" w:type="dxa"/>
            <w:vAlign w:val="bottom"/>
          </w:tcPr>
          <w:p>
            <w:pPr>
              <w:spacing w:after="0"/>
              <w:rPr>
                <w:sz w:val="1"/>
                <w:szCs w:val="1"/>
                <w:color w:val="auto"/>
              </w:rPr>
            </w:pPr>
          </w:p>
        </w:tc>
      </w:tr>
      <w:tr>
        <w:trPr>
          <w:trHeight w:val="235"/>
        </w:trPr>
        <w:tc>
          <w:tcPr>
            <w:tcW w:w="2780" w:type="dxa"/>
            <w:vAlign w:val="bottom"/>
            <w:vMerge w:val="restart"/>
            <w:shd w:val="clear" w:color="auto" w:fill="F7F1EC"/>
          </w:tcPr>
          <w:p>
            <w:pPr>
              <w:ind w:left="60"/>
              <w:spacing w:after="0"/>
              <w:rPr>
                <w:sz w:val="20"/>
                <w:szCs w:val="20"/>
                <w:color w:val="auto"/>
              </w:rPr>
            </w:pPr>
            <w:r>
              <w:rPr>
                <w:rFonts w:ascii="Arial" w:cs="Arial" w:eastAsia="Arial" w:hAnsi="Arial"/>
                <w:sz w:val="14"/>
                <w:szCs w:val="14"/>
                <w:b w:val="1"/>
                <w:bCs w:val="1"/>
                <w:color w:val="B95827"/>
              </w:rPr>
              <w:t>Richard Steinmeier</w:t>
            </w:r>
          </w:p>
        </w:tc>
        <w:tc>
          <w:tcPr>
            <w:tcW w:w="600" w:type="dxa"/>
            <w:vAlign w:val="bottom"/>
            <w:gridSpan w:val="2"/>
            <w:shd w:val="clear" w:color="auto" w:fill="F7F1EC"/>
          </w:tcPr>
          <w:p>
            <w:pPr>
              <w:ind w:left="200"/>
              <w:spacing w:after="0"/>
              <w:rPr>
                <w:sz w:val="20"/>
                <w:szCs w:val="20"/>
                <w:color w:val="auto"/>
              </w:rPr>
            </w:pPr>
            <w:r>
              <w:rPr>
                <w:rFonts w:ascii="Arial" w:cs="Arial" w:eastAsia="Arial" w:hAnsi="Arial"/>
                <w:sz w:val="14"/>
                <w:szCs w:val="14"/>
                <w:color w:val="auto"/>
              </w:rPr>
              <w:t>2025</w:t>
            </w:r>
          </w:p>
        </w:tc>
        <w:tc>
          <w:tcPr>
            <w:tcW w:w="840" w:type="dxa"/>
            <w:vAlign w:val="bottom"/>
            <w:shd w:val="clear" w:color="auto" w:fill="F7F1EC"/>
          </w:tcPr>
          <w:p>
            <w:pPr>
              <w:ind w:left="120"/>
              <w:spacing w:after="0"/>
              <w:rPr>
                <w:sz w:val="20"/>
                <w:szCs w:val="20"/>
                <w:color w:val="auto"/>
              </w:rPr>
            </w:pPr>
            <w:r>
              <w:rPr>
                <w:rFonts w:ascii="Arial" w:cs="Arial" w:eastAsia="Arial" w:hAnsi="Arial"/>
                <w:sz w:val="14"/>
                <w:szCs w:val="14"/>
                <w:color w:val="auto"/>
              </w:rPr>
              <w:t>900,000</w:t>
            </w:r>
          </w:p>
        </w:tc>
        <w:tc>
          <w:tcPr>
            <w:tcW w:w="880" w:type="dxa"/>
            <w:vAlign w:val="bottom"/>
            <w:shd w:val="clear" w:color="auto" w:fill="F7F1EC"/>
          </w:tcPr>
          <w:p>
            <w:pPr>
              <w:jc w:val="right"/>
              <w:spacing w:after="0"/>
              <w:rPr>
                <w:sz w:val="20"/>
                <w:szCs w:val="20"/>
                <w:color w:val="auto"/>
              </w:rPr>
            </w:pPr>
            <w:r>
              <w:rPr>
                <w:rFonts w:ascii="Arial" w:cs="Arial" w:eastAsia="Arial" w:hAnsi="Arial"/>
                <w:sz w:val="14"/>
                <w:szCs w:val="14"/>
                <w:color w:val="auto"/>
              </w:rPr>
              <w:t>10,045,542</w:t>
            </w:r>
          </w:p>
        </w:tc>
        <w:tc>
          <w:tcPr>
            <w:tcW w:w="1000" w:type="dxa"/>
            <w:vAlign w:val="bottom"/>
            <w:shd w:val="clear" w:color="auto" w:fill="F7F1EC"/>
          </w:tcPr>
          <w:p>
            <w:pPr>
              <w:jc w:val="right"/>
              <w:spacing w:after="0"/>
              <w:rPr>
                <w:sz w:val="20"/>
                <w:szCs w:val="20"/>
                <w:color w:val="auto"/>
              </w:rPr>
            </w:pPr>
            <w:r>
              <w:rPr>
                <w:rFonts w:ascii="Arial" w:cs="Arial" w:eastAsia="Arial" w:hAnsi="Arial"/>
                <w:sz w:val="14"/>
                <w:szCs w:val="14"/>
                <w:color w:val="auto"/>
              </w:rPr>
              <w:t>3,591,000</w:t>
            </w:r>
          </w:p>
        </w:tc>
        <w:tc>
          <w:tcPr>
            <w:tcW w:w="1060" w:type="dxa"/>
            <w:vAlign w:val="bottom"/>
            <w:shd w:val="clear" w:color="auto" w:fill="F7F1EC"/>
          </w:tcPr>
          <w:p>
            <w:pPr>
              <w:jc w:val="right"/>
              <w:ind w:right="113"/>
              <w:spacing w:after="0"/>
              <w:rPr>
                <w:sz w:val="20"/>
                <w:szCs w:val="20"/>
                <w:color w:val="auto"/>
              </w:rPr>
            </w:pPr>
            <w:r>
              <w:rPr>
                <w:rFonts w:ascii="Arial" w:cs="Arial" w:eastAsia="Arial" w:hAnsi="Arial"/>
                <w:sz w:val="14"/>
                <w:szCs w:val="14"/>
                <w:color w:val="auto"/>
              </w:rPr>
              <w:t>37,954</w:t>
            </w:r>
          </w:p>
        </w:tc>
        <w:tc>
          <w:tcPr>
            <w:tcW w:w="800" w:type="dxa"/>
            <w:vAlign w:val="bottom"/>
            <w:shd w:val="clear" w:color="auto" w:fill="F7F1EC"/>
          </w:tcPr>
          <w:p>
            <w:pPr>
              <w:jc w:val="right"/>
              <w:spacing w:after="0"/>
              <w:rPr>
                <w:sz w:val="20"/>
                <w:szCs w:val="20"/>
                <w:color w:val="auto"/>
              </w:rPr>
            </w:pPr>
            <w:r>
              <w:rPr>
                <w:rFonts w:ascii="Arial" w:cs="Arial" w:eastAsia="Arial" w:hAnsi="Arial"/>
                <w:sz w:val="14"/>
                <w:szCs w:val="14"/>
                <w:color w:val="auto"/>
              </w:rPr>
              <w:t>14,574,496</w:t>
            </w:r>
          </w:p>
        </w:tc>
        <w:tc>
          <w:tcPr>
            <w:tcW w:w="0" w:type="dxa"/>
            <w:vAlign w:val="bottom"/>
          </w:tcPr>
          <w:p>
            <w:pPr>
              <w:spacing w:after="0"/>
              <w:rPr>
                <w:sz w:val="1"/>
                <w:szCs w:val="1"/>
                <w:color w:val="auto"/>
              </w:rPr>
            </w:pPr>
          </w:p>
        </w:tc>
      </w:tr>
      <w:tr>
        <w:trPr>
          <w:trHeight w:val="89"/>
        </w:trPr>
        <w:tc>
          <w:tcPr>
            <w:tcW w:w="2780" w:type="dxa"/>
            <w:vAlign w:val="bottom"/>
            <w:vMerge w:val="continue"/>
            <w:shd w:val="clear" w:color="auto" w:fill="F7F1EC"/>
          </w:tcPr>
          <w:p>
            <w:pPr>
              <w:spacing w:after="0"/>
              <w:rPr>
                <w:sz w:val="7"/>
                <w:szCs w:val="7"/>
                <w:color w:val="auto"/>
              </w:rPr>
            </w:pPr>
          </w:p>
        </w:tc>
        <w:tc>
          <w:tcPr>
            <w:tcW w:w="160" w:type="dxa"/>
            <w:vAlign w:val="bottom"/>
            <w:shd w:val="clear" w:color="auto" w:fill="F7F1EC"/>
          </w:tcPr>
          <w:p>
            <w:pPr>
              <w:spacing w:after="0"/>
              <w:rPr>
                <w:sz w:val="7"/>
                <w:szCs w:val="7"/>
                <w:color w:val="auto"/>
              </w:rPr>
            </w:pPr>
          </w:p>
        </w:tc>
        <w:tc>
          <w:tcPr>
            <w:tcW w:w="440" w:type="dxa"/>
            <w:vAlign w:val="bottom"/>
            <w:vMerge w:val="restart"/>
            <w:shd w:val="clear" w:color="auto" w:fill="F7F1EC"/>
          </w:tcPr>
          <w:p>
            <w:pPr>
              <w:ind w:left="40"/>
              <w:spacing w:after="0"/>
              <w:rPr>
                <w:sz w:val="20"/>
                <w:szCs w:val="20"/>
                <w:color w:val="auto"/>
              </w:rPr>
            </w:pPr>
            <w:r>
              <w:rPr>
                <w:rFonts w:ascii="Arial" w:cs="Arial" w:eastAsia="Arial" w:hAnsi="Arial"/>
                <w:sz w:val="14"/>
                <w:szCs w:val="14"/>
                <w:color w:val="auto"/>
              </w:rPr>
              <w:t>2024</w:t>
            </w:r>
          </w:p>
        </w:tc>
        <w:tc>
          <w:tcPr>
            <w:tcW w:w="840" w:type="dxa"/>
            <w:vAlign w:val="bottom"/>
            <w:vMerge w:val="restart"/>
            <w:shd w:val="clear" w:color="auto" w:fill="F7F1EC"/>
          </w:tcPr>
          <w:p>
            <w:pPr>
              <w:ind w:left="120"/>
              <w:spacing w:after="0"/>
              <w:rPr>
                <w:sz w:val="20"/>
                <w:szCs w:val="20"/>
                <w:color w:val="auto"/>
              </w:rPr>
            </w:pPr>
            <w:r>
              <w:rPr>
                <w:rFonts w:ascii="Arial" w:cs="Arial" w:eastAsia="Arial" w:hAnsi="Arial"/>
                <w:sz w:val="14"/>
                <w:szCs w:val="14"/>
                <w:color w:val="auto"/>
              </w:rPr>
              <w:t>663,461</w:t>
            </w:r>
          </w:p>
        </w:tc>
        <w:tc>
          <w:tcPr>
            <w:tcW w:w="880" w:type="dxa"/>
            <w:vAlign w:val="bottom"/>
            <w:vMerge w:val="restart"/>
            <w:shd w:val="clear" w:color="auto" w:fill="F7F1EC"/>
          </w:tcPr>
          <w:p>
            <w:pPr>
              <w:jc w:val="right"/>
              <w:spacing w:after="0"/>
              <w:rPr>
                <w:sz w:val="20"/>
                <w:szCs w:val="20"/>
                <w:color w:val="auto"/>
              </w:rPr>
            </w:pPr>
            <w:r>
              <w:rPr>
                <w:rFonts w:ascii="Arial" w:cs="Arial" w:eastAsia="Arial" w:hAnsi="Arial"/>
                <w:sz w:val="14"/>
                <w:szCs w:val="14"/>
                <w:color w:val="auto"/>
              </w:rPr>
              <w:t>2,022,617</w:t>
            </w:r>
          </w:p>
        </w:tc>
        <w:tc>
          <w:tcPr>
            <w:tcW w:w="1000" w:type="dxa"/>
            <w:vAlign w:val="bottom"/>
            <w:vMerge w:val="restart"/>
            <w:shd w:val="clear" w:color="auto" w:fill="F7F1EC"/>
          </w:tcPr>
          <w:p>
            <w:pPr>
              <w:jc w:val="right"/>
              <w:spacing w:after="0"/>
              <w:rPr>
                <w:sz w:val="20"/>
                <w:szCs w:val="20"/>
                <w:color w:val="auto"/>
              </w:rPr>
            </w:pPr>
            <w:r>
              <w:rPr>
                <w:rFonts w:ascii="Arial" w:cs="Arial" w:eastAsia="Arial" w:hAnsi="Arial"/>
                <w:sz w:val="14"/>
                <w:szCs w:val="14"/>
                <w:color w:val="auto"/>
              </w:rPr>
              <w:t>2,000,000</w:t>
            </w:r>
          </w:p>
        </w:tc>
        <w:tc>
          <w:tcPr>
            <w:tcW w:w="1060" w:type="dxa"/>
            <w:vAlign w:val="bottom"/>
            <w:vMerge w:val="restart"/>
            <w:shd w:val="clear" w:color="auto" w:fill="F7F1EC"/>
          </w:tcPr>
          <w:p>
            <w:pPr>
              <w:jc w:val="right"/>
              <w:ind w:right="113"/>
              <w:spacing w:after="0"/>
              <w:rPr>
                <w:sz w:val="20"/>
                <w:szCs w:val="20"/>
                <w:color w:val="auto"/>
              </w:rPr>
            </w:pPr>
            <w:r>
              <w:rPr>
                <w:rFonts w:ascii="Arial" w:cs="Arial" w:eastAsia="Arial" w:hAnsi="Arial"/>
                <w:sz w:val="14"/>
                <w:szCs w:val="14"/>
                <w:color w:val="auto"/>
              </w:rPr>
              <w:t>31,805</w:t>
            </w:r>
          </w:p>
        </w:tc>
        <w:tc>
          <w:tcPr>
            <w:tcW w:w="800" w:type="dxa"/>
            <w:vAlign w:val="bottom"/>
            <w:vMerge w:val="restart"/>
            <w:shd w:val="clear" w:color="auto" w:fill="F7F1EC"/>
          </w:tcPr>
          <w:p>
            <w:pPr>
              <w:jc w:val="right"/>
              <w:spacing w:after="0"/>
              <w:rPr>
                <w:sz w:val="20"/>
                <w:szCs w:val="20"/>
                <w:color w:val="auto"/>
              </w:rPr>
            </w:pPr>
            <w:r>
              <w:rPr>
                <w:rFonts w:ascii="Arial" w:cs="Arial" w:eastAsia="Arial" w:hAnsi="Arial"/>
                <w:sz w:val="14"/>
                <w:szCs w:val="14"/>
                <w:color w:val="auto"/>
              </w:rPr>
              <w:t>4,717,883</w:t>
            </w:r>
          </w:p>
        </w:tc>
        <w:tc>
          <w:tcPr>
            <w:tcW w:w="0" w:type="dxa"/>
            <w:vAlign w:val="bottom"/>
          </w:tcPr>
          <w:p>
            <w:pPr>
              <w:spacing w:after="0"/>
              <w:rPr>
                <w:sz w:val="1"/>
                <w:szCs w:val="1"/>
                <w:color w:val="auto"/>
              </w:rPr>
            </w:pPr>
          </w:p>
        </w:tc>
      </w:tr>
      <w:tr>
        <w:trPr>
          <w:trHeight w:val="115"/>
        </w:trPr>
        <w:tc>
          <w:tcPr>
            <w:tcW w:w="2780" w:type="dxa"/>
            <w:vAlign w:val="bottom"/>
            <w:vMerge w:val="restart"/>
            <w:shd w:val="clear" w:color="auto" w:fill="F7F1EC"/>
          </w:tcPr>
          <w:p>
            <w:pPr>
              <w:ind w:left="60"/>
              <w:spacing w:after="0" w:line="148" w:lineRule="exact"/>
              <w:rPr>
                <w:sz w:val="20"/>
                <w:szCs w:val="20"/>
                <w:color w:val="auto"/>
              </w:rPr>
            </w:pPr>
            <w:r>
              <w:rPr>
                <w:rFonts w:ascii="Arial" w:cs="Arial" w:eastAsia="Arial" w:hAnsi="Arial"/>
                <w:sz w:val="14"/>
                <w:szCs w:val="14"/>
                <w:color w:val="auto"/>
              </w:rPr>
              <w:t>Chief Executive Officer</w:t>
            </w:r>
          </w:p>
        </w:tc>
        <w:tc>
          <w:tcPr>
            <w:tcW w:w="160" w:type="dxa"/>
            <w:vAlign w:val="bottom"/>
            <w:shd w:val="clear" w:color="auto" w:fill="F7F1EC"/>
          </w:tcPr>
          <w:p>
            <w:pPr>
              <w:spacing w:after="0"/>
              <w:rPr>
                <w:sz w:val="10"/>
                <w:szCs w:val="10"/>
                <w:color w:val="auto"/>
              </w:rPr>
            </w:pPr>
          </w:p>
        </w:tc>
        <w:tc>
          <w:tcPr>
            <w:tcW w:w="440" w:type="dxa"/>
            <w:vAlign w:val="bottom"/>
            <w:vMerge w:val="continue"/>
            <w:shd w:val="clear" w:color="auto" w:fill="F7F1EC"/>
          </w:tcPr>
          <w:p>
            <w:pPr>
              <w:spacing w:after="0"/>
              <w:rPr>
                <w:sz w:val="10"/>
                <w:szCs w:val="10"/>
                <w:color w:val="auto"/>
              </w:rPr>
            </w:pPr>
          </w:p>
        </w:tc>
        <w:tc>
          <w:tcPr>
            <w:tcW w:w="840" w:type="dxa"/>
            <w:vAlign w:val="bottom"/>
            <w:vMerge w:val="continue"/>
            <w:shd w:val="clear" w:color="auto" w:fill="F7F1EC"/>
          </w:tcPr>
          <w:p>
            <w:pPr>
              <w:spacing w:after="0"/>
              <w:rPr>
                <w:sz w:val="10"/>
                <w:szCs w:val="10"/>
                <w:color w:val="auto"/>
              </w:rPr>
            </w:pPr>
          </w:p>
        </w:tc>
        <w:tc>
          <w:tcPr>
            <w:tcW w:w="880" w:type="dxa"/>
            <w:vAlign w:val="bottom"/>
            <w:vMerge w:val="continue"/>
            <w:shd w:val="clear" w:color="auto" w:fill="F7F1EC"/>
          </w:tcPr>
          <w:p>
            <w:pPr>
              <w:spacing w:after="0"/>
              <w:rPr>
                <w:sz w:val="10"/>
                <w:szCs w:val="10"/>
                <w:color w:val="auto"/>
              </w:rPr>
            </w:pPr>
          </w:p>
        </w:tc>
        <w:tc>
          <w:tcPr>
            <w:tcW w:w="1000" w:type="dxa"/>
            <w:vAlign w:val="bottom"/>
            <w:vMerge w:val="continue"/>
            <w:shd w:val="clear" w:color="auto" w:fill="F7F1EC"/>
          </w:tcPr>
          <w:p>
            <w:pPr>
              <w:spacing w:after="0"/>
              <w:rPr>
                <w:sz w:val="10"/>
                <w:szCs w:val="10"/>
                <w:color w:val="auto"/>
              </w:rPr>
            </w:pPr>
          </w:p>
        </w:tc>
        <w:tc>
          <w:tcPr>
            <w:tcW w:w="1060" w:type="dxa"/>
            <w:vAlign w:val="bottom"/>
            <w:vMerge w:val="continue"/>
            <w:shd w:val="clear" w:color="auto" w:fill="F7F1EC"/>
          </w:tcPr>
          <w:p>
            <w:pPr>
              <w:spacing w:after="0"/>
              <w:rPr>
                <w:sz w:val="10"/>
                <w:szCs w:val="10"/>
                <w:color w:val="auto"/>
              </w:rPr>
            </w:pPr>
          </w:p>
        </w:tc>
        <w:tc>
          <w:tcPr>
            <w:tcW w:w="800" w:type="dxa"/>
            <w:vAlign w:val="bottom"/>
            <w:vMerge w:val="continue"/>
            <w:shd w:val="clear" w:color="auto" w:fill="F7F1EC"/>
          </w:tcPr>
          <w:p>
            <w:pPr>
              <w:spacing w:after="0"/>
              <w:rPr>
                <w:sz w:val="10"/>
                <w:szCs w:val="10"/>
                <w:color w:val="auto"/>
              </w:rPr>
            </w:pPr>
          </w:p>
        </w:tc>
        <w:tc>
          <w:tcPr>
            <w:tcW w:w="0" w:type="dxa"/>
            <w:vAlign w:val="bottom"/>
          </w:tcPr>
          <w:p>
            <w:pPr>
              <w:spacing w:after="0"/>
              <w:rPr>
                <w:sz w:val="1"/>
                <w:szCs w:val="1"/>
                <w:color w:val="auto"/>
              </w:rPr>
            </w:pPr>
          </w:p>
        </w:tc>
      </w:tr>
      <w:tr>
        <w:trPr>
          <w:trHeight w:val="33"/>
        </w:trPr>
        <w:tc>
          <w:tcPr>
            <w:tcW w:w="2780" w:type="dxa"/>
            <w:vAlign w:val="bottom"/>
            <w:vMerge w:val="continue"/>
            <w:shd w:val="clear" w:color="auto" w:fill="F7F1EC"/>
          </w:tcPr>
          <w:p>
            <w:pPr>
              <w:spacing w:after="0"/>
              <w:rPr>
                <w:sz w:val="2"/>
                <w:szCs w:val="2"/>
                <w:color w:val="auto"/>
              </w:rPr>
            </w:pPr>
          </w:p>
        </w:tc>
        <w:tc>
          <w:tcPr>
            <w:tcW w:w="160" w:type="dxa"/>
            <w:vAlign w:val="bottom"/>
            <w:shd w:val="clear" w:color="auto" w:fill="F7F1EC"/>
          </w:tcPr>
          <w:p>
            <w:pPr>
              <w:spacing w:after="0"/>
              <w:rPr>
                <w:sz w:val="2"/>
                <w:szCs w:val="2"/>
                <w:color w:val="auto"/>
              </w:rPr>
            </w:pPr>
          </w:p>
        </w:tc>
        <w:tc>
          <w:tcPr>
            <w:tcW w:w="440" w:type="dxa"/>
            <w:vAlign w:val="bottom"/>
            <w:vMerge w:val="restart"/>
            <w:shd w:val="clear" w:color="auto" w:fill="F7F1EC"/>
          </w:tcPr>
          <w:p>
            <w:pPr>
              <w:ind w:left="40"/>
              <w:spacing w:after="0"/>
              <w:rPr>
                <w:sz w:val="20"/>
                <w:szCs w:val="20"/>
                <w:color w:val="auto"/>
              </w:rPr>
            </w:pPr>
            <w:r>
              <w:rPr>
                <w:rFonts w:ascii="Arial" w:cs="Arial" w:eastAsia="Arial" w:hAnsi="Arial"/>
                <w:sz w:val="14"/>
                <w:szCs w:val="14"/>
                <w:color w:val="auto"/>
              </w:rPr>
              <w:t>2023</w:t>
            </w:r>
          </w:p>
        </w:tc>
        <w:tc>
          <w:tcPr>
            <w:tcW w:w="840" w:type="dxa"/>
            <w:vAlign w:val="bottom"/>
            <w:vMerge w:val="restart"/>
            <w:shd w:val="clear" w:color="auto" w:fill="F7F1EC"/>
          </w:tcPr>
          <w:p>
            <w:pPr>
              <w:ind w:left="120"/>
              <w:spacing w:after="0"/>
              <w:rPr>
                <w:sz w:val="20"/>
                <w:szCs w:val="20"/>
                <w:color w:val="auto"/>
              </w:rPr>
            </w:pPr>
            <w:r>
              <w:rPr>
                <w:rFonts w:ascii="Arial" w:cs="Arial" w:eastAsia="Arial" w:hAnsi="Arial"/>
                <w:sz w:val="14"/>
                <w:szCs w:val="14"/>
                <w:color w:val="auto"/>
              </w:rPr>
              <w:t>592,308</w:t>
            </w:r>
          </w:p>
        </w:tc>
        <w:tc>
          <w:tcPr>
            <w:tcW w:w="880" w:type="dxa"/>
            <w:vAlign w:val="bottom"/>
            <w:vMerge w:val="restart"/>
            <w:shd w:val="clear" w:color="auto" w:fill="F7F1EC"/>
          </w:tcPr>
          <w:p>
            <w:pPr>
              <w:jc w:val="right"/>
              <w:spacing w:after="0"/>
              <w:rPr>
                <w:sz w:val="20"/>
                <w:szCs w:val="20"/>
                <w:color w:val="auto"/>
              </w:rPr>
            </w:pPr>
            <w:r>
              <w:rPr>
                <w:rFonts w:ascii="Arial" w:cs="Arial" w:eastAsia="Arial" w:hAnsi="Arial"/>
                <w:sz w:val="14"/>
                <w:szCs w:val="14"/>
                <w:color w:val="auto"/>
              </w:rPr>
              <w:t>1,381,540</w:t>
            </w:r>
          </w:p>
        </w:tc>
        <w:tc>
          <w:tcPr>
            <w:tcW w:w="1000" w:type="dxa"/>
            <w:vAlign w:val="bottom"/>
            <w:vMerge w:val="restart"/>
            <w:shd w:val="clear" w:color="auto" w:fill="F7F1EC"/>
          </w:tcPr>
          <w:p>
            <w:pPr>
              <w:jc w:val="right"/>
              <w:spacing w:after="0"/>
              <w:rPr>
                <w:sz w:val="20"/>
                <w:szCs w:val="20"/>
                <w:color w:val="auto"/>
              </w:rPr>
            </w:pPr>
            <w:r>
              <w:rPr>
                <w:rFonts w:ascii="Arial" w:cs="Arial" w:eastAsia="Arial" w:hAnsi="Arial"/>
                <w:sz w:val="14"/>
                <w:szCs w:val="14"/>
                <w:color w:val="auto"/>
              </w:rPr>
              <w:t>1,675,000</w:t>
            </w:r>
          </w:p>
        </w:tc>
        <w:tc>
          <w:tcPr>
            <w:tcW w:w="1060" w:type="dxa"/>
            <w:vAlign w:val="bottom"/>
            <w:vMerge w:val="restart"/>
            <w:shd w:val="clear" w:color="auto" w:fill="F7F1EC"/>
          </w:tcPr>
          <w:p>
            <w:pPr>
              <w:jc w:val="right"/>
              <w:ind w:right="113"/>
              <w:spacing w:after="0"/>
              <w:rPr>
                <w:sz w:val="20"/>
                <w:szCs w:val="20"/>
                <w:color w:val="auto"/>
              </w:rPr>
            </w:pPr>
            <w:r>
              <w:rPr>
                <w:rFonts w:ascii="Arial" w:cs="Arial" w:eastAsia="Arial" w:hAnsi="Arial"/>
                <w:sz w:val="14"/>
                <w:szCs w:val="14"/>
                <w:color w:val="auto"/>
              </w:rPr>
              <w:t>80,518</w:t>
            </w:r>
          </w:p>
        </w:tc>
        <w:tc>
          <w:tcPr>
            <w:tcW w:w="800" w:type="dxa"/>
            <w:vAlign w:val="bottom"/>
            <w:vMerge w:val="restart"/>
            <w:shd w:val="clear" w:color="auto" w:fill="F7F1EC"/>
          </w:tcPr>
          <w:p>
            <w:pPr>
              <w:jc w:val="right"/>
              <w:spacing w:after="0"/>
              <w:rPr>
                <w:sz w:val="20"/>
                <w:szCs w:val="20"/>
                <w:color w:val="auto"/>
              </w:rPr>
            </w:pPr>
            <w:r>
              <w:rPr>
                <w:rFonts w:ascii="Arial" w:cs="Arial" w:eastAsia="Arial" w:hAnsi="Arial"/>
                <w:sz w:val="14"/>
                <w:szCs w:val="14"/>
                <w:color w:val="auto"/>
              </w:rPr>
              <w:t>3,729,366</w:t>
            </w:r>
          </w:p>
        </w:tc>
        <w:tc>
          <w:tcPr>
            <w:tcW w:w="0" w:type="dxa"/>
            <w:vAlign w:val="bottom"/>
          </w:tcPr>
          <w:p>
            <w:pPr>
              <w:spacing w:after="0" w:line="20" w:lineRule="exact"/>
              <w:rPr>
                <w:sz w:val="1"/>
                <w:szCs w:val="1"/>
                <w:color w:val="auto"/>
              </w:rPr>
            </w:pPr>
          </w:p>
        </w:tc>
      </w:tr>
      <w:tr>
        <w:trPr>
          <w:trHeight w:val="184"/>
        </w:trPr>
        <w:tc>
          <w:tcPr>
            <w:tcW w:w="2780" w:type="dxa"/>
            <w:vAlign w:val="bottom"/>
            <w:tcBorders>
              <w:bottom w:val="single" w:sz="8" w:color="F7F1EC"/>
            </w:tcBorders>
            <w:shd w:val="clear" w:color="auto" w:fill="F7F1EC"/>
          </w:tcPr>
          <w:p>
            <w:pPr>
              <w:spacing w:after="0"/>
              <w:rPr>
                <w:sz w:val="16"/>
                <w:szCs w:val="16"/>
                <w:color w:val="auto"/>
              </w:rPr>
            </w:pPr>
          </w:p>
        </w:tc>
        <w:tc>
          <w:tcPr>
            <w:tcW w:w="160" w:type="dxa"/>
            <w:vAlign w:val="bottom"/>
            <w:tcBorders>
              <w:bottom w:val="single" w:sz="8" w:color="F7F1EC"/>
            </w:tcBorders>
            <w:shd w:val="clear" w:color="auto" w:fill="F7F1EC"/>
          </w:tcPr>
          <w:p>
            <w:pPr>
              <w:spacing w:after="0"/>
              <w:rPr>
                <w:sz w:val="16"/>
                <w:szCs w:val="16"/>
                <w:color w:val="auto"/>
              </w:rPr>
            </w:pPr>
          </w:p>
        </w:tc>
        <w:tc>
          <w:tcPr>
            <w:tcW w:w="440" w:type="dxa"/>
            <w:vAlign w:val="bottom"/>
            <w:tcBorders>
              <w:bottom w:val="single" w:sz="8" w:color="F7F1EC"/>
            </w:tcBorders>
            <w:vMerge w:val="continue"/>
            <w:shd w:val="clear" w:color="auto" w:fill="F7F1EC"/>
          </w:tcPr>
          <w:p>
            <w:pPr>
              <w:spacing w:after="0"/>
              <w:rPr>
                <w:sz w:val="16"/>
                <w:szCs w:val="16"/>
                <w:color w:val="auto"/>
              </w:rPr>
            </w:pPr>
          </w:p>
        </w:tc>
        <w:tc>
          <w:tcPr>
            <w:tcW w:w="840" w:type="dxa"/>
            <w:vAlign w:val="bottom"/>
            <w:tcBorders>
              <w:bottom w:val="single" w:sz="8" w:color="F7F1EC"/>
            </w:tcBorders>
            <w:vMerge w:val="continue"/>
            <w:shd w:val="clear" w:color="auto" w:fill="F7F1EC"/>
          </w:tcPr>
          <w:p>
            <w:pPr>
              <w:spacing w:after="0"/>
              <w:rPr>
                <w:sz w:val="16"/>
                <w:szCs w:val="16"/>
                <w:color w:val="auto"/>
              </w:rPr>
            </w:pPr>
          </w:p>
        </w:tc>
        <w:tc>
          <w:tcPr>
            <w:tcW w:w="880" w:type="dxa"/>
            <w:vAlign w:val="bottom"/>
            <w:tcBorders>
              <w:bottom w:val="single" w:sz="8" w:color="F7F1EC"/>
            </w:tcBorders>
            <w:vMerge w:val="continue"/>
            <w:shd w:val="clear" w:color="auto" w:fill="F7F1EC"/>
          </w:tcPr>
          <w:p>
            <w:pPr>
              <w:spacing w:after="0"/>
              <w:rPr>
                <w:sz w:val="16"/>
                <w:szCs w:val="16"/>
                <w:color w:val="auto"/>
              </w:rPr>
            </w:pPr>
          </w:p>
        </w:tc>
        <w:tc>
          <w:tcPr>
            <w:tcW w:w="1000" w:type="dxa"/>
            <w:vAlign w:val="bottom"/>
            <w:tcBorders>
              <w:bottom w:val="single" w:sz="8" w:color="F7F1EC"/>
            </w:tcBorders>
            <w:vMerge w:val="continue"/>
            <w:shd w:val="clear" w:color="auto" w:fill="F7F1EC"/>
          </w:tcPr>
          <w:p>
            <w:pPr>
              <w:spacing w:after="0"/>
              <w:rPr>
                <w:sz w:val="16"/>
                <w:szCs w:val="16"/>
                <w:color w:val="auto"/>
              </w:rPr>
            </w:pPr>
          </w:p>
        </w:tc>
        <w:tc>
          <w:tcPr>
            <w:tcW w:w="1060" w:type="dxa"/>
            <w:vAlign w:val="bottom"/>
            <w:tcBorders>
              <w:bottom w:val="single" w:sz="8" w:color="F7F1EC"/>
            </w:tcBorders>
            <w:vMerge w:val="continue"/>
            <w:shd w:val="clear" w:color="auto" w:fill="F7F1EC"/>
          </w:tcPr>
          <w:p>
            <w:pPr>
              <w:spacing w:after="0"/>
              <w:rPr>
                <w:sz w:val="16"/>
                <w:szCs w:val="16"/>
                <w:color w:val="auto"/>
              </w:rPr>
            </w:pPr>
          </w:p>
        </w:tc>
        <w:tc>
          <w:tcPr>
            <w:tcW w:w="800" w:type="dxa"/>
            <w:vAlign w:val="bottom"/>
            <w:tcBorders>
              <w:bottom w:val="single" w:sz="8" w:color="F7F1EC"/>
            </w:tcBorders>
            <w:vMerge w:val="continue"/>
            <w:shd w:val="clear" w:color="auto" w:fill="F7F1EC"/>
          </w:tcPr>
          <w:p>
            <w:pPr>
              <w:spacing w:after="0"/>
              <w:rPr>
                <w:sz w:val="16"/>
                <w:szCs w:val="16"/>
                <w:color w:val="auto"/>
              </w:rPr>
            </w:pPr>
          </w:p>
        </w:tc>
        <w:tc>
          <w:tcPr>
            <w:tcW w:w="0" w:type="dxa"/>
            <w:vAlign w:val="bottom"/>
          </w:tcPr>
          <w:p>
            <w:pPr>
              <w:spacing w:after="0"/>
              <w:rPr>
                <w:sz w:val="1"/>
                <w:szCs w:val="1"/>
                <w:color w:val="auto"/>
              </w:rPr>
            </w:pPr>
          </w:p>
        </w:tc>
      </w:tr>
      <w:tr>
        <w:trPr>
          <w:trHeight w:val="248"/>
        </w:trPr>
        <w:tc>
          <w:tcPr>
            <w:tcW w:w="2780" w:type="dxa"/>
            <w:vAlign w:val="bottom"/>
            <w:vMerge w:val="restart"/>
          </w:tcPr>
          <w:p>
            <w:pPr>
              <w:ind w:left="60"/>
              <w:spacing w:after="0"/>
              <w:rPr>
                <w:sz w:val="20"/>
                <w:szCs w:val="20"/>
                <w:color w:val="auto"/>
              </w:rPr>
            </w:pPr>
            <w:r>
              <w:rPr>
                <w:rFonts w:ascii="Arial" w:cs="Arial" w:eastAsia="Arial" w:hAnsi="Arial"/>
                <w:sz w:val="14"/>
                <w:szCs w:val="14"/>
                <w:b w:val="1"/>
                <w:bCs w:val="1"/>
                <w:color w:val="B95827"/>
              </w:rPr>
              <w:t>Matthew Audette</w:t>
            </w:r>
          </w:p>
        </w:tc>
        <w:tc>
          <w:tcPr>
            <w:tcW w:w="600" w:type="dxa"/>
            <w:vAlign w:val="bottom"/>
            <w:gridSpan w:val="2"/>
          </w:tcPr>
          <w:p>
            <w:pPr>
              <w:ind w:left="200"/>
              <w:spacing w:after="0"/>
              <w:rPr>
                <w:sz w:val="20"/>
                <w:szCs w:val="20"/>
                <w:color w:val="auto"/>
              </w:rPr>
            </w:pPr>
            <w:r>
              <w:rPr>
                <w:rFonts w:ascii="Arial" w:cs="Arial" w:eastAsia="Arial" w:hAnsi="Arial"/>
                <w:sz w:val="14"/>
                <w:szCs w:val="14"/>
                <w:color w:val="auto"/>
              </w:rPr>
              <w:t>2025</w:t>
            </w:r>
          </w:p>
        </w:tc>
        <w:tc>
          <w:tcPr>
            <w:tcW w:w="840" w:type="dxa"/>
            <w:vAlign w:val="bottom"/>
          </w:tcPr>
          <w:p>
            <w:pPr>
              <w:ind w:left="120"/>
              <w:spacing w:after="0"/>
              <w:rPr>
                <w:sz w:val="20"/>
                <w:szCs w:val="20"/>
                <w:color w:val="auto"/>
              </w:rPr>
            </w:pPr>
            <w:r>
              <w:rPr>
                <w:rFonts w:ascii="Arial" w:cs="Arial" w:eastAsia="Arial" w:hAnsi="Arial"/>
                <w:sz w:val="14"/>
                <w:szCs w:val="14"/>
                <w:color w:val="auto"/>
              </w:rPr>
              <w:t>750,000</w:t>
            </w:r>
          </w:p>
        </w:tc>
        <w:tc>
          <w:tcPr>
            <w:tcW w:w="880" w:type="dxa"/>
            <w:vAlign w:val="bottom"/>
          </w:tcPr>
          <w:p>
            <w:pPr>
              <w:jc w:val="right"/>
              <w:spacing w:after="0"/>
              <w:rPr>
                <w:sz w:val="20"/>
                <w:szCs w:val="20"/>
                <w:color w:val="auto"/>
              </w:rPr>
            </w:pPr>
            <w:r>
              <w:rPr>
                <w:rFonts w:ascii="Arial" w:cs="Arial" w:eastAsia="Arial" w:hAnsi="Arial"/>
                <w:sz w:val="14"/>
                <w:szCs w:val="14"/>
                <w:color w:val="auto"/>
              </w:rPr>
              <w:t>6,263,070</w:t>
            </w:r>
          </w:p>
        </w:tc>
        <w:tc>
          <w:tcPr>
            <w:tcW w:w="1000" w:type="dxa"/>
            <w:vAlign w:val="bottom"/>
          </w:tcPr>
          <w:p>
            <w:pPr>
              <w:jc w:val="right"/>
              <w:spacing w:after="0"/>
              <w:rPr>
                <w:sz w:val="20"/>
                <w:szCs w:val="20"/>
                <w:color w:val="auto"/>
              </w:rPr>
            </w:pPr>
            <w:r>
              <w:rPr>
                <w:rFonts w:ascii="Arial" w:cs="Arial" w:eastAsia="Arial" w:hAnsi="Arial"/>
                <w:sz w:val="14"/>
                <w:szCs w:val="14"/>
                <w:color w:val="auto"/>
              </w:rPr>
              <w:t>2,500,000</w:t>
            </w:r>
          </w:p>
        </w:tc>
        <w:tc>
          <w:tcPr>
            <w:tcW w:w="1060" w:type="dxa"/>
            <w:vAlign w:val="bottom"/>
          </w:tcPr>
          <w:p>
            <w:pPr>
              <w:jc w:val="right"/>
              <w:ind w:right="113"/>
              <w:spacing w:after="0"/>
              <w:rPr>
                <w:sz w:val="20"/>
                <w:szCs w:val="20"/>
                <w:color w:val="auto"/>
              </w:rPr>
            </w:pPr>
            <w:r>
              <w:rPr>
                <w:rFonts w:ascii="Arial" w:cs="Arial" w:eastAsia="Arial" w:hAnsi="Arial"/>
                <w:sz w:val="14"/>
                <w:szCs w:val="14"/>
                <w:color w:val="auto"/>
              </w:rPr>
              <w:t>513,647</w:t>
            </w:r>
          </w:p>
        </w:tc>
        <w:tc>
          <w:tcPr>
            <w:tcW w:w="800" w:type="dxa"/>
            <w:vAlign w:val="bottom"/>
          </w:tcPr>
          <w:p>
            <w:pPr>
              <w:jc w:val="right"/>
              <w:spacing w:after="0"/>
              <w:rPr>
                <w:sz w:val="20"/>
                <w:szCs w:val="20"/>
                <w:color w:val="auto"/>
              </w:rPr>
            </w:pPr>
            <w:r>
              <w:rPr>
                <w:rFonts w:ascii="Arial" w:cs="Arial" w:eastAsia="Arial" w:hAnsi="Arial"/>
                <w:sz w:val="14"/>
                <w:szCs w:val="14"/>
                <w:color w:val="auto"/>
              </w:rPr>
              <w:t>10,026,717</w:t>
            </w:r>
          </w:p>
        </w:tc>
        <w:tc>
          <w:tcPr>
            <w:tcW w:w="0" w:type="dxa"/>
            <w:vAlign w:val="bottom"/>
          </w:tcPr>
          <w:p>
            <w:pPr>
              <w:spacing w:after="0"/>
              <w:rPr>
                <w:sz w:val="1"/>
                <w:szCs w:val="1"/>
                <w:color w:val="auto"/>
              </w:rPr>
            </w:pPr>
          </w:p>
        </w:tc>
      </w:tr>
      <w:tr>
        <w:trPr>
          <w:trHeight w:val="89"/>
        </w:trPr>
        <w:tc>
          <w:tcPr>
            <w:tcW w:w="2780" w:type="dxa"/>
            <w:vAlign w:val="bottom"/>
            <w:vMerge w:val="continue"/>
          </w:tcPr>
          <w:p>
            <w:pPr>
              <w:spacing w:after="0"/>
              <w:rPr>
                <w:sz w:val="7"/>
                <w:szCs w:val="7"/>
                <w:color w:val="auto"/>
              </w:rPr>
            </w:pPr>
          </w:p>
        </w:tc>
        <w:tc>
          <w:tcPr>
            <w:tcW w:w="600" w:type="dxa"/>
            <w:vAlign w:val="bottom"/>
            <w:gridSpan w:val="2"/>
            <w:vMerge w:val="restart"/>
          </w:tcPr>
          <w:p>
            <w:pPr>
              <w:ind w:left="200"/>
              <w:spacing w:after="0"/>
              <w:rPr>
                <w:sz w:val="20"/>
                <w:szCs w:val="20"/>
                <w:color w:val="auto"/>
              </w:rPr>
            </w:pPr>
            <w:r>
              <w:rPr>
                <w:rFonts w:ascii="Arial" w:cs="Arial" w:eastAsia="Arial" w:hAnsi="Arial"/>
                <w:sz w:val="14"/>
                <w:szCs w:val="14"/>
                <w:color w:val="auto"/>
              </w:rPr>
              <w:t>2024</w:t>
            </w:r>
          </w:p>
        </w:tc>
        <w:tc>
          <w:tcPr>
            <w:tcW w:w="840" w:type="dxa"/>
            <w:vAlign w:val="bottom"/>
            <w:vMerge w:val="restart"/>
          </w:tcPr>
          <w:p>
            <w:pPr>
              <w:ind w:left="120"/>
              <w:spacing w:after="0"/>
              <w:rPr>
                <w:sz w:val="20"/>
                <w:szCs w:val="20"/>
                <w:color w:val="auto"/>
              </w:rPr>
            </w:pPr>
            <w:r>
              <w:rPr>
                <w:rFonts w:ascii="Arial" w:cs="Arial" w:eastAsia="Arial" w:hAnsi="Arial"/>
                <w:sz w:val="14"/>
                <w:szCs w:val="14"/>
                <w:color w:val="auto"/>
              </w:rPr>
              <w:t>648,462</w:t>
            </w: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1,833,037</w:t>
            </w: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1,600,000</w:t>
            </w:r>
          </w:p>
        </w:tc>
        <w:tc>
          <w:tcPr>
            <w:tcW w:w="1060" w:type="dxa"/>
            <w:vAlign w:val="bottom"/>
            <w:vMerge w:val="restart"/>
          </w:tcPr>
          <w:p>
            <w:pPr>
              <w:jc w:val="right"/>
              <w:ind w:right="113"/>
              <w:spacing w:after="0"/>
              <w:rPr>
                <w:sz w:val="20"/>
                <w:szCs w:val="20"/>
                <w:color w:val="auto"/>
              </w:rPr>
            </w:pPr>
            <w:r>
              <w:rPr>
                <w:rFonts w:ascii="Arial" w:cs="Arial" w:eastAsia="Arial" w:hAnsi="Arial"/>
                <w:sz w:val="14"/>
                <w:szCs w:val="14"/>
                <w:color w:val="auto"/>
              </w:rPr>
              <w:t>298,664</w:t>
            </w: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4,380,163</w:t>
            </w:r>
          </w:p>
        </w:tc>
        <w:tc>
          <w:tcPr>
            <w:tcW w:w="0" w:type="dxa"/>
            <w:vAlign w:val="bottom"/>
          </w:tcPr>
          <w:p>
            <w:pPr>
              <w:spacing w:after="0"/>
              <w:rPr>
                <w:sz w:val="1"/>
                <w:szCs w:val="1"/>
                <w:color w:val="auto"/>
              </w:rPr>
            </w:pPr>
          </w:p>
        </w:tc>
      </w:tr>
      <w:tr>
        <w:trPr>
          <w:trHeight w:val="115"/>
        </w:trPr>
        <w:tc>
          <w:tcPr>
            <w:tcW w:w="2780" w:type="dxa"/>
            <w:vAlign w:val="bottom"/>
            <w:vMerge w:val="restart"/>
          </w:tcPr>
          <w:p>
            <w:pPr>
              <w:ind w:left="60"/>
              <w:spacing w:after="0"/>
              <w:rPr>
                <w:sz w:val="20"/>
                <w:szCs w:val="20"/>
                <w:color w:val="auto"/>
              </w:rPr>
            </w:pPr>
            <w:r>
              <w:rPr>
                <w:rFonts w:ascii="Arial" w:cs="Arial" w:eastAsia="Arial" w:hAnsi="Arial"/>
                <w:sz w:val="14"/>
                <w:szCs w:val="14"/>
                <w:color w:val="auto"/>
              </w:rPr>
              <w:t>President and Chief Financial Officer</w:t>
            </w:r>
          </w:p>
        </w:tc>
        <w:tc>
          <w:tcPr>
            <w:tcW w:w="600" w:type="dxa"/>
            <w:vAlign w:val="bottom"/>
            <w:gridSpan w:val="2"/>
            <w:vMerge w:val="continue"/>
          </w:tcPr>
          <w:p>
            <w:pPr>
              <w:spacing w:after="0"/>
              <w:rPr>
                <w:sz w:val="10"/>
                <w:szCs w:val="10"/>
                <w:color w:val="auto"/>
              </w:rPr>
            </w:pPr>
          </w:p>
        </w:tc>
        <w:tc>
          <w:tcPr>
            <w:tcW w:w="840" w:type="dxa"/>
            <w:vAlign w:val="bottom"/>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1060" w:type="dxa"/>
            <w:vAlign w:val="bottom"/>
            <w:vMerge w:val="continue"/>
          </w:tcPr>
          <w:p>
            <w:pPr>
              <w:spacing w:after="0"/>
              <w:rPr>
                <w:sz w:val="10"/>
                <w:szCs w:val="10"/>
                <w:color w:val="auto"/>
              </w:rPr>
            </w:pPr>
          </w:p>
        </w:tc>
        <w:tc>
          <w:tcPr>
            <w:tcW w:w="8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4"/>
        </w:trPr>
        <w:tc>
          <w:tcPr>
            <w:tcW w:w="2780" w:type="dxa"/>
            <w:vAlign w:val="bottom"/>
            <w:vMerge w:val="continue"/>
          </w:tcPr>
          <w:p>
            <w:pPr>
              <w:spacing w:after="0"/>
              <w:rPr>
                <w:sz w:val="5"/>
                <w:szCs w:val="5"/>
                <w:color w:val="auto"/>
              </w:rPr>
            </w:pPr>
          </w:p>
        </w:tc>
        <w:tc>
          <w:tcPr>
            <w:tcW w:w="600" w:type="dxa"/>
            <w:vAlign w:val="bottom"/>
            <w:gridSpan w:val="2"/>
            <w:vMerge w:val="restart"/>
          </w:tcPr>
          <w:p>
            <w:pPr>
              <w:ind w:left="200"/>
              <w:spacing w:after="0"/>
              <w:rPr>
                <w:sz w:val="20"/>
                <w:szCs w:val="20"/>
                <w:color w:val="auto"/>
              </w:rPr>
            </w:pPr>
            <w:r>
              <w:rPr>
                <w:rFonts w:ascii="Arial" w:cs="Arial" w:eastAsia="Arial" w:hAnsi="Arial"/>
                <w:sz w:val="14"/>
                <w:szCs w:val="14"/>
                <w:color w:val="auto"/>
              </w:rPr>
              <w:t>2023</w:t>
            </w:r>
          </w:p>
        </w:tc>
        <w:tc>
          <w:tcPr>
            <w:tcW w:w="840" w:type="dxa"/>
            <w:vAlign w:val="bottom"/>
            <w:vMerge w:val="restart"/>
          </w:tcPr>
          <w:p>
            <w:pPr>
              <w:ind w:left="120"/>
              <w:spacing w:after="0"/>
              <w:rPr>
                <w:sz w:val="20"/>
                <w:szCs w:val="20"/>
                <w:color w:val="auto"/>
              </w:rPr>
            </w:pPr>
            <w:r>
              <w:rPr>
                <w:rFonts w:ascii="Arial" w:cs="Arial" w:eastAsia="Arial" w:hAnsi="Arial"/>
                <w:sz w:val="14"/>
                <w:szCs w:val="14"/>
                <w:color w:val="auto"/>
              </w:rPr>
              <w:t>625,385</w:t>
            </w: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1,319,013</w:t>
            </w: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1,375,000</w:t>
            </w:r>
          </w:p>
        </w:tc>
        <w:tc>
          <w:tcPr>
            <w:tcW w:w="1060" w:type="dxa"/>
            <w:vAlign w:val="bottom"/>
            <w:vMerge w:val="restart"/>
          </w:tcPr>
          <w:p>
            <w:pPr>
              <w:jc w:val="right"/>
              <w:ind w:right="113"/>
              <w:spacing w:after="0"/>
              <w:rPr>
                <w:sz w:val="20"/>
                <w:szCs w:val="20"/>
                <w:color w:val="auto"/>
              </w:rPr>
            </w:pPr>
            <w:r>
              <w:rPr>
                <w:rFonts w:ascii="Arial" w:cs="Arial" w:eastAsia="Arial" w:hAnsi="Arial"/>
                <w:sz w:val="14"/>
                <w:szCs w:val="14"/>
                <w:color w:val="auto"/>
              </w:rPr>
              <w:t>77,280</w:t>
            </w: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3,396,678</w:t>
            </w:r>
          </w:p>
        </w:tc>
        <w:tc>
          <w:tcPr>
            <w:tcW w:w="0" w:type="dxa"/>
            <w:vAlign w:val="bottom"/>
          </w:tcPr>
          <w:p>
            <w:pPr>
              <w:spacing w:after="0"/>
              <w:rPr>
                <w:sz w:val="1"/>
                <w:szCs w:val="1"/>
                <w:color w:val="auto"/>
              </w:rPr>
            </w:pPr>
          </w:p>
        </w:tc>
      </w:tr>
      <w:tr>
        <w:trPr>
          <w:trHeight w:val="140"/>
        </w:trPr>
        <w:tc>
          <w:tcPr>
            <w:tcW w:w="2780" w:type="dxa"/>
            <w:vAlign w:val="bottom"/>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840" w:type="dxa"/>
            <w:vAlign w:val="bottom"/>
            <w:vMerge w:val="continue"/>
          </w:tcPr>
          <w:p>
            <w:pPr>
              <w:spacing w:after="0"/>
              <w:rPr>
                <w:sz w:val="12"/>
                <w:szCs w:val="12"/>
                <w:color w:val="auto"/>
              </w:rPr>
            </w:pPr>
          </w:p>
        </w:tc>
        <w:tc>
          <w:tcPr>
            <w:tcW w:w="880" w:type="dxa"/>
            <w:vAlign w:val="bottom"/>
            <w:vMerge w:val="continue"/>
          </w:tcPr>
          <w:p>
            <w:pPr>
              <w:spacing w:after="0"/>
              <w:rPr>
                <w:sz w:val="12"/>
                <w:szCs w:val="12"/>
                <w:color w:val="auto"/>
              </w:rPr>
            </w:pPr>
          </w:p>
        </w:tc>
        <w:tc>
          <w:tcPr>
            <w:tcW w:w="1000" w:type="dxa"/>
            <w:vAlign w:val="bottom"/>
            <w:vMerge w:val="continue"/>
          </w:tcPr>
          <w:p>
            <w:pPr>
              <w:spacing w:after="0"/>
              <w:rPr>
                <w:sz w:val="12"/>
                <w:szCs w:val="12"/>
                <w:color w:val="auto"/>
              </w:rPr>
            </w:pPr>
          </w:p>
        </w:tc>
        <w:tc>
          <w:tcPr>
            <w:tcW w:w="1060" w:type="dxa"/>
            <w:vAlign w:val="bottom"/>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3"/>
        </w:trPr>
        <w:tc>
          <w:tcPr>
            <w:tcW w:w="2780" w:type="dxa"/>
            <w:vAlign w:val="bottom"/>
          </w:tcPr>
          <w:p>
            <w:pPr>
              <w:spacing w:after="0"/>
              <w:rPr>
                <w:sz w:val="2"/>
                <w:szCs w:val="2"/>
                <w:color w:val="auto"/>
              </w:rPr>
            </w:pPr>
          </w:p>
        </w:tc>
        <w:tc>
          <w:tcPr>
            <w:tcW w:w="600" w:type="dxa"/>
            <w:vAlign w:val="bottom"/>
            <w:gridSpan w:val="2"/>
          </w:tcPr>
          <w:p>
            <w:pPr>
              <w:spacing w:after="0"/>
              <w:rPr>
                <w:sz w:val="2"/>
                <w:szCs w:val="2"/>
                <w:color w:val="auto"/>
              </w:rPr>
            </w:pPr>
          </w:p>
        </w:tc>
        <w:tc>
          <w:tcPr>
            <w:tcW w:w="8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1"/>
        </w:trPr>
        <w:tc>
          <w:tcPr>
            <w:tcW w:w="2780" w:type="dxa"/>
            <w:vAlign w:val="bottom"/>
            <w:shd w:val="clear" w:color="auto" w:fill="F7F1EC"/>
          </w:tcPr>
          <w:p>
            <w:pPr>
              <w:ind w:left="60"/>
              <w:spacing w:after="0"/>
              <w:rPr>
                <w:sz w:val="20"/>
                <w:szCs w:val="20"/>
                <w:color w:val="auto"/>
              </w:rPr>
            </w:pPr>
            <w:r>
              <w:rPr>
                <w:rFonts w:ascii="Arial" w:cs="Arial" w:eastAsia="Arial" w:hAnsi="Arial"/>
                <w:sz w:val="14"/>
                <w:szCs w:val="14"/>
                <w:b w:val="1"/>
                <w:bCs w:val="1"/>
                <w:color w:val="B95827"/>
              </w:rPr>
              <w:t>Matthew Enyedi</w:t>
            </w:r>
          </w:p>
        </w:tc>
        <w:tc>
          <w:tcPr>
            <w:tcW w:w="600" w:type="dxa"/>
            <w:vAlign w:val="bottom"/>
            <w:gridSpan w:val="2"/>
            <w:shd w:val="clear" w:color="auto" w:fill="F7F1EC"/>
          </w:tcPr>
          <w:p>
            <w:pPr>
              <w:ind w:left="200"/>
              <w:spacing w:after="0"/>
              <w:rPr>
                <w:sz w:val="20"/>
                <w:szCs w:val="20"/>
                <w:color w:val="auto"/>
              </w:rPr>
            </w:pPr>
            <w:r>
              <w:rPr>
                <w:rFonts w:ascii="Arial" w:cs="Arial" w:eastAsia="Arial" w:hAnsi="Arial"/>
                <w:sz w:val="14"/>
                <w:szCs w:val="14"/>
                <w:color w:val="auto"/>
              </w:rPr>
              <w:t>2025</w:t>
            </w:r>
          </w:p>
        </w:tc>
        <w:tc>
          <w:tcPr>
            <w:tcW w:w="840" w:type="dxa"/>
            <w:vAlign w:val="bottom"/>
            <w:shd w:val="clear" w:color="auto" w:fill="F7F1EC"/>
          </w:tcPr>
          <w:p>
            <w:pPr>
              <w:ind w:left="120"/>
              <w:spacing w:after="0"/>
              <w:rPr>
                <w:sz w:val="20"/>
                <w:szCs w:val="20"/>
                <w:color w:val="auto"/>
              </w:rPr>
            </w:pPr>
            <w:r>
              <w:rPr>
                <w:rFonts w:ascii="Arial" w:cs="Arial" w:eastAsia="Arial" w:hAnsi="Arial"/>
                <w:sz w:val="14"/>
                <w:szCs w:val="14"/>
                <w:color w:val="auto"/>
              </w:rPr>
              <w:t>588,461</w:t>
            </w:r>
            <w:r>
              <w:rPr>
                <w:rFonts w:ascii="Arial" w:cs="Arial" w:eastAsia="Arial" w:hAnsi="Arial"/>
                <w:sz w:val="20"/>
                <w:szCs w:val="20"/>
                <w:color w:val="auto"/>
                <w:vertAlign w:val="superscript"/>
              </w:rPr>
              <w:t>(4)</w:t>
            </w:r>
          </w:p>
        </w:tc>
        <w:tc>
          <w:tcPr>
            <w:tcW w:w="880" w:type="dxa"/>
            <w:vAlign w:val="bottom"/>
            <w:shd w:val="clear" w:color="auto" w:fill="F7F1EC"/>
          </w:tcPr>
          <w:p>
            <w:pPr>
              <w:jc w:val="right"/>
              <w:spacing w:after="0"/>
              <w:rPr>
                <w:sz w:val="20"/>
                <w:szCs w:val="20"/>
                <w:color w:val="auto"/>
              </w:rPr>
            </w:pPr>
            <w:r>
              <w:rPr>
                <w:rFonts w:ascii="Arial" w:cs="Arial" w:eastAsia="Arial" w:hAnsi="Arial"/>
                <w:sz w:val="14"/>
                <w:szCs w:val="14"/>
                <w:color w:val="auto"/>
              </w:rPr>
              <w:t>1,747,340</w:t>
            </w:r>
          </w:p>
        </w:tc>
        <w:tc>
          <w:tcPr>
            <w:tcW w:w="1000" w:type="dxa"/>
            <w:vAlign w:val="bottom"/>
            <w:shd w:val="clear" w:color="auto" w:fill="F7F1EC"/>
          </w:tcPr>
          <w:p>
            <w:pPr>
              <w:jc w:val="right"/>
              <w:spacing w:after="0"/>
              <w:rPr>
                <w:sz w:val="20"/>
                <w:szCs w:val="20"/>
                <w:color w:val="auto"/>
              </w:rPr>
            </w:pPr>
            <w:r>
              <w:rPr>
                <w:rFonts w:ascii="Arial" w:cs="Arial" w:eastAsia="Arial" w:hAnsi="Arial"/>
                <w:sz w:val="14"/>
                <w:szCs w:val="14"/>
                <w:color w:val="auto"/>
              </w:rPr>
              <w:t>1,275,000</w:t>
            </w:r>
          </w:p>
        </w:tc>
        <w:tc>
          <w:tcPr>
            <w:tcW w:w="1060" w:type="dxa"/>
            <w:vAlign w:val="bottom"/>
            <w:shd w:val="clear" w:color="auto" w:fill="F7F1EC"/>
          </w:tcPr>
          <w:p>
            <w:pPr>
              <w:jc w:val="right"/>
              <w:ind w:right="113"/>
              <w:spacing w:after="0"/>
              <w:rPr>
                <w:sz w:val="20"/>
                <w:szCs w:val="20"/>
                <w:color w:val="auto"/>
              </w:rPr>
            </w:pPr>
            <w:r>
              <w:rPr>
                <w:rFonts w:ascii="Arial" w:cs="Arial" w:eastAsia="Arial" w:hAnsi="Arial"/>
                <w:sz w:val="14"/>
                <w:szCs w:val="14"/>
                <w:color w:val="auto"/>
              </w:rPr>
              <w:t>24,200</w:t>
            </w:r>
          </w:p>
        </w:tc>
        <w:tc>
          <w:tcPr>
            <w:tcW w:w="800" w:type="dxa"/>
            <w:vAlign w:val="bottom"/>
            <w:shd w:val="clear" w:color="auto" w:fill="F7F1EC"/>
          </w:tcPr>
          <w:p>
            <w:pPr>
              <w:jc w:val="right"/>
              <w:spacing w:after="0"/>
              <w:rPr>
                <w:sz w:val="20"/>
                <w:szCs w:val="20"/>
                <w:color w:val="auto"/>
              </w:rPr>
            </w:pPr>
            <w:r>
              <w:rPr>
                <w:rFonts w:ascii="Arial" w:cs="Arial" w:eastAsia="Arial" w:hAnsi="Arial"/>
                <w:sz w:val="14"/>
                <w:szCs w:val="14"/>
                <w:color w:val="auto"/>
              </w:rPr>
              <w:t>3,635,001</w:t>
            </w:r>
          </w:p>
        </w:tc>
        <w:tc>
          <w:tcPr>
            <w:tcW w:w="0" w:type="dxa"/>
            <w:vAlign w:val="bottom"/>
          </w:tcPr>
          <w:p>
            <w:pPr>
              <w:spacing w:after="0"/>
              <w:rPr>
                <w:sz w:val="1"/>
                <w:szCs w:val="1"/>
                <w:color w:val="auto"/>
              </w:rPr>
            </w:pPr>
          </w:p>
        </w:tc>
      </w:tr>
      <w:tr>
        <w:trPr>
          <w:trHeight w:val="153"/>
        </w:trPr>
        <w:tc>
          <w:tcPr>
            <w:tcW w:w="2780" w:type="dxa"/>
            <w:vAlign w:val="bottom"/>
            <w:shd w:val="clear" w:color="auto" w:fill="F7F1EC"/>
          </w:tcPr>
          <w:p>
            <w:pPr>
              <w:ind w:left="60"/>
              <w:spacing w:after="0" w:line="153" w:lineRule="exact"/>
              <w:rPr>
                <w:sz w:val="20"/>
                <w:szCs w:val="20"/>
                <w:color w:val="auto"/>
              </w:rPr>
            </w:pPr>
            <w:r>
              <w:rPr>
                <w:rFonts w:ascii="Arial" w:cs="Arial" w:eastAsia="Arial" w:hAnsi="Arial"/>
                <w:sz w:val="14"/>
                <w:szCs w:val="14"/>
                <w:color w:val="auto"/>
              </w:rPr>
              <w:t>Group Managing Director, Chief Client</w:t>
            </w:r>
          </w:p>
        </w:tc>
        <w:tc>
          <w:tcPr>
            <w:tcW w:w="160" w:type="dxa"/>
            <w:vAlign w:val="bottom"/>
            <w:shd w:val="clear" w:color="auto" w:fill="F7F1EC"/>
          </w:tcPr>
          <w:p>
            <w:pPr>
              <w:spacing w:after="0"/>
              <w:rPr>
                <w:sz w:val="13"/>
                <w:szCs w:val="13"/>
                <w:color w:val="auto"/>
              </w:rPr>
            </w:pPr>
          </w:p>
        </w:tc>
        <w:tc>
          <w:tcPr>
            <w:tcW w:w="440" w:type="dxa"/>
            <w:vAlign w:val="bottom"/>
            <w:shd w:val="clear" w:color="auto" w:fill="F7F1EC"/>
          </w:tcPr>
          <w:p>
            <w:pPr>
              <w:ind w:left="40"/>
              <w:spacing w:after="0" w:line="153" w:lineRule="exact"/>
              <w:rPr>
                <w:sz w:val="20"/>
                <w:szCs w:val="20"/>
                <w:color w:val="auto"/>
              </w:rPr>
            </w:pPr>
            <w:r>
              <w:rPr>
                <w:rFonts w:ascii="Arial" w:cs="Arial" w:eastAsia="Arial" w:hAnsi="Arial"/>
                <w:sz w:val="14"/>
                <w:szCs w:val="14"/>
                <w:color w:val="auto"/>
              </w:rPr>
              <w:t>2024</w:t>
            </w:r>
          </w:p>
        </w:tc>
        <w:tc>
          <w:tcPr>
            <w:tcW w:w="840" w:type="dxa"/>
            <w:vAlign w:val="bottom"/>
            <w:shd w:val="clear" w:color="auto" w:fill="F7F1EC"/>
          </w:tcPr>
          <w:p>
            <w:pPr>
              <w:ind w:left="120"/>
              <w:spacing w:after="0" w:line="153" w:lineRule="exact"/>
              <w:rPr>
                <w:sz w:val="20"/>
                <w:szCs w:val="20"/>
                <w:color w:val="auto"/>
              </w:rPr>
            </w:pPr>
            <w:r>
              <w:rPr>
                <w:rFonts w:ascii="Arial" w:cs="Arial" w:eastAsia="Arial" w:hAnsi="Arial"/>
                <w:sz w:val="14"/>
                <w:szCs w:val="14"/>
                <w:color w:val="auto"/>
              </w:rPr>
              <w:t>521,154</w:t>
            </w:r>
          </w:p>
        </w:tc>
        <w:tc>
          <w:tcPr>
            <w:tcW w:w="880" w:type="dxa"/>
            <w:vAlign w:val="bottom"/>
            <w:shd w:val="clear" w:color="auto" w:fill="F7F1EC"/>
          </w:tcPr>
          <w:p>
            <w:pPr>
              <w:jc w:val="right"/>
              <w:spacing w:after="0" w:line="153" w:lineRule="exact"/>
              <w:rPr>
                <w:sz w:val="20"/>
                <w:szCs w:val="20"/>
                <w:color w:val="auto"/>
              </w:rPr>
            </w:pPr>
            <w:r>
              <w:rPr>
                <w:rFonts w:ascii="Arial" w:cs="Arial" w:eastAsia="Arial" w:hAnsi="Arial"/>
                <w:sz w:val="14"/>
                <w:szCs w:val="14"/>
                <w:color w:val="auto"/>
              </w:rPr>
              <w:t>1,390,166</w:t>
            </w:r>
          </w:p>
        </w:tc>
        <w:tc>
          <w:tcPr>
            <w:tcW w:w="1000" w:type="dxa"/>
            <w:vAlign w:val="bottom"/>
            <w:shd w:val="clear" w:color="auto" w:fill="F7F1EC"/>
          </w:tcPr>
          <w:p>
            <w:pPr>
              <w:jc w:val="right"/>
              <w:spacing w:after="0" w:line="153" w:lineRule="exact"/>
              <w:rPr>
                <w:sz w:val="20"/>
                <w:szCs w:val="20"/>
                <w:color w:val="auto"/>
              </w:rPr>
            </w:pPr>
            <w:r>
              <w:rPr>
                <w:rFonts w:ascii="Arial" w:cs="Arial" w:eastAsia="Arial" w:hAnsi="Arial"/>
                <w:sz w:val="14"/>
                <w:szCs w:val="14"/>
                <w:color w:val="auto"/>
              </w:rPr>
              <w:t>955,000</w:t>
            </w:r>
          </w:p>
        </w:tc>
        <w:tc>
          <w:tcPr>
            <w:tcW w:w="1060" w:type="dxa"/>
            <w:vAlign w:val="bottom"/>
            <w:shd w:val="clear" w:color="auto" w:fill="F7F1EC"/>
          </w:tcPr>
          <w:p>
            <w:pPr>
              <w:jc w:val="right"/>
              <w:ind w:right="113"/>
              <w:spacing w:after="0" w:line="153" w:lineRule="exact"/>
              <w:rPr>
                <w:sz w:val="20"/>
                <w:szCs w:val="20"/>
                <w:color w:val="auto"/>
              </w:rPr>
            </w:pPr>
            <w:r>
              <w:rPr>
                <w:rFonts w:ascii="Arial" w:cs="Arial" w:eastAsia="Arial" w:hAnsi="Arial"/>
                <w:sz w:val="14"/>
                <w:szCs w:val="14"/>
                <w:color w:val="auto"/>
              </w:rPr>
              <w:t>34,250</w:t>
            </w:r>
          </w:p>
        </w:tc>
        <w:tc>
          <w:tcPr>
            <w:tcW w:w="800" w:type="dxa"/>
            <w:vAlign w:val="bottom"/>
            <w:shd w:val="clear" w:color="auto" w:fill="F7F1EC"/>
          </w:tcPr>
          <w:p>
            <w:pPr>
              <w:jc w:val="right"/>
              <w:spacing w:after="0" w:line="153" w:lineRule="exact"/>
              <w:rPr>
                <w:sz w:val="20"/>
                <w:szCs w:val="20"/>
                <w:color w:val="auto"/>
              </w:rPr>
            </w:pPr>
            <w:r>
              <w:rPr>
                <w:rFonts w:ascii="Arial" w:cs="Arial" w:eastAsia="Arial" w:hAnsi="Arial"/>
                <w:sz w:val="14"/>
                <w:szCs w:val="14"/>
                <w:color w:val="auto"/>
              </w:rPr>
              <w:t>2,900,570</w:t>
            </w:r>
          </w:p>
        </w:tc>
        <w:tc>
          <w:tcPr>
            <w:tcW w:w="0" w:type="dxa"/>
            <w:vAlign w:val="bottom"/>
          </w:tcPr>
          <w:p>
            <w:pPr>
              <w:spacing w:after="0"/>
              <w:rPr>
                <w:sz w:val="1"/>
                <w:szCs w:val="1"/>
                <w:color w:val="auto"/>
              </w:rPr>
            </w:pPr>
          </w:p>
        </w:tc>
      </w:tr>
      <w:tr>
        <w:trPr>
          <w:trHeight w:val="179"/>
        </w:trPr>
        <w:tc>
          <w:tcPr>
            <w:tcW w:w="2780" w:type="dxa"/>
            <w:vAlign w:val="bottom"/>
            <w:shd w:val="clear" w:color="auto" w:fill="F7F1EC"/>
          </w:tcPr>
          <w:p>
            <w:pPr>
              <w:ind w:left="60"/>
              <w:spacing w:after="0"/>
              <w:rPr>
                <w:sz w:val="20"/>
                <w:szCs w:val="20"/>
                <w:color w:val="auto"/>
              </w:rPr>
            </w:pPr>
            <w:r>
              <w:rPr>
                <w:rFonts w:ascii="Arial" w:cs="Arial" w:eastAsia="Arial" w:hAnsi="Arial"/>
                <w:sz w:val="14"/>
                <w:szCs w:val="14"/>
                <w:color w:val="auto"/>
              </w:rPr>
              <w:t>Officer</w:t>
            </w:r>
          </w:p>
        </w:tc>
        <w:tc>
          <w:tcPr>
            <w:tcW w:w="160" w:type="dxa"/>
            <w:vAlign w:val="bottom"/>
            <w:shd w:val="clear" w:color="auto" w:fill="F7F1EC"/>
          </w:tcPr>
          <w:p>
            <w:pPr>
              <w:spacing w:after="0"/>
              <w:rPr>
                <w:sz w:val="15"/>
                <w:szCs w:val="15"/>
                <w:color w:val="auto"/>
              </w:rPr>
            </w:pPr>
          </w:p>
        </w:tc>
        <w:tc>
          <w:tcPr>
            <w:tcW w:w="440" w:type="dxa"/>
            <w:vAlign w:val="bottom"/>
            <w:vMerge w:val="restart"/>
            <w:shd w:val="clear" w:color="auto" w:fill="F7F1EC"/>
          </w:tcPr>
          <w:p>
            <w:pPr>
              <w:ind w:left="40"/>
              <w:spacing w:after="0"/>
              <w:rPr>
                <w:sz w:val="20"/>
                <w:szCs w:val="20"/>
                <w:color w:val="auto"/>
              </w:rPr>
            </w:pPr>
            <w:r>
              <w:rPr>
                <w:rFonts w:ascii="Arial" w:cs="Arial" w:eastAsia="Arial" w:hAnsi="Arial"/>
                <w:sz w:val="14"/>
                <w:szCs w:val="14"/>
                <w:color w:val="auto"/>
              </w:rPr>
              <w:t>2023</w:t>
            </w:r>
          </w:p>
        </w:tc>
        <w:tc>
          <w:tcPr>
            <w:tcW w:w="840" w:type="dxa"/>
            <w:vAlign w:val="bottom"/>
            <w:vMerge w:val="restart"/>
            <w:shd w:val="clear" w:color="auto" w:fill="F7F1EC"/>
          </w:tcPr>
          <w:p>
            <w:pPr>
              <w:ind w:left="120"/>
              <w:spacing w:after="0"/>
              <w:rPr>
                <w:sz w:val="20"/>
                <w:szCs w:val="20"/>
                <w:color w:val="auto"/>
              </w:rPr>
            </w:pPr>
            <w:r>
              <w:rPr>
                <w:rFonts w:ascii="Arial" w:cs="Arial" w:eastAsia="Arial" w:hAnsi="Arial"/>
                <w:sz w:val="14"/>
                <w:szCs w:val="14"/>
                <w:color w:val="auto"/>
              </w:rPr>
              <w:t>492,308</w:t>
            </w:r>
          </w:p>
        </w:tc>
        <w:tc>
          <w:tcPr>
            <w:tcW w:w="880" w:type="dxa"/>
            <w:vAlign w:val="bottom"/>
            <w:vMerge w:val="restart"/>
            <w:shd w:val="clear" w:color="auto" w:fill="F7F1EC"/>
          </w:tcPr>
          <w:p>
            <w:pPr>
              <w:jc w:val="right"/>
              <w:spacing w:after="0"/>
              <w:rPr>
                <w:sz w:val="20"/>
                <w:szCs w:val="20"/>
                <w:color w:val="auto"/>
              </w:rPr>
            </w:pPr>
            <w:r>
              <w:rPr>
                <w:rFonts w:ascii="Arial" w:cs="Arial" w:eastAsia="Arial" w:hAnsi="Arial"/>
                <w:sz w:val="14"/>
                <w:szCs w:val="14"/>
                <w:color w:val="auto"/>
              </w:rPr>
              <w:t>1,102,237</w:t>
            </w:r>
          </w:p>
        </w:tc>
        <w:tc>
          <w:tcPr>
            <w:tcW w:w="1000" w:type="dxa"/>
            <w:vAlign w:val="bottom"/>
            <w:vMerge w:val="restart"/>
            <w:shd w:val="clear" w:color="auto" w:fill="F7F1EC"/>
          </w:tcPr>
          <w:p>
            <w:pPr>
              <w:jc w:val="right"/>
              <w:spacing w:after="0"/>
              <w:rPr>
                <w:sz w:val="20"/>
                <w:szCs w:val="20"/>
                <w:color w:val="auto"/>
              </w:rPr>
            </w:pPr>
            <w:r>
              <w:rPr>
                <w:rFonts w:ascii="Arial" w:cs="Arial" w:eastAsia="Arial" w:hAnsi="Arial"/>
                <w:sz w:val="14"/>
                <w:szCs w:val="14"/>
                <w:color w:val="auto"/>
              </w:rPr>
              <w:t>785,000</w:t>
            </w:r>
          </w:p>
        </w:tc>
        <w:tc>
          <w:tcPr>
            <w:tcW w:w="1060" w:type="dxa"/>
            <w:vAlign w:val="bottom"/>
            <w:vMerge w:val="restart"/>
            <w:shd w:val="clear" w:color="auto" w:fill="F7F1EC"/>
          </w:tcPr>
          <w:p>
            <w:pPr>
              <w:jc w:val="right"/>
              <w:ind w:right="113"/>
              <w:spacing w:after="0"/>
              <w:rPr>
                <w:sz w:val="20"/>
                <w:szCs w:val="20"/>
                <w:color w:val="auto"/>
              </w:rPr>
            </w:pPr>
            <w:r>
              <w:rPr>
                <w:rFonts w:ascii="Arial" w:cs="Arial" w:eastAsia="Arial" w:hAnsi="Arial"/>
                <w:sz w:val="14"/>
                <w:szCs w:val="14"/>
                <w:color w:val="auto"/>
              </w:rPr>
              <w:t>75,510</w:t>
            </w:r>
          </w:p>
        </w:tc>
        <w:tc>
          <w:tcPr>
            <w:tcW w:w="800" w:type="dxa"/>
            <w:vAlign w:val="bottom"/>
            <w:vMerge w:val="restart"/>
            <w:shd w:val="clear" w:color="auto" w:fill="F7F1EC"/>
          </w:tcPr>
          <w:p>
            <w:pPr>
              <w:jc w:val="right"/>
              <w:spacing w:after="0"/>
              <w:rPr>
                <w:sz w:val="20"/>
                <w:szCs w:val="20"/>
                <w:color w:val="auto"/>
              </w:rPr>
            </w:pPr>
            <w:r>
              <w:rPr>
                <w:rFonts w:ascii="Arial" w:cs="Arial" w:eastAsia="Arial" w:hAnsi="Arial"/>
                <w:sz w:val="14"/>
                <w:szCs w:val="14"/>
                <w:color w:val="auto"/>
              </w:rPr>
              <w:t>2,455,055</w:t>
            </w:r>
          </w:p>
        </w:tc>
        <w:tc>
          <w:tcPr>
            <w:tcW w:w="0" w:type="dxa"/>
            <w:vAlign w:val="bottom"/>
          </w:tcPr>
          <w:p>
            <w:pPr>
              <w:spacing w:after="0"/>
              <w:rPr>
                <w:sz w:val="1"/>
                <w:szCs w:val="1"/>
                <w:color w:val="auto"/>
              </w:rPr>
            </w:pPr>
          </w:p>
        </w:tc>
      </w:tr>
      <w:tr>
        <w:trPr>
          <w:trHeight w:val="76"/>
        </w:trPr>
        <w:tc>
          <w:tcPr>
            <w:tcW w:w="2780" w:type="dxa"/>
            <w:vAlign w:val="bottom"/>
            <w:tcBorders>
              <w:bottom w:val="single" w:sz="8" w:color="F7F1EC"/>
            </w:tcBorders>
            <w:shd w:val="clear" w:color="auto" w:fill="F7F1EC"/>
          </w:tcPr>
          <w:p>
            <w:pPr>
              <w:spacing w:after="0"/>
              <w:rPr>
                <w:sz w:val="6"/>
                <w:szCs w:val="6"/>
                <w:color w:val="auto"/>
              </w:rPr>
            </w:pPr>
          </w:p>
        </w:tc>
        <w:tc>
          <w:tcPr>
            <w:tcW w:w="160" w:type="dxa"/>
            <w:vAlign w:val="bottom"/>
            <w:tcBorders>
              <w:bottom w:val="single" w:sz="8" w:color="F7F1EC"/>
            </w:tcBorders>
            <w:shd w:val="clear" w:color="auto" w:fill="F7F1EC"/>
          </w:tcPr>
          <w:p>
            <w:pPr>
              <w:spacing w:after="0"/>
              <w:rPr>
                <w:sz w:val="6"/>
                <w:szCs w:val="6"/>
                <w:color w:val="auto"/>
              </w:rPr>
            </w:pPr>
          </w:p>
        </w:tc>
        <w:tc>
          <w:tcPr>
            <w:tcW w:w="440" w:type="dxa"/>
            <w:vAlign w:val="bottom"/>
            <w:tcBorders>
              <w:bottom w:val="single" w:sz="8" w:color="F7F1EC"/>
            </w:tcBorders>
            <w:vMerge w:val="continue"/>
            <w:shd w:val="clear" w:color="auto" w:fill="F7F1EC"/>
          </w:tcPr>
          <w:p>
            <w:pPr>
              <w:spacing w:after="0"/>
              <w:rPr>
                <w:sz w:val="6"/>
                <w:szCs w:val="6"/>
                <w:color w:val="auto"/>
              </w:rPr>
            </w:pPr>
          </w:p>
        </w:tc>
        <w:tc>
          <w:tcPr>
            <w:tcW w:w="840" w:type="dxa"/>
            <w:vAlign w:val="bottom"/>
            <w:tcBorders>
              <w:bottom w:val="single" w:sz="8" w:color="F7F1EC"/>
            </w:tcBorders>
            <w:vMerge w:val="continue"/>
            <w:shd w:val="clear" w:color="auto" w:fill="F7F1EC"/>
          </w:tcPr>
          <w:p>
            <w:pPr>
              <w:spacing w:after="0"/>
              <w:rPr>
                <w:sz w:val="6"/>
                <w:szCs w:val="6"/>
                <w:color w:val="auto"/>
              </w:rPr>
            </w:pPr>
          </w:p>
        </w:tc>
        <w:tc>
          <w:tcPr>
            <w:tcW w:w="880" w:type="dxa"/>
            <w:vAlign w:val="bottom"/>
            <w:tcBorders>
              <w:bottom w:val="single" w:sz="8" w:color="F7F1EC"/>
            </w:tcBorders>
            <w:vMerge w:val="continue"/>
            <w:shd w:val="clear" w:color="auto" w:fill="F7F1EC"/>
          </w:tcPr>
          <w:p>
            <w:pPr>
              <w:spacing w:after="0"/>
              <w:rPr>
                <w:sz w:val="6"/>
                <w:szCs w:val="6"/>
                <w:color w:val="auto"/>
              </w:rPr>
            </w:pPr>
          </w:p>
        </w:tc>
        <w:tc>
          <w:tcPr>
            <w:tcW w:w="1000" w:type="dxa"/>
            <w:vAlign w:val="bottom"/>
            <w:tcBorders>
              <w:bottom w:val="single" w:sz="8" w:color="F7F1EC"/>
            </w:tcBorders>
            <w:vMerge w:val="continue"/>
            <w:shd w:val="clear" w:color="auto" w:fill="F7F1EC"/>
          </w:tcPr>
          <w:p>
            <w:pPr>
              <w:spacing w:after="0"/>
              <w:rPr>
                <w:sz w:val="6"/>
                <w:szCs w:val="6"/>
                <w:color w:val="auto"/>
              </w:rPr>
            </w:pPr>
          </w:p>
        </w:tc>
        <w:tc>
          <w:tcPr>
            <w:tcW w:w="1060" w:type="dxa"/>
            <w:vAlign w:val="bottom"/>
            <w:tcBorders>
              <w:bottom w:val="single" w:sz="8" w:color="F7F1EC"/>
            </w:tcBorders>
            <w:vMerge w:val="continue"/>
            <w:shd w:val="clear" w:color="auto" w:fill="F7F1EC"/>
          </w:tcPr>
          <w:p>
            <w:pPr>
              <w:spacing w:after="0"/>
              <w:rPr>
                <w:sz w:val="6"/>
                <w:szCs w:val="6"/>
                <w:color w:val="auto"/>
              </w:rPr>
            </w:pPr>
          </w:p>
        </w:tc>
        <w:tc>
          <w:tcPr>
            <w:tcW w:w="800" w:type="dxa"/>
            <w:vAlign w:val="bottom"/>
            <w:tcBorders>
              <w:bottom w:val="single" w:sz="8" w:color="F7F1EC"/>
            </w:tcBorders>
            <w:vMerge w:val="continue"/>
            <w:shd w:val="clear" w:color="auto" w:fill="F7F1EC"/>
          </w:tcPr>
          <w:p>
            <w:pPr>
              <w:spacing w:after="0"/>
              <w:rPr>
                <w:sz w:val="6"/>
                <w:szCs w:val="6"/>
                <w:color w:val="auto"/>
              </w:rPr>
            </w:pPr>
          </w:p>
        </w:tc>
        <w:tc>
          <w:tcPr>
            <w:tcW w:w="0" w:type="dxa"/>
            <w:vAlign w:val="bottom"/>
          </w:tcPr>
          <w:p>
            <w:pPr>
              <w:spacing w:after="0"/>
              <w:rPr>
                <w:sz w:val="1"/>
                <w:szCs w:val="1"/>
                <w:color w:val="auto"/>
              </w:rPr>
            </w:pPr>
          </w:p>
        </w:tc>
      </w:tr>
      <w:tr>
        <w:trPr>
          <w:trHeight w:val="261"/>
        </w:trPr>
        <w:tc>
          <w:tcPr>
            <w:tcW w:w="2780" w:type="dxa"/>
            <w:vAlign w:val="bottom"/>
          </w:tcPr>
          <w:p>
            <w:pPr>
              <w:ind w:left="60"/>
              <w:spacing w:after="0"/>
              <w:rPr>
                <w:sz w:val="20"/>
                <w:szCs w:val="20"/>
                <w:color w:val="auto"/>
              </w:rPr>
            </w:pPr>
            <w:r>
              <w:rPr>
                <w:rFonts w:ascii="Arial" w:cs="Arial" w:eastAsia="Arial" w:hAnsi="Arial"/>
                <w:sz w:val="14"/>
                <w:szCs w:val="14"/>
                <w:b w:val="1"/>
                <w:bCs w:val="1"/>
                <w:color w:val="B95827"/>
              </w:rPr>
              <w:t>Greg Gates</w:t>
            </w:r>
          </w:p>
        </w:tc>
        <w:tc>
          <w:tcPr>
            <w:tcW w:w="600" w:type="dxa"/>
            <w:vAlign w:val="bottom"/>
            <w:gridSpan w:val="2"/>
          </w:tcPr>
          <w:p>
            <w:pPr>
              <w:ind w:left="200"/>
              <w:spacing w:after="0"/>
              <w:rPr>
                <w:sz w:val="20"/>
                <w:szCs w:val="20"/>
                <w:color w:val="auto"/>
              </w:rPr>
            </w:pPr>
            <w:r>
              <w:rPr>
                <w:rFonts w:ascii="Arial" w:cs="Arial" w:eastAsia="Arial" w:hAnsi="Arial"/>
                <w:sz w:val="14"/>
                <w:szCs w:val="14"/>
                <w:color w:val="auto"/>
              </w:rPr>
              <w:t>2025</w:t>
            </w:r>
          </w:p>
        </w:tc>
        <w:tc>
          <w:tcPr>
            <w:tcW w:w="840" w:type="dxa"/>
            <w:vAlign w:val="bottom"/>
          </w:tcPr>
          <w:p>
            <w:pPr>
              <w:ind w:left="120"/>
              <w:spacing w:after="0"/>
              <w:rPr>
                <w:sz w:val="20"/>
                <w:szCs w:val="20"/>
                <w:color w:val="auto"/>
              </w:rPr>
            </w:pPr>
            <w:r>
              <w:rPr>
                <w:rFonts w:ascii="Arial" w:cs="Arial" w:eastAsia="Arial" w:hAnsi="Arial"/>
                <w:sz w:val="14"/>
                <w:szCs w:val="14"/>
                <w:color w:val="auto"/>
              </w:rPr>
              <w:t>592,308</w:t>
            </w:r>
            <w:r>
              <w:rPr>
                <w:rFonts w:ascii="Arial" w:cs="Arial" w:eastAsia="Arial" w:hAnsi="Arial"/>
                <w:sz w:val="20"/>
                <w:szCs w:val="20"/>
                <w:color w:val="auto"/>
                <w:vertAlign w:val="superscript"/>
              </w:rPr>
              <w:t>(4)</w:t>
            </w:r>
          </w:p>
        </w:tc>
        <w:tc>
          <w:tcPr>
            <w:tcW w:w="880" w:type="dxa"/>
            <w:vAlign w:val="bottom"/>
          </w:tcPr>
          <w:p>
            <w:pPr>
              <w:jc w:val="right"/>
              <w:spacing w:after="0"/>
              <w:rPr>
                <w:sz w:val="20"/>
                <w:szCs w:val="20"/>
                <w:color w:val="auto"/>
              </w:rPr>
            </w:pPr>
            <w:r>
              <w:rPr>
                <w:rFonts w:ascii="Arial" w:cs="Arial" w:eastAsia="Arial" w:hAnsi="Arial"/>
                <w:sz w:val="14"/>
                <w:szCs w:val="14"/>
                <w:color w:val="auto"/>
              </w:rPr>
              <w:t>2,271,788</w:t>
            </w:r>
          </w:p>
        </w:tc>
        <w:tc>
          <w:tcPr>
            <w:tcW w:w="1000" w:type="dxa"/>
            <w:vAlign w:val="bottom"/>
          </w:tcPr>
          <w:p>
            <w:pPr>
              <w:jc w:val="right"/>
              <w:spacing w:after="0"/>
              <w:rPr>
                <w:sz w:val="20"/>
                <w:szCs w:val="20"/>
                <w:color w:val="auto"/>
              </w:rPr>
            </w:pPr>
            <w:r>
              <w:rPr>
                <w:rFonts w:ascii="Arial" w:cs="Arial" w:eastAsia="Arial" w:hAnsi="Arial"/>
                <w:sz w:val="14"/>
                <w:szCs w:val="14"/>
                <w:color w:val="auto"/>
              </w:rPr>
              <w:t>1,700,000</w:t>
            </w:r>
          </w:p>
        </w:tc>
        <w:tc>
          <w:tcPr>
            <w:tcW w:w="1060" w:type="dxa"/>
            <w:vAlign w:val="bottom"/>
          </w:tcPr>
          <w:p>
            <w:pPr>
              <w:jc w:val="right"/>
              <w:ind w:right="113"/>
              <w:spacing w:after="0"/>
              <w:rPr>
                <w:sz w:val="20"/>
                <w:szCs w:val="20"/>
                <w:color w:val="auto"/>
              </w:rPr>
            </w:pPr>
            <w:r>
              <w:rPr>
                <w:rFonts w:ascii="Arial" w:cs="Arial" w:eastAsia="Arial" w:hAnsi="Arial"/>
                <w:sz w:val="14"/>
                <w:szCs w:val="14"/>
                <w:color w:val="auto"/>
              </w:rPr>
              <w:t>17,625</w:t>
            </w:r>
          </w:p>
        </w:tc>
        <w:tc>
          <w:tcPr>
            <w:tcW w:w="800" w:type="dxa"/>
            <w:vAlign w:val="bottom"/>
          </w:tcPr>
          <w:p>
            <w:pPr>
              <w:jc w:val="right"/>
              <w:spacing w:after="0"/>
              <w:rPr>
                <w:sz w:val="20"/>
                <w:szCs w:val="20"/>
                <w:color w:val="auto"/>
              </w:rPr>
            </w:pPr>
            <w:r>
              <w:rPr>
                <w:rFonts w:ascii="Arial" w:cs="Arial" w:eastAsia="Arial" w:hAnsi="Arial"/>
                <w:sz w:val="14"/>
                <w:szCs w:val="14"/>
                <w:color w:val="auto"/>
              </w:rPr>
              <w:t>4,581,721</w:t>
            </w:r>
          </w:p>
        </w:tc>
        <w:tc>
          <w:tcPr>
            <w:tcW w:w="0" w:type="dxa"/>
            <w:vAlign w:val="bottom"/>
          </w:tcPr>
          <w:p>
            <w:pPr>
              <w:spacing w:after="0"/>
              <w:rPr>
                <w:sz w:val="1"/>
                <w:szCs w:val="1"/>
                <w:color w:val="auto"/>
              </w:rPr>
            </w:pPr>
          </w:p>
        </w:tc>
      </w:tr>
      <w:tr>
        <w:trPr>
          <w:trHeight w:val="153"/>
        </w:trPr>
        <w:tc>
          <w:tcPr>
            <w:tcW w:w="2780" w:type="dxa"/>
            <w:vAlign w:val="bottom"/>
          </w:tcPr>
          <w:p>
            <w:pPr>
              <w:ind w:left="60"/>
              <w:spacing w:after="0" w:line="153" w:lineRule="exact"/>
              <w:rPr>
                <w:sz w:val="20"/>
                <w:szCs w:val="20"/>
                <w:color w:val="auto"/>
              </w:rPr>
            </w:pPr>
            <w:r>
              <w:rPr>
                <w:rFonts w:ascii="Arial" w:cs="Arial" w:eastAsia="Arial" w:hAnsi="Arial"/>
                <w:sz w:val="14"/>
                <w:szCs w:val="14"/>
                <w:color w:val="auto"/>
                <w:w w:val="98"/>
              </w:rPr>
              <w:t>Group Managing Director, Chief Technology</w:t>
            </w:r>
          </w:p>
        </w:tc>
        <w:tc>
          <w:tcPr>
            <w:tcW w:w="600" w:type="dxa"/>
            <w:vAlign w:val="bottom"/>
            <w:gridSpan w:val="2"/>
          </w:tcPr>
          <w:p>
            <w:pPr>
              <w:ind w:left="200"/>
              <w:spacing w:after="0" w:line="153" w:lineRule="exact"/>
              <w:rPr>
                <w:sz w:val="20"/>
                <w:szCs w:val="20"/>
                <w:color w:val="auto"/>
              </w:rPr>
            </w:pPr>
            <w:r>
              <w:rPr>
                <w:rFonts w:ascii="Arial" w:cs="Arial" w:eastAsia="Arial" w:hAnsi="Arial"/>
                <w:sz w:val="14"/>
                <w:szCs w:val="14"/>
                <w:color w:val="auto"/>
              </w:rPr>
              <w:t>2024</w:t>
            </w:r>
          </w:p>
        </w:tc>
        <w:tc>
          <w:tcPr>
            <w:tcW w:w="840" w:type="dxa"/>
            <w:vAlign w:val="bottom"/>
          </w:tcPr>
          <w:p>
            <w:pPr>
              <w:ind w:left="120"/>
              <w:spacing w:after="0" w:line="153" w:lineRule="exact"/>
              <w:rPr>
                <w:sz w:val="20"/>
                <w:szCs w:val="20"/>
                <w:color w:val="auto"/>
              </w:rPr>
            </w:pPr>
            <w:r>
              <w:rPr>
                <w:rFonts w:ascii="Arial" w:cs="Arial" w:eastAsia="Arial" w:hAnsi="Arial"/>
                <w:sz w:val="14"/>
                <w:szCs w:val="14"/>
                <w:color w:val="auto"/>
              </w:rPr>
              <w:t>550,000</w:t>
            </w:r>
          </w:p>
        </w:tc>
        <w:tc>
          <w:tcPr>
            <w:tcW w:w="880" w:type="dxa"/>
            <w:vAlign w:val="bottom"/>
          </w:tcPr>
          <w:p>
            <w:pPr>
              <w:jc w:val="right"/>
              <w:spacing w:after="0" w:line="153" w:lineRule="exact"/>
              <w:rPr>
                <w:sz w:val="20"/>
                <w:szCs w:val="20"/>
                <w:color w:val="auto"/>
              </w:rPr>
            </w:pPr>
            <w:r>
              <w:rPr>
                <w:rFonts w:ascii="Arial" w:cs="Arial" w:eastAsia="Arial" w:hAnsi="Arial"/>
                <w:sz w:val="14"/>
                <w:szCs w:val="14"/>
                <w:color w:val="auto"/>
              </w:rPr>
              <w:t>1,807,569</w:t>
            </w:r>
          </w:p>
        </w:tc>
        <w:tc>
          <w:tcPr>
            <w:tcW w:w="1000" w:type="dxa"/>
            <w:vAlign w:val="bottom"/>
          </w:tcPr>
          <w:p>
            <w:pPr>
              <w:jc w:val="right"/>
              <w:spacing w:after="0" w:line="153" w:lineRule="exact"/>
              <w:rPr>
                <w:sz w:val="20"/>
                <w:szCs w:val="20"/>
                <w:color w:val="auto"/>
              </w:rPr>
            </w:pPr>
            <w:r>
              <w:rPr>
                <w:rFonts w:ascii="Arial" w:cs="Arial" w:eastAsia="Arial" w:hAnsi="Arial"/>
                <w:sz w:val="14"/>
                <w:szCs w:val="14"/>
                <w:color w:val="auto"/>
              </w:rPr>
              <w:t>1,500,000</w:t>
            </w:r>
          </w:p>
        </w:tc>
        <w:tc>
          <w:tcPr>
            <w:tcW w:w="1060" w:type="dxa"/>
            <w:vAlign w:val="bottom"/>
          </w:tcPr>
          <w:p>
            <w:pPr>
              <w:jc w:val="right"/>
              <w:ind w:right="113"/>
              <w:spacing w:after="0" w:line="153" w:lineRule="exact"/>
              <w:rPr>
                <w:sz w:val="20"/>
                <w:szCs w:val="20"/>
                <w:color w:val="auto"/>
              </w:rPr>
            </w:pPr>
            <w:r>
              <w:rPr>
                <w:rFonts w:ascii="Arial" w:cs="Arial" w:eastAsia="Arial" w:hAnsi="Arial"/>
                <w:sz w:val="14"/>
                <w:szCs w:val="14"/>
                <w:color w:val="auto"/>
              </w:rPr>
              <w:t>6,600</w:t>
            </w:r>
          </w:p>
        </w:tc>
        <w:tc>
          <w:tcPr>
            <w:tcW w:w="800" w:type="dxa"/>
            <w:vAlign w:val="bottom"/>
          </w:tcPr>
          <w:p>
            <w:pPr>
              <w:jc w:val="right"/>
              <w:spacing w:after="0" w:line="153" w:lineRule="exact"/>
              <w:rPr>
                <w:sz w:val="20"/>
                <w:szCs w:val="20"/>
                <w:color w:val="auto"/>
              </w:rPr>
            </w:pPr>
            <w:r>
              <w:rPr>
                <w:rFonts w:ascii="Arial" w:cs="Arial" w:eastAsia="Arial" w:hAnsi="Arial"/>
                <w:sz w:val="14"/>
                <w:szCs w:val="14"/>
                <w:color w:val="auto"/>
              </w:rPr>
              <w:t>3,864,169</w:t>
            </w:r>
          </w:p>
        </w:tc>
        <w:tc>
          <w:tcPr>
            <w:tcW w:w="0" w:type="dxa"/>
            <w:vAlign w:val="bottom"/>
          </w:tcPr>
          <w:p>
            <w:pPr>
              <w:spacing w:after="0"/>
              <w:rPr>
                <w:sz w:val="1"/>
                <w:szCs w:val="1"/>
                <w:color w:val="auto"/>
              </w:rPr>
            </w:pPr>
          </w:p>
        </w:tc>
      </w:tr>
      <w:tr>
        <w:trPr>
          <w:trHeight w:val="179"/>
        </w:trPr>
        <w:tc>
          <w:tcPr>
            <w:tcW w:w="2780" w:type="dxa"/>
            <w:vAlign w:val="bottom"/>
          </w:tcPr>
          <w:p>
            <w:pPr>
              <w:ind w:left="60"/>
              <w:spacing w:after="0"/>
              <w:rPr>
                <w:sz w:val="20"/>
                <w:szCs w:val="20"/>
                <w:color w:val="auto"/>
              </w:rPr>
            </w:pPr>
            <w:r>
              <w:rPr>
                <w:rFonts w:ascii="Arial" w:cs="Arial" w:eastAsia="Arial" w:hAnsi="Arial"/>
                <w:sz w:val="14"/>
                <w:szCs w:val="14"/>
                <w:color w:val="auto"/>
              </w:rPr>
              <w:t>and Information Officer</w:t>
            </w:r>
          </w:p>
        </w:tc>
        <w:tc>
          <w:tcPr>
            <w:tcW w:w="600" w:type="dxa"/>
            <w:vAlign w:val="bottom"/>
            <w:gridSpan w:val="2"/>
            <w:vMerge w:val="restart"/>
          </w:tcPr>
          <w:p>
            <w:pPr>
              <w:ind w:left="200"/>
              <w:spacing w:after="0"/>
              <w:rPr>
                <w:sz w:val="20"/>
                <w:szCs w:val="20"/>
                <w:color w:val="auto"/>
              </w:rPr>
            </w:pPr>
            <w:r>
              <w:rPr>
                <w:rFonts w:ascii="Arial" w:cs="Arial" w:eastAsia="Arial" w:hAnsi="Arial"/>
                <w:sz w:val="14"/>
                <w:szCs w:val="14"/>
                <w:color w:val="auto"/>
              </w:rPr>
              <w:t>2023</w:t>
            </w:r>
          </w:p>
        </w:tc>
        <w:tc>
          <w:tcPr>
            <w:tcW w:w="840" w:type="dxa"/>
            <w:vAlign w:val="bottom"/>
            <w:vMerge w:val="restart"/>
          </w:tcPr>
          <w:p>
            <w:pPr>
              <w:ind w:left="120"/>
              <w:spacing w:after="0"/>
              <w:rPr>
                <w:sz w:val="20"/>
                <w:szCs w:val="20"/>
                <w:color w:val="auto"/>
              </w:rPr>
            </w:pPr>
            <w:r>
              <w:rPr>
                <w:rFonts w:ascii="Arial" w:cs="Arial" w:eastAsia="Arial" w:hAnsi="Arial"/>
                <w:sz w:val="14"/>
                <w:szCs w:val="14"/>
                <w:color w:val="auto"/>
              </w:rPr>
              <w:t>524,039</w:t>
            </w: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1,435,139</w:t>
            </w: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1,375,000</w:t>
            </w:r>
          </w:p>
        </w:tc>
        <w:tc>
          <w:tcPr>
            <w:tcW w:w="1060" w:type="dxa"/>
            <w:vAlign w:val="bottom"/>
            <w:vMerge w:val="restart"/>
          </w:tcPr>
          <w:p>
            <w:pPr>
              <w:jc w:val="right"/>
              <w:ind w:right="113"/>
              <w:spacing w:after="0"/>
              <w:rPr>
                <w:sz w:val="20"/>
                <w:szCs w:val="20"/>
                <w:color w:val="auto"/>
              </w:rPr>
            </w:pPr>
            <w:r>
              <w:rPr>
                <w:rFonts w:ascii="Arial" w:cs="Arial" w:eastAsia="Arial" w:hAnsi="Arial"/>
                <w:sz w:val="14"/>
                <w:szCs w:val="14"/>
                <w:color w:val="auto"/>
              </w:rPr>
              <w:t>55,984</w:t>
            </w: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3,390,162</w:t>
            </w:r>
          </w:p>
        </w:tc>
        <w:tc>
          <w:tcPr>
            <w:tcW w:w="0" w:type="dxa"/>
            <w:vAlign w:val="bottom"/>
          </w:tcPr>
          <w:p>
            <w:pPr>
              <w:spacing w:after="0"/>
              <w:rPr>
                <w:sz w:val="1"/>
                <w:szCs w:val="1"/>
                <w:color w:val="auto"/>
              </w:rPr>
            </w:pPr>
          </w:p>
        </w:tc>
      </w:tr>
      <w:tr>
        <w:trPr>
          <w:trHeight w:val="64"/>
        </w:trPr>
        <w:tc>
          <w:tcPr>
            <w:tcW w:w="2780" w:type="dxa"/>
            <w:vAlign w:val="bottom"/>
          </w:tcPr>
          <w:p>
            <w:pPr>
              <w:spacing w:after="0"/>
              <w:rPr>
                <w:sz w:val="5"/>
                <w:szCs w:val="5"/>
                <w:color w:val="auto"/>
              </w:rPr>
            </w:pPr>
          </w:p>
        </w:tc>
        <w:tc>
          <w:tcPr>
            <w:tcW w:w="600" w:type="dxa"/>
            <w:vAlign w:val="bottom"/>
            <w:gridSpan w:val="2"/>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880" w:type="dxa"/>
            <w:vAlign w:val="bottom"/>
            <w:vMerge w:val="continue"/>
          </w:tcPr>
          <w:p>
            <w:pPr>
              <w:spacing w:after="0"/>
              <w:rPr>
                <w:sz w:val="5"/>
                <w:szCs w:val="5"/>
                <w:color w:val="auto"/>
              </w:rPr>
            </w:pPr>
          </w:p>
        </w:tc>
        <w:tc>
          <w:tcPr>
            <w:tcW w:w="1000" w:type="dxa"/>
            <w:vAlign w:val="bottom"/>
            <w:vMerge w:val="continue"/>
          </w:tcPr>
          <w:p>
            <w:pPr>
              <w:spacing w:after="0"/>
              <w:rPr>
                <w:sz w:val="5"/>
                <w:szCs w:val="5"/>
                <w:color w:val="auto"/>
              </w:rPr>
            </w:pPr>
          </w:p>
        </w:tc>
        <w:tc>
          <w:tcPr>
            <w:tcW w:w="106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3"/>
        </w:trPr>
        <w:tc>
          <w:tcPr>
            <w:tcW w:w="2780" w:type="dxa"/>
            <w:vAlign w:val="bottom"/>
          </w:tcPr>
          <w:p>
            <w:pPr>
              <w:spacing w:after="0"/>
              <w:rPr>
                <w:sz w:val="2"/>
                <w:szCs w:val="2"/>
                <w:color w:val="auto"/>
              </w:rPr>
            </w:pPr>
          </w:p>
        </w:tc>
        <w:tc>
          <w:tcPr>
            <w:tcW w:w="600" w:type="dxa"/>
            <w:vAlign w:val="bottom"/>
            <w:gridSpan w:val="2"/>
          </w:tcPr>
          <w:p>
            <w:pPr>
              <w:spacing w:after="0"/>
              <w:rPr>
                <w:sz w:val="2"/>
                <w:szCs w:val="2"/>
                <w:color w:val="auto"/>
              </w:rPr>
            </w:pPr>
          </w:p>
        </w:tc>
        <w:tc>
          <w:tcPr>
            <w:tcW w:w="8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2"/>
        </w:trPr>
        <w:tc>
          <w:tcPr>
            <w:tcW w:w="2780" w:type="dxa"/>
            <w:vAlign w:val="bottom"/>
            <w:shd w:val="clear" w:color="auto" w:fill="F7F1EC"/>
          </w:tcPr>
          <w:p>
            <w:pPr>
              <w:ind w:left="60"/>
              <w:spacing w:after="0"/>
              <w:rPr>
                <w:sz w:val="20"/>
                <w:szCs w:val="20"/>
                <w:color w:val="auto"/>
              </w:rPr>
            </w:pPr>
            <w:r>
              <w:rPr>
                <w:rFonts w:ascii="Arial" w:cs="Arial" w:eastAsia="Arial" w:hAnsi="Arial"/>
                <w:sz w:val="14"/>
                <w:szCs w:val="14"/>
                <w:b w:val="1"/>
                <w:bCs w:val="1"/>
                <w:color w:val="B95827"/>
              </w:rPr>
              <w:t>Aneri Jambusaria</w:t>
            </w:r>
          </w:p>
        </w:tc>
        <w:tc>
          <w:tcPr>
            <w:tcW w:w="600" w:type="dxa"/>
            <w:vAlign w:val="bottom"/>
            <w:gridSpan w:val="2"/>
            <w:shd w:val="clear" w:color="auto" w:fill="F7F1EC"/>
          </w:tcPr>
          <w:p>
            <w:pPr>
              <w:ind w:left="200"/>
              <w:spacing w:after="0"/>
              <w:rPr>
                <w:sz w:val="20"/>
                <w:szCs w:val="20"/>
                <w:color w:val="auto"/>
              </w:rPr>
            </w:pPr>
            <w:r>
              <w:rPr>
                <w:rFonts w:ascii="Arial" w:cs="Arial" w:eastAsia="Arial" w:hAnsi="Arial"/>
                <w:sz w:val="14"/>
                <w:szCs w:val="14"/>
                <w:color w:val="auto"/>
              </w:rPr>
              <w:t>2025</w:t>
            </w:r>
          </w:p>
        </w:tc>
        <w:tc>
          <w:tcPr>
            <w:tcW w:w="840" w:type="dxa"/>
            <w:vAlign w:val="bottom"/>
            <w:shd w:val="clear" w:color="auto" w:fill="F7F1EC"/>
          </w:tcPr>
          <w:p>
            <w:pPr>
              <w:ind w:left="120"/>
              <w:spacing w:after="0" w:line="222" w:lineRule="exact"/>
              <w:rPr>
                <w:sz w:val="20"/>
                <w:szCs w:val="20"/>
                <w:color w:val="auto"/>
              </w:rPr>
            </w:pPr>
            <w:r>
              <w:rPr>
                <w:rFonts w:ascii="Arial" w:cs="Arial" w:eastAsia="Arial" w:hAnsi="Arial"/>
                <w:sz w:val="14"/>
                <w:szCs w:val="14"/>
                <w:color w:val="auto"/>
              </w:rPr>
              <w:t>488,462</w:t>
            </w:r>
            <w:r>
              <w:rPr>
                <w:rFonts w:ascii="Arial" w:cs="Arial" w:eastAsia="Arial" w:hAnsi="Arial"/>
                <w:sz w:val="20"/>
                <w:szCs w:val="20"/>
                <w:color w:val="auto"/>
                <w:vertAlign w:val="superscript"/>
              </w:rPr>
              <w:t>(4)</w:t>
            </w:r>
          </w:p>
        </w:tc>
        <w:tc>
          <w:tcPr>
            <w:tcW w:w="880" w:type="dxa"/>
            <w:vAlign w:val="bottom"/>
            <w:shd w:val="clear" w:color="auto" w:fill="F7F1EC"/>
          </w:tcPr>
          <w:p>
            <w:pPr>
              <w:jc w:val="right"/>
              <w:spacing w:after="0"/>
              <w:rPr>
                <w:sz w:val="20"/>
                <w:szCs w:val="20"/>
                <w:color w:val="auto"/>
              </w:rPr>
            </w:pPr>
            <w:r>
              <w:rPr>
                <w:rFonts w:ascii="Arial" w:cs="Arial" w:eastAsia="Arial" w:hAnsi="Arial"/>
                <w:sz w:val="14"/>
                <w:szCs w:val="14"/>
                <w:color w:val="auto"/>
              </w:rPr>
              <w:t>1,164,739</w:t>
            </w:r>
          </w:p>
        </w:tc>
        <w:tc>
          <w:tcPr>
            <w:tcW w:w="1000" w:type="dxa"/>
            <w:vAlign w:val="bottom"/>
            <w:shd w:val="clear" w:color="auto" w:fill="F7F1EC"/>
          </w:tcPr>
          <w:p>
            <w:pPr>
              <w:jc w:val="right"/>
              <w:spacing w:after="0"/>
              <w:rPr>
                <w:sz w:val="20"/>
                <w:szCs w:val="20"/>
                <w:color w:val="auto"/>
              </w:rPr>
            </w:pPr>
            <w:r>
              <w:rPr>
                <w:rFonts w:ascii="Arial" w:cs="Arial" w:eastAsia="Arial" w:hAnsi="Arial"/>
                <w:sz w:val="14"/>
                <w:szCs w:val="14"/>
                <w:color w:val="auto"/>
              </w:rPr>
              <w:t>885,000</w:t>
            </w:r>
          </w:p>
        </w:tc>
        <w:tc>
          <w:tcPr>
            <w:tcW w:w="1060" w:type="dxa"/>
            <w:vAlign w:val="bottom"/>
            <w:shd w:val="clear" w:color="auto" w:fill="F7F1EC"/>
          </w:tcPr>
          <w:p>
            <w:pPr>
              <w:jc w:val="right"/>
              <w:ind w:right="113"/>
              <w:spacing w:after="0"/>
              <w:rPr>
                <w:sz w:val="20"/>
                <w:szCs w:val="20"/>
                <w:color w:val="auto"/>
              </w:rPr>
            </w:pPr>
            <w:r>
              <w:rPr>
                <w:rFonts w:ascii="Arial" w:cs="Arial" w:eastAsia="Arial" w:hAnsi="Arial"/>
                <w:sz w:val="14"/>
                <w:szCs w:val="14"/>
                <w:color w:val="auto"/>
              </w:rPr>
              <w:t>17,625</w:t>
            </w:r>
          </w:p>
        </w:tc>
        <w:tc>
          <w:tcPr>
            <w:tcW w:w="800" w:type="dxa"/>
            <w:vAlign w:val="bottom"/>
            <w:shd w:val="clear" w:color="auto" w:fill="F7F1EC"/>
          </w:tcPr>
          <w:p>
            <w:pPr>
              <w:jc w:val="right"/>
              <w:spacing w:after="0"/>
              <w:rPr>
                <w:sz w:val="20"/>
                <w:szCs w:val="20"/>
                <w:color w:val="auto"/>
              </w:rPr>
            </w:pPr>
            <w:r>
              <w:rPr>
                <w:rFonts w:ascii="Arial" w:cs="Arial" w:eastAsia="Arial" w:hAnsi="Arial"/>
                <w:sz w:val="14"/>
                <w:szCs w:val="14"/>
                <w:color w:val="auto"/>
              </w:rPr>
              <w:t>2,555,826</w:t>
            </w:r>
          </w:p>
        </w:tc>
        <w:tc>
          <w:tcPr>
            <w:tcW w:w="0" w:type="dxa"/>
            <w:vAlign w:val="bottom"/>
          </w:tcPr>
          <w:p>
            <w:pPr>
              <w:spacing w:after="0"/>
              <w:rPr>
                <w:sz w:val="1"/>
                <w:szCs w:val="1"/>
                <w:color w:val="auto"/>
              </w:rPr>
            </w:pPr>
          </w:p>
        </w:tc>
      </w:tr>
      <w:tr>
        <w:trPr>
          <w:trHeight w:val="153"/>
        </w:trPr>
        <w:tc>
          <w:tcPr>
            <w:tcW w:w="2780" w:type="dxa"/>
            <w:vAlign w:val="bottom"/>
            <w:shd w:val="clear" w:color="auto" w:fill="F7F1EC"/>
          </w:tcPr>
          <w:p>
            <w:pPr>
              <w:ind w:left="60"/>
              <w:spacing w:after="0" w:line="153" w:lineRule="exact"/>
              <w:rPr>
                <w:sz w:val="20"/>
                <w:szCs w:val="20"/>
                <w:color w:val="auto"/>
              </w:rPr>
            </w:pPr>
            <w:r>
              <w:rPr>
                <w:rFonts w:ascii="Arial" w:cs="Arial" w:eastAsia="Arial" w:hAnsi="Arial"/>
                <w:sz w:val="14"/>
                <w:szCs w:val="14"/>
                <w:color w:val="auto"/>
              </w:rPr>
              <w:t>Group Managing Director, Chief Wealth</w:t>
            </w:r>
          </w:p>
        </w:tc>
        <w:tc>
          <w:tcPr>
            <w:tcW w:w="160" w:type="dxa"/>
            <w:vAlign w:val="bottom"/>
            <w:shd w:val="clear" w:color="auto" w:fill="F7F1EC"/>
          </w:tcPr>
          <w:p>
            <w:pPr>
              <w:spacing w:after="0"/>
              <w:rPr>
                <w:sz w:val="13"/>
                <w:szCs w:val="13"/>
                <w:color w:val="auto"/>
              </w:rPr>
            </w:pPr>
          </w:p>
        </w:tc>
        <w:tc>
          <w:tcPr>
            <w:tcW w:w="440" w:type="dxa"/>
            <w:vAlign w:val="bottom"/>
            <w:shd w:val="clear" w:color="auto" w:fill="F7F1EC"/>
          </w:tcPr>
          <w:p>
            <w:pPr>
              <w:spacing w:after="0"/>
              <w:rPr>
                <w:sz w:val="13"/>
                <w:szCs w:val="13"/>
                <w:color w:val="auto"/>
              </w:rPr>
            </w:pPr>
          </w:p>
        </w:tc>
        <w:tc>
          <w:tcPr>
            <w:tcW w:w="840" w:type="dxa"/>
            <w:vAlign w:val="bottom"/>
            <w:shd w:val="clear" w:color="auto" w:fill="F7F1EC"/>
          </w:tcPr>
          <w:p>
            <w:pPr>
              <w:spacing w:after="0"/>
              <w:rPr>
                <w:sz w:val="13"/>
                <w:szCs w:val="13"/>
                <w:color w:val="auto"/>
              </w:rPr>
            </w:pPr>
          </w:p>
        </w:tc>
        <w:tc>
          <w:tcPr>
            <w:tcW w:w="880" w:type="dxa"/>
            <w:vAlign w:val="bottom"/>
            <w:shd w:val="clear" w:color="auto" w:fill="F7F1EC"/>
          </w:tcPr>
          <w:p>
            <w:pPr>
              <w:spacing w:after="0"/>
              <w:rPr>
                <w:sz w:val="13"/>
                <w:szCs w:val="13"/>
                <w:color w:val="auto"/>
              </w:rPr>
            </w:pPr>
          </w:p>
        </w:tc>
        <w:tc>
          <w:tcPr>
            <w:tcW w:w="1000" w:type="dxa"/>
            <w:vAlign w:val="bottom"/>
            <w:shd w:val="clear" w:color="auto" w:fill="F7F1EC"/>
          </w:tcPr>
          <w:p>
            <w:pPr>
              <w:spacing w:after="0"/>
              <w:rPr>
                <w:sz w:val="13"/>
                <w:szCs w:val="13"/>
                <w:color w:val="auto"/>
              </w:rPr>
            </w:pPr>
          </w:p>
        </w:tc>
        <w:tc>
          <w:tcPr>
            <w:tcW w:w="1060" w:type="dxa"/>
            <w:vAlign w:val="bottom"/>
            <w:shd w:val="clear" w:color="auto" w:fill="F7F1EC"/>
          </w:tcPr>
          <w:p>
            <w:pPr>
              <w:spacing w:after="0"/>
              <w:rPr>
                <w:sz w:val="13"/>
                <w:szCs w:val="13"/>
                <w:color w:val="auto"/>
              </w:rPr>
            </w:pPr>
          </w:p>
        </w:tc>
        <w:tc>
          <w:tcPr>
            <w:tcW w:w="800" w:type="dxa"/>
            <w:vAlign w:val="bottom"/>
            <w:shd w:val="clear" w:color="auto" w:fill="F7F1EC"/>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2780" w:type="dxa"/>
            <w:vAlign w:val="bottom"/>
            <w:shd w:val="clear" w:color="auto" w:fill="F7F1EC"/>
          </w:tcPr>
          <w:p>
            <w:pPr>
              <w:ind w:left="60"/>
              <w:spacing w:after="0"/>
              <w:rPr>
                <w:sz w:val="20"/>
                <w:szCs w:val="20"/>
                <w:color w:val="auto"/>
              </w:rPr>
            </w:pPr>
            <w:r>
              <w:rPr>
                <w:rFonts w:ascii="Arial" w:cs="Arial" w:eastAsia="Arial" w:hAnsi="Arial"/>
                <w:sz w:val="14"/>
                <w:szCs w:val="14"/>
                <w:color w:val="auto"/>
              </w:rPr>
              <w:t>Officer</w:t>
            </w:r>
          </w:p>
        </w:tc>
        <w:tc>
          <w:tcPr>
            <w:tcW w:w="160" w:type="dxa"/>
            <w:vAlign w:val="bottom"/>
            <w:shd w:val="clear" w:color="auto" w:fill="F7F1EC"/>
          </w:tcPr>
          <w:p>
            <w:pPr>
              <w:spacing w:after="0"/>
              <w:rPr>
                <w:sz w:val="15"/>
                <w:szCs w:val="15"/>
                <w:color w:val="auto"/>
              </w:rPr>
            </w:pPr>
          </w:p>
        </w:tc>
        <w:tc>
          <w:tcPr>
            <w:tcW w:w="440" w:type="dxa"/>
            <w:vAlign w:val="bottom"/>
            <w:shd w:val="clear" w:color="auto" w:fill="F7F1EC"/>
          </w:tcPr>
          <w:p>
            <w:pPr>
              <w:spacing w:after="0"/>
              <w:rPr>
                <w:sz w:val="15"/>
                <w:szCs w:val="15"/>
                <w:color w:val="auto"/>
              </w:rPr>
            </w:pPr>
          </w:p>
        </w:tc>
        <w:tc>
          <w:tcPr>
            <w:tcW w:w="840" w:type="dxa"/>
            <w:vAlign w:val="bottom"/>
            <w:shd w:val="clear" w:color="auto" w:fill="F7F1EC"/>
          </w:tcPr>
          <w:p>
            <w:pPr>
              <w:spacing w:after="0"/>
              <w:rPr>
                <w:sz w:val="15"/>
                <w:szCs w:val="15"/>
                <w:color w:val="auto"/>
              </w:rPr>
            </w:pPr>
          </w:p>
        </w:tc>
        <w:tc>
          <w:tcPr>
            <w:tcW w:w="880" w:type="dxa"/>
            <w:vAlign w:val="bottom"/>
            <w:shd w:val="clear" w:color="auto" w:fill="F7F1EC"/>
          </w:tcPr>
          <w:p>
            <w:pPr>
              <w:spacing w:after="0"/>
              <w:rPr>
                <w:sz w:val="15"/>
                <w:szCs w:val="15"/>
                <w:color w:val="auto"/>
              </w:rPr>
            </w:pPr>
          </w:p>
        </w:tc>
        <w:tc>
          <w:tcPr>
            <w:tcW w:w="1000" w:type="dxa"/>
            <w:vAlign w:val="bottom"/>
            <w:shd w:val="clear" w:color="auto" w:fill="F7F1EC"/>
          </w:tcPr>
          <w:p>
            <w:pPr>
              <w:spacing w:after="0"/>
              <w:rPr>
                <w:sz w:val="15"/>
                <w:szCs w:val="15"/>
                <w:color w:val="auto"/>
              </w:rPr>
            </w:pPr>
          </w:p>
        </w:tc>
        <w:tc>
          <w:tcPr>
            <w:tcW w:w="1060" w:type="dxa"/>
            <w:vAlign w:val="bottom"/>
            <w:shd w:val="clear" w:color="auto" w:fill="F7F1EC"/>
          </w:tcPr>
          <w:p>
            <w:pPr>
              <w:spacing w:after="0"/>
              <w:rPr>
                <w:sz w:val="15"/>
                <w:szCs w:val="15"/>
                <w:color w:val="auto"/>
              </w:rPr>
            </w:pPr>
          </w:p>
        </w:tc>
        <w:tc>
          <w:tcPr>
            <w:tcW w:w="800" w:type="dxa"/>
            <w:vAlign w:val="bottom"/>
            <w:shd w:val="clear" w:color="auto" w:fill="F7F1EC"/>
          </w:tcPr>
          <w:p>
            <w:pPr>
              <w:spacing w:after="0"/>
              <w:rPr>
                <w:sz w:val="15"/>
                <w:szCs w:val="15"/>
                <w:color w:val="auto"/>
              </w:rPr>
            </w:pPr>
          </w:p>
        </w:tc>
        <w:tc>
          <w:tcPr>
            <w:tcW w:w="0" w:type="dxa"/>
            <w:vAlign w:val="bottom"/>
          </w:tcPr>
          <w:p>
            <w:pPr>
              <w:spacing w:after="0"/>
              <w:rPr>
                <w:sz w:val="1"/>
                <w:szCs w:val="1"/>
                <w:color w:val="auto"/>
              </w:rPr>
            </w:pPr>
          </w:p>
        </w:tc>
      </w:tr>
      <w:tr>
        <w:trPr>
          <w:trHeight w:val="45"/>
        </w:trPr>
        <w:tc>
          <w:tcPr>
            <w:tcW w:w="2780" w:type="dxa"/>
            <w:vAlign w:val="bottom"/>
            <w:shd w:val="clear" w:color="auto" w:fill="F7F1EC"/>
          </w:tcPr>
          <w:p>
            <w:pPr>
              <w:spacing w:after="0"/>
              <w:rPr>
                <w:sz w:val="3"/>
                <w:szCs w:val="3"/>
                <w:color w:val="auto"/>
              </w:rPr>
            </w:pPr>
          </w:p>
        </w:tc>
        <w:tc>
          <w:tcPr>
            <w:tcW w:w="160" w:type="dxa"/>
            <w:vAlign w:val="bottom"/>
            <w:shd w:val="clear" w:color="auto" w:fill="F7F1EC"/>
          </w:tcPr>
          <w:p>
            <w:pPr>
              <w:spacing w:after="0"/>
              <w:rPr>
                <w:sz w:val="3"/>
                <w:szCs w:val="3"/>
                <w:color w:val="auto"/>
              </w:rPr>
            </w:pPr>
          </w:p>
        </w:tc>
        <w:tc>
          <w:tcPr>
            <w:tcW w:w="440" w:type="dxa"/>
            <w:vAlign w:val="bottom"/>
            <w:shd w:val="clear" w:color="auto" w:fill="F7F1EC"/>
          </w:tcPr>
          <w:p>
            <w:pPr>
              <w:spacing w:after="0"/>
              <w:rPr>
                <w:sz w:val="3"/>
                <w:szCs w:val="3"/>
                <w:color w:val="auto"/>
              </w:rPr>
            </w:pPr>
          </w:p>
        </w:tc>
        <w:tc>
          <w:tcPr>
            <w:tcW w:w="840" w:type="dxa"/>
            <w:vAlign w:val="bottom"/>
            <w:shd w:val="clear" w:color="auto" w:fill="F7F1EC"/>
          </w:tcPr>
          <w:p>
            <w:pPr>
              <w:spacing w:after="0"/>
              <w:rPr>
                <w:sz w:val="3"/>
                <w:szCs w:val="3"/>
                <w:color w:val="auto"/>
              </w:rPr>
            </w:pPr>
          </w:p>
        </w:tc>
        <w:tc>
          <w:tcPr>
            <w:tcW w:w="880" w:type="dxa"/>
            <w:vAlign w:val="bottom"/>
            <w:shd w:val="clear" w:color="auto" w:fill="F7F1EC"/>
          </w:tcPr>
          <w:p>
            <w:pPr>
              <w:spacing w:after="0"/>
              <w:rPr>
                <w:sz w:val="3"/>
                <w:szCs w:val="3"/>
                <w:color w:val="auto"/>
              </w:rPr>
            </w:pPr>
          </w:p>
        </w:tc>
        <w:tc>
          <w:tcPr>
            <w:tcW w:w="1000" w:type="dxa"/>
            <w:vAlign w:val="bottom"/>
            <w:shd w:val="clear" w:color="auto" w:fill="F7F1EC"/>
          </w:tcPr>
          <w:p>
            <w:pPr>
              <w:spacing w:after="0"/>
              <w:rPr>
                <w:sz w:val="3"/>
                <w:szCs w:val="3"/>
                <w:color w:val="auto"/>
              </w:rPr>
            </w:pPr>
          </w:p>
        </w:tc>
        <w:tc>
          <w:tcPr>
            <w:tcW w:w="1060" w:type="dxa"/>
            <w:vAlign w:val="bottom"/>
            <w:shd w:val="clear" w:color="auto" w:fill="F7F1EC"/>
          </w:tcPr>
          <w:p>
            <w:pPr>
              <w:spacing w:after="0"/>
              <w:rPr>
                <w:sz w:val="3"/>
                <w:szCs w:val="3"/>
                <w:color w:val="auto"/>
              </w:rPr>
            </w:pPr>
          </w:p>
        </w:tc>
        <w:tc>
          <w:tcPr>
            <w:tcW w:w="800" w:type="dxa"/>
            <w:vAlign w:val="bottom"/>
            <w:shd w:val="clear" w:color="auto" w:fill="F7F1EC"/>
          </w:tcPr>
          <w:p>
            <w:pPr>
              <w:spacing w:after="0"/>
              <w:rPr>
                <w:sz w:val="3"/>
                <w:szCs w:val="3"/>
                <w:color w:val="auto"/>
              </w:rPr>
            </w:pPr>
          </w:p>
        </w:tc>
        <w:tc>
          <w:tcPr>
            <w:tcW w:w="0" w:type="dxa"/>
            <w:vAlign w:val="bottom"/>
          </w:tcPr>
          <w:p>
            <w:pPr>
              <w:spacing w:after="0"/>
              <w:rPr>
                <w:sz w:val="1"/>
                <w:szCs w:val="1"/>
                <w:color w:val="auto"/>
              </w:rPr>
            </w:pPr>
          </w:p>
        </w:tc>
      </w:tr>
    </w:tbl>
    <w:p>
      <w:pPr>
        <w:spacing w:after="0" w:line="97" w:lineRule="exact"/>
        <w:rPr>
          <w:sz w:val="20"/>
          <w:szCs w:val="20"/>
          <w:color w:val="auto"/>
        </w:rPr>
      </w:pPr>
    </w:p>
    <w:p>
      <w:pPr>
        <w:ind w:left="240" w:right="40" w:hanging="233"/>
        <w:spacing w:after="0" w:line="227" w:lineRule="auto"/>
        <w:tabs>
          <w:tab w:leader="none" w:pos="240" w:val="left"/>
        </w:tabs>
        <w:numPr>
          <w:ilvl w:val="0"/>
          <w:numId w:val="92"/>
        </w:numPr>
        <w:rPr>
          <w:rFonts w:ascii="Arial" w:cs="Arial" w:eastAsia="Arial" w:hAnsi="Arial"/>
          <w:sz w:val="12"/>
          <w:szCs w:val="12"/>
          <w:color w:val="auto"/>
        </w:rPr>
      </w:pPr>
      <w:r>
        <w:rPr>
          <w:rFonts w:ascii="Arial" w:cs="Arial" w:eastAsia="Arial" w:hAnsi="Arial"/>
          <w:sz w:val="12"/>
          <w:szCs w:val="12"/>
          <w:color w:val="auto"/>
        </w:rPr>
        <w:t>Represents the aggregate grant date fair value of PSUs and RSUs, in each case computed in accordance with FASB ASC Topic 718 and, in the case of PSUs, based on the probable outcome of the performance conditions associated with such awards on the grant date. The aggregate grant date fair value of RSUs was determined based on the closing price of our Common Stock on the grant date (or, if the grant date was not a trading day, the closing price on the trading day that immediately precedes the grant date), discounted to reflect the absence of dividend rights in connection with such awards. The aggregate grant date fair value of PSUs is estimated using a Monte-Carlo simulation model as of the date of grant. Please see the heading “</w:t>
      </w:r>
      <w:r>
        <w:rPr>
          <w:rFonts w:ascii="Arial" w:cs="Arial" w:eastAsia="Arial" w:hAnsi="Arial"/>
          <w:sz w:val="12"/>
          <w:szCs w:val="12"/>
          <w:i w:val="1"/>
          <w:iCs w:val="1"/>
          <w:color w:val="auto"/>
        </w:rPr>
        <w:t>Share-Based Compensation</w:t>
      </w:r>
      <w:r>
        <w:rPr>
          <w:rFonts w:ascii="Arial" w:cs="Arial" w:eastAsia="Arial" w:hAnsi="Arial"/>
          <w:sz w:val="12"/>
          <w:szCs w:val="12"/>
          <w:color w:val="auto"/>
        </w:rPr>
        <w:t>” in Note 2—</w:t>
      </w:r>
      <w:r>
        <w:rPr>
          <w:rFonts w:ascii="Arial" w:cs="Arial" w:eastAsia="Arial" w:hAnsi="Arial"/>
          <w:sz w:val="12"/>
          <w:szCs w:val="12"/>
          <w:i w:val="1"/>
          <w:iCs w:val="1"/>
          <w:color w:val="auto"/>
        </w:rPr>
        <w:t>Summary of Significant Accounting Policies</w:t>
      </w:r>
      <w:r>
        <w:rPr>
          <w:rFonts w:ascii="Arial" w:cs="Arial" w:eastAsia="Arial" w:hAnsi="Arial"/>
          <w:sz w:val="12"/>
          <w:szCs w:val="12"/>
          <w:color w:val="auto"/>
        </w:rPr>
        <w:t>, to our consolidated financial statements filed with our annual reports on Form 10-K for the years ended December 31, 2025, 2024 and 2023. Pursuant to SEC rules, the amounts shown exclude the impact of estimated forfeitures related to service-based vesting conditions. The table below shows the grant date fair value of PSU awards granted in 2025, 2024 and 2023 assuming target and maximum levels of performance are achieved (amounts under the “Stock Awards” column above represent the aggregate</w:t>
      </w:r>
    </w:p>
    <w:p>
      <w:pPr>
        <w:spacing w:after="0" w:line="2759" w:lineRule="exact"/>
        <w:rPr>
          <w:sz w:val="20"/>
          <w:szCs w:val="20"/>
          <w:color w:val="auto"/>
        </w:rPr>
      </w:pPr>
    </w:p>
    <w:p>
      <w:pPr>
        <w:sectPr>
          <w:pgSz w:w="11900" w:h="16838" w:orient="portrait"/>
          <w:cols w:equalWidth="0" w:num="2">
            <w:col w:w="2160" w:space="560"/>
            <w:col w:w="7980"/>
          </w:cols>
          <w:pgMar w:left="320" w:top="464" w:right="879" w:bottom="1440" w:gutter="0" w:footer="0" w:header="0"/>
        </w:sectPr>
      </w:pPr>
    </w:p>
    <w:p>
      <w:pPr>
        <w:spacing w:after="0" w:line="200" w:lineRule="exact"/>
        <w:rPr>
          <w:sz w:val="20"/>
          <w:szCs w:val="20"/>
          <w:color w:val="auto"/>
        </w:rPr>
      </w:pPr>
    </w:p>
    <w:p>
      <w:pPr>
        <w:spacing w:after="0" w:line="385" w:lineRule="exact"/>
        <w:rPr>
          <w:sz w:val="20"/>
          <w:szCs w:val="20"/>
          <w:color w:val="auto"/>
        </w:rPr>
      </w:pPr>
    </w:p>
    <w:p>
      <w:pPr>
        <w:ind w:left="420"/>
        <w:spacing w:after="0"/>
        <w:tabs>
          <w:tab w:leader="none" w:pos="2380" w:val="left"/>
          <w:tab w:leader="none" w:pos="2800" w:val="left"/>
        </w:tabs>
        <w:rPr>
          <w:sz w:val="20"/>
          <w:szCs w:val="20"/>
          <w:color w:val="auto"/>
        </w:rPr>
      </w:pPr>
      <w:r>
        <w:rPr>
          <w:rFonts w:ascii="Arial" w:cs="Arial" w:eastAsia="Arial" w:hAnsi="Arial"/>
          <w:sz w:val="30"/>
          <w:szCs w:val="30"/>
          <w:color w:val="000000"/>
          <w:vertAlign w:val="superscript"/>
        </w:rPr>
        <w:t xml:space="preserve">             </w:t>
      </w:r>
      <w:r>
        <w:rPr>
          <w:sz w:val="20"/>
          <w:szCs w:val="20"/>
          <w:color w:val="auto"/>
        </w:rPr>
        <w:tab/>
      </w:r>
      <w:r>
        <w:rPr>
          <w:rFonts w:ascii="Arial" w:cs="Arial" w:eastAsia="Arial" w:hAnsi="Arial"/>
          <w:sz w:val="31"/>
          <w:szCs w:val="31"/>
          <w:color w:val="auto"/>
          <w:vertAlign w:val="superscript"/>
        </w:rPr>
        <w:t xml:space="preserve">    </w:t>
      </w:r>
      <w:r>
        <w:rPr>
          <w:sz w:val="20"/>
          <w:szCs w:val="20"/>
          <w:color w:val="auto"/>
        </w:rPr>
        <w:tab/>
      </w:r>
      <w:r>
        <w:rPr>
          <w:rFonts w:ascii="Arial" w:cs="Arial" w:eastAsia="Arial" w:hAnsi="Arial"/>
          <w:sz w:val="15"/>
          <w:szCs w:val="15"/>
          <w:b w:val="1"/>
          <w:bCs w:val="1"/>
          <w:color w:val="002B5F"/>
        </w:rPr>
        <w:t xml:space="preserve">60  </w:t>
      </w:r>
      <w:r>
        <w:rPr>
          <w:rFonts w:ascii="Arial" w:cs="Arial" w:eastAsia="Arial" w:hAnsi="Arial"/>
          <w:sz w:val="20"/>
          <w:szCs w:val="20"/>
          <w:color w:val="002B5F"/>
        </w:rPr>
        <w:t>|</w:t>
      </w:r>
      <w:r>
        <w:rPr>
          <w:rFonts w:ascii="Arial" w:cs="Arial" w:eastAsia="Arial" w:hAnsi="Arial"/>
          <w:sz w:val="15"/>
          <w:szCs w:val="15"/>
          <w:b w:val="1"/>
          <w:bCs w:val="1"/>
          <w:color w:val="002B5F"/>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6111875</wp:posOffset>
            </wp:positionH>
            <wp:positionV relativeFrom="paragraph">
              <wp:posOffset>-208915</wp:posOffset>
            </wp:positionV>
            <wp:extent cx="769620" cy="971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69620" cy="97155"/>
                    </a:xfrm>
                    <a:prstGeom prst="rect">
                      <a:avLst/>
                    </a:prstGeom>
                    <a:noFill/>
                  </pic:spPr>
                </pic:pic>
              </a:graphicData>
            </a:graphic>
          </wp:anchor>
        </w:drawing>
      </w:r>
    </w:p>
    <w:p>
      <w:pPr>
        <w:sectPr>
          <w:pgSz w:w="11900" w:h="16838" w:orient="portrait"/>
          <w:cols w:equalWidth="0" w:num="1">
            <w:col w:w="10700"/>
          </w:cols>
          <w:pgMar w:left="320" w:top="464" w:right="879" w:bottom="1440" w:gutter="0" w:footer="0" w:header="0"/>
          <w:type w:val="continuous"/>
        </w:sectPr>
      </w:pPr>
    </w:p>
    <w:bookmarkStart w:id="72" w:name="page73"/>
    <w:bookmarkEnd w:id="72"/>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5334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81215" cy="5334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5617845</wp:posOffset>
            </wp:positionH>
            <wp:positionV relativeFrom="paragraph">
              <wp:posOffset>260985</wp:posOffset>
            </wp:positionV>
            <wp:extent cx="1256030" cy="74720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1256030" cy="7472045"/>
                    </a:xfrm>
                    <a:prstGeom prst="rect">
                      <a:avLst/>
                    </a:prstGeom>
                    <a:noFill/>
                  </pic:spPr>
                </pic:pic>
              </a:graphicData>
            </a:graphic>
          </wp:anchor>
        </w:drawing>
      </w:r>
    </w:p>
    <w:p>
      <w:pPr>
        <w:sectPr>
          <w:pgSz w:w="11900" w:h="16838" w:orient="portrait"/>
          <w:cols w:equalWidth="0" w:num="1">
            <w:col w:w="10800"/>
          </w:cols>
          <w:pgMar w:left="320" w:top="464" w:right="779" w:bottom="1440" w:gutter="0" w:footer="0" w:header="0"/>
        </w:sectPr>
      </w:pPr>
    </w:p>
    <w:p>
      <w:pPr>
        <w:spacing w:after="0" w:line="200" w:lineRule="exact"/>
        <w:rPr>
          <w:sz w:val="20"/>
          <w:szCs w:val="20"/>
          <w:color w:val="auto"/>
        </w:rPr>
      </w:pPr>
    </w:p>
    <w:p>
      <w:pPr>
        <w:spacing w:after="0" w:line="282" w:lineRule="exact"/>
        <w:rPr>
          <w:sz w:val="20"/>
          <w:szCs w:val="20"/>
          <w:color w:val="auto"/>
        </w:rPr>
      </w:pPr>
    </w:p>
    <w:p>
      <w:pPr>
        <w:ind w:left="760" w:right="540"/>
        <w:spacing w:after="0" w:line="238" w:lineRule="auto"/>
        <w:rPr>
          <w:sz w:val="20"/>
          <w:szCs w:val="20"/>
          <w:color w:val="auto"/>
        </w:rPr>
      </w:pPr>
      <w:r>
        <w:rPr>
          <w:rFonts w:ascii="Arial" w:cs="Arial" w:eastAsia="Arial" w:hAnsi="Arial"/>
          <w:sz w:val="12"/>
          <w:szCs w:val="12"/>
          <w:color w:val="auto"/>
        </w:rPr>
        <w:t>grant date fair value of PSUs based on the probable outcome of performance conditions, which for each of 2025, 2024 and 2023 assumed target level of performance was achieved).</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8"/>
          <w:szCs w:val="8"/>
          <w:color w:val="auto"/>
        </w:rPr>
        <w:t> </w:t>
      </w:r>
    </w:p>
    <w:p>
      <w:pPr>
        <w:spacing w:after="0" w:line="126" w:lineRule="exact"/>
        <w:rPr>
          <w:sz w:val="20"/>
          <w:szCs w:val="20"/>
          <w:color w:val="auto"/>
        </w:rPr>
      </w:pPr>
    </w:p>
    <w:p>
      <w:pPr>
        <w:ind w:left="4280"/>
        <w:spacing w:after="0"/>
        <w:tabs>
          <w:tab w:leader="none" w:pos="5960" w:val="left"/>
          <w:tab w:leader="none" w:pos="7540" w:val="left"/>
        </w:tabs>
        <w:rPr>
          <w:sz w:val="20"/>
          <w:szCs w:val="20"/>
          <w:color w:val="auto"/>
        </w:rPr>
      </w:pPr>
      <w:r>
        <w:rPr>
          <w:rFonts w:ascii="Arial" w:cs="Arial" w:eastAsia="Arial" w:hAnsi="Arial"/>
          <w:sz w:val="14"/>
          <w:szCs w:val="14"/>
          <w:b w:val="1"/>
          <w:bCs w:val="1"/>
          <w:color w:val="002B5F"/>
        </w:rPr>
        <w:t>2025</w:t>
      </w:r>
      <w:r>
        <w:rPr>
          <w:sz w:val="20"/>
          <w:szCs w:val="20"/>
          <w:color w:val="auto"/>
        </w:rPr>
        <w:tab/>
      </w:r>
      <w:r>
        <w:rPr>
          <w:rFonts w:ascii="Arial" w:cs="Arial" w:eastAsia="Arial" w:hAnsi="Arial"/>
          <w:sz w:val="14"/>
          <w:szCs w:val="14"/>
          <w:b w:val="1"/>
          <w:bCs w:val="1"/>
          <w:color w:val="002B5F"/>
        </w:rPr>
        <w:t>2024</w:t>
      </w:r>
      <w:r>
        <w:rPr>
          <w:sz w:val="20"/>
          <w:szCs w:val="20"/>
          <w:color w:val="auto"/>
        </w:rPr>
        <w:tab/>
      </w:r>
      <w:r>
        <w:rPr>
          <w:rFonts w:ascii="Arial" w:cs="Arial" w:eastAsia="Arial" w:hAnsi="Arial"/>
          <w:sz w:val="12"/>
          <w:szCs w:val="12"/>
          <w:b w:val="1"/>
          <w:bCs w:val="1"/>
          <w:color w:val="002B5F"/>
        </w:rPr>
        <w:t>2023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2"/>
        </w:trPr>
        <w:tc>
          <w:tcPr>
            <w:tcW w:w="920" w:type="dxa"/>
            <w:vAlign w:val="bottom"/>
          </w:tcPr>
          <w:p>
            <w:pPr>
              <w:spacing w:after="0"/>
              <w:rPr>
                <w:sz w:val="20"/>
                <w:szCs w:val="20"/>
                <w:color w:val="auto"/>
              </w:rPr>
            </w:pPr>
            <w:r>
              <w:rPr>
                <w:rFonts w:ascii="Arial" w:cs="Arial" w:eastAsia="Arial" w:hAnsi="Arial"/>
                <w:sz w:val="12"/>
                <w:szCs w:val="12"/>
                <w:color w:val="FFFFFF"/>
              </w:rPr>
              <w:t>General</w:t>
            </w:r>
          </w:p>
        </w:tc>
        <w:tc>
          <w:tcPr>
            <w:tcW w:w="660" w:type="dxa"/>
            <w:vAlign w:val="bottom"/>
          </w:tcPr>
          <w:p>
            <w:pPr>
              <w:ind w:left="300"/>
              <w:spacing w:after="0"/>
              <w:rPr>
                <w:sz w:val="20"/>
                <w:szCs w:val="20"/>
                <w:color w:val="auto"/>
              </w:rPr>
            </w:pPr>
            <w:r>
              <w:rPr>
                <w:rFonts w:ascii="Arial" w:cs="Arial" w:eastAsia="Arial" w:hAnsi="Arial"/>
                <w:sz w:val="15"/>
                <w:szCs w:val="15"/>
                <w:color w:val="auto"/>
              </w:rPr>
              <w:t xml:space="preserve">       </w:t>
            </w:r>
          </w:p>
        </w:tc>
      </w:tr>
      <w:tr>
        <w:trPr>
          <w:trHeight w:val="158"/>
        </w:trPr>
        <w:tc>
          <w:tcPr>
            <w:tcW w:w="920" w:type="dxa"/>
            <w:vAlign w:val="bottom"/>
          </w:tcPr>
          <w:p>
            <w:pPr>
              <w:spacing w:after="0"/>
              <w:rPr>
                <w:sz w:val="20"/>
                <w:szCs w:val="20"/>
                <w:color w:val="auto"/>
              </w:rPr>
            </w:pPr>
            <w:r>
              <w:rPr>
                <w:rFonts w:ascii="Arial" w:cs="Arial" w:eastAsia="Arial" w:hAnsi="Arial"/>
                <w:sz w:val="12"/>
                <w:szCs w:val="12"/>
                <w:color w:val="FFFFFF"/>
              </w:rPr>
              <w:t>Information</w:t>
            </w:r>
          </w:p>
        </w:tc>
        <w:tc>
          <w:tcPr>
            <w:tcW w:w="660" w:type="dxa"/>
            <w:vAlign w:val="bottom"/>
          </w:tcPr>
          <w:p>
            <w:pPr>
              <w:spacing w:after="0"/>
              <w:rPr>
                <w:sz w:val="13"/>
                <w:szCs w:val="13"/>
                <w:color w:val="auto"/>
              </w:rPr>
            </w:pPr>
          </w:p>
        </w:tc>
      </w:tr>
    </w:tbl>
    <w:p>
      <w:pPr>
        <w:spacing w:after="0" w:line="103" w:lineRule="exact"/>
        <w:rPr>
          <w:sz w:val="20"/>
          <w:szCs w:val="20"/>
          <w:color w:val="auto"/>
        </w:rPr>
      </w:pPr>
    </w:p>
    <w:p>
      <w:pPr>
        <w:sectPr>
          <w:pgSz w:w="11900" w:h="16838" w:orient="portrait"/>
          <w:cols w:equalWidth="0" w:num="2">
            <w:col w:w="8920" w:space="300"/>
            <w:col w:w="1580"/>
          </w:cols>
          <w:pgMar w:left="320" w:top="464" w:right="779" w:bottom="1440" w:gutter="0" w:footer="0" w:header="0"/>
          <w:type w:val="continuous"/>
        </w:sectPr>
      </w:pPr>
    </w:p>
    <w:tbl>
      <w:tblPr>
        <w:tblLayout w:type="fixed"/>
        <w:tblInd w:w="780" w:type="dxa"/>
        <w:tblCellMar>
          <w:top w:w="0" w:type="dxa"/>
          <w:left w:w="0" w:type="dxa"/>
          <w:bottom w:w="0" w:type="dxa"/>
          <w:right w:w="0" w:type="dxa"/>
        </w:tblCellMar>
      </w:tblPr>
      <w:tr>
        <w:trPr>
          <w:trHeight w:val="136"/>
        </w:trPr>
        <w:tc>
          <w:tcPr>
            <w:tcW w:w="2740" w:type="dxa"/>
            <w:vAlign w:val="bottom"/>
          </w:tcPr>
          <w:p>
            <w:pPr>
              <w:ind w:left="80"/>
              <w:spacing w:after="0" w:line="137" w:lineRule="exact"/>
              <w:rPr>
                <w:sz w:val="20"/>
                <w:szCs w:val="20"/>
                <w:color w:val="auto"/>
              </w:rPr>
            </w:pPr>
            <w:r>
              <w:rPr>
                <w:rFonts w:ascii="Arial" w:cs="Arial" w:eastAsia="Arial" w:hAnsi="Arial"/>
                <w:sz w:val="14"/>
                <w:szCs w:val="14"/>
                <w:b w:val="1"/>
                <w:bCs w:val="1"/>
                <w:color w:val="002B5F"/>
              </w:rPr>
              <w:t>Named</w:t>
            </w:r>
          </w:p>
        </w:tc>
        <w:tc>
          <w:tcPr>
            <w:tcW w:w="140" w:type="dxa"/>
            <w:vAlign w:val="bottom"/>
          </w:tcPr>
          <w:p>
            <w:pPr>
              <w:spacing w:after="0"/>
              <w:rPr>
                <w:sz w:val="11"/>
                <w:szCs w:val="11"/>
                <w:color w:val="auto"/>
              </w:rPr>
            </w:pPr>
          </w:p>
        </w:tc>
        <w:tc>
          <w:tcPr>
            <w:tcW w:w="760" w:type="dxa"/>
            <w:vAlign w:val="bottom"/>
            <w:tcBorders>
              <w:top w:val="single" w:sz="8" w:color="002B5F"/>
            </w:tcBorders>
          </w:tcPr>
          <w:p>
            <w:pPr>
              <w:jc w:val="right"/>
              <w:ind w:right="172"/>
              <w:spacing w:after="0" w:line="137" w:lineRule="exact"/>
              <w:rPr>
                <w:sz w:val="20"/>
                <w:szCs w:val="20"/>
                <w:color w:val="auto"/>
              </w:rPr>
            </w:pPr>
            <w:r>
              <w:rPr>
                <w:rFonts w:ascii="Arial" w:cs="Arial" w:eastAsia="Arial" w:hAnsi="Arial"/>
                <w:sz w:val="14"/>
                <w:szCs w:val="14"/>
                <w:b w:val="1"/>
                <w:bCs w:val="1"/>
                <w:color w:val="002B5F"/>
              </w:rPr>
              <w:t>Target</w:t>
            </w:r>
          </w:p>
        </w:tc>
        <w:tc>
          <w:tcPr>
            <w:tcW w:w="780" w:type="dxa"/>
            <w:vAlign w:val="bottom"/>
            <w:tcBorders>
              <w:top w:val="single" w:sz="8" w:color="002B5F"/>
            </w:tcBorders>
          </w:tcPr>
          <w:p>
            <w:pPr>
              <w:jc w:val="center"/>
              <w:ind w:left="12"/>
              <w:spacing w:after="0" w:line="137" w:lineRule="exact"/>
              <w:rPr>
                <w:sz w:val="20"/>
                <w:szCs w:val="20"/>
                <w:color w:val="auto"/>
              </w:rPr>
            </w:pPr>
            <w:r>
              <w:rPr>
                <w:rFonts w:ascii="Arial" w:cs="Arial" w:eastAsia="Arial" w:hAnsi="Arial"/>
                <w:sz w:val="14"/>
                <w:szCs w:val="14"/>
                <w:b w:val="1"/>
                <w:bCs w:val="1"/>
                <w:color w:val="002B5F"/>
                <w:w w:val="95"/>
              </w:rPr>
              <w:t>Maximum</w:t>
            </w:r>
          </w:p>
        </w:tc>
        <w:tc>
          <w:tcPr>
            <w:tcW w:w="180" w:type="dxa"/>
            <w:vAlign w:val="bottom"/>
          </w:tcPr>
          <w:p>
            <w:pPr>
              <w:spacing w:after="0"/>
              <w:rPr>
                <w:sz w:val="11"/>
                <w:szCs w:val="11"/>
                <w:color w:val="auto"/>
              </w:rPr>
            </w:pPr>
          </w:p>
        </w:tc>
        <w:tc>
          <w:tcPr>
            <w:tcW w:w="760" w:type="dxa"/>
            <w:vAlign w:val="bottom"/>
            <w:tcBorders>
              <w:top w:val="single" w:sz="8" w:color="002B5F"/>
            </w:tcBorders>
          </w:tcPr>
          <w:p>
            <w:pPr>
              <w:jc w:val="right"/>
              <w:ind w:right="152"/>
              <w:spacing w:after="0" w:line="137" w:lineRule="exact"/>
              <w:rPr>
                <w:sz w:val="20"/>
                <w:szCs w:val="20"/>
                <w:color w:val="auto"/>
              </w:rPr>
            </w:pPr>
            <w:r>
              <w:rPr>
                <w:rFonts w:ascii="Arial" w:cs="Arial" w:eastAsia="Arial" w:hAnsi="Arial"/>
                <w:sz w:val="14"/>
                <w:szCs w:val="14"/>
                <w:b w:val="1"/>
                <w:bCs w:val="1"/>
                <w:color w:val="002B5F"/>
              </w:rPr>
              <w:t>Target</w:t>
            </w:r>
          </w:p>
        </w:tc>
        <w:tc>
          <w:tcPr>
            <w:tcW w:w="720" w:type="dxa"/>
            <w:vAlign w:val="bottom"/>
            <w:tcBorders>
              <w:top w:val="single" w:sz="8" w:color="002B5F"/>
            </w:tcBorders>
          </w:tcPr>
          <w:p>
            <w:pPr>
              <w:jc w:val="center"/>
              <w:ind w:left="32"/>
              <w:spacing w:after="0" w:line="137" w:lineRule="exact"/>
              <w:rPr>
                <w:sz w:val="20"/>
                <w:szCs w:val="20"/>
                <w:color w:val="auto"/>
              </w:rPr>
            </w:pPr>
            <w:r>
              <w:rPr>
                <w:rFonts w:ascii="Arial" w:cs="Arial" w:eastAsia="Arial" w:hAnsi="Arial"/>
                <w:sz w:val="14"/>
                <w:szCs w:val="14"/>
                <w:b w:val="1"/>
                <w:bCs w:val="1"/>
                <w:color w:val="002B5F"/>
                <w:w w:val="95"/>
              </w:rPr>
              <w:t>Maximum</w:t>
            </w:r>
          </w:p>
        </w:tc>
        <w:tc>
          <w:tcPr>
            <w:tcW w:w="180" w:type="dxa"/>
            <w:vAlign w:val="bottom"/>
          </w:tcPr>
          <w:p>
            <w:pPr>
              <w:spacing w:after="0"/>
              <w:rPr>
                <w:sz w:val="11"/>
                <w:szCs w:val="11"/>
                <w:color w:val="auto"/>
              </w:rPr>
            </w:pPr>
          </w:p>
        </w:tc>
        <w:tc>
          <w:tcPr>
            <w:tcW w:w="620" w:type="dxa"/>
            <w:vAlign w:val="bottom"/>
            <w:tcBorders>
              <w:top w:val="single" w:sz="8" w:color="002B5F"/>
            </w:tcBorders>
          </w:tcPr>
          <w:p>
            <w:pPr>
              <w:jc w:val="right"/>
              <w:ind w:right="72"/>
              <w:spacing w:after="0" w:line="137" w:lineRule="exact"/>
              <w:rPr>
                <w:sz w:val="20"/>
                <w:szCs w:val="20"/>
                <w:color w:val="auto"/>
              </w:rPr>
            </w:pPr>
            <w:r>
              <w:rPr>
                <w:rFonts w:ascii="Arial" w:cs="Arial" w:eastAsia="Arial" w:hAnsi="Arial"/>
                <w:sz w:val="14"/>
                <w:szCs w:val="14"/>
                <w:b w:val="1"/>
                <w:bCs w:val="1"/>
                <w:color w:val="002B5F"/>
              </w:rPr>
              <w:t>Target</w:t>
            </w:r>
          </w:p>
        </w:tc>
        <w:tc>
          <w:tcPr>
            <w:tcW w:w="680" w:type="dxa"/>
            <w:vAlign w:val="bottom"/>
            <w:tcBorders>
              <w:top w:val="single" w:sz="8" w:color="002B5F"/>
            </w:tcBorders>
          </w:tcPr>
          <w:p>
            <w:pPr>
              <w:jc w:val="center"/>
              <w:spacing w:after="0" w:line="137" w:lineRule="exact"/>
              <w:rPr>
                <w:sz w:val="20"/>
                <w:szCs w:val="20"/>
                <w:color w:val="auto"/>
              </w:rPr>
            </w:pPr>
            <w:r>
              <w:rPr>
                <w:rFonts w:ascii="Arial" w:cs="Arial" w:eastAsia="Arial" w:hAnsi="Arial"/>
                <w:sz w:val="14"/>
                <w:szCs w:val="14"/>
                <w:b w:val="1"/>
                <w:bCs w:val="1"/>
                <w:color w:val="002B5F"/>
                <w:w w:val="95"/>
              </w:rPr>
              <w:t>Maximum</w:t>
            </w:r>
          </w:p>
        </w:tc>
        <w:tc>
          <w:tcPr>
            <w:tcW w:w="80" w:type="dxa"/>
            <w:vAlign w:val="bottom"/>
          </w:tcPr>
          <w:p>
            <w:pPr>
              <w:spacing w:after="0"/>
              <w:rPr>
                <w:sz w:val="11"/>
                <w:szCs w:val="11"/>
                <w:color w:val="auto"/>
              </w:rPr>
            </w:pPr>
          </w:p>
        </w:tc>
      </w:tr>
      <w:tr>
        <w:trPr>
          <w:trHeight w:val="206"/>
        </w:trPr>
        <w:tc>
          <w:tcPr>
            <w:tcW w:w="2740" w:type="dxa"/>
            <w:vAlign w:val="bottom"/>
            <w:tcBorders>
              <w:bottom w:val="single" w:sz="8" w:color="002B5F"/>
            </w:tcBorders>
          </w:tcPr>
          <w:p>
            <w:pPr>
              <w:ind w:left="80"/>
              <w:spacing w:after="0"/>
              <w:rPr>
                <w:sz w:val="20"/>
                <w:szCs w:val="20"/>
                <w:color w:val="auto"/>
              </w:rPr>
            </w:pPr>
            <w:r>
              <w:rPr>
                <w:rFonts w:ascii="Arial" w:cs="Arial" w:eastAsia="Arial" w:hAnsi="Arial"/>
                <w:sz w:val="14"/>
                <w:szCs w:val="14"/>
                <w:b w:val="1"/>
                <w:bCs w:val="1"/>
                <w:color w:val="002B5F"/>
              </w:rPr>
              <w:t>Executive Officer</w:t>
            </w:r>
          </w:p>
        </w:tc>
        <w:tc>
          <w:tcPr>
            <w:tcW w:w="900" w:type="dxa"/>
            <w:vAlign w:val="bottom"/>
            <w:tcBorders>
              <w:bottom w:val="single" w:sz="8" w:color="002B5F"/>
            </w:tcBorders>
            <w:gridSpan w:val="2"/>
          </w:tcPr>
          <w:p>
            <w:pPr>
              <w:jc w:val="right"/>
              <w:ind w:right="292"/>
              <w:spacing w:after="0"/>
              <w:rPr>
                <w:sz w:val="20"/>
                <w:szCs w:val="20"/>
                <w:color w:val="auto"/>
              </w:rPr>
            </w:pPr>
            <w:r>
              <w:rPr>
                <w:rFonts w:ascii="Arial" w:cs="Arial" w:eastAsia="Arial" w:hAnsi="Arial"/>
                <w:sz w:val="14"/>
                <w:szCs w:val="14"/>
                <w:b w:val="1"/>
                <w:bCs w:val="1"/>
                <w:color w:val="002B5F"/>
              </w:rPr>
              <w:t>($)</w:t>
            </w:r>
          </w:p>
        </w:tc>
        <w:tc>
          <w:tcPr>
            <w:tcW w:w="780" w:type="dxa"/>
            <w:vAlign w:val="bottom"/>
            <w:tcBorders>
              <w:bottom w:val="single" w:sz="8" w:color="002B5F"/>
            </w:tcBorders>
          </w:tcPr>
          <w:p>
            <w:pPr>
              <w:jc w:val="right"/>
              <w:ind w:right="192"/>
              <w:spacing w:after="0"/>
              <w:rPr>
                <w:sz w:val="20"/>
                <w:szCs w:val="20"/>
                <w:color w:val="auto"/>
              </w:rPr>
            </w:pPr>
            <w:r>
              <w:rPr>
                <w:rFonts w:ascii="Arial" w:cs="Arial" w:eastAsia="Arial" w:hAnsi="Arial"/>
                <w:sz w:val="14"/>
                <w:szCs w:val="14"/>
                <w:b w:val="1"/>
                <w:bCs w:val="1"/>
                <w:color w:val="002B5F"/>
              </w:rPr>
              <w:t>($)</w:t>
            </w:r>
          </w:p>
        </w:tc>
        <w:tc>
          <w:tcPr>
            <w:tcW w:w="180" w:type="dxa"/>
            <w:vAlign w:val="bottom"/>
            <w:tcBorders>
              <w:bottom w:val="single" w:sz="8" w:color="002B5F"/>
            </w:tcBorders>
          </w:tcPr>
          <w:p>
            <w:pPr>
              <w:spacing w:after="0"/>
              <w:rPr>
                <w:sz w:val="17"/>
                <w:szCs w:val="17"/>
                <w:color w:val="auto"/>
              </w:rPr>
            </w:pPr>
          </w:p>
        </w:tc>
        <w:tc>
          <w:tcPr>
            <w:tcW w:w="760" w:type="dxa"/>
            <w:vAlign w:val="bottom"/>
            <w:tcBorders>
              <w:bottom w:val="single" w:sz="8" w:color="002B5F"/>
            </w:tcBorders>
          </w:tcPr>
          <w:p>
            <w:pPr>
              <w:jc w:val="right"/>
              <w:ind w:right="272"/>
              <w:spacing w:after="0"/>
              <w:rPr>
                <w:sz w:val="20"/>
                <w:szCs w:val="20"/>
                <w:color w:val="auto"/>
              </w:rPr>
            </w:pPr>
            <w:r>
              <w:rPr>
                <w:rFonts w:ascii="Arial" w:cs="Arial" w:eastAsia="Arial" w:hAnsi="Arial"/>
                <w:sz w:val="14"/>
                <w:szCs w:val="14"/>
                <w:b w:val="1"/>
                <w:bCs w:val="1"/>
                <w:color w:val="002B5F"/>
              </w:rPr>
              <w:t>($)</w:t>
            </w:r>
          </w:p>
        </w:tc>
        <w:tc>
          <w:tcPr>
            <w:tcW w:w="720" w:type="dxa"/>
            <w:vAlign w:val="bottom"/>
            <w:tcBorders>
              <w:bottom w:val="single" w:sz="8" w:color="002B5F"/>
            </w:tcBorders>
          </w:tcPr>
          <w:p>
            <w:pPr>
              <w:jc w:val="right"/>
              <w:ind w:right="152"/>
              <w:spacing w:after="0"/>
              <w:rPr>
                <w:sz w:val="20"/>
                <w:szCs w:val="20"/>
                <w:color w:val="auto"/>
              </w:rPr>
            </w:pPr>
            <w:r>
              <w:rPr>
                <w:rFonts w:ascii="Arial" w:cs="Arial" w:eastAsia="Arial" w:hAnsi="Arial"/>
                <w:sz w:val="14"/>
                <w:szCs w:val="14"/>
                <w:b w:val="1"/>
                <w:bCs w:val="1"/>
                <w:color w:val="002B5F"/>
              </w:rPr>
              <w:t>($)</w:t>
            </w:r>
          </w:p>
        </w:tc>
        <w:tc>
          <w:tcPr>
            <w:tcW w:w="180" w:type="dxa"/>
            <w:vAlign w:val="bottom"/>
            <w:tcBorders>
              <w:bottom w:val="single" w:sz="8" w:color="002B5F"/>
            </w:tcBorders>
          </w:tcPr>
          <w:p>
            <w:pPr>
              <w:spacing w:after="0"/>
              <w:rPr>
                <w:sz w:val="17"/>
                <w:szCs w:val="17"/>
                <w:color w:val="auto"/>
              </w:rPr>
            </w:pPr>
          </w:p>
        </w:tc>
        <w:tc>
          <w:tcPr>
            <w:tcW w:w="620" w:type="dxa"/>
            <w:vAlign w:val="bottom"/>
            <w:tcBorders>
              <w:bottom w:val="single" w:sz="8" w:color="002B5F"/>
            </w:tcBorders>
          </w:tcPr>
          <w:p>
            <w:pPr>
              <w:jc w:val="right"/>
              <w:ind w:right="192"/>
              <w:spacing w:after="0"/>
              <w:rPr>
                <w:sz w:val="20"/>
                <w:szCs w:val="20"/>
                <w:color w:val="auto"/>
              </w:rPr>
            </w:pPr>
            <w:r>
              <w:rPr>
                <w:rFonts w:ascii="Arial" w:cs="Arial" w:eastAsia="Arial" w:hAnsi="Arial"/>
                <w:sz w:val="14"/>
                <w:szCs w:val="14"/>
                <w:b w:val="1"/>
                <w:bCs w:val="1"/>
                <w:color w:val="002B5F"/>
              </w:rPr>
              <w:t>($)</w:t>
            </w:r>
          </w:p>
        </w:tc>
        <w:tc>
          <w:tcPr>
            <w:tcW w:w="680" w:type="dxa"/>
            <w:vAlign w:val="bottom"/>
            <w:tcBorders>
              <w:bottom w:val="single" w:sz="8" w:color="002B5F"/>
            </w:tcBorders>
          </w:tcPr>
          <w:p>
            <w:pPr>
              <w:jc w:val="right"/>
              <w:ind w:right="152"/>
              <w:spacing w:after="0"/>
              <w:rPr>
                <w:sz w:val="20"/>
                <w:szCs w:val="20"/>
                <w:color w:val="auto"/>
              </w:rPr>
            </w:pPr>
            <w:r>
              <w:rPr>
                <w:rFonts w:ascii="Arial" w:cs="Arial" w:eastAsia="Arial" w:hAnsi="Arial"/>
                <w:sz w:val="14"/>
                <w:szCs w:val="14"/>
                <w:b w:val="1"/>
                <w:bCs w:val="1"/>
                <w:color w:val="002B5F"/>
              </w:rPr>
              <w:t>($)</w:t>
            </w:r>
          </w:p>
        </w:tc>
        <w:tc>
          <w:tcPr>
            <w:tcW w:w="80" w:type="dxa"/>
            <w:vAlign w:val="bottom"/>
            <w:tcBorders>
              <w:bottom w:val="single" w:sz="8" w:color="002B5F"/>
            </w:tcBorders>
          </w:tcPr>
          <w:p>
            <w:pPr>
              <w:spacing w:after="0"/>
              <w:rPr>
                <w:sz w:val="17"/>
                <w:szCs w:val="17"/>
                <w:color w:val="auto"/>
              </w:rPr>
            </w:pPr>
          </w:p>
        </w:tc>
      </w:tr>
      <w:tr>
        <w:trPr>
          <w:trHeight w:val="248"/>
        </w:trPr>
        <w:tc>
          <w:tcPr>
            <w:tcW w:w="2740" w:type="dxa"/>
            <w:vAlign w:val="bottom"/>
            <w:tcBorders>
              <w:bottom w:val="single" w:sz="8" w:color="F7F1EC"/>
            </w:tcBorders>
            <w:shd w:val="clear" w:color="auto" w:fill="F7F1EC"/>
          </w:tcPr>
          <w:p>
            <w:pPr>
              <w:ind w:left="80"/>
              <w:spacing w:after="0"/>
              <w:rPr>
                <w:sz w:val="20"/>
                <w:szCs w:val="20"/>
                <w:color w:val="auto"/>
              </w:rPr>
            </w:pPr>
            <w:r>
              <w:rPr>
                <w:rFonts w:ascii="Arial" w:cs="Arial" w:eastAsia="Arial" w:hAnsi="Arial"/>
                <w:sz w:val="14"/>
                <w:szCs w:val="14"/>
                <w:b w:val="1"/>
                <w:bCs w:val="1"/>
                <w:color w:val="B95827"/>
              </w:rPr>
              <w:t>Richard Steinmeier</w:t>
            </w:r>
          </w:p>
        </w:tc>
        <w:tc>
          <w:tcPr>
            <w:tcW w:w="900" w:type="dxa"/>
            <w:vAlign w:val="bottom"/>
            <w:tcBorders>
              <w:bottom w:val="single" w:sz="8" w:color="F7F1EC"/>
            </w:tcBorders>
            <w:gridSpan w:val="2"/>
            <w:shd w:val="clear" w:color="auto" w:fill="F7F1EC"/>
          </w:tcPr>
          <w:p>
            <w:pPr>
              <w:jc w:val="right"/>
              <w:ind w:right="52"/>
              <w:spacing w:after="0"/>
              <w:rPr>
                <w:sz w:val="20"/>
                <w:szCs w:val="20"/>
                <w:color w:val="auto"/>
              </w:rPr>
            </w:pPr>
            <w:r>
              <w:rPr>
                <w:rFonts w:ascii="Arial" w:cs="Arial" w:eastAsia="Arial" w:hAnsi="Arial"/>
                <w:sz w:val="14"/>
                <w:szCs w:val="14"/>
                <w:color w:val="auto"/>
              </w:rPr>
              <w:t>7,571,823</w:t>
            </w:r>
          </w:p>
        </w:tc>
        <w:tc>
          <w:tcPr>
            <w:tcW w:w="960" w:type="dxa"/>
            <w:vAlign w:val="bottom"/>
            <w:tcBorders>
              <w:bottom w:val="single" w:sz="8" w:color="F7F1EC"/>
            </w:tcBorders>
            <w:gridSpan w:val="2"/>
            <w:shd w:val="clear" w:color="auto" w:fill="F7F1EC"/>
          </w:tcPr>
          <w:p>
            <w:pPr>
              <w:jc w:val="right"/>
              <w:ind w:right="160"/>
              <w:spacing w:after="0"/>
              <w:rPr>
                <w:sz w:val="20"/>
                <w:szCs w:val="20"/>
                <w:color w:val="auto"/>
              </w:rPr>
            </w:pPr>
            <w:r>
              <w:rPr>
                <w:rFonts w:ascii="Arial" w:cs="Arial" w:eastAsia="Arial" w:hAnsi="Arial"/>
                <w:sz w:val="14"/>
                <w:szCs w:val="14"/>
                <w:color w:val="auto"/>
              </w:rPr>
              <w:t>15,143,646</w:t>
            </w:r>
          </w:p>
        </w:tc>
        <w:tc>
          <w:tcPr>
            <w:tcW w:w="760" w:type="dxa"/>
            <w:vAlign w:val="bottom"/>
            <w:tcBorders>
              <w:bottom w:val="single" w:sz="8" w:color="F7F1EC"/>
            </w:tcBorders>
            <w:shd w:val="clear" w:color="auto" w:fill="F7F1EC"/>
          </w:tcPr>
          <w:p>
            <w:pPr>
              <w:jc w:val="right"/>
              <w:ind w:right="32"/>
              <w:spacing w:after="0"/>
              <w:rPr>
                <w:sz w:val="20"/>
                <w:szCs w:val="20"/>
                <w:color w:val="auto"/>
              </w:rPr>
            </w:pPr>
            <w:r>
              <w:rPr>
                <w:rFonts w:ascii="Arial" w:cs="Arial" w:eastAsia="Arial" w:hAnsi="Arial"/>
                <w:sz w:val="14"/>
                <w:szCs w:val="14"/>
                <w:color w:val="auto"/>
              </w:rPr>
              <w:t>1,344,101</w:t>
            </w:r>
          </w:p>
        </w:tc>
        <w:tc>
          <w:tcPr>
            <w:tcW w:w="900" w:type="dxa"/>
            <w:vAlign w:val="bottom"/>
            <w:tcBorders>
              <w:bottom w:val="single" w:sz="8" w:color="F7F1EC"/>
            </w:tcBorders>
            <w:gridSpan w:val="2"/>
            <w:shd w:val="clear" w:color="auto" w:fill="F7F1EC"/>
          </w:tcPr>
          <w:p>
            <w:pPr>
              <w:jc w:val="right"/>
              <w:ind w:right="160"/>
              <w:spacing w:after="0"/>
              <w:rPr>
                <w:sz w:val="20"/>
                <w:szCs w:val="20"/>
                <w:color w:val="auto"/>
              </w:rPr>
            </w:pPr>
            <w:r>
              <w:rPr>
                <w:rFonts w:ascii="Arial" w:cs="Arial" w:eastAsia="Arial" w:hAnsi="Arial"/>
                <w:sz w:val="14"/>
                <w:szCs w:val="14"/>
                <w:color w:val="auto"/>
              </w:rPr>
              <w:t>2,688,202</w:t>
            </w:r>
          </w:p>
        </w:tc>
        <w:tc>
          <w:tcPr>
            <w:tcW w:w="620" w:type="dxa"/>
            <w:vAlign w:val="bottom"/>
            <w:tcBorders>
              <w:bottom w:val="single" w:sz="8" w:color="F7F1EC"/>
            </w:tcBorders>
            <w:shd w:val="clear" w:color="auto" w:fill="F7F1EC"/>
          </w:tcPr>
          <w:p>
            <w:pPr>
              <w:jc w:val="right"/>
              <w:ind w:right="12"/>
              <w:spacing w:after="0"/>
              <w:rPr>
                <w:sz w:val="20"/>
                <w:szCs w:val="20"/>
                <w:color w:val="auto"/>
              </w:rPr>
            </w:pPr>
            <w:r>
              <w:rPr>
                <w:rFonts w:ascii="Arial" w:cs="Arial" w:eastAsia="Arial" w:hAnsi="Arial"/>
                <w:sz w:val="14"/>
                <w:szCs w:val="14"/>
                <w:color w:val="auto"/>
              </w:rPr>
              <w:t>927,378</w:t>
            </w:r>
          </w:p>
        </w:tc>
        <w:tc>
          <w:tcPr>
            <w:tcW w:w="760" w:type="dxa"/>
            <w:vAlign w:val="bottom"/>
            <w:tcBorders>
              <w:bottom w:val="single" w:sz="8" w:color="F7F1EC"/>
            </w:tcBorders>
            <w:gridSpan w:val="2"/>
            <w:shd w:val="clear" w:color="auto" w:fill="F7F1EC"/>
          </w:tcPr>
          <w:p>
            <w:pPr>
              <w:jc w:val="right"/>
              <w:ind w:right="60"/>
              <w:spacing w:after="0"/>
              <w:rPr>
                <w:sz w:val="20"/>
                <w:szCs w:val="20"/>
                <w:color w:val="auto"/>
              </w:rPr>
            </w:pPr>
            <w:r>
              <w:rPr>
                <w:rFonts w:ascii="Arial" w:cs="Arial" w:eastAsia="Arial" w:hAnsi="Arial"/>
                <w:sz w:val="14"/>
                <w:szCs w:val="14"/>
                <w:color w:val="auto"/>
              </w:rPr>
              <w:t>1,854,756</w:t>
            </w:r>
          </w:p>
        </w:tc>
      </w:tr>
      <w:tr>
        <w:trPr>
          <w:trHeight w:val="254"/>
        </w:trPr>
        <w:tc>
          <w:tcPr>
            <w:tcW w:w="2740" w:type="dxa"/>
            <w:vAlign w:val="bottom"/>
          </w:tcPr>
          <w:p>
            <w:pPr>
              <w:ind w:left="80"/>
              <w:spacing w:after="0"/>
              <w:rPr>
                <w:sz w:val="20"/>
                <w:szCs w:val="20"/>
                <w:color w:val="auto"/>
              </w:rPr>
            </w:pPr>
            <w:r>
              <w:rPr>
                <w:rFonts w:ascii="Arial" w:cs="Arial" w:eastAsia="Arial" w:hAnsi="Arial"/>
                <w:sz w:val="14"/>
                <w:szCs w:val="14"/>
                <w:b w:val="1"/>
                <w:bCs w:val="1"/>
                <w:color w:val="B95827"/>
              </w:rPr>
              <w:t>Matthew Audette</w:t>
            </w:r>
          </w:p>
        </w:tc>
        <w:tc>
          <w:tcPr>
            <w:tcW w:w="900" w:type="dxa"/>
            <w:vAlign w:val="bottom"/>
            <w:gridSpan w:val="2"/>
          </w:tcPr>
          <w:p>
            <w:pPr>
              <w:jc w:val="right"/>
              <w:ind w:right="52"/>
              <w:spacing w:after="0"/>
              <w:rPr>
                <w:sz w:val="20"/>
                <w:szCs w:val="20"/>
                <w:color w:val="auto"/>
              </w:rPr>
            </w:pPr>
            <w:r>
              <w:rPr>
                <w:rFonts w:ascii="Arial" w:cs="Arial" w:eastAsia="Arial" w:hAnsi="Arial"/>
                <w:sz w:val="14"/>
                <w:szCs w:val="14"/>
                <w:color w:val="auto"/>
              </w:rPr>
              <w:t>4,152,726</w:t>
            </w: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8,305,451</w:t>
            </w:r>
          </w:p>
        </w:tc>
        <w:tc>
          <w:tcPr>
            <w:tcW w:w="760" w:type="dxa"/>
            <w:vAlign w:val="bottom"/>
          </w:tcPr>
          <w:p>
            <w:pPr>
              <w:jc w:val="right"/>
              <w:ind w:right="32"/>
              <w:spacing w:after="0"/>
              <w:rPr>
                <w:sz w:val="20"/>
                <w:szCs w:val="20"/>
                <w:color w:val="auto"/>
              </w:rPr>
            </w:pPr>
            <w:r>
              <w:rPr>
                <w:rFonts w:ascii="Arial" w:cs="Arial" w:eastAsia="Arial" w:hAnsi="Arial"/>
                <w:sz w:val="14"/>
                <w:szCs w:val="14"/>
                <w:color w:val="auto"/>
              </w:rPr>
              <w:t>1,218,124</w:t>
            </w: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2,436,248</w:t>
            </w:r>
          </w:p>
        </w:tc>
        <w:tc>
          <w:tcPr>
            <w:tcW w:w="620" w:type="dxa"/>
            <w:vAlign w:val="bottom"/>
          </w:tcPr>
          <w:p>
            <w:pPr>
              <w:jc w:val="right"/>
              <w:ind w:right="12"/>
              <w:spacing w:after="0"/>
              <w:rPr>
                <w:sz w:val="20"/>
                <w:szCs w:val="20"/>
                <w:color w:val="auto"/>
              </w:rPr>
            </w:pPr>
            <w:r>
              <w:rPr>
                <w:rFonts w:ascii="Arial" w:cs="Arial" w:eastAsia="Arial" w:hAnsi="Arial"/>
                <w:sz w:val="14"/>
                <w:szCs w:val="14"/>
                <w:color w:val="auto"/>
              </w:rPr>
              <w:t>885,406</w:t>
            </w:r>
          </w:p>
        </w:tc>
        <w:tc>
          <w:tcPr>
            <w:tcW w:w="760" w:type="dxa"/>
            <w:vAlign w:val="bottom"/>
            <w:gridSpan w:val="2"/>
          </w:tcPr>
          <w:p>
            <w:pPr>
              <w:jc w:val="right"/>
              <w:ind w:right="60"/>
              <w:spacing w:after="0"/>
              <w:rPr>
                <w:sz w:val="20"/>
                <w:szCs w:val="20"/>
                <w:color w:val="auto"/>
              </w:rPr>
            </w:pPr>
            <w:r>
              <w:rPr>
                <w:rFonts w:ascii="Arial" w:cs="Arial" w:eastAsia="Arial" w:hAnsi="Arial"/>
                <w:sz w:val="14"/>
                <w:szCs w:val="14"/>
                <w:color w:val="auto"/>
              </w:rPr>
              <w:t>1,770,812</w:t>
            </w:r>
          </w:p>
        </w:tc>
      </w:tr>
      <w:tr>
        <w:trPr>
          <w:trHeight w:val="27"/>
        </w:trPr>
        <w:tc>
          <w:tcPr>
            <w:tcW w:w="2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61"/>
        </w:trPr>
        <w:tc>
          <w:tcPr>
            <w:tcW w:w="2740" w:type="dxa"/>
            <w:vAlign w:val="bottom"/>
            <w:tcBorders>
              <w:bottom w:val="single" w:sz="8" w:color="F7F1EC"/>
            </w:tcBorders>
            <w:shd w:val="clear" w:color="auto" w:fill="F7F1EC"/>
          </w:tcPr>
          <w:p>
            <w:pPr>
              <w:ind w:left="80"/>
              <w:spacing w:after="0"/>
              <w:rPr>
                <w:sz w:val="20"/>
                <w:szCs w:val="20"/>
                <w:color w:val="auto"/>
              </w:rPr>
            </w:pPr>
            <w:r>
              <w:rPr>
                <w:rFonts w:ascii="Arial" w:cs="Arial" w:eastAsia="Arial" w:hAnsi="Arial"/>
                <w:sz w:val="14"/>
                <w:szCs w:val="14"/>
                <w:b w:val="1"/>
                <w:bCs w:val="1"/>
                <w:color w:val="B95827"/>
              </w:rPr>
              <w:t>Matthew Enyedi</w:t>
            </w:r>
          </w:p>
        </w:tc>
        <w:tc>
          <w:tcPr>
            <w:tcW w:w="900" w:type="dxa"/>
            <w:vAlign w:val="bottom"/>
            <w:tcBorders>
              <w:bottom w:val="single" w:sz="8" w:color="F7F1EC"/>
            </w:tcBorders>
            <w:gridSpan w:val="2"/>
            <w:shd w:val="clear" w:color="auto" w:fill="F7F1EC"/>
          </w:tcPr>
          <w:p>
            <w:pPr>
              <w:jc w:val="right"/>
              <w:ind w:right="52"/>
              <w:spacing w:after="0"/>
              <w:rPr>
                <w:sz w:val="20"/>
                <w:szCs w:val="20"/>
                <w:color w:val="auto"/>
              </w:rPr>
            </w:pPr>
            <w:r>
              <w:rPr>
                <w:rFonts w:ascii="Arial" w:cs="Arial" w:eastAsia="Arial" w:hAnsi="Arial"/>
                <w:sz w:val="14"/>
                <w:szCs w:val="14"/>
                <w:color w:val="auto"/>
              </w:rPr>
              <w:t>1,158,630</w:t>
            </w:r>
          </w:p>
        </w:tc>
        <w:tc>
          <w:tcPr>
            <w:tcW w:w="960" w:type="dxa"/>
            <w:vAlign w:val="bottom"/>
            <w:tcBorders>
              <w:bottom w:val="single" w:sz="8" w:color="F7F1EC"/>
            </w:tcBorders>
            <w:gridSpan w:val="2"/>
            <w:shd w:val="clear" w:color="auto" w:fill="F7F1EC"/>
          </w:tcPr>
          <w:p>
            <w:pPr>
              <w:jc w:val="right"/>
              <w:ind w:right="160"/>
              <w:spacing w:after="0"/>
              <w:rPr>
                <w:sz w:val="20"/>
                <w:szCs w:val="20"/>
                <w:color w:val="auto"/>
              </w:rPr>
            </w:pPr>
            <w:r>
              <w:rPr>
                <w:rFonts w:ascii="Arial" w:cs="Arial" w:eastAsia="Arial" w:hAnsi="Arial"/>
                <w:sz w:val="14"/>
                <w:szCs w:val="14"/>
                <w:color w:val="auto"/>
              </w:rPr>
              <w:t>2,317,259</w:t>
            </w:r>
          </w:p>
        </w:tc>
        <w:tc>
          <w:tcPr>
            <w:tcW w:w="760" w:type="dxa"/>
            <w:vAlign w:val="bottom"/>
            <w:tcBorders>
              <w:bottom w:val="single" w:sz="8" w:color="F7F1EC"/>
            </w:tcBorders>
            <w:shd w:val="clear" w:color="auto" w:fill="F7F1EC"/>
          </w:tcPr>
          <w:p>
            <w:pPr>
              <w:jc w:val="right"/>
              <w:ind w:right="32"/>
              <w:spacing w:after="0"/>
              <w:rPr>
                <w:sz w:val="20"/>
                <w:szCs w:val="20"/>
                <w:color w:val="auto"/>
              </w:rPr>
            </w:pPr>
            <w:r>
              <w:rPr>
                <w:rFonts w:ascii="Arial" w:cs="Arial" w:eastAsia="Arial" w:hAnsi="Arial"/>
                <w:sz w:val="14"/>
                <w:szCs w:val="14"/>
                <w:color w:val="auto"/>
              </w:rPr>
              <w:t>923,833</w:t>
            </w:r>
          </w:p>
        </w:tc>
        <w:tc>
          <w:tcPr>
            <w:tcW w:w="900" w:type="dxa"/>
            <w:vAlign w:val="bottom"/>
            <w:tcBorders>
              <w:bottom w:val="single" w:sz="8" w:color="F7F1EC"/>
            </w:tcBorders>
            <w:gridSpan w:val="2"/>
            <w:shd w:val="clear" w:color="auto" w:fill="F7F1EC"/>
          </w:tcPr>
          <w:p>
            <w:pPr>
              <w:jc w:val="right"/>
              <w:ind w:right="160"/>
              <w:spacing w:after="0"/>
              <w:rPr>
                <w:sz w:val="20"/>
                <w:szCs w:val="20"/>
                <w:color w:val="auto"/>
              </w:rPr>
            </w:pPr>
            <w:r>
              <w:rPr>
                <w:rFonts w:ascii="Arial" w:cs="Arial" w:eastAsia="Arial" w:hAnsi="Arial"/>
                <w:sz w:val="14"/>
                <w:szCs w:val="14"/>
                <w:color w:val="auto"/>
              </w:rPr>
              <w:t>1,847,666</w:t>
            </w:r>
          </w:p>
        </w:tc>
        <w:tc>
          <w:tcPr>
            <w:tcW w:w="620" w:type="dxa"/>
            <w:vAlign w:val="bottom"/>
            <w:tcBorders>
              <w:bottom w:val="single" w:sz="8" w:color="F7F1EC"/>
            </w:tcBorders>
            <w:shd w:val="clear" w:color="auto" w:fill="F7F1EC"/>
          </w:tcPr>
          <w:p>
            <w:pPr>
              <w:jc w:val="right"/>
              <w:ind w:right="12"/>
              <w:spacing w:after="0"/>
              <w:rPr>
                <w:sz w:val="20"/>
                <w:szCs w:val="20"/>
                <w:color w:val="auto"/>
              </w:rPr>
            </w:pPr>
            <w:r>
              <w:rPr>
                <w:rFonts w:ascii="Arial" w:cs="Arial" w:eastAsia="Arial" w:hAnsi="Arial"/>
                <w:sz w:val="14"/>
                <w:szCs w:val="14"/>
                <w:color w:val="auto"/>
              </w:rPr>
              <w:t>739,837</w:t>
            </w:r>
          </w:p>
        </w:tc>
        <w:tc>
          <w:tcPr>
            <w:tcW w:w="760" w:type="dxa"/>
            <w:vAlign w:val="bottom"/>
            <w:tcBorders>
              <w:bottom w:val="single" w:sz="8" w:color="F7F1EC"/>
            </w:tcBorders>
            <w:gridSpan w:val="2"/>
            <w:shd w:val="clear" w:color="auto" w:fill="F7F1EC"/>
          </w:tcPr>
          <w:p>
            <w:pPr>
              <w:jc w:val="right"/>
              <w:ind w:right="60"/>
              <w:spacing w:after="0"/>
              <w:rPr>
                <w:sz w:val="20"/>
                <w:szCs w:val="20"/>
                <w:color w:val="auto"/>
              </w:rPr>
            </w:pPr>
            <w:r>
              <w:rPr>
                <w:rFonts w:ascii="Arial" w:cs="Arial" w:eastAsia="Arial" w:hAnsi="Arial"/>
                <w:sz w:val="14"/>
                <w:szCs w:val="14"/>
                <w:color w:val="auto"/>
              </w:rPr>
              <w:t>1,479,674</w:t>
            </w:r>
          </w:p>
        </w:tc>
      </w:tr>
      <w:tr>
        <w:trPr>
          <w:trHeight w:val="254"/>
        </w:trPr>
        <w:tc>
          <w:tcPr>
            <w:tcW w:w="2740" w:type="dxa"/>
            <w:vAlign w:val="bottom"/>
          </w:tcPr>
          <w:p>
            <w:pPr>
              <w:ind w:left="80"/>
              <w:spacing w:after="0"/>
              <w:rPr>
                <w:sz w:val="20"/>
                <w:szCs w:val="20"/>
                <w:color w:val="auto"/>
              </w:rPr>
            </w:pPr>
            <w:r>
              <w:rPr>
                <w:rFonts w:ascii="Arial" w:cs="Arial" w:eastAsia="Arial" w:hAnsi="Arial"/>
                <w:sz w:val="14"/>
                <w:szCs w:val="14"/>
                <w:b w:val="1"/>
                <w:bCs w:val="1"/>
                <w:color w:val="B95827"/>
              </w:rPr>
              <w:t>Greg Gates</w:t>
            </w:r>
          </w:p>
        </w:tc>
        <w:tc>
          <w:tcPr>
            <w:tcW w:w="900" w:type="dxa"/>
            <w:vAlign w:val="bottom"/>
            <w:gridSpan w:val="2"/>
          </w:tcPr>
          <w:p>
            <w:pPr>
              <w:jc w:val="right"/>
              <w:ind w:right="52"/>
              <w:spacing w:after="0"/>
              <w:rPr>
                <w:sz w:val="20"/>
                <w:szCs w:val="20"/>
                <w:color w:val="auto"/>
              </w:rPr>
            </w:pPr>
            <w:r>
              <w:rPr>
                <w:rFonts w:ascii="Arial" w:cs="Arial" w:eastAsia="Arial" w:hAnsi="Arial"/>
                <w:sz w:val="14"/>
                <w:szCs w:val="14"/>
                <w:color w:val="auto"/>
              </w:rPr>
              <w:t>1,506,358</w:t>
            </w: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3,012,716</w:t>
            </w:r>
          </w:p>
        </w:tc>
        <w:tc>
          <w:tcPr>
            <w:tcW w:w="760" w:type="dxa"/>
            <w:vAlign w:val="bottom"/>
          </w:tcPr>
          <w:p>
            <w:pPr>
              <w:jc w:val="right"/>
              <w:ind w:right="32"/>
              <w:spacing w:after="0"/>
              <w:rPr>
                <w:sz w:val="20"/>
                <w:szCs w:val="20"/>
                <w:color w:val="auto"/>
              </w:rPr>
            </w:pPr>
            <w:r>
              <w:rPr>
                <w:rFonts w:ascii="Arial" w:cs="Arial" w:eastAsia="Arial" w:hAnsi="Arial"/>
                <w:sz w:val="14"/>
                <w:szCs w:val="14"/>
                <w:color w:val="auto"/>
              </w:rPr>
              <w:t>1,201,258</w:t>
            </w: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2,402,516</w:t>
            </w:r>
          </w:p>
        </w:tc>
        <w:tc>
          <w:tcPr>
            <w:tcW w:w="620" w:type="dxa"/>
            <w:vAlign w:val="bottom"/>
          </w:tcPr>
          <w:p>
            <w:pPr>
              <w:jc w:val="right"/>
              <w:ind w:right="12"/>
              <w:spacing w:after="0"/>
              <w:rPr>
                <w:sz w:val="20"/>
                <w:szCs w:val="20"/>
                <w:color w:val="auto"/>
              </w:rPr>
            </w:pPr>
            <w:r>
              <w:rPr>
                <w:rFonts w:ascii="Arial" w:cs="Arial" w:eastAsia="Arial" w:hAnsi="Arial"/>
                <w:sz w:val="14"/>
                <w:szCs w:val="14"/>
                <w:color w:val="auto"/>
              </w:rPr>
              <w:t>763,488</w:t>
            </w:r>
          </w:p>
        </w:tc>
        <w:tc>
          <w:tcPr>
            <w:tcW w:w="760" w:type="dxa"/>
            <w:vAlign w:val="bottom"/>
            <w:gridSpan w:val="2"/>
          </w:tcPr>
          <w:p>
            <w:pPr>
              <w:jc w:val="right"/>
              <w:ind w:right="60"/>
              <w:spacing w:after="0"/>
              <w:rPr>
                <w:sz w:val="20"/>
                <w:szCs w:val="20"/>
                <w:color w:val="auto"/>
              </w:rPr>
            </w:pPr>
            <w:r>
              <w:rPr>
                <w:rFonts w:ascii="Arial" w:cs="Arial" w:eastAsia="Arial" w:hAnsi="Arial"/>
                <w:sz w:val="14"/>
                <w:szCs w:val="14"/>
                <w:color w:val="auto"/>
              </w:rPr>
              <w:t>1,526,976</w:t>
            </w:r>
          </w:p>
        </w:tc>
      </w:tr>
      <w:tr>
        <w:trPr>
          <w:trHeight w:val="27"/>
        </w:trPr>
        <w:tc>
          <w:tcPr>
            <w:tcW w:w="2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54"/>
        </w:trPr>
        <w:tc>
          <w:tcPr>
            <w:tcW w:w="2740" w:type="dxa"/>
            <w:vAlign w:val="bottom"/>
            <w:shd w:val="clear" w:color="auto" w:fill="F7F1EC"/>
          </w:tcPr>
          <w:p>
            <w:pPr>
              <w:ind w:left="80"/>
              <w:spacing w:after="0"/>
              <w:rPr>
                <w:sz w:val="20"/>
                <w:szCs w:val="20"/>
                <w:color w:val="auto"/>
              </w:rPr>
            </w:pPr>
            <w:r>
              <w:rPr>
                <w:rFonts w:ascii="Arial" w:cs="Arial" w:eastAsia="Arial" w:hAnsi="Arial"/>
                <w:sz w:val="14"/>
                <w:szCs w:val="14"/>
                <w:b w:val="1"/>
                <w:bCs w:val="1"/>
                <w:color w:val="B95827"/>
              </w:rPr>
              <w:t>Aneri Jambusaria</w:t>
            </w:r>
          </w:p>
        </w:tc>
        <w:tc>
          <w:tcPr>
            <w:tcW w:w="900" w:type="dxa"/>
            <w:vAlign w:val="bottom"/>
            <w:gridSpan w:val="2"/>
            <w:shd w:val="clear" w:color="auto" w:fill="F7F1EC"/>
          </w:tcPr>
          <w:p>
            <w:pPr>
              <w:jc w:val="right"/>
              <w:ind w:right="52"/>
              <w:spacing w:after="0"/>
              <w:rPr>
                <w:sz w:val="20"/>
                <w:szCs w:val="20"/>
                <w:color w:val="auto"/>
              </w:rPr>
            </w:pPr>
            <w:r>
              <w:rPr>
                <w:rFonts w:ascii="Arial" w:cs="Arial" w:eastAsia="Arial" w:hAnsi="Arial"/>
                <w:sz w:val="14"/>
                <w:szCs w:val="14"/>
                <w:color w:val="auto"/>
              </w:rPr>
              <w:t>772,265</w:t>
            </w:r>
          </w:p>
        </w:tc>
        <w:tc>
          <w:tcPr>
            <w:tcW w:w="960" w:type="dxa"/>
            <w:vAlign w:val="bottom"/>
            <w:gridSpan w:val="2"/>
            <w:shd w:val="clear" w:color="auto" w:fill="F7F1EC"/>
          </w:tcPr>
          <w:p>
            <w:pPr>
              <w:jc w:val="right"/>
              <w:ind w:right="160"/>
              <w:spacing w:after="0"/>
              <w:rPr>
                <w:sz w:val="20"/>
                <w:szCs w:val="20"/>
                <w:color w:val="auto"/>
              </w:rPr>
            </w:pPr>
            <w:r>
              <w:rPr>
                <w:rFonts w:ascii="Arial" w:cs="Arial" w:eastAsia="Arial" w:hAnsi="Arial"/>
                <w:sz w:val="14"/>
                <w:szCs w:val="14"/>
                <w:color w:val="auto"/>
              </w:rPr>
              <w:t>1,544,529</w:t>
            </w:r>
          </w:p>
        </w:tc>
        <w:tc>
          <w:tcPr>
            <w:tcW w:w="760" w:type="dxa"/>
            <w:vAlign w:val="bottom"/>
            <w:shd w:val="clear" w:color="auto" w:fill="F7F1EC"/>
          </w:tcPr>
          <w:p>
            <w:pPr>
              <w:jc w:val="right"/>
              <w:ind w:right="32"/>
              <w:spacing w:after="0"/>
              <w:rPr>
                <w:sz w:val="20"/>
                <w:szCs w:val="20"/>
                <w:color w:val="auto"/>
              </w:rPr>
            </w:pPr>
            <w:r>
              <w:rPr>
                <w:rFonts w:ascii="Arial" w:cs="Arial" w:eastAsia="Arial" w:hAnsi="Arial"/>
                <w:sz w:val="14"/>
                <w:szCs w:val="14"/>
                <w:color w:val="auto"/>
              </w:rPr>
              <w:t>587,894</w:t>
            </w:r>
          </w:p>
        </w:tc>
        <w:tc>
          <w:tcPr>
            <w:tcW w:w="900" w:type="dxa"/>
            <w:vAlign w:val="bottom"/>
            <w:gridSpan w:val="2"/>
            <w:shd w:val="clear" w:color="auto" w:fill="F7F1EC"/>
          </w:tcPr>
          <w:p>
            <w:pPr>
              <w:jc w:val="right"/>
              <w:ind w:right="160"/>
              <w:spacing w:after="0"/>
              <w:rPr>
                <w:sz w:val="20"/>
                <w:szCs w:val="20"/>
                <w:color w:val="auto"/>
              </w:rPr>
            </w:pPr>
            <w:r>
              <w:rPr>
                <w:rFonts w:ascii="Arial" w:cs="Arial" w:eastAsia="Arial" w:hAnsi="Arial"/>
                <w:sz w:val="14"/>
                <w:szCs w:val="14"/>
                <w:color w:val="auto"/>
              </w:rPr>
              <w:t>1,175,787</w:t>
            </w:r>
          </w:p>
        </w:tc>
        <w:tc>
          <w:tcPr>
            <w:tcW w:w="620" w:type="dxa"/>
            <w:vAlign w:val="bottom"/>
            <w:shd w:val="clear" w:color="auto" w:fill="F7F1EC"/>
          </w:tcPr>
          <w:p>
            <w:pPr>
              <w:jc w:val="right"/>
              <w:ind w:right="12"/>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F7F1EC"/>
          </w:tcPr>
          <w:p>
            <w:pPr>
              <w:jc w:val="right"/>
              <w:ind w:right="60"/>
              <w:spacing w:after="0"/>
              <w:rPr>
                <w:sz w:val="20"/>
                <w:szCs w:val="20"/>
                <w:color w:val="auto"/>
              </w:rPr>
            </w:pPr>
            <w:r>
              <w:rPr>
                <w:rFonts w:ascii="Arial" w:cs="Arial" w:eastAsia="Arial" w:hAnsi="Arial"/>
                <w:sz w:val="14"/>
                <w:szCs w:val="14"/>
                <w:color w:val="auto"/>
              </w:rPr>
              <w:t>—</w:t>
            </w:r>
          </w:p>
        </w:tc>
      </w:tr>
      <w:tr>
        <w:trPr>
          <w:trHeight w:val="27"/>
        </w:trPr>
        <w:tc>
          <w:tcPr>
            <w:tcW w:w="2740" w:type="dxa"/>
            <w:vAlign w:val="bottom"/>
            <w:shd w:val="clear" w:color="auto" w:fill="F7F1EC"/>
          </w:tcPr>
          <w:p>
            <w:pPr>
              <w:spacing w:after="0"/>
              <w:rPr>
                <w:sz w:val="2"/>
                <w:szCs w:val="2"/>
                <w:color w:val="auto"/>
              </w:rPr>
            </w:pPr>
          </w:p>
        </w:tc>
        <w:tc>
          <w:tcPr>
            <w:tcW w:w="140" w:type="dxa"/>
            <w:vAlign w:val="bottom"/>
            <w:shd w:val="clear" w:color="auto" w:fill="F7F1EC"/>
          </w:tcPr>
          <w:p>
            <w:pPr>
              <w:spacing w:after="0"/>
              <w:rPr>
                <w:sz w:val="2"/>
                <w:szCs w:val="2"/>
                <w:color w:val="auto"/>
              </w:rPr>
            </w:pPr>
          </w:p>
        </w:tc>
        <w:tc>
          <w:tcPr>
            <w:tcW w:w="760" w:type="dxa"/>
            <w:vAlign w:val="bottom"/>
            <w:shd w:val="clear" w:color="auto" w:fill="F7F1EC"/>
          </w:tcPr>
          <w:p>
            <w:pPr>
              <w:spacing w:after="0"/>
              <w:rPr>
                <w:sz w:val="2"/>
                <w:szCs w:val="2"/>
                <w:color w:val="auto"/>
              </w:rPr>
            </w:pPr>
          </w:p>
        </w:tc>
        <w:tc>
          <w:tcPr>
            <w:tcW w:w="780" w:type="dxa"/>
            <w:vAlign w:val="bottom"/>
            <w:shd w:val="clear" w:color="auto" w:fill="F7F1EC"/>
          </w:tcPr>
          <w:p>
            <w:pPr>
              <w:spacing w:after="0"/>
              <w:rPr>
                <w:sz w:val="2"/>
                <w:szCs w:val="2"/>
                <w:color w:val="auto"/>
              </w:rPr>
            </w:pPr>
          </w:p>
        </w:tc>
        <w:tc>
          <w:tcPr>
            <w:tcW w:w="180" w:type="dxa"/>
            <w:vAlign w:val="bottom"/>
            <w:shd w:val="clear" w:color="auto" w:fill="F7F1EC"/>
          </w:tcPr>
          <w:p>
            <w:pPr>
              <w:spacing w:after="0"/>
              <w:rPr>
                <w:sz w:val="2"/>
                <w:szCs w:val="2"/>
                <w:color w:val="auto"/>
              </w:rPr>
            </w:pPr>
          </w:p>
        </w:tc>
        <w:tc>
          <w:tcPr>
            <w:tcW w:w="760" w:type="dxa"/>
            <w:vAlign w:val="bottom"/>
            <w:shd w:val="clear" w:color="auto" w:fill="F7F1EC"/>
          </w:tcPr>
          <w:p>
            <w:pPr>
              <w:spacing w:after="0"/>
              <w:rPr>
                <w:sz w:val="2"/>
                <w:szCs w:val="2"/>
                <w:color w:val="auto"/>
              </w:rPr>
            </w:pPr>
          </w:p>
        </w:tc>
        <w:tc>
          <w:tcPr>
            <w:tcW w:w="720" w:type="dxa"/>
            <w:vAlign w:val="bottom"/>
            <w:shd w:val="clear" w:color="auto" w:fill="F7F1EC"/>
          </w:tcPr>
          <w:p>
            <w:pPr>
              <w:spacing w:after="0"/>
              <w:rPr>
                <w:sz w:val="2"/>
                <w:szCs w:val="2"/>
                <w:color w:val="auto"/>
              </w:rPr>
            </w:pPr>
          </w:p>
        </w:tc>
        <w:tc>
          <w:tcPr>
            <w:tcW w:w="180" w:type="dxa"/>
            <w:vAlign w:val="bottom"/>
            <w:shd w:val="clear" w:color="auto" w:fill="F7F1EC"/>
          </w:tcPr>
          <w:p>
            <w:pPr>
              <w:spacing w:after="0"/>
              <w:rPr>
                <w:sz w:val="2"/>
                <w:szCs w:val="2"/>
                <w:color w:val="auto"/>
              </w:rPr>
            </w:pPr>
          </w:p>
        </w:tc>
        <w:tc>
          <w:tcPr>
            <w:tcW w:w="620" w:type="dxa"/>
            <w:vAlign w:val="bottom"/>
            <w:shd w:val="clear" w:color="auto" w:fill="F7F1EC"/>
          </w:tcPr>
          <w:p>
            <w:pPr>
              <w:spacing w:after="0"/>
              <w:rPr>
                <w:sz w:val="2"/>
                <w:szCs w:val="2"/>
                <w:color w:val="auto"/>
              </w:rPr>
            </w:pPr>
          </w:p>
        </w:tc>
        <w:tc>
          <w:tcPr>
            <w:tcW w:w="680" w:type="dxa"/>
            <w:vAlign w:val="bottom"/>
            <w:shd w:val="clear" w:color="auto" w:fill="F7F1EC"/>
          </w:tcPr>
          <w:p>
            <w:pPr>
              <w:spacing w:after="0"/>
              <w:rPr>
                <w:sz w:val="2"/>
                <w:szCs w:val="2"/>
                <w:color w:val="auto"/>
              </w:rPr>
            </w:pPr>
          </w:p>
        </w:tc>
        <w:tc>
          <w:tcPr>
            <w:tcW w:w="80" w:type="dxa"/>
            <w:vAlign w:val="bottom"/>
            <w:shd w:val="clear" w:color="auto" w:fill="F7F1EC"/>
          </w:tcPr>
          <w:p>
            <w:pPr>
              <w:spacing w:after="0"/>
              <w:rPr>
                <w:sz w:val="2"/>
                <w:szCs w:val="2"/>
                <w:color w:val="auto"/>
              </w:rPr>
            </w:pPr>
          </w:p>
        </w:tc>
      </w:tr>
    </w:tbl>
    <w:p>
      <w:pPr>
        <w:spacing w:after="0" w:line="97" w:lineRule="exact"/>
        <w:rPr>
          <w:sz w:val="20"/>
          <w:szCs w:val="20"/>
          <w:color w:val="auto"/>
        </w:rPr>
      </w:pPr>
    </w:p>
    <w:p>
      <w:pPr>
        <w:ind w:left="780" w:hanging="241"/>
        <w:spacing w:after="0"/>
        <w:tabs>
          <w:tab w:leader="none" w:pos="780" w:val="left"/>
        </w:tabs>
        <w:numPr>
          <w:ilvl w:val="0"/>
          <w:numId w:val="93"/>
        </w:numPr>
        <w:rPr>
          <w:rFonts w:ascii="Arial" w:cs="Arial" w:eastAsia="Arial" w:hAnsi="Arial"/>
          <w:sz w:val="12"/>
          <w:szCs w:val="12"/>
          <w:color w:val="auto"/>
        </w:rPr>
      </w:pPr>
      <w:r>
        <w:rPr>
          <w:rFonts w:ascii="Arial" w:cs="Arial" w:eastAsia="Arial" w:hAnsi="Arial"/>
          <w:sz w:val="12"/>
          <w:szCs w:val="12"/>
          <w:color w:val="auto"/>
        </w:rPr>
        <w:t>Represents the dollar value of annual cash bonus awards earned by each NEO for the relevant year.</w:t>
      </w:r>
    </w:p>
    <w:p>
      <w:pPr>
        <w:spacing w:after="0" w:line="53" w:lineRule="exact"/>
        <w:rPr>
          <w:rFonts w:ascii="Arial" w:cs="Arial" w:eastAsia="Arial" w:hAnsi="Arial"/>
          <w:sz w:val="12"/>
          <w:szCs w:val="12"/>
          <w:color w:val="auto"/>
        </w:rPr>
      </w:pPr>
    </w:p>
    <w:p>
      <w:pPr>
        <w:ind w:left="780" w:hanging="241"/>
        <w:spacing w:after="0"/>
        <w:tabs>
          <w:tab w:leader="none" w:pos="780" w:val="left"/>
        </w:tabs>
        <w:numPr>
          <w:ilvl w:val="0"/>
          <w:numId w:val="93"/>
        </w:numPr>
        <w:rPr>
          <w:rFonts w:ascii="Arial" w:cs="Arial" w:eastAsia="Arial" w:hAnsi="Arial"/>
          <w:sz w:val="12"/>
          <w:szCs w:val="12"/>
          <w:color w:val="auto"/>
        </w:rPr>
      </w:pPr>
      <w:r>
        <w:rPr>
          <w:rFonts w:ascii="Arial" w:cs="Arial" w:eastAsia="Arial" w:hAnsi="Arial"/>
          <w:sz w:val="12"/>
          <w:szCs w:val="12"/>
          <w:color w:val="auto"/>
        </w:rPr>
        <w:t>See “</w:t>
      </w:r>
      <w:r>
        <w:rPr>
          <w:rFonts w:ascii="Arial" w:cs="Arial" w:eastAsia="Arial" w:hAnsi="Arial"/>
          <w:sz w:val="12"/>
          <w:szCs w:val="12"/>
          <w:i w:val="1"/>
          <w:iCs w:val="1"/>
          <w:color w:val="auto"/>
        </w:rPr>
        <w:t>All Other Compensation</w:t>
      </w:r>
      <w:r>
        <w:rPr>
          <w:rFonts w:ascii="Arial" w:cs="Arial" w:eastAsia="Arial" w:hAnsi="Arial"/>
          <w:sz w:val="12"/>
          <w:szCs w:val="12"/>
          <w:color w:val="auto"/>
        </w:rPr>
        <w:t>” table below for additional information.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1"/>
          <w:szCs w:val="11"/>
          <w:color w:val="FFFFFF"/>
        </w:rPr>
        <w:t>General Information</w:t>
      </w:r>
    </w:p>
    <w:p>
      <w:pPr>
        <w:spacing w:after="0" w:line="3" w:lineRule="exact"/>
        <w:rPr>
          <w:sz w:val="20"/>
          <w:szCs w:val="20"/>
          <w:color w:val="auto"/>
        </w:rPr>
      </w:pPr>
    </w:p>
    <w:p>
      <w:pPr>
        <w:spacing w:after="0"/>
        <w:rPr>
          <w:sz w:val="20"/>
          <w:szCs w:val="20"/>
          <w:color w:val="auto"/>
        </w:rPr>
      </w:pPr>
      <w:r>
        <w:rPr>
          <w:rFonts w:ascii="Arial" w:cs="Arial" w:eastAsia="Arial" w:hAnsi="Arial"/>
          <w:sz w:val="12"/>
          <w:szCs w:val="12"/>
          <w:color w:val="FFFFFF"/>
        </w:rPr>
        <w:t>About Corporate</w:t>
      </w:r>
    </w:p>
    <w:p>
      <w:pPr>
        <w:spacing w:after="0" w:line="221" w:lineRule="auto"/>
        <w:rPr>
          <w:sz w:val="20"/>
          <w:szCs w:val="20"/>
          <w:color w:val="auto"/>
        </w:rPr>
      </w:pPr>
      <w:r>
        <w:rPr>
          <w:rFonts w:ascii="Arial" w:cs="Arial" w:eastAsia="Arial" w:hAnsi="Arial"/>
          <w:sz w:val="12"/>
          <w:szCs w:val="12"/>
          <w:color w:val="FFFFFF"/>
        </w:rPr>
        <w:t>Governance</w:t>
      </w:r>
    </w:p>
    <w:p>
      <w:pPr>
        <w:spacing w:after="0" w:line="222" w:lineRule="auto"/>
        <w:rPr>
          <w:sz w:val="20"/>
          <w:szCs w:val="20"/>
          <w:color w:val="auto"/>
        </w:rPr>
      </w:pPr>
      <w:r>
        <w:rPr>
          <w:rFonts w:ascii="Arial" w:cs="Arial" w:eastAsia="Arial" w:hAnsi="Arial"/>
          <w:sz w:val="12"/>
          <w:szCs w:val="12"/>
          <w:color w:val="FFFFFF"/>
        </w:rPr>
        <w:t>and the Board of</w:t>
      </w:r>
    </w:p>
    <w:p>
      <w:pPr>
        <w:spacing w:after="0" w:line="1" w:lineRule="exact"/>
        <w:rPr>
          <w:sz w:val="20"/>
          <w:szCs w:val="20"/>
          <w:color w:val="auto"/>
        </w:rPr>
      </w:pPr>
    </w:p>
    <w:p>
      <w:pPr>
        <w:spacing w:after="0"/>
        <w:rPr>
          <w:sz w:val="20"/>
          <w:szCs w:val="20"/>
          <w:color w:val="auto"/>
        </w:rPr>
      </w:pPr>
      <w:r>
        <w:rPr>
          <w:rFonts w:ascii="Arial" w:cs="Arial" w:eastAsia="Arial" w:hAnsi="Arial"/>
          <w:sz w:val="12"/>
          <w:szCs w:val="12"/>
          <w:color w:val="FFFFFF"/>
        </w:rPr>
        <w:t>Directors</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Proposal 1</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FFFFFF"/>
        </w:rPr>
        <w:t>Information</w:t>
      </w:r>
    </w:p>
    <w:p>
      <w:pPr>
        <w:spacing w:after="0" w:line="224" w:lineRule="auto"/>
        <w:rPr>
          <w:sz w:val="20"/>
          <w:szCs w:val="20"/>
          <w:color w:val="auto"/>
        </w:rPr>
      </w:pPr>
      <w:r>
        <w:rPr>
          <w:rFonts w:ascii="Arial" w:cs="Arial" w:eastAsia="Arial" w:hAnsi="Arial"/>
          <w:sz w:val="12"/>
          <w:szCs w:val="12"/>
          <w:color w:val="FFFFFF"/>
        </w:rPr>
        <w:t>Regarding Board</w:t>
      </w:r>
    </w:p>
    <w:p>
      <w:pPr>
        <w:spacing w:after="0" w:line="222" w:lineRule="auto"/>
        <w:rPr>
          <w:sz w:val="20"/>
          <w:szCs w:val="20"/>
          <w:color w:val="auto"/>
        </w:rPr>
      </w:pPr>
      <w:r>
        <w:rPr>
          <w:rFonts w:ascii="Arial" w:cs="Arial" w:eastAsia="Arial" w:hAnsi="Arial"/>
          <w:sz w:val="12"/>
          <w:szCs w:val="12"/>
          <w:color w:val="FFFFFF"/>
        </w:rPr>
        <w:t>and Committee</w:t>
      </w:r>
    </w:p>
    <w:p>
      <w:pPr>
        <w:spacing w:after="0"/>
        <w:rPr>
          <w:sz w:val="20"/>
          <w:szCs w:val="20"/>
          <w:color w:val="auto"/>
        </w:rPr>
      </w:pPr>
      <w:r>
        <w:rPr>
          <w:rFonts w:ascii="Arial" w:cs="Arial" w:eastAsia="Arial" w:hAnsi="Arial"/>
          <w:sz w:val="12"/>
          <w:szCs w:val="12"/>
          <w:color w:val="FFFFFF"/>
        </w:rPr>
        <w:t>Structure</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Board of Directors</w:t>
      </w:r>
    </w:p>
    <w:p>
      <w:pPr>
        <w:spacing w:after="0" w:line="2" w:lineRule="exact"/>
        <w:rPr>
          <w:sz w:val="20"/>
          <w:szCs w:val="20"/>
          <w:color w:val="auto"/>
        </w:rPr>
      </w:pPr>
    </w:p>
    <w:p>
      <w:pPr>
        <w:spacing w:after="0"/>
        <w:rPr>
          <w:sz w:val="20"/>
          <w:szCs w:val="20"/>
          <w:color w:val="auto"/>
        </w:rPr>
      </w:pPr>
      <w:r>
        <w:rPr>
          <w:rFonts w:ascii="Arial" w:cs="Arial" w:eastAsia="Arial" w:hAnsi="Arial"/>
          <w:sz w:val="12"/>
          <w:szCs w:val="12"/>
          <w:color w:val="FFFFFF"/>
        </w:rPr>
        <w:t>Compensation</w:t>
      </w:r>
    </w:p>
    <w:p>
      <w:pPr>
        <w:spacing w:after="0" w:line="145" w:lineRule="exact"/>
        <w:rPr>
          <w:sz w:val="20"/>
          <w:szCs w:val="20"/>
          <w:color w:val="auto"/>
        </w:rPr>
      </w:pPr>
    </w:p>
    <w:p>
      <w:pPr>
        <w:sectPr>
          <w:pgSz w:w="11900" w:h="16838" w:orient="portrait"/>
          <w:cols w:equalWidth="0" w:num="2">
            <w:col w:w="8500" w:space="720"/>
            <w:col w:w="1580"/>
          </w:cols>
          <w:pgMar w:left="320" w:top="464" w:right="779" w:bottom="1440" w:gutter="0" w:footer="0" w:header="0"/>
          <w:type w:val="continuous"/>
        </w:sectPr>
      </w:pPr>
    </w:p>
    <w:p>
      <w:pPr>
        <w:spacing w:after="0" w:line="36" w:lineRule="exact"/>
        <w:rPr>
          <w:sz w:val="20"/>
          <w:szCs w:val="20"/>
          <w:color w:val="auto"/>
        </w:rPr>
      </w:pPr>
    </w:p>
    <w:p>
      <w:pPr>
        <w:ind w:left="780" w:right="140" w:hanging="241"/>
        <w:spacing w:after="0" w:line="256" w:lineRule="auto"/>
        <w:tabs>
          <w:tab w:leader="none" w:pos="780" w:val="left"/>
        </w:tabs>
        <w:numPr>
          <w:ilvl w:val="0"/>
          <w:numId w:val="94"/>
        </w:numPr>
        <w:rPr>
          <w:rFonts w:ascii="Arial" w:cs="Arial" w:eastAsia="Arial" w:hAnsi="Arial"/>
          <w:sz w:val="12"/>
          <w:szCs w:val="12"/>
          <w:color w:val="auto"/>
        </w:rPr>
      </w:pPr>
      <w:r>
        <w:rPr>
          <w:rFonts w:ascii="Arial" w:cs="Arial" w:eastAsia="Arial" w:hAnsi="Arial"/>
          <w:sz w:val="12"/>
          <w:szCs w:val="12"/>
          <w:color w:val="auto"/>
        </w:rPr>
        <w:t>Effective February 10, 2025, Mr. Enyedi received an increase in base salary from $525,000 to $600,000; Mr. Gates received an increase in base salary from $550,000 to $600,000; and Ms. Jambusaria received an increase in base salary from $425,000 to $500,000.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FFFFFF"/>
        </w:rPr>
        <w:t>Compensation</w:t>
      </w:r>
    </w:p>
    <w:p>
      <w:pPr>
        <w:spacing w:after="0" w:line="221" w:lineRule="auto"/>
        <w:rPr>
          <w:sz w:val="20"/>
          <w:szCs w:val="20"/>
          <w:color w:val="auto"/>
        </w:rPr>
      </w:pPr>
      <w:r>
        <w:rPr>
          <w:rFonts w:ascii="Arial" w:cs="Arial" w:eastAsia="Arial" w:hAnsi="Arial"/>
          <w:sz w:val="12"/>
          <w:szCs w:val="12"/>
          <w:color w:val="FFFFFF"/>
        </w:rPr>
        <w:t>Discussion and</w:t>
      </w:r>
    </w:p>
    <w:p>
      <w:pPr>
        <w:spacing w:after="0" w:line="1" w:lineRule="exact"/>
        <w:rPr>
          <w:sz w:val="20"/>
          <w:szCs w:val="20"/>
          <w:color w:val="auto"/>
        </w:rPr>
      </w:pPr>
    </w:p>
    <w:p>
      <w:pPr>
        <w:spacing w:after="0"/>
        <w:rPr>
          <w:sz w:val="20"/>
          <w:szCs w:val="20"/>
          <w:color w:val="auto"/>
        </w:rPr>
      </w:pPr>
      <w:r>
        <w:rPr>
          <w:rFonts w:ascii="Arial" w:cs="Arial" w:eastAsia="Arial" w:hAnsi="Arial"/>
          <w:sz w:val="12"/>
          <w:szCs w:val="12"/>
          <w:color w:val="FFFFFF"/>
        </w:rPr>
        <w:t>Analysis</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Report of the</w:t>
      </w:r>
    </w:p>
    <w:p>
      <w:pPr>
        <w:spacing w:after="0" w:line="224" w:lineRule="auto"/>
        <w:rPr>
          <w:sz w:val="20"/>
          <w:szCs w:val="20"/>
          <w:color w:val="auto"/>
        </w:rPr>
      </w:pPr>
      <w:r>
        <w:rPr>
          <w:rFonts w:ascii="Arial" w:cs="Arial" w:eastAsia="Arial" w:hAnsi="Arial"/>
          <w:sz w:val="12"/>
          <w:szCs w:val="12"/>
          <w:color w:val="FFFFFF"/>
        </w:rPr>
        <w:t>Compensation</w:t>
      </w:r>
    </w:p>
    <w:p>
      <w:pPr>
        <w:spacing w:after="0" w:line="222" w:lineRule="auto"/>
        <w:rPr>
          <w:sz w:val="20"/>
          <w:szCs w:val="20"/>
          <w:color w:val="auto"/>
        </w:rPr>
      </w:pPr>
      <w:r>
        <w:rPr>
          <w:rFonts w:ascii="Arial" w:cs="Arial" w:eastAsia="Arial" w:hAnsi="Arial"/>
          <w:sz w:val="12"/>
          <w:szCs w:val="12"/>
          <w:color w:val="FFFFFF"/>
        </w:rPr>
        <w:t>and Human</w:t>
      </w:r>
    </w:p>
    <w:p>
      <w:pPr>
        <w:spacing w:after="0" w:line="222" w:lineRule="auto"/>
        <w:rPr>
          <w:sz w:val="20"/>
          <w:szCs w:val="20"/>
          <w:color w:val="auto"/>
        </w:rPr>
      </w:pPr>
      <w:r>
        <w:rPr>
          <w:rFonts w:ascii="Arial" w:cs="Arial" w:eastAsia="Arial" w:hAnsi="Arial"/>
          <w:sz w:val="12"/>
          <w:szCs w:val="12"/>
          <w:color w:val="FFFFFF"/>
        </w:rPr>
        <w:t>Resources</w:t>
      </w:r>
    </w:p>
    <w:p>
      <w:pPr>
        <w:spacing w:after="0" w:line="222" w:lineRule="auto"/>
        <w:rPr>
          <w:sz w:val="20"/>
          <w:szCs w:val="20"/>
          <w:color w:val="auto"/>
        </w:rPr>
      </w:pPr>
      <w:r>
        <w:rPr>
          <w:rFonts w:ascii="Arial" w:cs="Arial" w:eastAsia="Arial" w:hAnsi="Arial"/>
          <w:sz w:val="12"/>
          <w:szCs w:val="12"/>
          <w:color w:val="FFFFFF"/>
        </w:rPr>
        <w:t>Committee of the</w:t>
      </w:r>
    </w:p>
    <w:p>
      <w:pPr>
        <w:spacing w:after="0"/>
        <w:rPr>
          <w:sz w:val="20"/>
          <w:szCs w:val="20"/>
          <w:color w:val="auto"/>
        </w:rPr>
      </w:pPr>
      <w:r>
        <w:rPr>
          <w:rFonts w:ascii="Arial" w:cs="Arial" w:eastAsia="Arial" w:hAnsi="Arial"/>
          <w:sz w:val="11"/>
          <w:szCs w:val="11"/>
          <w:color w:val="FFFFFF"/>
        </w:rPr>
        <w:t>Board of Directors</w:t>
      </w:r>
    </w:p>
    <w:p>
      <w:pPr>
        <w:spacing w:after="0" w:line="155" w:lineRule="exact"/>
        <w:rPr>
          <w:sz w:val="20"/>
          <w:szCs w:val="20"/>
          <w:color w:val="auto"/>
        </w:rPr>
      </w:pPr>
    </w:p>
    <w:p>
      <w:pPr>
        <w:sectPr>
          <w:pgSz w:w="11900" w:h="16838" w:orient="portrait"/>
          <w:cols w:equalWidth="0" w:num="2">
            <w:col w:w="8500" w:space="720"/>
            <w:col w:w="1580"/>
          </w:cols>
          <w:pgMar w:left="320" w:top="464" w:right="779" w:bottom="1440" w:gutter="0" w:footer="0" w:header="0"/>
          <w:type w:val="continuous"/>
        </w:sectPr>
      </w:pPr>
    </w:p>
    <w:p>
      <w:pPr>
        <w:ind w:left="9220"/>
        <w:spacing w:after="0"/>
        <w:rPr>
          <w:sz w:val="20"/>
          <w:szCs w:val="20"/>
          <w:color w:val="auto"/>
        </w:rPr>
      </w:pPr>
      <w:r>
        <w:rPr>
          <w:rFonts w:ascii="Arial" w:cs="Arial" w:eastAsia="Arial" w:hAnsi="Arial"/>
          <w:sz w:val="12"/>
          <w:szCs w:val="12"/>
          <w:b w:val="1"/>
          <w:bCs w:val="1"/>
          <w:color w:val="FFFFFF"/>
        </w:rPr>
        <w:t>Compensation of</w:t>
      </w:r>
    </w:p>
    <w:p>
      <w:pPr>
        <w:ind w:left="9220"/>
        <w:spacing w:after="0" w:line="224" w:lineRule="auto"/>
        <w:rPr>
          <w:sz w:val="20"/>
          <w:szCs w:val="20"/>
          <w:color w:val="auto"/>
        </w:rPr>
      </w:pPr>
      <w:r>
        <w:rPr>
          <w:rFonts w:ascii="Arial" w:cs="Arial" w:eastAsia="Arial" w:hAnsi="Arial"/>
          <w:sz w:val="12"/>
          <w:szCs w:val="12"/>
          <w:b w:val="1"/>
          <w:bCs w:val="1"/>
          <w:color w:val="FFFFFF"/>
        </w:rPr>
        <w:t>Named Executive</w:t>
      </w:r>
    </w:p>
    <w:p>
      <w:pPr>
        <w:ind w:left="9220"/>
        <w:spacing w:after="0"/>
        <w:rPr>
          <w:sz w:val="20"/>
          <w:szCs w:val="20"/>
          <w:color w:val="auto"/>
        </w:rPr>
      </w:pPr>
      <w:r>
        <w:rPr>
          <w:rFonts w:ascii="Arial" w:cs="Arial" w:eastAsia="Arial" w:hAnsi="Arial"/>
          <w:sz w:val="12"/>
          <w:szCs w:val="12"/>
          <w:b w:val="1"/>
          <w:bCs w:val="1"/>
          <w:color w:val="FFFFFF"/>
        </w:rPr>
        <w:t>Officers</w:t>
      </w:r>
    </w:p>
    <w:p>
      <w:pPr>
        <w:spacing w:after="0" w:line="144" w:lineRule="exact"/>
        <w:rPr>
          <w:sz w:val="20"/>
          <w:szCs w:val="20"/>
          <w:color w:val="auto"/>
        </w:rPr>
      </w:pPr>
    </w:p>
    <w:p>
      <w:pPr>
        <w:ind w:left="9220"/>
        <w:spacing w:after="0"/>
        <w:rPr>
          <w:sz w:val="20"/>
          <w:szCs w:val="20"/>
          <w:color w:val="auto"/>
        </w:rPr>
      </w:pPr>
      <w:r>
        <w:rPr>
          <w:rFonts w:ascii="Arial" w:cs="Arial" w:eastAsia="Arial" w:hAnsi="Arial"/>
          <w:sz w:val="12"/>
          <w:szCs w:val="12"/>
          <w:color w:val="FFFFFF"/>
        </w:rPr>
        <w:t>Pay Versus</w:t>
      </w:r>
    </w:p>
    <w:p>
      <w:pPr>
        <w:ind w:left="9220"/>
        <w:spacing w:after="0" w:line="224" w:lineRule="auto"/>
        <w:rPr>
          <w:sz w:val="20"/>
          <w:szCs w:val="20"/>
          <w:color w:val="auto"/>
        </w:rPr>
      </w:pPr>
      <w:r>
        <w:rPr>
          <w:rFonts w:ascii="Arial" w:cs="Arial" w:eastAsia="Arial" w:hAnsi="Arial"/>
          <w:sz w:val="12"/>
          <w:szCs w:val="12"/>
          <w:color w:val="FFFFFF"/>
        </w:rPr>
        <w:t>Performance</w:t>
      </w:r>
    </w:p>
    <w:p>
      <w:pPr>
        <w:ind w:left="9220"/>
        <w:spacing w:after="0"/>
        <w:rPr>
          <w:sz w:val="20"/>
          <w:szCs w:val="20"/>
          <w:color w:val="auto"/>
        </w:rPr>
      </w:pPr>
      <w:r>
        <w:rPr>
          <w:rFonts w:ascii="Arial" w:cs="Arial" w:eastAsia="Arial" w:hAnsi="Arial"/>
          <w:sz w:val="12"/>
          <w:szCs w:val="12"/>
          <w:color w:val="FFFFFF"/>
        </w:rPr>
        <w:t>Disclosure</w:t>
      </w:r>
    </w:p>
    <w:p>
      <w:pPr>
        <w:spacing w:after="0" w:line="144" w:lineRule="exact"/>
        <w:rPr>
          <w:sz w:val="20"/>
          <w:szCs w:val="20"/>
          <w:color w:val="auto"/>
        </w:rPr>
      </w:pPr>
    </w:p>
    <w:p>
      <w:pPr>
        <w:ind w:left="9220"/>
        <w:spacing w:after="0"/>
        <w:rPr>
          <w:sz w:val="20"/>
          <w:szCs w:val="20"/>
          <w:color w:val="auto"/>
        </w:rPr>
      </w:pPr>
      <w:r>
        <w:rPr>
          <w:rFonts w:ascii="Arial" w:cs="Arial" w:eastAsia="Arial" w:hAnsi="Arial"/>
          <w:sz w:val="12"/>
          <w:szCs w:val="12"/>
          <w:color w:val="FFFFFF"/>
        </w:rPr>
        <w:t>Security</w:t>
      </w:r>
    </w:p>
    <w:p>
      <w:pPr>
        <w:ind w:left="9220"/>
        <w:spacing w:after="0" w:line="224" w:lineRule="auto"/>
        <w:rPr>
          <w:sz w:val="20"/>
          <w:szCs w:val="20"/>
          <w:color w:val="auto"/>
        </w:rPr>
      </w:pPr>
      <w:r>
        <w:rPr>
          <w:rFonts w:ascii="Arial" w:cs="Arial" w:eastAsia="Arial" w:hAnsi="Arial"/>
          <w:sz w:val="12"/>
          <w:szCs w:val="12"/>
          <w:color w:val="FFFFFF"/>
        </w:rPr>
        <w:t>Ownership of</w:t>
      </w:r>
    </w:p>
    <w:p>
      <w:pPr>
        <w:ind w:left="9220"/>
        <w:spacing w:after="0" w:line="222" w:lineRule="auto"/>
        <w:rPr>
          <w:sz w:val="20"/>
          <w:szCs w:val="20"/>
          <w:color w:val="auto"/>
        </w:rPr>
      </w:pPr>
      <w:r>
        <w:rPr>
          <w:rFonts w:ascii="Arial" w:cs="Arial" w:eastAsia="Arial" w:hAnsi="Arial"/>
          <w:sz w:val="12"/>
          <w:szCs w:val="12"/>
          <w:color w:val="FFFFFF"/>
        </w:rPr>
        <w:t>Certain Beneficial</w:t>
      </w:r>
    </w:p>
    <w:p>
      <w:pPr>
        <w:ind w:left="9220"/>
        <w:spacing w:after="0" w:line="222" w:lineRule="auto"/>
        <w:rPr>
          <w:sz w:val="20"/>
          <w:szCs w:val="20"/>
          <w:color w:val="auto"/>
        </w:rPr>
      </w:pPr>
      <w:r>
        <w:rPr>
          <w:rFonts w:ascii="Arial" w:cs="Arial" w:eastAsia="Arial" w:hAnsi="Arial"/>
          <w:sz w:val="12"/>
          <w:szCs w:val="12"/>
          <w:color w:val="FFFFFF"/>
        </w:rPr>
        <w:t>Owners and</w:t>
      </w:r>
    </w:p>
    <w:p>
      <w:pPr>
        <w:ind w:left="9220"/>
        <w:spacing w:after="0"/>
        <w:rPr>
          <w:sz w:val="20"/>
          <w:szCs w:val="20"/>
          <w:color w:val="auto"/>
        </w:rPr>
      </w:pPr>
      <w:r>
        <w:rPr>
          <w:rFonts w:ascii="Arial" w:cs="Arial" w:eastAsia="Arial" w:hAnsi="Arial"/>
          <w:sz w:val="12"/>
          <w:szCs w:val="12"/>
          <w:color w:val="FFFFFF"/>
        </w:rPr>
        <w:t>Management</w:t>
      </w:r>
    </w:p>
    <w:p>
      <w:pPr>
        <w:spacing w:after="0" w:line="144" w:lineRule="exact"/>
        <w:rPr>
          <w:sz w:val="20"/>
          <w:szCs w:val="20"/>
          <w:color w:val="auto"/>
        </w:rPr>
      </w:pPr>
    </w:p>
    <w:p>
      <w:pPr>
        <w:ind w:left="9220"/>
        <w:spacing w:after="0"/>
        <w:rPr>
          <w:sz w:val="20"/>
          <w:szCs w:val="20"/>
          <w:color w:val="auto"/>
        </w:rPr>
      </w:pPr>
      <w:r>
        <w:rPr>
          <w:rFonts w:ascii="Arial" w:cs="Arial" w:eastAsia="Arial" w:hAnsi="Arial"/>
          <w:sz w:val="12"/>
          <w:szCs w:val="12"/>
          <w:color w:val="FFFFFF"/>
        </w:rPr>
        <w:t>Certain</w:t>
      </w:r>
    </w:p>
    <w:p>
      <w:pPr>
        <w:ind w:left="9220"/>
        <w:spacing w:after="0" w:line="224" w:lineRule="auto"/>
        <w:rPr>
          <w:sz w:val="20"/>
          <w:szCs w:val="20"/>
          <w:color w:val="auto"/>
        </w:rPr>
      </w:pPr>
      <w:r>
        <w:rPr>
          <w:rFonts w:ascii="Arial" w:cs="Arial" w:eastAsia="Arial" w:hAnsi="Arial"/>
          <w:sz w:val="12"/>
          <w:szCs w:val="12"/>
          <w:color w:val="FFFFFF"/>
        </w:rPr>
        <w:t>Relationships and</w:t>
      </w:r>
    </w:p>
    <w:p>
      <w:pPr>
        <w:ind w:left="9220"/>
        <w:spacing w:after="0" w:line="222" w:lineRule="auto"/>
        <w:rPr>
          <w:sz w:val="20"/>
          <w:szCs w:val="20"/>
          <w:color w:val="auto"/>
        </w:rPr>
      </w:pPr>
      <w:r>
        <w:rPr>
          <w:rFonts w:ascii="Arial" w:cs="Arial" w:eastAsia="Arial" w:hAnsi="Arial"/>
          <w:sz w:val="12"/>
          <w:szCs w:val="12"/>
          <w:color w:val="FFFFFF"/>
        </w:rPr>
        <w:t>Related Party</w:t>
      </w:r>
    </w:p>
    <w:p>
      <w:pPr>
        <w:ind w:left="9220"/>
        <w:spacing w:after="0"/>
        <w:rPr>
          <w:sz w:val="20"/>
          <w:szCs w:val="20"/>
          <w:color w:val="auto"/>
        </w:rPr>
      </w:pPr>
      <w:r>
        <w:rPr>
          <w:rFonts w:ascii="Arial" w:cs="Arial" w:eastAsia="Arial" w:hAnsi="Arial"/>
          <w:sz w:val="12"/>
          <w:szCs w:val="12"/>
          <w:color w:val="FFFFFF"/>
        </w:rPr>
        <w:t>Transactions</w:t>
      </w:r>
    </w:p>
    <w:p>
      <w:pPr>
        <w:spacing w:after="0" w:line="144" w:lineRule="exact"/>
        <w:rPr>
          <w:sz w:val="20"/>
          <w:szCs w:val="20"/>
          <w:color w:val="auto"/>
        </w:rPr>
      </w:pPr>
    </w:p>
    <w:p>
      <w:pPr>
        <w:ind w:left="9220"/>
        <w:spacing w:after="0"/>
        <w:rPr>
          <w:sz w:val="20"/>
          <w:szCs w:val="20"/>
          <w:color w:val="auto"/>
        </w:rPr>
      </w:pPr>
      <w:r>
        <w:rPr>
          <w:rFonts w:ascii="Arial" w:cs="Arial" w:eastAsia="Arial" w:hAnsi="Arial"/>
          <w:sz w:val="12"/>
          <w:szCs w:val="12"/>
          <w:color w:val="FFFFFF"/>
        </w:rPr>
        <w:t>Proposal 2</w:t>
      </w:r>
    </w:p>
    <w:p>
      <w:pPr>
        <w:spacing w:after="0" w:line="156" w:lineRule="exact"/>
        <w:rPr>
          <w:sz w:val="20"/>
          <w:szCs w:val="20"/>
          <w:color w:val="auto"/>
        </w:rPr>
      </w:pPr>
    </w:p>
    <w:p>
      <w:pPr>
        <w:ind w:left="9220"/>
        <w:spacing w:after="0"/>
        <w:rPr>
          <w:sz w:val="20"/>
          <w:szCs w:val="20"/>
          <w:color w:val="auto"/>
        </w:rPr>
      </w:pPr>
      <w:r>
        <w:rPr>
          <w:rFonts w:ascii="Arial" w:cs="Arial" w:eastAsia="Arial" w:hAnsi="Arial"/>
          <w:sz w:val="12"/>
          <w:szCs w:val="12"/>
          <w:color w:val="FFFFFF"/>
        </w:rPr>
        <w:t>Report of the</w:t>
      </w:r>
    </w:p>
    <w:p>
      <w:pPr>
        <w:ind w:left="9220"/>
        <w:spacing w:after="0" w:line="224" w:lineRule="auto"/>
        <w:rPr>
          <w:sz w:val="20"/>
          <w:szCs w:val="20"/>
          <w:color w:val="auto"/>
        </w:rPr>
      </w:pPr>
      <w:r>
        <w:rPr>
          <w:rFonts w:ascii="Arial" w:cs="Arial" w:eastAsia="Arial" w:hAnsi="Arial"/>
          <w:sz w:val="12"/>
          <w:szCs w:val="12"/>
          <w:color w:val="FFFFFF"/>
        </w:rPr>
        <w:t>Audit and Risk</w:t>
      </w:r>
    </w:p>
    <w:p>
      <w:pPr>
        <w:ind w:left="9220"/>
        <w:spacing w:after="0" w:line="222" w:lineRule="auto"/>
        <w:rPr>
          <w:sz w:val="20"/>
          <w:szCs w:val="20"/>
          <w:color w:val="auto"/>
        </w:rPr>
      </w:pPr>
      <w:r>
        <w:rPr>
          <w:rFonts w:ascii="Arial" w:cs="Arial" w:eastAsia="Arial" w:hAnsi="Arial"/>
          <w:sz w:val="12"/>
          <w:szCs w:val="12"/>
          <w:color w:val="FFFFFF"/>
        </w:rPr>
        <w:t>Committee of the</w:t>
      </w:r>
    </w:p>
    <w:p>
      <w:pPr>
        <w:ind w:left="9220"/>
        <w:spacing w:after="0"/>
        <w:rPr>
          <w:sz w:val="20"/>
          <w:szCs w:val="20"/>
          <w:color w:val="auto"/>
        </w:rPr>
      </w:pPr>
      <w:r>
        <w:rPr>
          <w:rFonts w:ascii="Arial" w:cs="Arial" w:eastAsia="Arial" w:hAnsi="Arial"/>
          <w:sz w:val="12"/>
          <w:szCs w:val="12"/>
          <w:color w:val="FFFFFF"/>
        </w:rPr>
        <w:t>Board of Directors</w:t>
      </w:r>
    </w:p>
    <w:p>
      <w:pPr>
        <w:spacing w:after="0" w:line="144" w:lineRule="exact"/>
        <w:rPr>
          <w:sz w:val="20"/>
          <w:szCs w:val="20"/>
          <w:color w:val="auto"/>
        </w:rPr>
      </w:pPr>
    </w:p>
    <w:p>
      <w:pPr>
        <w:ind w:left="9220"/>
        <w:spacing w:after="0"/>
        <w:rPr>
          <w:sz w:val="20"/>
          <w:szCs w:val="20"/>
          <w:color w:val="auto"/>
        </w:rPr>
      </w:pPr>
      <w:r>
        <w:rPr>
          <w:rFonts w:ascii="Arial" w:cs="Arial" w:eastAsia="Arial" w:hAnsi="Arial"/>
          <w:sz w:val="12"/>
          <w:szCs w:val="12"/>
          <w:color w:val="FFFFFF"/>
        </w:rPr>
        <w:t>Proposal 3</w:t>
      </w:r>
    </w:p>
    <w:p>
      <w:pPr>
        <w:spacing w:after="0" w:line="156" w:lineRule="exact"/>
        <w:rPr>
          <w:sz w:val="20"/>
          <w:szCs w:val="20"/>
          <w:color w:val="auto"/>
        </w:rPr>
      </w:pPr>
    </w:p>
    <w:p>
      <w:pPr>
        <w:ind w:left="9220"/>
        <w:spacing w:after="0"/>
        <w:rPr>
          <w:sz w:val="20"/>
          <w:szCs w:val="20"/>
          <w:color w:val="auto"/>
        </w:rPr>
      </w:pPr>
      <w:r>
        <w:rPr>
          <w:rFonts w:ascii="Arial" w:cs="Arial" w:eastAsia="Arial" w:hAnsi="Arial"/>
          <w:sz w:val="12"/>
          <w:szCs w:val="12"/>
          <w:color w:val="FFFFFF"/>
        </w:rPr>
        <w:t>Proposal 4</w:t>
      </w:r>
    </w:p>
    <w:p>
      <w:pPr>
        <w:spacing w:after="0" w:line="156" w:lineRule="exact"/>
        <w:rPr>
          <w:sz w:val="20"/>
          <w:szCs w:val="20"/>
          <w:color w:val="auto"/>
        </w:rPr>
      </w:pPr>
    </w:p>
    <w:p>
      <w:pPr>
        <w:ind w:left="9220"/>
        <w:spacing w:after="0"/>
        <w:rPr>
          <w:sz w:val="20"/>
          <w:szCs w:val="20"/>
          <w:color w:val="auto"/>
        </w:rPr>
      </w:pPr>
      <w:r>
        <w:rPr>
          <w:rFonts w:ascii="Arial" w:cs="Arial" w:eastAsia="Arial" w:hAnsi="Arial"/>
          <w:sz w:val="12"/>
          <w:szCs w:val="12"/>
          <w:color w:val="FFFFFF"/>
        </w:rPr>
        <w:t>Proposal 5</w:t>
      </w:r>
    </w:p>
    <w:p>
      <w:pPr>
        <w:spacing w:after="0" w:line="156" w:lineRule="exact"/>
        <w:rPr>
          <w:sz w:val="20"/>
          <w:szCs w:val="20"/>
          <w:color w:val="auto"/>
        </w:rPr>
      </w:pPr>
    </w:p>
    <w:p>
      <w:pPr>
        <w:ind w:left="9220"/>
        <w:spacing w:after="0"/>
        <w:rPr>
          <w:sz w:val="20"/>
          <w:szCs w:val="20"/>
          <w:color w:val="auto"/>
        </w:rPr>
      </w:pPr>
      <w:r>
        <w:rPr>
          <w:rFonts w:ascii="Arial" w:cs="Arial" w:eastAsia="Arial" w:hAnsi="Arial"/>
          <w:sz w:val="12"/>
          <w:szCs w:val="12"/>
          <w:color w:val="FFFFFF"/>
        </w:rPr>
        <w:t>Proposal 6</w:t>
      </w:r>
    </w:p>
    <w:p>
      <w:pPr>
        <w:spacing w:after="0" w:line="156" w:lineRule="exact"/>
        <w:rPr>
          <w:sz w:val="20"/>
          <w:szCs w:val="20"/>
          <w:color w:val="auto"/>
        </w:rPr>
      </w:pPr>
    </w:p>
    <w:p>
      <w:pPr>
        <w:ind w:left="9220"/>
        <w:spacing w:after="0"/>
        <w:rPr>
          <w:sz w:val="20"/>
          <w:szCs w:val="20"/>
          <w:color w:val="auto"/>
        </w:rPr>
      </w:pPr>
      <w:r>
        <w:rPr>
          <w:rFonts w:ascii="Arial" w:cs="Arial" w:eastAsia="Arial" w:hAnsi="Arial"/>
          <w:sz w:val="12"/>
          <w:szCs w:val="12"/>
          <w:color w:val="FFFFFF"/>
        </w:rPr>
        <w:t>Stockholder</w:t>
      </w:r>
    </w:p>
    <w:p>
      <w:pPr>
        <w:ind w:left="9220"/>
        <w:spacing w:after="0" w:line="224" w:lineRule="auto"/>
        <w:rPr>
          <w:sz w:val="20"/>
          <w:szCs w:val="20"/>
          <w:color w:val="auto"/>
        </w:rPr>
      </w:pPr>
      <w:r>
        <w:rPr>
          <w:rFonts w:ascii="Arial" w:cs="Arial" w:eastAsia="Arial" w:hAnsi="Arial"/>
          <w:sz w:val="12"/>
          <w:szCs w:val="12"/>
          <w:color w:val="FFFFFF"/>
        </w:rPr>
        <w:t>Proposals and</w:t>
      </w:r>
    </w:p>
    <w:p>
      <w:pPr>
        <w:ind w:left="9220"/>
        <w:spacing w:after="0"/>
        <w:rPr>
          <w:sz w:val="20"/>
          <w:szCs w:val="20"/>
          <w:color w:val="auto"/>
        </w:rPr>
      </w:pPr>
      <w:r>
        <w:rPr>
          <w:rFonts w:ascii="Arial" w:cs="Arial" w:eastAsia="Arial" w:hAnsi="Arial"/>
          <w:sz w:val="12"/>
          <w:szCs w:val="12"/>
          <w:color w:val="FFFFFF"/>
        </w:rPr>
        <w:t>Other Matters</w:t>
      </w:r>
    </w:p>
    <w:p>
      <w:pPr>
        <w:spacing w:after="0" w:line="144" w:lineRule="exact"/>
        <w:rPr>
          <w:sz w:val="20"/>
          <w:szCs w:val="20"/>
          <w:color w:val="auto"/>
        </w:rPr>
      </w:pPr>
    </w:p>
    <w:p>
      <w:pPr>
        <w:ind w:left="9220"/>
        <w:spacing w:after="0"/>
        <w:rPr>
          <w:sz w:val="20"/>
          <w:szCs w:val="20"/>
          <w:color w:val="auto"/>
        </w:rPr>
      </w:pPr>
      <w:r>
        <w:rPr>
          <w:rFonts w:ascii="Arial" w:cs="Arial" w:eastAsia="Arial" w:hAnsi="Arial"/>
          <w:sz w:val="12"/>
          <w:szCs w:val="12"/>
          <w:color w:val="FFFFFF"/>
        </w:rPr>
        <w:t>Delinquent</w:t>
      </w:r>
    </w:p>
    <w:p>
      <w:pPr>
        <w:ind w:left="9220"/>
        <w:spacing w:after="0" w:line="224" w:lineRule="auto"/>
        <w:rPr>
          <w:sz w:val="20"/>
          <w:szCs w:val="20"/>
          <w:color w:val="auto"/>
        </w:rPr>
      </w:pPr>
      <w:r>
        <w:rPr>
          <w:rFonts w:ascii="Arial" w:cs="Arial" w:eastAsia="Arial" w:hAnsi="Arial"/>
          <w:sz w:val="12"/>
          <w:szCs w:val="12"/>
          <w:color w:val="FFFFFF"/>
        </w:rPr>
        <w:t>Section 16(a)</w:t>
      </w:r>
    </w:p>
    <w:p>
      <w:pPr>
        <w:ind w:left="9220"/>
        <w:spacing w:after="0"/>
        <w:rPr>
          <w:sz w:val="20"/>
          <w:szCs w:val="20"/>
          <w:color w:val="auto"/>
        </w:rPr>
      </w:pPr>
      <w:r>
        <w:rPr>
          <w:rFonts w:ascii="Arial" w:cs="Arial" w:eastAsia="Arial" w:hAnsi="Arial"/>
          <w:sz w:val="12"/>
          <w:szCs w:val="12"/>
          <w:color w:val="FFFFFF"/>
        </w:rPr>
        <w:t>Reports</w:t>
      </w:r>
    </w:p>
    <w:p>
      <w:pPr>
        <w:spacing w:after="0" w:line="144" w:lineRule="exact"/>
        <w:rPr>
          <w:sz w:val="20"/>
          <w:szCs w:val="20"/>
          <w:color w:val="auto"/>
        </w:rPr>
      </w:pPr>
    </w:p>
    <w:p>
      <w:pPr>
        <w:ind w:left="9220"/>
        <w:spacing w:after="0"/>
        <w:rPr>
          <w:sz w:val="20"/>
          <w:szCs w:val="20"/>
          <w:color w:val="auto"/>
        </w:rPr>
      </w:pPr>
      <w:r>
        <w:rPr>
          <w:rFonts w:ascii="Arial" w:cs="Arial" w:eastAsia="Arial" w:hAnsi="Arial"/>
          <w:sz w:val="12"/>
          <w:szCs w:val="12"/>
          <w:color w:val="FFFFFF"/>
        </w:rPr>
        <w:t>Other</w:t>
      </w:r>
    </w:p>
    <w:p>
      <w:pPr>
        <w:spacing w:after="0" w:line="2" w:lineRule="exact"/>
        <w:rPr>
          <w:sz w:val="20"/>
          <w:szCs w:val="20"/>
          <w:color w:val="auto"/>
        </w:rPr>
      </w:pPr>
    </w:p>
    <w:p>
      <w:pPr>
        <w:ind w:left="9220"/>
        <w:spacing w:after="0"/>
        <w:rPr>
          <w:sz w:val="20"/>
          <w:szCs w:val="20"/>
          <w:color w:val="auto"/>
        </w:rPr>
      </w:pPr>
      <w:r>
        <w:rPr>
          <w:rFonts w:ascii="Arial" w:cs="Arial" w:eastAsia="Arial" w:hAnsi="Arial"/>
          <w:sz w:val="12"/>
          <w:szCs w:val="12"/>
          <w:color w:val="FFFFFF"/>
        </w:rPr>
        <w:t>Information</w:t>
      </w:r>
    </w:p>
    <w:p>
      <w:pPr>
        <w:spacing w:after="0" w:line="144" w:lineRule="exact"/>
        <w:rPr>
          <w:sz w:val="20"/>
          <w:szCs w:val="20"/>
          <w:color w:val="auto"/>
        </w:rPr>
      </w:pPr>
    </w:p>
    <w:p>
      <w:pPr>
        <w:ind w:left="9220"/>
        <w:spacing w:after="0"/>
        <w:rPr>
          <w:sz w:val="20"/>
          <w:szCs w:val="20"/>
          <w:color w:val="auto"/>
        </w:rPr>
      </w:pPr>
      <w:r>
        <w:rPr>
          <w:rFonts w:ascii="Arial" w:cs="Arial" w:eastAsia="Arial" w:hAnsi="Arial"/>
          <w:sz w:val="12"/>
          <w:szCs w:val="12"/>
          <w:color w:val="FFFFFF"/>
        </w:rPr>
        <w:t>Appendix A</w:t>
      </w:r>
    </w:p>
    <w:p>
      <w:pPr>
        <w:spacing w:after="0" w:line="156" w:lineRule="exact"/>
        <w:rPr>
          <w:sz w:val="20"/>
          <w:szCs w:val="20"/>
          <w:color w:val="auto"/>
        </w:rPr>
      </w:pPr>
    </w:p>
    <w:p>
      <w:pPr>
        <w:ind w:left="9220"/>
        <w:spacing w:after="0"/>
        <w:rPr>
          <w:sz w:val="20"/>
          <w:szCs w:val="20"/>
          <w:color w:val="auto"/>
        </w:rPr>
      </w:pPr>
      <w:r>
        <w:rPr>
          <w:rFonts w:ascii="Arial" w:cs="Arial" w:eastAsia="Arial" w:hAnsi="Arial"/>
          <w:sz w:val="12"/>
          <w:szCs w:val="12"/>
          <w:color w:val="FFFFFF"/>
        </w:rPr>
        <w:t>Appendix 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6380"/>
        <w:spacing w:after="0"/>
        <w:tabs>
          <w:tab w:leader="none" w:pos="8500" w:val="left"/>
          <w:tab w:leader="none" w:pos="9960" w:val="left"/>
        </w:tabs>
        <w:rPr>
          <w:sz w:val="20"/>
          <w:szCs w:val="20"/>
          <w:color w:val="auto"/>
        </w:rPr>
      </w:pPr>
      <w:r>
        <w:rPr>
          <w:rFonts w:ascii="Arial" w:cs="Arial" w:eastAsia="Arial" w:hAnsi="Arial"/>
          <w:sz w:val="15"/>
          <w:szCs w:val="15"/>
          <w:b w:val="1"/>
          <w:bCs w:val="1"/>
          <w:color w:val="002B5F"/>
        </w:rPr>
        <w:t xml:space="preserve">2026 Proxy Statement  </w:t>
      </w:r>
      <w:r>
        <w:rPr>
          <w:rFonts w:ascii="Arial" w:cs="Arial" w:eastAsia="Arial" w:hAnsi="Arial"/>
          <w:sz w:val="20"/>
          <w:szCs w:val="20"/>
          <w:color w:val="002B5F"/>
        </w:rPr>
        <w:t>|</w:t>
      </w:r>
      <w:r>
        <w:rPr>
          <w:rFonts w:ascii="Arial" w:cs="Arial" w:eastAsia="Arial" w:hAnsi="Arial"/>
          <w:sz w:val="15"/>
          <w:szCs w:val="15"/>
          <w:b w:val="1"/>
          <w:bCs w:val="1"/>
          <w:color w:val="002B5F"/>
        </w:rPr>
        <w:t xml:space="preserve">  61</w:t>
      </w:r>
      <w:r>
        <w:rPr>
          <w:sz w:val="20"/>
          <w:szCs w:val="20"/>
          <w:color w:val="auto"/>
        </w:rPr>
        <w:tab/>
      </w:r>
      <w:r>
        <w:rPr>
          <w:rFonts w:ascii="Arial" w:cs="Arial" w:eastAsia="Arial" w:hAnsi="Arial"/>
          <w:sz w:val="17"/>
          <w:szCs w:val="17"/>
          <w:color w:val="auto"/>
        </w:rPr>
        <w:t xml:space="preserve">    </w:t>
      </w:r>
      <w:r>
        <w:rPr>
          <w:sz w:val="20"/>
          <w:szCs w:val="20"/>
          <w:color w:val="auto"/>
        </w:rPr>
        <w:tab/>
      </w:r>
      <w:r>
        <w:rPr>
          <w:rFonts w:ascii="Arial" w:cs="Arial" w:eastAsia="Arial" w:hAnsi="Arial"/>
          <w:sz w:val="17"/>
          <w:szCs w:val="17"/>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268605</wp:posOffset>
            </wp:positionH>
            <wp:positionV relativeFrom="paragraph">
              <wp:posOffset>-128905</wp:posOffset>
            </wp:positionV>
            <wp:extent cx="762000" cy="971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62000" cy="97155"/>
                    </a:xfrm>
                    <a:prstGeom prst="rect">
                      <a:avLst/>
                    </a:prstGeom>
                    <a:noFill/>
                  </pic:spPr>
                </pic:pic>
              </a:graphicData>
            </a:graphic>
          </wp:anchor>
        </w:drawing>
      </w:r>
    </w:p>
    <w:p>
      <w:pPr>
        <w:sectPr>
          <w:pgSz w:w="11900" w:h="16838" w:orient="portrait"/>
          <w:cols w:equalWidth="0" w:num="1">
            <w:col w:w="10800"/>
          </w:cols>
          <w:pgMar w:left="320" w:top="464" w:right="779" w:bottom="1440" w:gutter="0" w:footer="0" w:header="0"/>
          <w:type w:val="continuous"/>
        </w:sectPr>
      </w:pPr>
    </w:p>
    <w:bookmarkStart w:id="73" w:name="page74"/>
    <w:bookmarkEnd w:id="73"/>
    <w:p>
      <w:pPr>
        <w:spacing w:after="0"/>
        <w:rPr>
          <w:sz w:val="20"/>
          <w:szCs w:val="20"/>
          <w:color w:val="auto"/>
        </w:rPr>
      </w:pPr>
      <w:r>
        <w:rPr>
          <w:rFonts w:ascii="Times New Roman" w:cs="Times New Roman" w:eastAsia="Times New Roman" w:hAnsi="Times New Roman"/>
          <w:sz w:val="17"/>
          <w:szCs w:val="17"/>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268605</wp:posOffset>
            </wp:positionH>
            <wp:positionV relativeFrom="paragraph">
              <wp:posOffset>253365</wp:posOffset>
            </wp:positionV>
            <wp:extent cx="1183005" cy="745617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1183005" cy="7456170"/>
                    </a:xfrm>
                    <a:prstGeom prst="rect">
                      <a:avLst/>
                    </a:prstGeom>
                    <a:noFill/>
                  </pic:spPr>
                </pic:pic>
              </a:graphicData>
            </a:graphic>
          </wp:anchor>
        </w:drawing>
      </w:r>
    </w:p>
    <w:p>
      <w:pPr>
        <w:spacing w:after="0" w:line="200" w:lineRule="exact"/>
        <w:rPr>
          <w:sz w:val="20"/>
          <w:szCs w:val="20"/>
          <w:color w:val="auto"/>
        </w:rPr>
      </w:pPr>
    </w:p>
    <w:p>
      <w:pPr>
        <w:spacing w:after="0" w:line="304" w:lineRule="exact"/>
        <w:rPr>
          <w:sz w:val="20"/>
          <w:szCs w:val="20"/>
          <w:color w:val="auto"/>
        </w:rPr>
      </w:pPr>
    </w:p>
    <w:p>
      <w:pPr>
        <w:ind w:left="1120" w:right="460" w:hanging="672"/>
        <w:spacing w:after="0" w:line="382" w:lineRule="auto"/>
        <w:tabs>
          <w:tab w:leader="none" w:pos="610" w:val="left"/>
        </w:tabs>
        <w:numPr>
          <w:ilvl w:val="0"/>
          <w:numId w:val="95"/>
        </w:numPr>
        <w:rPr>
          <w:rFonts w:ascii="Arial" w:cs="Arial" w:eastAsia="Arial" w:hAnsi="Arial"/>
          <w:sz w:val="24"/>
          <w:szCs w:val="24"/>
          <w:color w:val="auto"/>
          <w:vertAlign w:val="subscript"/>
        </w:rPr>
      </w:pPr>
      <w:r>
        <w:rPr>
          <w:rFonts w:ascii="Arial" w:cs="Arial" w:eastAsia="Arial" w:hAnsi="Arial"/>
          <w:sz w:val="24"/>
          <w:szCs w:val="24"/>
          <w:color w:val="000000"/>
          <w:vertAlign w:val="subscript"/>
        </w:rPr>
        <w:t xml:space="preserve">     </w:t>
      </w:r>
      <w:r>
        <w:rPr>
          <w:rFonts w:ascii="Arial" w:cs="Arial" w:eastAsia="Arial" w:hAnsi="Arial"/>
          <w:sz w:val="10"/>
          <w:szCs w:val="10"/>
          <w:color w:val="FFFFFF"/>
        </w:rPr>
        <w:t xml:space="preserve"> General Information</w:t>
      </w:r>
    </w:p>
    <w:p>
      <w:pPr>
        <w:spacing w:after="0" w:line="1" w:lineRule="exact"/>
        <w:rPr>
          <w:sz w:val="20"/>
          <w:szCs w:val="20"/>
          <w:color w:val="auto"/>
        </w:rPr>
      </w:pPr>
    </w:p>
    <w:p>
      <w:pPr>
        <w:ind w:left="1120"/>
        <w:spacing w:after="0"/>
        <w:rPr>
          <w:sz w:val="20"/>
          <w:szCs w:val="20"/>
          <w:color w:val="auto"/>
        </w:rPr>
      </w:pPr>
      <w:r>
        <w:rPr>
          <w:rFonts w:ascii="Arial" w:cs="Arial" w:eastAsia="Arial" w:hAnsi="Arial"/>
          <w:sz w:val="11"/>
          <w:szCs w:val="11"/>
          <w:color w:val="FFFFFF"/>
        </w:rPr>
        <w:t>General Information</w:t>
      </w:r>
    </w:p>
    <w:p>
      <w:pPr>
        <w:spacing w:after="0" w:line="3"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About Corporate</w:t>
      </w:r>
    </w:p>
    <w:p>
      <w:pPr>
        <w:ind w:left="1120"/>
        <w:spacing w:after="0" w:line="221" w:lineRule="auto"/>
        <w:rPr>
          <w:sz w:val="20"/>
          <w:szCs w:val="20"/>
          <w:color w:val="auto"/>
        </w:rPr>
      </w:pPr>
      <w:r>
        <w:rPr>
          <w:rFonts w:ascii="Arial" w:cs="Arial" w:eastAsia="Arial" w:hAnsi="Arial"/>
          <w:sz w:val="12"/>
          <w:szCs w:val="12"/>
          <w:color w:val="FFFFFF"/>
        </w:rPr>
        <w:t>Governance</w:t>
      </w:r>
    </w:p>
    <w:p>
      <w:pPr>
        <w:ind w:left="1120"/>
        <w:spacing w:after="0" w:line="222" w:lineRule="auto"/>
        <w:rPr>
          <w:sz w:val="20"/>
          <w:szCs w:val="20"/>
          <w:color w:val="auto"/>
        </w:rPr>
      </w:pPr>
      <w:r>
        <w:rPr>
          <w:rFonts w:ascii="Arial" w:cs="Arial" w:eastAsia="Arial" w:hAnsi="Arial"/>
          <w:sz w:val="12"/>
          <w:szCs w:val="12"/>
          <w:color w:val="FFFFFF"/>
        </w:rPr>
        <w:t>and the Board of</w:t>
      </w:r>
    </w:p>
    <w:p>
      <w:pPr>
        <w:spacing w:after="0" w:line="1"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Directors</w:t>
      </w:r>
    </w:p>
    <w:p>
      <w:pPr>
        <w:spacing w:after="0" w:line="144" w:lineRule="exact"/>
        <w:rPr>
          <w:sz w:val="20"/>
          <w:szCs w:val="20"/>
          <w:color w:val="auto"/>
        </w:rPr>
      </w:pPr>
    </w:p>
    <w:p>
      <w:pPr>
        <w:jc w:val="center"/>
        <w:ind w:left="620"/>
        <w:spacing w:after="0"/>
        <w:rPr>
          <w:sz w:val="20"/>
          <w:szCs w:val="20"/>
          <w:color w:val="auto"/>
        </w:rPr>
      </w:pPr>
      <w:r>
        <w:rPr>
          <w:rFonts w:ascii="Arial" w:cs="Arial" w:eastAsia="Arial" w:hAnsi="Arial"/>
          <w:sz w:val="12"/>
          <w:szCs w:val="12"/>
          <w:color w:val="FFFFFF"/>
        </w:rPr>
        <w:t>Proposal 1</w:t>
      </w:r>
    </w:p>
    <w:p>
      <w:pPr>
        <w:spacing w:after="0" w:line="156"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Information</w:t>
      </w:r>
    </w:p>
    <w:p>
      <w:pPr>
        <w:ind w:left="1120"/>
        <w:spacing w:after="0" w:line="224" w:lineRule="auto"/>
        <w:rPr>
          <w:sz w:val="20"/>
          <w:szCs w:val="20"/>
          <w:color w:val="auto"/>
        </w:rPr>
      </w:pPr>
      <w:r>
        <w:rPr>
          <w:rFonts w:ascii="Arial" w:cs="Arial" w:eastAsia="Arial" w:hAnsi="Arial"/>
          <w:sz w:val="12"/>
          <w:szCs w:val="12"/>
          <w:color w:val="FFFFFF"/>
        </w:rPr>
        <w:t>Regarding Board</w:t>
      </w:r>
    </w:p>
    <w:p>
      <w:pPr>
        <w:ind w:left="1120"/>
        <w:spacing w:after="0" w:line="222" w:lineRule="auto"/>
        <w:rPr>
          <w:sz w:val="20"/>
          <w:szCs w:val="20"/>
          <w:color w:val="auto"/>
        </w:rPr>
      </w:pPr>
      <w:r>
        <w:rPr>
          <w:rFonts w:ascii="Arial" w:cs="Arial" w:eastAsia="Arial" w:hAnsi="Arial"/>
          <w:sz w:val="12"/>
          <w:szCs w:val="12"/>
          <w:color w:val="FFFFFF"/>
        </w:rPr>
        <w:t>and Committee</w:t>
      </w:r>
    </w:p>
    <w:p>
      <w:pPr>
        <w:ind w:left="1120"/>
        <w:spacing w:after="0"/>
        <w:rPr>
          <w:sz w:val="20"/>
          <w:szCs w:val="20"/>
          <w:color w:val="auto"/>
        </w:rPr>
      </w:pPr>
      <w:r>
        <w:rPr>
          <w:rFonts w:ascii="Arial" w:cs="Arial" w:eastAsia="Arial" w:hAnsi="Arial"/>
          <w:sz w:val="12"/>
          <w:szCs w:val="12"/>
          <w:color w:val="FFFFFF"/>
        </w:rPr>
        <w:t>Structure</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Board of Directors</w:t>
      </w:r>
    </w:p>
    <w:p>
      <w:pPr>
        <w:spacing w:after="0" w:line="2"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Compensation</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Compensation</w:t>
      </w:r>
    </w:p>
    <w:p>
      <w:pPr>
        <w:ind w:left="1120"/>
        <w:spacing w:after="0" w:line="224" w:lineRule="auto"/>
        <w:rPr>
          <w:sz w:val="20"/>
          <w:szCs w:val="20"/>
          <w:color w:val="auto"/>
        </w:rPr>
      </w:pPr>
      <w:r>
        <w:rPr>
          <w:rFonts w:ascii="Arial" w:cs="Arial" w:eastAsia="Arial" w:hAnsi="Arial"/>
          <w:sz w:val="12"/>
          <w:szCs w:val="12"/>
          <w:color w:val="FFFFFF"/>
        </w:rPr>
        <w:t>Discussion and</w:t>
      </w:r>
    </w:p>
    <w:p>
      <w:pPr>
        <w:ind w:left="1120"/>
        <w:spacing w:after="0"/>
        <w:rPr>
          <w:sz w:val="20"/>
          <w:szCs w:val="20"/>
          <w:color w:val="auto"/>
        </w:rPr>
      </w:pPr>
      <w:r>
        <w:rPr>
          <w:rFonts w:ascii="Arial" w:cs="Arial" w:eastAsia="Arial" w:hAnsi="Arial"/>
          <w:sz w:val="12"/>
          <w:szCs w:val="12"/>
          <w:color w:val="FFFFFF"/>
        </w:rPr>
        <w:t>Analysis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Report of the</w:t>
      </w:r>
    </w:p>
    <w:p>
      <w:pPr>
        <w:ind w:left="1120"/>
        <w:spacing w:after="0" w:line="224" w:lineRule="auto"/>
        <w:rPr>
          <w:sz w:val="20"/>
          <w:szCs w:val="20"/>
          <w:color w:val="auto"/>
        </w:rPr>
      </w:pPr>
      <w:r>
        <w:rPr>
          <w:rFonts w:ascii="Arial" w:cs="Arial" w:eastAsia="Arial" w:hAnsi="Arial"/>
          <w:sz w:val="12"/>
          <w:szCs w:val="12"/>
          <w:color w:val="FFFFFF"/>
        </w:rPr>
        <w:t>Compensation</w:t>
      </w:r>
    </w:p>
    <w:p>
      <w:pPr>
        <w:ind w:left="1120"/>
        <w:spacing w:after="0" w:line="222" w:lineRule="auto"/>
        <w:rPr>
          <w:sz w:val="20"/>
          <w:szCs w:val="20"/>
          <w:color w:val="auto"/>
        </w:rPr>
      </w:pPr>
      <w:r>
        <w:rPr>
          <w:rFonts w:ascii="Arial" w:cs="Arial" w:eastAsia="Arial" w:hAnsi="Arial"/>
          <w:sz w:val="12"/>
          <w:szCs w:val="12"/>
          <w:color w:val="FFFFFF"/>
        </w:rPr>
        <w:t>and Human</w:t>
      </w:r>
    </w:p>
    <w:p>
      <w:pPr>
        <w:ind w:left="1120"/>
        <w:spacing w:after="0" w:line="222" w:lineRule="auto"/>
        <w:rPr>
          <w:sz w:val="20"/>
          <w:szCs w:val="20"/>
          <w:color w:val="auto"/>
        </w:rPr>
      </w:pPr>
      <w:r>
        <w:rPr>
          <w:rFonts w:ascii="Arial" w:cs="Arial" w:eastAsia="Arial" w:hAnsi="Arial"/>
          <w:sz w:val="12"/>
          <w:szCs w:val="12"/>
          <w:color w:val="FFFFFF"/>
        </w:rPr>
        <w:t>Resources</w:t>
      </w:r>
    </w:p>
    <w:p>
      <w:pPr>
        <w:ind w:left="1120"/>
        <w:spacing w:after="0" w:line="222" w:lineRule="auto"/>
        <w:rPr>
          <w:sz w:val="20"/>
          <w:szCs w:val="20"/>
          <w:color w:val="auto"/>
        </w:rPr>
      </w:pPr>
      <w:r>
        <w:rPr>
          <w:rFonts w:ascii="Arial" w:cs="Arial" w:eastAsia="Arial" w:hAnsi="Arial"/>
          <w:sz w:val="12"/>
          <w:szCs w:val="12"/>
          <w:color w:val="FFFFFF"/>
        </w:rPr>
        <w:t>Committee of the</w:t>
      </w:r>
    </w:p>
    <w:p>
      <w:pPr>
        <w:ind w:left="1120"/>
        <w:spacing w:after="0"/>
        <w:rPr>
          <w:sz w:val="20"/>
          <w:szCs w:val="20"/>
          <w:color w:val="auto"/>
        </w:rPr>
      </w:pPr>
      <w:r>
        <w:rPr>
          <w:rFonts w:ascii="Arial" w:cs="Arial" w:eastAsia="Arial" w:hAnsi="Arial"/>
          <w:sz w:val="12"/>
          <w:szCs w:val="12"/>
          <w:color w:val="FFFFFF"/>
        </w:rPr>
        <w:t>Board of Directors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b w:val="1"/>
          <w:bCs w:val="1"/>
          <w:color w:val="FFFFFF"/>
        </w:rPr>
        <w:t>Compensation of</w:t>
      </w:r>
    </w:p>
    <w:p>
      <w:pPr>
        <w:ind w:left="1120"/>
        <w:spacing w:after="0" w:line="224" w:lineRule="auto"/>
        <w:rPr>
          <w:sz w:val="20"/>
          <w:szCs w:val="20"/>
          <w:color w:val="auto"/>
        </w:rPr>
      </w:pPr>
      <w:r>
        <w:rPr>
          <w:rFonts w:ascii="Arial" w:cs="Arial" w:eastAsia="Arial" w:hAnsi="Arial"/>
          <w:sz w:val="12"/>
          <w:szCs w:val="12"/>
          <w:b w:val="1"/>
          <w:bCs w:val="1"/>
          <w:color w:val="FFFFFF"/>
        </w:rPr>
        <w:t>Named Executive</w:t>
      </w:r>
    </w:p>
    <w:p>
      <w:pPr>
        <w:ind w:left="1120"/>
        <w:spacing w:after="0"/>
        <w:rPr>
          <w:sz w:val="20"/>
          <w:szCs w:val="20"/>
          <w:color w:val="auto"/>
        </w:rPr>
      </w:pPr>
      <w:r>
        <w:rPr>
          <w:rFonts w:ascii="Arial" w:cs="Arial" w:eastAsia="Arial" w:hAnsi="Arial"/>
          <w:sz w:val="12"/>
          <w:szCs w:val="12"/>
          <w:b w:val="1"/>
          <w:bCs w:val="1"/>
          <w:color w:val="FFFFFF"/>
        </w:rPr>
        <w:t>Officers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Pay Versus</w:t>
      </w:r>
    </w:p>
    <w:p>
      <w:pPr>
        <w:ind w:left="1120"/>
        <w:spacing w:after="0" w:line="224" w:lineRule="auto"/>
        <w:rPr>
          <w:sz w:val="20"/>
          <w:szCs w:val="20"/>
          <w:color w:val="auto"/>
        </w:rPr>
      </w:pPr>
      <w:r>
        <w:rPr>
          <w:rFonts w:ascii="Arial" w:cs="Arial" w:eastAsia="Arial" w:hAnsi="Arial"/>
          <w:sz w:val="12"/>
          <w:szCs w:val="12"/>
          <w:color w:val="FFFFFF"/>
        </w:rPr>
        <w:t>Performance</w:t>
      </w:r>
    </w:p>
    <w:p>
      <w:pPr>
        <w:ind w:left="1120"/>
        <w:spacing w:after="0"/>
        <w:rPr>
          <w:sz w:val="20"/>
          <w:szCs w:val="20"/>
          <w:color w:val="auto"/>
        </w:rPr>
      </w:pPr>
      <w:r>
        <w:rPr>
          <w:rFonts w:ascii="Arial" w:cs="Arial" w:eastAsia="Arial" w:hAnsi="Arial"/>
          <w:sz w:val="12"/>
          <w:szCs w:val="12"/>
          <w:color w:val="FFFFFF"/>
        </w:rPr>
        <w:t>Disclosure</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Security</w:t>
      </w:r>
    </w:p>
    <w:p>
      <w:pPr>
        <w:ind w:left="1120"/>
        <w:spacing w:after="0" w:line="224" w:lineRule="auto"/>
        <w:rPr>
          <w:sz w:val="20"/>
          <w:szCs w:val="20"/>
          <w:color w:val="auto"/>
        </w:rPr>
      </w:pPr>
      <w:r>
        <w:rPr>
          <w:rFonts w:ascii="Arial" w:cs="Arial" w:eastAsia="Arial" w:hAnsi="Arial"/>
          <w:sz w:val="12"/>
          <w:szCs w:val="12"/>
          <w:color w:val="FFFFFF"/>
        </w:rPr>
        <w:t>Ownership of</w:t>
      </w:r>
    </w:p>
    <w:p>
      <w:pPr>
        <w:ind w:left="1120"/>
        <w:spacing w:after="0" w:line="222" w:lineRule="auto"/>
        <w:rPr>
          <w:sz w:val="20"/>
          <w:szCs w:val="20"/>
          <w:color w:val="auto"/>
        </w:rPr>
      </w:pPr>
      <w:r>
        <w:rPr>
          <w:rFonts w:ascii="Arial" w:cs="Arial" w:eastAsia="Arial" w:hAnsi="Arial"/>
          <w:sz w:val="12"/>
          <w:szCs w:val="12"/>
          <w:color w:val="FFFFFF"/>
        </w:rPr>
        <w:t>Certain Beneficial</w:t>
      </w:r>
    </w:p>
    <w:p>
      <w:pPr>
        <w:ind w:left="1120"/>
        <w:spacing w:after="0" w:line="222" w:lineRule="auto"/>
        <w:rPr>
          <w:sz w:val="20"/>
          <w:szCs w:val="20"/>
          <w:color w:val="auto"/>
        </w:rPr>
      </w:pPr>
      <w:r>
        <w:rPr>
          <w:rFonts w:ascii="Arial" w:cs="Arial" w:eastAsia="Arial" w:hAnsi="Arial"/>
          <w:sz w:val="12"/>
          <w:szCs w:val="12"/>
          <w:color w:val="FFFFFF"/>
        </w:rPr>
        <w:t>Owners and</w:t>
      </w:r>
    </w:p>
    <w:p>
      <w:pPr>
        <w:ind w:left="1120"/>
        <w:spacing w:after="0"/>
        <w:rPr>
          <w:sz w:val="20"/>
          <w:szCs w:val="20"/>
          <w:color w:val="auto"/>
        </w:rPr>
      </w:pPr>
      <w:r>
        <w:rPr>
          <w:rFonts w:ascii="Arial" w:cs="Arial" w:eastAsia="Arial" w:hAnsi="Arial"/>
          <w:sz w:val="12"/>
          <w:szCs w:val="12"/>
          <w:color w:val="FFFFFF"/>
        </w:rPr>
        <w:t>Management</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Certain</w:t>
      </w:r>
    </w:p>
    <w:p>
      <w:pPr>
        <w:ind w:left="1120"/>
        <w:spacing w:after="0" w:line="224" w:lineRule="auto"/>
        <w:rPr>
          <w:sz w:val="20"/>
          <w:szCs w:val="20"/>
          <w:color w:val="auto"/>
        </w:rPr>
      </w:pPr>
      <w:r>
        <w:rPr>
          <w:rFonts w:ascii="Arial" w:cs="Arial" w:eastAsia="Arial" w:hAnsi="Arial"/>
          <w:sz w:val="12"/>
          <w:szCs w:val="12"/>
          <w:color w:val="FFFFFF"/>
        </w:rPr>
        <w:t>Relationships and</w:t>
      </w:r>
    </w:p>
    <w:p>
      <w:pPr>
        <w:ind w:left="1120"/>
        <w:spacing w:after="0" w:line="222" w:lineRule="auto"/>
        <w:rPr>
          <w:sz w:val="20"/>
          <w:szCs w:val="20"/>
          <w:color w:val="auto"/>
        </w:rPr>
      </w:pPr>
      <w:r>
        <w:rPr>
          <w:rFonts w:ascii="Arial" w:cs="Arial" w:eastAsia="Arial" w:hAnsi="Arial"/>
          <w:sz w:val="12"/>
          <w:szCs w:val="12"/>
          <w:color w:val="FFFFFF"/>
        </w:rPr>
        <w:t>Related Party</w:t>
      </w:r>
    </w:p>
    <w:p>
      <w:pPr>
        <w:ind w:left="1120"/>
        <w:spacing w:after="0"/>
        <w:rPr>
          <w:sz w:val="20"/>
          <w:szCs w:val="20"/>
          <w:color w:val="auto"/>
        </w:rPr>
      </w:pPr>
      <w:r>
        <w:rPr>
          <w:rFonts w:ascii="Arial" w:cs="Arial" w:eastAsia="Arial" w:hAnsi="Arial"/>
          <w:sz w:val="12"/>
          <w:szCs w:val="12"/>
          <w:color w:val="FFFFFF"/>
        </w:rPr>
        <w:t>Transactions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Proposal 2</w:t>
      </w:r>
    </w:p>
    <w:p>
      <w:pPr>
        <w:spacing w:after="0" w:line="156"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Report of the</w:t>
      </w:r>
    </w:p>
    <w:p>
      <w:pPr>
        <w:ind w:left="1120"/>
        <w:spacing w:after="0" w:line="224" w:lineRule="auto"/>
        <w:rPr>
          <w:sz w:val="20"/>
          <w:szCs w:val="20"/>
          <w:color w:val="auto"/>
        </w:rPr>
      </w:pPr>
      <w:r>
        <w:rPr>
          <w:rFonts w:ascii="Arial" w:cs="Arial" w:eastAsia="Arial" w:hAnsi="Arial"/>
          <w:sz w:val="12"/>
          <w:szCs w:val="12"/>
          <w:color w:val="FFFFFF"/>
        </w:rPr>
        <w:t>Audit and Risk</w:t>
      </w:r>
    </w:p>
    <w:p>
      <w:pPr>
        <w:ind w:left="1120"/>
        <w:spacing w:after="0" w:line="222" w:lineRule="auto"/>
        <w:rPr>
          <w:sz w:val="20"/>
          <w:szCs w:val="20"/>
          <w:color w:val="auto"/>
        </w:rPr>
      </w:pPr>
      <w:r>
        <w:rPr>
          <w:rFonts w:ascii="Arial" w:cs="Arial" w:eastAsia="Arial" w:hAnsi="Arial"/>
          <w:sz w:val="12"/>
          <w:szCs w:val="12"/>
          <w:color w:val="FFFFFF"/>
        </w:rPr>
        <w:t>Committee of the</w:t>
      </w:r>
    </w:p>
    <w:p>
      <w:pPr>
        <w:ind w:left="1120"/>
        <w:spacing w:after="0"/>
        <w:rPr>
          <w:sz w:val="20"/>
          <w:szCs w:val="20"/>
          <w:color w:val="auto"/>
        </w:rPr>
      </w:pPr>
      <w:r>
        <w:rPr>
          <w:rFonts w:ascii="Arial" w:cs="Arial" w:eastAsia="Arial" w:hAnsi="Arial"/>
          <w:sz w:val="12"/>
          <w:szCs w:val="12"/>
          <w:color w:val="FFFFFF"/>
        </w:rPr>
        <w:t>Board of Directors</w:t>
      </w:r>
    </w:p>
    <w:p>
      <w:pPr>
        <w:spacing w:after="0" w:line="144" w:lineRule="exact"/>
        <w:rPr>
          <w:sz w:val="20"/>
          <w:szCs w:val="20"/>
          <w:color w:val="auto"/>
        </w:rPr>
      </w:pPr>
    </w:p>
    <w:p>
      <w:pPr>
        <w:jc w:val="center"/>
        <w:ind w:left="620"/>
        <w:spacing w:after="0"/>
        <w:rPr>
          <w:sz w:val="20"/>
          <w:szCs w:val="20"/>
          <w:color w:val="auto"/>
        </w:rPr>
      </w:pPr>
      <w:r>
        <w:rPr>
          <w:rFonts w:ascii="Arial" w:cs="Arial" w:eastAsia="Arial" w:hAnsi="Arial"/>
          <w:sz w:val="12"/>
          <w:szCs w:val="12"/>
          <w:color w:val="FFFFFF"/>
        </w:rPr>
        <w:t>Proposal 3</w:t>
      </w:r>
    </w:p>
    <w:p>
      <w:pPr>
        <w:spacing w:after="0" w:line="156" w:lineRule="exact"/>
        <w:rPr>
          <w:sz w:val="20"/>
          <w:szCs w:val="20"/>
          <w:color w:val="auto"/>
        </w:rPr>
      </w:pPr>
    </w:p>
    <w:p>
      <w:pPr>
        <w:jc w:val="center"/>
        <w:ind w:left="620"/>
        <w:spacing w:after="0"/>
        <w:rPr>
          <w:sz w:val="20"/>
          <w:szCs w:val="20"/>
          <w:color w:val="auto"/>
        </w:rPr>
      </w:pPr>
      <w:r>
        <w:rPr>
          <w:rFonts w:ascii="Arial" w:cs="Arial" w:eastAsia="Arial" w:hAnsi="Arial"/>
          <w:sz w:val="12"/>
          <w:szCs w:val="12"/>
          <w:color w:val="FFFFFF"/>
        </w:rPr>
        <w:t>Proposal 4</w:t>
      </w:r>
    </w:p>
    <w:p>
      <w:pPr>
        <w:spacing w:after="0" w:line="156" w:lineRule="exact"/>
        <w:rPr>
          <w:sz w:val="20"/>
          <w:szCs w:val="20"/>
          <w:color w:val="auto"/>
        </w:rPr>
      </w:pPr>
    </w:p>
    <w:p>
      <w:pPr>
        <w:jc w:val="center"/>
        <w:ind w:left="620"/>
        <w:spacing w:after="0"/>
        <w:rPr>
          <w:sz w:val="20"/>
          <w:szCs w:val="20"/>
          <w:color w:val="auto"/>
        </w:rPr>
      </w:pPr>
      <w:r>
        <w:rPr>
          <w:rFonts w:ascii="Arial" w:cs="Arial" w:eastAsia="Arial" w:hAnsi="Arial"/>
          <w:sz w:val="12"/>
          <w:szCs w:val="12"/>
          <w:color w:val="FFFFFF"/>
        </w:rPr>
        <w:t>Proposal 5</w:t>
      </w:r>
    </w:p>
    <w:p>
      <w:pPr>
        <w:spacing w:after="0" w:line="156"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Proposal 6</w:t>
      </w:r>
    </w:p>
    <w:p>
      <w:pPr>
        <w:spacing w:after="0" w:line="156"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Stockholder</w:t>
      </w:r>
    </w:p>
    <w:p>
      <w:pPr>
        <w:ind w:left="1120"/>
        <w:spacing w:after="0" w:line="224" w:lineRule="auto"/>
        <w:rPr>
          <w:sz w:val="20"/>
          <w:szCs w:val="20"/>
          <w:color w:val="auto"/>
        </w:rPr>
      </w:pPr>
      <w:r>
        <w:rPr>
          <w:rFonts w:ascii="Arial" w:cs="Arial" w:eastAsia="Arial" w:hAnsi="Arial"/>
          <w:sz w:val="12"/>
          <w:szCs w:val="12"/>
          <w:color w:val="FFFFFF"/>
        </w:rPr>
        <w:t>Proposals and</w:t>
      </w:r>
    </w:p>
    <w:p>
      <w:pPr>
        <w:ind w:left="1120"/>
        <w:spacing w:after="0"/>
        <w:rPr>
          <w:sz w:val="20"/>
          <w:szCs w:val="20"/>
          <w:color w:val="auto"/>
        </w:rPr>
      </w:pPr>
      <w:r>
        <w:rPr>
          <w:rFonts w:ascii="Arial" w:cs="Arial" w:eastAsia="Arial" w:hAnsi="Arial"/>
          <w:sz w:val="12"/>
          <w:szCs w:val="12"/>
          <w:color w:val="FFFFFF"/>
        </w:rPr>
        <w:t>Other Matters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Delinquent</w:t>
      </w:r>
    </w:p>
    <w:p>
      <w:pPr>
        <w:ind w:left="1120"/>
        <w:spacing w:after="0" w:line="224" w:lineRule="auto"/>
        <w:rPr>
          <w:sz w:val="20"/>
          <w:szCs w:val="20"/>
          <w:color w:val="auto"/>
        </w:rPr>
      </w:pPr>
      <w:r>
        <w:rPr>
          <w:rFonts w:ascii="Arial" w:cs="Arial" w:eastAsia="Arial" w:hAnsi="Arial"/>
          <w:sz w:val="12"/>
          <w:szCs w:val="12"/>
          <w:color w:val="FFFFFF"/>
        </w:rPr>
        <w:t>Section 16(a)</w:t>
      </w:r>
    </w:p>
    <w:p>
      <w:pPr>
        <w:ind w:left="1120"/>
        <w:spacing w:after="0"/>
        <w:rPr>
          <w:sz w:val="20"/>
          <w:szCs w:val="20"/>
          <w:color w:val="auto"/>
        </w:rPr>
      </w:pPr>
      <w:r>
        <w:rPr>
          <w:rFonts w:ascii="Arial" w:cs="Arial" w:eastAsia="Arial" w:hAnsi="Arial"/>
          <w:sz w:val="12"/>
          <w:szCs w:val="12"/>
          <w:color w:val="FFFFFF"/>
        </w:rPr>
        <w:t>Reports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Other</w:t>
      </w:r>
    </w:p>
    <w:p>
      <w:pPr>
        <w:spacing w:after="0" w:line="2"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Information</w:t>
      </w:r>
    </w:p>
    <w:p>
      <w:pPr>
        <w:spacing w:after="0" w:line="144" w:lineRule="exact"/>
        <w:rPr>
          <w:sz w:val="20"/>
          <w:szCs w:val="20"/>
          <w:color w:val="auto"/>
        </w:rPr>
      </w:pPr>
    </w:p>
    <w:p>
      <w:pPr>
        <w:jc w:val="center"/>
        <w:ind w:left="660"/>
        <w:spacing w:after="0"/>
        <w:rPr>
          <w:sz w:val="20"/>
          <w:szCs w:val="20"/>
          <w:color w:val="auto"/>
        </w:rPr>
      </w:pPr>
      <w:r>
        <w:rPr>
          <w:rFonts w:ascii="Arial" w:cs="Arial" w:eastAsia="Arial" w:hAnsi="Arial"/>
          <w:sz w:val="12"/>
          <w:szCs w:val="12"/>
          <w:color w:val="FFFFFF"/>
        </w:rPr>
        <w:t>Appendix A</w:t>
      </w:r>
    </w:p>
    <w:p>
      <w:pPr>
        <w:spacing w:after="0" w:line="156" w:lineRule="exact"/>
        <w:rPr>
          <w:sz w:val="20"/>
          <w:szCs w:val="20"/>
          <w:color w:val="auto"/>
        </w:rPr>
      </w:pPr>
    </w:p>
    <w:p>
      <w:pPr>
        <w:jc w:val="center"/>
        <w:ind w:left="660"/>
        <w:spacing w:after="0"/>
        <w:rPr>
          <w:sz w:val="20"/>
          <w:szCs w:val="20"/>
          <w:color w:val="auto"/>
        </w:rPr>
      </w:pPr>
      <w:r>
        <w:rPr>
          <w:rFonts w:ascii="Arial" w:cs="Arial" w:eastAsia="Arial" w:hAnsi="Arial"/>
          <w:sz w:val="12"/>
          <w:szCs w:val="12"/>
          <w:color w:val="FFFFFF"/>
        </w:rPr>
        <w:t>Appendix 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7"/>
          <w:szCs w:val="17"/>
          <w:b w:val="1"/>
          <w:bCs w:val="1"/>
          <w:color w:val="002B5F"/>
        </w:rPr>
        <w:t>ALL OTHER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-1737995</wp:posOffset>
            </wp:positionH>
            <wp:positionV relativeFrom="paragraph">
              <wp:posOffset>-753110</wp:posOffset>
            </wp:positionV>
            <wp:extent cx="7181215" cy="5334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81215" cy="53340"/>
                    </a:xfrm>
                    <a:prstGeom prst="rect">
                      <a:avLst/>
                    </a:prstGeom>
                    <a:noFill/>
                  </pic:spPr>
                </pic:pic>
              </a:graphicData>
            </a:graphic>
          </wp:anchor>
        </w:drawing>
      </w:r>
    </w:p>
    <w:p>
      <w:pPr>
        <w:spacing w:after="0" w:line="83" w:lineRule="exact"/>
        <w:rPr>
          <w:sz w:val="20"/>
          <w:szCs w:val="20"/>
          <w:color w:val="auto"/>
        </w:rPr>
      </w:pPr>
    </w:p>
    <w:p>
      <w:pPr>
        <w:ind w:right="100"/>
        <w:spacing w:after="0" w:line="287" w:lineRule="auto"/>
        <w:rPr>
          <w:sz w:val="20"/>
          <w:szCs w:val="20"/>
          <w:color w:val="auto"/>
        </w:rPr>
      </w:pPr>
      <w:r>
        <w:rPr>
          <w:rFonts w:ascii="Arial" w:cs="Arial" w:eastAsia="Arial" w:hAnsi="Arial"/>
          <w:sz w:val="15"/>
          <w:szCs w:val="15"/>
          <w:color w:val="auto"/>
        </w:rPr>
        <w:t>The following table sets forth information for our NEOs concerning All Other Compensation in the table above for the years ended December 31, 2025, 2024 and 2023, as applicable to such NEO:</w:t>
      </w:r>
    </w:p>
    <w:p>
      <w:pPr>
        <w:spacing w:after="0" w:line="169"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4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002B5F"/>
                <w:w w:val="95"/>
              </w:rPr>
              <w:t>Taxable</w:t>
            </w:r>
          </w:p>
        </w:tc>
        <w:tc>
          <w:tcPr>
            <w:tcW w:w="1180" w:type="dxa"/>
            <w:vAlign w:val="bottom"/>
          </w:tcPr>
          <w:p>
            <w:pPr>
              <w:jc w:val="center"/>
              <w:spacing w:after="0"/>
              <w:rPr>
                <w:sz w:val="20"/>
                <w:szCs w:val="20"/>
                <w:color w:val="auto"/>
              </w:rPr>
            </w:pPr>
            <w:r>
              <w:rPr>
                <w:rFonts w:ascii="Arial" w:cs="Arial" w:eastAsia="Arial" w:hAnsi="Arial"/>
                <w:sz w:val="14"/>
                <w:szCs w:val="14"/>
                <w:b w:val="1"/>
                <w:bCs w:val="1"/>
                <w:color w:val="002B5F"/>
                <w:w w:val="96"/>
              </w:rPr>
              <w:t>Reimbursement</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002B5F"/>
                <w:w w:val="97"/>
              </w:rPr>
              <w:t>Executive</w:t>
            </w: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53"/>
        </w:trPr>
        <w:tc>
          <w:tcPr>
            <w:tcW w:w="24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20" w:type="dxa"/>
            <w:vAlign w:val="bottom"/>
          </w:tcPr>
          <w:p>
            <w:pPr>
              <w:jc w:val="center"/>
              <w:spacing w:after="0" w:line="153" w:lineRule="exact"/>
              <w:rPr>
                <w:sz w:val="20"/>
                <w:szCs w:val="20"/>
                <w:color w:val="auto"/>
              </w:rPr>
            </w:pPr>
            <w:r>
              <w:rPr>
                <w:rFonts w:ascii="Arial" w:cs="Arial" w:eastAsia="Arial" w:hAnsi="Arial"/>
                <w:sz w:val="14"/>
                <w:szCs w:val="14"/>
                <w:b w:val="1"/>
                <w:bCs w:val="1"/>
                <w:color w:val="002B5F"/>
                <w:w w:val="94"/>
              </w:rPr>
              <w:t>Travel and</w:t>
            </w:r>
          </w:p>
        </w:tc>
        <w:tc>
          <w:tcPr>
            <w:tcW w:w="1180" w:type="dxa"/>
            <w:vAlign w:val="bottom"/>
          </w:tcPr>
          <w:p>
            <w:pPr>
              <w:jc w:val="center"/>
              <w:spacing w:after="0" w:line="153" w:lineRule="exact"/>
              <w:rPr>
                <w:sz w:val="20"/>
                <w:szCs w:val="20"/>
                <w:color w:val="auto"/>
              </w:rPr>
            </w:pPr>
            <w:r>
              <w:rPr>
                <w:rFonts w:ascii="Arial" w:cs="Arial" w:eastAsia="Arial" w:hAnsi="Arial"/>
                <w:sz w:val="14"/>
                <w:szCs w:val="14"/>
                <w:b w:val="1"/>
                <w:bCs w:val="1"/>
                <w:color w:val="002B5F"/>
                <w:w w:val="96"/>
              </w:rPr>
              <w:t>for Financial</w:t>
            </w:r>
          </w:p>
        </w:tc>
        <w:tc>
          <w:tcPr>
            <w:tcW w:w="840" w:type="dxa"/>
            <w:vAlign w:val="bottom"/>
          </w:tcPr>
          <w:p>
            <w:pPr>
              <w:jc w:val="center"/>
              <w:spacing w:after="0" w:line="153" w:lineRule="exact"/>
              <w:rPr>
                <w:sz w:val="20"/>
                <w:szCs w:val="20"/>
                <w:color w:val="auto"/>
              </w:rPr>
            </w:pPr>
            <w:r>
              <w:rPr>
                <w:rFonts w:ascii="Arial" w:cs="Arial" w:eastAsia="Arial" w:hAnsi="Arial"/>
                <w:sz w:val="14"/>
                <w:szCs w:val="14"/>
                <w:b w:val="1"/>
                <w:bCs w:val="1"/>
                <w:color w:val="002B5F"/>
                <w:w w:val="97"/>
              </w:rPr>
              <w:t>Health and</w:t>
            </w:r>
          </w:p>
        </w:tc>
        <w:tc>
          <w:tcPr>
            <w:tcW w:w="800" w:type="dxa"/>
            <w:vAlign w:val="bottom"/>
          </w:tcPr>
          <w:p>
            <w:pPr>
              <w:jc w:val="center"/>
              <w:spacing w:after="0" w:line="153" w:lineRule="exact"/>
              <w:rPr>
                <w:sz w:val="20"/>
                <w:szCs w:val="20"/>
                <w:color w:val="auto"/>
              </w:rPr>
            </w:pPr>
            <w:r>
              <w:rPr>
                <w:rFonts w:ascii="Arial" w:cs="Arial" w:eastAsia="Arial" w:hAnsi="Arial"/>
                <w:sz w:val="14"/>
                <w:szCs w:val="14"/>
                <w:b w:val="1"/>
                <w:bCs w:val="1"/>
                <w:color w:val="002B5F"/>
                <w:w w:val="98"/>
              </w:rPr>
              <w:t>401(k)</w:t>
            </w:r>
          </w:p>
        </w:tc>
        <w:tc>
          <w:tcPr>
            <w:tcW w:w="72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153"/>
        </w:trPr>
        <w:tc>
          <w:tcPr>
            <w:tcW w:w="24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20" w:type="dxa"/>
            <w:vAlign w:val="bottom"/>
          </w:tcPr>
          <w:p>
            <w:pPr>
              <w:jc w:val="center"/>
              <w:spacing w:after="0" w:line="153" w:lineRule="exact"/>
              <w:rPr>
                <w:sz w:val="20"/>
                <w:szCs w:val="20"/>
                <w:color w:val="auto"/>
              </w:rPr>
            </w:pPr>
            <w:r>
              <w:rPr>
                <w:rFonts w:ascii="Arial" w:cs="Arial" w:eastAsia="Arial" w:hAnsi="Arial"/>
                <w:sz w:val="14"/>
                <w:szCs w:val="14"/>
                <w:b w:val="1"/>
                <w:bCs w:val="1"/>
                <w:color w:val="002B5F"/>
                <w:w w:val="98"/>
              </w:rPr>
              <w:t>Related</w:t>
            </w:r>
          </w:p>
        </w:tc>
        <w:tc>
          <w:tcPr>
            <w:tcW w:w="1180" w:type="dxa"/>
            <w:vAlign w:val="bottom"/>
          </w:tcPr>
          <w:p>
            <w:pPr>
              <w:jc w:val="center"/>
              <w:spacing w:after="0" w:line="153" w:lineRule="exact"/>
              <w:rPr>
                <w:sz w:val="20"/>
                <w:szCs w:val="20"/>
                <w:color w:val="auto"/>
              </w:rPr>
            </w:pPr>
            <w:r>
              <w:rPr>
                <w:rFonts w:ascii="Arial" w:cs="Arial" w:eastAsia="Arial" w:hAnsi="Arial"/>
                <w:sz w:val="14"/>
                <w:szCs w:val="14"/>
                <w:b w:val="1"/>
                <w:bCs w:val="1"/>
                <w:color w:val="002B5F"/>
                <w:w w:val="98"/>
              </w:rPr>
              <w:t>Planning</w:t>
            </w:r>
          </w:p>
        </w:tc>
        <w:tc>
          <w:tcPr>
            <w:tcW w:w="840" w:type="dxa"/>
            <w:vAlign w:val="bottom"/>
          </w:tcPr>
          <w:p>
            <w:pPr>
              <w:jc w:val="center"/>
              <w:spacing w:after="0" w:line="153" w:lineRule="exact"/>
              <w:rPr>
                <w:sz w:val="20"/>
                <w:szCs w:val="20"/>
                <w:color w:val="auto"/>
              </w:rPr>
            </w:pPr>
            <w:r>
              <w:rPr>
                <w:rFonts w:ascii="Arial" w:cs="Arial" w:eastAsia="Arial" w:hAnsi="Arial"/>
                <w:sz w:val="14"/>
                <w:szCs w:val="14"/>
                <w:b w:val="1"/>
                <w:bCs w:val="1"/>
                <w:color w:val="002B5F"/>
                <w:w w:val="95"/>
              </w:rPr>
              <w:t>Wellness</w:t>
            </w:r>
          </w:p>
        </w:tc>
        <w:tc>
          <w:tcPr>
            <w:tcW w:w="800" w:type="dxa"/>
            <w:vAlign w:val="bottom"/>
          </w:tcPr>
          <w:p>
            <w:pPr>
              <w:jc w:val="right"/>
              <w:ind w:right="52"/>
              <w:spacing w:after="0" w:line="153" w:lineRule="exact"/>
              <w:rPr>
                <w:sz w:val="20"/>
                <w:szCs w:val="20"/>
                <w:color w:val="auto"/>
              </w:rPr>
            </w:pPr>
            <w:r>
              <w:rPr>
                <w:rFonts w:ascii="Arial" w:cs="Arial" w:eastAsia="Arial" w:hAnsi="Arial"/>
                <w:sz w:val="14"/>
                <w:szCs w:val="14"/>
                <w:b w:val="1"/>
                <w:bCs w:val="1"/>
                <w:color w:val="002B5F"/>
              </w:rPr>
              <w:t>Employer</w:t>
            </w:r>
          </w:p>
        </w:tc>
        <w:tc>
          <w:tcPr>
            <w:tcW w:w="72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150"/>
        </w:trPr>
        <w:tc>
          <w:tcPr>
            <w:tcW w:w="2400" w:type="dxa"/>
            <w:vAlign w:val="bottom"/>
          </w:tcPr>
          <w:p>
            <w:pPr>
              <w:ind w:left="60"/>
              <w:spacing w:after="0" w:line="150" w:lineRule="exact"/>
              <w:rPr>
                <w:sz w:val="20"/>
                <w:szCs w:val="20"/>
                <w:color w:val="auto"/>
              </w:rPr>
            </w:pPr>
            <w:r>
              <w:rPr>
                <w:rFonts w:ascii="Arial" w:cs="Arial" w:eastAsia="Arial" w:hAnsi="Arial"/>
                <w:sz w:val="14"/>
                <w:szCs w:val="14"/>
                <w:b w:val="1"/>
                <w:bCs w:val="1"/>
                <w:color w:val="002B5F"/>
              </w:rPr>
              <w:t>Named</w:t>
            </w:r>
          </w:p>
        </w:tc>
        <w:tc>
          <w:tcPr>
            <w:tcW w:w="580" w:type="dxa"/>
            <w:vAlign w:val="bottom"/>
          </w:tcPr>
          <w:p>
            <w:pPr>
              <w:spacing w:after="0"/>
              <w:rPr>
                <w:sz w:val="13"/>
                <w:szCs w:val="13"/>
                <w:color w:val="auto"/>
              </w:rPr>
            </w:pPr>
          </w:p>
        </w:tc>
        <w:tc>
          <w:tcPr>
            <w:tcW w:w="820" w:type="dxa"/>
            <w:vAlign w:val="bottom"/>
          </w:tcPr>
          <w:p>
            <w:pPr>
              <w:jc w:val="center"/>
              <w:spacing w:after="0" w:line="150" w:lineRule="exact"/>
              <w:rPr>
                <w:sz w:val="20"/>
                <w:szCs w:val="20"/>
                <w:color w:val="auto"/>
              </w:rPr>
            </w:pPr>
            <w:r>
              <w:rPr>
                <w:rFonts w:ascii="Arial" w:cs="Arial" w:eastAsia="Arial" w:hAnsi="Arial"/>
                <w:sz w:val="14"/>
                <w:szCs w:val="14"/>
                <w:b w:val="1"/>
                <w:bCs w:val="1"/>
                <w:color w:val="002B5F"/>
                <w:w w:val="94"/>
              </w:rPr>
              <w:t>Expenses</w:t>
            </w:r>
          </w:p>
        </w:tc>
        <w:tc>
          <w:tcPr>
            <w:tcW w:w="1180" w:type="dxa"/>
            <w:vAlign w:val="bottom"/>
          </w:tcPr>
          <w:p>
            <w:pPr>
              <w:jc w:val="center"/>
              <w:spacing w:after="0" w:line="150" w:lineRule="exact"/>
              <w:rPr>
                <w:sz w:val="20"/>
                <w:szCs w:val="20"/>
                <w:color w:val="auto"/>
              </w:rPr>
            </w:pPr>
            <w:r>
              <w:rPr>
                <w:rFonts w:ascii="Arial" w:cs="Arial" w:eastAsia="Arial" w:hAnsi="Arial"/>
                <w:sz w:val="14"/>
                <w:szCs w:val="14"/>
                <w:b w:val="1"/>
                <w:bCs w:val="1"/>
                <w:color w:val="002B5F"/>
                <w:w w:val="97"/>
              </w:rPr>
              <w:t>Services</w:t>
            </w:r>
          </w:p>
        </w:tc>
        <w:tc>
          <w:tcPr>
            <w:tcW w:w="840" w:type="dxa"/>
            <w:vAlign w:val="bottom"/>
          </w:tcPr>
          <w:p>
            <w:pPr>
              <w:jc w:val="center"/>
              <w:spacing w:after="0" w:line="150" w:lineRule="exact"/>
              <w:rPr>
                <w:sz w:val="20"/>
                <w:szCs w:val="20"/>
                <w:color w:val="auto"/>
              </w:rPr>
            </w:pPr>
            <w:r>
              <w:rPr>
                <w:rFonts w:ascii="Arial" w:cs="Arial" w:eastAsia="Arial" w:hAnsi="Arial"/>
                <w:sz w:val="14"/>
                <w:szCs w:val="14"/>
                <w:b w:val="1"/>
                <w:bCs w:val="1"/>
                <w:color w:val="002B5F"/>
                <w:w w:val="97"/>
              </w:rPr>
              <w:t>Program</w:t>
            </w:r>
          </w:p>
        </w:tc>
        <w:tc>
          <w:tcPr>
            <w:tcW w:w="800" w:type="dxa"/>
            <w:vAlign w:val="bottom"/>
          </w:tcPr>
          <w:p>
            <w:pPr>
              <w:jc w:val="right"/>
              <w:ind w:right="152"/>
              <w:spacing w:after="0" w:line="150" w:lineRule="exact"/>
              <w:rPr>
                <w:sz w:val="20"/>
                <w:szCs w:val="20"/>
                <w:color w:val="auto"/>
              </w:rPr>
            </w:pPr>
            <w:r>
              <w:rPr>
                <w:rFonts w:ascii="Arial" w:cs="Arial" w:eastAsia="Arial" w:hAnsi="Arial"/>
                <w:sz w:val="14"/>
                <w:szCs w:val="14"/>
                <w:b w:val="1"/>
                <w:bCs w:val="1"/>
                <w:color w:val="002B5F"/>
              </w:rPr>
              <w:t>Match</w:t>
            </w:r>
          </w:p>
        </w:tc>
        <w:tc>
          <w:tcPr>
            <w:tcW w:w="720" w:type="dxa"/>
            <w:vAlign w:val="bottom"/>
          </w:tcPr>
          <w:p>
            <w:pPr>
              <w:jc w:val="right"/>
              <w:ind w:right="152"/>
              <w:spacing w:after="0" w:line="150" w:lineRule="exact"/>
              <w:rPr>
                <w:sz w:val="20"/>
                <w:szCs w:val="20"/>
                <w:color w:val="auto"/>
              </w:rPr>
            </w:pPr>
            <w:r>
              <w:rPr>
                <w:rFonts w:ascii="Arial" w:cs="Arial" w:eastAsia="Arial" w:hAnsi="Arial"/>
                <w:sz w:val="14"/>
                <w:szCs w:val="14"/>
                <w:b w:val="1"/>
                <w:bCs w:val="1"/>
                <w:color w:val="002B5F"/>
              </w:rPr>
              <w:t>Other</w:t>
            </w:r>
          </w:p>
        </w:tc>
        <w:tc>
          <w:tcPr>
            <w:tcW w:w="620" w:type="dxa"/>
            <w:vAlign w:val="bottom"/>
          </w:tcPr>
          <w:p>
            <w:pPr>
              <w:jc w:val="right"/>
              <w:ind w:right="72"/>
              <w:spacing w:after="0" w:line="150" w:lineRule="exact"/>
              <w:rPr>
                <w:sz w:val="20"/>
                <w:szCs w:val="20"/>
                <w:color w:val="auto"/>
              </w:rPr>
            </w:pPr>
            <w:r>
              <w:rPr>
                <w:rFonts w:ascii="Arial" w:cs="Arial" w:eastAsia="Arial" w:hAnsi="Arial"/>
                <w:sz w:val="14"/>
                <w:szCs w:val="14"/>
                <w:b w:val="1"/>
                <w:bCs w:val="1"/>
                <w:color w:val="002B5F"/>
              </w:rPr>
              <w:t>Total</w:t>
            </w:r>
          </w:p>
        </w:tc>
      </w:tr>
      <w:tr>
        <w:trPr>
          <w:trHeight w:val="210"/>
        </w:trPr>
        <w:tc>
          <w:tcPr>
            <w:tcW w:w="2400" w:type="dxa"/>
            <w:vAlign w:val="bottom"/>
            <w:tcBorders>
              <w:bottom w:val="single" w:sz="8" w:color="002B5F"/>
            </w:tcBorders>
          </w:tcPr>
          <w:p>
            <w:pPr>
              <w:ind w:left="60"/>
              <w:spacing w:after="0"/>
              <w:rPr>
                <w:sz w:val="20"/>
                <w:szCs w:val="20"/>
                <w:color w:val="auto"/>
              </w:rPr>
            </w:pPr>
            <w:r>
              <w:rPr>
                <w:rFonts w:ascii="Arial" w:cs="Arial" w:eastAsia="Arial" w:hAnsi="Arial"/>
                <w:sz w:val="14"/>
                <w:szCs w:val="14"/>
                <w:b w:val="1"/>
                <w:bCs w:val="1"/>
                <w:color w:val="002B5F"/>
              </w:rPr>
              <w:t>Executive Officer</w:t>
            </w:r>
          </w:p>
        </w:tc>
        <w:tc>
          <w:tcPr>
            <w:tcW w:w="580" w:type="dxa"/>
            <w:vAlign w:val="bottom"/>
            <w:tcBorders>
              <w:bottom w:val="single" w:sz="8" w:color="002B5F"/>
            </w:tcBorders>
          </w:tcPr>
          <w:p>
            <w:pPr>
              <w:jc w:val="right"/>
              <w:ind w:right="52"/>
              <w:spacing w:after="0"/>
              <w:rPr>
                <w:sz w:val="20"/>
                <w:szCs w:val="20"/>
                <w:color w:val="auto"/>
              </w:rPr>
            </w:pPr>
            <w:r>
              <w:rPr>
                <w:rFonts w:ascii="Arial" w:cs="Arial" w:eastAsia="Arial" w:hAnsi="Arial"/>
                <w:sz w:val="14"/>
                <w:szCs w:val="14"/>
                <w:b w:val="1"/>
                <w:bCs w:val="1"/>
                <w:color w:val="002B5F"/>
              </w:rPr>
              <w:t>Year</w:t>
            </w:r>
          </w:p>
        </w:tc>
        <w:tc>
          <w:tcPr>
            <w:tcW w:w="820" w:type="dxa"/>
            <w:vAlign w:val="bottom"/>
            <w:tcBorders>
              <w:bottom w:val="single" w:sz="8" w:color="002B5F"/>
            </w:tcBorders>
          </w:tcPr>
          <w:p>
            <w:pPr>
              <w:jc w:val="center"/>
              <w:spacing w:after="0" w:line="204" w:lineRule="exact"/>
              <w:rPr>
                <w:sz w:val="20"/>
                <w:szCs w:val="20"/>
                <w:color w:val="auto"/>
              </w:rPr>
            </w:pPr>
            <w:r>
              <w:rPr>
                <w:rFonts w:ascii="Arial" w:cs="Arial" w:eastAsia="Arial" w:hAnsi="Arial"/>
                <w:sz w:val="23"/>
                <w:szCs w:val="23"/>
                <w:b w:val="1"/>
                <w:bCs w:val="1"/>
                <w:color w:val="002B5F"/>
                <w:vertAlign w:val="subscript"/>
              </w:rPr>
              <w:t>($)</w:t>
            </w:r>
            <w:r>
              <w:rPr>
                <w:rFonts w:ascii="Arial" w:cs="Arial" w:eastAsia="Arial" w:hAnsi="Arial"/>
                <w:sz w:val="9"/>
                <w:szCs w:val="9"/>
                <w:b w:val="1"/>
                <w:bCs w:val="1"/>
                <w:color w:val="002B5F"/>
              </w:rPr>
              <w:t>(1)</w:t>
            </w:r>
          </w:p>
        </w:tc>
        <w:tc>
          <w:tcPr>
            <w:tcW w:w="1180" w:type="dxa"/>
            <w:vAlign w:val="bottom"/>
            <w:tcBorders>
              <w:bottom w:val="single" w:sz="8" w:color="002B5F"/>
            </w:tcBorders>
          </w:tcPr>
          <w:p>
            <w:pPr>
              <w:jc w:val="center"/>
              <w:spacing w:after="0" w:line="205" w:lineRule="exact"/>
              <w:rPr>
                <w:sz w:val="20"/>
                <w:szCs w:val="20"/>
                <w:color w:val="auto"/>
              </w:rPr>
            </w:pPr>
            <w:r>
              <w:rPr>
                <w:rFonts w:ascii="Arial" w:cs="Arial" w:eastAsia="Arial" w:hAnsi="Arial"/>
                <w:sz w:val="14"/>
                <w:szCs w:val="14"/>
                <w:b w:val="1"/>
                <w:bCs w:val="1"/>
                <w:color w:val="002B5F"/>
                <w:w w:val="89"/>
              </w:rPr>
              <w:t>($)</w:t>
            </w:r>
            <w:r>
              <w:rPr>
                <w:rFonts w:ascii="Arial" w:cs="Arial" w:eastAsia="Arial" w:hAnsi="Arial"/>
                <w:sz w:val="20"/>
                <w:szCs w:val="20"/>
                <w:b w:val="1"/>
                <w:bCs w:val="1"/>
                <w:color w:val="002B5F"/>
                <w:w w:val="89"/>
                <w:vertAlign w:val="superscript"/>
              </w:rPr>
              <w:t>(2)</w:t>
            </w:r>
          </w:p>
        </w:tc>
        <w:tc>
          <w:tcPr>
            <w:tcW w:w="840" w:type="dxa"/>
            <w:vAlign w:val="bottom"/>
            <w:tcBorders>
              <w:bottom w:val="single" w:sz="8" w:color="002B5F"/>
            </w:tcBorders>
          </w:tcPr>
          <w:p>
            <w:pPr>
              <w:jc w:val="center"/>
              <w:spacing w:after="0" w:line="204" w:lineRule="exact"/>
              <w:rPr>
                <w:sz w:val="20"/>
                <w:szCs w:val="20"/>
                <w:color w:val="auto"/>
              </w:rPr>
            </w:pPr>
            <w:r>
              <w:rPr>
                <w:rFonts w:ascii="Arial" w:cs="Arial" w:eastAsia="Arial" w:hAnsi="Arial"/>
                <w:sz w:val="23"/>
                <w:szCs w:val="23"/>
                <w:b w:val="1"/>
                <w:bCs w:val="1"/>
                <w:color w:val="002B5F"/>
                <w:vertAlign w:val="subscript"/>
              </w:rPr>
              <w:t>($)</w:t>
            </w:r>
            <w:r>
              <w:rPr>
                <w:rFonts w:ascii="Arial" w:cs="Arial" w:eastAsia="Arial" w:hAnsi="Arial"/>
                <w:sz w:val="9"/>
                <w:szCs w:val="9"/>
                <w:b w:val="1"/>
                <w:bCs w:val="1"/>
                <w:color w:val="002B5F"/>
              </w:rPr>
              <w:t>(3)</w:t>
            </w:r>
          </w:p>
        </w:tc>
        <w:tc>
          <w:tcPr>
            <w:tcW w:w="800" w:type="dxa"/>
            <w:vAlign w:val="bottom"/>
            <w:tcBorders>
              <w:bottom w:val="single" w:sz="8" w:color="002B5F"/>
            </w:tcBorders>
          </w:tcPr>
          <w:p>
            <w:pPr>
              <w:jc w:val="right"/>
              <w:ind w:right="272"/>
              <w:spacing w:after="0"/>
              <w:rPr>
                <w:sz w:val="20"/>
                <w:szCs w:val="20"/>
                <w:color w:val="auto"/>
              </w:rPr>
            </w:pPr>
            <w:r>
              <w:rPr>
                <w:rFonts w:ascii="Arial" w:cs="Arial" w:eastAsia="Arial" w:hAnsi="Arial"/>
                <w:sz w:val="14"/>
                <w:szCs w:val="14"/>
                <w:b w:val="1"/>
                <w:bCs w:val="1"/>
                <w:color w:val="002B5F"/>
              </w:rPr>
              <w:t>($)</w:t>
            </w:r>
          </w:p>
        </w:tc>
        <w:tc>
          <w:tcPr>
            <w:tcW w:w="720" w:type="dxa"/>
            <w:vAlign w:val="bottom"/>
            <w:tcBorders>
              <w:bottom w:val="single" w:sz="8" w:color="002B5F"/>
            </w:tcBorders>
          </w:tcPr>
          <w:p>
            <w:pPr>
              <w:jc w:val="right"/>
              <w:ind w:right="192"/>
              <w:spacing w:after="0" w:line="205" w:lineRule="exact"/>
              <w:rPr>
                <w:sz w:val="20"/>
                <w:szCs w:val="20"/>
                <w:color w:val="auto"/>
              </w:rPr>
            </w:pPr>
            <w:r>
              <w:rPr>
                <w:rFonts w:ascii="Arial" w:cs="Arial" w:eastAsia="Arial" w:hAnsi="Arial"/>
                <w:sz w:val="14"/>
                <w:szCs w:val="14"/>
                <w:b w:val="1"/>
                <w:bCs w:val="1"/>
                <w:color w:val="002B5F"/>
              </w:rPr>
              <w:t>($)</w:t>
            </w:r>
            <w:r>
              <w:rPr>
                <w:rFonts w:ascii="Arial" w:cs="Arial" w:eastAsia="Arial" w:hAnsi="Arial"/>
                <w:sz w:val="20"/>
                <w:szCs w:val="20"/>
                <w:b w:val="1"/>
                <w:bCs w:val="1"/>
                <w:color w:val="002B5F"/>
                <w:vertAlign w:val="superscript"/>
              </w:rPr>
              <w:t>(4)</w:t>
            </w:r>
          </w:p>
        </w:tc>
        <w:tc>
          <w:tcPr>
            <w:tcW w:w="620" w:type="dxa"/>
            <w:vAlign w:val="bottom"/>
            <w:tcBorders>
              <w:bottom w:val="single" w:sz="8" w:color="002B5F"/>
            </w:tcBorders>
          </w:tcPr>
          <w:p>
            <w:pPr>
              <w:jc w:val="right"/>
              <w:ind w:right="152"/>
              <w:spacing w:after="0"/>
              <w:rPr>
                <w:sz w:val="20"/>
                <w:szCs w:val="20"/>
                <w:color w:val="auto"/>
              </w:rPr>
            </w:pPr>
            <w:r>
              <w:rPr>
                <w:rFonts w:ascii="Arial" w:cs="Arial" w:eastAsia="Arial" w:hAnsi="Arial"/>
                <w:sz w:val="14"/>
                <w:szCs w:val="14"/>
                <w:b w:val="1"/>
                <w:bCs w:val="1"/>
                <w:color w:val="002B5F"/>
              </w:rPr>
              <w:t>($)</w:t>
            </w:r>
          </w:p>
        </w:tc>
      </w:tr>
      <w:tr>
        <w:trPr>
          <w:trHeight w:val="235"/>
        </w:trPr>
        <w:tc>
          <w:tcPr>
            <w:tcW w:w="2400" w:type="dxa"/>
            <w:vAlign w:val="bottom"/>
            <w:shd w:val="clear" w:color="auto" w:fill="F7F1EC"/>
          </w:tcPr>
          <w:p>
            <w:pPr>
              <w:spacing w:after="0"/>
              <w:rPr>
                <w:sz w:val="20"/>
                <w:szCs w:val="20"/>
                <w:color w:val="auto"/>
              </w:rPr>
            </w:pPr>
          </w:p>
        </w:tc>
        <w:tc>
          <w:tcPr>
            <w:tcW w:w="580" w:type="dxa"/>
            <w:vAlign w:val="bottom"/>
            <w:shd w:val="clear" w:color="auto" w:fill="F7F1EC"/>
          </w:tcPr>
          <w:p>
            <w:pPr>
              <w:jc w:val="right"/>
              <w:spacing w:after="0"/>
              <w:rPr>
                <w:sz w:val="20"/>
                <w:szCs w:val="20"/>
                <w:color w:val="auto"/>
              </w:rPr>
            </w:pPr>
            <w:r>
              <w:rPr>
                <w:rFonts w:ascii="Arial" w:cs="Arial" w:eastAsia="Arial" w:hAnsi="Arial"/>
                <w:sz w:val="14"/>
                <w:szCs w:val="14"/>
                <w:color w:val="auto"/>
              </w:rPr>
              <w:t>2025</w:t>
            </w:r>
          </w:p>
        </w:tc>
        <w:tc>
          <w:tcPr>
            <w:tcW w:w="820" w:type="dxa"/>
            <w:vAlign w:val="bottom"/>
            <w:shd w:val="clear" w:color="auto" w:fill="F7F1EC"/>
          </w:tcPr>
          <w:p>
            <w:pPr>
              <w:jc w:val="right"/>
              <w:ind w:right="13"/>
              <w:spacing w:after="0"/>
              <w:rPr>
                <w:sz w:val="20"/>
                <w:szCs w:val="20"/>
                <w:color w:val="auto"/>
              </w:rPr>
            </w:pPr>
            <w:r>
              <w:rPr>
                <w:rFonts w:ascii="Arial" w:cs="Arial" w:eastAsia="Arial" w:hAnsi="Arial"/>
                <w:sz w:val="14"/>
                <w:szCs w:val="14"/>
                <w:color w:val="auto"/>
              </w:rPr>
              <w:t>—</w:t>
            </w:r>
          </w:p>
        </w:tc>
        <w:tc>
          <w:tcPr>
            <w:tcW w:w="1180" w:type="dxa"/>
            <w:vAlign w:val="bottom"/>
            <w:shd w:val="clear" w:color="auto" w:fill="F7F1EC"/>
          </w:tcPr>
          <w:p>
            <w:pPr>
              <w:jc w:val="right"/>
              <w:ind w:right="132"/>
              <w:spacing w:after="0"/>
              <w:rPr>
                <w:sz w:val="20"/>
                <w:szCs w:val="20"/>
                <w:color w:val="auto"/>
              </w:rPr>
            </w:pPr>
            <w:r>
              <w:rPr>
                <w:rFonts w:ascii="Arial" w:cs="Arial" w:eastAsia="Arial" w:hAnsi="Arial"/>
                <w:sz w:val="14"/>
                <w:szCs w:val="14"/>
                <w:color w:val="auto"/>
              </w:rPr>
              <w:t>15,000</w:t>
            </w:r>
          </w:p>
        </w:tc>
        <w:tc>
          <w:tcPr>
            <w:tcW w:w="840" w:type="dxa"/>
            <w:vAlign w:val="bottom"/>
            <w:shd w:val="clear" w:color="auto" w:fill="F7F1EC"/>
          </w:tcPr>
          <w:p>
            <w:pPr>
              <w:jc w:val="right"/>
              <w:ind w:right="13"/>
              <w:spacing w:after="0"/>
              <w:rPr>
                <w:sz w:val="20"/>
                <w:szCs w:val="20"/>
                <w:color w:val="auto"/>
              </w:rPr>
            </w:pPr>
            <w:r>
              <w:rPr>
                <w:rFonts w:ascii="Arial" w:cs="Arial" w:eastAsia="Arial" w:hAnsi="Arial"/>
                <w:sz w:val="14"/>
                <w:szCs w:val="14"/>
                <w:color w:val="auto"/>
              </w:rPr>
              <w:t>2,300</w:t>
            </w:r>
          </w:p>
        </w:tc>
        <w:tc>
          <w:tcPr>
            <w:tcW w:w="800" w:type="dxa"/>
            <w:vAlign w:val="bottom"/>
            <w:shd w:val="clear" w:color="auto" w:fill="F7F1EC"/>
          </w:tcPr>
          <w:p>
            <w:pPr>
              <w:jc w:val="right"/>
              <w:ind w:right="32"/>
              <w:spacing w:after="0"/>
              <w:rPr>
                <w:sz w:val="20"/>
                <w:szCs w:val="20"/>
                <w:color w:val="auto"/>
              </w:rPr>
            </w:pPr>
            <w:r>
              <w:rPr>
                <w:rFonts w:ascii="Arial" w:cs="Arial" w:eastAsia="Arial" w:hAnsi="Arial"/>
                <w:sz w:val="14"/>
                <w:szCs w:val="14"/>
                <w:color w:val="auto"/>
              </w:rPr>
              <w:t>20,654</w:t>
            </w:r>
          </w:p>
        </w:tc>
        <w:tc>
          <w:tcPr>
            <w:tcW w:w="720" w:type="dxa"/>
            <w:vAlign w:val="bottom"/>
            <w:shd w:val="clear" w:color="auto" w:fill="F7F1EC"/>
          </w:tcPr>
          <w:p>
            <w:pPr>
              <w:jc w:val="right"/>
              <w:ind w:right="52"/>
              <w:spacing w:after="0"/>
              <w:rPr>
                <w:sz w:val="20"/>
                <w:szCs w:val="20"/>
                <w:color w:val="auto"/>
              </w:rPr>
            </w:pPr>
            <w:r>
              <w:rPr>
                <w:rFonts w:ascii="Arial" w:cs="Arial" w:eastAsia="Arial" w:hAnsi="Arial"/>
                <w:sz w:val="14"/>
                <w:szCs w:val="14"/>
                <w:color w:val="auto"/>
              </w:rPr>
              <w:t>—</w:t>
            </w:r>
          </w:p>
        </w:tc>
        <w:tc>
          <w:tcPr>
            <w:tcW w:w="620" w:type="dxa"/>
            <w:vAlign w:val="bottom"/>
            <w:shd w:val="clear" w:color="auto" w:fill="F7F1EC"/>
          </w:tcPr>
          <w:p>
            <w:pPr>
              <w:jc w:val="right"/>
              <w:spacing w:after="0"/>
              <w:rPr>
                <w:sz w:val="20"/>
                <w:szCs w:val="20"/>
                <w:color w:val="auto"/>
              </w:rPr>
            </w:pPr>
            <w:r>
              <w:rPr>
                <w:rFonts w:ascii="Arial" w:cs="Arial" w:eastAsia="Arial" w:hAnsi="Arial"/>
                <w:sz w:val="14"/>
                <w:szCs w:val="14"/>
                <w:color w:val="auto"/>
              </w:rPr>
              <w:t>37,954</w:t>
            </w:r>
          </w:p>
        </w:tc>
      </w:tr>
      <w:tr>
        <w:trPr>
          <w:trHeight w:val="204"/>
        </w:trPr>
        <w:tc>
          <w:tcPr>
            <w:tcW w:w="2400" w:type="dxa"/>
            <w:vAlign w:val="bottom"/>
            <w:shd w:val="clear" w:color="auto" w:fill="F7F1EC"/>
          </w:tcPr>
          <w:p>
            <w:pPr>
              <w:ind w:left="60"/>
              <w:spacing w:after="0"/>
              <w:rPr>
                <w:sz w:val="20"/>
                <w:szCs w:val="20"/>
                <w:color w:val="auto"/>
              </w:rPr>
            </w:pPr>
            <w:r>
              <w:rPr>
                <w:rFonts w:ascii="Arial" w:cs="Arial" w:eastAsia="Arial" w:hAnsi="Arial"/>
                <w:sz w:val="14"/>
                <w:szCs w:val="14"/>
                <w:b w:val="1"/>
                <w:bCs w:val="1"/>
                <w:color w:val="B95827"/>
              </w:rPr>
              <w:t>Richard Steinmeier</w:t>
            </w:r>
          </w:p>
        </w:tc>
        <w:tc>
          <w:tcPr>
            <w:tcW w:w="580" w:type="dxa"/>
            <w:vAlign w:val="bottom"/>
            <w:shd w:val="clear" w:color="auto" w:fill="F7F1EC"/>
          </w:tcPr>
          <w:p>
            <w:pPr>
              <w:jc w:val="right"/>
              <w:spacing w:after="0"/>
              <w:rPr>
                <w:sz w:val="20"/>
                <w:szCs w:val="20"/>
                <w:color w:val="auto"/>
              </w:rPr>
            </w:pPr>
            <w:r>
              <w:rPr>
                <w:rFonts w:ascii="Arial" w:cs="Arial" w:eastAsia="Arial" w:hAnsi="Arial"/>
                <w:sz w:val="14"/>
                <w:szCs w:val="14"/>
                <w:color w:val="auto"/>
              </w:rPr>
              <w:t>2024</w:t>
            </w:r>
          </w:p>
        </w:tc>
        <w:tc>
          <w:tcPr>
            <w:tcW w:w="820" w:type="dxa"/>
            <w:vAlign w:val="bottom"/>
            <w:shd w:val="clear" w:color="auto" w:fill="F7F1EC"/>
          </w:tcPr>
          <w:p>
            <w:pPr>
              <w:jc w:val="right"/>
              <w:ind w:right="13"/>
              <w:spacing w:after="0"/>
              <w:rPr>
                <w:sz w:val="20"/>
                <w:szCs w:val="20"/>
                <w:color w:val="auto"/>
              </w:rPr>
            </w:pPr>
            <w:r>
              <w:rPr>
                <w:rFonts w:ascii="Arial" w:cs="Arial" w:eastAsia="Arial" w:hAnsi="Arial"/>
                <w:sz w:val="14"/>
                <w:szCs w:val="14"/>
                <w:color w:val="auto"/>
              </w:rPr>
              <w:t>—</w:t>
            </w:r>
          </w:p>
        </w:tc>
        <w:tc>
          <w:tcPr>
            <w:tcW w:w="1180" w:type="dxa"/>
            <w:vAlign w:val="bottom"/>
            <w:shd w:val="clear" w:color="auto" w:fill="F7F1EC"/>
          </w:tcPr>
          <w:p>
            <w:pPr>
              <w:jc w:val="right"/>
              <w:ind w:right="132"/>
              <w:spacing w:after="0"/>
              <w:rPr>
                <w:sz w:val="20"/>
                <w:szCs w:val="20"/>
                <w:color w:val="auto"/>
              </w:rPr>
            </w:pPr>
            <w:r>
              <w:rPr>
                <w:rFonts w:ascii="Arial" w:cs="Arial" w:eastAsia="Arial" w:hAnsi="Arial"/>
                <w:sz w:val="14"/>
                <w:szCs w:val="14"/>
                <w:color w:val="auto"/>
              </w:rPr>
              <w:t>11,105</w:t>
            </w:r>
          </w:p>
        </w:tc>
        <w:tc>
          <w:tcPr>
            <w:tcW w:w="840" w:type="dxa"/>
            <w:vAlign w:val="bottom"/>
            <w:shd w:val="clear" w:color="auto" w:fill="F7F1EC"/>
          </w:tcPr>
          <w:p>
            <w:pPr>
              <w:jc w:val="right"/>
              <w:ind w:right="13"/>
              <w:spacing w:after="0"/>
              <w:rPr>
                <w:sz w:val="20"/>
                <w:szCs w:val="20"/>
                <w:color w:val="auto"/>
              </w:rPr>
            </w:pPr>
            <w:r>
              <w:rPr>
                <w:rFonts w:ascii="Arial" w:cs="Arial" w:eastAsia="Arial" w:hAnsi="Arial"/>
                <w:sz w:val="14"/>
                <w:szCs w:val="14"/>
                <w:color w:val="auto"/>
              </w:rPr>
              <w:t>—</w:t>
            </w:r>
          </w:p>
        </w:tc>
        <w:tc>
          <w:tcPr>
            <w:tcW w:w="800" w:type="dxa"/>
            <w:vAlign w:val="bottom"/>
            <w:shd w:val="clear" w:color="auto" w:fill="F7F1EC"/>
          </w:tcPr>
          <w:p>
            <w:pPr>
              <w:jc w:val="right"/>
              <w:ind w:right="32"/>
              <w:spacing w:after="0"/>
              <w:rPr>
                <w:sz w:val="20"/>
                <w:szCs w:val="20"/>
                <w:color w:val="auto"/>
              </w:rPr>
            </w:pPr>
            <w:r>
              <w:rPr>
                <w:rFonts w:ascii="Arial" w:cs="Arial" w:eastAsia="Arial" w:hAnsi="Arial"/>
                <w:sz w:val="14"/>
                <w:szCs w:val="14"/>
                <w:color w:val="auto"/>
              </w:rPr>
              <w:t>20,700</w:t>
            </w:r>
          </w:p>
        </w:tc>
        <w:tc>
          <w:tcPr>
            <w:tcW w:w="720" w:type="dxa"/>
            <w:vAlign w:val="bottom"/>
            <w:shd w:val="clear" w:color="auto" w:fill="F7F1EC"/>
          </w:tcPr>
          <w:p>
            <w:pPr>
              <w:jc w:val="right"/>
              <w:ind w:right="52"/>
              <w:spacing w:after="0"/>
              <w:rPr>
                <w:sz w:val="20"/>
                <w:szCs w:val="20"/>
                <w:color w:val="auto"/>
              </w:rPr>
            </w:pPr>
            <w:r>
              <w:rPr>
                <w:rFonts w:ascii="Arial" w:cs="Arial" w:eastAsia="Arial" w:hAnsi="Arial"/>
                <w:sz w:val="14"/>
                <w:szCs w:val="14"/>
                <w:color w:val="auto"/>
              </w:rPr>
              <w:t>—</w:t>
            </w:r>
          </w:p>
        </w:tc>
        <w:tc>
          <w:tcPr>
            <w:tcW w:w="620" w:type="dxa"/>
            <w:vAlign w:val="bottom"/>
            <w:shd w:val="clear" w:color="auto" w:fill="F7F1EC"/>
          </w:tcPr>
          <w:p>
            <w:pPr>
              <w:jc w:val="right"/>
              <w:spacing w:after="0"/>
              <w:rPr>
                <w:sz w:val="20"/>
                <w:szCs w:val="20"/>
                <w:color w:val="auto"/>
              </w:rPr>
            </w:pPr>
            <w:r>
              <w:rPr>
                <w:rFonts w:ascii="Arial" w:cs="Arial" w:eastAsia="Arial" w:hAnsi="Arial"/>
                <w:sz w:val="14"/>
                <w:szCs w:val="14"/>
                <w:color w:val="auto"/>
              </w:rPr>
              <w:t>31,805</w:t>
            </w:r>
          </w:p>
        </w:tc>
      </w:tr>
      <w:tr>
        <w:trPr>
          <w:trHeight w:val="217"/>
        </w:trPr>
        <w:tc>
          <w:tcPr>
            <w:tcW w:w="2400" w:type="dxa"/>
            <w:vAlign w:val="bottom"/>
            <w:tcBorders>
              <w:bottom w:val="single" w:sz="8" w:color="F7F1EC"/>
            </w:tcBorders>
            <w:shd w:val="clear" w:color="auto" w:fill="F7F1EC"/>
          </w:tcPr>
          <w:p>
            <w:pPr>
              <w:spacing w:after="0"/>
              <w:rPr>
                <w:sz w:val="18"/>
                <w:szCs w:val="18"/>
                <w:color w:val="auto"/>
              </w:rPr>
            </w:pPr>
          </w:p>
        </w:tc>
        <w:tc>
          <w:tcPr>
            <w:tcW w:w="580" w:type="dxa"/>
            <w:vAlign w:val="bottom"/>
            <w:tcBorders>
              <w:bottom w:val="single" w:sz="8" w:color="F7F1EC"/>
            </w:tcBorders>
            <w:shd w:val="clear" w:color="auto" w:fill="F7F1EC"/>
          </w:tcPr>
          <w:p>
            <w:pPr>
              <w:jc w:val="right"/>
              <w:spacing w:after="0"/>
              <w:rPr>
                <w:sz w:val="20"/>
                <w:szCs w:val="20"/>
                <w:color w:val="auto"/>
              </w:rPr>
            </w:pPr>
            <w:r>
              <w:rPr>
                <w:rFonts w:ascii="Arial" w:cs="Arial" w:eastAsia="Arial" w:hAnsi="Arial"/>
                <w:sz w:val="14"/>
                <w:szCs w:val="14"/>
                <w:color w:val="auto"/>
              </w:rPr>
              <w:t>2023</w:t>
            </w:r>
          </w:p>
        </w:tc>
        <w:tc>
          <w:tcPr>
            <w:tcW w:w="820" w:type="dxa"/>
            <w:vAlign w:val="bottom"/>
            <w:tcBorders>
              <w:bottom w:val="single" w:sz="8" w:color="F7F1EC"/>
            </w:tcBorders>
            <w:shd w:val="clear" w:color="auto" w:fill="F7F1EC"/>
          </w:tcPr>
          <w:p>
            <w:pPr>
              <w:jc w:val="right"/>
              <w:ind w:right="13"/>
              <w:spacing w:after="0"/>
              <w:rPr>
                <w:sz w:val="20"/>
                <w:szCs w:val="20"/>
                <w:color w:val="auto"/>
              </w:rPr>
            </w:pPr>
            <w:r>
              <w:rPr>
                <w:rFonts w:ascii="Arial" w:cs="Arial" w:eastAsia="Arial" w:hAnsi="Arial"/>
                <w:sz w:val="14"/>
                <w:szCs w:val="14"/>
                <w:color w:val="auto"/>
              </w:rPr>
              <w:t>43,137</w:t>
            </w:r>
          </w:p>
        </w:tc>
        <w:tc>
          <w:tcPr>
            <w:tcW w:w="1180" w:type="dxa"/>
            <w:vAlign w:val="bottom"/>
            <w:tcBorders>
              <w:bottom w:val="single" w:sz="8" w:color="F7F1EC"/>
            </w:tcBorders>
            <w:shd w:val="clear" w:color="auto" w:fill="F7F1EC"/>
          </w:tcPr>
          <w:p>
            <w:pPr>
              <w:jc w:val="right"/>
              <w:ind w:right="132"/>
              <w:spacing w:after="0"/>
              <w:rPr>
                <w:sz w:val="20"/>
                <w:szCs w:val="20"/>
                <w:color w:val="auto"/>
              </w:rPr>
            </w:pPr>
            <w:r>
              <w:rPr>
                <w:rFonts w:ascii="Arial" w:cs="Arial" w:eastAsia="Arial" w:hAnsi="Arial"/>
                <w:sz w:val="14"/>
                <w:szCs w:val="14"/>
                <w:color w:val="auto"/>
              </w:rPr>
              <w:t>11,938</w:t>
            </w:r>
          </w:p>
        </w:tc>
        <w:tc>
          <w:tcPr>
            <w:tcW w:w="840" w:type="dxa"/>
            <w:vAlign w:val="bottom"/>
            <w:tcBorders>
              <w:bottom w:val="single" w:sz="8" w:color="F7F1EC"/>
            </w:tcBorders>
            <w:shd w:val="clear" w:color="auto" w:fill="F7F1EC"/>
          </w:tcPr>
          <w:p>
            <w:pPr>
              <w:jc w:val="right"/>
              <w:ind w:right="13"/>
              <w:spacing w:after="0"/>
              <w:rPr>
                <w:sz w:val="20"/>
                <w:szCs w:val="20"/>
                <w:color w:val="auto"/>
              </w:rPr>
            </w:pPr>
            <w:r>
              <w:rPr>
                <w:rFonts w:ascii="Arial" w:cs="Arial" w:eastAsia="Arial" w:hAnsi="Arial"/>
                <w:sz w:val="14"/>
                <w:szCs w:val="14"/>
                <w:color w:val="auto"/>
              </w:rPr>
              <w:t>4,463</w:t>
            </w:r>
          </w:p>
        </w:tc>
        <w:tc>
          <w:tcPr>
            <w:tcW w:w="800" w:type="dxa"/>
            <w:vAlign w:val="bottom"/>
            <w:tcBorders>
              <w:bottom w:val="single" w:sz="8" w:color="F7F1EC"/>
            </w:tcBorders>
            <w:shd w:val="clear" w:color="auto" w:fill="F7F1EC"/>
          </w:tcPr>
          <w:p>
            <w:pPr>
              <w:jc w:val="right"/>
              <w:ind w:right="32"/>
              <w:spacing w:after="0"/>
              <w:rPr>
                <w:sz w:val="20"/>
                <w:szCs w:val="20"/>
                <w:color w:val="auto"/>
              </w:rPr>
            </w:pPr>
            <w:r>
              <w:rPr>
                <w:rFonts w:ascii="Arial" w:cs="Arial" w:eastAsia="Arial" w:hAnsi="Arial"/>
                <w:sz w:val="14"/>
                <w:szCs w:val="14"/>
                <w:color w:val="auto"/>
              </w:rPr>
              <w:t>19,800</w:t>
            </w:r>
          </w:p>
        </w:tc>
        <w:tc>
          <w:tcPr>
            <w:tcW w:w="720" w:type="dxa"/>
            <w:vAlign w:val="bottom"/>
            <w:tcBorders>
              <w:bottom w:val="single" w:sz="8" w:color="F7F1EC"/>
            </w:tcBorders>
            <w:shd w:val="clear" w:color="auto" w:fill="F7F1EC"/>
          </w:tcPr>
          <w:p>
            <w:pPr>
              <w:jc w:val="right"/>
              <w:ind w:right="52"/>
              <w:spacing w:after="0"/>
              <w:rPr>
                <w:sz w:val="20"/>
                <w:szCs w:val="20"/>
                <w:color w:val="auto"/>
              </w:rPr>
            </w:pPr>
            <w:r>
              <w:rPr>
                <w:rFonts w:ascii="Arial" w:cs="Arial" w:eastAsia="Arial" w:hAnsi="Arial"/>
                <w:sz w:val="14"/>
                <w:szCs w:val="14"/>
                <w:color w:val="auto"/>
              </w:rPr>
              <w:t>1,180</w:t>
            </w:r>
          </w:p>
        </w:tc>
        <w:tc>
          <w:tcPr>
            <w:tcW w:w="620" w:type="dxa"/>
            <w:vAlign w:val="bottom"/>
            <w:tcBorders>
              <w:bottom w:val="single" w:sz="8" w:color="F7F1EC"/>
            </w:tcBorders>
            <w:shd w:val="clear" w:color="auto" w:fill="F7F1EC"/>
          </w:tcPr>
          <w:p>
            <w:pPr>
              <w:jc w:val="right"/>
              <w:spacing w:after="0"/>
              <w:rPr>
                <w:sz w:val="20"/>
                <w:szCs w:val="20"/>
                <w:color w:val="auto"/>
              </w:rPr>
            </w:pPr>
            <w:r>
              <w:rPr>
                <w:rFonts w:ascii="Arial" w:cs="Arial" w:eastAsia="Arial" w:hAnsi="Arial"/>
                <w:sz w:val="14"/>
                <w:szCs w:val="14"/>
                <w:color w:val="auto"/>
              </w:rPr>
              <w:t>80,518</w:t>
            </w:r>
          </w:p>
        </w:tc>
      </w:tr>
      <w:tr>
        <w:trPr>
          <w:trHeight w:val="248"/>
        </w:trPr>
        <w:tc>
          <w:tcPr>
            <w:tcW w:w="24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2025</w:t>
            </w:r>
          </w:p>
        </w:tc>
        <w:tc>
          <w:tcPr>
            <w:tcW w:w="820" w:type="dxa"/>
            <w:vAlign w:val="bottom"/>
          </w:tcPr>
          <w:p>
            <w:pPr>
              <w:jc w:val="right"/>
              <w:ind w:right="13"/>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132"/>
              <w:spacing w:after="0"/>
              <w:rPr>
                <w:sz w:val="20"/>
                <w:szCs w:val="20"/>
                <w:color w:val="auto"/>
              </w:rPr>
            </w:pPr>
            <w:r>
              <w:rPr>
                <w:rFonts w:ascii="Arial" w:cs="Arial" w:eastAsia="Arial" w:hAnsi="Arial"/>
                <w:sz w:val="14"/>
                <w:szCs w:val="14"/>
                <w:color w:val="auto"/>
              </w:rPr>
              <w:t>10,000</w:t>
            </w:r>
          </w:p>
        </w:tc>
        <w:tc>
          <w:tcPr>
            <w:tcW w:w="840" w:type="dxa"/>
            <w:vAlign w:val="bottom"/>
          </w:tcPr>
          <w:p>
            <w:pPr>
              <w:jc w:val="right"/>
              <w:ind w:right="13"/>
              <w:spacing w:after="0"/>
              <w:rPr>
                <w:sz w:val="20"/>
                <w:szCs w:val="20"/>
                <w:color w:val="auto"/>
              </w:rPr>
            </w:pPr>
            <w:r>
              <w:rPr>
                <w:rFonts w:ascii="Arial" w:cs="Arial" w:eastAsia="Arial" w:hAnsi="Arial"/>
                <w:sz w:val="14"/>
                <w:szCs w:val="14"/>
                <w:color w:val="auto"/>
              </w:rPr>
              <w:t>10,000</w:t>
            </w:r>
          </w:p>
        </w:tc>
        <w:tc>
          <w:tcPr>
            <w:tcW w:w="800" w:type="dxa"/>
            <w:vAlign w:val="bottom"/>
          </w:tcPr>
          <w:p>
            <w:pPr>
              <w:jc w:val="right"/>
              <w:ind w:right="32"/>
              <w:spacing w:after="0"/>
              <w:rPr>
                <w:sz w:val="20"/>
                <w:szCs w:val="20"/>
                <w:color w:val="auto"/>
              </w:rPr>
            </w:pPr>
            <w:r>
              <w:rPr>
                <w:rFonts w:ascii="Arial" w:cs="Arial" w:eastAsia="Arial" w:hAnsi="Arial"/>
                <w:sz w:val="14"/>
                <w:szCs w:val="14"/>
                <w:color w:val="auto"/>
              </w:rPr>
              <w:t>21,000</w:t>
            </w:r>
          </w:p>
        </w:tc>
        <w:tc>
          <w:tcPr>
            <w:tcW w:w="720" w:type="dxa"/>
            <w:vAlign w:val="bottom"/>
          </w:tcPr>
          <w:p>
            <w:pPr>
              <w:jc w:val="right"/>
              <w:ind w:right="52"/>
              <w:spacing w:after="0"/>
              <w:rPr>
                <w:sz w:val="20"/>
                <w:szCs w:val="20"/>
                <w:color w:val="auto"/>
              </w:rPr>
            </w:pPr>
            <w:r>
              <w:rPr>
                <w:rFonts w:ascii="Arial" w:cs="Arial" w:eastAsia="Arial" w:hAnsi="Arial"/>
                <w:sz w:val="14"/>
                <w:szCs w:val="14"/>
                <w:color w:val="auto"/>
              </w:rPr>
              <w:t>472,647</w:t>
            </w:r>
          </w:p>
        </w:tc>
        <w:tc>
          <w:tcPr>
            <w:tcW w:w="620" w:type="dxa"/>
            <w:vAlign w:val="bottom"/>
          </w:tcPr>
          <w:p>
            <w:pPr>
              <w:jc w:val="right"/>
              <w:spacing w:after="0"/>
              <w:rPr>
                <w:sz w:val="20"/>
                <w:szCs w:val="20"/>
                <w:color w:val="auto"/>
              </w:rPr>
            </w:pPr>
            <w:r>
              <w:rPr>
                <w:rFonts w:ascii="Arial" w:cs="Arial" w:eastAsia="Arial" w:hAnsi="Arial"/>
                <w:sz w:val="14"/>
                <w:szCs w:val="14"/>
                <w:color w:val="auto"/>
              </w:rPr>
              <w:t>513,647</w:t>
            </w:r>
          </w:p>
        </w:tc>
      </w:tr>
      <w:tr>
        <w:trPr>
          <w:trHeight w:val="210"/>
        </w:trPr>
        <w:tc>
          <w:tcPr>
            <w:tcW w:w="2400" w:type="dxa"/>
            <w:vAlign w:val="bottom"/>
          </w:tcPr>
          <w:p>
            <w:pPr>
              <w:ind w:left="60"/>
              <w:spacing w:after="0"/>
              <w:rPr>
                <w:sz w:val="20"/>
                <w:szCs w:val="20"/>
                <w:color w:val="auto"/>
              </w:rPr>
            </w:pPr>
            <w:r>
              <w:rPr>
                <w:rFonts w:ascii="Arial" w:cs="Arial" w:eastAsia="Arial" w:hAnsi="Arial"/>
                <w:sz w:val="14"/>
                <w:szCs w:val="14"/>
                <w:b w:val="1"/>
                <w:bCs w:val="1"/>
                <w:color w:val="B95827"/>
              </w:rPr>
              <w:t>Matthew Audette</w:t>
            </w:r>
          </w:p>
        </w:tc>
        <w:tc>
          <w:tcPr>
            <w:tcW w:w="580" w:type="dxa"/>
            <w:vAlign w:val="bottom"/>
          </w:tcPr>
          <w:p>
            <w:pPr>
              <w:jc w:val="right"/>
              <w:spacing w:after="0"/>
              <w:rPr>
                <w:sz w:val="20"/>
                <w:szCs w:val="20"/>
                <w:color w:val="auto"/>
              </w:rPr>
            </w:pPr>
            <w:r>
              <w:rPr>
                <w:rFonts w:ascii="Arial" w:cs="Arial" w:eastAsia="Arial" w:hAnsi="Arial"/>
                <w:sz w:val="14"/>
                <w:szCs w:val="14"/>
                <w:color w:val="auto"/>
              </w:rPr>
              <w:t>2024</w:t>
            </w:r>
          </w:p>
        </w:tc>
        <w:tc>
          <w:tcPr>
            <w:tcW w:w="820" w:type="dxa"/>
            <w:vAlign w:val="bottom"/>
          </w:tcPr>
          <w:p>
            <w:pPr>
              <w:jc w:val="right"/>
              <w:ind w:right="13"/>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132"/>
              <w:spacing w:after="0"/>
              <w:rPr>
                <w:sz w:val="20"/>
                <w:szCs w:val="20"/>
                <w:color w:val="auto"/>
              </w:rPr>
            </w:pPr>
            <w:r>
              <w:rPr>
                <w:rFonts w:ascii="Arial" w:cs="Arial" w:eastAsia="Arial" w:hAnsi="Arial"/>
                <w:sz w:val="14"/>
                <w:szCs w:val="14"/>
                <w:color w:val="auto"/>
              </w:rPr>
              <w:t>12,750</w:t>
            </w:r>
          </w:p>
        </w:tc>
        <w:tc>
          <w:tcPr>
            <w:tcW w:w="840" w:type="dxa"/>
            <w:vAlign w:val="bottom"/>
          </w:tcPr>
          <w:p>
            <w:pPr>
              <w:jc w:val="right"/>
              <w:ind w:right="13"/>
              <w:spacing w:after="0"/>
              <w:rPr>
                <w:sz w:val="20"/>
                <w:szCs w:val="20"/>
                <w:color w:val="auto"/>
              </w:rPr>
            </w:pPr>
            <w:r>
              <w:rPr>
                <w:rFonts w:ascii="Arial" w:cs="Arial" w:eastAsia="Arial" w:hAnsi="Arial"/>
                <w:sz w:val="14"/>
                <w:szCs w:val="14"/>
                <w:color w:val="auto"/>
              </w:rPr>
              <w:t>4,499</w:t>
            </w:r>
          </w:p>
        </w:tc>
        <w:tc>
          <w:tcPr>
            <w:tcW w:w="800" w:type="dxa"/>
            <w:vAlign w:val="bottom"/>
          </w:tcPr>
          <w:p>
            <w:pPr>
              <w:jc w:val="right"/>
              <w:ind w:right="32"/>
              <w:spacing w:after="0"/>
              <w:rPr>
                <w:sz w:val="20"/>
                <w:szCs w:val="20"/>
                <w:color w:val="auto"/>
              </w:rPr>
            </w:pPr>
            <w:r>
              <w:rPr>
                <w:rFonts w:ascii="Arial" w:cs="Arial" w:eastAsia="Arial" w:hAnsi="Arial"/>
                <w:sz w:val="14"/>
                <w:szCs w:val="14"/>
                <w:color w:val="auto"/>
              </w:rPr>
              <w:t>20,700</w:t>
            </w:r>
          </w:p>
        </w:tc>
        <w:tc>
          <w:tcPr>
            <w:tcW w:w="720" w:type="dxa"/>
            <w:vAlign w:val="bottom"/>
          </w:tcPr>
          <w:p>
            <w:pPr>
              <w:jc w:val="right"/>
              <w:ind w:right="52"/>
              <w:spacing w:after="0"/>
              <w:rPr>
                <w:sz w:val="20"/>
                <w:szCs w:val="20"/>
                <w:color w:val="auto"/>
              </w:rPr>
            </w:pPr>
            <w:r>
              <w:rPr>
                <w:rFonts w:ascii="Arial" w:cs="Arial" w:eastAsia="Arial" w:hAnsi="Arial"/>
                <w:sz w:val="14"/>
                <w:szCs w:val="14"/>
                <w:color w:val="auto"/>
              </w:rPr>
              <w:t>260,715</w:t>
            </w:r>
          </w:p>
        </w:tc>
        <w:tc>
          <w:tcPr>
            <w:tcW w:w="620" w:type="dxa"/>
            <w:vAlign w:val="bottom"/>
          </w:tcPr>
          <w:p>
            <w:pPr>
              <w:jc w:val="right"/>
              <w:spacing w:after="0"/>
              <w:rPr>
                <w:sz w:val="20"/>
                <w:szCs w:val="20"/>
                <w:color w:val="auto"/>
              </w:rPr>
            </w:pPr>
            <w:r>
              <w:rPr>
                <w:rFonts w:ascii="Arial" w:cs="Arial" w:eastAsia="Arial" w:hAnsi="Arial"/>
                <w:sz w:val="14"/>
                <w:szCs w:val="14"/>
                <w:color w:val="auto"/>
              </w:rPr>
              <w:t>298,664</w:t>
            </w:r>
          </w:p>
        </w:tc>
      </w:tr>
      <w:tr>
        <w:trPr>
          <w:trHeight w:val="198"/>
        </w:trPr>
        <w:tc>
          <w:tcPr>
            <w:tcW w:w="24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2023</w:t>
            </w:r>
          </w:p>
        </w:tc>
        <w:tc>
          <w:tcPr>
            <w:tcW w:w="820" w:type="dxa"/>
            <w:vAlign w:val="bottom"/>
          </w:tcPr>
          <w:p>
            <w:pPr>
              <w:jc w:val="right"/>
              <w:ind w:right="13"/>
              <w:spacing w:after="0"/>
              <w:rPr>
                <w:sz w:val="20"/>
                <w:szCs w:val="20"/>
                <w:color w:val="auto"/>
              </w:rPr>
            </w:pPr>
            <w:r>
              <w:rPr>
                <w:rFonts w:ascii="Arial" w:cs="Arial" w:eastAsia="Arial" w:hAnsi="Arial"/>
                <w:sz w:val="14"/>
                <w:szCs w:val="14"/>
                <w:color w:val="auto"/>
              </w:rPr>
              <w:t>46,483</w:t>
            </w:r>
          </w:p>
        </w:tc>
        <w:tc>
          <w:tcPr>
            <w:tcW w:w="1180" w:type="dxa"/>
            <w:vAlign w:val="bottom"/>
          </w:tcPr>
          <w:p>
            <w:pPr>
              <w:jc w:val="right"/>
              <w:ind w:right="132"/>
              <w:spacing w:after="0"/>
              <w:rPr>
                <w:sz w:val="20"/>
                <w:szCs w:val="20"/>
                <w:color w:val="auto"/>
              </w:rPr>
            </w:pPr>
            <w:r>
              <w:rPr>
                <w:rFonts w:ascii="Arial" w:cs="Arial" w:eastAsia="Arial" w:hAnsi="Arial"/>
                <w:sz w:val="14"/>
                <w:szCs w:val="14"/>
                <w:color w:val="auto"/>
              </w:rPr>
              <w:t>5,800</w:t>
            </w:r>
          </w:p>
        </w:tc>
        <w:tc>
          <w:tcPr>
            <w:tcW w:w="840" w:type="dxa"/>
            <w:vAlign w:val="bottom"/>
          </w:tcPr>
          <w:p>
            <w:pPr>
              <w:jc w:val="right"/>
              <w:ind w:right="13"/>
              <w:spacing w:after="0"/>
              <w:rPr>
                <w:sz w:val="20"/>
                <w:szCs w:val="20"/>
                <w:color w:val="auto"/>
              </w:rPr>
            </w:pPr>
            <w:r>
              <w:rPr>
                <w:rFonts w:ascii="Arial" w:cs="Arial" w:eastAsia="Arial" w:hAnsi="Arial"/>
                <w:sz w:val="14"/>
                <w:szCs w:val="14"/>
                <w:color w:val="auto"/>
              </w:rPr>
              <w:t>6,942</w:t>
            </w:r>
          </w:p>
        </w:tc>
        <w:tc>
          <w:tcPr>
            <w:tcW w:w="800" w:type="dxa"/>
            <w:vAlign w:val="bottom"/>
          </w:tcPr>
          <w:p>
            <w:pPr>
              <w:jc w:val="right"/>
              <w:ind w:right="32"/>
              <w:spacing w:after="0"/>
              <w:rPr>
                <w:sz w:val="20"/>
                <w:szCs w:val="20"/>
                <w:color w:val="auto"/>
              </w:rPr>
            </w:pPr>
            <w:r>
              <w:rPr>
                <w:rFonts w:ascii="Arial" w:cs="Arial" w:eastAsia="Arial" w:hAnsi="Arial"/>
                <w:sz w:val="14"/>
                <w:szCs w:val="14"/>
                <w:color w:val="auto"/>
              </w:rPr>
              <w:t>16,875</w:t>
            </w:r>
          </w:p>
        </w:tc>
        <w:tc>
          <w:tcPr>
            <w:tcW w:w="720" w:type="dxa"/>
            <w:vAlign w:val="bottom"/>
          </w:tcPr>
          <w:p>
            <w:pPr>
              <w:jc w:val="right"/>
              <w:ind w:right="52"/>
              <w:spacing w:after="0"/>
              <w:rPr>
                <w:sz w:val="20"/>
                <w:szCs w:val="20"/>
                <w:color w:val="auto"/>
              </w:rPr>
            </w:pPr>
            <w:r>
              <w:rPr>
                <w:rFonts w:ascii="Arial" w:cs="Arial" w:eastAsia="Arial" w:hAnsi="Arial"/>
                <w:sz w:val="14"/>
                <w:szCs w:val="14"/>
                <w:color w:val="auto"/>
              </w:rPr>
              <w:t>1,180</w:t>
            </w:r>
          </w:p>
        </w:tc>
        <w:tc>
          <w:tcPr>
            <w:tcW w:w="620" w:type="dxa"/>
            <w:vAlign w:val="bottom"/>
          </w:tcPr>
          <w:p>
            <w:pPr>
              <w:jc w:val="right"/>
              <w:spacing w:after="0"/>
              <w:rPr>
                <w:sz w:val="20"/>
                <w:szCs w:val="20"/>
                <w:color w:val="auto"/>
              </w:rPr>
            </w:pPr>
            <w:r>
              <w:rPr>
                <w:rFonts w:ascii="Arial" w:cs="Arial" w:eastAsia="Arial" w:hAnsi="Arial"/>
                <w:sz w:val="14"/>
                <w:szCs w:val="14"/>
                <w:color w:val="auto"/>
              </w:rPr>
              <w:t>77,280</w:t>
            </w:r>
          </w:p>
        </w:tc>
      </w:tr>
      <w:tr>
        <w:trPr>
          <w:trHeight w:val="33"/>
        </w:trPr>
        <w:tc>
          <w:tcPr>
            <w:tcW w:w="24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0" w:type="dxa"/>
            <w:vAlign w:val="bottom"/>
          </w:tcPr>
          <w:p>
            <w:pPr>
              <w:spacing w:after="0"/>
              <w:rPr>
                <w:sz w:val="2"/>
                <w:szCs w:val="2"/>
                <w:color w:val="auto"/>
              </w:rPr>
            </w:pPr>
          </w:p>
        </w:tc>
        <w:tc>
          <w:tcPr>
            <w:tcW w:w="72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48"/>
        </w:trPr>
        <w:tc>
          <w:tcPr>
            <w:tcW w:w="2400" w:type="dxa"/>
            <w:vAlign w:val="bottom"/>
            <w:shd w:val="clear" w:color="auto" w:fill="F7F1EC"/>
          </w:tcPr>
          <w:p>
            <w:pPr>
              <w:spacing w:after="0"/>
              <w:rPr>
                <w:sz w:val="21"/>
                <w:szCs w:val="21"/>
                <w:color w:val="auto"/>
              </w:rPr>
            </w:pPr>
          </w:p>
        </w:tc>
        <w:tc>
          <w:tcPr>
            <w:tcW w:w="580" w:type="dxa"/>
            <w:vAlign w:val="bottom"/>
            <w:shd w:val="clear" w:color="auto" w:fill="F7F1EC"/>
          </w:tcPr>
          <w:p>
            <w:pPr>
              <w:jc w:val="right"/>
              <w:spacing w:after="0"/>
              <w:rPr>
                <w:sz w:val="20"/>
                <w:szCs w:val="20"/>
                <w:color w:val="auto"/>
              </w:rPr>
            </w:pPr>
            <w:r>
              <w:rPr>
                <w:rFonts w:ascii="Arial" w:cs="Arial" w:eastAsia="Arial" w:hAnsi="Arial"/>
                <w:sz w:val="14"/>
                <w:szCs w:val="14"/>
                <w:color w:val="auto"/>
              </w:rPr>
              <w:t>2025</w:t>
            </w:r>
          </w:p>
        </w:tc>
        <w:tc>
          <w:tcPr>
            <w:tcW w:w="820" w:type="dxa"/>
            <w:vAlign w:val="bottom"/>
            <w:shd w:val="clear" w:color="auto" w:fill="F7F1EC"/>
          </w:tcPr>
          <w:p>
            <w:pPr>
              <w:jc w:val="right"/>
              <w:ind w:right="13"/>
              <w:spacing w:after="0"/>
              <w:rPr>
                <w:sz w:val="20"/>
                <w:szCs w:val="20"/>
                <w:color w:val="auto"/>
              </w:rPr>
            </w:pPr>
            <w:r>
              <w:rPr>
                <w:rFonts w:ascii="Arial" w:cs="Arial" w:eastAsia="Arial" w:hAnsi="Arial"/>
                <w:sz w:val="14"/>
                <w:szCs w:val="14"/>
                <w:color w:val="auto"/>
              </w:rPr>
              <w:t>—</w:t>
            </w:r>
          </w:p>
        </w:tc>
        <w:tc>
          <w:tcPr>
            <w:tcW w:w="1180" w:type="dxa"/>
            <w:vAlign w:val="bottom"/>
            <w:shd w:val="clear" w:color="auto" w:fill="F7F1EC"/>
          </w:tcPr>
          <w:p>
            <w:pPr>
              <w:jc w:val="right"/>
              <w:ind w:right="132"/>
              <w:spacing w:after="0"/>
              <w:rPr>
                <w:sz w:val="20"/>
                <w:szCs w:val="20"/>
                <w:color w:val="auto"/>
              </w:rPr>
            </w:pPr>
            <w:r>
              <w:rPr>
                <w:rFonts w:ascii="Arial" w:cs="Arial" w:eastAsia="Arial" w:hAnsi="Arial"/>
                <w:sz w:val="14"/>
                <w:szCs w:val="14"/>
                <w:color w:val="auto"/>
              </w:rPr>
              <w:t>—</w:t>
            </w:r>
          </w:p>
        </w:tc>
        <w:tc>
          <w:tcPr>
            <w:tcW w:w="840" w:type="dxa"/>
            <w:vAlign w:val="bottom"/>
            <w:shd w:val="clear" w:color="auto" w:fill="F7F1EC"/>
          </w:tcPr>
          <w:p>
            <w:pPr>
              <w:jc w:val="right"/>
              <w:ind w:right="13"/>
              <w:spacing w:after="0"/>
              <w:rPr>
                <w:sz w:val="20"/>
                <w:szCs w:val="20"/>
                <w:color w:val="auto"/>
              </w:rPr>
            </w:pPr>
            <w:r>
              <w:rPr>
                <w:rFonts w:ascii="Arial" w:cs="Arial" w:eastAsia="Arial" w:hAnsi="Arial"/>
                <w:sz w:val="14"/>
                <w:szCs w:val="14"/>
                <w:color w:val="auto"/>
              </w:rPr>
              <w:t>3,200</w:t>
            </w:r>
          </w:p>
        </w:tc>
        <w:tc>
          <w:tcPr>
            <w:tcW w:w="800" w:type="dxa"/>
            <w:vAlign w:val="bottom"/>
            <w:shd w:val="clear" w:color="auto" w:fill="F7F1EC"/>
          </w:tcPr>
          <w:p>
            <w:pPr>
              <w:jc w:val="right"/>
              <w:ind w:right="32"/>
              <w:spacing w:after="0"/>
              <w:rPr>
                <w:sz w:val="20"/>
                <w:szCs w:val="20"/>
                <w:color w:val="auto"/>
              </w:rPr>
            </w:pPr>
            <w:r>
              <w:rPr>
                <w:rFonts w:ascii="Arial" w:cs="Arial" w:eastAsia="Arial" w:hAnsi="Arial"/>
                <w:sz w:val="14"/>
                <w:szCs w:val="14"/>
                <w:color w:val="auto"/>
              </w:rPr>
              <w:t>21,000</w:t>
            </w:r>
          </w:p>
        </w:tc>
        <w:tc>
          <w:tcPr>
            <w:tcW w:w="720" w:type="dxa"/>
            <w:vAlign w:val="bottom"/>
            <w:shd w:val="clear" w:color="auto" w:fill="F7F1EC"/>
          </w:tcPr>
          <w:p>
            <w:pPr>
              <w:jc w:val="right"/>
              <w:ind w:right="52"/>
              <w:spacing w:after="0"/>
              <w:rPr>
                <w:sz w:val="20"/>
                <w:szCs w:val="20"/>
                <w:color w:val="auto"/>
              </w:rPr>
            </w:pPr>
            <w:r>
              <w:rPr>
                <w:rFonts w:ascii="Arial" w:cs="Arial" w:eastAsia="Arial" w:hAnsi="Arial"/>
                <w:sz w:val="14"/>
                <w:szCs w:val="14"/>
                <w:color w:val="auto"/>
              </w:rPr>
              <w:t>—</w:t>
            </w:r>
          </w:p>
        </w:tc>
        <w:tc>
          <w:tcPr>
            <w:tcW w:w="620" w:type="dxa"/>
            <w:vAlign w:val="bottom"/>
            <w:shd w:val="clear" w:color="auto" w:fill="F7F1EC"/>
          </w:tcPr>
          <w:p>
            <w:pPr>
              <w:jc w:val="right"/>
              <w:spacing w:after="0"/>
              <w:rPr>
                <w:sz w:val="20"/>
                <w:szCs w:val="20"/>
                <w:color w:val="auto"/>
              </w:rPr>
            </w:pPr>
            <w:r>
              <w:rPr>
                <w:rFonts w:ascii="Arial" w:cs="Arial" w:eastAsia="Arial" w:hAnsi="Arial"/>
                <w:sz w:val="14"/>
                <w:szCs w:val="14"/>
                <w:color w:val="auto"/>
              </w:rPr>
              <w:t>24,200</w:t>
            </w:r>
          </w:p>
        </w:tc>
      </w:tr>
      <w:tr>
        <w:trPr>
          <w:trHeight w:val="210"/>
        </w:trPr>
        <w:tc>
          <w:tcPr>
            <w:tcW w:w="2400" w:type="dxa"/>
            <w:vAlign w:val="bottom"/>
            <w:shd w:val="clear" w:color="auto" w:fill="F7F1EC"/>
          </w:tcPr>
          <w:p>
            <w:pPr>
              <w:ind w:left="60"/>
              <w:spacing w:after="0"/>
              <w:rPr>
                <w:sz w:val="20"/>
                <w:szCs w:val="20"/>
                <w:color w:val="auto"/>
              </w:rPr>
            </w:pPr>
            <w:r>
              <w:rPr>
                <w:rFonts w:ascii="Arial" w:cs="Arial" w:eastAsia="Arial" w:hAnsi="Arial"/>
                <w:sz w:val="14"/>
                <w:szCs w:val="14"/>
                <w:b w:val="1"/>
                <w:bCs w:val="1"/>
                <w:color w:val="B95827"/>
              </w:rPr>
              <w:t>Matthew Enyedi</w:t>
            </w:r>
          </w:p>
        </w:tc>
        <w:tc>
          <w:tcPr>
            <w:tcW w:w="580" w:type="dxa"/>
            <w:vAlign w:val="bottom"/>
            <w:shd w:val="clear" w:color="auto" w:fill="F7F1EC"/>
          </w:tcPr>
          <w:p>
            <w:pPr>
              <w:jc w:val="right"/>
              <w:spacing w:after="0"/>
              <w:rPr>
                <w:sz w:val="20"/>
                <w:szCs w:val="20"/>
                <w:color w:val="auto"/>
              </w:rPr>
            </w:pPr>
            <w:r>
              <w:rPr>
                <w:rFonts w:ascii="Arial" w:cs="Arial" w:eastAsia="Arial" w:hAnsi="Arial"/>
                <w:sz w:val="14"/>
                <w:szCs w:val="14"/>
                <w:color w:val="auto"/>
              </w:rPr>
              <w:t>2024</w:t>
            </w:r>
          </w:p>
        </w:tc>
        <w:tc>
          <w:tcPr>
            <w:tcW w:w="820" w:type="dxa"/>
            <w:vAlign w:val="bottom"/>
            <w:shd w:val="clear" w:color="auto" w:fill="F7F1EC"/>
          </w:tcPr>
          <w:p>
            <w:pPr>
              <w:jc w:val="right"/>
              <w:ind w:right="13"/>
              <w:spacing w:after="0"/>
              <w:rPr>
                <w:sz w:val="20"/>
                <w:szCs w:val="20"/>
                <w:color w:val="auto"/>
              </w:rPr>
            </w:pPr>
            <w:r>
              <w:rPr>
                <w:rFonts w:ascii="Arial" w:cs="Arial" w:eastAsia="Arial" w:hAnsi="Arial"/>
                <w:sz w:val="14"/>
                <w:szCs w:val="14"/>
                <w:color w:val="auto"/>
              </w:rPr>
              <w:t>—</w:t>
            </w:r>
          </w:p>
        </w:tc>
        <w:tc>
          <w:tcPr>
            <w:tcW w:w="1180" w:type="dxa"/>
            <w:vAlign w:val="bottom"/>
            <w:shd w:val="clear" w:color="auto" w:fill="F7F1EC"/>
          </w:tcPr>
          <w:p>
            <w:pPr>
              <w:jc w:val="right"/>
              <w:ind w:right="132"/>
              <w:spacing w:after="0"/>
              <w:rPr>
                <w:sz w:val="20"/>
                <w:szCs w:val="20"/>
                <w:color w:val="auto"/>
              </w:rPr>
            </w:pPr>
            <w:r>
              <w:rPr>
                <w:rFonts w:ascii="Arial" w:cs="Arial" w:eastAsia="Arial" w:hAnsi="Arial"/>
                <w:sz w:val="14"/>
                <w:szCs w:val="14"/>
                <w:color w:val="auto"/>
              </w:rPr>
              <w:t>10,350</w:t>
            </w:r>
          </w:p>
        </w:tc>
        <w:tc>
          <w:tcPr>
            <w:tcW w:w="840" w:type="dxa"/>
            <w:vAlign w:val="bottom"/>
            <w:shd w:val="clear" w:color="auto" w:fill="F7F1EC"/>
          </w:tcPr>
          <w:p>
            <w:pPr>
              <w:jc w:val="right"/>
              <w:ind w:right="13"/>
              <w:spacing w:after="0"/>
              <w:rPr>
                <w:sz w:val="20"/>
                <w:szCs w:val="20"/>
                <w:color w:val="auto"/>
              </w:rPr>
            </w:pPr>
            <w:r>
              <w:rPr>
                <w:rFonts w:ascii="Arial" w:cs="Arial" w:eastAsia="Arial" w:hAnsi="Arial"/>
                <w:sz w:val="14"/>
                <w:szCs w:val="14"/>
                <w:color w:val="auto"/>
              </w:rPr>
              <w:t>3,200</w:t>
            </w:r>
          </w:p>
        </w:tc>
        <w:tc>
          <w:tcPr>
            <w:tcW w:w="800" w:type="dxa"/>
            <w:vAlign w:val="bottom"/>
            <w:shd w:val="clear" w:color="auto" w:fill="F7F1EC"/>
          </w:tcPr>
          <w:p>
            <w:pPr>
              <w:jc w:val="right"/>
              <w:ind w:right="32"/>
              <w:spacing w:after="0"/>
              <w:rPr>
                <w:sz w:val="20"/>
                <w:szCs w:val="20"/>
                <w:color w:val="auto"/>
              </w:rPr>
            </w:pPr>
            <w:r>
              <w:rPr>
                <w:rFonts w:ascii="Arial" w:cs="Arial" w:eastAsia="Arial" w:hAnsi="Arial"/>
                <w:sz w:val="14"/>
                <w:szCs w:val="14"/>
                <w:color w:val="auto"/>
              </w:rPr>
              <w:t>20,700</w:t>
            </w:r>
          </w:p>
        </w:tc>
        <w:tc>
          <w:tcPr>
            <w:tcW w:w="720" w:type="dxa"/>
            <w:vAlign w:val="bottom"/>
            <w:shd w:val="clear" w:color="auto" w:fill="F7F1EC"/>
          </w:tcPr>
          <w:p>
            <w:pPr>
              <w:jc w:val="right"/>
              <w:ind w:right="52"/>
              <w:spacing w:after="0"/>
              <w:rPr>
                <w:sz w:val="20"/>
                <w:szCs w:val="20"/>
                <w:color w:val="auto"/>
              </w:rPr>
            </w:pPr>
            <w:r>
              <w:rPr>
                <w:rFonts w:ascii="Arial" w:cs="Arial" w:eastAsia="Arial" w:hAnsi="Arial"/>
                <w:sz w:val="14"/>
                <w:szCs w:val="14"/>
                <w:color w:val="auto"/>
              </w:rPr>
              <w:t>—</w:t>
            </w:r>
          </w:p>
        </w:tc>
        <w:tc>
          <w:tcPr>
            <w:tcW w:w="620" w:type="dxa"/>
            <w:vAlign w:val="bottom"/>
            <w:shd w:val="clear" w:color="auto" w:fill="F7F1EC"/>
          </w:tcPr>
          <w:p>
            <w:pPr>
              <w:jc w:val="right"/>
              <w:spacing w:after="0"/>
              <w:rPr>
                <w:sz w:val="20"/>
                <w:szCs w:val="20"/>
                <w:color w:val="auto"/>
              </w:rPr>
            </w:pPr>
            <w:r>
              <w:rPr>
                <w:rFonts w:ascii="Arial" w:cs="Arial" w:eastAsia="Arial" w:hAnsi="Arial"/>
                <w:sz w:val="14"/>
                <w:szCs w:val="14"/>
                <w:color w:val="auto"/>
              </w:rPr>
              <w:t>34,250</w:t>
            </w:r>
          </w:p>
        </w:tc>
      </w:tr>
      <w:tr>
        <w:trPr>
          <w:trHeight w:val="211"/>
        </w:trPr>
        <w:tc>
          <w:tcPr>
            <w:tcW w:w="2400" w:type="dxa"/>
            <w:vAlign w:val="bottom"/>
            <w:tcBorders>
              <w:bottom w:val="single" w:sz="8" w:color="F7F1EC"/>
            </w:tcBorders>
            <w:shd w:val="clear" w:color="auto" w:fill="F7F1EC"/>
          </w:tcPr>
          <w:p>
            <w:pPr>
              <w:spacing w:after="0"/>
              <w:rPr>
                <w:sz w:val="18"/>
                <w:szCs w:val="18"/>
                <w:color w:val="auto"/>
              </w:rPr>
            </w:pPr>
          </w:p>
        </w:tc>
        <w:tc>
          <w:tcPr>
            <w:tcW w:w="580" w:type="dxa"/>
            <w:vAlign w:val="bottom"/>
            <w:tcBorders>
              <w:bottom w:val="single" w:sz="8" w:color="F7F1EC"/>
            </w:tcBorders>
            <w:shd w:val="clear" w:color="auto" w:fill="F7F1EC"/>
          </w:tcPr>
          <w:p>
            <w:pPr>
              <w:jc w:val="right"/>
              <w:spacing w:after="0"/>
              <w:rPr>
                <w:sz w:val="20"/>
                <w:szCs w:val="20"/>
                <w:color w:val="auto"/>
              </w:rPr>
            </w:pPr>
            <w:r>
              <w:rPr>
                <w:rFonts w:ascii="Arial" w:cs="Arial" w:eastAsia="Arial" w:hAnsi="Arial"/>
                <w:sz w:val="14"/>
                <w:szCs w:val="14"/>
                <w:color w:val="auto"/>
              </w:rPr>
              <w:t>2023</w:t>
            </w:r>
          </w:p>
        </w:tc>
        <w:tc>
          <w:tcPr>
            <w:tcW w:w="820" w:type="dxa"/>
            <w:vAlign w:val="bottom"/>
            <w:tcBorders>
              <w:bottom w:val="single" w:sz="8" w:color="F7F1EC"/>
            </w:tcBorders>
            <w:shd w:val="clear" w:color="auto" w:fill="F7F1EC"/>
          </w:tcPr>
          <w:p>
            <w:pPr>
              <w:jc w:val="right"/>
              <w:ind w:right="13"/>
              <w:spacing w:after="0"/>
              <w:rPr>
                <w:sz w:val="20"/>
                <w:szCs w:val="20"/>
                <w:color w:val="auto"/>
              </w:rPr>
            </w:pPr>
            <w:r>
              <w:rPr>
                <w:rFonts w:ascii="Arial" w:cs="Arial" w:eastAsia="Arial" w:hAnsi="Arial"/>
                <w:sz w:val="14"/>
                <w:szCs w:val="14"/>
                <w:color w:val="auto"/>
              </w:rPr>
              <w:t>39,165</w:t>
            </w:r>
          </w:p>
        </w:tc>
        <w:tc>
          <w:tcPr>
            <w:tcW w:w="1180" w:type="dxa"/>
            <w:vAlign w:val="bottom"/>
            <w:tcBorders>
              <w:bottom w:val="single" w:sz="8" w:color="F7F1EC"/>
            </w:tcBorders>
            <w:shd w:val="clear" w:color="auto" w:fill="F7F1EC"/>
          </w:tcPr>
          <w:p>
            <w:pPr>
              <w:jc w:val="right"/>
              <w:ind w:right="132"/>
              <w:spacing w:after="0"/>
              <w:rPr>
                <w:sz w:val="20"/>
                <w:szCs w:val="20"/>
                <w:color w:val="auto"/>
              </w:rPr>
            </w:pPr>
            <w:r>
              <w:rPr>
                <w:rFonts w:ascii="Arial" w:cs="Arial" w:eastAsia="Arial" w:hAnsi="Arial"/>
                <w:sz w:val="14"/>
                <w:szCs w:val="14"/>
                <w:color w:val="auto"/>
              </w:rPr>
              <w:t>10,000</w:t>
            </w:r>
          </w:p>
        </w:tc>
        <w:tc>
          <w:tcPr>
            <w:tcW w:w="840" w:type="dxa"/>
            <w:vAlign w:val="bottom"/>
            <w:tcBorders>
              <w:bottom w:val="single" w:sz="8" w:color="F7F1EC"/>
            </w:tcBorders>
            <w:shd w:val="clear" w:color="auto" w:fill="F7F1EC"/>
          </w:tcPr>
          <w:p>
            <w:pPr>
              <w:jc w:val="right"/>
              <w:ind w:right="13"/>
              <w:spacing w:after="0"/>
              <w:rPr>
                <w:sz w:val="20"/>
                <w:szCs w:val="20"/>
                <w:color w:val="auto"/>
              </w:rPr>
            </w:pPr>
            <w:r>
              <w:rPr>
                <w:rFonts w:ascii="Arial" w:cs="Arial" w:eastAsia="Arial" w:hAnsi="Arial"/>
                <w:sz w:val="14"/>
                <w:szCs w:val="14"/>
                <w:color w:val="auto"/>
              </w:rPr>
              <w:t>5,553</w:t>
            </w:r>
          </w:p>
        </w:tc>
        <w:tc>
          <w:tcPr>
            <w:tcW w:w="800" w:type="dxa"/>
            <w:vAlign w:val="bottom"/>
            <w:tcBorders>
              <w:bottom w:val="single" w:sz="8" w:color="F7F1EC"/>
            </w:tcBorders>
            <w:shd w:val="clear" w:color="auto" w:fill="F7F1EC"/>
          </w:tcPr>
          <w:p>
            <w:pPr>
              <w:jc w:val="right"/>
              <w:ind w:right="32"/>
              <w:spacing w:after="0"/>
              <w:rPr>
                <w:sz w:val="20"/>
                <w:szCs w:val="20"/>
                <w:color w:val="auto"/>
              </w:rPr>
            </w:pPr>
            <w:r>
              <w:rPr>
                <w:rFonts w:ascii="Arial" w:cs="Arial" w:eastAsia="Arial" w:hAnsi="Arial"/>
                <w:sz w:val="14"/>
                <w:szCs w:val="14"/>
                <w:color w:val="auto"/>
              </w:rPr>
              <w:t>19,800</w:t>
            </w:r>
          </w:p>
        </w:tc>
        <w:tc>
          <w:tcPr>
            <w:tcW w:w="720" w:type="dxa"/>
            <w:vAlign w:val="bottom"/>
            <w:tcBorders>
              <w:bottom w:val="single" w:sz="8" w:color="F7F1EC"/>
            </w:tcBorders>
            <w:shd w:val="clear" w:color="auto" w:fill="F7F1EC"/>
          </w:tcPr>
          <w:p>
            <w:pPr>
              <w:jc w:val="right"/>
              <w:ind w:right="52"/>
              <w:spacing w:after="0"/>
              <w:rPr>
                <w:sz w:val="20"/>
                <w:szCs w:val="20"/>
                <w:color w:val="auto"/>
              </w:rPr>
            </w:pPr>
            <w:r>
              <w:rPr>
                <w:rFonts w:ascii="Arial" w:cs="Arial" w:eastAsia="Arial" w:hAnsi="Arial"/>
                <w:sz w:val="14"/>
                <w:szCs w:val="14"/>
                <w:color w:val="auto"/>
              </w:rPr>
              <w:t>992</w:t>
            </w:r>
          </w:p>
        </w:tc>
        <w:tc>
          <w:tcPr>
            <w:tcW w:w="620" w:type="dxa"/>
            <w:vAlign w:val="bottom"/>
            <w:tcBorders>
              <w:bottom w:val="single" w:sz="8" w:color="F7F1EC"/>
            </w:tcBorders>
            <w:shd w:val="clear" w:color="auto" w:fill="F7F1EC"/>
          </w:tcPr>
          <w:p>
            <w:pPr>
              <w:jc w:val="right"/>
              <w:spacing w:after="0"/>
              <w:rPr>
                <w:sz w:val="20"/>
                <w:szCs w:val="20"/>
                <w:color w:val="auto"/>
              </w:rPr>
            </w:pPr>
            <w:r>
              <w:rPr>
                <w:rFonts w:ascii="Arial" w:cs="Arial" w:eastAsia="Arial" w:hAnsi="Arial"/>
                <w:sz w:val="14"/>
                <w:szCs w:val="14"/>
                <w:color w:val="auto"/>
              </w:rPr>
              <w:t>75,510</w:t>
            </w:r>
          </w:p>
        </w:tc>
      </w:tr>
      <w:tr>
        <w:trPr>
          <w:trHeight w:val="248"/>
        </w:trPr>
        <w:tc>
          <w:tcPr>
            <w:tcW w:w="24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2025</w:t>
            </w:r>
          </w:p>
        </w:tc>
        <w:tc>
          <w:tcPr>
            <w:tcW w:w="820" w:type="dxa"/>
            <w:vAlign w:val="bottom"/>
          </w:tcPr>
          <w:p>
            <w:pPr>
              <w:jc w:val="right"/>
              <w:ind w:right="13"/>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132"/>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13"/>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32"/>
              <w:spacing w:after="0"/>
              <w:rPr>
                <w:sz w:val="20"/>
                <w:szCs w:val="20"/>
                <w:color w:val="auto"/>
              </w:rPr>
            </w:pPr>
            <w:r>
              <w:rPr>
                <w:rFonts w:ascii="Arial" w:cs="Arial" w:eastAsia="Arial" w:hAnsi="Arial"/>
                <w:sz w:val="14"/>
                <w:szCs w:val="14"/>
                <w:color w:val="auto"/>
              </w:rPr>
              <w:t>17,625</w:t>
            </w:r>
          </w:p>
        </w:tc>
        <w:tc>
          <w:tcPr>
            <w:tcW w:w="72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17,625</w:t>
            </w:r>
          </w:p>
        </w:tc>
      </w:tr>
      <w:tr>
        <w:trPr>
          <w:trHeight w:val="210"/>
        </w:trPr>
        <w:tc>
          <w:tcPr>
            <w:tcW w:w="2400" w:type="dxa"/>
            <w:vAlign w:val="bottom"/>
          </w:tcPr>
          <w:p>
            <w:pPr>
              <w:ind w:left="60"/>
              <w:spacing w:after="0"/>
              <w:rPr>
                <w:sz w:val="20"/>
                <w:szCs w:val="20"/>
                <w:color w:val="auto"/>
              </w:rPr>
            </w:pPr>
            <w:r>
              <w:rPr>
                <w:rFonts w:ascii="Arial" w:cs="Arial" w:eastAsia="Arial" w:hAnsi="Arial"/>
                <w:sz w:val="14"/>
                <w:szCs w:val="14"/>
                <w:b w:val="1"/>
                <w:bCs w:val="1"/>
                <w:color w:val="B95827"/>
              </w:rPr>
              <w:t>Greg Gates</w:t>
            </w:r>
          </w:p>
        </w:tc>
        <w:tc>
          <w:tcPr>
            <w:tcW w:w="580" w:type="dxa"/>
            <w:vAlign w:val="bottom"/>
          </w:tcPr>
          <w:p>
            <w:pPr>
              <w:jc w:val="right"/>
              <w:spacing w:after="0"/>
              <w:rPr>
                <w:sz w:val="20"/>
                <w:szCs w:val="20"/>
                <w:color w:val="auto"/>
              </w:rPr>
            </w:pPr>
            <w:r>
              <w:rPr>
                <w:rFonts w:ascii="Arial" w:cs="Arial" w:eastAsia="Arial" w:hAnsi="Arial"/>
                <w:sz w:val="14"/>
                <w:szCs w:val="14"/>
                <w:color w:val="auto"/>
              </w:rPr>
              <w:t>2024</w:t>
            </w:r>
          </w:p>
        </w:tc>
        <w:tc>
          <w:tcPr>
            <w:tcW w:w="820" w:type="dxa"/>
            <w:vAlign w:val="bottom"/>
          </w:tcPr>
          <w:p>
            <w:pPr>
              <w:jc w:val="right"/>
              <w:ind w:right="13"/>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132"/>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13"/>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32"/>
              <w:spacing w:after="0"/>
              <w:rPr>
                <w:sz w:val="20"/>
                <w:szCs w:val="20"/>
                <w:color w:val="auto"/>
              </w:rPr>
            </w:pPr>
            <w:r>
              <w:rPr>
                <w:rFonts w:ascii="Arial" w:cs="Arial" w:eastAsia="Arial" w:hAnsi="Arial"/>
                <w:sz w:val="14"/>
                <w:szCs w:val="14"/>
                <w:color w:val="auto"/>
              </w:rPr>
              <w:t>6,600</w:t>
            </w:r>
          </w:p>
        </w:tc>
        <w:tc>
          <w:tcPr>
            <w:tcW w:w="72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6,600</w:t>
            </w:r>
          </w:p>
        </w:tc>
      </w:tr>
      <w:tr>
        <w:trPr>
          <w:trHeight w:val="198"/>
        </w:trPr>
        <w:tc>
          <w:tcPr>
            <w:tcW w:w="24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2023</w:t>
            </w:r>
          </w:p>
        </w:tc>
        <w:tc>
          <w:tcPr>
            <w:tcW w:w="820" w:type="dxa"/>
            <w:vAlign w:val="bottom"/>
          </w:tcPr>
          <w:p>
            <w:pPr>
              <w:jc w:val="right"/>
              <w:ind w:right="13"/>
              <w:spacing w:after="0"/>
              <w:rPr>
                <w:sz w:val="20"/>
                <w:szCs w:val="20"/>
                <w:color w:val="auto"/>
              </w:rPr>
            </w:pPr>
            <w:r>
              <w:rPr>
                <w:rFonts w:ascii="Arial" w:cs="Arial" w:eastAsia="Arial" w:hAnsi="Arial"/>
                <w:sz w:val="14"/>
                <w:szCs w:val="14"/>
                <w:color w:val="auto"/>
              </w:rPr>
              <w:t>38,186</w:t>
            </w:r>
          </w:p>
        </w:tc>
        <w:tc>
          <w:tcPr>
            <w:tcW w:w="1180" w:type="dxa"/>
            <w:vAlign w:val="bottom"/>
          </w:tcPr>
          <w:p>
            <w:pPr>
              <w:jc w:val="right"/>
              <w:ind w:right="132"/>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13"/>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32"/>
              <w:spacing w:after="0"/>
              <w:rPr>
                <w:sz w:val="20"/>
                <w:szCs w:val="20"/>
                <w:color w:val="auto"/>
              </w:rPr>
            </w:pPr>
            <w:r>
              <w:rPr>
                <w:rFonts w:ascii="Arial" w:cs="Arial" w:eastAsia="Arial" w:hAnsi="Arial"/>
                <w:sz w:val="14"/>
                <w:szCs w:val="14"/>
                <w:color w:val="auto"/>
              </w:rPr>
              <w:t>16,875</w:t>
            </w:r>
          </w:p>
        </w:tc>
        <w:tc>
          <w:tcPr>
            <w:tcW w:w="720" w:type="dxa"/>
            <w:vAlign w:val="bottom"/>
          </w:tcPr>
          <w:p>
            <w:pPr>
              <w:jc w:val="right"/>
              <w:ind w:right="52"/>
              <w:spacing w:after="0"/>
              <w:rPr>
                <w:sz w:val="20"/>
                <w:szCs w:val="20"/>
                <w:color w:val="auto"/>
              </w:rPr>
            </w:pPr>
            <w:r>
              <w:rPr>
                <w:rFonts w:ascii="Arial" w:cs="Arial" w:eastAsia="Arial" w:hAnsi="Arial"/>
                <w:sz w:val="14"/>
                <w:szCs w:val="14"/>
                <w:color w:val="auto"/>
              </w:rPr>
              <w:t>923</w:t>
            </w:r>
          </w:p>
        </w:tc>
        <w:tc>
          <w:tcPr>
            <w:tcW w:w="620" w:type="dxa"/>
            <w:vAlign w:val="bottom"/>
          </w:tcPr>
          <w:p>
            <w:pPr>
              <w:jc w:val="right"/>
              <w:spacing w:after="0"/>
              <w:rPr>
                <w:sz w:val="20"/>
                <w:szCs w:val="20"/>
                <w:color w:val="auto"/>
              </w:rPr>
            </w:pPr>
            <w:r>
              <w:rPr>
                <w:rFonts w:ascii="Arial" w:cs="Arial" w:eastAsia="Arial" w:hAnsi="Arial"/>
                <w:sz w:val="14"/>
                <w:szCs w:val="14"/>
                <w:color w:val="auto"/>
              </w:rPr>
              <w:t>55,984</w:t>
            </w:r>
          </w:p>
        </w:tc>
      </w:tr>
      <w:tr>
        <w:trPr>
          <w:trHeight w:val="33"/>
        </w:trPr>
        <w:tc>
          <w:tcPr>
            <w:tcW w:w="24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0" w:type="dxa"/>
            <w:vAlign w:val="bottom"/>
          </w:tcPr>
          <w:p>
            <w:pPr>
              <w:spacing w:after="0"/>
              <w:rPr>
                <w:sz w:val="2"/>
                <w:szCs w:val="2"/>
                <w:color w:val="auto"/>
              </w:rPr>
            </w:pPr>
          </w:p>
        </w:tc>
        <w:tc>
          <w:tcPr>
            <w:tcW w:w="72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4"/>
        </w:trPr>
        <w:tc>
          <w:tcPr>
            <w:tcW w:w="2400" w:type="dxa"/>
            <w:vAlign w:val="bottom"/>
            <w:shd w:val="clear" w:color="auto" w:fill="F7F1EC"/>
          </w:tcPr>
          <w:p>
            <w:pPr>
              <w:ind w:left="60"/>
              <w:spacing w:after="0"/>
              <w:rPr>
                <w:sz w:val="20"/>
                <w:szCs w:val="20"/>
                <w:color w:val="auto"/>
              </w:rPr>
            </w:pPr>
            <w:r>
              <w:rPr>
                <w:rFonts w:ascii="Arial" w:cs="Arial" w:eastAsia="Arial" w:hAnsi="Arial"/>
                <w:sz w:val="14"/>
                <w:szCs w:val="14"/>
                <w:b w:val="1"/>
                <w:bCs w:val="1"/>
                <w:color w:val="B95827"/>
              </w:rPr>
              <w:t>Aneri Jambusaria</w:t>
            </w:r>
          </w:p>
        </w:tc>
        <w:tc>
          <w:tcPr>
            <w:tcW w:w="580" w:type="dxa"/>
            <w:vAlign w:val="bottom"/>
            <w:shd w:val="clear" w:color="auto" w:fill="F7F1EC"/>
          </w:tcPr>
          <w:p>
            <w:pPr>
              <w:jc w:val="right"/>
              <w:spacing w:after="0"/>
              <w:rPr>
                <w:sz w:val="20"/>
                <w:szCs w:val="20"/>
                <w:color w:val="auto"/>
              </w:rPr>
            </w:pPr>
            <w:r>
              <w:rPr>
                <w:rFonts w:ascii="Arial" w:cs="Arial" w:eastAsia="Arial" w:hAnsi="Arial"/>
                <w:sz w:val="14"/>
                <w:szCs w:val="14"/>
                <w:color w:val="auto"/>
              </w:rPr>
              <w:t>2025</w:t>
            </w:r>
          </w:p>
        </w:tc>
        <w:tc>
          <w:tcPr>
            <w:tcW w:w="820" w:type="dxa"/>
            <w:vAlign w:val="bottom"/>
            <w:shd w:val="clear" w:color="auto" w:fill="F7F1EC"/>
          </w:tcPr>
          <w:p>
            <w:pPr>
              <w:jc w:val="right"/>
              <w:ind w:right="13"/>
              <w:spacing w:after="0"/>
              <w:rPr>
                <w:sz w:val="20"/>
                <w:szCs w:val="20"/>
                <w:color w:val="auto"/>
              </w:rPr>
            </w:pPr>
            <w:r>
              <w:rPr>
                <w:rFonts w:ascii="Arial" w:cs="Arial" w:eastAsia="Arial" w:hAnsi="Arial"/>
                <w:sz w:val="14"/>
                <w:szCs w:val="14"/>
                <w:color w:val="auto"/>
              </w:rPr>
              <w:t>—</w:t>
            </w:r>
          </w:p>
        </w:tc>
        <w:tc>
          <w:tcPr>
            <w:tcW w:w="1180" w:type="dxa"/>
            <w:vAlign w:val="bottom"/>
            <w:shd w:val="clear" w:color="auto" w:fill="F7F1EC"/>
          </w:tcPr>
          <w:p>
            <w:pPr>
              <w:jc w:val="right"/>
              <w:ind w:right="132"/>
              <w:spacing w:after="0"/>
              <w:rPr>
                <w:sz w:val="20"/>
                <w:szCs w:val="20"/>
                <w:color w:val="auto"/>
              </w:rPr>
            </w:pPr>
            <w:r>
              <w:rPr>
                <w:rFonts w:ascii="Arial" w:cs="Arial" w:eastAsia="Arial" w:hAnsi="Arial"/>
                <w:sz w:val="14"/>
                <w:szCs w:val="14"/>
                <w:color w:val="auto"/>
              </w:rPr>
              <w:t>—</w:t>
            </w:r>
          </w:p>
        </w:tc>
        <w:tc>
          <w:tcPr>
            <w:tcW w:w="840" w:type="dxa"/>
            <w:vAlign w:val="bottom"/>
            <w:shd w:val="clear" w:color="auto" w:fill="F7F1EC"/>
          </w:tcPr>
          <w:p>
            <w:pPr>
              <w:jc w:val="right"/>
              <w:ind w:right="13"/>
              <w:spacing w:after="0"/>
              <w:rPr>
                <w:sz w:val="20"/>
                <w:szCs w:val="20"/>
                <w:color w:val="auto"/>
              </w:rPr>
            </w:pPr>
            <w:r>
              <w:rPr>
                <w:rFonts w:ascii="Arial" w:cs="Arial" w:eastAsia="Arial" w:hAnsi="Arial"/>
                <w:sz w:val="14"/>
                <w:szCs w:val="14"/>
                <w:color w:val="auto"/>
              </w:rPr>
              <w:t>—</w:t>
            </w:r>
          </w:p>
        </w:tc>
        <w:tc>
          <w:tcPr>
            <w:tcW w:w="800" w:type="dxa"/>
            <w:vAlign w:val="bottom"/>
            <w:shd w:val="clear" w:color="auto" w:fill="F7F1EC"/>
          </w:tcPr>
          <w:p>
            <w:pPr>
              <w:jc w:val="right"/>
              <w:ind w:right="32"/>
              <w:spacing w:after="0"/>
              <w:rPr>
                <w:sz w:val="20"/>
                <w:szCs w:val="20"/>
                <w:color w:val="auto"/>
              </w:rPr>
            </w:pPr>
            <w:r>
              <w:rPr>
                <w:rFonts w:ascii="Arial" w:cs="Arial" w:eastAsia="Arial" w:hAnsi="Arial"/>
                <w:sz w:val="14"/>
                <w:szCs w:val="14"/>
                <w:color w:val="auto"/>
              </w:rPr>
              <w:t>17,625</w:t>
            </w:r>
          </w:p>
        </w:tc>
        <w:tc>
          <w:tcPr>
            <w:tcW w:w="720" w:type="dxa"/>
            <w:vAlign w:val="bottom"/>
            <w:shd w:val="clear" w:color="auto" w:fill="F7F1EC"/>
          </w:tcPr>
          <w:p>
            <w:pPr>
              <w:jc w:val="right"/>
              <w:ind w:right="52"/>
              <w:spacing w:after="0"/>
              <w:rPr>
                <w:sz w:val="20"/>
                <w:szCs w:val="20"/>
                <w:color w:val="auto"/>
              </w:rPr>
            </w:pPr>
            <w:r>
              <w:rPr>
                <w:rFonts w:ascii="Arial" w:cs="Arial" w:eastAsia="Arial" w:hAnsi="Arial"/>
                <w:sz w:val="14"/>
                <w:szCs w:val="14"/>
                <w:color w:val="auto"/>
              </w:rPr>
              <w:t>—</w:t>
            </w:r>
          </w:p>
        </w:tc>
        <w:tc>
          <w:tcPr>
            <w:tcW w:w="620" w:type="dxa"/>
            <w:vAlign w:val="bottom"/>
            <w:shd w:val="clear" w:color="auto" w:fill="F7F1EC"/>
          </w:tcPr>
          <w:p>
            <w:pPr>
              <w:jc w:val="right"/>
              <w:spacing w:after="0"/>
              <w:rPr>
                <w:sz w:val="20"/>
                <w:szCs w:val="20"/>
                <w:color w:val="auto"/>
              </w:rPr>
            </w:pPr>
            <w:r>
              <w:rPr>
                <w:rFonts w:ascii="Arial" w:cs="Arial" w:eastAsia="Arial" w:hAnsi="Arial"/>
                <w:sz w:val="14"/>
                <w:szCs w:val="14"/>
                <w:color w:val="auto"/>
              </w:rPr>
              <w:t>17,625</w:t>
            </w:r>
          </w:p>
        </w:tc>
      </w:tr>
      <w:tr>
        <w:trPr>
          <w:trHeight w:val="27"/>
        </w:trPr>
        <w:tc>
          <w:tcPr>
            <w:tcW w:w="2400" w:type="dxa"/>
            <w:vAlign w:val="bottom"/>
            <w:shd w:val="clear" w:color="auto" w:fill="F7F1EC"/>
          </w:tcPr>
          <w:p>
            <w:pPr>
              <w:spacing w:after="0"/>
              <w:rPr>
                <w:sz w:val="2"/>
                <w:szCs w:val="2"/>
                <w:color w:val="auto"/>
              </w:rPr>
            </w:pPr>
          </w:p>
        </w:tc>
        <w:tc>
          <w:tcPr>
            <w:tcW w:w="580" w:type="dxa"/>
            <w:vAlign w:val="bottom"/>
            <w:shd w:val="clear" w:color="auto" w:fill="F7F1EC"/>
          </w:tcPr>
          <w:p>
            <w:pPr>
              <w:spacing w:after="0"/>
              <w:rPr>
                <w:sz w:val="2"/>
                <w:szCs w:val="2"/>
                <w:color w:val="auto"/>
              </w:rPr>
            </w:pPr>
          </w:p>
        </w:tc>
        <w:tc>
          <w:tcPr>
            <w:tcW w:w="820" w:type="dxa"/>
            <w:vAlign w:val="bottom"/>
            <w:shd w:val="clear" w:color="auto" w:fill="F7F1EC"/>
          </w:tcPr>
          <w:p>
            <w:pPr>
              <w:spacing w:after="0"/>
              <w:rPr>
                <w:sz w:val="2"/>
                <w:szCs w:val="2"/>
                <w:color w:val="auto"/>
              </w:rPr>
            </w:pPr>
          </w:p>
        </w:tc>
        <w:tc>
          <w:tcPr>
            <w:tcW w:w="1180" w:type="dxa"/>
            <w:vAlign w:val="bottom"/>
            <w:shd w:val="clear" w:color="auto" w:fill="F7F1EC"/>
          </w:tcPr>
          <w:p>
            <w:pPr>
              <w:spacing w:after="0"/>
              <w:rPr>
                <w:sz w:val="2"/>
                <w:szCs w:val="2"/>
                <w:color w:val="auto"/>
              </w:rPr>
            </w:pPr>
          </w:p>
        </w:tc>
        <w:tc>
          <w:tcPr>
            <w:tcW w:w="840" w:type="dxa"/>
            <w:vAlign w:val="bottom"/>
            <w:shd w:val="clear" w:color="auto" w:fill="F7F1EC"/>
          </w:tcPr>
          <w:p>
            <w:pPr>
              <w:spacing w:after="0"/>
              <w:rPr>
                <w:sz w:val="2"/>
                <w:szCs w:val="2"/>
                <w:color w:val="auto"/>
              </w:rPr>
            </w:pPr>
          </w:p>
        </w:tc>
        <w:tc>
          <w:tcPr>
            <w:tcW w:w="800" w:type="dxa"/>
            <w:vAlign w:val="bottom"/>
            <w:shd w:val="clear" w:color="auto" w:fill="F7F1EC"/>
          </w:tcPr>
          <w:p>
            <w:pPr>
              <w:spacing w:after="0"/>
              <w:rPr>
                <w:sz w:val="2"/>
                <w:szCs w:val="2"/>
                <w:color w:val="auto"/>
              </w:rPr>
            </w:pPr>
          </w:p>
        </w:tc>
        <w:tc>
          <w:tcPr>
            <w:tcW w:w="720" w:type="dxa"/>
            <w:vAlign w:val="bottom"/>
            <w:shd w:val="clear" w:color="auto" w:fill="F7F1EC"/>
          </w:tcPr>
          <w:p>
            <w:pPr>
              <w:spacing w:after="0"/>
              <w:rPr>
                <w:sz w:val="2"/>
                <w:szCs w:val="2"/>
                <w:color w:val="auto"/>
              </w:rPr>
            </w:pPr>
          </w:p>
        </w:tc>
        <w:tc>
          <w:tcPr>
            <w:tcW w:w="620" w:type="dxa"/>
            <w:vAlign w:val="bottom"/>
            <w:shd w:val="clear" w:color="auto" w:fill="F7F1EC"/>
          </w:tcPr>
          <w:p>
            <w:pPr>
              <w:spacing w:after="0"/>
              <w:rPr>
                <w:sz w:val="2"/>
                <w:szCs w:val="2"/>
                <w:color w:val="auto"/>
              </w:rPr>
            </w:pPr>
          </w:p>
        </w:tc>
      </w:tr>
    </w:tbl>
    <w:p>
      <w:pPr>
        <w:spacing w:after="0" w:line="97" w:lineRule="exact"/>
        <w:rPr>
          <w:sz w:val="20"/>
          <w:szCs w:val="20"/>
          <w:color w:val="auto"/>
        </w:rPr>
      </w:pPr>
    </w:p>
    <w:p>
      <w:pPr>
        <w:ind w:left="240" w:right="60" w:hanging="233"/>
        <w:spacing w:after="0" w:line="230" w:lineRule="auto"/>
        <w:tabs>
          <w:tab w:leader="none" w:pos="240" w:val="left"/>
        </w:tabs>
        <w:numPr>
          <w:ilvl w:val="0"/>
          <w:numId w:val="96"/>
        </w:numPr>
        <w:rPr>
          <w:rFonts w:ascii="Arial" w:cs="Arial" w:eastAsia="Arial" w:hAnsi="Arial"/>
          <w:sz w:val="12"/>
          <w:szCs w:val="12"/>
          <w:color w:val="auto"/>
        </w:rPr>
      </w:pPr>
      <w:r>
        <w:rPr>
          <w:rFonts w:ascii="Arial" w:cs="Arial" w:eastAsia="Arial" w:hAnsi="Arial"/>
          <w:sz w:val="12"/>
          <w:szCs w:val="12"/>
          <w:color w:val="auto"/>
        </w:rPr>
        <w:t>Consists of hotel, air travel and other expenses related to the attendance of each NEO’s spouse at a client conference hosted by the Company outside of the United States, as well as related tax gross-up payments for each NEO and spouse. Although the expenses related to each NEO’s attendance at such conference were incurred solely for business purposes, the value of the travel to such conference was imputed as taxable compensation to the NEO under applicable tax requirements. The 2023 tax gross-up payments to Messrs. Steinmeier, Audette, Enyedi and Gates were $29,298, $31,523, $26,672 and $25,896, respectively. From time to time, our executive officers are able to arrange travel through our corporate vendor for personal use of aircraft, the cost of which they fully reimburse.</w:t>
      </w:r>
    </w:p>
    <w:p>
      <w:pPr>
        <w:spacing w:after="0" w:line="36" w:lineRule="exact"/>
        <w:rPr>
          <w:rFonts w:ascii="Arial" w:cs="Arial" w:eastAsia="Arial" w:hAnsi="Arial"/>
          <w:sz w:val="12"/>
          <w:szCs w:val="12"/>
          <w:color w:val="auto"/>
        </w:rPr>
      </w:pPr>
    </w:p>
    <w:p>
      <w:pPr>
        <w:ind w:left="240" w:hanging="233"/>
        <w:spacing w:after="0"/>
        <w:tabs>
          <w:tab w:leader="none" w:pos="240" w:val="left"/>
        </w:tabs>
        <w:numPr>
          <w:ilvl w:val="0"/>
          <w:numId w:val="96"/>
        </w:numPr>
        <w:rPr>
          <w:rFonts w:ascii="Arial" w:cs="Arial" w:eastAsia="Arial" w:hAnsi="Arial"/>
          <w:sz w:val="12"/>
          <w:szCs w:val="12"/>
          <w:color w:val="auto"/>
        </w:rPr>
      </w:pPr>
      <w:r>
        <w:rPr>
          <w:rFonts w:ascii="Arial" w:cs="Arial" w:eastAsia="Arial" w:hAnsi="Arial"/>
          <w:sz w:val="12"/>
          <w:szCs w:val="12"/>
          <w:color w:val="auto"/>
        </w:rPr>
        <w:t>Consists of taxable reimbursements received under the Company’s Executive Financial Services Policy.</w:t>
      </w:r>
    </w:p>
    <w:p>
      <w:pPr>
        <w:spacing w:after="0" w:line="53" w:lineRule="exact"/>
        <w:rPr>
          <w:rFonts w:ascii="Arial" w:cs="Arial" w:eastAsia="Arial" w:hAnsi="Arial"/>
          <w:sz w:val="12"/>
          <w:szCs w:val="12"/>
          <w:color w:val="auto"/>
        </w:rPr>
      </w:pPr>
    </w:p>
    <w:p>
      <w:pPr>
        <w:jc w:val="both"/>
        <w:ind w:left="240" w:right="260" w:hanging="233"/>
        <w:spacing w:after="0" w:line="239" w:lineRule="auto"/>
        <w:tabs>
          <w:tab w:leader="none" w:pos="240" w:val="left"/>
        </w:tabs>
        <w:numPr>
          <w:ilvl w:val="0"/>
          <w:numId w:val="96"/>
        </w:numPr>
        <w:rPr>
          <w:rFonts w:ascii="Arial" w:cs="Arial" w:eastAsia="Arial" w:hAnsi="Arial"/>
          <w:sz w:val="12"/>
          <w:szCs w:val="12"/>
          <w:color w:val="auto"/>
        </w:rPr>
      </w:pPr>
      <w:r>
        <w:rPr>
          <w:rFonts w:ascii="Arial" w:cs="Arial" w:eastAsia="Arial" w:hAnsi="Arial"/>
          <w:sz w:val="12"/>
          <w:szCs w:val="12"/>
          <w:color w:val="auto"/>
        </w:rPr>
        <w:t>Includes membership expenses for a health and wellness program and, for periods prior to 2024, related tax gross-up payments. Beginning in 2024, the Company’s health and wellness program no longer provides for tax gross-ups. In 2023 tax gross-up payments totaled $2,753 for Mr. Enyedi, $3,442 for Mr. Audette and $2,213 for Mr. Steinmeier.</w:t>
      </w:r>
    </w:p>
    <w:p>
      <w:pPr>
        <w:spacing w:after="0" w:line="34" w:lineRule="exact"/>
        <w:rPr>
          <w:rFonts w:ascii="Arial" w:cs="Arial" w:eastAsia="Arial" w:hAnsi="Arial"/>
          <w:sz w:val="12"/>
          <w:szCs w:val="12"/>
          <w:color w:val="auto"/>
        </w:rPr>
      </w:pPr>
    </w:p>
    <w:p>
      <w:pPr>
        <w:ind w:left="240" w:hanging="233"/>
        <w:spacing w:after="0" w:line="232" w:lineRule="auto"/>
        <w:tabs>
          <w:tab w:leader="none" w:pos="240" w:val="left"/>
        </w:tabs>
        <w:numPr>
          <w:ilvl w:val="0"/>
          <w:numId w:val="96"/>
        </w:numPr>
        <w:rPr>
          <w:rFonts w:ascii="Arial" w:cs="Arial" w:eastAsia="Arial" w:hAnsi="Arial"/>
          <w:sz w:val="12"/>
          <w:szCs w:val="12"/>
          <w:color w:val="auto"/>
        </w:rPr>
      </w:pPr>
      <w:r>
        <w:rPr>
          <w:rFonts w:ascii="Arial" w:cs="Arial" w:eastAsia="Arial" w:hAnsi="Arial"/>
          <w:sz w:val="12"/>
          <w:szCs w:val="12"/>
          <w:color w:val="auto"/>
        </w:rPr>
        <w:t>2025 consists of the value of relocation-related expenses of $228,998 for Mr. Audette as well as related tax gross-up payments of $243,649 related to his relocation to New York City in connection with the establishment of a Company office there. 2024 consists of the value of relocation-related expenses of $128,652 for Mr. Audette as well as related tax gross-up payments of $132,063. 2023 consists of the value of year-end gifts received by the NEO at the Company’s expense, as well as related tax gross-up payments in 2023 in the amount of $585 for each of Messrs. Steinmeier and Audette, $492 for Mr. Enyedi, and $423 for Mr. Gates.</w:t>
      </w:r>
    </w:p>
    <w:p>
      <w:pPr>
        <w:spacing w:after="0" w:line="4240" w:lineRule="exact"/>
        <w:rPr>
          <w:sz w:val="20"/>
          <w:szCs w:val="20"/>
          <w:color w:val="auto"/>
        </w:rPr>
      </w:pPr>
    </w:p>
    <w:p>
      <w:pPr>
        <w:sectPr>
          <w:pgSz w:w="11900" w:h="16838" w:orient="portrait"/>
          <w:cols w:equalWidth="0" w:num="2">
            <w:col w:w="2160" w:space="560"/>
            <w:col w:w="7980"/>
          </w:cols>
          <w:pgMar w:left="320" w:top="464" w:right="879" w:bottom="1440" w:gutter="0" w:footer="0" w:header="0"/>
        </w:sectPr>
      </w:pPr>
    </w:p>
    <w:p>
      <w:pPr>
        <w:spacing w:after="0" w:line="200" w:lineRule="exact"/>
        <w:rPr>
          <w:sz w:val="20"/>
          <w:szCs w:val="20"/>
          <w:color w:val="auto"/>
        </w:rPr>
      </w:pPr>
    </w:p>
    <w:p>
      <w:pPr>
        <w:spacing w:after="0" w:line="385" w:lineRule="exact"/>
        <w:rPr>
          <w:sz w:val="20"/>
          <w:szCs w:val="20"/>
          <w:color w:val="auto"/>
        </w:rPr>
      </w:pPr>
    </w:p>
    <w:p>
      <w:pPr>
        <w:ind w:left="420"/>
        <w:spacing w:after="0"/>
        <w:tabs>
          <w:tab w:leader="none" w:pos="2380" w:val="left"/>
          <w:tab w:leader="none" w:pos="2800" w:val="left"/>
        </w:tabs>
        <w:rPr>
          <w:sz w:val="20"/>
          <w:szCs w:val="20"/>
          <w:color w:val="auto"/>
        </w:rPr>
      </w:pPr>
      <w:r>
        <w:rPr>
          <w:rFonts w:ascii="Arial" w:cs="Arial" w:eastAsia="Arial" w:hAnsi="Arial"/>
          <w:sz w:val="30"/>
          <w:szCs w:val="30"/>
          <w:color w:val="000000"/>
          <w:vertAlign w:val="superscript"/>
        </w:rPr>
        <w:t xml:space="preserve">             </w:t>
      </w:r>
      <w:r>
        <w:rPr>
          <w:sz w:val="20"/>
          <w:szCs w:val="20"/>
          <w:color w:val="auto"/>
        </w:rPr>
        <w:tab/>
      </w:r>
      <w:r>
        <w:rPr>
          <w:rFonts w:ascii="Arial" w:cs="Arial" w:eastAsia="Arial" w:hAnsi="Arial"/>
          <w:sz w:val="31"/>
          <w:szCs w:val="31"/>
          <w:color w:val="auto"/>
          <w:vertAlign w:val="superscript"/>
        </w:rPr>
        <w:t xml:space="preserve">    </w:t>
      </w:r>
      <w:r>
        <w:rPr>
          <w:sz w:val="20"/>
          <w:szCs w:val="20"/>
          <w:color w:val="auto"/>
        </w:rPr>
        <w:tab/>
      </w:r>
      <w:r>
        <w:rPr>
          <w:rFonts w:ascii="Arial" w:cs="Arial" w:eastAsia="Arial" w:hAnsi="Arial"/>
          <w:sz w:val="15"/>
          <w:szCs w:val="15"/>
          <w:b w:val="1"/>
          <w:bCs w:val="1"/>
          <w:color w:val="002B5F"/>
        </w:rPr>
        <w:t xml:space="preserve">62  </w:t>
      </w:r>
      <w:r>
        <w:rPr>
          <w:rFonts w:ascii="Arial" w:cs="Arial" w:eastAsia="Arial" w:hAnsi="Arial"/>
          <w:sz w:val="20"/>
          <w:szCs w:val="20"/>
          <w:color w:val="002B5F"/>
        </w:rPr>
        <w:t>|</w:t>
      </w:r>
      <w:r>
        <w:rPr>
          <w:rFonts w:ascii="Arial" w:cs="Arial" w:eastAsia="Arial" w:hAnsi="Arial"/>
          <w:sz w:val="15"/>
          <w:szCs w:val="15"/>
          <w:b w:val="1"/>
          <w:bCs w:val="1"/>
          <w:color w:val="002B5F"/>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6111875</wp:posOffset>
            </wp:positionH>
            <wp:positionV relativeFrom="paragraph">
              <wp:posOffset>-208915</wp:posOffset>
            </wp:positionV>
            <wp:extent cx="769620" cy="971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69620" cy="97155"/>
                    </a:xfrm>
                    <a:prstGeom prst="rect">
                      <a:avLst/>
                    </a:prstGeom>
                    <a:noFill/>
                  </pic:spPr>
                </pic:pic>
              </a:graphicData>
            </a:graphic>
          </wp:anchor>
        </w:drawing>
      </w:r>
    </w:p>
    <w:p>
      <w:pPr>
        <w:sectPr>
          <w:pgSz w:w="11900" w:h="16838" w:orient="portrait"/>
          <w:cols w:equalWidth="0" w:num="1">
            <w:col w:w="10700"/>
          </w:cols>
          <w:pgMar w:left="320" w:top="464" w:right="879" w:bottom="1440" w:gutter="0" w:footer="0" w:header="0"/>
          <w:type w:val="continuous"/>
        </w:sectPr>
      </w:pPr>
    </w:p>
    <w:bookmarkStart w:id="74" w:name="page75"/>
    <w:bookmarkEnd w:id="7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5334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81215" cy="5334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5617845</wp:posOffset>
            </wp:positionH>
            <wp:positionV relativeFrom="paragraph">
              <wp:posOffset>253365</wp:posOffset>
            </wp:positionV>
            <wp:extent cx="1256030" cy="74720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1256030" cy="7472045"/>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jc w:val="right"/>
        <w:ind w:right="6540"/>
        <w:spacing w:after="0"/>
        <w:rPr>
          <w:sz w:val="20"/>
          <w:szCs w:val="20"/>
          <w:color w:val="auto"/>
        </w:rPr>
      </w:pPr>
      <w:r>
        <w:rPr>
          <w:rFonts w:ascii="Arial" w:cs="Arial" w:eastAsia="Arial" w:hAnsi="Arial"/>
          <w:sz w:val="24"/>
          <w:szCs w:val="24"/>
          <w:color w:val="B95827"/>
        </w:rPr>
        <w:t>2025 Grants of Plan-Based Awards</w:t>
      </w:r>
    </w:p>
    <w:p>
      <w:pPr>
        <w:sectPr>
          <w:pgSz w:w="11900" w:h="16838" w:orient="portrait"/>
          <w:cols w:equalWidth="0" w:num="1">
            <w:col w:w="10800"/>
          </w:cols>
          <w:pgMar w:left="320" w:top="464" w:right="779" w:bottom="1440" w:gutter="0" w:footer="0" w:header="0"/>
        </w:sectPr>
      </w:pPr>
    </w:p>
    <w:p>
      <w:pPr>
        <w:spacing w:after="0" w:line="223" w:lineRule="exact"/>
        <w:rPr>
          <w:sz w:val="20"/>
          <w:szCs w:val="20"/>
          <w:color w:val="auto"/>
        </w:rPr>
      </w:pPr>
    </w:p>
    <w:p>
      <w:pPr>
        <w:ind w:left="540" w:right="140"/>
        <w:spacing w:after="0" w:line="287" w:lineRule="auto"/>
        <w:rPr>
          <w:sz w:val="20"/>
          <w:szCs w:val="20"/>
          <w:color w:val="auto"/>
        </w:rPr>
      </w:pPr>
      <w:r>
        <w:rPr>
          <w:rFonts w:ascii="Arial" w:cs="Arial" w:eastAsia="Arial" w:hAnsi="Arial"/>
          <w:sz w:val="15"/>
          <w:szCs w:val="15"/>
          <w:color w:val="auto"/>
        </w:rPr>
        <w:t>The following table provides additional information about non-equity and equity-based awards granted to our NEOs during the year ended December 31, 2025:</w:t>
      </w:r>
    </w:p>
    <w:p>
      <w:pPr>
        <w:spacing w:after="0" w:line="159" w:lineRule="exact"/>
        <w:rPr>
          <w:sz w:val="20"/>
          <w:szCs w:val="20"/>
          <w:color w:val="auto"/>
        </w:rPr>
      </w:pPr>
    </w:p>
    <w:tbl>
      <w:tblPr>
        <w:tblLayout w:type="fixed"/>
        <w:tblInd w:w="540" w:type="dxa"/>
        <w:tblCellMar>
          <w:top w:w="0" w:type="dxa"/>
          <w:left w:w="0" w:type="dxa"/>
          <w:bottom w:w="0" w:type="dxa"/>
          <w:right w:w="0" w:type="dxa"/>
        </w:tblCellMar>
      </w:tblPr>
      <w:tr>
        <w:trPr>
          <w:trHeight w:val="138"/>
        </w:trPr>
        <w:tc>
          <w:tcPr>
            <w:tcW w:w="10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0" w:type="dxa"/>
            <w:vAlign w:val="bottom"/>
          </w:tcPr>
          <w:p>
            <w:pPr>
              <w:jc w:val="center"/>
              <w:spacing w:after="0"/>
              <w:rPr>
                <w:sz w:val="20"/>
                <w:szCs w:val="20"/>
                <w:color w:val="auto"/>
              </w:rPr>
            </w:pPr>
            <w:r>
              <w:rPr>
                <w:rFonts w:ascii="Arial" w:cs="Arial" w:eastAsia="Arial" w:hAnsi="Arial"/>
                <w:sz w:val="12"/>
                <w:szCs w:val="12"/>
                <w:b w:val="1"/>
                <w:bCs w:val="1"/>
                <w:color w:val="002B5F"/>
                <w:w w:val="90"/>
              </w:rPr>
              <w:t>All</w:t>
            </w: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10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920" w:type="dxa"/>
            <w:vAlign w:val="bottom"/>
            <w:gridSpan w:val="4"/>
            <w:vMerge w:val="restart"/>
          </w:tcPr>
          <w:p>
            <w:pPr>
              <w:jc w:val="center"/>
              <w:ind w:right="20"/>
              <w:spacing w:after="0"/>
              <w:rPr>
                <w:sz w:val="20"/>
                <w:szCs w:val="20"/>
                <w:color w:val="auto"/>
              </w:rPr>
            </w:pPr>
            <w:r>
              <w:rPr>
                <w:rFonts w:ascii="Arial" w:cs="Arial" w:eastAsia="Arial" w:hAnsi="Arial"/>
                <w:sz w:val="12"/>
                <w:szCs w:val="12"/>
                <w:b w:val="1"/>
                <w:bCs w:val="1"/>
                <w:color w:val="002B5F"/>
                <w:w w:val="98"/>
              </w:rPr>
              <w:t>Estimated Future Payouts</w:t>
            </w:r>
          </w:p>
        </w:tc>
        <w:tc>
          <w:tcPr>
            <w:tcW w:w="2420" w:type="dxa"/>
            <w:vAlign w:val="bottom"/>
            <w:gridSpan w:val="3"/>
            <w:vMerge w:val="restart"/>
          </w:tcPr>
          <w:p>
            <w:pPr>
              <w:jc w:val="center"/>
              <w:spacing w:after="0"/>
              <w:rPr>
                <w:sz w:val="20"/>
                <w:szCs w:val="20"/>
                <w:color w:val="auto"/>
              </w:rPr>
            </w:pPr>
            <w:r>
              <w:rPr>
                <w:rFonts w:ascii="Arial" w:cs="Arial" w:eastAsia="Arial" w:hAnsi="Arial"/>
                <w:sz w:val="12"/>
                <w:szCs w:val="12"/>
                <w:b w:val="1"/>
                <w:bCs w:val="1"/>
                <w:color w:val="002B5F"/>
                <w:w w:val="98"/>
              </w:rPr>
              <w:t>Estimated Future Payouts</w:t>
            </w:r>
          </w:p>
        </w:tc>
        <w:tc>
          <w:tcPr>
            <w:tcW w:w="600" w:type="dxa"/>
            <w:vAlign w:val="bottom"/>
          </w:tcPr>
          <w:p>
            <w:pPr>
              <w:jc w:val="center"/>
              <w:spacing w:after="0" w:line="128" w:lineRule="exact"/>
              <w:rPr>
                <w:sz w:val="20"/>
                <w:szCs w:val="20"/>
                <w:color w:val="auto"/>
              </w:rPr>
            </w:pPr>
            <w:r>
              <w:rPr>
                <w:rFonts w:ascii="Arial" w:cs="Arial" w:eastAsia="Arial" w:hAnsi="Arial"/>
                <w:sz w:val="12"/>
                <w:szCs w:val="12"/>
                <w:b w:val="1"/>
                <w:bCs w:val="1"/>
                <w:color w:val="002B5F"/>
                <w:w w:val="99"/>
              </w:rPr>
              <w:t>Other</w:t>
            </w: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1"/>
        </w:trPr>
        <w:tc>
          <w:tcPr>
            <w:tcW w:w="10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5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920" w:type="dxa"/>
            <w:vAlign w:val="bottom"/>
            <w:gridSpan w:val="4"/>
            <w:vMerge w:val="continue"/>
          </w:tcPr>
          <w:p>
            <w:pPr>
              <w:spacing w:after="0"/>
              <w:rPr>
                <w:sz w:val="4"/>
                <w:szCs w:val="4"/>
                <w:color w:val="auto"/>
              </w:rPr>
            </w:pPr>
          </w:p>
        </w:tc>
        <w:tc>
          <w:tcPr>
            <w:tcW w:w="2420" w:type="dxa"/>
            <w:vAlign w:val="bottom"/>
            <w:gridSpan w:val="3"/>
            <w:vMerge w:val="continue"/>
          </w:tcPr>
          <w:p>
            <w:pPr>
              <w:spacing w:after="0"/>
              <w:rPr>
                <w:sz w:val="4"/>
                <w:szCs w:val="4"/>
                <w:color w:val="auto"/>
              </w:rPr>
            </w:pPr>
          </w:p>
        </w:tc>
        <w:tc>
          <w:tcPr>
            <w:tcW w:w="600" w:type="dxa"/>
            <w:vAlign w:val="bottom"/>
            <w:vMerge w:val="restart"/>
          </w:tcPr>
          <w:p>
            <w:pPr>
              <w:jc w:val="center"/>
              <w:spacing w:after="0"/>
              <w:rPr>
                <w:sz w:val="20"/>
                <w:szCs w:val="20"/>
                <w:color w:val="auto"/>
              </w:rPr>
            </w:pPr>
            <w:r>
              <w:rPr>
                <w:rFonts w:ascii="Arial" w:cs="Arial" w:eastAsia="Arial" w:hAnsi="Arial"/>
                <w:sz w:val="12"/>
                <w:szCs w:val="12"/>
                <w:b w:val="1"/>
                <w:bCs w:val="1"/>
                <w:color w:val="002B5F"/>
                <w:w w:val="97"/>
              </w:rPr>
              <w:t>Stock</w:t>
            </w:r>
          </w:p>
        </w:tc>
        <w:tc>
          <w:tcPr>
            <w:tcW w:w="6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0"/>
        </w:trPr>
        <w:tc>
          <w:tcPr>
            <w:tcW w:w="10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920" w:type="dxa"/>
            <w:vAlign w:val="bottom"/>
            <w:gridSpan w:val="4"/>
          </w:tcPr>
          <w:p>
            <w:pPr>
              <w:jc w:val="center"/>
              <w:ind w:right="40"/>
              <w:spacing w:after="0" w:line="120" w:lineRule="exact"/>
              <w:rPr>
                <w:sz w:val="20"/>
                <w:szCs w:val="20"/>
                <w:color w:val="auto"/>
              </w:rPr>
            </w:pPr>
            <w:r>
              <w:rPr>
                <w:rFonts w:ascii="Arial" w:cs="Arial" w:eastAsia="Arial" w:hAnsi="Arial"/>
                <w:sz w:val="12"/>
                <w:szCs w:val="12"/>
                <w:b w:val="1"/>
                <w:bCs w:val="1"/>
                <w:color w:val="002B5F"/>
                <w:w w:val="99"/>
              </w:rPr>
              <w:t>Under Non-Equity Incentive</w:t>
            </w:r>
          </w:p>
        </w:tc>
        <w:tc>
          <w:tcPr>
            <w:tcW w:w="2420" w:type="dxa"/>
            <w:vAlign w:val="bottom"/>
            <w:gridSpan w:val="3"/>
          </w:tcPr>
          <w:p>
            <w:pPr>
              <w:jc w:val="center"/>
              <w:spacing w:after="0" w:line="120" w:lineRule="exact"/>
              <w:rPr>
                <w:sz w:val="20"/>
                <w:szCs w:val="20"/>
                <w:color w:val="auto"/>
              </w:rPr>
            </w:pPr>
            <w:r>
              <w:rPr>
                <w:rFonts w:ascii="Arial" w:cs="Arial" w:eastAsia="Arial" w:hAnsi="Arial"/>
                <w:sz w:val="12"/>
                <w:szCs w:val="12"/>
                <w:b w:val="1"/>
                <w:bCs w:val="1"/>
                <w:color w:val="002B5F"/>
                <w:w w:val="99"/>
              </w:rPr>
              <w:t>Under Equity Incentive</w:t>
            </w:r>
          </w:p>
        </w:tc>
        <w:tc>
          <w:tcPr>
            <w:tcW w:w="600" w:type="dxa"/>
            <w:vAlign w:val="bottom"/>
            <w:vMerge w:val="continue"/>
          </w:tcPr>
          <w:p>
            <w:pPr>
              <w:spacing w:after="0"/>
              <w:rPr>
                <w:sz w:val="10"/>
                <w:szCs w:val="10"/>
                <w:color w:val="auto"/>
              </w:rPr>
            </w:pP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10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920" w:type="dxa"/>
            <w:vAlign w:val="bottom"/>
            <w:gridSpan w:val="4"/>
          </w:tcPr>
          <w:p>
            <w:pPr>
              <w:jc w:val="center"/>
              <w:ind w:right="20"/>
              <w:spacing w:after="0" w:line="128" w:lineRule="exact"/>
              <w:rPr>
                <w:sz w:val="20"/>
                <w:szCs w:val="20"/>
                <w:color w:val="auto"/>
              </w:rPr>
            </w:pPr>
            <w:r>
              <w:rPr>
                <w:rFonts w:ascii="Arial" w:cs="Arial" w:eastAsia="Arial" w:hAnsi="Arial"/>
                <w:sz w:val="10"/>
                <w:szCs w:val="10"/>
                <w:b w:val="1"/>
                <w:bCs w:val="1"/>
                <w:color w:val="002B5F"/>
              </w:rPr>
              <w:t>Plan Awards</w:t>
            </w:r>
            <w:r>
              <w:rPr>
                <w:rFonts w:ascii="Arial" w:cs="Arial" w:eastAsia="Arial" w:hAnsi="Arial"/>
                <w:sz w:val="14"/>
                <w:szCs w:val="14"/>
                <w:b w:val="1"/>
                <w:bCs w:val="1"/>
                <w:color w:val="002B5F"/>
                <w:vertAlign w:val="superscript"/>
              </w:rPr>
              <w:t>(1)</w:t>
            </w:r>
          </w:p>
        </w:tc>
        <w:tc>
          <w:tcPr>
            <w:tcW w:w="760" w:type="dxa"/>
            <w:vAlign w:val="bottom"/>
          </w:tcPr>
          <w:p>
            <w:pPr>
              <w:spacing w:after="0"/>
              <w:rPr>
                <w:sz w:val="11"/>
                <w:szCs w:val="11"/>
                <w:color w:val="auto"/>
              </w:rPr>
            </w:pPr>
          </w:p>
        </w:tc>
        <w:tc>
          <w:tcPr>
            <w:tcW w:w="880" w:type="dxa"/>
            <w:vAlign w:val="bottom"/>
          </w:tcPr>
          <w:p>
            <w:pPr>
              <w:jc w:val="center"/>
              <w:spacing w:after="0" w:line="128" w:lineRule="exact"/>
              <w:rPr>
                <w:sz w:val="20"/>
                <w:szCs w:val="20"/>
                <w:color w:val="auto"/>
              </w:rPr>
            </w:pPr>
            <w:r>
              <w:rPr>
                <w:rFonts w:ascii="Arial" w:cs="Arial" w:eastAsia="Arial" w:hAnsi="Arial"/>
                <w:sz w:val="10"/>
                <w:szCs w:val="10"/>
                <w:b w:val="1"/>
                <w:bCs w:val="1"/>
                <w:color w:val="002B5F"/>
              </w:rPr>
              <w:t>Plan Awards</w:t>
            </w:r>
            <w:r>
              <w:rPr>
                <w:rFonts w:ascii="Arial" w:cs="Arial" w:eastAsia="Arial" w:hAnsi="Arial"/>
                <w:sz w:val="14"/>
                <w:szCs w:val="14"/>
                <w:b w:val="1"/>
                <w:bCs w:val="1"/>
                <w:color w:val="002B5F"/>
                <w:vertAlign w:val="superscript"/>
              </w:rPr>
              <w:t>(2)</w:t>
            </w:r>
          </w:p>
        </w:tc>
        <w:tc>
          <w:tcPr>
            <w:tcW w:w="780" w:type="dxa"/>
            <w:vAlign w:val="bottom"/>
          </w:tcPr>
          <w:p>
            <w:pPr>
              <w:spacing w:after="0"/>
              <w:rPr>
                <w:sz w:val="11"/>
                <w:szCs w:val="11"/>
                <w:color w:val="auto"/>
              </w:rPr>
            </w:pPr>
          </w:p>
        </w:tc>
        <w:tc>
          <w:tcPr>
            <w:tcW w:w="600" w:type="dxa"/>
            <w:vAlign w:val="bottom"/>
          </w:tcPr>
          <w:p>
            <w:pPr>
              <w:jc w:val="center"/>
              <w:spacing w:after="0" w:line="128" w:lineRule="exact"/>
              <w:rPr>
                <w:sz w:val="20"/>
                <w:szCs w:val="20"/>
                <w:color w:val="auto"/>
              </w:rPr>
            </w:pPr>
            <w:r>
              <w:rPr>
                <w:rFonts w:ascii="Arial" w:cs="Arial" w:eastAsia="Arial" w:hAnsi="Arial"/>
                <w:sz w:val="12"/>
                <w:szCs w:val="12"/>
                <w:b w:val="1"/>
                <w:bCs w:val="1"/>
                <w:color w:val="002B5F"/>
                <w:w w:val="97"/>
              </w:rPr>
              <w:t>Awards:</w:t>
            </w: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1"/>
        </w:trPr>
        <w:tc>
          <w:tcPr>
            <w:tcW w:w="10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580" w:type="dxa"/>
            <w:vAlign w:val="bottom"/>
          </w:tcPr>
          <w:p>
            <w:pPr>
              <w:spacing w:after="0"/>
              <w:rPr>
                <w:sz w:val="2"/>
                <w:szCs w:val="2"/>
                <w:color w:val="auto"/>
              </w:rPr>
            </w:pPr>
          </w:p>
        </w:tc>
        <w:tc>
          <w:tcPr>
            <w:tcW w:w="640" w:type="dxa"/>
            <w:vAlign w:val="bottom"/>
          </w:tcPr>
          <w:p>
            <w:pPr>
              <w:spacing w:after="0"/>
              <w:rPr>
                <w:sz w:val="2"/>
                <w:szCs w:val="2"/>
                <w:color w:val="auto"/>
              </w:rPr>
            </w:pPr>
          </w:p>
        </w:tc>
        <w:tc>
          <w:tcPr>
            <w:tcW w:w="660" w:type="dxa"/>
            <w:vAlign w:val="bottom"/>
            <w:tcBorders>
              <w:bottom w:val="single" w:sz="8" w:color="002B5F"/>
            </w:tcBorders>
          </w:tcPr>
          <w:p>
            <w:pPr>
              <w:spacing w:after="0"/>
              <w:rPr>
                <w:sz w:val="2"/>
                <w:szCs w:val="2"/>
                <w:color w:val="auto"/>
              </w:rPr>
            </w:pPr>
          </w:p>
        </w:tc>
        <w:tc>
          <w:tcPr>
            <w:tcW w:w="620" w:type="dxa"/>
            <w:vAlign w:val="bottom"/>
            <w:tcBorders>
              <w:bottom w:val="single" w:sz="8" w:color="002B5F"/>
            </w:tcBorders>
          </w:tcPr>
          <w:p>
            <w:pPr>
              <w:spacing w:after="0"/>
              <w:rPr>
                <w:sz w:val="2"/>
                <w:szCs w:val="2"/>
                <w:color w:val="auto"/>
              </w:rPr>
            </w:pPr>
          </w:p>
        </w:tc>
        <w:tc>
          <w:tcPr>
            <w:tcW w:w="600" w:type="dxa"/>
            <w:vAlign w:val="bottom"/>
            <w:tcBorders>
              <w:bottom w:val="single" w:sz="8" w:color="002B5F"/>
            </w:tcBorders>
          </w:tcPr>
          <w:p>
            <w:pPr>
              <w:spacing w:after="0"/>
              <w:rPr>
                <w:sz w:val="2"/>
                <w:szCs w:val="2"/>
                <w:color w:val="auto"/>
              </w:rPr>
            </w:pPr>
          </w:p>
        </w:tc>
        <w:tc>
          <w:tcPr>
            <w:tcW w:w="40" w:type="dxa"/>
            <w:vAlign w:val="bottom"/>
          </w:tcPr>
          <w:p>
            <w:pPr>
              <w:spacing w:after="0"/>
              <w:rPr>
                <w:sz w:val="2"/>
                <w:szCs w:val="2"/>
                <w:color w:val="auto"/>
              </w:rPr>
            </w:pPr>
          </w:p>
        </w:tc>
        <w:tc>
          <w:tcPr>
            <w:tcW w:w="760" w:type="dxa"/>
            <w:vAlign w:val="bottom"/>
            <w:tcBorders>
              <w:bottom w:val="single" w:sz="8" w:color="002B5F"/>
            </w:tcBorders>
          </w:tcPr>
          <w:p>
            <w:pPr>
              <w:spacing w:after="0"/>
              <w:rPr>
                <w:sz w:val="2"/>
                <w:szCs w:val="2"/>
                <w:color w:val="auto"/>
              </w:rPr>
            </w:pPr>
          </w:p>
        </w:tc>
        <w:tc>
          <w:tcPr>
            <w:tcW w:w="880" w:type="dxa"/>
            <w:vAlign w:val="bottom"/>
            <w:tcBorders>
              <w:bottom w:val="single" w:sz="8" w:color="002B5F"/>
            </w:tcBorders>
          </w:tcPr>
          <w:p>
            <w:pPr>
              <w:spacing w:after="0"/>
              <w:rPr>
                <w:sz w:val="2"/>
                <w:szCs w:val="2"/>
                <w:color w:val="auto"/>
              </w:rPr>
            </w:pPr>
          </w:p>
        </w:tc>
        <w:tc>
          <w:tcPr>
            <w:tcW w:w="780" w:type="dxa"/>
            <w:vAlign w:val="bottom"/>
            <w:tcBorders>
              <w:bottom w:val="single" w:sz="8" w:color="002B5F"/>
            </w:tcBorders>
          </w:tcPr>
          <w:p>
            <w:pPr>
              <w:spacing w:after="0"/>
              <w:rPr>
                <w:sz w:val="2"/>
                <w:szCs w:val="2"/>
                <w:color w:val="auto"/>
              </w:rPr>
            </w:pPr>
          </w:p>
        </w:tc>
        <w:tc>
          <w:tcPr>
            <w:tcW w:w="1240" w:type="dxa"/>
            <w:vAlign w:val="bottom"/>
            <w:gridSpan w:val="2"/>
            <w:vMerge w:val="restart"/>
          </w:tcPr>
          <w:p>
            <w:pPr>
              <w:jc w:val="right"/>
              <w:spacing w:after="0" w:line="90" w:lineRule="exact"/>
              <w:rPr>
                <w:sz w:val="20"/>
                <w:szCs w:val="20"/>
                <w:color w:val="auto"/>
              </w:rPr>
            </w:pPr>
            <w:r>
              <w:rPr>
                <w:rFonts w:ascii="Arial" w:cs="Arial" w:eastAsia="Arial" w:hAnsi="Arial"/>
                <w:sz w:val="10"/>
                <w:szCs w:val="10"/>
                <w:b w:val="1"/>
                <w:bCs w:val="1"/>
                <w:color w:val="002B5F"/>
              </w:rPr>
              <w:t>Shares of Grant Date</w:t>
            </w:r>
          </w:p>
        </w:tc>
        <w:tc>
          <w:tcPr>
            <w:tcW w:w="0" w:type="dxa"/>
            <w:vAlign w:val="bottom"/>
          </w:tcPr>
          <w:p>
            <w:pPr>
              <w:spacing w:after="0"/>
              <w:rPr>
                <w:sz w:val="1"/>
                <w:szCs w:val="1"/>
                <w:color w:val="auto"/>
              </w:rPr>
            </w:pPr>
          </w:p>
        </w:tc>
      </w:tr>
      <w:tr>
        <w:trPr>
          <w:trHeight w:val="38"/>
        </w:trPr>
        <w:tc>
          <w:tcPr>
            <w:tcW w:w="10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8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1040" w:type="dxa"/>
            <w:vAlign w:val="bottom"/>
            <w:vMerge w:val="restart"/>
          </w:tcPr>
          <w:p>
            <w:pPr>
              <w:ind w:left="60"/>
              <w:spacing w:after="0"/>
              <w:rPr>
                <w:sz w:val="20"/>
                <w:szCs w:val="20"/>
                <w:color w:val="auto"/>
              </w:rPr>
            </w:pPr>
            <w:r>
              <w:rPr>
                <w:rFonts w:ascii="Arial" w:cs="Arial" w:eastAsia="Arial" w:hAnsi="Arial"/>
                <w:sz w:val="12"/>
                <w:szCs w:val="12"/>
                <w:b w:val="1"/>
                <w:bCs w:val="1"/>
                <w:color w:val="002B5F"/>
              </w:rPr>
              <w:t>Named</w:t>
            </w:r>
          </w:p>
        </w:tc>
        <w:tc>
          <w:tcPr>
            <w:tcW w:w="40" w:type="dxa"/>
            <w:vAlign w:val="bottom"/>
          </w:tcPr>
          <w:p>
            <w:pPr>
              <w:spacing w:after="0"/>
              <w:rPr>
                <w:sz w:val="11"/>
                <w:szCs w:val="11"/>
                <w:color w:val="auto"/>
              </w:rPr>
            </w:pPr>
          </w:p>
        </w:tc>
        <w:tc>
          <w:tcPr>
            <w:tcW w:w="620" w:type="dxa"/>
            <w:vAlign w:val="bottom"/>
            <w:gridSpan w:val="2"/>
            <w:vMerge w:val="restart"/>
          </w:tcPr>
          <w:p>
            <w:pPr>
              <w:jc w:val="right"/>
              <w:ind w:right="20"/>
              <w:spacing w:after="0"/>
              <w:rPr>
                <w:sz w:val="20"/>
                <w:szCs w:val="20"/>
                <w:color w:val="auto"/>
              </w:rPr>
            </w:pPr>
            <w:r>
              <w:rPr>
                <w:rFonts w:ascii="Arial" w:cs="Arial" w:eastAsia="Arial" w:hAnsi="Arial"/>
                <w:sz w:val="12"/>
                <w:szCs w:val="12"/>
                <w:b w:val="1"/>
                <w:bCs w:val="1"/>
                <w:color w:val="002B5F"/>
                <w:w w:val="99"/>
              </w:rPr>
              <w:t>Approval</w:t>
            </w:r>
          </w:p>
        </w:tc>
        <w:tc>
          <w:tcPr>
            <w:tcW w:w="640" w:type="dxa"/>
            <w:vAlign w:val="bottom"/>
            <w:vMerge w:val="restart"/>
          </w:tcPr>
          <w:p>
            <w:pPr>
              <w:jc w:val="right"/>
              <w:ind w:right="120"/>
              <w:spacing w:after="0"/>
              <w:rPr>
                <w:sz w:val="20"/>
                <w:szCs w:val="20"/>
                <w:color w:val="auto"/>
              </w:rPr>
            </w:pPr>
            <w:r>
              <w:rPr>
                <w:rFonts w:ascii="Arial" w:cs="Arial" w:eastAsia="Arial" w:hAnsi="Arial"/>
                <w:sz w:val="12"/>
                <w:szCs w:val="12"/>
                <w:b w:val="1"/>
                <w:bCs w:val="1"/>
                <w:color w:val="002B5F"/>
              </w:rPr>
              <w:t>Grant</w:t>
            </w:r>
          </w:p>
        </w:tc>
        <w:tc>
          <w:tcPr>
            <w:tcW w:w="660" w:type="dxa"/>
            <w:vAlign w:val="bottom"/>
            <w:vMerge w:val="restart"/>
          </w:tcPr>
          <w:p>
            <w:pPr>
              <w:jc w:val="center"/>
              <w:ind w:right="2"/>
              <w:spacing w:after="0"/>
              <w:rPr>
                <w:sz w:val="20"/>
                <w:szCs w:val="20"/>
                <w:color w:val="auto"/>
              </w:rPr>
            </w:pPr>
            <w:r>
              <w:rPr>
                <w:rFonts w:ascii="Arial" w:cs="Arial" w:eastAsia="Arial" w:hAnsi="Arial"/>
                <w:sz w:val="12"/>
                <w:szCs w:val="12"/>
                <w:b w:val="1"/>
                <w:bCs w:val="1"/>
                <w:color w:val="002B5F"/>
                <w:w w:val="96"/>
              </w:rPr>
              <w:t>Threshold</w:t>
            </w:r>
          </w:p>
        </w:tc>
        <w:tc>
          <w:tcPr>
            <w:tcW w:w="620" w:type="dxa"/>
            <w:vAlign w:val="bottom"/>
            <w:vMerge w:val="restart"/>
          </w:tcPr>
          <w:p>
            <w:pPr>
              <w:jc w:val="center"/>
              <w:spacing w:after="0"/>
              <w:rPr>
                <w:sz w:val="20"/>
                <w:szCs w:val="20"/>
                <w:color w:val="auto"/>
              </w:rPr>
            </w:pPr>
            <w:r>
              <w:rPr>
                <w:rFonts w:ascii="Arial" w:cs="Arial" w:eastAsia="Arial" w:hAnsi="Arial"/>
                <w:sz w:val="12"/>
                <w:szCs w:val="12"/>
                <w:b w:val="1"/>
                <w:bCs w:val="1"/>
                <w:color w:val="002B5F"/>
                <w:w w:val="98"/>
              </w:rPr>
              <w:t>Target</w:t>
            </w:r>
          </w:p>
        </w:tc>
        <w:tc>
          <w:tcPr>
            <w:tcW w:w="640" w:type="dxa"/>
            <w:vAlign w:val="bottom"/>
            <w:gridSpan w:val="2"/>
            <w:vMerge w:val="restart"/>
          </w:tcPr>
          <w:p>
            <w:pPr>
              <w:jc w:val="center"/>
              <w:ind w:right="20"/>
              <w:spacing w:after="0"/>
              <w:rPr>
                <w:sz w:val="20"/>
                <w:szCs w:val="20"/>
                <w:color w:val="auto"/>
              </w:rPr>
            </w:pPr>
            <w:r>
              <w:rPr>
                <w:rFonts w:ascii="Arial" w:cs="Arial" w:eastAsia="Arial" w:hAnsi="Arial"/>
                <w:sz w:val="12"/>
                <w:szCs w:val="12"/>
                <w:b w:val="1"/>
                <w:bCs w:val="1"/>
                <w:color w:val="002B5F"/>
                <w:w w:val="97"/>
              </w:rPr>
              <w:t>Maximum</w:t>
            </w:r>
          </w:p>
        </w:tc>
        <w:tc>
          <w:tcPr>
            <w:tcW w:w="760" w:type="dxa"/>
            <w:vAlign w:val="bottom"/>
            <w:vMerge w:val="restart"/>
          </w:tcPr>
          <w:p>
            <w:pPr>
              <w:jc w:val="center"/>
              <w:ind w:left="80"/>
              <w:spacing w:after="0"/>
              <w:rPr>
                <w:sz w:val="20"/>
                <w:szCs w:val="20"/>
                <w:color w:val="auto"/>
              </w:rPr>
            </w:pPr>
            <w:r>
              <w:rPr>
                <w:rFonts w:ascii="Arial" w:cs="Arial" w:eastAsia="Arial" w:hAnsi="Arial"/>
                <w:sz w:val="12"/>
                <w:szCs w:val="12"/>
                <w:b w:val="1"/>
                <w:bCs w:val="1"/>
                <w:color w:val="002B5F"/>
                <w:w w:val="99"/>
              </w:rPr>
              <w:t>Threshold</w:t>
            </w:r>
          </w:p>
        </w:tc>
        <w:tc>
          <w:tcPr>
            <w:tcW w:w="880" w:type="dxa"/>
            <w:vAlign w:val="bottom"/>
            <w:vMerge w:val="restart"/>
          </w:tcPr>
          <w:p>
            <w:pPr>
              <w:jc w:val="center"/>
              <w:spacing w:after="0"/>
              <w:rPr>
                <w:sz w:val="20"/>
                <w:szCs w:val="20"/>
                <w:color w:val="auto"/>
              </w:rPr>
            </w:pPr>
            <w:r>
              <w:rPr>
                <w:rFonts w:ascii="Arial" w:cs="Arial" w:eastAsia="Arial" w:hAnsi="Arial"/>
                <w:sz w:val="12"/>
                <w:szCs w:val="12"/>
                <w:b w:val="1"/>
                <w:bCs w:val="1"/>
                <w:color w:val="002B5F"/>
                <w:w w:val="98"/>
              </w:rPr>
              <w:t>Target</w:t>
            </w:r>
          </w:p>
        </w:tc>
        <w:tc>
          <w:tcPr>
            <w:tcW w:w="780" w:type="dxa"/>
            <w:vAlign w:val="bottom"/>
            <w:vMerge w:val="restart"/>
          </w:tcPr>
          <w:p>
            <w:pPr>
              <w:jc w:val="center"/>
              <w:ind w:right="140"/>
              <w:spacing w:after="0"/>
              <w:rPr>
                <w:sz w:val="20"/>
                <w:szCs w:val="20"/>
                <w:color w:val="auto"/>
              </w:rPr>
            </w:pPr>
            <w:r>
              <w:rPr>
                <w:rFonts w:ascii="Arial" w:cs="Arial" w:eastAsia="Arial" w:hAnsi="Arial"/>
                <w:sz w:val="12"/>
                <w:szCs w:val="12"/>
                <w:b w:val="1"/>
                <w:bCs w:val="1"/>
                <w:color w:val="002B5F"/>
                <w:w w:val="97"/>
              </w:rPr>
              <w:t>Maximum</w:t>
            </w:r>
          </w:p>
        </w:tc>
        <w:tc>
          <w:tcPr>
            <w:tcW w:w="600" w:type="dxa"/>
            <w:vAlign w:val="bottom"/>
          </w:tcPr>
          <w:p>
            <w:pPr>
              <w:jc w:val="center"/>
              <w:spacing w:after="0" w:line="128" w:lineRule="exact"/>
              <w:rPr>
                <w:sz w:val="20"/>
                <w:szCs w:val="20"/>
                <w:color w:val="auto"/>
              </w:rPr>
            </w:pPr>
            <w:r>
              <w:rPr>
                <w:rFonts w:ascii="Arial" w:cs="Arial" w:eastAsia="Arial" w:hAnsi="Arial"/>
                <w:sz w:val="12"/>
                <w:szCs w:val="12"/>
                <w:b w:val="1"/>
                <w:bCs w:val="1"/>
                <w:color w:val="002B5F"/>
                <w:w w:val="99"/>
              </w:rPr>
              <w:t>Stock or</w:t>
            </w:r>
          </w:p>
        </w:tc>
        <w:tc>
          <w:tcPr>
            <w:tcW w:w="640" w:type="dxa"/>
            <w:vAlign w:val="bottom"/>
          </w:tcPr>
          <w:p>
            <w:pPr>
              <w:jc w:val="center"/>
              <w:spacing w:after="0" w:line="128" w:lineRule="exact"/>
              <w:rPr>
                <w:sz w:val="20"/>
                <w:szCs w:val="20"/>
                <w:color w:val="auto"/>
              </w:rPr>
            </w:pPr>
            <w:r>
              <w:rPr>
                <w:rFonts w:ascii="Arial" w:cs="Arial" w:eastAsia="Arial" w:hAnsi="Arial"/>
                <w:sz w:val="12"/>
                <w:szCs w:val="12"/>
                <w:b w:val="1"/>
                <w:bCs w:val="1"/>
                <w:color w:val="002B5F"/>
                <w:w w:val="97"/>
              </w:rPr>
              <w:t>Fair Value</w:t>
            </w:r>
          </w:p>
        </w:tc>
        <w:tc>
          <w:tcPr>
            <w:tcW w:w="0" w:type="dxa"/>
            <w:vAlign w:val="bottom"/>
          </w:tcPr>
          <w:p>
            <w:pPr>
              <w:spacing w:after="0"/>
              <w:rPr>
                <w:sz w:val="1"/>
                <w:szCs w:val="1"/>
                <w:color w:val="auto"/>
              </w:rPr>
            </w:pPr>
          </w:p>
        </w:tc>
      </w:tr>
      <w:tr>
        <w:trPr>
          <w:trHeight w:val="128"/>
        </w:trPr>
        <w:tc>
          <w:tcPr>
            <w:tcW w:w="10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600" w:type="dxa"/>
            <w:vAlign w:val="bottom"/>
          </w:tcPr>
          <w:p>
            <w:pPr>
              <w:jc w:val="center"/>
              <w:spacing w:after="0" w:line="128" w:lineRule="exact"/>
              <w:rPr>
                <w:sz w:val="20"/>
                <w:szCs w:val="20"/>
                <w:color w:val="auto"/>
              </w:rPr>
            </w:pPr>
            <w:r>
              <w:rPr>
                <w:rFonts w:ascii="Arial" w:cs="Arial" w:eastAsia="Arial" w:hAnsi="Arial"/>
                <w:sz w:val="12"/>
                <w:szCs w:val="12"/>
                <w:b w:val="1"/>
                <w:bCs w:val="1"/>
                <w:color w:val="002B5F"/>
                <w:w w:val="99"/>
              </w:rPr>
              <w:t>Units</w:t>
            </w:r>
          </w:p>
        </w:tc>
        <w:tc>
          <w:tcPr>
            <w:tcW w:w="640" w:type="dxa"/>
            <w:vAlign w:val="bottom"/>
          </w:tcPr>
          <w:p>
            <w:pPr>
              <w:jc w:val="center"/>
              <w:spacing w:after="0" w:line="128" w:lineRule="exact"/>
              <w:rPr>
                <w:sz w:val="20"/>
                <w:szCs w:val="20"/>
                <w:color w:val="auto"/>
              </w:rPr>
            </w:pPr>
            <w:r>
              <w:rPr>
                <w:rFonts w:ascii="Arial" w:cs="Arial" w:eastAsia="Arial" w:hAnsi="Arial"/>
                <w:sz w:val="12"/>
                <w:szCs w:val="12"/>
                <w:b w:val="1"/>
                <w:bCs w:val="1"/>
                <w:color w:val="002B5F"/>
                <w:w w:val="97"/>
              </w:rPr>
              <w:t>of Stock</w:t>
            </w:r>
          </w:p>
        </w:tc>
        <w:tc>
          <w:tcPr>
            <w:tcW w:w="0" w:type="dxa"/>
            <w:vAlign w:val="bottom"/>
          </w:tcPr>
          <w:p>
            <w:pPr>
              <w:spacing w:after="0"/>
              <w:rPr>
                <w:sz w:val="1"/>
                <w:szCs w:val="1"/>
                <w:color w:val="auto"/>
              </w:rPr>
            </w:pPr>
          </w:p>
        </w:tc>
      </w:tr>
      <w:tr>
        <w:trPr>
          <w:trHeight w:val="159"/>
        </w:trPr>
        <w:tc>
          <w:tcPr>
            <w:tcW w:w="1040" w:type="dxa"/>
            <w:vAlign w:val="bottom"/>
            <w:tcBorders>
              <w:bottom w:val="single" w:sz="8" w:color="002B5F"/>
            </w:tcBorders>
          </w:tcPr>
          <w:p>
            <w:pPr>
              <w:ind w:left="60"/>
              <w:spacing w:after="0"/>
              <w:rPr>
                <w:sz w:val="20"/>
                <w:szCs w:val="20"/>
                <w:color w:val="auto"/>
              </w:rPr>
            </w:pPr>
            <w:r>
              <w:rPr>
                <w:rFonts w:ascii="Arial" w:cs="Arial" w:eastAsia="Arial" w:hAnsi="Arial"/>
                <w:sz w:val="12"/>
                <w:szCs w:val="12"/>
                <w:b w:val="1"/>
                <w:bCs w:val="1"/>
                <w:color w:val="002B5F"/>
                <w:w w:val="97"/>
              </w:rPr>
              <w:t>Executive Officer</w:t>
            </w:r>
          </w:p>
        </w:tc>
        <w:tc>
          <w:tcPr>
            <w:tcW w:w="40" w:type="dxa"/>
            <w:vAlign w:val="bottom"/>
            <w:tcBorders>
              <w:bottom w:val="single" w:sz="8" w:color="002B5F"/>
            </w:tcBorders>
          </w:tcPr>
          <w:p>
            <w:pPr>
              <w:spacing w:after="0"/>
              <w:rPr>
                <w:sz w:val="13"/>
                <w:szCs w:val="13"/>
                <w:color w:val="auto"/>
              </w:rPr>
            </w:pPr>
          </w:p>
        </w:tc>
        <w:tc>
          <w:tcPr>
            <w:tcW w:w="40" w:type="dxa"/>
            <w:vAlign w:val="bottom"/>
            <w:tcBorders>
              <w:bottom w:val="single" w:sz="8" w:color="002B5F"/>
            </w:tcBorders>
          </w:tcPr>
          <w:p>
            <w:pPr>
              <w:spacing w:after="0"/>
              <w:rPr>
                <w:sz w:val="13"/>
                <w:szCs w:val="13"/>
                <w:color w:val="auto"/>
              </w:rPr>
            </w:pPr>
          </w:p>
        </w:tc>
        <w:tc>
          <w:tcPr>
            <w:tcW w:w="580" w:type="dxa"/>
            <w:vAlign w:val="bottom"/>
            <w:tcBorders>
              <w:bottom w:val="single" w:sz="8" w:color="002B5F"/>
            </w:tcBorders>
          </w:tcPr>
          <w:p>
            <w:pPr>
              <w:jc w:val="right"/>
              <w:ind w:right="140"/>
              <w:spacing w:after="0"/>
              <w:rPr>
                <w:sz w:val="20"/>
                <w:szCs w:val="20"/>
                <w:color w:val="auto"/>
              </w:rPr>
            </w:pPr>
            <w:r>
              <w:rPr>
                <w:rFonts w:ascii="Arial" w:cs="Arial" w:eastAsia="Arial" w:hAnsi="Arial"/>
                <w:sz w:val="12"/>
                <w:szCs w:val="12"/>
                <w:b w:val="1"/>
                <w:bCs w:val="1"/>
                <w:color w:val="002B5F"/>
              </w:rPr>
              <w:t>Date</w:t>
            </w:r>
          </w:p>
        </w:tc>
        <w:tc>
          <w:tcPr>
            <w:tcW w:w="640" w:type="dxa"/>
            <w:vAlign w:val="bottom"/>
            <w:tcBorders>
              <w:bottom w:val="single" w:sz="8" w:color="002B5F"/>
            </w:tcBorders>
          </w:tcPr>
          <w:p>
            <w:pPr>
              <w:jc w:val="right"/>
              <w:ind w:right="160"/>
              <w:spacing w:after="0"/>
              <w:rPr>
                <w:sz w:val="20"/>
                <w:szCs w:val="20"/>
                <w:color w:val="auto"/>
              </w:rPr>
            </w:pPr>
            <w:r>
              <w:rPr>
                <w:rFonts w:ascii="Arial" w:cs="Arial" w:eastAsia="Arial" w:hAnsi="Arial"/>
                <w:sz w:val="12"/>
                <w:szCs w:val="12"/>
                <w:b w:val="1"/>
                <w:bCs w:val="1"/>
                <w:color w:val="002B5F"/>
              </w:rPr>
              <w:t>Date</w:t>
            </w:r>
          </w:p>
        </w:tc>
        <w:tc>
          <w:tcPr>
            <w:tcW w:w="660" w:type="dxa"/>
            <w:vAlign w:val="bottom"/>
            <w:tcBorders>
              <w:bottom w:val="single" w:sz="8" w:color="002B5F"/>
            </w:tcBorders>
          </w:tcPr>
          <w:p>
            <w:pPr>
              <w:jc w:val="right"/>
              <w:ind w:right="222"/>
              <w:spacing w:after="0"/>
              <w:rPr>
                <w:sz w:val="20"/>
                <w:szCs w:val="20"/>
                <w:color w:val="auto"/>
              </w:rPr>
            </w:pPr>
            <w:r>
              <w:rPr>
                <w:rFonts w:ascii="Arial" w:cs="Arial" w:eastAsia="Arial" w:hAnsi="Arial"/>
                <w:sz w:val="12"/>
                <w:szCs w:val="12"/>
                <w:b w:val="1"/>
                <w:bCs w:val="1"/>
                <w:color w:val="002B5F"/>
              </w:rPr>
              <w:t>($)</w:t>
            </w:r>
          </w:p>
        </w:tc>
        <w:tc>
          <w:tcPr>
            <w:tcW w:w="620" w:type="dxa"/>
            <w:vAlign w:val="bottom"/>
            <w:tcBorders>
              <w:bottom w:val="single" w:sz="8" w:color="002B5F"/>
            </w:tcBorders>
          </w:tcPr>
          <w:p>
            <w:pPr>
              <w:jc w:val="center"/>
              <w:spacing w:after="0"/>
              <w:rPr>
                <w:sz w:val="20"/>
                <w:szCs w:val="20"/>
                <w:color w:val="auto"/>
              </w:rPr>
            </w:pPr>
            <w:r>
              <w:rPr>
                <w:rFonts w:ascii="Arial" w:cs="Arial" w:eastAsia="Arial" w:hAnsi="Arial"/>
                <w:sz w:val="12"/>
                <w:szCs w:val="12"/>
                <w:b w:val="1"/>
                <w:bCs w:val="1"/>
                <w:color w:val="002B5F"/>
                <w:w w:val="95"/>
              </w:rPr>
              <w:t>($)</w:t>
            </w:r>
          </w:p>
        </w:tc>
        <w:tc>
          <w:tcPr>
            <w:tcW w:w="600" w:type="dxa"/>
            <w:vAlign w:val="bottom"/>
            <w:tcBorders>
              <w:bottom w:val="single" w:sz="8" w:color="002B5F"/>
            </w:tcBorders>
          </w:tcPr>
          <w:p>
            <w:pPr>
              <w:jc w:val="right"/>
              <w:ind w:right="160"/>
              <w:spacing w:after="0"/>
              <w:rPr>
                <w:sz w:val="20"/>
                <w:szCs w:val="20"/>
                <w:color w:val="auto"/>
              </w:rPr>
            </w:pPr>
            <w:r>
              <w:rPr>
                <w:rFonts w:ascii="Arial" w:cs="Arial" w:eastAsia="Arial" w:hAnsi="Arial"/>
                <w:sz w:val="12"/>
                <w:szCs w:val="12"/>
                <w:b w:val="1"/>
                <w:bCs w:val="1"/>
                <w:color w:val="002B5F"/>
              </w:rPr>
              <w:t>($)</w:t>
            </w:r>
          </w:p>
        </w:tc>
        <w:tc>
          <w:tcPr>
            <w:tcW w:w="40" w:type="dxa"/>
            <w:vAlign w:val="bottom"/>
            <w:tcBorders>
              <w:bottom w:val="single" w:sz="8" w:color="002B5F"/>
            </w:tcBorders>
          </w:tcPr>
          <w:p>
            <w:pPr>
              <w:spacing w:after="0"/>
              <w:rPr>
                <w:sz w:val="13"/>
                <w:szCs w:val="13"/>
                <w:color w:val="auto"/>
              </w:rPr>
            </w:pPr>
          </w:p>
        </w:tc>
        <w:tc>
          <w:tcPr>
            <w:tcW w:w="760" w:type="dxa"/>
            <w:vAlign w:val="bottom"/>
            <w:tcBorders>
              <w:bottom w:val="single" w:sz="8" w:color="002B5F"/>
            </w:tcBorders>
          </w:tcPr>
          <w:p>
            <w:pPr>
              <w:jc w:val="right"/>
              <w:ind w:right="180"/>
              <w:spacing w:after="0"/>
              <w:rPr>
                <w:sz w:val="20"/>
                <w:szCs w:val="20"/>
                <w:color w:val="auto"/>
              </w:rPr>
            </w:pPr>
            <w:r>
              <w:rPr>
                <w:rFonts w:ascii="Arial" w:cs="Arial" w:eastAsia="Arial" w:hAnsi="Arial"/>
                <w:sz w:val="12"/>
                <w:szCs w:val="12"/>
                <w:b w:val="1"/>
                <w:bCs w:val="1"/>
                <w:color w:val="002B5F"/>
              </w:rPr>
              <w:t>(#)</w:t>
            </w:r>
          </w:p>
        </w:tc>
        <w:tc>
          <w:tcPr>
            <w:tcW w:w="880" w:type="dxa"/>
            <w:vAlign w:val="bottom"/>
            <w:tcBorders>
              <w:bottom w:val="single" w:sz="8" w:color="002B5F"/>
            </w:tcBorders>
          </w:tcPr>
          <w:p>
            <w:pPr>
              <w:jc w:val="right"/>
              <w:ind w:right="343"/>
              <w:spacing w:after="0"/>
              <w:rPr>
                <w:sz w:val="20"/>
                <w:szCs w:val="20"/>
                <w:color w:val="auto"/>
              </w:rPr>
            </w:pPr>
            <w:r>
              <w:rPr>
                <w:rFonts w:ascii="Arial" w:cs="Arial" w:eastAsia="Arial" w:hAnsi="Arial"/>
                <w:sz w:val="12"/>
                <w:szCs w:val="12"/>
                <w:b w:val="1"/>
                <w:bCs w:val="1"/>
                <w:color w:val="002B5F"/>
              </w:rPr>
              <w:t>(#)</w:t>
            </w:r>
          </w:p>
        </w:tc>
        <w:tc>
          <w:tcPr>
            <w:tcW w:w="780" w:type="dxa"/>
            <w:vAlign w:val="bottom"/>
            <w:tcBorders>
              <w:bottom w:val="single" w:sz="8" w:color="002B5F"/>
            </w:tcBorders>
          </w:tcPr>
          <w:p>
            <w:pPr>
              <w:jc w:val="right"/>
              <w:ind w:right="360"/>
              <w:spacing w:after="0"/>
              <w:rPr>
                <w:sz w:val="20"/>
                <w:szCs w:val="20"/>
                <w:color w:val="auto"/>
              </w:rPr>
            </w:pPr>
            <w:r>
              <w:rPr>
                <w:rFonts w:ascii="Arial" w:cs="Arial" w:eastAsia="Arial" w:hAnsi="Arial"/>
                <w:sz w:val="12"/>
                <w:szCs w:val="12"/>
                <w:b w:val="1"/>
                <w:bCs w:val="1"/>
                <w:color w:val="002B5F"/>
              </w:rPr>
              <w:t>(#)</w:t>
            </w:r>
          </w:p>
        </w:tc>
        <w:tc>
          <w:tcPr>
            <w:tcW w:w="600" w:type="dxa"/>
            <w:vAlign w:val="bottom"/>
            <w:tcBorders>
              <w:bottom w:val="single" w:sz="8" w:color="002B5F"/>
            </w:tcBorders>
          </w:tcPr>
          <w:p>
            <w:pPr>
              <w:jc w:val="center"/>
              <w:spacing w:after="0" w:line="154" w:lineRule="exact"/>
              <w:rPr>
                <w:sz w:val="20"/>
                <w:szCs w:val="20"/>
                <w:color w:val="auto"/>
              </w:rPr>
            </w:pPr>
            <w:r>
              <w:rPr>
                <w:rFonts w:ascii="Arial" w:cs="Arial" w:eastAsia="Arial" w:hAnsi="Arial"/>
                <w:sz w:val="12"/>
                <w:szCs w:val="12"/>
                <w:b w:val="1"/>
                <w:bCs w:val="1"/>
                <w:color w:val="002B5F"/>
                <w:w w:val="91"/>
              </w:rPr>
              <w:t>(#)</w:t>
            </w:r>
            <w:r>
              <w:rPr>
                <w:rFonts w:ascii="Arial" w:cs="Arial" w:eastAsia="Arial" w:hAnsi="Arial"/>
                <w:sz w:val="17"/>
                <w:szCs w:val="17"/>
                <w:b w:val="1"/>
                <w:bCs w:val="1"/>
                <w:color w:val="002B5F"/>
                <w:w w:val="91"/>
                <w:vertAlign w:val="superscript"/>
              </w:rPr>
              <w:t>(3)</w:t>
            </w:r>
          </w:p>
        </w:tc>
        <w:tc>
          <w:tcPr>
            <w:tcW w:w="640" w:type="dxa"/>
            <w:vAlign w:val="bottom"/>
            <w:tcBorders>
              <w:bottom w:val="single" w:sz="8" w:color="002B5F"/>
            </w:tcBorders>
          </w:tcPr>
          <w:p>
            <w:pPr>
              <w:jc w:val="center"/>
              <w:spacing w:after="0" w:line="154" w:lineRule="exact"/>
              <w:rPr>
                <w:sz w:val="20"/>
                <w:szCs w:val="20"/>
                <w:color w:val="auto"/>
              </w:rPr>
            </w:pPr>
            <w:r>
              <w:rPr>
                <w:rFonts w:ascii="Arial" w:cs="Arial" w:eastAsia="Arial" w:hAnsi="Arial"/>
                <w:sz w:val="12"/>
                <w:szCs w:val="12"/>
                <w:b w:val="1"/>
                <w:bCs w:val="1"/>
                <w:color w:val="002B5F"/>
                <w:w w:val="91"/>
              </w:rPr>
              <w:t>($)</w:t>
            </w:r>
            <w:r>
              <w:rPr>
                <w:rFonts w:ascii="Arial" w:cs="Arial" w:eastAsia="Arial" w:hAnsi="Arial"/>
                <w:sz w:val="17"/>
                <w:szCs w:val="17"/>
                <w:b w:val="1"/>
                <w:bCs w:val="1"/>
                <w:color w:val="002B5F"/>
                <w:w w:val="91"/>
                <w:vertAlign w:val="superscript"/>
              </w:rPr>
              <w:t>(4)</w:t>
            </w:r>
          </w:p>
        </w:tc>
        <w:tc>
          <w:tcPr>
            <w:tcW w:w="0" w:type="dxa"/>
            <w:vAlign w:val="bottom"/>
          </w:tcPr>
          <w:p>
            <w:pPr>
              <w:spacing w:after="0"/>
              <w:rPr>
                <w:sz w:val="1"/>
                <w:szCs w:val="1"/>
                <w:color w:val="auto"/>
              </w:rPr>
            </w:pPr>
          </w:p>
        </w:tc>
      </w:tr>
      <w:tr>
        <w:trPr>
          <w:trHeight w:val="204"/>
        </w:trPr>
        <w:tc>
          <w:tcPr>
            <w:tcW w:w="1040" w:type="dxa"/>
            <w:vAlign w:val="bottom"/>
            <w:vMerge w:val="restart"/>
            <w:shd w:val="clear" w:color="auto" w:fill="F7F1EC"/>
          </w:tcPr>
          <w:p>
            <w:pPr>
              <w:ind w:left="60"/>
              <w:spacing w:after="0"/>
              <w:rPr>
                <w:sz w:val="20"/>
                <w:szCs w:val="20"/>
                <w:color w:val="auto"/>
              </w:rPr>
            </w:pPr>
            <w:r>
              <w:rPr>
                <w:rFonts w:ascii="Arial" w:cs="Arial" w:eastAsia="Arial" w:hAnsi="Arial"/>
                <w:sz w:val="12"/>
                <w:szCs w:val="12"/>
                <w:b w:val="1"/>
                <w:bCs w:val="1"/>
                <w:color w:val="B95827"/>
              </w:rPr>
              <w:t>Richard</w:t>
            </w:r>
          </w:p>
        </w:tc>
        <w:tc>
          <w:tcPr>
            <w:tcW w:w="40" w:type="dxa"/>
            <w:vAlign w:val="bottom"/>
            <w:shd w:val="clear" w:color="auto" w:fill="F7F1EC"/>
          </w:tcPr>
          <w:p>
            <w:pPr>
              <w:spacing w:after="0"/>
              <w:rPr>
                <w:sz w:val="17"/>
                <w:szCs w:val="17"/>
                <w:color w:val="auto"/>
              </w:rPr>
            </w:pPr>
          </w:p>
        </w:tc>
        <w:tc>
          <w:tcPr>
            <w:tcW w:w="40" w:type="dxa"/>
            <w:vAlign w:val="bottom"/>
            <w:shd w:val="clear" w:color="auto" w:fill="F7F1EC"/>
          </w:tcPr>
          <w:p>
            <w:pPr>
              <w:spacing w:after="0"/>
              <w:rPr>
                <w:sz w:val="17"/>
                <w:szCs w:val="17"/>
                <w:color w:val="auto"/>
              </w:rPr>
            </w:pPr>
          </w:p>
        </w:tc>
        <w:tc>
          <w:tcPr>
            <w:tcW w:w="580" w:type="dxa"/>
            <w:vAlign w:val="bottom"/>
            <w:shd w:val="clear" w:color="auto" w:fill="F7F1EC"/>
          </w:tcPr>
          <w:p>
            <w:pPr>
              <w:spacing w:after="0"/>
              <w:rPr>
                <w:sz w:val="17"/>
                <w:szCs w:val="17"/>
                <w:color w:val="auto"/>
              </w:rPr>
            </w:pPr>
          </w:p>
        </w:tc>
        <w:tc>
          <w:tcPr>
            <w:tcW w:w="640" w:type="dxa"/>
            <w:vAlign w:val="bottom"/>
            <w:shd w:val="clear" w:color="auto" w:fill="F7F1EC"/>
          </w:tcPr>
          <w:p>
            <w:pPr>
              <w:spacing w:after="0"/>
              <w:rPr>
                <w:sz w:val="17"/>
                <w:szCs w:val="17"/>
                <w:color w:val="auto"/>
              </w:rPr>
            </w:pPr>
          </w:p>
        </w:tc>
        <w:tc>
          <w:tcPr>
            <w:tcW w:w="660" w:type="dxa"/>
            <w:vAlign w:val="bottom"/>
            <w:shd w:val="clear" w:color="auto" w:fill="F7F1EC"/>
          </w:tcPr>
          <w:p>
            <w:pPr>
              <w:spacing w:after="0"/>
              <w:rPr>
                <w:sz w:val="17"/>
                <w:szCs w:val="17"/>
                <w:color w:val="auto"/>
              </w:rPr>
            </w:pPr>
          </w:p>
        </w:tc>
        <w:tc>
          <w:tcPr>
            <w:tcW w:w="620" w:type="dxa"/>
            <w:vAlign w:val="bottom"/>
            <w:shd w:val="clear" w:color="auto" w:fill="F7F1EC"/>
          </w:tcPr>
          <w:p>
            <w:pPr>
              <w:jc w:val="right"/>
              <w:spacing w:after="0"/>
              <w:rPr>
                <w:sz w:val="20"/>
                <w:szCs w:val="20"/>
                <w:color w:val="auto"/>
              </w:rPr>
            </w:pPr>
            <w:r>
              <w:rPr>
                <w:rFonts w:ascii="Arial" w:cs="Arial" w:eastAsia="Arial" w:hAnsi="Arial"/>
                <w:sz w:val="12"/>
                <w:szCs w:val="12"/>
                <w:color w:val="auto"/>
              </w:rPr>
              <w:t>2,700,000</w:t>
            </w:r>
          </w:p>
        </w:tc>
        <w:tc>
          <w:tcPr>
            <w:tcW w:w="600" w:type="dxa"/>
            <w:vAlign w:val="bottom"/>
            <w:shd w:val="clear" w:color="auto" w:fill="F7F1EC"/>
          </w:tcPr>
          <w:p>
            <w:pPr>
              <w:spacing w:after="0"/>
              <w:rPr>
                <w:sz w:val="17"/>
                <w:szCs w:val="17"/>
                <w:color w:val="auto"/>
              </w:rPr>
            </w:pPr>
          </w:p>
        </w:tc>
        <w:tc>
          <w:tcPr>
            <w:tcW w:w="40" w:type="dxa"/>
            <w:vAlign w:val="bottom"/>
            <w:shd w:val="clear" w:color="auto" w:fill="F7F1EC"/>
          </w:tcPr>
          <w:p>
            <w:pPr>
              <w:spacing w:after="0"/>
              <w:rPr>
                <w:sz w:val="17"/>
                <w:szCs w:val="17"/>
                <w:color w:val="auto"/>
              </w:rPr>
            </w:pPr>
          </w:p>
        </w:tc>
        <w:tc>
          <w:tcPr>
            <w:tcW w:w="760" w:type="dxa"/>
            <w:vAlign w:val="bottom"/>
            <w:shd w:val="clear" w:color="auto" w:fill="F7F1EC"/>
          </w:tcPr>
          <w:p>
            <w:pPr>
              <w:spacing w:after="0"/>
              <w:rPr>
                <w:sz w:val="17"/>
                <w:szCs w:val="17"/>
                <w:color w:val="auto"/>
              </w:rPr>
            </w:pPr>
          </w:p>
        </w:tc>
        <w:tc>
          <w:tcPr>
            <w:tcW w:w="880" w:type="dxa"/>
            <w:vAlign w:val="bottom"/>
            <w:shd w:val="clear" w:color="auto" w:fill="F7F1EC"/>
          </w:tcPr>
          <w:p>
            <w:pPr>
              <w:spacing w:after="0"/>
              <w:rPr>
                <w:sz w:val="17"/>
                <w:szCs w:val="17"/>
                <w:color w:val="auto"/>
              </w:rPr>
            </w:pPr>
          </w:p>
        </w:tc>
        <w:tc>
          <w:tcPr>
            <w:tcW w:w="780" w:type="dxa"/>
            <w:vAlign w:val="bottom"/>
            <w:shd w:val="clear" w:color="auto" w:fill="F7F1EC"/>
          </w:tcPr>
          <w:p>
            <w:pPr>
              <w:spacing w:after="0"/>
              <w:rPr>
                <w:sz w:val="17"/>
                <w:szCs w:val="17"/>
                <w:color w:val="auto"/>
              </w:rPr>
            </w:pPr>
          </w:p>
        </w:tc>
        <w:tc>
          <w:tcPr>
            <w:tcW w:w="600" w:type="dxa"/>
            <w:vAlign w:val="bottom"/>
            <w:shd w:val="clear" w:color="auto" w:fill="F7F1EC"/>
          </w:tcPr>
          <w:p>
            <w:pPr>
              <w:spacing w:after="0"/>
              <w:rPr>
                <w:sz w:val="17"/>
                <w:szCs w:val="17"/>
                <w:color w:val="auto"/>
              </w:rPr>
            </w:pPr>
          </w:p>
        </w:tc>
        <w:tc>
          <w:tcPr>
            <w:tcW w:w="640" w:type="dxa"/>
            <w:vAlign w:val="bottom"/>
            <w:shd w:val="clear" w:color="auto" w:fill="F7F1EC"/>
          </w:tcPr>
          <w:p>
            <w:pPr>
              <w:spacing w:after="0"/>
              <w:rPr>
                <w:sz w:val="17"/>
                <w:szCs w:val="17"/>
                <w:color w:val="auto"/>
              </w:rPr>
            </w:pPr>
          </w:p>
        </w:tc>
        <w:tc>
          <w:tcPr>
            <w:tcW w:w="0" w:type="dxa"/>
            <w:vAlign w:val="bottom"/>
          </w:tcPr>
          <w:p>
            <w:pPr>
              <w:spacing w:after="0"/>
              <w:rPr>
                <w:sz w:val="1"/>
                <w:szCs w:val="1"/>
                <w:color w:val="auto"/>
              </w:rPr>
            </w:pPr>
          </w:p>
        </w:tc>
      </w:tr>
      <w:tr>
        <w:trPr>
          <w:trHeight w:val="85"/>
        </w:trPr>
        <w:tc>
          <w:tcPr>
            <w:tcW w:w="1040" w:type="dxa"/>
            <w:vAlign w:val="bottom"/>
            <w:vMerge w:val="continue"/>
            <w:shd w:val="clear" w:color="auto" w:fill="F7F1EC"/>
          </w:tcPr>
          <w:p>
            <w:pPr>
              <w:spacing w:after="0"/>
              <w:rPr>
                <w:sz w:val="7"/>
                <w:szCs w:val="7"/>
                <w:color w:val="auto"/>
              </w:rPr>
            </w:pPr>
          </w:p>
        </w:tc>
        <w:tc>
          <w:tcPr>
            <w:tcW w:w="40" w:type="dxa"/>
            <w:vAlign w:val="bottom"/>
            <w:shd w:val="clear" w:color="auto" w:fill="F7F1EC"/>
          </w:tcPr>
          <w:p>
            <w:pPr>
              <w:spacing w:after="0"/>
              <w:rPr>
                <w:sz w:val="7"/>
                <w:szCs w:val="7"/>
                <w:color w:val="auto"/>
              </w:rPr>
            </w:pPr>
          </w:p>
        </w:tc>
        <w:tc>
          <w:tcPr>
            <w:tcW w:w="40" w:type="dxa"/>
            <w:vAlign w:val="bottom"/>
            <w:shd w:val="clear" w:color="auto" w:fill="F7F1EC"/>
          </w:tcPr>
          <w:p>
            <w:pPr>
              <w:spacing w:after="0"/>
              <w:rPr>
                <w:sz w:val="7"/>
                <w:szCs w:val="7"/>
                <w:color w:val="auto"/>
              </w:rPr>
            </w:pPr>
          </w:p>
        </w:tc>
        <w:tc>
          <w:tcPr>
            <w:tcW w:w="580" w:type="dxa"/>
            <w:vAlign w:val="bottom"/>
            <w:vMerge w:val="restart"/>
            <w:shd w:val="clear" w:color="auto" w:fill="F7F1EC"/>
          </w:tcPr>
          <w:p>
            <w:pPr>
              <w:jc w:val="right"/>
              <w:spacing w:after="0"/>
              <w:rPr>
                <w:sz w:val="20"/>
                <w:szCs w:val="20"/>
                <w:color w:val="auto"/>
              </w:rPr>
            </w:pPr>
            <w:r>
              <w:rPr>
                <w:rFonts w:ascii="Arial" w:cs="Arial" w:eastAsia="Arial" w:hAnsi="Arial"/>
                <w:sz w:val="12"/>
                <w:szCs w:val="12"/>
                <w:color w:val="auto"/>
              </w:rPr>
              <w:t>2/7/2025</w:t>
            </w:r>
          </w:p>
        </w:tc>
        <w:tc>
          <w:tcPr>
            <w:tcW w:w="640" w:type="dxa"/>
            <w:vAlign w:val="bottom"/>
            <w:vMerge w:val="restart"/>
            <w:shd w:val="clear" w:color="auto" w:fill="F7F1EC"/>
          </w:tcPr>
          <w:p>
            <w:pPr>
              <w:jc w:val="right"/>
              <w:spacing w:after="0"/>
              <w:rPr>
                <w:sz w:val="20"/>
                <w:szCs w:val="20"/>
                <w:color w:val="auto"/>
              </w:rPr>
            </w:pPr>
            <w:r>
              <w:rPr>
                <w:rFonts w:ascii="Arial" w:cs="Arial" w:eastAsia="Arial" w:hAnsi="Arial"/>
                <w:sz w:val="12"/>
                <w:szCs w:val="12"/>
                <w:color w:val="auto"/>
              </w:rPr>
              <w:t>2/25/2025</w:t>
            </w:r>
          </w:p>
        </w:tc>
        <w:tc>
          <w:tcPr>
            <w:tcW w:w="660" w:type="dxa"/>
            <w:vAlign w:val="bottom"/>
            <w:shd w:val="clear" w:color="auto" w:fill="F7F1EC"/>
          </w:tcPr>
          <w:p>
            <w:pPr>
              <w:spacing w:after="0"/>
              <w:rPr>
                <w:sz w:val="7"/>
                <w:szCs w:val="7"/>
                <w:color w:val="auto"/>
              </w:rPr>
            </w:pPr>
          </w:p>
        </w:tc>
        <w:tc>
          <w:tcPr>
            <w:tcW w:w="620" w:type="dxa"/>
            <w:vAlign w:val="bottom"/>
            <w:shd w:val="clear" w:color="auto" w:fill="F7F1EC"/>
          </w:tcPr>
          <w:p>
            <w:pPr>
              <w:spacing w:after="0"/>
              <w:rPr>
                <w:sz w:val="7"/>
                <w:szCs w:val="7"/>
                <w:color w:val="auto"/>
              </w:rPr>
            </w:pPr>
          </w:p>
        </w:tc>
        <w:tc>
          <w:tcPr>
            <w:tcW w:w="600" w:type="dxa"/>
            <w:vAlign w:val="bottom"/>
            <w:shd w:val="clear" w:color="auto" w:fill="F7F1EC"/>
          </w:tcPr>
          <w:p>
            <w:pPr>
              <w:spacing w:after="0"/>
              <w:rPr>
                <w:sz w:val="7"/>
                <w:szCs w:val="7"/>
                <w:color w:val="auto"/>
              </w:rPr>
            </w:pPr>
          </w:p>
        </w:tc>
        <w:tc>
          <w:tcPr>
            <w:tcW w:w="40" w:type="dxa"/>
            <w:vAlign w:val="bottom"/>
            <w:shd w:val="clear" w:color="auto" w:fill="F7F1EC"/>
          </w:tcPr>
          <w:p>
            <w:pPr>
              <w:spacing w:after="0"/>
              <w:rPr>
                <w:sz w:val="7"/>
                <w:szCs w:val="7"/>
                <w:color w:val="auto"/>
              </w:rPr>
            </w:pPr>
          </w:p>
        </w:tc>
        <w:tc>
          <w:tcPr>
            <w:tcW w:w="760" w:type="dxa"/>
            <w:vAlign w:val="bottom"/>
            <w:shd w:val="clear" w:color="auto" w:fill="F7F1EC"/>
          </w:tcPr>
          <w:p>
            <w:pPr>
              <w:spacing w:after="0"/>
              <w:rPr>
                <w:sz w:val="7"/>
                <w:szCs w:val="7"/>
                <w:color w:val="auto"/>
              </w:rPr>
            </w:pPr>
          </w:p>
        </w:tc>
        <w:tc>
          <w:tcPr>
            <w:tcW w:w="880" w:type="dxa"/>
            <w:vAlign w:val="bottom"/>
            <w:shd w:val="clear" w:color="auto" w:fill="F7F1EC"/>
          </w:tcPr>
          <w:p>
            <w:pPr>
              <w:spacing w:after="0"/>
              <w:rPr>
                <w:sz w:val="7"/>
                <w:szCs w:val="7"/>
                <w:color w:val="auto"/>
              </w:rPr>
            </w:pPr>
          </w:p>
        </w:tc>
        <w:tc>
          <w:tcPr>
            <w:tcW w:w="780" w:type="dxa"/>
            <w:vAlign w:val="bottom"/>
            <w:shd w:val="clear" w:color="auto" w:fill="F7F1EC"/>
          </w:tcPr>
          <w:p>
            <w:pPr>
              <w:spacing w:after="0"/>
              <w:rPr>
                <w:sz w:val="7"/>
                <w:szCs w:val="7"/>
                <w:color w:val="auto"/>
              </w:rPr>
            </w:pPr>
          </w:p>
        </w:tc>
        <w:tc>
          <w:tcPr>
            <w:tcW w:w="600" w:type="dxa"/>
            <w:vAlign w:val="bottom"/>
            <w:vMerge w:val="restart"/>
            <w:shd w:val="clear" w:color="auto" w:fill="F7F1EC"/>
          </w:tcPr>
          <w:p>
            <w:pPr>
              <w:jc w:val="right"/>
              <w:spacing w:after="0"/>
              <w:rPr>
                <w:sz w:val="20"/>
                <w:szCs w:val="20"/>
                <w:color w:val="auto"/>
              </w:rPr>
            </w:pPr>
            <w:r>
              <w:rPr>
                <w:rFonts w:ascii="Arial" w:cs="Arial" w:eastAsia="Arial" w:hAnsi="Arial"/>
                <w:sz w:val="12"/>
                <w:szCs w:val="12"/>
                <w:color w:val="auto"/>
              </w:rPr>
              <w:t>6,971</w:t>
            </w:r>
          </w:p>
        </w:tc>
        <w:tc>
          <w:tcPr>
            <w:tcW w:w="640" w:type="dxa"/>
            <w:vAlign w:val="bottom"/>
            <w:vMerge w:val="restart"/>
            <w:shd w:val="clear" w:color="auto" w:fill="F7F1EC"/>
          </w:tcPr>
          <w:p>
            <w:pPr>
              <w:jc w:val="right"/>
              <w:spacing w:after="0"/>
              <w:rPr>
                <w:sz w:val="20"/>
                <w:szCs w:val="20"/>
                <w:color w:val="auto"/>
              </w:rPr>
            </w:pPr>
            <w:r>
              <w:rPr>
                <w:rFonts w:ascii="Arial" w:cs="Arial" w:eastAsia="Arial" w:hAnsi="Arial"/>
                <w:sz w:val="12"/>
                <w:szCs w:val="12"/>
                <w:color w:val="auto"/>
              </w:rPr>
              <w:t>2,473,719</w:t>
            </w:r>
          </w:p>
        </w:tc>
        <w:tc>
          <w:tcPr>
            <w:tcW w:w="0" w:type="dxa"/>
            <w:vAlign w:val="bottom"/>
          </w:tcPr>
          <w:p>
            <w:pPr>
              <w:spacing w:after="0"/>
              <w:rPr>
                <w:sz w:val="1"/>
                <w:szCs w:val="1"/>
                <w:color w:val="auto"/>
              </w:rPr>
            </w:pPr>
          </w:p>
        </w:tc>
      </w:tr>
      <w:tr>
        <w:trPr>
          <w:trHeight w:val="94"/>
        </w:trPr>
        <w:tc>
          <w:tcPr>
            <w:tcW w:w="1040" w:type="dxa"/>
            <w:vAlign w:val="bottom"/>
            <w:vMerge w:val="restart"/>
            <w:shd w:val="clear" w:color="auto" w:fill="F7F1EC"/>
          </w:tcPr>
          <w:p>
            <w:pPr>
              <w:ind w:left="60"/>
              <w:spacing w:after="0" w:line="133" w:lineRule="exact"/>
              <w:rPr>
                <w:sz w:val="20"/>
                <w:szCs w:val="20"/>
                <w:color w:val="auto"/>
              </w:rPr>
            </w:pPr>
            <w:r>
              <w:rPr>
                <w:rFonts w:ascii="Arial" w:cs="Arial" w:eastAsia="Arial" w:hAnsi="Arial"/>
                <w:sz w:val="12"/>
                <w:szCs w:val="12"/>
                <w:b w:val="1"/>
                <w:bCs w:val="1"/>
                <w:color w:val="B95827"/>
              </w:rPr>
              <w:t>Steinmeier</w:t>
            </w:r>
          </w:p>
        </w:tc>
        <w:tc>
          <w:tcPr>
            <w:tcW w:w="40" w:type="dxa"/>
            <w:vAlign w:val="bottom"/>
            <w:shd w:val="clear" w:color="auto" w:fill="F7F1EC"/>
          </w:tcPr>
          <w:p>
            <w:pPr>
              <w:spacing w:after="0"/>
              <w:rPr>
                <w:sz w:val="8"/>
                <w:szCs w:val="8"/>
                <w:color w:val="auto"/>
              </w:rPr>
            </w:pPr>
          </w:p>
        </w:tc>
        <w:tc>
          <w:tcPr>
            <w:tcW w:w="40" w:type="dxa"/>
            <w:vAlign w:val="bottom"/>
            <w:shd w:val="clear" w:color="auto" w:fill="F7F1EC"/>
          </w:tcPr>
          <w:p>
            <w:pPr>
              <w:spacing w:after="0"/>
              <w:rPr>
                <w:sz w:val="8"/>
                <w:szCs w:val="8"/>
                <w:color w:val="auto"/>
              </w:rPr>
            </w:pPr>
          </w:p>
        </w:tc>
        <w:tc>
          <w:tcPr>
            <w:tcW w:w="580" w:type="dxa"/>
            <w:vAlign w:val="bottom"/>
            <w:vMerge w:val="continue"/>
            <w:shd w:val="clear" w:color="auto" w:fill="F7F1EC"/>
          </w:tcPr>
          <w:p>
            <w:pPr>
              <w:spacing w:after="0"/>
              <w:rPr>
                <w:sz w:val="8"/>
                <w:szCs w:val="8"/>
                <w:color w:val="auto"/>
              </w:rPr>
            </w:pPr>
          </w:p>
        </w:tc>
        <w:tc>
          <w:tcPr>
            <w:tcW w:w="640" w:type="dxa"/>
            <w:vAlign w:val="bottom"/>
            <w:vMerge w:val="continue"/>
            <w:shd w:val="clear" w:color="auto" w:fill="F7F1EC"/>
          </w:tcPr>
          <w:p>
            <w:pPr>
              <w:spacing w:after="0"/>
              <w:rPr>
                <w:sz w:val="8"/>
                <w:szCs w:val="8"/>
                <w:color w:val="auto"/>
              </w:rPr>
            </w:pPr>
          </w:p>
        </w:tc>
        <w:tc>
          <w:tcPr>
            <w:tcW w:w="660" w:type="dxa"/>
            <w:vAlign w:val="bottom"/>
            <w:shd w:val="clear" w:color="auto" w:fill="F7F1EC"/>
          </w:tcPr>
          <w:p>
            <w:pPr>
              <w:spacing w:after="0"/>
              <w:rPr>
                <w:sz w:val="8"/>
                <w:szCs w:val="8"/>
                <w:color w:val="auto"/>
              </w:rPr>
            </w:pPr>
          </w:p>
        </w:tc>
        <w:tc>
          <w:tcPr>
            <w:tcW w:w="620" w:type="dxa"/>
            <w:vAlign w:val="bottom"/>
            <w:shd w:val="clear" w:color="auto" w:fill="F7F1EC"/>
          </w:tcPr>
          <w:p>
            <w:pPr>
              <w:spacing w:after="0"/>
              <w:rPr>
                <w:sz w:val="8"/>
                <w:szCs w:val="8"/>
                <w:color w:val="auto"/>
              </w:rPr>
            </w:pPr>
          </w:p>
        </w:tc>
        <w:tc>
          <w:tcPr>
            <w:tcW w:w="600" w:type="dxa"/>
            <w:vAlign w:val="bottom"/>
            <w:shd w:val="clear" w:color="auto" w:fill="F7F1EC"/>
          </w:tcPr>
          <w:p>
            <w:pPr>
              <w:spacing w:after="0"/>
              <w:rPr>
                <w:sz w:val="8"/>
                <w:szCs w:val="8"/>
                <w:color w:val="auto"/>
              </w:rPr>
            </w:pPr>
          </w:p>
        </w:tc>
        <w:tc>
          <w:tcPr>
            <w:tcW w:w="40" w:type="dxa"/>
            <w:vAlign w:val="bottom"/>
            <w:shd w:val="clear" w:color="auto" w:fill="F7F1EC"/>
          </w:tcPr>
          <w:p>
            <w:pPr>
              <w:spacing w:after="0"/>
              <w:rPr>
                <w:sz w:val="8"/>
                <w:szCs w:val="8"/>
                <w:color w:val="auto"/>
              </w:rPr>
            </w:pPr>
          </w:p>
        </w:tc>
        <w:tc>
          <w:tcPr>
            <w:tcW w:w="760" w:type="dxa"/>
            <w:vAlign w:val="bottom"/>
            <w:shd w:val="clear" w:color="auto" w:fill="F7F1EC"/>
          </w:tcPr>
          <w:p>
            <w:pPr>
              <w:spacing w:after="0"/>
              <w:rPr>
                <w:sz w:val="8"/>
                <w:szCs w:val="8"/>
                <w:color w:val="auto"/>
              </w:rPr>
            </w:pPr>
          </w:p>
        </w:tc>
        <w:tc>
          <w:tcPr>
            <w:tcW w:w="880" w:type="dxa"/>
            <w:vAlign w:val="bottom"/>
            <w:shd w:val="clear" w:color="auto" w:fill="F7F1EC"/>
          </w:tcPr>
          <w:p>
            <w:pPr>
              <w:spacing w:after="0"/>
              <w:rPr>
                <w:sz w:val="8"/>
                <w:szCs w:val="8"/>
                <w:color w:val="auto"/>
              </w:rPr>
            </w:pPr>
          </w:p>
        </w:tc>
        <w:tc>
          <w:tcPr>
            <w:tcW w:w="780" w:type="dxa"/>
            <w:vAlign w:val="bottom"/>
            <w:shd w:val="clear" w:color="auto" w:fill="F7F1EC"/>
          </w:tcPr>
          <w:p>
            <w:pPr>
              <w:spacing w:after="0"/>
              <w:rPr>
                <w:sz w:val="8"/>
                <w:szCs w:val="8"/>
                <w:color w:val="auto"/>
              </w:rPr>
            </w:pPr>
          </w:p>
        </w:tc>
        <w:tc>
          <w:tcPr>
            <w:tcW w:w="600" w:type="dxa"/>
            <w:vAlign w:val="bottom"/>
            <w:vMerge w:val="continue"/>
            <w:shd w:val="clear" w:color="auto" w:fill="F7F1EC"/>
          </w:tcPr>
          <w:p>
            <w:pPr>
              <w:spacing w:after="0"/>
              <w:rPr>
                <w:sz w:val="8"/>
                <w:szCs w:val="8"/>
                <w:color w:val="auto"/>
              </w:rPr>
            </w:pPr>
          </w:p>
        </w:tc>
        <w:tc>
          <w:tcPr>
            <w:tcW w:w="640" w:type="dxa"/>
            <w:vAlign w:val="bottom"/>
            <w:vMerge w:val="continue"/>
            <w:shd w:val="clear" w:color="auto" w:fill="F7F1EC"/>
          </w:tcPr>
          <w:p>
            <w:pPr>
              <w:spacing w:after="0"/>
              <w:rPr>
                <w:sz w:val="8"/>
                <w:szCs w:val="8"/>
                <w:color w:val="auto"/>
              </w:rPr>
            </w:pPr>
          </w:p>
        </w:tc>
        <w:tc>
          <w:tcPr>
            <w:tcW w:w="0" w:type="dxa"/>
            <w:vAlign w:val="bottom"/>
          </w:tcPr>
          <w:p>
            <w:pPr>
              <w:spacing w:after="0"/>
              <w:rPr>
                <w:sz w:val="1"/>
                <w:szCs w:val="1"/>
                <w:color w:val="auto"/>
              </w:rPr>
            </w:pPr>
          </w:p>
        </w:tc>
      </w:tr>
      <w:tr>
        <w:trPr>
          <w:trHeight w:val="39"/>
        </w:trPr>
        <w:tc>
          <w:tcPr>
            <w:tcW w:w="1040" w:type="dxa"/>
            <w:vAlign w:val="bottom"/>
            <w:vMerge w:val="continue"/>
            <w:shd w:val="clear" w:color="auto" w:fill="F7F1EC"/>
          </w:tcPr>
          <w:p>
            <w:pPr>
              <w:spacing w:after="0"/>
              <w:rPr>
                <w:sz w:val="3"/>
                <w:szCs w:val="3"/>
                <w:color w:val="auto"/>
              </w:rPr>
            </w:pPr>
          </w:p>
        </w:tc>
        <w:tc>
          <w:tcPr>
            <w:tcW w:w="40" w:type="dxa"/>
            <w:vAlign w:val="bottom"/>
            <w:shd w:val="clear" w:color="auto" w:fill="F7F1EC"/>
          </w:tcPr>
          <w:p>
            <w:pPr>
              <w:spacing w:after="0"/>
              <w:rPr>
                <w:sz w:val="3"/>
                <w:szCs w:val="3"/>
                <w:color w:val="auto"/>
              </w:rPr>
            </w:pPr>
          </w:p>
        </w:tc>
        <w:tc>
          <w:tcPr>
            <w:tcW w:w="40" w:type="dxa"/>
            <w:vAlign w:val="bottom"/>
            <w:shd w:val="clear" w:color="auto" w:fill="F7F1EC"/>
          </w:tcPr>
          <w:p>
            <w:pPr>
              <w:spacing w:after="0"/>
              <w:rPr>
                <w:sz w:val="3"/>
                <w:szCs w:val="3"/>
                <w:color w:val="auto"/>
              </w:rPr>
            </w:pPr>
          </w:p>
        </w:tc>
        <w:tc>
          <w:tcPr>
            <w:tcW w:w="580" w:type="dxa"/>
            <w:vAlign w:val="bottom"/>
            <w:vMerge w:val="restart"/>
            <w:shd w:val="clear" w:color="auto" w:fill="F7F1EC"/>
          </w:tcPr>
          <w:p>
            <w:pPr>
              <w:jc w:val="right"/>
              <w:spacing w:after="0"/>
              <w:rPr>
                <w:sz w:val="20"/>
                <w:szCs w:val="20"/>
                <w:color w:val="auto"/>
              </w:rPr>
            </w:pPr>
            <w:r>
              <w:rPr>
                <w:rFonts w:ascii="Arial" w:cs="Arial" w:eastAsia="Arial" w:hAnsi="Arial"/>
                <w:sz w:val="12"/>
                <w:szCs w:val="12"/>
                <w:color w:val="auto"/>
              </w:rPr>
              <w:t>2/7/2025</w:t>
            </w:r>
          </w:p>
        </w:tc>
        <w:tc>
          <w:tcPr>
            <w:tcW w:w="640" w:type="dxa"/>
            <w:vAlign w:val="bottom"/>
            <w:vMerge w:val="restart"/>
            <w:shd w:val="clear" w:color="auto" w:fill="F7F1EC"/>
          </w:tcPr>
          <w:p>
            <w:pPr>
              <w:jc w:val="right"/>
              <w:spacing w:after="0"/>
              <w:rPr>
                <w:sz w:val="20"/>
                <w:szCs w:val="20"/>
                <w:color w:val="auto"/>
              </w:rPr>
            </w:pPr>
            <w:r>
              <w:rPr>
                <w:rFonts w:ascii="Arial" w:cs="Arial" w:eastAsia="Arial" w:hAnsi="Arial"/>
                <w:sz w:val="12"/>
                <w:szCs w:val="12"/>
                <w:color w:val="auto"/>
              </w:rPr>
              <w:t>2/25/2025</w:t>
            </w:r>
          </w:p>
        </w:tc>
        <w:tc>
          <w:tcPr>
            <w:tcW w:w="660" w:type="dxa"/>
            <w:vAlign w:val="bottom"/>
            <w:shd w:val="clear" w:color="auto" w:fill="F7F1EC"/>
          </w:tcPr>
          <w:p>
            <w:pPr>
              <w:spacing w:after="0"/>
              <w:rPr>
                <w:sz w:val="3"/>
                <w:szCs w:val="3"/>
                <w:color w:val="auto"/>
              </w:rPr>
            </w:pPr>
          </w:p>
        </w:tc>
        <w:tc>
          <w:tcPr>
            <w:tcW w:w="620" w:type="dxa"/>
            <w:vAlign w:val="bottom"/>
            <w:shd w:val="clear" w:color="auto" w:fill="F7F1EC"/>
          </w:tcPr>
          <w:p>
            <w:pPr>
              <w:spacing w:after="0"/>
              <w:rPr>
                <w:sz w:val="3"/>
                <w:szCs w:val="3"/>
                <w:color w:val="auto"/>
              </w:rPr>
            </w:pPr>
          </w:p>
        </w:tc>
        <w:tc>
          <w:tcPr>
            <w:tcW w:w="600" w:type="dxa"/>
            <w:vAlign w:val="bottom"/>
            <w:shd w:val="clear" w:color="auto" w:fill="F7F1EC"/>
          </w:tcPr>
          <w:p>
            <w:pPr>
              <w:spacing w:after="0"/>
              <w:rPr>
                <w:sz w:val="3"/>
                <w:szCs w:val="3"/>
                <w:color w:val="auto"/>
              </w:rPr>
            </w:pPr>
          </w:p>
        </w:tc>
        <w:tc>
          <w:tcPr>
            <w:tcW w:w="40" w:type="dxa"/>
            <w:vAlign w:val="bottom"/>
            <w:shd w:val="clear" w:color="auto" w:fill="F7F1EC"/>
          </w:tcPr>
          <w:p>
            <w:pPr>
              <w:spacing w:after="0"/>
              <w:rPr>
                <w:sz w:val="3"/>
                <w:szCs w:val="3"/>
                <w:color w:val="auto"/>
              </w:rPr>
            </w:pPr>
          </w:p>
        </w:tc>
        <w:tc>
          <w:tcPr>
            <w:tcW w:w="760" w:type="dxa"/>
            <w:vAlign w:val="bottom"/>
            <w:vMerge w:val="restart"/>
            <w:shd w:val="clear" w:color="auto" w:fill="F7F1EC"/>
          </w:tcPr>
          <w:p>
            <w:pPr>
              <w:jc w:val="right"/>
              <w:ind w:right="80"/>
              <w:spacing w:after="0"/>
              <w:rPr>
                <w:sz w:val="20"/>
                <w:szCs w:val="20"/>
                <w:color w:val="auto"/>
              </w:rPr>
            </w:pPr>
            <w:r>
              <w:rPr>
                <w:rFonts w:ascii="Arial" w:cs="Arial" w:eastAsia="Arial" w:hAnsi="Arial"/>
                <w:sz w:val="12"/>
                <w:szCs w:val="12"/>
                <w:color w:val="auto"/>
              </w:rPr>
              <w:t>8,133</w:t>
            </w:r>
          </w:p>
        </w:tc>
        <w:tc>
          <w:tcPr>
            <w:tcW w:w="880" w:type="dxa"/>
            <w:vAlign w:val="bottom"/>
            <w:vMerge w:val="restart"/>
            <w:shd w:val="clear" w:color="auto" w:fill="F7F1EC"/>
          </w:tcPr>
          <w:p>
            <w:pPr>
              <w:jc w:val="center"/>
              <w:spacing w:after="0"/>
              <w:rPr>
                <w:sz w:val="20"/>
                <w:szCs w:val="20"/>
                <w:color w:val="auto"/>
              </w:rPr>
            </w:pPr>
            <w:r>
              <w:rPr>
                <w:rFonts w:ascii="Arial" w:cs="Arial" w:eastAsia="Arial" w:hAnsi="Arial"/>
                <w:sz w:val="12"/>
                <w:szCs w:val="12"/>
                <w:color w:val="auto"/>
              </w:rPr>
              <w:t>16,266</w:t>
            </w:r>
          </w:p>
        </w:tc>
        <w:tc>
          <w:tcPr>
            <w:tcW w:w="780" w:type="dxa"/>
            <w:vAlign w:val="bottom"/>
            <w:vMerge w:val="restart"/>
            <w:shd w:val="clear" w:color="auto" w:fill="F7F1EC"/>
          </w:tcPr>
          <w:p>
            <w:pPr>
              <w:jc w:val="right"/>
              <w:ind w:right="220"/>
              <w:spacing w:after="0"/>
              <w:rPr>
                <w:sz w:val="20"/>
                <w:szCs w:val="20"/>
                <w:color w:val="auto"/>
              </w:rPr>
            </w:pPr>
            <w:r>
              <w:rPr>
                <w:rFonts w:ascii="Arial" w:cs="Arial" w:eastAsia="Arial" w:hAnsi="Arial"/>
                <w:sz w:val="12"/>
                <w:szCs w:val="12"/>
                <w:color w:val="auto"/>
              </w:rPr>
              <w:t>32,532</w:t>
            </w:r>
          </w:p>
        </w:tc>
        <w:tc>
          <w:tcPr>
            <w:tcW w:w="600" w:type="dxa"/>
            <w:vAlign w:val="bottom"/>
            <w:shd w:val="clear" w:color="auto" w:fill="F7F1EC"/>
          </w:tcPr>
          <w:p>
            <w:pPr>
              <w:spacing w:after="0"/>
              <w:rPr>
                <w:sz w:val="3"/>
                <w:szCs w:val="3"/>
                <w:color w:val="auto"/>
              </w:rPr>
            </w:pPr>
          </w:p>
        </w:tc>
        <w:tc>
          <w:tcPr>
            <w:tcW w:w="640" w:type="dxa"/>
            <w:vAlign w:val="bottom"/>
            <w:vMerge w:val="restart"/>
            <w:shd w:val="clear" w:color="auto" w:fill="F7F1EC"/>
          </w:tcPr>
          <w:p>
            <w:pPr>
              <w:jc w:val="right"/>
              <w:spacing w:after="0"/>
              <w:rPr>
                <w:sz w:val="20"/>
                <w:szCs w:val="20"/>
                <w:color w:val="auto"/>
              </w:rPr>
            </w:pPr>
            <w:r>
              <w:rPr>
                <w:rFonts w:ascii="Arial" w:cs="Arial" w:eastAsia="Arial" w:hAnsi="Arial"/>
                <w:sz w:val="12"/>
                <w:szCs w:val="12"/>
                <w:color w:val="auto"/>
              </w:rPr>
              <w:t>7,571,823</w:t>
            </w:r>
          </w:p>
        </w:tc>
        <w:tc>
          <w:tcPr>
            <w:tcW w:w="0" w:type="dxa"/>
            <w:vAlign w:val="bottom"/>
          </w:tcPr>
          <w:p>
            <w:pPr>
              <w:spacing w:after="0" w:line="20" w:lineRule="exact"/>
              <w:rPr>
                <w:sz w:val="1"/>
                <w:szCs w:val="1"/>
                <w:color w:val="auto"/>
              </w:rPr>
            </w:pPr>
          </w:p>
        </w:tc>
      </w:tr>
      <w:tr>
        <w:trPr>
          <w:trHeight w:val="140"/>
        </w:trPr>
        <w:tc>
          <w:tcPr>
            <w:tcW w:w="1040" w:type="dxa"/>
            <w:vAlign w:val="bottom"/>
            <w:shd w:val="clear" w:color="auto" w:fill="F7F1EC"/>
          </w:tcPr>
          <w:p>
            <w:pPr>
              <w:spacing w:after="0"/>
              <w:rPr>
                <w:sz w:val="12"/>
                <w:szCs w:val="12"/>
                <w:color w:val="auto"/>
              </w:rPr>
            </w:pPr>
          </w:p>
        </w:tc>
        <w:tc>
          <w:tcPr>
            <w:tcW w:w="40" w:type="dxa"/>
            <w:vAlign w:val="bottom"/>
            <w:shd w:val="clear" w:color="auto" w:fill="F7F1EC"/>
          </w:tcPr>
          <w:p>
            <w:pPr>
              <w:spacing w:after="0"/>
              <w:rPr>
                <w:sz w:val="12"/>
                <w:szCs w:val="12"/>
                <w:color w:val="auto"/>
              </w:rPr>
            </w:pPr>
          </w:p>
        </w:tc>
        <w:tc>
          <w:tcPr>
            <w:tcW w:w="40" w:type="dxa"/>
            <w:vAlign w:val="bottom"/>
            <w:shd w:val="clear" w:color="auto" w:fill="F7F1EC"/>
          </w:tcPr>
          <w:p>
            <w:pPr>
              <w:spacing w:after="0"/>
              <w:rPr>
                <w:sz w:val="12"/>
                <w:szCs w:val="12"/>
                <w:color w:val="auto"/>
              </w:rPr>
            </w:pPr>
          </w:p>
        </w:tc>
        <w:tc>
          <w:tcPr>
            <w:tcW w:w="580" w:type="dxa"/>
            <w:vAlign w:val="bottom"/>
            <w:vMerge w:val="continue"/>
            <w:shd w:val="clear" w:color="auto" w:fill="F7F1EC"/>
          </w:tcPr>
          <w:p>
            <w:pPr>
              <w:spacing w:after="0"/>
              <w:rPr>
                <w:sz w:val="12"/>
                <w:szCs w:val="12"/>
                <w:color w:val="auto"/>
              </w:rPr>
            </w:pPr>
          </w:p>
        </w:tc>
        <w:tc>
          <w:tcPr>
            <w:tcW w:w="640" w:type="dxa"/>
            <w:vAlign w:val="bottom"/>
            <w:vMerge w:val="continue"/>
            <w:shd w:val="clear" w:color="auto" w:fill="F7F1EC"/>
          </w:tcPr>
          <w:p>
            <w:pPr>
              <w:spacing w:after="0"/>
              <w:rPr>
                <w:sz w:val="12"/>
                <w:szCs w:val="12"/>
                <w:color w:val="auto"/>
              </w:rPr>
            </w:pPr>
          </w:p>
        </w:tc>
        <w:tc>
          <w:tcPr>
            <w:tcW w:w="660" w:type="dxa"/>
            <w:vAlign w:val="bottom"/>
            <w:shd w:val="clear" w:color="auto" w:fill="F7F1EC"/>
          </w:tcPr>
          <w:p>
            <w:pPr>
              <w:spacing w:after="0"/>
              <w:rPr>
                <w:sz w:val="12"/>
                <w:szCs w:val="12"/>
                <w:color w:val="auto"/>
              </w:rPr>
            </w:pPr>
          </w:p>
        </w:tc>
        <w:tc>
          <w:tcPr>
            <w:tcW w:w="620" w:type="dxa"/>
            <w:vAlign w:val="bottom"/>
            <w:shd w:val="clear" w:color="auto" w:fill="F7F1EC"/>
          </w:tcPr>
          <w:p>
            <w:pPr>
              <w:spacing w:after="0"/>
              <w:rPr>
                <w:sz w:val="12"/>
                <w:szCs w:val="12"/>
                <w:color w:val="auto"/>
              </w:rPr>
            </w:pPr>
          </w:p>
        </w:tc>
        <w:tc>
          <w:tcPr>
            <w:tcW w:w="600" w:type="dxa"/>
            <w:vAlign w:val="bottom"/>
            <w:shd w:val="clear" w:color="auto" w:fill="F7F1EC"/>
          </w:tcPr>
          <w:p>
            <w:pPr>
              <w:spacing w:after="0"/>
              <w:rPr>
                <w:sz w:val="12"/>
                <w:szCs w:val="12"/>
                <w:color w:val="auto"/>
              </w:rPr>
            </w:pPr>
          </w:p>
        </w:tc>
        <w:tc>
          <w:tcPr>
            <w:tcW w:w="40" w:type="dxa"/>
            <w:vAlign w:val="bottom"/>
            <w:shd w:val="clear" w:color="auto" w:fill="F7F1EC"/>
          </w:tcPr>
          <w:p>
            <w:pPr>
              <w:spacing w:after="0"/>
              <w:rPr>
                <w:sz w:val="12"/>
                <w:szCs w:val="12"/>
                <w:color w:val="auto"/>
              </w:rPr>
            </w:pPr>
          </w:p>
        </w:tc>
        <w:tc>
          <w:tcPr>
            <w:tcW w:w="760" w:type="dxa"/>
            <w:vAlign w:val="bottom"/>
            <w:vMerge w:val="continue"/>
            <w:shd w:val="clear" w:color="auto" w:fill="F7F1EC"/>
          </w:tcPr>
          <w:p>
            <w:pPr>
              <w:spacing w:after="0"/>
              <w:rPr>
                <w:sz w:val="12"/>
                <w:szCs w:val="12"/>
                <w:color w:val="auto"/>
              </w:rPr>
            </w:pPr>
          </w:p>
        </w:tc>
        <w:tc>
          <w:tcPr>
            <w:tcW w:w="880" w:type="dxa"/>
            <w:vAlign w:val="bottom"/>
            <w:vMerge w:val="continue"/>
            <w:shd w:val="clear" w:color="auto" w:fill="F7F1EC"/>
          </w:tcPr>
          <w:p>
            <w:pPr>
              <w:spacing w:after="0"/>
              <w:rPr>
                <w:sz w:val="12"/>
                <w:szCs w:val="12"/>
                <w:color w:val="auto"/>
              </w:rPr>
            </w:pPr>
          </w:p>
        </w:tc>
        <w:tc>
          <w:tcPr>
            <w:tcW w:w="780" w:type="dxa"/>
            <w:vAlign w:val="bottom"/>
            <w:vMerge w:val="continue"/>
            <w:shd w:val="clear" w:color="auto" w:fill="F7F1EC"/>
          </w:tcPr>
          <w:p>
            <w:pPr>
              <w:spacing w:after="0"/>
              <w:rPr>
                <w:sz w:val="12"/>
                <w:szCs w:val="12"/>
                <w:color w:val="auto"/>
              </w:rPr>
            </w:pPr>
          </w:p>
        </w:tc>
        <w:tc>
          <w:tcPr>
            <w:tcW w:w="600" w:type="dxa"/>
            <w:vAlign w:val="bottom"/>
            <w:shd w:val="clear" w:color="auto" w:fill="F7F1EC"/>
          </w:tcPr>
          <w:p>
            <w:pPr>
              <w:spacing w:after="0"/>
              <w:rPr>
                <w:sz w:val="12"/>
                <w:szCs w:val="12"/>
                <w:color w:val="auto"/>
              </w:rPr>
            </w:pPr>
          </w:p>
        </w:tc>
        <w:tc>
          <w:tcPr>
            <w:tcW w:w="640" w:type="dxa"/>
            <w:vAlign w:val="bottom"/>
            <w:vMerge w:val="continue"/>
            <w:shd w:val="clear" w:color="auto" w:fill="F7F1EC"/>
          </w:tcPr>
          <w:p>
            <w:pPr>
              <w:spacing w:after="0"/>
              <w:rPr>
                <w:sz w:val="12"/>
                <w:szCs w:val="12"/>
                <w:color w:val="auto"/>
              </w:rPr>
            </w:pPr>
          </w:p>
        </w:tc>
        <w:tc>
          <w:tcPr>
            <w:tcW w:w="0" w:type="dxa"/>
            <w:vAlign w:val="bottom"/>
          </w:tcPr>
          <w:p>
            <w:pPr>
              <w:spacing w:after="0"/>
              <w:rPr>
                <w:sz w:val="1"/>
                <w:szCs w:val="1"/>
                <w:color w:val="auto"/>
              </w:rPr>
            </w:pPr>
          </w:p>
        </w:tc>
      </w:tr>
      <w:tr>
        <w:trPr>
          <w:trHeight w:val="39"/>
        </w:trPr>
        <w:tc>
          <w:tcPr>
            <w:tcW w:w="1040" w:type="dxa"/>
            <w:vAlign w:val="bottom"/>
            <w:shd w:val="clear" w:color="auto" w:fill="F7F1EC"/>
          </w:tcPr>
          <w:p>
            <w:pPr>
              <w:spacing w:after="0"/>
              <w:rPr>
                <w:sz w:val="3"/>
                <w:szCs w:val="3"/>
                <w:color w:val="auto"/>
              </w:rPr>
            </w:pPr>
          </w:p>
        </w:tc>
        <w:tc>
          <w:tcPr>
            <w:tcW w:w="40" w:type="dxa"/>
            <w:vAlign w:val="bottom"/>
            <w:shd w:val="clear" w:color="auto" w:fill="F7F1EC"/>
          </w:tcPr>
          <w:p>
            <w:pPr>
              <w:spacing w:after="0"/>
              <w:rPr>
                <w:sz w:val="3"/>
                <w:szCs w:val="3"/>
                <w:color w:val="auto"/>
              </w:rPr>
            </w:pPr>
          </w:p>
        </w:tc>
        <w:tc>
          <w:tcPr>
            <w:tcW w:w="40" w:type="dxa"/>
            <w:vAlign w:val="bottom"/>
            <w:shd w:val="clear" w:color="auto" w:fill="F7F1EC"/>
          </w:tcPr>
          <w:p>
            <w:pPr>
              <w:spacing w:after="0"/>
              <w:rPr>
                <w:sz w:val="3"/>
                <w:szCs w:val="3"/>
                <w:color w:val="auto"/>
              </w:rPr>
            </w:pPr>
          </w:p>
        </w:tc>
        <w:tc>
          <w:tcPr>
            <w:tcW w:w="580" w:type="dxa"/>
            <w:vAlign w:val="bottom"/>
            <w:shd w:val="clear" w:color="auto" w:fill="F7F1EC"/>
          </w:tcPr>
          <w:p>
            <w:pPr>
              <w:spacing w:after="0"/>
              <w:rPr>
                <w:sz w:val="3"/>
                <w:szCs w:val="3"/>
                <w:color w:val="auto"/>
              </w:rPr>
            </w:pPr>
          </w:p>
        </w:tc>
        <w:tc>
          <w:tcPr>
            <w:tcW w:w="640" w:type="dxa"/>
            <w:vAlign w:val="bottom"/>
            <w:shd w:val="clear" w:color="auto" w:fill="F7F1EC"/>
          </w:tcPr>
          <w:p>
            <w:pPr>
              <w:spacing w:after="0"/>
              <w:rPr>
                <w:sz w:val="3"/>
                <w:szCs w:val="3"/>
                <w:color w:val="auto"/>
              </w:rPr>
            </w:pPr>
          </w:p>
        </w:tc>
        <w:tc>
          <w:tcPr>
            <w:tcW w:w="660" w:type="dxa"/>
            <w:vAlign w:val="bottom"/>
            <w:shd w:val="clear" w:color="auto" w:fill="F7F1EC"/>
          </w:tcPr>
          <w:p>
            <w:pPr>
              <w:spacing w:after="0"/>
              <w:rPr>
                <w:sz w:val="3"/>
                <w:szCs w:val="3"/>
                <w:color w:val="auto"/>
              </w:rPr>
            </w:pPr>
          </w:p>
        </w:tc>
        <w:tc>
          <w:tcPr>
            <w:tcW w:w="620" w:type="dxa"/>
            <w:vAlign w:val="bottom"/>
            <w:shd w:val="clear" w:color="auto" w:fill="F7F1EC"/>
          </w:tcPr>
          <w:p>
            <w:pPr>
              <w:spacing w:after="0"/>
              <w:rPr>
                <w:sz w:val="3"/>
                <w:szCs w:val="3"/>
                <w:color w:val="auto"/>
              </w:rPr>
            </w:pPr>
          </w:p>
        </w:tc>
        <w:tc>
          <w:tcPr>
            <w:tcW w:w="600" w:type="dxa"/>
            <w:vAlign w:val="bottom"/>
            <w:shd w:val="clear" w:color="auto" w:fill="F7F1EC"/>
          </w:tcPr>
          <w:p>
            <w:pPr>
              <w:spacing w:after="0"/>
              <w:rPr>
                <w:sz w:val="3"/>
                <w:szCs w:val="3"/>
                <w:color w:val="auto"/>
              </w:rPr>
            </w:pPr>
          </w:p>
        </w:tc>
        <w:tc>
          <w:tcPr>
            <w:tcW w:w="40" w:type="dxa"/>
            <w:vAlign w:val="bottom"/>
            <w:shd w:val="clear" w:color="auto" w:fill="F7F1EC"/>
          </w:tcPr>
          <w:p>
            <w:pPr>
              <w:spacing w:after="0"/>
              <w:rPr>
                <w:sz w:val="3"/>
                <w:szCs w:val="3"/>
                <w:color w:val="auto"/>
              </w:rPr>
            </w:pPr>
          </w:p>
        </w:tc>
        <w:tc>
          <w:tcPr>
            <w:tcW w:w="760" w:type="dxa"/>
            <w:vAlign w:val="bottom"/>
            <w:shd w:val="clear" w:color="auto" w:fill="F7F1EC"/>
          </w:tcPr>
          <w:p>
            <w:pPr>
              <w:spacing w:after="0"/>
              <w:rPr>
                <w:sz w:val="3"/>
                <w:szCs w:val="3"/>
                <w:color w:val="auto"/>
              </w:rPr>
            </w:pPr>
          </w:p>
        </w:tc>
        <w:tc>
          <w:tcPr>
            <w:tcW w:w="880" w:type="dxa"/>
            <w:vAlign w:val="bottom"/>
            <w:shd w:val="clear" w:color="auto" w:fill="F7F1EC"/>
          </w:tcPr>
          <w:p>
            <w:pPr>
              <w:spacing w:after="0"/>
              <w:rPr>
                <w:sz w:val="3"/>
                <w:szCs w:val="3"/>
                <w:color w:val="auto"/>
              </w:rPr>
            </w:pPr>
          </w:p>
        </w:tc>
        <w:tc>
          <w:tcPr>
            <w:tcW w:w="780" w:type="dxa"/>
            <w:vAlign w:val="bottom"/>
            <w:shd w:val="clear" w:color="auto" w:fill="F7F1EC"/>
          </w:tcPr>
          <w:p>
            <w:pPr>
              <w:spacing w:after="0"/>
              <w:rPr>
                <w:sz w:val="3"/>
                <w:szCs w:val="3"/>
                <w:color w:val="auto"/>
              </w:rPr>
            </w:pPr>
          </w:p>
        </w:tc>
        <w:tc>
          <w:tcPr>
            <w:tcW w:w="600" w:type="dxa"/>
            <w:vAlign w:val="bottom"/>
            <w:shd w:val="clear" w:color="auto" w:fill="F7F1EC"/>
          </w:tcPr>
          <w:p>
            <w:pPr>
              <w:spacing w:after="0"/>
              <w:rPr>
                <w:sz w:val="3"/>
                <w:szCs w:val="3"/>
                <w:color w:val="auto"/>
              </w:rPr>
            </w:pPr>
          </w:p>
        </w:tc>
        <w:tc>
          <w:tcPr>
            <w:tcW w:w="640" w:type="dxa"/>
            <w:vAlign w:val="bottom"/>
            <w:shd w:val="clear" w:color="auto" w:fill="F7F1EC"/>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6"/>
        </w:trPr>
        <w:tc>
          <w:tcPr>
            <w:tcW w:w="200" w:type="dxa"/>
            <w:vAlign w:val="bottom"/>
          </w:tcPr>
          <w:p>
            <w:pPr>
              <w:spacing w:after="0" w:line="146" w:lineRule="exact"/>
              <w:rPr>
                <w:sz w:val="20"/>
                <w:szCs w:val="20"/>
                <w:color w:val="auto"/>
              </w:rPr>
            </w:pPr>
            <w:r>
              <w:rPr>
                <w:rFonts w:ascii="Arial" w:cs="Arial" w:eastAsia="Arial" w:hAnsi="Arial"/>
                <w:sz w:val="15"/>
                <w:szCs w:val="15"/>
                <w:color w:val="auto"/>
              </w:rPr>
              <w:t> </w:t>
            </w:r>
          </w:p>
        </w:tc>
        <w:tc>
          <w:tcPr>
            <w:tcW w:w="1280" w:type="dxa"/>
            <w:vAlign w:val="bottom"/>
          </w:tcPr>
          <w:p>
            <w:pPr>
              <w:ind w:left="140"/>
              <w:spacing w:after="0"/>
              <w:rPr>
                <w:sz w:val="20"/>
                <w:szCs w:val="20"/>
                <w:color w:val="auto"/>
              </w:rPr>
            </w:pPr>
            <w:r>
              <w:rPr>
                <w:rFonts w:ascii="Arial" w:cs="Arial" w:eastAsia="Arial" w:hAnsi="Arial"/>
                <w:sz w:val="12"/>
                <w:szCs w:val="12"/>
                <w:color w:val="FFFFFF"/>
              </w:rPr>
              <w:t>General</w:t>
            </w:r>
          </w:p>
        </w:tc>
        <w:tc>
          <w:tcPr>
            <w:tcW w:w="440" w:type="dxa"/>
            <w:vAlign w:val="bottom"/>
          </w:tcPr>
          <w:p>
            <w:pPr>
              <w:ind w:left="80"/>
              <w:spacing w:after="0" w:line="146" w:lineRule="exact"/>
              <w:rPr>
                <w:sz w:val="20"/>
                <w:szCs w:val="20"/>
                <w:color w:val="auto"/>
              </w:rPr>
            </w:pPr>
            <w:r>
              <w:rPr>
                <w:rFonts w:ascii="Arial" w:cs="Arial" w:eastAsia="Arial" w:hAnsi="Arial"/>
                <w:sz w:val="15"/>
                <w:szCs w:val="15"/>
                <w:color w:val="auto"/>
              </w:rPr>
              <w:t xml:space="preserve">       </w:t>
            </w:r>
          </w:p>
        </w:tc>
      </w:tr>
      <w:tr>
        <w:trPr>
          <w:trHeight w:val="158"/>
        </w:trPr>
        <w:tc>
          <w:tcPr>
            <w:tcW w:w="200" w:type="dxa"/>
            <w:vAlign w:val="bottom"/>
          </w:tcPr>
          <w:p>
            <w:pPr>
              <w:spacing w:after="0"/>
              <w:rPr>
                <w:sz w:val="13"/>
                <w:szCs w:val="13"/>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Information</w:t>
            </w:r>
          </w:p>
        </w:tc>
        <w:tc>
          <w:tcPr>
            <w:tcW w:w="440" w:type="dxa"/>
            <w:vAlign w:val="bottom"/>
          </w:tcPr>
          <w:p>
            <w:pPr>
              <w:spacing w:after="0"/>
              <w:rPr>
                <w:sz w:val="13"/>
                <w:szCs w:val="13"/>
                <w:color w:val="auto"/>
              </w:rPr>
            </w:pPr>
          </w:p>
        </w:tc>
      </w:tr>
      <w:tr>
        <w:trPr>
          <w:trHeight w:val="233"/>
        </w:trPr>
        <w:tc>
          <w:tcPr>
            <w:tcW w:w="200" w:type="dxa"/>
            <w:vAlign w:val="bottom"/>
          </w:tcPr>
          <w:p>
            <w:pPr>
              <w:spacing w:after="0"/>
              <w:rPr>
                <w:sz w:val="20"/>
                <w:szCs w:val="20"/>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General Information</w:t>
            </w:r>
          </w:p>
        </w:tc>
        <w:tc>
          <w:tcPr>
            <w:tcW w:w="440" w:type="dxa"/>
            <w:vAlign w:val="bottom"/>
          </w:tcPr>
          <w:p>
            <w:pPr>
              <w:spacing w:after="0"/>
              <w:rPr>
                <w:sz w:val="20"/>
                <w:szCs w:val="20"/>
                <w:color w:val="auto"/>
              </w:rPr>
            </w:pPr>
          </w:p>
        </w:tc>
      </w:tr>
      <w:tr>
        <w:trPr>
          <w:trHeight w:val="128"/>
        </w:trPr>
        <w:tc>
          <w:tcPr>
            <w:tcW w:w="200" w:type="dxa"/>
            <w:vAlign w:val="bottom"/>
          </w:tcPr>
          <w:p>
            <w:pPr>
              <w:spacing w:after="0"/>
              <w:rPr>
                <w:sz w:val="11"/>
                <w:szCs w:val="11"/>
                <w:color w:val="auto"/>
              </w:rPr>
            </w:pPr>
          </w:p>
        </w:tc>
        <w:tc>
          <w:tcPr>
            <w:tcW w:w="1280" w:type="dxa"/>
            <w:vAlign w:val="bottom"/>
          </w:tcPr>
          <w:p>
            <w:pPr>
              <w:ind w:left="140"/>
              <w:spacing w:after="0" w:line="128" w:lineRule="exact"/>
              <w:rPr>
                <w:sz w:val="20"/>
                <w:szCs w:val="20"/>
                <w:color w:val="auto"/>
              </w:rPr>
            </w:pPr>
            <w:r>
              <w:rPr>
                <w:rFonts w:ascii="Arial" w:cs="Arial" w:eastAsia="Arial" w:hAnsi="Arial"/>
                <w:sz w:val="12"/>
                <w:szCs w:val="12"/>
                <w:color w:val="FFFFFF"/>
              </w:rPr>
              <w:t>About Corporate</w:t>
            </w:r>
          </w:p>
        </w:tc>
        <w:tc>
          <w:tcPr>
            <w:tcW w:w="440" w:type="dxa"/>
            <w:vAlign w:val="bottom"/>
          </w:tcPr>
          <w:p>
            <w:pPr>
              <w:spacing w:after="0"/>
              <w:rPr>
                <w:sz w:val="11"/>
                <w:szCs w:val="11"/>
                <w:color w:val="auto"/>
              </w:rPr>
            </w:pPr>
          </w:p>
        </w:tc>
      </w:tr>
      <w:tr>
        <w:trPr>
          <w:trHeight w:val="128"/>
        </w:trPr>
        <w:tc>
          <w:tcPr>
            <w:tcW w:w="200" w:type="dxa"/>
            <w:vAlign w:val="bottom"/>
          </w:tcPr>
          <w:p>
            <w:pPr>
              <w:spacing w:after="0"/>
              <w:rPr>
                <w:sz w:val="11"/>
                <w:szCs w:val="11"/>
                <w:color w:val="auto"/>
              </w:rPr>
            </w:pPr>
          </w:p>
        </w:tc>
        <w:tc>
          <w:tcPr>
            <w:tcW w:w="1280" w:type="dxa"/>
            <w:vAlign w:val="bottom"/>
          </w:tcPr>
          <w:p>
            <w:pPr>
              <w:ind w:left="140"/>
              <w:spacing w:after="0" w:line="128" w:lineRule="exact"/>
              <w:rPr>
                <w:sz w:val="20"/>
                <w:szCs w:val="20"/>
                <w:color w:val="auto"/>
              </w:rPr>
            </w:pPr>
            <w:r>
              <w:rPr>
                <w:rFonts w:ascii="Arial" w:cs="Arial" w:eastAsia="Arial" w:hAnsi="Arial"/>
                <w:sz w:val="12"/>
                <w:szCs w:val="12"/>
                <w:color w:val="FFFFFF"/>
              </w:rPr>
              <w:t>Governance</w:t>
            </w:r>
          </w:p>
        </w:tc>
        <w:tc>
          <w:tcPr>
            <w:tcW w:w="440" w:type="dxa"/>
            <w:vAlign w:val="bottom"/>
          </w:tcPr>
          <w:p>
            <w:pPr>
              <w:spacing w:after="0"/>
              <w:rPr>
                <w:sz w:val="11"/>
                <w:szCs w:val="11"/>
                <w:color w:val="auto"/>
              </w:rPr>
            </w:pPr>
          </w:p>
        </w:tc>
      </w:tr>
      <w:tr>
        <w:trPr>
          <w:trHeight w:val="128"/>
        </w:trPr>
        <w:tc>
          <w:tcPr>
            <w:tcW w:w="200" w:type="dxa"/>
            <w:vAlign w:val="bottom"/>
          </w:tcPr>
          <w:p>
            <w:pPr>
              <w:spacing w:after="0"/>
              <w:rPr>
                <w:sz w:val="11"/>
                <w:szCs w:val="11"/>
                <w:color w:val="auto"/>
              </w:rPr>
            </w:pPr>
          </w:p>
        </w:tc>
        <w:tc>
          <w:tcPr>
            <w:tcW w:w="1280" w:type="dxa"/>
            <w:vAlign w:val="bottom"/>
          </w:tcPr>
          <w:p>
            <w:pPr>
              <w:ind w:left="140"/>
              <w:spacing w:after="0" w:line="128" w:lineRule="exact"/>
              <w:rPr>
                <w:sz w:val="20"/>
                <w:szCs w:val="20"/>
                <w:color w:val="auto"/>
              </w:rPr>
            </w:pPr>
            <w:r>
              <w:rPr>
                <w:rFonts w:ascii="Arial" w:cs="Arial" w:eastAsia="Arial" w:hAnsi="Arial"/>
                <w:sz w:val="12"/>
                <w:szCs w:val="12"/>
                <w:color w:val="FFFFFF"/>
              </w:rPr>
              <w:t>and the Board of</w:t>
            </w:r>
          </w:p>
        </w:tc>
        <w:tc>
          <w:tcPr>
            <w:tcW w:w="440" w:type="dxa"/>
            <w:vAlign w:val="bottom"/>
          </w:tcPr>
          <w:p>
            <w:pPr>
              <w:spacing w:after="0"/>
              <w:rPr>
                <w:sz w:val="11"/>
                <w:szCs w:val="11"/>
                <w:color w:val="auto"/>
              </w:rPr>
            </w:pPr>
          </w:p>
        </w:tc>
      </w:tr>
      <w:tr>
        <w:trPr>
          <w:trHeight w:val="158"/>
        </w:trPr>
        <w:tc>
          <w:tcPr>
            <w:tcW w:w="200" w:type="dxa"/>
            <w:vAlign w:val="bottom"/>
          </w:tcPr>
          <w:p>
            <w:pPr>
              <w:spacing w:after="0"/>
              <w:rPr>
                <w:sz w:val="13"/>
                <w:szCs w:val="13"/>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Directors</w:t>
            </w:r>
          </w:p>
        </w:tc>
        <w:tc>
          <w:tcPr>
            <w:tcW w:w="440" w:type="dxa"/>
            <w:vAlign w:val="bottom"/>
          </w:tcPr>
          <w:p>
            <w:pPr>
              <w:spacing w:after="0"/>
              <w:rPr>
                <w:sz w:val="13"/>
                <w:szCs w:val="13"/>
                <w:color w:val="auto"/>
              </w:rPr>
            </w:pPr>
          </w:p>
        </w:tc>
      </w:tr>
      <w:tr>
        <w:trPr>
          <w:trHeight w:val="294"/>
        </w:trPr>
        <w:tc>
          <w:tcPr>
            <w:tcW w:w="200" w:type="dxa"/>
            <w:vAlign w:val="bottom"/>
          </w:tcPr>
          <w:p>
            <w:pPr>
              <w:spacing w:after="0"/>
              <w:rPr>
                <w:sz w:val="24"/>
                <w:szCs w:val="24"/>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Proposal 1</w:t>
            </w:r>
          </w:p>
        </w:tc>
        <w:tc>
          <w:tcPr>
            <w:tcW w:w="440" w:type="dxa"/>
            <w:vAlign w:val="bottom"/>
          </w:tcPr>
          <w:p>
            <w:pPr>
              <w:spacing w:after="0"/>
              <w:rPr>
                <w:sz w:val="24"/>
                <w:szCs w:val="24"/>
                <w:color w:val="auto"/>
              </w:rPr>
            </w:pPr>
          </w:p>
        </w:tc>
      </w:tr>
      <w:tr>
        <w:trPr>
          <w:trHeight w:val="263"/>
        </w:trPr>
        <w:tc>
          <w:tcPr>
            <w:tcW w:w="200" w:type="dxa"/>
            <w:vAlign w:val="bottom"/>
          </w:tcPr>
          <w:p>
            <w:pPr>
              <w:spacing w:after="0"/>
              <w:rPr>
                <w:sz w:val="22"/>
                <w:szCs w:val="22"/>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Information</w:t>
            </w:r>
          </w:p>
        </w:tc>
        <w:tc>
          <w:tcPr>
            <w:tcW w:w="440" w:type="dxa"/>
            <w:vAlign w:val="bottom"/>
          </w:tcPr>
          <w:p>
            <w:pPr>
              <w:spacing w:after="0"/>
              <w:rPr>
                <w:sz w:val="22"/>
                <w:szCs w:val="22"/>
                <w:color w:val="auto"/>
              </w:rPr>
            </w:pPr>
          </w:p>
        </w:tc>
      </w:tr>
      <w:tr>
        <w:trPr>
          <w:trHeight w:val="128"/>
        </w:trPr>
        <w:tc>
          <w:tcPr>
            <w:tcW w:w="200" w:type="dxa"/>
            <w:vAlign w:val="bottom"/>
          </w:tcPr>
          <w:p>
            <w:pPr>
              <w:spacing w:after="0"/>
              <w:rPr>
                <w:sz w:val="11"/>
                <w:szCs w:val="11"/>
                <w:color w:val="auto"/>
              </w:rPr>
            </w:pPr>
          </w:p>
        </w:tc>
        <w:tc>
          <w:tcPr>
            <w:tcW w:w="1280" w:type="dxa"/>
            <w:vAlign w:val="bottom"/>
          </w:tcPr>
          <w:p>
            <w:pPr>
              <w:ind w:left="140"/>
              <w:spacing w:after="0" w:line="128" w:lineRule="exact"/>
              <w:rPr>
                <w:sz w:val="20"/>
                <w:szCs w:val="20"/>
                <w:color w:val="auto"/>
              </w:rPr>
            </w:pPr>
            <w:r>
              <w:rPr>
                <w:rFonts w:ascii="Arial" w:cs="Arial" w:eastAsia="Arial" w:hAnsi="Arial"/>
                <w:sz w:val="12"/>
                <w:szCs w:val="12"/>
                <w:color w:val="FFFFFF"/>
              </w:rPr>
              <w:t>Regarding Board</w:t>
            </w:r>
          </w:p>
        </w:tc>
        <w:tc>
          <w:tcPr>
            <w:tcW w:w="440" w:type="dxa"/>
            <w:vAlign w:val="bottom"/>
          </w:tcPr>
          <w:p>
            <w:pPr>
              <w:spacing w:after="0"/>
              <w:rPr>
                <w:sz w:val="11"/>
                <w:szCs w:val="11"/>
                <w:color w:val="auto"/>
              </w:rPr>
            </w:pPr>
          </w:p>
        </w:tc>
      </w:tr>
      <w:tr>
        <w:trPr>
          <w:trHeight w:val="128"/>
        </w:trPr>
        <w:tc>
          <w:tcPr>
            <w:tcW w:w="200" w:type="dxa"/>
            <w:vAlign w:val="bottom"/>
          </w:tcPr>
          <w:p>
            <w:pPr>
              <w:spacing w:after="0"/>
              <w:rPr>
                <w:sz w:val="11"/>
                <w:szCs w:val="11"/>
                <w:color w:val="auto"/>
              </w:rPr>
            </w:pPr>
          </w:p>
        </w:tc>
        <w:tc>
          <w:tcPr>
            <w:tcW w:w="1280" w:type="dxa"/>
            <w:vAlign w:val="bottom"/>
          </w:tcPr>
          <w:p>
            <w:pPr>
              <w:ind w:left="140"/>
              <w:spacing w:after="0" w:line="128" w:lineRule="exact"/>
              <w:rPr>
                <w:sz w:val="20"/>
                <w:szCs w:val="20"/>
                <w:color w:val="auto"/>
              </w:rPr>
            </w:pPr>
            <w:r>
              <w:rPr>
                <w:rFonts w:ascii="Arial" w:cs="Arial" w:eastAsia="Arial" w:hAnsi="Arial"/>
                <w:sz w:val="12"/>
                <w:szCs w:val="12"/>
                <w:color w:val="FFFFFF"/>
              </w:rPr>
              <w:t>and Committee</w:t>
            </w:r>
          </w:p>
        </w:tc>
        <w:tc>
          <w:tcPr>
            <w:tcW w:w="440" w:type="dxa"/>
            <w:vAlign w:val="bottom"/>
          </w:tcPr>
          <w:p>
            <w:pPr>
              <w:spacing w:after="0"/>
              <w:rPr>
                <w:sz w:val="11"/>
                <w:szCs w:val="11"/>
                <w:color w:val="auto"/>
              </w:rPr>
            </w:pPr>
          </w:p>
        </w:tc>
      </w:tr>
      <w:tr>
        <w:trPr>
          <w:trHeight w:val="158"/>
        </w:trPr>
        <w:tc>
          <w:tcPr>
            <w:tcW w:w="200" w:type="dxa"/>
            <w:vAlign w:val="bottom"/>
          </w:tcPr>
          <w:p>
            <w:pPr>
              <w:spacing w:after="0"/>
              <w:rPr>
                <w:sz w:val="13"/>
                <w:szCs w:val="13"/>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Structure</w:t>
            </w:r>
          </w:p>
        </w:tc>
        <w:tc>
          <w:tcPr>
            <w:tcW w:w="440" w:type="dxa"/>
            <w:vAlign w:val="bottom"/>
          </w:tcPr>
          <w:p>
            <w:pPr>
              <w:spacing w:after="0"/>
              <w:rPr>
                <w:sz w:val="13"/>
                <w:szCs w:val="13"/>
                <w:color w:val="auto"/>
              </w:rPr>
            </w:pPr>
          </w:p>
        </w:tc>
      </w:tr>
      <w:tr>
        <w:trPr>
          <w:trHeight w:val="263"/>
        </w:trPr>
        <w:tc>
          <w:tcPr>
            <w:tcW w:w="200" w:type="dxa"/>
            <w:vAlign w:val="bottom"/>
          </w:tcPr>
          <w:p>
            <w:pPr>
              <w:spacing w:after="0"/>
              <w:rPr>
                <w:sz w:val="22"/>
                <w:szCs w:val="22"/>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Board of Directors</w:t>
            </w:r>
          </w:p>
        </w:tc>
        <w:tc>
          <w:tcPr>
            <w:tcW w:w="440" w:type="dxa"/>
            <w:vAlign w:val="bottom"/>
          </w:tcPr>
          <w:p>
            <w:pPr>
              <w:spacing w:after="0"/>
              <w:rPr>
                <w:sz w:val="22"/>
                <w:szCs w:val="22"/>
                <w:color w:val="auto"/>
              </w:rPr>
            </w:pPr>
          </w:p>
        </w:tc>
      </w:tr>
      <w:tr>
        <w:trPr>
          <w:trHeight w:val="158"/>
        </w:trPr>
        <w:tc>
          <w:tcPr>
            <w:tcW w:w="200" w:type="dxa"/>
            <w:vAlign w:val="bottom"/>
          </w:tcPr>
          <w:p>
            <w:pPr>
              <w:spacing w:after="0"/>
              <w:rPr>
                <w:sz w:val="13"/>
                <w:szCs w:val="13"/>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Compensation</w:t>
            </w:r>
          </w:p>
        </w:tc>
        <w:tc>
          <w:tcPr>
            <w:tcW w:w="440" w:type="dxa"/>
            <w:vAlign w:val="bottom"/>
          </w:tcPr>
          <w:p>
            <w:pPr>
              <w:spacing w:after="0"/>
              <w:rPr>
                <w:sz w:val="13"/>
                <w:szCs w:val="13"/>
                <w:color w:val="auto"/>
              </w:rPr>
            </w:pPr>
          </w:p>
        </w:tc>
      </w:tr>
    </w:tbl>
    <w:p>
      <w:pPr>
        <w:spacing w:after="0" w:line="72" w:lineRule="exact"/>
        <w:rPr>
          <w:sz w:val="20"/>
          <w:szCs w:val="20"/>
          <w:color w:val="auto"/>
        </w:rPr>
      </w:pPr>
    </w:p>
    <w:p>
      <w:pPr>
        <w:sectPr>
          <w:pgSz w:w="11900" w:h="16838" w:orient="portrait"/>
          <w:cols w:equalWidth="0" w:num="2">
            <w:col w:w="8460" w:space="420"/>
            <w:col w:w="1920"/>
          </w:cols>
          <w:pgMar w:left="320" w:top="464" w:right="779" w:bottom="1440" w:gutter="0" w:footer="0" w:header="0"/>
          <w:type w:val="continuous"/>
        </w:sectPr>
      </w:pPr>
    </w:p>
    <w:tbl>
      <w:tblPr>
        <w:tblLayout w:type="fixed"/>
        <w:tblInd w:w="540" w:type="dxa"/>
        <w:tblCellMar>
          <w:top w:w="0" w:type="dxa"/>
          <w:left w:w="0" w:type="dxa"/>
          <w:bottom w:w="0" w:type="dxa"/>
          <w:right w:w="0" w:type="dxa"/>
        </w:tblCellMar>
      </w:tblPr>
      <w:tr>
        <w:trPr>
          <w:trHeight w:val="158"/>
        </w:trPr>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440" w:type="dxa"/>
            <w:vAlign w:val="bottom"/>
          </w:tcPr>
          <w:p>
            <w:pPr>
              <w:jc w:val="right"/>
              <w:ind w:right="1480"/>
              <w:spacing w:after="0"/>
              <w:rPr>
                <w:sz w:val="20"/>
                <w:szCs w:val="20"/>
                <w:color w:val="auto"/>
              </w:rPr>
            </w:pPr>
            <w:r>
              <w:rPr>
                <w:rFonts w:ascii="Arial" w:cs="Arial" w:eastAsia="Arial" w:hAnsi="Arial"/>
                <w:sz w:val="12"/>
                <w:szCs w:val="12"/>
                <w:color w:val="auto"/>
              </w:rPr>
              <w:t>1,875,000</w:t>
            </w:r>
          </w:p>
        </w:tc>
        <w:tc>
          <w:tcPr>
            <w:tcW w:w="7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1040" w:type="dxa"/>
            <w:vAlign w:val="bottom"/>
          </w:tcPr>
          <w:p>
            <w:pPr>
              <w:ind w:left="60"/>
              <w:spacing w:after="0"/>
              <w:rPr>
                <w:sz w:val="20"/>
                <w:szCs w:val="20"/>
                <w:color w:val="auto"/>
              </w:rPr>
            </w:pPr>
            <w:r>
              <w:rPr>
                <w:rFonts w:ascii="Arial" w:cs="Arial" w:eastAsia="Arial" w:hAnsi="Arial"/>
                <w:sz w:val="12"/>
                <w:szCs w:val="12"/>
                <w:b w:val="1"/>
                <w:bCs w:val="1"/>
                <w:color w:val="B95827"/>
                <w:w w:val="99"/>
              </w:rPr>
              <w:t>Matthew Audette</w:t>
            </w:r>
          </w:p>
        </w:tc>
        <w:tc>
          <w:tcPr>
            <w:tcW w:w="660" w:type="dxa"/>
            <w:vAlign w:val="bottom"/>
            <w:gridSpan w:val="2"/>
          </w:tcPr>
          <w:p>
            <w:pPr>
              <w:jc w:val="right"/>
              <w:spacing w:after="0"/>
              <w:rPr>
                <w:sz w:val="20"/>
                <w:szCs w:val="20"/>
                <w:color w:val="auto"/>
              </w:rPr>
            </w:pPr>
            <w:r>
              <w:rPr>
                <w:rFonts w:ascii="Arial" w:cs="Arial" w:eastAsia="Arial" w:hAnsi="Arial"/>
                <w:sz w:val="12"/>
                <w:szCs w:val="12"/>
                <w:color w:val="auto"/>
              </w:rPr>
              <w:t>2/7/2025</w:t>
            </w:r>
          </w:p>
        </w:tc>
        <w:tc>
          <w:tcPr>
            <w:tcW w:w="980" w:type="dxa"/>
            <w:vAlign w:val="bottom"/>
          </w:tcPr>
          <w:p>
            <w:pPr>
              <w:jc w:val="right"/>
              <w:ind w:right="320"/>
              <w:spacing w:after="0"/>
              <w:rPr>
                <w:sz w:val="20"/>
                <w:szCs w:val="20"/>
                <w:color w:val="auto"/>
              </w:rPr>
            </w:pPr>
            <w:r>
              <w:rPr>
                <w:rFonts w:ascii="Arial" w:cs="Arial" w:eastAsia="Arial" w:hAnsi="Arial"/>
                <w:sz w:val="12"/>
                <w:szCs w:val="12"/>
                <w:color w:val="auto"/>
              </w:rPr>
              <w:t>2/25/2025</w:t>
            </w:r>
          </w:p>
        </w:tc>
        <w:tc>
          <w:tcPr>
            <w:tcW w:w="24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80" w:type="dxa"/>
            <w:vAlign w:val="bottom"/>
          </w:tcPr>
          <w:p>
            <w:pPr>
              <w:jc w:val="right"/>
              <w:ind w:right="20"/>
              <w:spacing w:after="0"/>
              <w:rPr>
                <w:sz w:val="20"/>
                <w:szCs w:val="20"/>
                <w:color w:val="auto"/>
              </w:rPr>
            </w:pPr>
            <w:r>
              <w:rPr>
                <w:rFonts w:ascii="Arial" w:cs="Arial" w:eastAsia="Arial" w:hAnsi="Arial"/>
                <w:sz w:val="12"/>
                <w:szCs w:val="12"/>
                <w:color w:val="auto"/>
              </w:rPr>
              <w:t>5,947</w:t>
            </w:r>
          </w:p>
        </w:tc>
        <w:tc>
          <w:tcPr>
            <w:tcW w:w="600" w:type="dxa"/>
            <w:vAlign w:val="bottom"/>
          </w:tcPr>
          <w:p>
            <w:pPr>
              <w:jc w:val="right"/>
              <w:spacing w:after="0"/>
              <w:rPr>
                <w:sz w:val="20"/>
                <w:szCs w:val="20"/>
                <w:color w:val="auto"/>
              </w:rPr>
            </w:pPr>
            <w:r>
              <w:rPr>
                <w:rFonts w:ascii="Arial" w:cs="Arial" w:eastAsia="Arial" w:hAnsi="Arial"/>
                <w:sz w:val="12"/>
                <w:szCs w:val="12"/>
                <w:color w:val="auto"/>
              </w:rPr>
              <w:t>2,110,344</w:t>
            </w:r>
          </w:p>
        </w:tc>
        <w:tc>
          <w:tcPr>
            <w:tcW w:w="0" w:type="dxa"/>
            <w:vAlign w:val="bottom"/>
          </w:tcPr>
          <w:p>
            <w:pPr>
              <w:spacing w:after="0"/>
              <w:rPr>
                <w:sz w:val="1"/>
                <w:szCs w:val="1"/>
                <w:color w:val="auto"/>
              </w:rPr>
            </w:pPr>
          </w:p>
        </w:tc>
      </w:tr>
      <w:tr>
        <w:trPr>
          <w:trHeight w:val="173"/>
        </w:trPr>
        <w:tc>
          <w:tcPr>
            <w:tcW w:w="1040" w:type="dxa"/>
            <w:vAlign w:val="bottom"/>
          </w:tcPr>
          <w:p>
            <w:pPr>
              <w:spacing w:after="0"/>
              <w:rPr>
                <w:sz w:val="15"/>
                <w:szCs w:val="15"/>
                <w:color w:val="auto"/>
              </w:rPr>
            </w:pPr>
          </w:p>
        </w:tc>
        <w:tc>
          <w:tcPr>
            <w:tcW w:w="660" w:type="dxa"/>
            <w:vAlign w:val="bottom"/>
            <w:gridSpan w:val="2"/>
          </w:tcPr>
          <w:p>
            <w:pPr>
              <w:jc w:val="right"/>
              <w:spacing w:after="0"/>
              <w:rPr>
                <w:sz w:val="20"/>
                <w:szCs w:val="20"/>
                <w:color w:val="auto"/>
              </w:rPr>
            </w:pPr>
            <w:r>
              <w:rPr>
                <w:rFonts w:ascii="Arial" w:cs="Arial" w:eastAsia="Arial" w:hAnsi="Arial"/>
                <w:sz w:val="12"/>
                <w:szCs w:val="12"/>
                <w:color w:val="auto"/>
              </w:rPr>
              <w:t>2/7/2025</w:t>
            </w:r>
          </w:p>
        </w:tc>
        <w:tc>
          <w:tcPr>
            <w:tcW w:w="980" w:type="dxa"/>
            <w:vAlign w:val="bottom"/>
          </w:tcPr>
          <w:p>
            <w:pPr>
              <w:jc w:val="right"/>
              <w:ind w:right="320"/>
              <w:spacing w:after="0"/>
              <w:rPr>
                <w:sz w:val="20"/>
                <w:szCs w:val="20"/>
                <w:color w:val="auto"/>
              </w:rPr>
            </w:pPr>
            <w:r>
              <w:rPr>
                <w:rFonts w:ascii="Arial" w:cs="Arial" w:eastAsia="Arial" w:hAnsi="Arial"/>
                <w:sz w:val="12"/>
                <w:szCs w:val="12"/>
                <w:color w:val="auto"/>
              </w:rPr>
              <w:t>2/25/2025</w:t>
            </w:r>
          </w:p>
        </w:tc>
        <w:tc>
          <w:tcPr>
            <w:tcW w:w="2440" w:type="dxa"/>
            <w:vAlign w:val="bottom"/>
          </w:tcPr>
          <w:p>
            <w:pPr>
              <w:jc w:val="right"/>
              <w:ind w:right="180"/>
              <w:spacing w:after="0"/>
              <w:rPr>
                <w:sz w:val="20"/>
                <w:szCs w:val="20"/>
                <w:color w:val="auto"/>
              </w:rPr>
            </w:pPr>
            <w:r>
              <w:rPr>
                <w:rFonts w:ascii="Arial" w:cs="Arial" w:eastAsia="Arial" w:hAnsi="Arial"/>
                <w:sz w:val="12"/>
                <w:szCs w:val="12"/>
                <w:color w:val="auto"/>
              </w:rPr>
              <w:t>4,461</w:t>
            </w:r>
          </w:p>
        </w:tc>
        <w:tc>
          <w:tcPr>
            <w:tcW w:w="720" w:type="dxa"/>
            <w:vAlign w:val="bottom"/>
          </w:tcPr>
          <w:p>
            <w:pPr>
              <w:jc w:val="right"/>
              <w:ind w:right="120"/>
              <w:spacing w:after="0"/>
              <w:rPr>
                <w:sz w:val="20"/>
                <w:szCs w:val="20"/>
                <w:color w:val="auto"/>
              </w:rPr>
            </w:pPr>
            <w:r>
              <w:rPr>
                <w:rFonts w:ascii="Arial" w:cs="Arial" w:eastAsia="Arial" w:hAnsi="Arial"/>
                <w:sz w:val="12"/>
                <w:szCs w:val="12"/>
                <w:color w:val="auto"/>
              </w:rPr>
              <w:t>8,921</w:t>
            </w:r>
          </w:p>
        </w:tc>
        <w:tc>
          <w:tcPr>
            <w:tcW w:w="1480" w:type="dxa"/>
            <w:vAlign w:val="bottom"/>
          </w:tcPr>
          <w:p>
            <w:pPr>
              <w:jc w:val="right"/>
              <w:ind w:right="860"/>
              <w:spacing w:after="0"/>
              <w:rPr>
                <w:sz w:val="20"/>
                <w:szCs w:val="20"/>
                <w:color w:val="auto"/>
              </w:rPr>
            </w:pPr>
            <w:r>
              <w:rPr>
                <w:rFonts w:ascii="Arial" w:cs="Arial" w:eastAsia="Arial" w:hAnsi="Arial"/>
                <w:sz w:val="12"/>
                <w:szCs w:val="12"/>
                <w:color w:val="auto"/>
              </w:rPr>
              <w:t>17,842</w:t>
            </w:r>
          </w:p>
        </w:tc>
        <w:tc>
          <w:tcPr>
            <w:tcW w:w="600" w:type="dxa"/>
            <w:vAlign w:val="bottom"/>
          </w:tcPr>
          <w:p>
            <w:pPr>
              <w:jc w:val="right"/>
              <w:spacing w:after="0"/>
              <w:rPr>
                <w:sz w:val="20"/>
                <w:szCs w:val="20"/>
                <w:color w:val="auto"/>
              </w:rPr>
            </w:pPr>
            <w:r>
              <w:rPr>
                <w:rFonts w:ascii="Arial" w:cs="Arial" w:eastAsia="Arial" w:hAnsi="Arial"/>
                <w:sz w:val="12"/>
                <w:szCs w:val="12"/>
                <w:color w:val="auto"/>
              </w:rPr>
              <w:t>4,152,726</w:t>
            </w:r>
          </w:p>
        </w:tc>
        <w:tc>
          <w:tcPr>
            <w:tcW w:w="0" w:type="dxa"/>
            <w:vAlign w:val="bottom"/>
          </w:tcPr>
          <w:p>
            <w:pPr>
              <w:spacing w:after="0"/>
              <w:rPr>
                <w:sz w:val="1"/>
                <w:szCs w:val="1"/>
                <w:color w:val="auto"/>
              </w:rPr>
            </w:pPr>
          </w:p>
        </w:tc>
      </w:tr>
      <w:tr>
        <w:trPr>
          <w:trHeight w:val="39"/>
        </w:trPr>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980" w:type="dxa"/>
            <w:vAlign w:val="bottom"/>
          </w:tcPr>
          <w:p>
            <w:pPr>
              <w:spacing w:after="0"/>
              <w:rPr>
                <w:sz w:val="3"/>
                <w:szCs w:val="3"/>
                <w:color w:val="auto"/>
              </w:rPr>
            </w:pPr>
          </w:p>
        </w:tc>
        <w:tc>
          <w:tcPr>
            <w:tcW w:w="2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480" w:type="dxa"/>
            <w:vAlign w:val="bottom"/>
          </w:tcPr>
          <w:p>
            <w:pPr>
              <w:spacing w:after="0"/>
              <w:rPr>
                <w:sz w:val="3"/>
                <w:szCs w:val="3"/>
                <w:color w:val="auto"/>
              </w:rPr>
            </w:pPr>
          </w:p>
        </w:tc>
        <w:tc>
          <w:tcPr>
            <w:tcW w:w="6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7"/>
        </w:trPr>
        <w:tc>
          <w:tcPr>
            <w:tcW w:w="1040" w:type="dxa"/>
            <w:vAlign w:val="bottom"/>
            <w:shd w:val="clear" w:color="auto" w:fill="F7F1EC"/>
          </w:tcPr>
          <w:p>
            <w:pPr>
              <w:spacing w:after="0"/>
              <w:rPr>
                <w:sz w:val="18"/>
                <w:szCs w:val="18"/>
                <w:color w:val="auto"/>
              </w:rPr>
            </w:pPr>
          </w:p>
        </w:tc>
        <w:tc>
          <w:tcPr>
            <w:tcW w:w="80" w:type="dxa"/>
            <w:vAlign w:val="bottom"/>
            <w:shd w:val="clear" w:color="auto" w:fill="F7F1EC"/>
          </w:tcPr>
          <w:p>
            <w:pPr>
              <w:spacing w:after="0"/>
              <w:rPr>
                <w:sz w:val="18"/>
                <w:szCs w:val="18"/>
                <w:color w:val="auto"/>
              </w:rPr>
            </w:pPr>
          </w:p>
        </w:tc>
        <w:tc>
          <w:tcPr>
            <w:tcW w:w="580" w:type="dxa"/>
            <w:vAlign w:val="bottom"/>
            <w:shd w:val="clear" w:color="auto" w:fill="F7F1EC"/>
          </w:tcPr>
          <w:p>
            <w:pPr>
              <w:spacing w:after="0"/>
              <w:rPr>
                <w:sz w:val="18"/>
                <w:szCs w:val="18"/>
                <w:color w:val="auto"/>
              </w:rPr>
            </w:pPr>
          </w:p>
        </w:tc>
        <w:tc>
          <w:tcPr>
            <w:tcW w:w="980" w:type="dxa"/>
            <w:vAlign w:val="bottom"/>
            <w:shd w:val="clear" w:color="auto" w:fill="F7F1EC"/>
          </w:tcPr>
          <w:p>
            <w:pPr>
              <w:spacing w:after="0"/>
              <w:rPr>
                <w:sz w:val="18"/>
                <w:szCs w:val="18"/>
                <w:color w:val="auto"/>
              </w:rPr>
            </w:pPr>
          </w:p>
        </w:tc>
        <w:tc>
          <w:tcPr>
            <w:tcW w:w="2440" w:type="dxa"/>
            <w:vAlign w:val="bottom"/>
            <w:shd w:val="clear" w:color="auto" w:fill="F7F1EC"/>
          </w:tcPr>
          <w:p>
            <w:pPr>
              <w:jc w:val="right"/>
              <w:ind w:right="1480"/>
              <w:spacing w:after="0"/>
              <w:rPr>
                <w:sz w:val="20"/>
                <w:szCs w:val="20"/>
                <w:color w:val="auto"/>
              </w:rPr>
            </w:pPr>
            <w:r>
              <w:rPr>
                <w:rFonts w:ascii="Arial" w:cs="Arial" w:eastAsia="Arial" w:hAnsi="Arial"/>
                <w:sz w:val="12"/>
                <w:szCs w:val="12"/>
                <w:color w:val="auto"/>
              </w:rPr>
              <w:t>1,020,000</w:t>
            </w:r>
          </w:p>
        </w:tc>
        <w:tc>
          <w:tcPr>
            <w:tcW w:w="720" w:type="dxa"/>
            <w:vAlign w:val="bottom"/>
            <w:shd w:val="clear" w:color="auto" w:fill="F7F1EC"/>
          </w:tcPr>
          <w:p>
            <w:pPr>
              <w:spacing w:after="0"/>
              <w:rPr>
                <w:sz w:val="18"/>
                <w:szCs w:val="18"/>
                <w:color w:val="auto"/>
              </w:rPr>
            </w:pPr>
          </w:p>
        </w:tc>
        <w:tc>
          <w:tcPr>
            <w:tcW w:w="1480" w:type="dxa"/>
            <w:vAlign w:val="bottom"/>
            <w:shd w:val="clear" w:color="auto" w:fill="F7F1EC"/>
          </w:tcPr>
          <w:p>
            <w:pPr>
              <w:spacing w:after="0"/>
              <w:rPr>
                <w:sz w:val="18"/>
                <w:szCs w:val="18"/>
                <w:color w:val="auto"/>
              </w:rPr>
            </w:pPr>
          </w:p>
        </w:tc>
        <w:tc>
          <w:tcPr>
            <w:tcW w:w="600" w:type="dxa"/>
            <w:vAlign w:val="bottom"/>
            <w:shd w:val="clear" w:color="auto" w:fill="F7F1EC"/>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1040" w:type="dxa"/>
            <w:vAlign w:val="bottom"/>
            <w:shd w:val="clear" w:color="auto" w:fill="F7F1EC"/>
          </w:tcPr>
          <w:p>
            <w:pPr>
              <w:ind w:left="60"/>
              <w:spacing w:after="0"/>
              <w:rPr>
                <w:sz w:val="20"/>
                <w:szCs w:val="20"/>
                <w:color w:val="auto"/>
              </w:rPr>
            </w:pPr>
            <w:r>
              <w:rPr>
                <w:rFonts w:ascii="Arial" w:cs="Arial" w:eastAsia="Arial" w:hAnsi="Arial"/>
                <w:sz w:val="12"/>
                <w:szCs w:val="12"/>
                <w:b w:val="1"/>
                <w:bCs w:val="1"/>
                <w:color w:val="B95827"/>
              </w:rPr>
              <w:t>Matthew Enyedi</w:t>
            </w:r>
          </w:p>
        </w:tc>
        <w:tc>
          <w:tcPr>
            <w:tcW w:w="80" w:type="dxa"/>
            <w:vAlign w:val="bottom"/>
            <w:shd w:val="clear" w:color="auto" w:fill="F7F1EC"/>
          </w:tcPr>
          <w:p>
            <w:pPr>
              <w:spacing w:after="0"/>
              <w:rPr>
                <w:sz w:val="16"/>
                <w:szCs w:val="16"/>
                <w:color w:val="auto"/>
              </w:rPr>
            </w:pPr>
          </w:p>
        </w:tc>
        <w:tc>
          <w:tcPr>
            <w:tcW w:w="580" w:type="dxa"/>
            <w:vAlign w:val="bottom"/>
            <w:shd w:val="clear" w:color="auto" w:fill="F7F1EC"/>
          </w:tcPr>
          <w:p>
            <w:pPr>
              <w:jc w:val="right"/>
              <w:spacing w:after="0"/>
              <w:rPr>
                <w:sz w:val="20"/>
                <w:szCs w:val="20"/>
                <w:color w:val="auto"/>
              </w:rPr>
            </w:pPr>
            <w:r>
              <w:rPr>
                <w:rFonts w:ascii="Arial" w:cs="Arial" w:eastAsia="Arial" w:hAnsi="Arial"/>
                <w:sz w:val="12"/>
                <w:szCs w:val="12"/>
                <w:color w:val="auto"/>
              </w:rPr>
              <w:t>2/7/2025</w:t>
            </w:r>
          </w:p>
        </w:tc>
        <w:tc>
          <w:tcPr>
            <w:tcW w:w="980" w:type="dxa"/>
            <w:vAlign w:val="bottom"/>
            <w:shd w:val="clear" w:color="auto" w:fill="F7F1EC"/>
          </w:tcPr>
          <w:p>
            <w:pPr>
              <w:jc w:val="right"/>
              <w:ind w:right="320"/>
              <w:spacing w:after="0"/>
              <w:rPr>
                <w:sz w:val="20"/>
                <w:szCs w:val="20"/>
                <w:color w:val="auto"/>
              </w:rPr>
            </w:pPr>
            <w:r>
              <w:rPr>
                <w:rFonts w:ascii="Arial" w:cs="Arial" w:eastAsia="Arial" w:hAnsi="Arial"/>
                <w:sz w:val="12"/>
                <w:szCs w:val="12"/>
                <w:color w:val="auto"/>
              </w:rPr>
              <w:t>2/25/2025</w:t>
            </w:r>
          </w:p>
        </w:tc>
        <w:tc>
          <w:tcPr>
            <w:tcW w:w="2440" w:type="dxa"/>
            <w:vAlign w:val="bottom"/>
            <w:shd w:val="clear" w:color="auto" w:fill="F7F1EC"/>
          </w:tcPr>
          <w:p>
            <w:pPr>
              <w:spacing w:after="0"/>
              <w:rPr>
                <w:sz w:val="16"/>
                <w:szCs w:val="16"/>
                <w:color w:val="auto"/>
              </w:rPr>
            </w:pPr>
          </w:p>
        </w:tc>
        <w:tc>
          <w:tcPr>
            <w:tcW w:w="720" w:type="dxa"/>
            <w:vAlign w:val="bottom"/>
            <w:shd w:val="clear" w:color="auto" w:fill="F7F1EC"/>
          </w:tcPr>
          <w:p>
            <w:pPr>
              <w:spacing w:after="0"/>
              <w:rPr>
                <w:sz w:val="16"/>
                <w:szCs w:val="16"/>
                <w:color w:val="auto"/>
              </w:rPr>
            </w:pPr>
          </w:p>
        </w:tc>
        <w:tc>
          <w:tcPr>
            <w:tcW w:w="1480" w:type="dxa"/>
            <w:vAlign w:val="bottom"/>
            <w:shd w:val="clear" w:color="auto" w:fill="F7F1EC"/>
          </w:tcPr>
          <w:p>
            <w:pPr>
              <w:jc w:val="right"/>
              <w:ind w:right="20"/>
              <w:spacing w:after="0"/>
              <w:rPr>
                <w:sz w:val="20"/>
                <w:szCs w:val="20"/>
                <w:color w:val="auto"/>
              </w:rPr>
            </w:pPr>
            <w:r>
              <w:rPr>
                <w:rFonts w:ascii="Arial" w:cs="Arial" w:eastAsia="Arial" w:hAnsi="Arial"/>
                <w:sz w:val="12"/>
                <w:szCs w:val="12"/>
                <w:color w:val="auto"/>
              </w:rPr>
              <w:t>1,659</w:t>
            </w:r>
          </w:p>
        </w:tc>
        <w:tc>
          <w:tcPr>
            <w:tcW w:w="600" w:type="dxa"/>
            <w:vAlign w:val="bottom"/>
            <w:shd w:val="clear" w:color="auto" w:fill="F7F1EC"/>
          </w:tcPr>
          <w:p>
            <w:pPr>
              <w:jc w:val="right"/>
              <w:spacing w:after="0"/>
              <w:rPr>
                <w:sz w:val="20"/>
                <w:szCs w:val="20"/>
                <w:color w:val="auto"/>
              </w:rPr>
            </w:pPr>
            <w:r>
              <w:rPr>
                <w:rFonts w:ascii="Arial" w:cs="Arial" w:eastAsia="Arial" w:hAnsi="Arial"/>
                <w:sz w:val="12"/>
                <w:szCs w:val="12"/>
                <w:color w:val="auto"/>
              </w:rPr>
              <w:t>588,710</w:t>
            </w:r>
          </w:p>
        </w:tc>
        <w:tc>
          <w:tcPr>
            <w:tcW w:w="0" w:type="dxa"/>
            <w:vAlign w:val="bottom"/>
          </w:tcPr>
          <w:p>
            <w:pPr>
              <w:spacing w:after="0"/>
              <w:rPr>
                <w:sz w:val="1"/>
                <w:szCs w:val="1"/>
                <w:color w:val="auto"/>
              </w:rPr>
            </w:pPr>
          </w:p>
        </w:tc>
      </w:tr>
      <w:tr>
        <w:trPr>
          <w:trHeight w:val="191"/>
        </w:trPr>
        <w:tc>
          <w:tcPr>
            <w:tcW w:w="1040" w:type="dxa"/>
            <w:vAlign w:val="bottom"/>
            <w:tcBorders>
              <w:bottom w:val="single" w:sz="8" w:color="F7F1EC"/>
            </w:tcBorders>
            <w:shd w:val="clear" w:color="auto" w:fill="F7F1EC"/>
          </w:tcPr>
          <w:p>
            <w:pPr>
              <w:spacing w:after="0"/>
              <w:rPr>
                <w:sz w:val="16"/>
                <w:szCs w:val="16"/>
                <w:color w:val="auto"/>
              </w:rPr>
            </w:pPr>
          </w:p>
        </w:tc>
        <w:tc>
          <w:tcPr>
            <w:tcW w:w="80" w:type="dxa"/>
            <w:vAlign w:val="bottom"/>
            <w:tcBorders>
              <w:bottom w:val="single" w:sz="8" w:color="F7F1EC"/>
            </w:tcBorders>
            <w:shd w:val="clear" w:color="auto" w:fill="F7F1EC"/>
          </w:tcPr>
          <w:p>
            <w:pPr>
              <w:spacing w:after="0"/>
              <w:rPr>
                <w:sz w:val="16"/>
                <w:szCs w:val="16"/>
                <w:color w:val="auto"/>
              </w:rPr>
            </w:pPr>
          </w:p>
        </w:tc>
        <w:tc>
          <w:tcPr>
            <w:tcW w:w="580" w:type="dxa"/>
            <w:vAlign w:val="bottom"/>
            <w:tcBorders>
              <w:bottom w:val="single" w:sz="8" w:color="F7F1EC"/>
            </w:tcBorders>
            <w:shd w:val="clear" w:color="auto" w:fill="F7F1EC"/>
          </w:tcPr>
          <w:p>
            <w:pPr>
              <w:jc w:val="right"/>
              <w:spacing w:after="0"/>
              <w:rPr>
                <w:sz w:val="20"/>
                <w:szCs w:val="20"/>
                <w:color w:val="auto"/>
              </w:rPr>
            </w:pPr>
            <w:r>
              <w:rPr>
                <w:rFonts w:ascii="Arial" w:cs="Arial" w:eastAsia="Arial" w:hAnsi="Arial"/>
                <w:sz w:val="12"/>
                <w:szCs w:val="12"/>
                <w:color w:val="auto"/>
              </w:rPr>
              <w:t>2/7/2025</w:t>
            </w:r>
          </w:p>
        </w:tc>
        <w:tc>
          <w:tcPr>
            <w:tcW w:w="980" w:type="dxa"/>
            <w:vAlign w:val="bottom"/>
            <w:tcBorders>
              <w:bottom w:val="single" w:sz="8" w:color="F7F1EC"/>
            </w:tcBorders>
            <w:shd w:val="clear" w:color="auto" w:fill="F7F1EC"/>
          </w:tcPr>
          <w:p>
            <w:pPr>
              <w:jc w:val="right"/>
              <w:ind w:right="320"/>
              <w:spacing w:after="0"/>
              <w:rPr>
                <w:sz w:val="20"/>
                <w:szCs w:val="20"/>
                <w:color w:val="auto"/>
              </w:rPr>
            </w:pPr>
            <w:r>
              <w:rPr>
                <w:rFonts w:ascii="Arial" w:cs="Arial" w:eastAsia="Arial" w:hAnsi="Arial"/>
                <w:sz w:val="12"/>
                <w:szCs w:val="12"/>
                <w:color w:val="auto"/>
              </w:rPr>
              <w:t>2/25/2025</w:t>
            </w:r>
          </w:p>
        </w:tc>
        <w:tc>
          <w:tcPr>
            <w:tcW w:w="2440" w:type="dxa"/>
            <w:vAlign w:val="bottom"/>
            <w:tcBorders>
              <w:bottom w:val="single" w:sz="8" w:color="F7F1EC"/>
            </w:tcBorders>
            <w:shd w:val="clear" w:color="auto" w:fill="F7F1EC"/>
          </w:tcPr>
          <w:p>
            <w:pPr>
              <w:jc w:val="right"/>
              <w:ind w:right="180"/>
              <w:spacing w:after="0"/>
              <w:rPr>
                <w:sz w:val="20"/>
                <w:szCs w:val="20"/>
                <w:color w:val="auto"/>
              </w:rPr>
            </w:pPr>
            <w:r>
              <w:rPr>
                <w:rFonts w:ascii="Arial" w:cs="Arial" w:eastAsia="Arial" w:hAnsi="Arial"/>
                <w:sz w:val="12"/>
                <w:szCs w:val="12"/>
                <w:color w:val="auto"/>
              </w:rPr>
              <w:t>1,245</w:t>
            </w:r>
          </w:p>
        </w:tc>
        <w:tc>
          <w:tcPr>
            <w:tcW w:w="720" w:type="dxa"/>
            <w:vAlign w:val="bottom"/>
            <w:tcBorders>
              <w:bottom w:val="single" w:sz="8" w:color="F7F1EC"/>
            </w:tcBorders>
            <w:shd w:val="clear" w:color="auto" w:fill="F7F1EC"/>
          </w:tcPr>
          <w:p>
            <w:pPr>
              <w:jc w:val="right"/>
              <w:ind w:right="120"/>
              <w:spacing w:after="0"/>
              <w:rPr>
                <w:sz w:val="20"/>
                <w:szCs w:val="20"/>
                <w:color w:val="auto"/>
              </w:rPr>
            </w:pPr>
            <w:r>
              <w:rPr>
                <w:rFonts w:ascii="Arial" w:cs="Arial" w:eastAsia="Arial" w:hAnsi="Arial"/>
                <w:sz w:val="12"/>
                <w:szCs w:val="12"/>
                <w:color w:val="auto"/>
              </w:rPr>
              <w:t>2,489</w:t>
            </w:r>
          </w:p>
        </w:tc>
        <w:tc>
          <w:tcPr>
            <w:tcW w:w="1480" w:type="dxa"/>
            <w:vAlign w:val="bottom"/>
            <w:tcBorders>
              <w:bottom w:val="single" w:sz="8" w:color="F7F1EC"/>
            </w:tcBorders>
            <w:shd w:val="clear" w:color="auto" w:fill="F7F1EC"/>
          </w:tcPr>
          <w:p>
            <w:pPr>
              <w:jc w:val="right"/>
              <w:ind w:right="860"/>
              <w:spacing w:after="0"/>
              <w:rPr>
                <w:sz w:val="20"/>
                <w:szCs w:val="20"/>
                <w:color w:val="auto"/>
              </w:rPr>
            </w:pPr>
            <w:r>
              <w:rPr>
                <w:rFonts w:ascii="Arial" w:cs="Arial" w:eastAsia="Arial" w:hAnsi="Arial"/>
                <w:sz w:val="12"/>
                <w:szCs w:val="12"/>
                <w:color w:val="auto"/>
              </w:rPr>
              <w:t>4,978</w:t>
            </w:r>
          </w:p>
        </w:tc>
        <w:tc>
          <w:tcPr>
            <w:tcW w:w="600" w:type="dxa"/>
            <w:vAlign w:val="bottom"/>
            <w:tcBorders>
              <w:bottom w:val="single" w:sz="8" w:color="F7F1EC"/>
            </w:tcBorders>
            <w:shd w:val="clear" w:color="auto" w:fill="F7F1EC"/>
          </w:tcPr>
          <w:p>
            <w:pPr>
              <w:jc w:val="right"/>
              <w:spacing w:after="0"/>
              <w:rPr>
                <w:sz w:val="20"/>
                <w:szCs w:val="20"/>
                <w:color w:val="auto"/>
              </w:rPr>
            </w:pPr>
            <w:r>
              <w:rPr>
                <w:rFonts w:ascii="Arial" w:cs="Arial" w:eastAsia="Arial" w:hAnsi="Arial"/>
                <w:sz w:val="12"/>
                <w:szCs w:val="12"/>
                <w:color w:val="auto"/>
              </w:rPr>
              <w:t>1,158,630</w:t>
            </w:r>
          </w:p>
        </w:tc>
        <w:tc>
          <w:tcPr>
            <w:tcW w:w="0" w:type="dxa"/>
            <w:vAlign w:val="bottom"/>
          </w:tcPr>
          <w:p>
            <w:pPr>
              <w:spacing w:after="0"/>
              <w:rPr>
                <w:sz w:val="1"/>
                <w:szCs w:val="1"/>
                <w:color w:val="auto"/>
              </w:rPr>
            </w:pPr>
          </w:p>
        </w:tc>
      </w:tr>
      <w:tr>
        <w:trPr>
          <w:trHeight w:val="217"/>
        </w:trPr>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40" w:type="dxa"/>
            <w:vAlign w:val="bottom"/>
          </w:tcPr>
          <w:p>
            <w:pPr>
              <w:jc w:val="right"/>
              <w:ind w:right="1480"/>
              <w:spacing w:after="0"/>
              <w:rPr>
                <w:sz w:val="20"/>
                <w:szCs w:val="20"/>
                <w:color w:val="auto"/>
              </w:rPr>
            </w:pPr>
            <w:r>
              <w:rPr>
                <w:rFonts w:ascii="Arial" w:cs="Arial" w:eastAsia="Arial" w:hAnsi="Arial"/>
                <w:sz w:val="12"/>
                <w:szCs w:val="12"/>
                <w:color w:val="auto"/>
              </w:rPr>
              <w:t>1,500,000</w:t>
            </w:r>
          </w:p>
        </w:tc>
        <w:tc>
          <w:tcPr>
            <w:tcW w:w="7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1040" w:type="dxa"/>
            <w:vAlign w:val="bottom"/>
          </w:tcPr>
          <w:p>
            <w:pPr>
              <w:ind w:left="60"/>
              <w:spacing w:after="0"/>
              <w:rPr>
                <w:sz w:val="20"/>
                <w:szCs w:val="20"/>
                <w:color w:val="auto"/>
              </w:rPr>
            </w:pPr>
            <w:r>
              <w:rPr>
                <w:rFonts w:ascii="Arial" w:cs="Arial" w:eastAsia="Arial" w:hAnsi="Arial"/>
                <w:sz w:val="12"/>
                <w:szCs w:val="12"/>
                <w:b w:val="1"/>
                <w:bCs w:val="1"/>
                <w:color w:val="B95827"/>
              </w:rPr>
              <w:t>Greg Gates</w:t>
            </w:r>
          </w:p>
        </w:tc>
        <w:tc>
          <w:tcPr>
            <w:tcW w:w="660" w:type="dxa"/>
            <w:vAlign w:val="bottom"/>
            <w:gridSpan w:val="2"/>
          </w:tcPr>
          <w:p>
            <w:pPr>
              <w:jc w:val="right"/>
              <w:spacing w:after="0"/>
              <w:rPr>
                <w:sz w:val="20"/>
                <w:szCs w:val="20"/>
                <w:color w:val="auto"/>
              </w:rPr>
            </w:pPr>
            <w:r>
              <w:rPr>
                <w:rFonts w:ascii="Arial" w:cs="Arial" w:eastAsia="Arial" w:hAnsi="Arial"/>
                <w:sz w:val="12"/>
                <w:szCs w:val="12"/>
                <w:color w:val="auto"/>
              </w:rPr>
              <w:t>2/7/2025</w:t>
            </w:r>
          </w:p>
        </w:tc>
        <w:tc>
          <w:tcPr>
            <w:tcW w:w="980" w:type="dxa"/>
            <w:vAlign w:val="bottom"/>
          </w:tcPr>
          <w:p>
            <w:pPr>
              <w:jc w:val="right"/>
              <w:ind w:right="320"/>
              <w:spacing w:after="0"/>
              <w:rPr>
                <w:sz w:val="20"/>
                <w:szCs w:val="20"/>
                <w:color w:val="auto"/>
              </w:rPr>
            </w:pPr>
            <w:r>
              <w:rPr>
                <w:rFonts w:ascii="Arial" w:cs="Arial" w:eastAsia="Arial" w:hAnsi="Arial"/>
                <w:sz w:val="12"/>
                <w:szCs w:val="12"/>
                <w:color w:val="auto"/>
              </w:rPr>
              <w:t>2/25/2025</w:t>
            </w:r>
          </w:p>
        </w:tc>
        <w:tc>
          <w:tcPr>
            <w:tcW w:w="24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80" w:type="dxa"/>
            <w:vAlign w:val="bottom"/>
          </w:tcPr>
          <w:p>
            <w:pPr>
              <w:jc w:val="right"/>
              <w:ind w:right="20"/>
              <w:spacing w:after="0"/>
              <w:rPr>
                <w:sz w:val="20"/>
                <w:szCs w:val="20"/>
                <w:color w:val="auto"/>
              </w:rPr>
            </w:pPr>
            <w:r>
              <w:rPr>
                <w:rFonts w:ascii="Arial" w:cs="Arial" w:eastAsia="Arial" w:hAnsi="Arial"/>
                <w:sz w:val="12"/>
                <w:szCs w:val="12"/>
                <w:color w:val="auto"/>
              </w:rPr>
              <w:t>2,157</w:t>
            </w:r>
          </w:p>
        </w:tc>
        <w:tc>
          <w:tcPr>
            <w:tcW w:w="600" w:type="dxa"/>
            <w:vAlign w:val="bottom"/>
          </w:tcPr>
          <w:p>
            <w:pPr>
              <w:jc w:val="right"/>
              <w:spacing w:after="0"/>
              <w:rPr>
                <w:sz w:val="20"/>
                <w:szCs w:val="20"/>
                <w:color w:val="auto"/>
              </w:rPr>
            </w:pPr>
            <w:r>
              <w:rPr>
                <w:rFonts w:ascii="Arial" w:cs="Arial" w:eastAsia="Arial" w:hAnsi="Arial"/>
                <w:sz w:val="12"/>
                <w:szCs w:val="12"/>
                <w:color w:val="auto"/>
              </w:rPr>
              <w:t>765,430</w:t>
            </w:r>
          </w:p>
        </w:tc>
        <w:tc>
          <w:tcPr>
            <w:tcW w:w="0" w:type="dxa"/>
            <w:vAlign w:val="bottom"/>
          </w:tcPr>
          <w:p>
            <w:pPr>
              <w:spacing w:after="0"/>
              <w:rPr>
                <w:sz w:val="1"/>
                <w:szCs w:val="1"/>
                <w:color w:val="auto"/>
              </w:rPr>
            </w:pPr>
          </w:p>
        </w:tc>
      </w:tr>
      <w:tr>
        <w:trPr>
          <w:trHeight w:val="173"/>
        </w:trPr>
        <w:tc>
          <w:tcPr>
            <w:tcW w:w="1040" w:type="dxa"/>
            <w:vAlign w:val="bottom"/>
          </w:tcPr>
          <w:p>
            <w:pPr>
              <w:spacing w:after="0"/>
              <w:rPr>
                <w:sz w:val="15"/>
                <w:szCs w:val="15"/>
                <w:color w:val="auto"/>
              </w:rPr>
            </w:pPr>
          </w:p>
        </w:tc>
        <w:tc>
          <w:tcPr>
            <w:tcW w:w="660" w:type="dxa"/>
            <w:vAlign w:val="bottom"/>
            <w:gridSpan w:val="2"/>
          </w:tcPr>
          <w:p>
            <w:pPr>
              <w:jc w:val="right"/>
              <w:spacing w:after="0"/>
              <w:rPr>
                <w:sz w:val="20"/>
                <w:szCs w:val="20"/>
                <w:color w:val="auto"/>
              </w:rPr>
            </w:pPr>
            <w:r>
              <w:rPr>
                <w:rFonts w:ascii="Arial" w:cs="Arial" w:eastAsia="Arial" w:hAnsi="Arial"/>
                <w:sz w:val="12"/>
                <w:szCs w:val="12"/>
                <w:color w:val="auto"/>
              </w:rPr>
              <w:t>2/7/2025</w:t>
            </w:r>
          </w:p>
        </w:tc>
        <w:tc>
          <w:tcPr>
            <w:tcW w:w="980" w:type="dxa"/>
            <w:vAlign w:val="bottom"/>
          </w:tcPr>
          <w:p>
            <w:pPr>
              <w:jc w:val="right"/>
              <w:ind w:right="320"/>
              <w:spacing w:after="0"/>
              <w:rPr>
                <w:sz w:val="20"/>
                <w:szCs w:val="20"/>
                <w:color w:val="auto"/>
              </w:rPr>
            </w:pPr>
            <w:r>
              <w:rPr>
                <w:rFonts w:ascii="Arial" w:cs="Arial" w:eastAsia="Arial" w:hAnsi="Arial"/>
                <w:sz w:val="12"/>
                <w:szCs w:val="12"/>
                <w:color w:val="auto"/>
              </w:rPr>
              <w:t>2/25/2025</w:t>
            </w:r>
          </w:p>
        </w:tc>
        <w:tc>
          <w:tcPr>
            <w:tcW w:w="2440" w:type="dxa"/>
            <w:vAlign w:val="bottom"/>
          </w:tcPr>
          <w:p>
            <w:pPr>
              <w:jc w:val="right"/>
              <w:ind w:right="180"/>
              <w:spacing w:after="0"/>
              <w:rPr>
                <w:sz w:val="20"/>
                <w:szCs w:val="20"/>
                <w:color w:val="auto"/>
              </w:rPr>
            </w:pPr>
            <w:r>
              <w:rPr>
                <w:rFonts w:ascii="Arial" w:cs="Arial" w:eastAsia="Arial" w:hAnsi="Arial"/>
                <w:sz w:val="12"/>
                <w:szCs w:val="12"/>
                <w:color w:val="auto"/>
              </w:rPr>
              <w:t>1,618</w:t>
            </w:r>
          </w:p>
        </w:tc>
        <w:tc>
          <w:tcPr>
            <w:tcW w:w="720" w:type="dxa"/>
            <w:vAlign w:val="bottom"/>
          </w:tcPr>
          <w:p>
            <w:pPr>
              <w:jc w:val="right"/>
              <w:ind w:right="120"/>
              <w:spacing w:after="0"/>
              <w:rPr>
                <w:sz w:val="20"/>
                <w:szCs w:val="20"/>
                <w:color w:val="auto"/>
              </w:rPr>
            </w:pPr>
            <w:r>
              <w:rPr>
                <w:rFonts w:ascii="Arial" w:cs="Arial" w:eastAsia="Arial" w:hAnsi="Arial"/>
                <w:sz w:val="12"/>
                <w:szCs w:val="12"/>
                <w:color w:val="auto"/>
              </w:rPr>
              <w:t>3,236</w:t>
            </w:r>
          </w:p>
        </w:tc>
        <w:tc>
          <w:tcPr>
            <w:tcW w:w="1480" w:type="dxa"/>
            <w:vAlign w:val="bottom"/>
          </w:tcPr>
          <w:p>
            <w:pPr>
              <w:jc w:val="right"/>
              <w:ind w:right="860"/>
              <w:spacing w:after="0"/>
              <w:rPr>
                <w:sz w:val="20"/>
                <w:szCs w:val="20"/>
                <w:color w:val="auto"/>
              </w:rPr>
            </w:pPr>
            <w:r>
              <w:rPr>
                <w:rFonts w:ascii="Arial" w:cs="Arial" w:eastAsia="Arial" w:hAnsi="Arial"/>
                <w:sz w:val="12"/>
                <w:szCs w:val="12"/>
                <w:color w:val="auto"/>
              </w:rPr>
              <w:t>6,472</w:t>
            </w:r>
          </w:p>
        </w:tc>
        <w:tc>
          <w:tcPr>
            <w:tcW w:w="600" w:type="dxa"/>
            <w:vAlign w:val="bottom"/>
          </w:tcPr>
          <w:p>
            <w:pPr>
              <w:jc w:val="right"/>
              <w:spacing w:after="0"/>
              <w:rPr>
                <w:sz w:val="20"/>
                <w:szCs w:val="20"/>
                <w:color w:val="auto"/>
              </w:rPr>
            </w:pPr>
            <w:r>
              <w:rPr>
                <w:rFonts w:ascii="Arial" w:cs="Arial" w:eastAsia="Arial" w:hAnsi="Arial"/>
                <w:sz w:val="12"/>
                <w:szCs w:val="12"/>
                <w:color w:val="auto"/>
              </w:rPr>
              <w:t>1,506,358</w:t>
            </w:r>
          </w:p>
        </w:tc>
        <w:tc>
          <w:tcPr>
            <w:tcW w:w="0" w:type="dxa"/>
            <w:vAlign w:val="bottom"/>
          </w:tcPr>
          <w:p>
            <w:pPr>
              <w:spacing w:after="0"/>
              <w:rPr>
                <w:sz w:val="1"/>
                <w:szCs w:val="1"/>
                <w:color w:val="auto"/>
              </w:rPr>
            </w:pPr>
          </w:p>
        </w:tc>
      </w:tr>
      <w:tr>
        <w:trPr>
          <w:trHeight w:val="39"/>
        </w:trPr>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980" w:type="dxa"/>
            <w:vAlign w:val="bottom"/>
          </w:tcPr>
          <w:p>
            <w:pPr>
              <w:spacing w:after="0"/>
              <w:rPr>
                <w:sz w:val="3"/>
                <w:szCs w:val="3"/>
                <w:color w:val="auto"/>
              </w:rPr>
            </w:pPr>
          </w:p>
        </w:tc>
        <w:tc>
          <w:tcPr>
            <w:tcW w:w="2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480" w:type="dxa"/>
            <w:vAlign w:val="bottom"/>
          </w:tcPr>
          <w:p>
            <w:pPr>
              <w:spacing w:after="0"/>
              <w:rPr>
                <w:sz w:val="3"/>
                <w:szCs w:val="3"/>
                <w:color w:val="auto"/>
              </w:rPr>
            </w:pPr>
          </w:p>
        </w:tc>
        <w:tc>
          <w:tcPr>
            <w:tcW w:w="6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7"/>
        </w:trPr>
        <w:tc>
          <w:tcPr>
            <w:tcW w:w="1040" w:type="dxa"/>
            <w:vAlign w:val="bottom"/>
            <w:vMerge w:val="restart"/>
            <w:shd w:val="clear" w:color="auto" w:fill="F7F1EC"/>
          </w:tcPr>
          <w:p>
            <w:pPr>
              <w:ind w:left="60"/>
              <w:spacing w:after="0"/>
              <w:rPr>
                <w:sz w:val="20"/>
                <w:szCs w:val="20"/>
                <w:color w:val="auto"/>
              </w:rPr>
            </w:pPr>
            <w:r>
              <w:rPr>
                <w:rFonts w:ascii="Arial" w:cs="Arial" w:eastAsia="Arial" w:hAnsi="Arial"/>
                <w:sz w:val="12"/>
                <w:szCs w:val="12"/>
                <w:b w:val="1"/>
                <w:bCs w:val="1"/>
                <w:color w:val="B95827"/>
              </w:rPr>
              <w:t>Aneri</w:t>
            </w:r>
          </w:p>
        </w:tc>
        <w:tc>
          <w:tcPr>
            <w:tcW w:w="80" w:type="dxa"/>
            <w:vAlign w:val="bottom"/>
            <w:shd w:val="clear" w:color="auto" w:fill="F7F1EC"/>
          </w:tcPr>
          <w:p>
            <w:pPr>
              <w:spacing w:after="0"/>
              <w:rPr>
                <w:sz w:val="18"/>
                <w:szCs w:val="18"/>
                <w:color w:val="auto"/>
              </w:rPr>
            </w:pPr>
          </w:p>
        </w:tc>
        <w:tc>
          <w:tcPr>
            <w:tcW w:w="580" w:type="dxa"/>
            <w:vAlign w:val="bottom"/>
            <w:shd w:val="clear" w:color="auto" w:fill="F7F1EC"/>
          </w:tcPr>
          <w:p>
            <w:pPr>
              <w:spacing w:after="0"/>
              <w:rPr>
                <w:sz w:val="18"/>
                <w:szCs w:val="18"/>
                <w:color w:val="auto"/>
              </w:rPr>
            </w:pPr>
          </w:p>
        </w:tc>
        <w:tc>
          <w:tcPr>
            <w:tcW w:w="980" w:type="dxa"/>
            <w:vAlign w:val="bottom"/>
            <w:shd w:val="clear" w:color="auto" w:fill="F7F1EC"/>
          </w:tcPr>
          <w:p>
            <w:pPr>
              <w:spacing w:after="0"/>
              <w:rPr>
                <w:sz w:val="18"/>
                <w:szCs w:val="18"/>
                <w:color w:val="auto"/>
              </w:rPr>
            </w:pPr>
          </w:p>
        </w:tc>
        <w:tc>
          <w:tcPr>
            <w:tcW w:w="2440" w:type="dxa"/>
            <w:vAlign w:val="bottom"/>
            <w:shd w:val="clear" w:color="auto" w:fill="F7F1EC"/>
          </w:tcPr>
          <w:p>
            <w:pPr>
              <w:jc w:val="right"/>
              <w:ind w:right="1480"/>
              <w:spacing w:after="0"/>
              <w:rPr>
                <w:sz w:val="20"/>
                <w:szCs w:val="20"/>
                <w:color w:val="auto"/>
              </w:rPr>
            </w:pPr>
            <w:r>
              <w:rPr>
                <w:rFonts w:ascii="Arial" w:cs="Arial" w:eastAsia="Arial" w:hAnsi="Arial"/>
                <w:sz w:val="12"/>
                <w:szCs w:val="12"/>
                <w:color w:val="auto"/>
              </w:rPr>
              <w:t>750,000</w:t>
            </w:r>
          </w:p>
        </w:tc>
        <w:tc>
          <w:tcPr>
            <w:tcW w:w="720" w:type="dxa"/>
            <w:vAlign w:val="bottom"/>
            <w:shd w:val="clear" w:color="auto" w:fill="F7F1EC"/>
          </w:tcPr>
          <w:p>
            <w:pPr>
              <w:spacing w:after="0"/>
              <w:rPr>
                <w:sz w:val="18"/>
                <w:szCs w:val="18"/>
                <w:color w:val="auto"/>
              </w:rPr>
            </w:pPr>
          </w:p>
        </w:tc>
        <w:tc>
          <w:tcPr>
            <w:tcW w:w="1480" w:type="dxa"/>
            <w:vAlign w:val="bottom"/>
            <w:shd w:val="clear" w:color="auto" w:fill="F7F1EC"/>
          </w:tcPr>
          <w:p>
            <w:pPr>
              <w:spacing w:after="0"/>
              <w:rPr>
                <w:sz w:val="18"/>
                <w:szCs w:val="18"/>
                <w:color w:val="auto"/>
              </w:rPr>
            </w:pPr>
          </w:p>
        </w:tc>
        <w:tc>
          <w:tcPr>
            <w:tcW w:w="600" w:type="dxa"/>
            <w:vAlign w:val="bottom"/>
            <w:shd w:val="clear" w:color="auto" w:fill="F7F1EC"/>
          </w:tcPr>
          <w:p>
            <w:pPr>
              <w:spacing w:after="0"/>
              <w:rPr>
                <w:sz w:val="18"/>
                <w:szCs w:val="18"/>
                <w:color w:val="auto"/>
              </w:rPr>
            </w:pPr>
          </w:p>
        </w:tc>
        <w:tc>
          <w:tcPr>
            <w:tcW w:w="0" w:type="dxa"/>
            <w:vAlign w:val="bottom"/>
          </w:tcPr>
          <w:p>
            <w:pPr>
              <w:spacing w:after="0"/>
              <w:rPr>
                <w:sz w:val="1"/>
                <w:szCs w:val="1"/>
                <w:color w:val="auto"/>
              </w:rPr>
            </w:pPr>
          </w:p>
        </w:tc>
      </w:tr>
      <w:tr>
        <w:trPr>
          <w:trHeight w:val="85"/>
        </w:trPr>
        <w:tc>
          <w:tcPr>
            <w:tcW w:w="1040" w:type="dxa"/>
            <w:vAlign w:val="bottom"/>
            <w:vMerge w:val="continue"/>
            <w:shd w:val="clear" w:color="auto" w:fill="F7F1EC"/>
          </w:tcPr>
          <w:p>
            <w:pPr>
              <w:spacing w:after="0"/>
              <w:rPr>
                <w:sz w:val="7"/>
                <w:szCs w:val="7"/>
                <w:color w:val="auto"/>
              </w:rPr>
            </w:pPr>
          </w:p>
        </w:tc>
        <w:tc>
          <w:tcPr>
            <w:tcW w:w="80" w:type="dxa"/>
            <w:vAlign w:val="bottom"/>
            <w:shd w:val="clear" w:color="auto" w:fill="F7F1EC"/>
          </w:tcPr>
          <w:p>
            <w:pPr>
              <w:spacing w:after="0"/>
              <w:rPr>
                <w:sz w:val="7"/>
                <w:szCs w:val="7"/>
                <w:color w:val="auto"/>
              </w:rPr>
            </w:pPr>
          </w:p>
        </w:tc>
        <w:tc>
          <w:tcPr>
            <w:tcW w:w="580" w:type="dxa"/>
            <w:vAlign w:val="bottom"/>
            <w:vMerge w:val="restart"/>
            <w:shd w:val="clear" w:color="auto" w:fill="F7F1EC"/>
          </w:tcPr>
          <w:p>
            <w:pPr>
              <w:jc w:val="right"/>
              <w:spacing w:after="0"/>
              <w:rPr>
                <w:sz w:val="20"/>
                <w:szCs w:val="20"/>
                <w:color w:val="auto"/>
              </w:rPr>
            </w:pPr>
            <w:r>
              <w:rPr>
                <w:rFonts w:ascii="Arial" w:cs="Arial" w:eastAsia="Arial" w:hAnsi="Arial"/>
                <w:sz w:val="12"/>
                <w:szCs w:val="12"/>
                <w:color w:val="auto"/>
              </w:rPr>
              <w:t>2/7/2025</w:t>
            </w:r>
          </w:p>
        </w:tc>
        <w:tc>
          <w:tcPr>
            <w:tcW w:w="980" w:type="dxa"/>
            <w:vAlign w:val="bottom"/>
            <w:vMerge w:val="restart"/>
            <w:shd w:val="clear" w:color="auto" w:fill="F7F1EC"/>
          </w:tcPr>
          <w:p>
            <w:pPr>
              <w:jc w:val="right"/>
              <w:ind w:right="320"/>
              <w:spacing w:after="0"/>
              <w:rPr>
                <w:sz w:val="20"/>
                <w:szCs w:val="20"/>
                <w:color w:val="auto"/>
              </w:rPr>
            </w:pPr>
            <w:r>
              <w:rPr>
                <w:rFonts w:ascii="Arial" w:cs="Arial" w:eastAsia="Arial" w:hAnsi="Arial"/>
                <w:sz w:val="12"/>
                <w:szCs w:val="12"/>
                <w:color w:val="auto"/>
              </w:rPr>
              <w:t>2/25/2025</w:t>
            </w:r>
          </w:p>
        </w:tc>
        <w:tc>
          <w:tcPr>
            <w:tcW w:w="2440" w:type="dxa"/>
            <w:vAlign w:val="bottom"/>
            <w:shd w:val="clear" w:color="auto" w:fill="F7F1EC"/>
          </w:tcPr>
          <w:p>
            <w:pPr>
              <w:spacing w:after="0"/>
              <w:rPr>
                <w:sz w:val="7"/>
                <w:szCs w:val="7"/>
                <w:color w:val="auto"/>
              </w:rPr>
            </w:pPr>
          </w:p>
        </w:tc>
        <w:tc>
          <w:tcPr>
            <w:tcW w:w="720" w:type="dxa"/>
            <w:vAlign w:val="bottom"/>
            <w:shd w:val="clear" w:color="auto" w:fill="F7F1EC"/>
          </w:tcPr>
          <w:p>
            <w:pPr>
              <w:spacing w:after="0"/>
              <w:rPr>
                <w:sz w:val="7"/>
                <w:szCs w:val="7"/>
                <w:color w:val="auto"/>
              </w:rPr>
            </w:pPr>
          </w:p>
        </w:tc>
        <w:tc>
          <w:tcPr>
            <w:tcW w:w="1480" w:type="dxa"/>
            <w:vAlign w:val="bottom"/>
            <w:vMerge w:val="restart"/>
            <w:shd w:val="clear" w:color="auto" w:fill="F7F1EC"/>
          </w:tcPr>
          <w:p>
            <w:pPr>
              <w:jc w:val="right"/>
              <w:ind w:right="20"/>
              <w:spacing w:after="0"/>
              <w:rPr>
                <w:sz w:val="20"/>
                <w:szCs w:val="20"/>
                <w:color w:val="auto"/>
              </w:rPr>
            </w:pPr>
            <w:r>
              <w:rPr>
                <w:rFonts w:ascii="Arial" w:cs="Arial" w:eastAsia="Arial" w:hAnsi="Arial"/>
                <w:sz w:val="12"/>
                <w:szCs w:val="12"/>
                <w:color w:val="auto"/>
              </w:rPr>
              <w:t>1,106</w:t>
            </w:r>
          </w:p>
        </w:tc>
        <w:tc>
          <w:tcPr>
            <w:tcW w:w="600" w:type="dxa"/>
            <w:vAlign w:val="bottom"/>
            <w:vMerge w:val="restart"/>
            <w:shd w:val="clear" w:color="auto" w:fill="F7F1EC"/>
          </w:tcPr>
          <w:p>
            <w:pPr>
              <w:jc w:val="right"/>
              <w:spacing w:after="0"/>
              <w:rPr>
                <w:sz w:val="20"/>
                <w:szCs w:val="20"/>
                <w:color w:val="auto"/>
              </w:rPr>
            </w:pPr>
            <w:r>
              <w:rPr>
                <w:rFonts w:ascii="Arial" w:cs="Arial" w:eastAsia="Arial" w:hAnsi="Arial"/>
                <w:sz w:val="12"/>
                <w:szCs w:val="12"/>
                <w:color w:val="auto"/>
              </w:rPr>
              <w:t>392,474</w:t>
            </w:r>
          </w:p>
        </w:tc>
        <w:tc>
          <w:tcPr>
            <w:tcW w:w="0" w:type="dxa"/>
            <w:vAlign w:val="bottom"/>
          </w:tcPr>
          <w:p>
            <w:pPr>
              <w:spacing w:after="0"/>
              <w:rPr>
                <w:sz w:val="1"/>
                <w:szCs w:val="1"/>
                <w:color w:val="auto"/>
              </w:rPr>
            </w:pPr>
          </w:p>
        </w:tc>
      </w:tr>
      <w:tr>
        <w:trPr>
          <w:trHeight w:val="94"/>
        </w:trPr>
        <w:tc>
          <w:tcPr>
            <w:tcW w:w="1040" w:type="dxa"/>
            <w:vAlign w:val="bottom"/>
            <w:vMerge w:val="restart"/>
            <w:shd w:val="clear" w:color="auto" w:fill="F7F1EC"/>
          </w:tcPr>
          <w:p>
            <w:pPr>
              <w:ind w:left="60"/>
              <w:spacing w:after="0" w:line="133" w:lineRule="exact"/>
              <w:rPr>
                <w:sz w:val="20"/>
                <w:szCs w:val="20"/>
                <w:color w:val="auto"/>
              </w:rPr>
            </w:pPr>
            <w:r>
              <w:rPr>
                <w:rFonts w:ascii="Arial" w:cs="Arial" w:eastAsia="Arial" w:hAnsi="Arial"/>
                <w:sz w:val="12"/>
                <w:szCs w:val="12"/>
                <w:b w:val="1"/>
                <w:bCs w:val="1"/>
                <w:color w:val="B95827"/>
              </w:rPr>
              <w:t>Jambusaria</w:t>
            </w:r>
          </w:p>
        </w:tc>
        <w:tc>
          <w:tcPr>
            <w:tcW w:w="80" w:type="dxa"/>
            <w:vAlign w:val="bottom"/>
            <w:shd w:val="clear" w:color="auto" w:fill="F7F1EC"/>
          </w:tcPr>
          <w:p>
            <w:pPr>
              <w:spacing w:after="0"/>
              <w:rPr>
                <w:sz w:val="8"/>
                <w:szCs w:val="8"/>
                <w:color w:val="auto"/>
              </w:rPr>
            </w:pPr>
          </w:p>
        </w:tc>
        <w:tc>
          <w:tcPr>
            <w:tcW w:w="580" w:type="dxa"/>
            <w:vAlign w:val="bottom"/>
            <w:vMerge w:val="continue"/>
            <w:shd w:val="clear" w:color="auto" w:fill="F7F1EC"/>
          </w:tcPr>
          <w:p>
            <w:pPr>
              <w:spacing w:after="0"/>
              <w:rPr>
                <w:sz w:val="8"/>
                <w:szCs w:val="8"/>
                <w:color w:val="auto"/>
              </w:rPr>
            </w:pPr>
          </w:p>
        </w:tc>
        <w:tc>
          <w:tcPr>
            <w:tcW w:w="980" w:type="dxa"/>
            <w:vAlign w:val="bottom"/>
            <w:vMerge w:val="continue"/>
            <w:shd w:val="clear" w:color="auto" w:fill="F7F1EC"/>
          </w:tcPr>
          <w:p>
            <w:pPr>
              <w:spacing w:after="0"/>
              <w:rPr>
                <w:sz w:val="8"/>
                <w:szCs w:val="8"/>
                <w:color w:val="auto"/>
              </w:rPr>
            </w:pPr>
          </w:p>
        </w:tc>
        <w:tc>
          <w:tcPr>
            <w:tcW w:w="2440" w:type="dxa"/>
            <w:vAlign w:val="bottom"/>
            <w:shd w:val="clear" w:color="auto" w:fill="F7F1EC"/>
          </w:tcPr>
          <w:p>
            <w:pPr>
              <w:spacing w:after="0"/>
              <w:rPr>
                <w:sz w:val="8"/>
                <w:szCs w:val="8"/>
                <w:color w:val="auto"/>
              </w:rPr>
            </w:pPr>
          </w:p>
        </w:tc>
        <w:tc>
          <w:tcPr>
            <w:tcW w:w="720" w:type="dxa"/>
            <w:vAlign w:val="bottom"/>
            <w:shd w:val="clear" w:color="auto" w:fill="F7F1EC"/>
          </w:tcPr>
          <w:p>
            <w:pPr>
              <w:spacing w:after="0"/>
              <w:rPr>
                <w:sz w:val="8"/>
                <w:szCs w:val="8"/>
                <w:color w:val="auto"/>
              </w:rPr>
            </w:pPr>
          </w:p>
        </w:tc>
        <w:tc>
          <w:tcPr>
            <w:tcW w:w="1480" w:type="dxa"/>
            <w:vAlign w:val="bottom"/>
            <w:vMerge w:val="continue"/>
            <w:shd w:val="clear" w:color="auto" w:fill="F7F1EC"/>
          </w:tcPr>
          <w:p>
            <w:pPr>
              <w:spacing w:after="0"/>
              <w:rPr>
                <w:sz w:val="8"/>
                <w:szCs w:val="8"/>
                <w:color w:val="auto"/>
              </w:rPr>
            </w:pPr>
          </w:p>
        </w:tc>
        <w:tc>
          <w:tcPr>
            <w:tcW w:w="600" w:type="dxa"/>
            <w:vAlign w:val="bottom"/>
            <w:vMerge w:val="continue"/>
            <w:shd w:val="clear" w:color="auto" w:fill="F7F1EC"/>
          </w:tcPr>
          <w:p>
            <w:pPr>
              <w:spacing w:after="0"/>
              <w:rPr>
                <w:sz w:val="8"/>
                <w:szCs w:val="8"/>
                <w:color w:val="auto"/>
              </w:rPr>
            </w:pPr>
          </w:p>
        </w:tc>
        <w:tc>
          <w:tcPr>
            <w:tcW w:w="0" w:type="dxa"/>
            <w:vAlign w:val="bottom"/>
          </w:tcPr>
          <w:p>
            <w:pPr>
              <w:spacing w:after="0"/>
              <w:rPr>
                <w:sz w:val="1"/>
                <w:szCs w:val="1"/>
                <w:color w:val="auto"/>
              </w:rPr>
            </w:pPr>
          </w:p>
        </w:tc>
      </w:tr>
      <w:tr>
        <w:trPr>
          <w:trHeight w:val="39"/>
        </w:trPr>
        <w:tc>
          <w:tcPr>
            <w:tcW w:w="1040" w:type="dxa"/>
            <w:vAlign w:val="bottom"/>
            <w:vMerge w:val="continue"/>
            <w:shd w:val="clear" w:color="auto" w:fill="F7F1EC"/>
          </w:tcPr>
          <w:p>
            <w:pPr>
              <w:spacing w:after="0"/>
              <w:rPr>
                <w:sz w:val="3"/>
                <w:szCs w:val="3"/>
                <w:color w:val="auto"/>
              </w:rPr>
            </w:pPr>
          </w:p>
        </w:tc>
        <w:tc>
          <w:tcPr>
            <w:tcW w:w="80" w:type="dxa"/>
            <w:vAlign w:val="bottom"/>
            <w:shd w:val="clear" w:color="auto" w:fill="F7F1EC"/>
          </w:tcPr>
          <w:p>
            <w:pPr>
              <w:spacing w:after="0"/>
              <w:rPr>
                <w:sz w:val="3"/>
                <w:szCs w:val="3"/>
                <w:color w:val="auto"/>
              </w:rPr>
            </w:pPr>
          </w:p>
        </w:tc>
        <w:tc>
          <w:tcPr>
            <w:tcW w:w="580" w:type="dxa"/>
            <w:vAlign w:val="bottom"/>
            <w:vMerge w:val="restart"/>
            <w:shd w:val="clear" w:color="auto" w:fill="F7F1EC"/>
          </w:tcPr>
          <w:p>
            <w:pPr>
              <w:jc w:val="right"/>
              <w:spacing w:after="0"/>
              <w:rPr>
                <w:sz w:val="20"/>
                <w:szCs w:val="20"/>
                <w:color w:val="auto"/>
              </w:rPr>
            </w:pPr>
            <w:r>
              <w:rPr>
                <w:rFonts w:ascii="Arial" w:cs="Arial" w:eastAsia="Arial" w:hAnsi="Arial"/>
                <w:sz w:val="12"/>
                <w:szCs w:val="12"/>
                <w:color w:val="auto"/>
              </w:rPr>
              <w:t>2/7/2025</w:t>
            </w:r>
          </w:p>
        </w:tc>
        <w:tc>
          <w:tcPr>
            <w:tcW w:w="980" w:type="dxa"/>
            <w:vAlign w:val="bottom"/>
            <w:vMerge w:val="restart"/>
            <w:shd w:val="clear" w:color="auto" w:fill="F7F1EC"/>
          </w:tcPr>
          <w:p>
            <w:pPr>
              <w:jc w:val="right"/>
              <w:ind w:right="320"/>
              <w:spacing w:after="0"/>
              <w:rPr>
                <w:sz w:val="20"/>
                <w:szCs w:val="20"/>
                <w:color w:val="auto"/>
              </w:rPr>
            </w:pPr>
            <w:r>
              <w:rPr>
                <w:rFonts w:ascii="Arial" w:cs="Arial" w:eastAsia="Arial" w:hAnsi="Arial"/>
                <w:sz w:val="12"/>
                <w:szCs w:val="12"/>
                <w:color w:val="auto"/>
              </w:rPr>
              <w:t>2/25/2025</w:t>
            </w:r>
          </w:p>
        </w:tc>
        <w:tc>
          <w:tcPr>
            <w:tcW w:w="2440" w:type="dxa"/>
            <w:vAlign w:val="bottom"/>
            <w:vMerge w:val="restart"/>
            <w:shd w:val="clear" w:color="auto" w:fill="F7F1EC"/>
          </w:tcPr>
          <w:p>
            <w:pPr>
              <w:jc w:val="right"/>
              <w:ind w:right="180"/>
              <w:spacing w:after="0"/>
              <w:rPr>
                <w:sz w:val="20"/>
                <w:szCs w:val="20"/>
                <w:color w:val="auto"/>
              </w:rPr>
            </w:pPr>
            <w:r>
              <w:rPr>
                <w:rFonts w:ascii="Arial" w:cs="Arial" w:eastAsia="Arial" w:hAnsi="Arial"/>
                <w:sz w:val="12"/>
                <w:szCs w:val="12"/>
                <w:color w:val="auto"/>
              </w:rPr>
              <w:t>830</w:t>
            </w:r>
          </w:p>
        </w:tc>
        <w:tc>
          <w:tcPr>
            <w:tcW w:w="720" w:type="dxa"/>
            <w:vAlign w:val="bottom"/>
            <w:vMerge w:val="restart"/>
            <w:shd w:val="clear" w:color="auto" w:fill="F7F1EC"/>
          </w:tcPr>
          <w:p>
            <w:pPr>
              <w:jc w:val="right"/>
              <w:ind w:right="120"/>
              <w:spacing w:after="0"/>
              <w:rPr>
                <w:sz w:val="20"/>
                <w:szCs w:val="20"/>
                <w:color w:val="auto"/>
              </w:rPr>
            </w:pPr>
            <w:r>
              <w:rPr>
                <w:rFonts w:ascii="Arial" w:cs="Arial" w:eastAsia="Arial" w:hAnsi="Arial"/>
                <w:sz w:val="12"/>
                <w:szCs w:val="12"/>
                <w:color w:val="auto"/>
              </w:rPr>
              <w:t>1,659</w:t>
            </w:r>
          </w:p>
        </w:tc>
        <w:tc>
          <w:tcPr>
            <w:tcW w:w="1480" w:type="dxa"/>
            <w:vAlign w:val="bottom"/>
            <w:vMerge w:val="restart"/>
            <w:shd w:val="clear" w:color="auto" w:fill="F7F1EC"/>
          </w:tcPr>
          <w:p>
            <w:pPr>
              <w:jc w:val="right"/>
              <w:ind w:right="860"/>
              <w:spacing w:after="0"/>
              <w:rPr>
                <w:sz w:val="20"/>
                <w:szCs w:val="20"/>
                <w:color w:val="auto"/>
              </w:rPr>
            </w:pPr>
            <w:r>
              <w:rPr>
                <w:rFonts w:ascii="Arial" w:cs="Arial" w:eastAsia="Arial" w:hAnsi="Arial"/>
                <w:sz w:val="12"/>
                <w:szCs w:val="12"/>
                <w:color w:val="auto"/>
              </w:rPr>
              <w:t>3,318</w:t>
            </w:r>
          </w:p>
        </w:tc>
        <w:tc>
          <w:tcPr>
            <w:tcW w:w="600" w:type="dxa"/>
            <w:vAlign w:val="bottom"/>
            <w:vMerge w:val="restart"/>
            <w:shd w:val="clear" w:color="auto" w:fill="F7F1EC"/>
          </w:tcPr>
          <w:p>
            <w:pPr>
              <w:jc w:val="right"/>
              <w:spacing w:after="0"/>
              <w:rPr>
                <w:sz w:val="20"/>
                <w:szCs w:val="20"/>
                <w:color w:val="auto"/>
              </w:rPr>
            </w:pPr>
            <w:r>
              <w:rPr>
                <w:rFonts w:ascii="Arial" w:cs="Arial" w:eastAsia="Arial" w:hAnsi="Arial"/>
                <w:sz w:val="12"/>
                <w:szCs w:val="12"/>
                <w:color w:val="auto"/>
              </w:rPr>
              <w:t>772,265</w:t>
            </w:r>
          </w:p>
        </w:tc>
        <w:tc>
          <w:tcPr>
            <w:tcW w:w="0" w:type="dxa"/>
            <w:vAlign w:val="bottom"/>
          </w:tcPr>
          <w:p>
            <w:pPr>
              <w:spacing w:after="0" w:line="20" w:lineRule="exact"/>
              <w:rPr>
                <w:sz w:val="1"/>
                <w:szCs w:val="1"/>
                <w:color w:val="auto"/>
              </w:rPr>
            </w:pPr>
          </w:p>
        </w:tc>
      </w:tr>
      <w:tr>
        <w:trPr>
          <w:trHeight w:val="140"/>
        </w:trPr>
        <w:tc>
          <w:tcPr>
            <w:tcW w:w="1040" w:type="dxa"/>
            <w:vAlign w:val="bottom"/>
            <w:shd w:val="clear" w:color="auto" w:fill="F7F1EC"/>
          </w:tcPr>
          <w:p>
            <w:pPr>
              <w:spacing w:after="0"/>
              <w:rPr>
                <w:sz w:val="12"/>
                <w:szCs w:val="12"/>
                <w:color w:val="auto"/>
              </w:rPr>
            </w:pPr>
          </w:p>
        </w:tc>
        <w:tc>
          <w:tcPr>
            <w:tcW w:w="80" w:type="dxa"/>
            <w:vAlign w:val="bottom"/>
            <w:shd w:val="clear" w:color="auto" w:fill="F7F1EC"/>
          </w:tcPr>
          <w:p>
            <w:pPr>
              <w:spacing w:after="0"/>
              <w:rPr>
                <w:sz w:val="12"/>
                <w:szCs w:val="12"/>
                <w:color w:val="auto"/>
              </w:rPr>
            </w:pPr>
          </w:p>
        </w:tc>
        <w:tc>
          <w:tcPr>
            <w:tcW w:w="580" w:type="dxa"/>
            <w:vAlign w:val="bottom"/>
            <w:vMerge w:val="continue"/>
            <w:shd w:val="clear" w:color="auto" w:fill="F7F1EC"/>
          </w:tcPr>
          <w:p>
            <w:pPr>
              <w:spacing w:after="0"/>
              <w:rPr>
                <w:sz w:val="12"/>
                <w:szCs w:val="12"/>
                <w:color w:val="auto"/>
              </w:rPr>
            </w:pPr>
          </w:p>
        </w:tc>
        <w:tc>
          <w:tcPr>
            <w:tcW w:w="980" w:type="dxa"/>
            <w:vAlign w:val="bottom"/>
            <w:vMerge w:val="continue"/>
            <w:shd w:val="clear" w:color="auto" w:fill="F7F1EC"/>
          </w:tcPr>
          <w:p>
            <w:pPr>
              <w:spacing w:after="0"/>
              <w:rPr>
                <w:sz w:val="12"/>
                <w:szCs w:val="12"/>
                <w:color w:val="auto"/>
              </w:rPr>
            </w:pPr>
          </w:p>
        </w:tc>
        <w:tc>
          <w:tcPr>
            <w:tcW w:w="2440" w:type="dxa"/>
            <w:vAlign w:val="bottom"/>
            <w:vMerge w:val="continue"/>
            <w:shd w:val="clear" w:color="auto" w:fill="F7F1EC"/>
          </w:tcPr>
          <w:p>
            <w:pPr>
              <w:spacing w:after="0"/>
              <w:rPr>
                <w:sz w:val="12"/>
                <w:szCs w:val="12"/>
                <w:color w:val="auto"/>
              </w:rPr>
            </w:pPr>
          </w:p>
        </w:tc>
        <w:tc>
          <w:tcPr>
            <w:tcW w:w="720" w:type="dxa"/>
            <w:vAlign w:val="bottom"/>
            <w:vMerge w:val="continue"/>
            <w:shd w:val="clear" w:color="auto" w:fill="F7F1EC"/>
          </w:tcPr>
          <w:p>
            <w:pPr>
              <w:spacing w:after="0"/>
              <w:rPr>
                <w:sz w:val="12"/>
                <w:szCs w:val="12"/>
                <w:color w:val="auto"/>
              </w:rPr>
            </w:pPr>
          </w:p>
        </w:tc>
        <w:tc>
          <w:tcPr>
            <w:tcW w:w="1480" w:type="dxa"/>
            <w:vAlign w:val="bottom"/>
            <w:vMerge w:val="continue"/>
            <w:shd w:val="clear" w:color="auto" w:fill="F7F1EC"/>
          </w:tcPr>
          <w:p>
            <w:pPr>
              <w:spacing w:after="0"/>
              <w:rPr>
                <w:sz w:val="12"/>
                <w:szCs w:val="12"/>
                <w:color w:val="auto"/>
              </w:rPr>
            </w:pPr>
          </w:p>
        </w:tc>
        <w:tc>
          <w:tcPr>
            <w:tcW w:w="600" w:type="dxa"/>
            <w:vAlign w:val="bottom"/>
            <w:vMerge w:val="continue"/>
            <w:shd w:val="clear" w:color="auto" w:fill="F7F1EC"/>
          </w:tcPr>
          <w:p>
            <w:pPr>
              <w:spacing w:after="0"/>
              <w:rPr>
                <w:sz w:val="12"/>
                <w:szCs w:val="12"/>
                <w:color w:val="auto"/>
              </w:rPr>
            </w:pPr>
          </w:p>
        </w:tc>
        <w:tc>
          <w:tcPr>
            <w:tcW w:w="0" w:type="dxa"/>
            <w:vAlign w:val="bottom"/>
          </w:tcPr>
          <w:p>
            <w:pPr>
              <w:spacing w:after="0"/>
              <w:rPr>
                <w:sz w:val="1"/>
                <w:szCs w:val="1"/>
                <w:color w:val="auto"/>
              </w:rPr>
            </w:pPr>
          </w:p>
        </w:tc>
      </w:tr>
      <w:tr>
        <w:trPr>
          <w:trHeight w:val="39"/>
        </w:trPr>
        <w:tc>
          <w:tcPr>
            <w:tcW w:w="1040" w:type="dxa"/>
            <w:vAlign w:val="bottom"/>
            <w:shd w:val="clear" w:color="auto" w:fill="F7F1EC"/>
          </w:tcPr>
          <w:p>
            <w:pPr>
              <w:spacing w:after="0"/>
              <w:rPr>
                <w:sz w:val="3"/>
                <w:szCs w:val="3"/>
                <w:color w:val="auto"/>
              </w:rPr>
            </w:pPr>
          </w:p>
        </w:tc>
        <w:tc>
          <w:tcPr>
            <w:tcW w:w="80" w:type="dxa"/>
            <w:vAlign w:val="bottom"/>
            <w:shd w:val="clear" w:color="auto" w:fill="F7F1EC"/>
          </w:tcPr>
          <w:p>
            <w:pPr>
              <w:spacing w:after="0"/>
              <w:rPr>
                <w:sz w:val="3"/>
                <w:szCs w:val="3"/>
                <w:color w:val="auto"/>
              </w:rPr>
            </w:pPr>
          </w:p>
        </w:tc>
        <w:tc>
          <w:tcPr>
            <w:tcW w:w="580" w:type="dxa"/>
            <w:vAlign w:val="bottom"/>
            <w:shd w:val="clear" w:color="auto" w:fill="F7F1EC"/>
          </w:tcPr>
          <w:p>
            <w:pPr>
              <w:spacing w:after="0"/>
              <w:rPr>
                <w:sz w:val="3"/>
                <w:szCs w:val="3"/>
                <w:color w:val="auto"/>
              </w:rPr>
            </w:pPr>
          </w:p>
        </w:tc>
        <w:tc>
          <w:tcPr>
            <w:tcW w:w="980" w:type="dxa"/>
            <w:vAlign w:val="bottom"/>
            <w:shd w:val="clear" w:color="auto" w:fill="F7F1EC"/>
          </w:tcPr>
          <w:p>
            <w:pPr>
              <w:spacing w:after="0"/>
              <w:rPr>
                <w:sz w:val="3"/>
                <w:szCs w:val="3"/>
                <w:color w:val="auto"/>
              </w:rPr>
            </w:pPr>
          </w:p>
        </w:tc>
        <w:tc>
          <w:tcPr>
            <w:tcW w:w="2440" w:type="dxa"/>
            <w:vAlign w:val="bottom"/>
            <w:shd w:val="clear" w:color="auto" w:fill="F7F1EC"/>
          </w:tcPr>
          <w:p>
            <w:pPr>
              <w:spacing w:after="0"/>
              <w:rPr>
                <w:sz w:val="3"/>
                <w:szCs w:val="3"/>
                <w:color w:val="auto"/>
              </w:rPr>
            </w:pPr>
          </w:p>
        </w:tc>
        <w:tc>
          <w:tcPr>
            <w:tcW w:w="720" w:type="dxa"/>
            <w:vAlign w:val="bottom"/>
            <w:shd w:val="clear" w:color="auto" w:fill="F7F1EC"/>
          </w:tcPr>
          <w:p>
            <w:pPr>
              <w:spacing w:after="0"/>
              <w:rPr>
                <w:sz w:val="3"/>
                <w:szCs w:val="3"/>
                <w:color w:val="auto"/>
              </w:rPr>
            </w:pPr>
          </w:p>
        </w:tc>
        <w:tc>
          <w:tcPr>
            <w:tcW w:w="1480" w:type="dxa"/>
            <w:vAlign w:val="bottom"/>
            <w:shd w:val="clear" w:color="auto" w:fill="F7F1EC"/>
          </w:tcPr>
          <w:p>
            <w:pPr>
              <w:spacing w:after="0"/>
              <w:rPr>
                <w:sz w:val="3"/>
                <w:szCs w:val="3"/>
                <w:color w:val="auto"/>
              </w:rPr>
            </w:pPr>
          </w:p>
        </w:tc>
        <w:tc>
          <w:tcPr>
            <w:tcW w:w="600" w:type="dxa"/>
            <w:vAlign w:val="bottom"/>
            <w:shd w:val="clear" w:color="auto" w:fill="F7F1EC"/>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97" w:lineRule="exact"/>
        <w:rPr>
          <w:sz w:val="20"/>
          <w:szCs w:val="20"/>
          <w:color w:val="auto"/>
        </w:rPr>
      </w:pPr>
    </w:p>
    <w:p>
      <w:pPr>
        <w:jc w:val="both"/>
        <w:ind w:left="780" w:right="140" w:hanging="241"/>
        <w:spacing w:after="0" w:line="239" w:lineRule="auto"/>
        <w:tabs>
          <w:tab w:leader="none" w:pos="780" w:val="left"/>
        </w:tabs>
        <w:numPr>
          <w:ilvl w:val="0"/>
          <w:numId w:val="97"/>
        </w:numPr>
        <w:rPr>
          <w:rFonts w:ascii="Arial" w:cs="Arial" w:eastAsia="Arial" w:hAnsi="Arial"/>
          <w:sz w:val="12"/>
          <w:szCs w:val="12"/>
          <w:color w:val="auto"/>
        </w:rPr>
      </w:pPr>
      <w:r>
        <w:rPr>
          <w:rFonts w:ascii="Arial" w:cs="Arial" w:eastAsia="Arial" w:hAnsi="Arial"/>
          <w:sz w:val="12"/>
          <w:szCs w:val="12"/>
          <w:color w:val="auto"/>
        </w:rPr>
        <w:t>Represents the target annual cash bonus award opportunity established for each NEO in 2025. For information about the cash bonuses actually awarded to each NEO for 2025 (paid on March 6, 2026), please see “Individual Cash Bonus Award Determinations” in the CD&amp;A and footnote 2 to the Summary Compensation Table above.</w:t>
      </w:r>
    </w:p>
    <w:p>
      <w:pPr>
        <w:spacing w:after="0" w:line="34" w:lineRule="exact"/>
        <w:rPr>
          <w:rFonts w:ascii="Arial" w:cs="Arial" w:eastAsia="Arial" w:hAnsi="Arial"/>
          <w:sz w:val="12"/>
          <w:szCs w:val="12"/>
          <w:color w:val="auto"/>
        </w:rPr>
      </w:pPr>
    </w:p>
    <w:p>
      <w:pPr>
        <w:ind w:left="780" w:right="100" w:hanging="241"/>
        <w:spacing w:after="0" w:line="226" w:lineRule="auto"/>
        <w:tabs>
          <w:tab w:leader="none" w:pos="780" w:val="left"/>
        </w:tabs>
        <w:numPr>
          <w:ilvl w:val="0"/>
          <w:numId w:val="97"/>
        </w:numPr>
        <w:rPr>
          <w:rFonts w:ascii="Arial" w:cs="Arial" w:eastAsia="Arial" w:hAnsi="Arial"/>
          <w:sz w:val="12"/>
          <w:szCs w:val="12"/>
          <w:color w:val="auto"/>
        </w:rPr>
      </w:pPr>
      <w:r>
        <w:rPr>
          <w:rFonts w:ascii="Arial" w:cs="Arial" w:eastAsia="Arial" w:hAnsi="Arial"/>
          <w:sz w:val="12"/>
          <w:szCs w:val="12"/>
          <w:color w:val="auto"/>
        </w:rPr>
        <w:t>Represents the number of threshold, target and maximum potential future payouts under the PSUs awarded under our 2021 Plan. PSUs are eligible to become earned PSUs based on the Company’s TSR relative to the TSR of the Comparator Group (as defined above) over the Performance Period (as defined above). The number of PSUs that is earned is determined based on the Company’s relative ranking between the 25th and the 80th percentiles of the Comparator Group’s TSR results. Amounts in the threshold column (50% of the target award) reflect the number of PSUs that would be earned if threshold performance were achieved (a TSR percentile rank at 25%); amounts in the target column (100% of the target award) reflect the number of PSUs that would be earned if target performance were achieved (a TSR percentile rank at 50%); and amounts in the maximum column (200% of the target award) reflect the number of PSUs that would be earned if maximum performance were achieved (a TSR percentile rank at or above 80%). The number of PSUs earned between threshold, target and maximum performance levels is interpolated on a straight-line basis between performance levels. No PSUs will be earned if performance is below the threshold level. The number of earned PSUs is capped at 100% of the target award if the Company’s TSR is negative during the Performance Period. Earned PSUs become vested on the later of the third anniversary of the grant date and the date on which the Compensation Committee determines the level of achievement of the performance criteria associated with the award and the number of PSUs that have become earned under the award agreement.</w:t>
      </w:r>
    </w:p>
    <w:p>
      <w:pPr>
        <w:spacing w:after="0" w:line="33" w:lineRule="exact"/>
        <w:rPr>
          <w:rFonts w:ascii="Arial" w:cs="Arial" w:eastAsia="Arial" w:hAnsi="Arial"/>
          <w:sz w:val="12"/>
          <w:szCs w:val="12"/>
          <w:color w:val="auto"/>
        </w:rPr>
      </w:pPr>
    </w:p>
    <w:p>
      <w:pPr>
        <w:ind w:left="780" w:right="140" w:hanging="241"/>
        <w:spacing w:after="0" w:line="256" w:lineRule="auto"/>
        <w:tabs>
          <w:tab w:leader="none" w:pos="780" w:val="left"/>
        </w:tabs>
        <w:numPr>
          <w:ilvl w:val="0"/>
          <w:numId w:val="97"/>
        </w:numPr>
        <w:rPr>
          <w:rFonts w:ascii="Arial" w:cs="Arial" w:eastAsia="Arial" w:hAnsi="Arial"/>
          <w:sz w:val="12"/>
          <w:szCs w:val="12"/>
          <w:color w:val="auto"/>
        </w:rPr>
      </w:pPr>
      <w:r>
        <w:rPr>
          <w:rFonts w:ascii="Arial" w:cs="Arial" w:eastAsia="Arial" w:hAnsi="Arial"/>
          <w:sz w:val="12"/>
          <w:szCs w:val="12"/>
          <w:color w:val="auto"/>
        </w:rPr>
        <w:t>Represents the number of RSUs awarded under our 2021 Plan. RSUs are scheduled to vest over a three-year period in equal tranches, with the first tranche scheduled to vest on the first anniversary of the grant date.</w:t>
      </w:r>
    </w:p>
    <w:p>
      <w:pPr>
        <w:spacing w:after="0" w:line="24" w:lineRule="exact"/>
        <w:rPr>
          <w:rFonts w:ascii="Arial" w:cs="Arial" w:eastAsia="Arial" w:hAnsi="Arial"/>
          <w:sz w:val="12"/>
          <w:szCs w:val="12"/>
          <w:color w:val="auto"/>
        </w:rPr>
      </w:pPr>
    </w:p>
    <w:p>
      <w:pPr>
        <w:ind w:left="780" w:right="100" w:hanging="241"/>
        <w:spacing w:after="0" w:line="232" w:lineRule="auto"/>
        <w:tabs>
          <w:tab w:leader="none" w:pos="780" w:val="left"/>
        </w:tabs>
        <w:numPr>
          <w:ilvl w:val="0"/>
          <w:numId w:val="97"/>
        </w:numPr>
        <w:rPr>
          <w:rFonts w:ascii="Arial" w:cs="Arial" w:eastAsia="Arial" w:hAnsi="Arial"/>
          <w:sz w:val="12"/>
          <w:szCs w:val="12"/>
          <w:color w:val="auto"/>
        </w:rPr>
      </w:pPr>
      <w:r>
        <w:rPr>
          <w:rFonts w:ascii="Arial" w:cs="Arial" w:eastAsia="Arial" w:hAnsi="Arial"/>
          <w:sz w:val="12"/>
          <w:szCs w:val="12"/>
          <w:color w:val="auto"/>
        </w:rPr>
        <w:t>Represents the grant date fair value of PSUs and RSUs, in each case computed in accordance with FASB ASC Topic 718, and in the case of PSUs, based on the probable outcome of the performance conditions associated with such awards on the grant date. The aggregate grant date fair value of RSUs was determined based on the closing price of our Common Stock on the grant date (or, if the grant date was not a trading day, the closing price on the trading day that immediately precedes the grant date), discounted to reflect the absence of dividend rights in connection with such awards. See footnote 1 to the Summary Compensation Table above.</w:t>
      </w:r>
    </w:p>
    <w:p>
      <w:pPr>
        <w:spacing w:after="0" w:line="20" w:lineRule="exact"/>
        <w:rPr>
          <w:sz w:val="20"/>
          <w:szCs w:val="20"/>
          <w:color w:val="auto"/>
        </w:rPr>
      </w:pPr>
      <w:r>
        <w:rPr>
          <w:sz w:val="20"/>
          <w:szCs w:val="20"/>
          <w:color w:val="auto"/>
        </w:rPr>
        <w:br w:type="column"/>
      </w:r>
    </w:p>
    <w:p>
      <w:pPr>
        <w:spacing w:after="0" w:line="44" w:lineRule="exact"/>
        <w:rPr>
          <w:sz w:val="20"/>
          <w:szCs w:val="20"/>
          <w:color w:val="auto"/>
        </w:rPr>
      </w:pPr>
    </w:p>
    <w:p>
      <w:pPr>
        <w:spacing w:after="0"/>
        <w:rPr>
          <w:sz w:val="20"/>
          <w:szCs w:val="20"/>
          <w:color w:val="auto"/>
        </w:rPr>
      </w:pPr>
      <w:r>
        <w:rPr>
          <w:rFonts w:ascii="Arial" w:cs="Arial" w:eastAsia="Arial" w:hAnsi="Arial"/>
          <w:sz w:val="12"/>
          <w:szCs w:val="12"/>
          <w:color w:val="FFFFFF"/>
        </w:rPr>
        <w:t>Compensation</w:t>
      </w:r>
    </w:p>
    <w:p>
      <w:pPr>
        <w:spacing w:after="0" w:line="224" w:lineRule="auto"/>
        <w:rPr>
          <w:sz w:val="20"/>
          <w:szCs w:val="20"/>
          <w:color w:val="auto"/>
        </w:rPr>
      </w:pPr>
      <w:r>
        <w:rPr>
          <w:rFonts w:ascii="Arial" w:cs="Arial" w:eastAsia="Arial" w:hAnsi="Arial"/>
          <w:sz w:val="12"/>
          <w:szCs w:val="12"/>
          <w:color w:val="FFFFFF"/>
        </w:rPr>
        <w:t>Discussion and</w:t>
      </w:r>
    </w:p>
    <w:p>
      <w:pPr>
        <w:spacing w:after="0"/>
        <w:rPr>
          <w:sz w:val="20"/>
          <w:szCs w:val="20"/>
          <w:color w:val="auto"/>
        </w:rPr>
      </w:pPr>
      <w:r>
        <w:rPr>
          <w:rFonts w:ascii="Arial" w:cs="Arial" w:eastAsia="Arial" w:hAnsi="Arial"/>
          <w:sz w:val="12"/>
          <w:szCs w:val="12"/>
          <w:color w:val="FFFFFF"/>
        </w:rPr>
        <w:t>Analysis</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Report of the</w:t>
      </w:r>
    </w:p>
    <w:p>
      <w:pPr>
        <w:spacing w:after="0" w:line="224" w:lineRule="auto"/>
        <w:rPr>
          <w:sz w:val="20"/>
          <w:szCs w:val="20"/>
          <w:color w:val="auto"/>
        </w:rPr>
      </w:pPr>
      <w:r>
        <w:rPr>
          <w:rFonts w:ascii="Arial" w:cs="Arial" w:eastAsia="Arial" w:hAnsi="Arial"/>
          <w:sz w:val="12"/>
          <w:szCs w:val="12"/>
          <w:color w:val="FFFFFF"/>
        </w:rPr>
        <w:t>Compensation</w:t>
      </w:r>
    </w:p>
    <w:p>
      <w:pPr>
        <w:spacing w:after="0" w:line="222" w:lineRule="auto"/>
        <w:rPr>
          <w:sz w:val="20"/>
          <w:szCs w:val="20"/>
          <w:color w:val="auto"/>
        </w:rPr>
      </w:pPr>
      <w:r>
        <w:rPr>
          <w:rFonts w:ascii="Arial" w:cs="Arial" w:eastAsia="Arial" w:hAnsi="Arial"/>
          <w:sz w:val="12"/>
          <w:szCs w:val="12"/>
          <w:color w:val="FFFFFF"/>
        </w:rPr>
        <w:t>and Human</w:t>
      </w:r>
    </w:p>
    <w:p>
      <w:pPr>
        <w:spacing w:after="0" w:line="222" w:lineRule="auto"/>
        <w:rPr>
          <w:sz w:val="20"/>
          <w:szCs w:val="20"/>
          <w:color w:val="auto"/>
        </w:rPr>
      </w:pPr>
      <w:r>
        <w:rPr>
          <w:rFonts w:ascii="Arial" w:cs="Arial" w:eastAsia="Arial" w:hAnsi="Arial"/>
          <w:sz w:val="12"/>
          <w:szCs w:val="12"/>
          <w:color w:val="FFFFFF"/>
        </w:rPr>
        <w:t>Resources</w:t>
      </w:r>
    </w:p>
    <w:p>
      <w:pPr>
        <w:spacing w:after="0" w:line="222" w:lineRule="auto"/>
        <w:rPr>
          <w:sz w:val="20"/>
          <w:szCs w:val="20"/>
          <w:color w:val="auto"/>
        </w:rPr>
      </w:pPr>
      <w:r>
        <w:rPr>
          <w:rFonts w:ascii="Arial" w:cs="Arial" w:eastAsia="Arial" w:hAnsi="Arial"/>
          <w:sz w:val="12"/>
          <w:szCs w:val="12"/>
          <w:color w:val="FFFFFF"/>
        </w:rPr>
        <w:t>Committee of the</w:t>
      </w:r>
    </w:p>
    <w:p>
      <w:pPr>
        <w:spacing w:after="0"/>
        <w:rPr>
          <w:sz w:val="20"/>
          <w:szCs w:val="20"/>
          <w:color w:val="auto"/>
        </w:rPr>
      </w:pPr>
      <w:r>
        <w:rPr>
          <w:rFonts w:ascii="Arial" w:cs="Arial" w:eastAsia="Arial" w:hAnsi="Arial"/>
          <w:sz w:val="12"/>
          <w:szCs w:val="12"/>
          <w:color w:val="FFFFFF"/>
        </w:rPr>
        <w:t>Board of Directors</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b w:val="1"/>
          <w:bCs w:val="1"/>
          <w:color w:val="FFFFFF"/>
        </w:rPr>
        <w:t>Compensation of</w:t>
      </w:r>
    </w:p>
    <w:p>
      <w:pPr>
        <w:spacing w:after="0" w:line="224" w:lineRule="auto"/>
        <w:rPr>
          <w:sz w:val="20"/>
          <w:szCs w:val="20"/>
          <w:color w:val="auto"/>
        </w:rPr>
      </w:pPr>
      <w:r>
        <w:rPr>
          <w:rFonts w:ascii="Arial" w:cs="Arial" w:eastAsia="Arial" w:hAnsi="Arial"/>
          <w:sz w:val="12"/>
          <w:szCs w:val="12"/>
          <w:b w:val="1"/>
          <w:bCs w:val="1"/>
          <w:color w:val="FFFFFF"/>
        </w:rPr>
        <w:t>Named Executive</w:t>
      </w:r>
    </w:p>
    <w:p>
      <w:pPr>
        <w:spacing w:after="0"/>
        <w:rPr>
          <w:sz w:val="20"/>
          <w:szCs w:val="20"/>
          <w:color w:val="auto"/>
        </w:rPr>
      </w:pPr>
      <w:r>
        <w:rPr>
          <w:rFonts w:ascii="Arial" w:cs="Arial" w:eastAsia="Arial" w:hAnsi="Arial"/>
          <w:sz w:val="12"/>
          <w:szCs w:val="12"/>
          <w:b w:val="1"/>
          <w:bCs w:val="1"/>
          <w:color w:val="FFFFFF"/>
        </w:rPr>
        <w:t>Officers</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Pay Versus</w:t>
      </w:r>
    </w:p>
    <w:p>
      <w:pPr>
        <w:spacing w:after="0" w:line="224" w:lineRule="auto"/>
        <w:rPr>
          <w:sz w:val="20"/>
          <w:szCs w:val="20"/>
          <w:color w:val="auto"/>
        </w:rPr>
      </w:pPr>
      <w:r>
        <w:rPr>
          <w:rFonts w:ascii="Arial" w:cs="Arial" w:eastAsia="Arial" w:hAnsi="Arial"/>
          <w:sz w:val="12"/>
          <w:szCs w:val="12"/>
          <w:color w:val="FFFFFF"/>
        </w:rPr>
        <w:t>Performance</w:t>
      </w:r>
    </w:p>
    <w:p>
      <w:pPr>
        <w:spacing w:after="0"/>
        <w:rPr>
          <w:sz w:val="20"/>
          <w:szCs w:val="20"/>
          <w:color w:val="auto"/>
        </w:rPr>
      </w:pPr>
      <w:r>
        <w:rPr>
          <w:rFonts w:ascii="Arial" w:cs="Arial" w:eastAsia="Arial" w:hAnsi="Arial"/>
          <w:sz w:val="12"/>
          <w:szCs w:val="12"/>
          <w:color w:val="FFFFFF"/>
        </w:rPr>
        <w:t>Disclosure</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Security</w:t>
      </w:r>
    </w:p>
    <w:p>
      <w:pPr>
        <w:spacing w:after="0" w:line="224" w:lineRule="auto"/>
        <w:rPr>
          <w:sz w:val="20"/>
          <w:szCs w:val="20"/>
          <w:color w:val="auto"/>
        </w:rPr>
      </w:pPr>
      <w:r>
        <w:rPr>
          <w:rFonts w:ascii="Arial" w:cs="Arial" w:eastAsia="Arial" w:hAnsi="Arial"/>
          <w:sz w:val="12"/>
          <w:szCs w:val="12"/>
          <w:color w:val="FFFFFF"/>
        </w:rPr>
        <w:t>Ownership of</w:t>
      </w:r>
    </w:p>
    <w:p>
      <w:pPr>
        <w:spacing w:after="0" w:line="222" w:lineRule="auto"/>
        <w:rPr>
          <w:sz w:val="20"/>
          <w:szCs w:val="20"/>
          <w:color w:val="auto"/>
        </w:rPr>
      </w:pPr>
      <w:r>
        <w:rPr>
          <w:rFonts w:ascii="Arial" w:cs="Arial" w:eastAsia="Arial" w:hAnsi="Arial"/>
          <w:sz w:val="12"/>
          <w:szCs w:val="12"/>
          <w:color w:val="FFFFFF"/>
        </w:rPr>
        <w:t>Certain Beneficial</w:t>
      </w:r>
    </w:p>
    <w:p>
      <w:pPr>
        <w:spacing w:after="0" w:line="222" w:lineRule="auto"/>
        <w:rPr>
          <w:sz w:val="20"/>
          <w:szCs w:val="20"/>
          <w:color w:val="auto"/>
        </w:rPr>
      </w:pPr>
      <w:r>
        <w:rPr>
          <w:rFonts w:ascii="Arial" w:cs="Arial" w:eastAsia="Arial" w:hAnsi="Arial"/>
          <w:sz w:val="12"/>
          <w:szCs w:val="12"/>
          <w:color w:val="FFFFFF"/>
        </w:rPr>
        <w:t>Owners and</w:t>
      </w:r>
    </w:p>
    <w:p>
      <w:pPr>
        <w:spacing w:after="0"/>
        <w:rPr>
          <w:sz w:val="20"/>
          <w:szCs w:val="20"/>
          <w:color w:val="auto"/>
        </w:rPr>
      </w:pPr>
      <w:r>
        <w:rPr>
          <w:rFonts w:ascii="Arial" w:cs="Arial" w:eastAsia="Arial" w:hAnsi="Arial"/>
          <w:sz w:val="12"/>
          <w:szCs w:val="12"/>
          <w:color w:val="FFFFFF"/>
        </w:rPr>
        <w:t>Management</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Certain</w:t>
      </w:r>
    </w:p>
    <w:p>
      <w:pPr>
        <w:spacing w:after="0" w:line="224" w:lineRule="auto"/>
        <w:rPr>
          <w:sz w:val="20"/>
          <w:szCs w:val="20"/>
          <w:color w:val="auto"/>
        </w:rPr>
      </w:pPr>
      <w:r>
        <w:rPr>
          <w:rFonts w:ascii="Arial" w:cs="Arial" w:eastAsia="Arial" w:hAnsi="Arial"/>
          <w:sz w:val="12"/>
          <w:szCs w:val="12"/>
          <w:color w:val="FFFFFF"/>
        </w:rPr>
        <w:t>Relationships and</w:t>
      </w:r>
    </w:p>
    <w:p>
      <w:pPr>
        <w:spacing w:after="0" w:line="222" w:lineRule="auto"/>
        <w:rPr>
          <w:sz w:val="20"/>
          <w:szCs w:val="20"/>
          <w:color w:val="auto"/>
        </w:rPr>
      </w:pPr>
      <w:r>
        <w:rPr>
          <w:rFonts w:ascii="Arial" w:cs="Arial" w:eastAsia="Arial" w:hAnsi="Arial"/>
          <w:sz w:val="12"/>
          <w:szCs w:val="12"/>
          <w:color w:val="FFFFFF"/>
        </w:rPr>
        <w:t>Related Party</w:t>
      </w:r>
    </w:p>
    <w:p>
      <w:pPr>
        <w:spacing w:after="0"/>
        <w:rPr>
          <w:sz w:val="20"/>
          <w:szCs w:val="20"/>
          <w:color w:val="auto"/>
        </w:rPr>
      </w:pPr>
      <w:r>
        <w:rPr>
          <w:rFonts w:ascii="Arial" w:cs="Arial" w:eastAsia="Arial" w:hAnsi="Arial"/>
          <w:sz w:val="12"/>
          <w:szCs w:val="12"/>
          <w:color w:val="FFFFFF"/>
        </w:rPr>
        <w:t>Transactions</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Proposal 2</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FFFFFF"/>
        </w:rPr>
        <w:t>Report of the</w:t>
      </w:r>
    </w:p>
    <w:p>
      <w:pPr>
        <w:spacing w:after="0" w:line="224" w:lineRule="auto"/>
        <w:rPr>
          <w:sz w:val="20"/>
          <w:szCs w:val="20"/>
          <w:color w:val="auto"/>
        </w:rPr>
      </w:pPr>
      <w:r>
        <w:rPr>
          <w:rFonts w:ascii="Arial" w:cs="Arial" w:eastAsia="Arial" w:hAnsi="Arial"/>
          <w:sz w:val="12"/>
          <w:szCs w:val="12"/>
          <w:color w:val="FFFFFF"/>
        </w:rPr>
        <w:t>Audit and Risk</w:t>
      </w:r>
    </w:p>
    <w:p>
      <w:pPr>
        <w:spacing w:after="0" w:line="222" w:lineRule="auto"/>
        <w:rPr>
          <w:sz w:val="20"/>
          <w:szCs w:val="20"/>
          <w:color w:val="auto"/>
        </w:rPr>
      </w:pPr>
      <w:r>
        <w:rPr>
          <w:rFonts w:ascii="Arial" w:cs="Arial" w:eastAsia="Arial" w:hAnsi="Arial"/>
          <w:sz w:val="12"/>
          <w:szCs w:val="12"/>
          <w:color w:val="FFFFFF"/>
        </w:rPr>
        <w:t>Committee of the</w:t>
      </w:r>
    </w:p>
    <w:p>
      <w:pPr>
        <w:spacing w:after="0"/>
        <w:rPr>
          <w:sz w:val="20"/>
          <w:szCs w:val="20"/>
          <w:color w:val="auto"/>
        </w:rPr>
      </w:pPr>
      <w:r>
        <w:rPr>
          <w:rFonts w:ascii="Arial" w:cs="Arial" w:eastAsia="Arial" w:hAnsi="Arial"/>
          <w:sz w:val="12"/>
          <w:szCs w:val="12"/>
          <w:color w:val="FFFFFF"/>
        </w:rPr>
        <w:t>Board of Directors</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Proposal 3</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FFFFFF"/>
        </w:rPr>
        <w:t>Proposal 4</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FFFFFF"/>
        </w:rPr>
        <w:t>Proposal 5</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FFFFFF"/>
        </w:rPr>
        <w:t>Proposal 6</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FFFFFF"/>
        </w:rPr>
        <w:t>Stockholder</w:t>
      </w:r>
    </w:p>
    <w:p>
      <w:pPr>
        <w:spacing w:after="0" w:line="224" w:lineRule="auto"/>
        <w:rPr>
          <w:sz w:val="20"/>
          <w:szCs w:val="20"/>
          <w:color w:val="auto"/>
        </w:rPr>
      </w:pPr>
      <w:r>
        <w:rPr>
          <w:rFonts w:ascii="Arial" w:cs="Arial" w:eastAsia="Arial" w:hAnsi="Arial"/>
          <w:sz w:val="12"/>
          <w:szCs w:val="12"/>
          <w:color w:val="FFFFFF"/>
        </w:rPr>
        <w:t>Proposals and</w:t>
      </w:r>
    </w:p>
    <w:p>
      <w:pPr>
        <w:spacing w:after="0"/>
        <w:rPr>
          <w:sz w:val="20"/>
          <w:szCs w:val="20"/>
          <w:color w:val="auto"/>
        </w:rPr>
      </w:pPr>
      <w:r>
        <w:rPr>
          <w:rFonts w:ascii="Arial" w:cs="Arial" w:eastAsia="Arial" w:hAnsi="Arial"/>
          <w:sz w:val="12"/>
          <w:szCs w:val="12"/>
          <w:color w:val="FFFFFF"/>
        </w:rPr>
        <w:t>Other Matters</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Delinquent</w:t>
      </w:r>
    </w:p>
    <w:p>
      <w:pPr>
        <w:spacing w:after="0" w:line="224" w:lineRule="auto"/>
        <w:rPr>
          <w:sz w:val="20"/>
          <w:szCs w:val="20"/>
          <w:color w:val="auto"/>
        </w:rPr>
      </w:pPr>
      <w:r>
        <w:rPr>
          <w:rFonts w:ascii="Arial" w:cs="Arial" w:eastAsia="Arial" w:hAnsi="Arial"/>
          <w:sz w:val="12"/>
          <w:szCs w:val="12"/>
          <w:color w:val="FFFFFF"/>
        </w:rPr>
        <w:t>Section 16(a)</w:t>
      </w:r>
    </w:p>
    <w:p>
      <w:pPr>
        <w:spacing w:after="0"/>
        <w:rPr>
          <w:sz w:val="20"/>
          <w:szCs w:val="20"/>
          <w:color w:val="auto"/>
        </w:rPr>
      </w:pPr>
      <w:r>
        <w:rPr>
          <w:rFonts w:ascii="Arial" w:cs="Arial" w:eastAsia="Arial" w:hAnsi="Arial"/>
          <w:sz w:val="12"/>
          <w:szCs w:val="12"/>
          <w:color w:val="FFFFFF"/>
        </w:rPr>
        <w:t>Reports</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Other</w:t>
      </w:r>
    </w:p>
    <w:p>
      <w:pPr>
        <w:spacing w:after="0" w:line="2" w:lineRule="exact"/>
        <w:rPr>
          <w:sz w:val="20"/>
          <w:szCs w:val="20"/>
          <w:color w:val="auto"/>
        </w:rPr>
      </w:pPr>
    </w:p>
    <w:p>
      <w:pPr>
        <w:spacing w:after="0"/>
        <w:rPr>
          <w:sz w:val="20"/>
          <w:szCs w:val="20"/>
          <w:color w:val="auto"/>
        </w:rPr>
      </w:pPr>
      <w:r>
        <w:rPr>
          <w:rFonts w:ascii="Arial" w:cs="Arial" w:eastAsia="Arial" w:hAnsi="Arial"/>
          <w:sz w:val="12"/>
          <w:szCs w:val="12"/>
          <w:color w:val="FFFFFF"/>
        </w:rPr>
        <w:t>Information</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Appendix A</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FFFFFF"/>
        </w:rPr>
        <w:t>Appendix B</w:t>
      </w:r>
    </w:p>
    <w:p>
      <w:pPr>
        <w:spacing w:after="0" w:line="200" w:lineRule="exact"/>
        <w:rPr>
          <w:sz w:val="20"/>
          <w:szCs w:val="20"/>
          <w:color w:val="auto"/>
        </w:rPr>
      </w:pPr>
    </w:p>
    <w:p>
      <w:pPr>
        <w:sectPr>
          <w:pgSz w:w="11900" w:h="16838" w:orient="portrait"/>
          <w:cols w:equalWidth="0" w:num="2">
            <w:col w:w="8500" w:space="720"/>
            <w:col w:w="1580"/>
          </w:cols>
          <w:pgMar w:left="320" w:top="464" w:right="7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6380"/>
        <w:spacing w:after="0"/>
        <w:tabs>
          <w:tab w:leader="none" w:pos="8500" w:val="left"/>
          <w:tab w:leader="none" w:pos="9960" w:val="left"/>
        </w:tabs>
        <w:rPr>
          <w:sz w:val="20"/>
          <w:szCs w:val="20"/>
          <w:color w:val="auto"/>
        </w:rPr>
      </w:pPr>
      <w:r>
        <w:rPr>
          <w:rFonts w:ascii="Arial" w:cs="Arial" w:eastAsia="Arial" w:hAnsi="Arial"/>
          <w:sz w:val="15"/>
          <w:szCs w:val="15"/>
          <w:b w:val="1"/>
          <w:bCs w:val="1"/>
          <w:color w:val="002B5F"/>
        </w:rPr>
        <w:t xml:space="preserve">2026 Proxy Statement  </w:t>
      </w:r>
      <w:r>
        <w:rPr>
          <w:rFonts w:ascii="Arial" w:cs="Arial" w:eastAsia="Arial" w:hAnsi="Arial"/>
          <w:sz w:val="20"/>
          <w:szCs w:val="20"/>
          <w:color w:val="002B5F"/>
        </w:rPr>
        <w:t>|</w:t>
      </w:r>
      <w:r>
        <w:rPr>
          <w:rFonts w:ascii="Arial" w:cs="Arial" w:eastAsia="Arial" w:hAnsi="Arial"/>
          <w:sz w:val="15"/>
          <w:szCs w:val="15"/>
          <w:b w:val="1"/>
          <w:bCs w:val="1"/>
          <w:color w:val="002B5F"/>
        </w:rPr>
        <w:t xml:space="preserve">  63</w:t>
      </w:r>
      <w:r>
        <w:rPr>
          <w:sz w:val="20"/>
          <w:szCs w:val="20"/>
          <w:color w:val="auto"/>
        </w:rPr>
        <w:tab/>
      </w:r>
      <w:r>
        <w:rPr>
          <w:rFonts w:ascii="Arial" w:cs="Arial" w:eastAsia="Arial" w:hAnsi="Arial"/>
          <w:sz w:val="17"/>
          <w:szCs w:val="17"/>
          <w:color w:val="auto"/>
        </w:rPr>
        <w:t xml:space="preserve">    </w:t>
      </w:r>
      <w:r>
        <w:rPr>
          <w:sz w:val="20"/>
          <w:szCs w:val="20"/>
          <w:color w:val="auto"/>
        </w:rPr>
        <w:tab/>
      </w:r>
      <w:r>
        <w:rPr>
          <w:rFonts w:ascii="Arial" w:cs="Arial" w:eastAsia="Arial" w:hAnsi="Arial"/>
          <w:sz w:val="17"/>
          <w:szCs w:val="17"/>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268605</wp:posOffset>
            </wp:positionH>
            <wp:positionV relativeFrom="paragraph">
              <wp:posOffset>-128905</wp:posOffset>
            </wp:positionV>
            <wp:extent cx="762000" cy="971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62000" cy="97155"/>
                    </a:xfrm>
                    <a:prstGeom prst="rect">
                      <a:avLst/>
                    </a:prstGeom>
                    <a:noFill/>
                  </pic:spPr>
                </pic:pic>
              </a:graphicData>
            </a:graphic>
          </wp:anchor>
        </w:drawing>
      </w:r>
    </w:p>
    <w:p>
      <w:pPr>
        <w:sectPr>
          <w:pgSz w:w="11900" w:h="16838" w:orient="portrait"/>
          <w:cols w:equalWidth="0" w:num="1">
            <w:col w:w="10800"/>
          </w:cols>
          <w:pgMar w:left="320" w:top="464" w:right="779" w:bottom="1440" w:gutter="0" w:footer="0" w:header="0"/>
          <w:type w:val="continuous"/>
        </w:sectPr>
      </w:pPr>
    </w:p>
    <w:bookmarkStart w:id="75" w:name="page76"/>
    <w:bookmarkEnd w:id="75"/>
    <w:p>
      <w:pPr>
        <w:spacing w:after="0"/>
        <w:rPr>
          <w:sz w:val="20"/>
          <w:szCs w:val="20"/>
          <w:color w:val="auto"/>
        </w:rPr>
      </w:pPr>
      <w:r>
        <w:rPr>
          <w:rFonts w:ascii="Times New Roman" w:cs="Times New Roman" w:eastAsia="Times New Roman" w:hAnsi="Times New Roman"/>
          <w:sz w:val="17"/>
          <w:szCs w:val="17"/>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268605</wp:posOffset>
            </wp:positionH>
            <wp:positionV relativeFrom="paragraph">
              <wp:posOffset>253365</wp:posOffset>
            </wp:positionV>
            <wp:extent cx="1183005" cy="745617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1183005" cy="7456170"/>
                    </a:xfrm>
                    <a:prstGeom prst="rect">
                      <a:avLst/>
                    </a:prstGeom>
                    <a:noFill/>
                  </pic:spPr>
                </pic:pic>
              </a:graphicData>
            </a:graphic>
          </wp:anchor>
        </w:drawing>
      </w:r>
    </w:p>
    <w:p>
      <w:pPr>
        <w:spacing w:after="0" w:line="200" w:lineRule="exact"/>
        <w:rPr>
          <w:sz w:val="20"/>
          <w:szCs w:val="20"/>
          <w:color w:val="auto"/>
        </w:rPr>
      </w:pPr>
    </w:p>
    <w:p>
      <w:pPr>
        <w:spacing w:after="0" w:line="304" w:lineRule="exact"/>
        <w:rPr>
          <w:sz w:val="20"/>
          <w:szCs w:val="20"/>
          <w:color w:val="auto"/>
        </w:rPr>
      </w:pPr>
    </w:p>
    <w:p>
      <w:pPr>
        <w:ind w:left="1120" w:right="460" w:hanging="672"/>
        <w:spacing w:after="0" w:line="382" w:lineRule="auto"/>
        <w:tabs>
          <w:tab w:leader="none" w:pos="610" w:val="left"/>
        </w:tabs>
        <w:numPr>
          <w:ilvl w:val="0"/>
          <w:numId w:val="98"/>
        </w:numPr>
        <w:rPr>
          <w:rFonts w:ascii="Arial" w:cs="Arial" w:eastAsia="Arial" w:hAnsi="Arial"/>
          <w:sz w:val="24"/>
          <w:szCs w:val="24"/>
          <w:color w:val="auto"/>
          <w:vertAlign w:val="subscript"/>
        </w:rPr>
      </w:pPr>
      <w:r>
        <w:rPr>
          <w:rFonts w:ascii="Arial" w:cs="Arial" w:eastAsia="Arial" w:hAnsi="Arial"/>
          <w:sz w:val="24"/>
          <w:szCs w:val="24"/>
          <w:color w:val="000000"/>
          <w:vertAlign w:val="subscript"/>
        </w:rPr>
        <w:t xml:space="preserve">     </w:t>
      </w:r>
      <w:r>
        <w:rPr>
          <w:rFonts w:ascii="Arial" w:cs="Arial" w:eastAsia="Arial" w:hAnsi="Arial"/>
          <w:sz w:val="10"/>
          <w:szCs w:val="10"/>
          <w:color w:val="FFFFFF"/>
        </w:rPr>
        <w:t xml:space="preserve"> General Information</w:t>
      </w:r>
    </w:p>
    <w:p>
      <w:pPr>
        <w:spacing w:after="0" w:line="1" w:lineRule="exact"/>
        <w:rPr>
          <w:sz w:val="20"/>
          <w:szCs w:val="20"/>
          <w:color w:val="auto"/>
        </w:rPr>
      </w:pPr>
    </w:p>
    <w:p>
      <w:pPr>
        <w:ind w:left="1120"/>
        <w:spacing w:after="0"/>
        <w:rPr>
          <w:sz w:val="20"/>
          <w:szCs w:val="20"/>
          <w:color w:val="auto"/>
        </w:rPr>
      </w:pPr>
      <w:r>
        <w:rPr>
          <w:rFonts w:ascii="Arial" w:cs="Arial" w:eastAsia="Arial" w:hAnsi="Arial"/>
          <w:sz w:val="11"/>
          <w:szCs w:val="11"/>
          <w:color w:val="FFFFFF"/>
        </w:rPr>
        <w:t>General Information</w:t>
      </w:r>
    </w:p>
    <w:p>
      <w:pPr>
        <w:spacing w:after="0" w:line="3"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About Corporate</w:t>
      </w:r>
    </w:p>
    <w:p>
      <w:pPr>
        <w:ind w:left="1120"/>
        <w:spacing w:after="0" w:line="221" w:lineRule="auto"/>
        <w:rPr>
          <w:sz w:val="20"/>
          <w:szCs w:val="20"/>
          <w:color w:val="auto"/>
        </w:rPr>
      </w:pPr>
      <w:r>
        <w:rPr>
          <w:rFonts w:ascii="Arial" w:cs="Arial" w:eastAsia="Arial" w:hAnsi="Arial"/>
          <w:sz w:val="12"/>
          <w:szCs w:val="12"/>
          <w:color w:val="FFFFFF"/>
        </w:rPr>
        <w:t>Governance</w:t>
      </w:r>
    </w:p>
    <w:p>
      <w:pPr>
        <w:ind w:left="1120"/>
        <w:spacing w:after="0" w:line="222" w:lineRule="auto"/>
        <w:rPr>
          <w:sz w:val="20"/>
          <w:szCs w:val="20"/>
          <w:color w:val="auto"/>
        </w:rPr>
      </w:pPr>
      <w:r>
        <w:rPr>
          <w:rFonts w:ascii="Arial" w:cs="Arial" w:eastAsia="Arial" w:hAnsi="Arial"/>
          <w:sz w:val="12"/>
          <w:szCs w:val="12"/>
          <w:color w:val="FFFFFF"/>
        </w:rPr>
        <w:t>and the Board of</w:t>
      </w:r>
    </w:p>
    <w:p>
      <w:pPr>
        <w:spacing w:after="0" w:line="1"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Directors</w:t>
      </w:r>
    </w:p>
    <w:p>
      <w:pPr>
        <w:spacing w:after="0" w:line="144" w:lineRule="exact"/>
        <w:rPr>
          <w:sz w:val="20"/>
          <w:szCs w:val="20"/>
          <w:color w:val="auto"/>
        </w:rPr>
      </w:pPr>
    </w:p>
    <w:p>
      <w:pPr>
        <w:jc w:val="center"/>
        <w:ind w:left="620"/>
        <w:spacing w:after="0"/>
        <w:rPr>
          <w:sz w:val="20"/>
          <w:szCs w:val="20"/>
          <w:color w:val="auto"/>
        </w:rPr>
      </w:pPr>
      <w:r>
        <w:rPr>
          <w:rFonts w:ascii="Arial" w:cs="Arial" w:eastAsia="Arial" w:hAnsi="Arial"/>
          <w:sz w:val="12"/>
          <w:szCs w:val="12"/>
          <w:color w:val="FFFFFF"/>
        </w:rPr>
        <w:t>Proposal 1</w:t>
      </w:r>
    </w:p>
    <w:p>
      <w:pPr>
        <w:spacing w:after="0" w:line="156"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Information</w:t>
      </w:r>
    </w:p>
    <w:p>
      <w:pPr>
        <w:ind w:left="1120"/>
        <w:spacing w:after="0" w:line="224" w:lineRule="auto"/>
        <w:rPr>
          <w:sz w:val="20"/>
          <w:szCs w:val="20"/>
          <w:color w:val="auto"/>
        </w:rPr>
      </w:pPr>
      <w:r>
        <w:rPr>
          <w:rFonts w:ascii="Arial" w:cs="Arial" w:eastAsia="Arial" w:hAnsi="Arial"/>
          <w:sz w:val="12"/>
          <w:szCs w:val="12"/>
          <w:color w:val="FFFFFF"/>
        </w:rPr>
        <w:t>Regarding Board</w:t>
      </w:r>
    </w:p>
    <w:p>
      <w:pPr>
        <w:ind w:left="1120"/>
        <w:spacing w:after="0" w:line="222" w:lineRule="auto"/>
        <w:rPr>
          <w:sz w:val="20"/>
          <w:szCs w:val="20"/>
          <w:color w:val="auto"/>
        </w:rPr>
      </w:pPr>
      <w:r>
        <w:rPr>
          <w:rFonts w:ascii="Arial" w:cs="Arial" w:eastAsia="Arial" w:hAnsi="Arial"/>
          <w:sz w:val="12"/>
          <w:szCs w:val="12"/>
          <w:color w:val="FFFFFF"/>
        </w:rPr>
        <w:t>and Committee</w:t>
      </w:r>
    </w:p>
    <w:p>
      <w:pPr>
        <w:ind w:left="1120"/>
        <w:spacing w:after="0"/>
        <w:rPr>
          <w:sz w:val="20"/>
          <w:szCs w:val="20"/>
          <w:color w:val="auto"/>
        </w:rPr>
      </w:pPr>
      <w:r>
        <w:rPr>
          <w:rFonts w:ascii="Arial" w:cs="Arial" w:eastAsia="Arial" w:hAnsi="Arial"/>
          <w:sz w:val="12"/>
          <w:szCs w:val="12"/>
          <w:color w:val="FFFFFF"/>
        </w:rPr>
        <w:t>Structure</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Board of Directors</w:t>
      </w:r>
    </w:p>
    <w:p>
      <w:pPr>
        <w:spacing w:after="0" w:line="2"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Compensation</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Compensation</w:t>
      </w:r>
    </w:p>
    <w:p>
      <w:pPr>
        <w:ind w:left="1120"/>
        <w:spacing w:after="0" w:line="224" w:lineRule="auto"/>
        <w:rPr>
          <w:sz w:val="20"/>
          <w:szCs w:val="20"/>
          <w:color w:val="auto"/>
        </w:rPr>
      </w:pPr>
      <w:r>
        <w:rPr>
          <w:rFonts w:ascii="Arial" w:cs="Arial" w:eastAsia="Arial" w:hAnsi="Arial"/>
          <w:sz w:val="12"/>
          <w:szCs w:val="12"/>
          <w:color w:val="FFFFFF"/>
        </w:rPr>
        <w:t>Discussion and</w:t>
      </w:r>
    </w:p>
    <w:p>
      <w:pPr>
        <w:ind w:left="1120"/>
        <w:spacing w:after="0"/>
        <w:rPr>
          <w:sz w:val="20"/>
          <w:szCs w:val="20"/>
          <w:color w:val="auto"/>
        </w:rPr>
      </w:pPr>
      <w:r>
        <w:rPr>
          <w:rFonts w:ascii="Arial" w:cs="Arial" w:eastAsia="Arial" w:hAnsi="Arial"/>
          <w:sz w:val="12"/>
          <w:szCs w:val="12"/>
          <w:color w:val="FFFFFF"/>
        </w:rPr>
        <w:t>Analysis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Report of the</w:t>
      </w:r>
    </w:p>
    <w:p>
      <w:pPr>
        <w:ind w:left="1120"/>
        <w:spacing w:after="0" w:line="224" w:lineRule="auto"/>
        <w:rPr>
          <w:sz w:val="20"/>
          <w:szCs w:val="20"/>
          <w:color w:val="auto"/>
        </w:rPr>
      </w:pPr>
      <w:r>
        <w:rPr>
          <w:rFonts w:ascii="Arial" w:cs="Arial" w:eastAsia="Arial" w:hAnsi="Arial"/>
          <w:sz w:val="12"/>
          <w:szCs w:val="12"/>
          <w:color w:val="FFFFFF"/>
        </w:rPr>
        <w:t>Compensation</w:t>
      </w:r>
    </w:p>
    <w:p>
      <w:pPr>
        <w:ind w:left="1120"/>
        <w:spacing w:after="0" w:line="222" w:lineRule="auto"/>
        <w:rPr>
          <w:sz w:val="20"/>
          <w:szCs w:val="20"/>
          <w:color w:val="auto"/>
        </w:rPr>
      </w:pPr>
      <w:r>
        <w:rPr>
          <w:rFonts w:ascii="Arial" w:cs="Arial" w:eastAsia="Arial" w:hAnsi="Arial"/>
          <w:sz w:val="12"/>
          <w:szCs w:val="12"/>
          <w:color w:val="FFFFFF"/>
        </w:rPr>
        <w:t>and Human</w:t>
      </w:r>
    </w:p>
    <w:p>
      <w:pPr>
        <w:ind w:left="1120"/>
        <w:spacing w:after="0" w:line="222" w:lineRule="auto"/>
        <w:rPr>
          <w:sz w:val="20"/>
          <w:szCs w:val="20"/>
          <w:color w:val="auto"/>
        </w:rPr>
      </w:pPr>
      <w:r>
        <w:rPr>
          <w:rFonts w:ascii="Arial" w:cs="Arial" w:eastAsia="Arial" w:hAnsi="Arial"/>
          <w:sz w:val="12"/>
          <w:szCs w:val="12"/>
          <w:color w:val="FFFFFF"/>
        </w:rPr>
        <w:t>Resources</w:t>
      </w:r>
    </w:p>
    <w:p>
      <w:pPr>
        <w:ind w:left="1120"/>
        <w:spacing w:after="0" w:line="222" w:lineRule="auto"/>
        <w:rPr>
          <w:sz w:val="20"/>
          <w:szCs w:val="20"/>
          <w:color w:val="auto"/>
        </w:rPr>
      </w:pPr>
      <w:r>
        <w:rPr>
          <w:rFonts w:ascii="Arial" w:cs="Arial" w:eastAsia="Arial" w:hAnsi="Arial"/>
          <w:sz w:val="12"/>
          <w:szCs w:val="12"/>
          <w:color w:val="FFFFFF"/>
        </w:rPr>
        <w:t>Committee of the</w:t>
      </w:r>
    </w:p>
    <w:p>
      <w:pPr>
        <w:ind w:left="1120"/>
        <w:spacing w:after="0"/>
        <w:rPr>
          <w:sz w:val="20"/>
          <w:szCs w:val="20"/>
          <w:color w:val="auto"/>
        </w:rPr>
      </w:pPr>
      <w:r>
        <w:rPr>
          <w:rFonts w:ascii="Arial" w:cs="Arial" w:eastAsia="Arial" w:hAnsi="Arial"/>
          <w:sz w:val="12"/>
          <w:szCs w:val="12"/>
          <w:color w:val="FFFFFF"/>
        </w:rPr>
        <w:t>Board of Directors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b w:val="1"/>
          <w:bCs w:val="1"/>
          <w:color w:val="FFFFFF"/>
        </w:rPr>
        <w:t>Compensation of</w:t>
      </w:r>
    </w:p>
    <w:p>
      <w:pPr>
        <w:ind w:left="1120"/>
        <w:spacing w:after="0" w:line="224" w:lineRule="auto"/>
        <w:rPr>
          <w:sz w:val="20"/>
          <w:szCs w:val="20"/>
          <w:color w:val="auto"/>
        </w:rPr>
      </w:pPr>
      <w:r>
        <w:rPr>
          <w:rFonts w:ascii="Arial" w:cs="Arial" w:eastAsia="Arial" w:hAnsi="Arial"/>
          <w:sz w:val="12"/>
          <w:szCs w:val="12"/>
          <w:b w:val="1"/>
          <w:bCs w:val="1"/>
          <w:color w:val="FFFFFF"/>
        </w:rPr>
        <w:t>Named Executive</w:t>
      </w:r>
    </w:p>
    <w:p>
      <w:pPr>
        <w:ind w:left="1120"/>
        <w:spacing w:after="0"/>
        <w:rPr>
          <w:sz w:val="20"/>
          <w:szCs w:val="20"/>
          <w:color w:val="auto"/>
        </w:rPr>
      </w:pPr>
      <w:r>
        <w:rPr>
          <w:rFonts w:ascii="Arial" w:cs="Arial" w:eastAsia="Arial" w:hAnsi="Arial"/>
          <w:sz w:val="12"/>
          <w:szCs w:val="12"/>
          <w:b w:val="1"/>
          <w:bCs w:val="1"/>
          <w:color w:val="FFFFFF"/>
        </w:rPr>
        <w:t>Officers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Pay Versus</w:t>
      </w:r>
    </w:p>
    <w:p>
      <w:pPr>
        <w:ind w:left="1120"/>
        <w:spacing w:after="0" w:line="224" w:lineRule="auto"/>
        <w:rPr>
          <w:sz w:val="20"/>
          <w:szCs w:val="20"/>
          <w:color w:val="auto"/>
        </w:rPr>
      </w:pPr>
      <w:r>
        <w:rPr>
          <w:rFonts w:ascii="Arial" w:cs="Arial" w:eastAsia="Arial" w:hAnsi="Arial"/>
          <w:sz w:val="12"/>
          <w:szCs w:val="12"/>
          <w:color w:val="FFFFFF"/>
        </w:rPr>
        <w:t>Performance</w:t>
      </w:r>
    </w:p>
    <w:p>
      <w:pPr>
        <w:ind w:left="1120"/>
        <w:spacing w:after="0"/>
        <w:rPr>
          <w:sz w:val="20"/>
          <w:szCs w:val="20"/>
          <w:color w:val="auto"/>
        </w:rPr>
      </w:pPr>
      <w:r>
        <w:rPr>
          <w:rFonts w:ascii="Arial" w:cs="Arial" w:eastAsia="Arial" w:hAnsi="Arial"/>
          <w:sz w:val="12"/>
          <w:szCs w:val="12"/>
          <w:color w:val="FFFFFF"/>
        </w:rPr>
        <w:t>Disclosure</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Security</w:t>
      </w:r>
    </w:p>
    <w:p>
      <w:pPr>
        <w:ind w:left="1120"/>
        <w:spacing w:after="0" w:line="224" w:lineRule="auto"/>
        <w:rPr>
          <w:sz w:val="20"/>
          <w:szCs w:val="20"/>
          <w:color w:val="auto"/>
        </w:rPr>
      </w:pPr>
      <w:r>
        <w:rPr>
          <w:rFonts w:ascii="Arial" w:cs="Arial" w:eastAsia="Arial" w:hAnsi="Arial"/>
          <w:sz w:val="12"/>
          <w:szCs w:val="12"/>
          <w:color w:val="FFFFFF"/>
        </w:rPr>
        <w:t>Ownership of</w:t>
      </w:r>
    </w:p>
    <w:p>
      <w:pPr>
        <w:ind w:left="1120"/>
        <w:spacing w:after="0" w:line="222" w:lineRule="auto"/>
        <w:rPr>
          <w:sz w:val="20"/>
          <w:szCs w:val="20"/>
          <w:color w:val="auto"/>
        </w:rPr>
      </w:pPr>
      <w:r>
        <w:rPr>
          <w:rFonts w:ascii="Arial" w:cs="Arial" w:eastAsia="Arial" w:hAnsi="Arial"/>
          <w:sz w:val="12"/>
          <w:szCs w:val="12"/>
          <w:color w:val="FFFFFF"/>
        </w:rPr>
        <w:t>Certain Beneficial</w:t>
      </w:r>
    </w:p>
    <w:p>
      <w:pPr>
        <w:ind w:left="1120"/>
        <w:spacing w:after="0" w:line="222" w:lineRule="auto"/>
        <w:rPr>
          <w:sz w:val="20"/>
          <w:szCs w:val="20"/>
          <w:color w:val="auto"/>
        </w:rPr>
      </w:pPr>
      <w:r>
        <w:rPr>
          <w:rFonts w:ascii="Arial" w:cs="Arial" w:eastAsia="Arial" w:hAnsi="Arial"/>
          <w:sz w:val="12"/>
          <w:szCs w:val="12"/>
          <w:color w:val="FFFFFF"/>
        </w:rPr>
        <w:t>Owners and</w:t>
      </w:r>
    </w:p>
    <w:p>
      <w:pPr>
        <w:ind w:left="1120"/>
        <w:spacing w:after="0"/>
        <w:rPr>
          <w:sz w:val="20"/>
          <w:szCs w:val="20"/>
          <w:color w:val="auto"/>
        </w:rPr>
      </w:pPr>
      <w:r>
        <w:rPr>
          <w:rFonts w:ascii="Arial" w:cs="Arial" w:eastAsia="Arial" w:hAnsi="Arial"/>
          <w:sz w:val="12"/>
          <w:szCs w:val="12"/>
          <w:color w:val="FFFFFF"/>
        </w:rPr>
        <w:t>Management</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Certain</w:t>
      </w:r>
    </w:p>
    <w:p>
      <w:pPr>
        <w:ind w:left="1120"/>
        <w:spacing w:after="0" w:line="224" w:lineRule="auto"/>
        <w:rPr>
          <w:sz w:val="20"/>
          <w:szCs w:val="20"/>
          <w:color w:val="auto"/>
        </w:rPr>
      </w:pPr>
      <w:r>
        <w:rPr>
          <w:rFonts w:ascii="Arial" w:cs="Arial" w:eastAsia="Arial" w:hAnsi="Arial"/>
          <w:sz w:val="12"/>
          <w:szCs w:val="12"/>
          <w:color w:val="FFFFFF"/>
        </w:rPr>
        <w:t>Relationships and</w:t>
      </w:r>
    </w:p>
    <w:p>
      <w:pPr>
        <w:ind w:left="1120"/>
        <w:spacing w:after="0" w:line="222" w:lineRule="auto"/>
        <w:rPr>
          <w:sz w:val="20"/>
          <w:szCs w:val="20"/>
          <w:color w:val="auto"/>
        </w:rPr>
      </w:pPr>
      <w:r>
        <w:rPr>
          <w:rFonts w:ascii="Arial" w:cs="Arial" w:eastAsia="Arial" w:hAnsi="Arial"/>
          <w:sz w:val="12"/>
          <w:szCs w:val="12"/>
          <w:color w:val="FFFFFF"/>
        </w:rPr>
        <w:t>Related Party</w:t>
      </w:r>
    </w:p>
    <w:p>
      <w:pPr>
        <w:ind w:left="1120"/>
        <w:spacing w:after="0"/>
        <w:rPr>
          <w:sz w:val="20"/>
          <w:szCs w:val="20"/>
          <w:color w:val="auto"/>
        </w:rPr>
      </w:pPr>
      <w:r>
        <w:rPr>
          <w:rFonts w:ascii="Arial" w:cs="Arial" w:eastAsia="Arial" w:hAnsi="Arial"/>
          <w:sz w:val="12"/>
          <w:szCs w:val="12"/>
          <w:color w:val="FFFFFF"/>
        </w:rPr>
        <w:t>Transactions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Proposal 2</w:t>
      </w:r>
    </w:p>
    <w:p>
      <w:pPr>
        <w:spacing w:after="0" w:line="156"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Report of the</w:t>
      </w:r>
    </w:p>
    <w:p>
      <w:pPr>
        <w:ind w:left="1120"/>
        <w:spacing w:after="0" w:line="224" w:lineRule="auto"/>
        <w:rPr>
          <w:sz w:val="20"/>
          <w:szCs w:val="20"/>
          <w:color w:val="auto"/>
        </w:rPr>
      </w:pPr>
      <w:r>
        <w:rPr>
          <w:rFonts w:ascii="Arial" w:cs="Arial" w:eastAsia="Arial" w:hAnsi="Arial"/>
          <w:sz w:val="12"/>
          <w:szCs w:val="12"/>
          <w:color w:val="FFFFFF"/>
        </w:rPr>
        <w:t>Audit and Risk</w:t>
      </w:r>
    </w:p>
    <w:p>
      <w:pPr>
        <w:ind w:left="1120"/>
        <w:spacing w:after="0" w:line="222" w:lineRule="auto"/>
        <w:rPr>
          <w:sz w:val="20"/>
          <w:szCs w:val="20"/>
          <w:color w:val="auto"/>
        </w:rPr>
      </w:pPr>
      <w:r>
        <w:rPr>
          <w:rFonts w:ascii="Arial" w:cs="Arial" w:eastAsia="Arial" w:hAnsi="Arial"/>
          <w:sz w:val="12"/>
          <w:szCs w:val="12"/>
          <w:color w:val="FFFFFF"/>
        </w:rPr>
        <w:t>Committee of the</w:t>
      </w:r>
    </w:p>
    <w:p>
      <w:pPr>
        <w:ind w:left="1120"/>
        <w:spacing w:after="0"/>
        <w:rPr>
          <w:sz w:val="20"/>
          <w:szCs w:val="20"/>
          <w:color w:val="auto"/>
        </w:rPr>
      </w:pPr>
      <w:r>
        <w:rPr>
          <w:rFonts w:ascii="Arial" w:cs="Arial" w:eastAsia="Arial" w:hAnsi="Arial"/>
          <w:sz w:val="12"/>
          <w:szCs w:val="12"/>
          <w:color w:val="FFFFFF"/>
        </w:rPr>
        <w:t>Board of Directors</w:t>
      </w:r>
    </w:p>
    <w:p>
      <w:pPr>
        <w:spacing w:after="0" w:line="144" w:lineRule="exact"/>
        <w:rPr>
          <w:sz w:val="20"/>
          <w:szCs w:val="20"/>
          <w:color w:val="auto"/>
        </w:rPr>
      </w:pPr>
    </w:p>
    <w:p>
      <w:pPr>
        <w:jc w:val="center"/>
        <w:ind w:left="620"/>
        <w:spacing w:after="0"/>
        <w:rPr>
          <w:sz w:val="20"/>
          <w:szCs w:val="20"/>
          <w:color w:val="auto"/>
        </w:rPr>
      </w:pPr>
      <w:r>
        <w:rPr>
          <w:rFonts w:ascii="Arial" w:cs="Arial" w:eastAsia="Arial" w:hAnsi="Arial"/>
          <w:sz w:val="12"/>
          <w:szCs w:val="12"/>
          <w:color w:val="FFFFFF"/>
        </w:rPr>
        <w:t>Proposal 3</w:t>
      </w:r>
    </w:p>
    <w:p>
      <w:pPr>
        <w:spacing w:after="0" w:line="156" w:lineRule="exact"/>
        <w:rPr>
          <w:sz w:val="20"/>
          <w:szCs w:val="20"/>
          <w:color w:val="auto"/>
        </w:rPr>
      </w:pPr>
    </w:p>
    <w:p>
      <w:pPr>
        <w:jc w:val="center"/>
        <w:ind w:left="620"/>
        <w:spacing w:after="0"/>
        <w:rPr>
          <w:sz w:val="20"/>
          <w:szCs w:val="20"/>
          <w:color w:val="auto"/>
        </w:rPr>
      </w:pPr>
      <w:r>
        <w:rPr>
          <w:rFonts w:ascii="Arial" w:cs="Arial" w:eastAsia="Arial" w:hAnsi="Arial"/>
          <w:sz w:val="12"/>
          <w:szCs w:val="12"/>
          <w:color w:val="FFFFFF"/>
        </w:rPr>
        <w:t>Proposal 4</w:t>
      </w:r>
    </w:p>
    <w:p>
      <w:pPr>
        <w:spacing w:after="0" w:line="156" w:lineRule="exact"/>
        <w:rPr>
          <w:sz w:val="20"/>
          <w:szCs w:val="20"/>
          <w:color w:val="auto"/>
        </w:rPr>
      </w:pPr>
    </w:p>
    <w:p>
      <w:pPr>
        <w:jc w:val="center"/>
        <w:ind w:left="620"/>
        <w:spacing w:after="0"/>
        <w:rPr>
          <w:sz w:val="20"/>
          <w:szCs w:val="20"/>
          <w:color w:val="auto"/>
        </w:rPr>
      </w:pPr>
      <w:r>
        <w:rPr>
          <w:rFonts w:ascii="Arial" w:cs="Arial" w:eastAsia="Arial" w:hAnsi="Arial"/>
          <w:sz w:val="12"/>
          <w:szCs w:val="12"/>
          <w:color w:val="FFFFFF"/>
        </w:rPr>
        <w:t>Proposal 5</w:t>
      </w:r>
    </w:p>
    <w:p>
      <w:pPr>
        <w:spacing w:after="0" w:line="156"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Proposal 6</w:t>
      </w:r>
    </w:p>
    <w:p>
      <w:pPr>
        <w:spacing w:after="0" w:line="156"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Stockholder</w:t>
      </w:r>
    </w:p>
    <w:p>
      <w:pPr>
        <w:ind w:left="1120"/>
        <w:spacing w:after="0" w:line="224" w:lineRule="auto"/>
        <w:rPr>
          <w:sz w:val="20"/>
          <w:szCs w:val="20"/>
          <w:color w:val="auto"/>
        </w:rPr>
      </w:pPr>
      <w:r>
        <w:rPr>
          <w:rFonts w:ascii="Arial" w:cs="Arial" w:eastAsia="Arial" w:hAnsi="Arial"/>
          <w:sz w:val="12"/>
          <w:szCs w:val="12"/>
          <w:color w:val="FFFFFF"/>
        </w:rPr>
        <w:t>Proposals and</w:t>
      </w:r>
    </w:p>
    <w:p>
      <w:pPr>
        <w:ind w:left="1120"/>
        <w:spacing w:after="0"/>
        <w:rPr>
          <w:sz w:val="20"/>
          <w:szCs w:val="20"/>
          <w:color w:val="auto"/>
        </w:rPr>
      </w:pPr>
      <w:r>
        <w:rPr>
          <w:rFonts w:ascii="Arial" w:cs="Arial" w:eastAsia="Arial" w:hAnsi="Arial"/>
          <w:sz w:val="12"/>
          <w:szCs w:val="12"/>
          <w:color w:val="FFFFFF"/>
        </w:rPr>
        <w:t>Other Matters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Delinquent</w:t>
      </w:r>
    </w:p>
    <w:p>
      <w:pPr>
        <w:ind w:left="1120"/>
        <w:spacing w:after="0" w:line="224" w:lineRule="auto"/>
        <w:rPr>
          <w:sz w:val="20"/>
          <w:szCs w:val="20"/>
          <w:color w:val="auto"/>
        </w:rPr>
      </w:pPr>
      <w:r>
        <w:rPr>
          <w:rFonts w:ascii="Arial" w:cs="Arial" w:eastAsia="Arial" w:hAnsi="Arial"/>
          <w:sz w:val="12"/>
          <w:szCs w:val="12"/>
          <w:color w:val="FFFFFF"/>
        </w:rPr>
        <w:t>Section 16(a)</w:t>
      </w:r>
    </w:p>
    <w:p>
      <w:pPr>
        <w:ind w:left="1120"/>
        <w:spacing w:after="0"/>
        <w:rPr>
          <w:sz w:val="20"/>
          <w:szCs w:val="20"/>
          <w:color w:val="auto"/>
        </w:rPr>
      </w:pPr>
      <w:r>
        <w:rPr>
          <w:rFonts w:ascii="Arial" w:cs="Arial" w:eastAsia="Arial" w:hAnsi="Arial"/>
          <w:sz w:val="12"/>
          <w:szCs w:val="12"/>
          <w:color w:val="FFFFFF"/>
        </w:rPr>
        <w:t>Reports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Other</w:t>
      </w:r>
    </w:p>
    <w:p>
      <w:pPr>
        <w:spacing w:after="0" w:line="2"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Information</w:t>
      </w:r>
    </w:p>
    <w:p>
      <w:pPr>
        <w:spacing w:after="0" w:line="144" w:lineRule="exact"/>
        <w:rPr>
          <w:sz w:val="20"/>
          <w:szCs w:val="20"/>
          <w:color w:val="auto"/>
        </w:rPr>
      </w:pPr>
    </w:p>
    <w:p>
      <w:pPr>
        <w:jc w:val="center"/>
        <w:ind w:left="660"/>
        <w:spacing w:after="0"/>
        <w:rPr>
          <w:sz w:val="20"/>
          <w:szCs w:val="20"/>
          <w:color w:val="auto"/>
        </w:rPr>
      </w:pPr>
      <w:r>
        <w:rPr>
          <w:rFonts w:ascii="Arial" w:cs="Arial" w:eastAsia="Arial" w:hAnsi="Arial"/>
          <w:sz w:val="12"/>
          <w:szCs w:val="12"/>
          <w:color w:val="FFFFFF"/>
        </w:rPr>
        <w:t>Appendix A</w:t>
      </w:r>
    </w:p>
    <w:p>
      <w:pPr>
        <w:spacing w:after="0" w:line="156" w:lineRule="exact"/>
        <w:rPr>
          <w:sz w:val="20"/>
          <w:szCs w:val="20"/>
          <w:color w:val="auto"/>
        </w:rPr>
      </w:pPr>
    </w:p>
    <w:p>
      <w:pPr>
        <w:jc w:val="center"/>
        <w:ind w:left="660"/>
        <w:spacing w:after="0"/>
        <w:rPr>
          <w:sz w:val="20"/>
          <w:szCs w:val="20"/>
          <w:color w:val="auto"/>
        </w:rPr>
      </w:pPr>
      <w:r>
        <w:rPr>
          <w:rFonts w:ascii="Arial" w:cs="Arial" w:eastAsia="Arial" w:hAnsi="Arial"/>
          <w:sz w:val="12"/>
          <w:szCs w:val="12"/>
          <w:color w:val="FFFFFF"/>
        </w:rPr>
        <w:t>Appendix 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24"/>
          <w:szCs w:val="24"/>
          <w:color w:val="B95827"/>
        </w:rPr>
        <w:t>Outstanding Equity Awards at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-1737995</wp:posOffset>
            </wp:positionH>
            <wp:positionV relativeFrom="paragraph">
              <wp:posOffset>-800735</wp:posOffset>
            </wp:positionV>
            <wp:extent cx="7181215" cy="5334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81215" cy="53340"/>
                    </a:xfrm>
                    <a:prstGeom prst="rect">
                      <a:avLst/>
                    </a:prstGeom>
                    <a:noFill/>
                  </pic:spPr>
                </pic:pic>
              </a:graphicData>
            </a:graphic>
          </wp:anchor>
        </w:drawing>
      </w:r>
    </w:p>
    <w:p>
      <w:pPr>
        <w:spacing w:after="0" w:line="97" w:lineRule="exact"/>
        <w:rPr>
          <w:sz w:val="20"/>
          <w:szCs w:val="20"/>
          <w:color w:val="auto"/>
        </w:rPr>
      </w:pPr>
    </w:p>
    <w:p>
      <w:pPr>
        <w:ind w:right="480"/>
        <w:spacing w:after="0" w:line="287" w:lineRule="auto"/>
        <w:rPr>
          <w:sz w:val="20"/>
          <w:szCs w:val="20"/>
          <w:color w:val="auto"/>
        </w:rPr>
      </w:pPr>
      <w:r>
        <w:rPr>
          <w:rFonts w:ascii="Arial" w:cs="Arial" w:eastAsia="Arial" w:hAnsi="Arial"/>
          <w:sz w:val="15"/>
          <w:szCs w:val="15"/>
          <w:color w:val="auto"/>
        </w:rPr>
        <w:t>The following table sets forth information with respect to unexercised stock option awards, unvested RSUs and unvested or unearned PSUs, as applicable, as of December 31, 2025:</w:t>
      </w:r>
    </w:p>
    <w:p>
      <w:pPr>
        <w:spacing w:after="0" w:line="220" w:lineRule="exact"/>
        <w:rPr>
          <w:sz w:val="20"/>
          <w:szCs w:val="20"/>
          <w:color w:val="auto"/>
        </w:rPr>
      </w:pPr>
    </w:p>
    <w:tbl>
      <w:tblPr>
        <w:tblLayout w:type="fixed"/>
        <w:tblInd w:w="20" w:type="dxa"/>
        <w:tblCellMar>
          <w:top w:w="0" w:type="dxa"/>
          <w:left w:w="0" w:type="dxa"/>
          <w:bottom w:w="0" w:type="dxa"/>
          <w:right w:w="0" w:type="dxa"/>
        </w:tblCellMar>
      </w:tblPr>
      <w:tr>
        <w:trPr>
          <w:trHeight w:val="151"/>
        </w:trPr>
        <w:tc>
          <w:tcPr>
            <w:tcW w:w="1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20" w:type="dxa"/>
            <w:vAlign w:val="bottom"/>
            <w:tcBorders>
              <w:bottom w:val="single" w:sz="8" w:color="002B5F"/>
            </w:tcBorders>
          </w:tcPr>
          <w:p>
            <w:pPr>
              <w:spacing w:after="0"/>
              <w:rPr>
                <w:sz w:val="13"/>
                <w:szCs w:val="13"/>
                <w:color w:val="auto"/>
              </w:rPr>
            </w:pPr>
          </w:p>
        </w:tc>
        <w:tc>
          <w:tcPr>
            <w:tcW w:w="340" w:type="dxa"/>
            <w:vAlign w:val="bottom"/>
            <w:tcBorders>
              <w:bottom w:val="single" w:sz="8" w:color="002B5F"/>
            </w:tcBorders>
          </w:tcPr>
          <w:p>
            <w:pPr>
              <w:spacing w:after="0"/>
              <w:rPr>
                <w:sz w:val="13"/>
                <w:szCs w:val="13"/>
                <w:color w:val="auto"/>
              </w:rPr>
            </w:pPr>
          </w:p>
        </w:tc>
        <w:tc>
          <w:tcPr>
            <w:tcW w:w="60" w:type="dxa"/>
            <w:vAlign w:val="bottom"/>
            <w:tcBorders>
              <w:bottom w:val="single" w:sz="8" w:color="002B5F"/>
            </w:tcBorders>
          </w:tcPr>
          <w:p>
            <w:pPr>
              <w:spacing w:after="0"/>
              <w:rPr>
                <w:sz w:val="13"/>
                <w:szCs w:val="13"/>
                <w:color w:val="auto"/>
              </w:rPr>
            </w:pPr>
          </w:p>
        </w:tc>
        <w:tc>
          <w:tcPr>
            <w:tcW w:w="40" w:type="dxa"/>
            <w:vAlign w:val="bottom"/>
            <w:tcBorders>
              <w:bottom w:val="single" w:sz="8" w:color="002B5F"/>
            </w:tcBorders>
          </w:tcPr>
          <w:p>
            <w:pPr>
              <w:spacing w:after="0"/>
              <w:rPr>
                <w:sz w:val="13"/>
                <w:szCs w:val="13"/>
                <w:color w:val="auto"/>
              </w:rPr>
            </w:pPr>
          </w:p>
        </w:tc>
        <w:tc>
          <w:tcPr>
            <w:tcW w:w="360" w:type="dxa"/>
            <w:vAlign w:val="bottom"/>
            <w:tcBorders>
              <w:bottom w:val="single" w:sz="8" w:color="002B5F"/>
            </w:tcBorders>
          </w:tcPr>
          <w:p>
            <w:pPr>
              <w:spacing w:after="0"/>
              <w:rPr>
                <w:sz w:val="13"/>
                <w:szCs w:val="13"/>
                <w:color w:val="auto"/>
              </w:rPr>
            </w:pPr>
          </w:p>
        </w:tc>
        <w:tc>
          <w:tcPr>
            <w:tcW w:w="1320" w:type="dxa"/>
            <w:vAlign w:val="bottom"/>
            <w:tcBorders>
              <w:bottom w:val="single" w:sz="8" w:color="002B5F"/>
            </w:tcBorders>
            <w:gridSpan w:val="2"/>
          </w:tcPr>
          <w:p>
            <w:pPr>
              <w:ind w:left="80"/>
              <w:spacing w:after="0"/>
              <w:rPr>
                <w:sz w:val="20"/>
                <w:szCs w:val="20"/>
                <w:color w:val="auto"/>
              </w:rPr>
            </w:pPr>
            <w:r>
              <w:rPr>
                <w:rFonts w:ascii="Arial" w:cs="Arial" w:eastAsia="Arial" w:hAnsi="Arial"/>
                <w:sz w:val="12"/>
                <w:szCs w:val="12"/>
                <w:b w:val="1"/>
                <w:bCs w:val="1"/>
                <w:color w:val="002B5F"/>
              </w:rPr>
              <w:t>Option Awards</w:t>
            </w:r>
          </w:p>
        </w:tc>
        <w:tc>
          <w:tcPr>
            <w:tcW w:w="800" w:type="dxa"/>
            <w:vAlign w:val="bottom"/>
            <w:tcBorders>
              <w:bottom w:val="single" w:sz="8" w:color="002B5F"/>
            </w:tcBorders>
          </w:tcPr>
          <w:p>
            <w:pPr>
              <w:spacing w:after="0"/>
              <w:rPr>
                <w:sz w:val="13"/>
                <w:szCs w:val="13"/>
                <w:color w:val="auto"/>
              </w:rPr>
            </w:pPr>
          </w:p>
        </w:tc>
        <w:tc>
          <w:tcPr>
            <w:tcW w:w="40" w:type="dxa"/>
            <w:vAlign w:val="bottom"/>
          </w:tcPr>
          <w:p>
            <w:pPr>
              <w:spacing w:after="0"/>
              <w:rPr>
                <w:sz w:val="13"/>
                <w:szCs w:val="13"/>
                <w:color w:val="auto"/>
              </w:rPr>
            </w:pPr>
          </w:p>
        </w:tc>
        <w:tc>
          <w:tcPr>
            <w:tcW w:w="620" w:type="dxa"/>
            <w:vAlign w:val="bottom"/>
            <w:tcBorders>
              <w:bottom w:val="single" w:sz="8" w:color="002B5F"/>
            </w:tcBorders>
          </w:tcPr>
          <w:p>
            <w:pPr>
              <w:spacing w:after="0"/>
              <w:rPr>
                <w:sz w:val="13"/>
                <w:szCs w:val="13"/>
                <w:color w:val="auto"/>
              </w:rPr>
            </w:pPr>
          </w:p>
        </w:tc>
        <w:tc>
          <w:tcPr>
            <w:tcW w:w="1600" w:type="dxa"/>
            <w:vAlign w:val="bottom"/>
            <w:tcBorders>
              <w:bottom w:val="single" w:sz="8" w:color="002B5F"/>
            </w:tcBorders>
            <w:gridSpan w:val="2"/>
          </w:tcPr>
          <w:p>
            <w:pPr>
              <w:jc w:val="right"/>
              <w:ind w:right="274"/>
              <w:spacing w:after="0"/>
              <w:rPr>
                <w:sz w:val="20"/>
                <w:szCs w:val="20"/>
                <w:color w:val="auto"/>
              </w:rPr>
            </w:pPr>
            <w:r>
              <w:rPr>
                <w:rFonts w:ascii="Arial" w:cs="Arial" w:eastAsia="Arial" w:hAnsi="Arial"/>
                <w:sz w:val="12"/>
                <w:szCs w:val="12"/>
                <w:b w:val="1"/>
                <w:bCs w:val="1"/>
                <w:color w:val="002B5F"/>
              </w:rPr>
              <w:t>Stock Awards</w:t>
            </w:r>
          </w:p>
        </w:tc>
        <w:tc>
          <w:tcPr>
            <w:tcW w:w="760" w:type="dxa"/>
            <w:vAlign w:val="bottom"/>
            <w:tcBorders>
              <w:bottom w:val="single" w:sz="8" w:color="002B5F"/>
            </w:tcBorders>
          </w:tcPr>
          <w:p>
            <w:pPr>
              <w:spacing w:after="0"/>
              <w:rPr>
                <w:sz w:val="13"/>
                <w:szCs w:val="13"/>
                <w:color w:val="auto"/>
              </w:rPr>
            </w:pPr>
          </w:p>
        </w:tc>
        <w:tc>
          <w:tcPr>
            <w:tcW w:w="0" w:type="dxa"/>
            <w:vAlign w:val="bottom"/>
          </w:tcPr>
          <w:p>
            <w:pPr>
              <w:spacing w:after="0"/>
              <w:rPr>
                <w:sz w:val="1"/>
                <w:szCs w:val="1"/>
                <w:color w:val="auto"/>
              </w:rPr>
            </w:pPr>
          </w:p>
        </w:tc>
      </w:tr>
      <w:tr>
        <w:trPr>
          <w:trHeight w:val="110"/>
        </w:trPr>
        <w:tc>
          <w:tcPr>
            <w:tcW w:w="1660" w:type="dxa"/>
            <w:vAlign w:val="bottom"/>
          </w:tcPr>
          <w:p>
            <w:pPr>
              <w:spacing w:after="0"/>
              <w:rPr>
                <w:sz w:val="9"/>
                <w:szCs w:val="9"/>
                <w:color w:val="auto"/>
              </w:rPr>
            </w:pPr>
          </w:p>
        </w:tc>
        <w:tc>
          <w:tcPr>
            <w:tcW w:w="40" w:type="dxa"/>
            <w:vAlign w:val="bottom"/>
          </w:tcPr>
          <w:p>
            <w:pPr>
              <w:spacing w:after="0"/>
              <w:rPr>
                <w:sz w:val="9"/>
                <w:szCs w:val="9"/>
                <w:color w:val="auto"/>
              </w:rPr>
            </w:pPr>
          </w:p>
        </w:tc>
        <w:tc>
          <w:tcPr>
            <w:tcW w:w="32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360" w:type="dxa"/>
            <w:vAlign w:val="bottom"/>
          </w:tcPr>
          <w:p>
            <w:pPr>
              <w:spacing w:after="0"/>
              <w:rPr>
                <w:sz w:val="9"/>
                <w:szCs w:val="9"/>
                <w:color w:val="auto"/>
              </w:rPr>
            </w:pPr>
          </w:p>
        </w:tc>
        <w:tc>
          <w:tcPr>
            <w:tcW w:w="58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0" w:type="dxa"/>
            <w:vAlign w:val="bottom"/>
          </w:tcPr>
          <w:p>
            <w:pPr>
              <w:jc w:val="center"/>
              <w:spacing w:after="0" w:line="110" w:lineRule="exact"/>
              <w:rPr>
                <w:sz w:val="20"/>
                <w:szCs w:val="20"/>
                <w:color w:val="auto"/>
              </w:rPr>
            </w:pPr>
            <w:r>
              <w:rPr>
                <w:rFonts w:ascii="Arial" w:cs="Arial" w:eastAsia="Arial" w:hAnsi="Arial"/>
                <w:sz w:val="12"/>
                <w:szCs w:val="12"/>
                <w:b w:val="1"/>
                <w:bCs w:val="1"/>
                <w:color w:val="002B5F"/>
                <w:w w:val="98"/>
              </w:rPr>
              <w:t>Equity</w:t>
            </w:r>
          </w:p>
        </w:tc>
        <w:tc>
          <w:tcPr>
            <w:tcW w:w="760" w:type="dxa"/>
            <w:vAlign w:val="bottom"/>
          </w:tcPr>
          <w:p>
            <w:pPr>
              <w:jc w:val="center"/>
              <w:spacing w:after="0" w:line="110" w:lineRule="exact"/>
              <w:rPr>
                <w:sz w:val="20"/>
                <w:szCs w:val="20"/>
                <w:color w:val="auto"/>
              </w:rPr>
            </w:pPr>
            <w:r>
              <w:rPr>
                <w:rFonts w:ascii="Arial" w:cs="Arial" w:eastAsia="Arial" w:hAnsi="Arial"/>
                <w:sz w:val="12"/>
                <w:szCs w:val="12"/>
                <w:b w:val="1"/>
                <w:bCs w:val="1"/>
                <w:color w:val="002B5F"/>
                <w:w w:val="98"/>
              </w:rPr>
              <w:t>Equity</w:t>
            </w:r>
          </w:p>
        </w:tc>
        <w:tc>
          <w:tcPr>
            <w:tcW w:w="0" w:type="dxa"/>
            <w:vAlign w:val="bottom"/>
          </w:tcPr>
          <w:p>
            <w:pPr>
              <w:spacing w:after="0"/>
              <w:rPr>
                <w:sz w:val="1"/>
                <w:szCs w:val="1"/>
                <w:color w:val="auto"/>
              </w:rPr>
            </w:pPr>
          </w:p>
        </w:tc>
      </w:tr>
      <w:tr>
        <w:trPr>
          <w:trHeight w:val="128"/>
        </w:trPr>
        <w:tc>
          <w:tcPr>
            <w:tcW w:w="1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jc w:val="center"/>
              <w:spacing w:after="0" w:line="128" w:lineRule="exact"/>
              <w:rPr>
                <w:sz w:val="20"/>
                <w:szCs w:val="20"/>
                <w:color w:val="auto"/>
              </w:rPr>
            </w:pPr>
            <w:r>
              <w:rPr>
                <w:rFonts w:ascii="Arial" w:cs="Arial" w:eastAsia="Arial" w:hAnsi="Arial"/>
                <w:sz w:val="12"/>
                <w:szCs w:val="12"/>
                <w:b w:val="1"/>
                <w:bCs w:val="1"/>
                <w:color w:val="002B5F"/>
                <w:w w:val="99"/>
              </w:rPr>
              <w:t>Incentive</w:t>
            </w:r>
          </w:p>
        </w:tc>
        <w:tc>
          <w:tcPr>
            <w:tcW w:w="760" w:type="dxa"/>
            <w:vAlign w:val="bottom"/>
          </w:tcPr>
          <w:p>
            <w:pPr>
              <w:jc w:val="center"/>
              <w:spacing w:after="0" w:line="128" w:lineRule="exact"/>
              <w:rPr>
                <w:sz w:val="20"/>
                <w:szCs w:val="20"/>
                <w:color w:val="auto"/>
              </w:rPr>
            </w:pPr>
            <w:r>
              <w:rPr>
                <w:rFonts w:ascii="Arial" w:cs="Arial" w:eastAsia="Arial" w:hAnsi="Arial"/>
                <w:sz w:val="12"/>
                <w:szCs w:val="12"/>
                <w:b w:val="1"/>
                <w:bCs w:val="1"/>
                <w:color w:val="002B5F"/>
                <w:w w:val="99"/>
              </w:rPr>
              <w:t>Incentive</w:t>
            </w:r>
          </w:p>
        </w:tc>
        <w:tc>
          <w:tcPr>
            <w:tcW w:w="0" w:type="dxa"/>
            <w:vAlign w:val="bottom"/>
          </w:tcPr>
          <w:p>
            <w:pPr>
              <w:spacing w:after="0"/>
              <w:rPr>
                <w:sz w:val="1"/>
                <w:szCs w:val="1"/>
                <w:color w:val="auto"/>
              </w:rPr>
            </w:pPr>
          </w:p>
        </w:tc>
      </w:tr>
      <w:tr>
        <w:trPr>
          <w:trHeight w:val="128"/>
        </w:trPr>
        <w:tc>
          <w:tcPr>
            <w:tcW w:w="1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jc w:val="center"/>
              <w:spacing w:after="0" w:line="128" w:lineRule="exact"/>
              <w:rPr>
                <w:sz w:val="20"/>
                <w:szCs w:val="20"/>
                <w:color w:val="auto"/>
              </w:rPr>
            </w:pPr>
            <w:r>
              <w:rPr>
                <w:rFonts w:ascii="Arial" w:cs="Arial" w:eastAsia="Arial" w:hAnsi="Arial"/>
                <w:sz w:val="12"/>
                <w:szCs w:val="12"/>
                <w:b w:val="1"/>
                <w:bCs w:val="1"/>
                <w:color w:val="002B5F"/>
              </w:rPr>
              <w:t>Plan</w:t>
            </w:r>
          </w:p>
        </w:tc>
        <w:tc>
          <w:tcPr>
            <w:tcW w:w="760" w:type="dxa"/>
            <w:vAlign w:val="bottom"/>
          </w:tcPr>
          <w:p>
            <w:pPr>
              <w:jc w:val="center"/>
              <w:spacing w:after="0" w:line="128" w:lineRule="exact"/>
              <w:rPr>
                <w:sz w:val="20"/>
                <w:szCs w:val="20"/>
                <w:color w:val="auto"/>
              </w:rPr>
            </w:pPr>
            <w:r>
              <w:rPr>
                <w:rFonts w:ascii="Arial" w:cs="Arial" w:eastAsia="Arial" w:hAnsi="Arial"/>
                <w:sz w:val="12"/>
                <w:szCs w:val="12"/>
                <w:b w:val="1"/>
                <w:bCs w:val="1"/>
                <w:color w:val="002B5F"/>
                <w:w w:val="94"/>
              </w:rPr>
              <w:t>Plan</w:t>
            </w:r>
          </w:p>
        </w:tc>
        <w:tc>
          <w:tcPr>
            <w:tcW w:w="0" w:type="dxa"/>
            <w:vAlign w:val="bottom"/>
          </w:tcPr>
          <w:p>
            <w:pPr>
              <w:spacing w:after="0"/>
              <w:rPr>
                <w:sz w:val="1"/>
                <w:szCs w:val="1"/>
                <w:color w:val="auto"/>
              </w:rPr>
            </w:pPr>
          </w:p>
        </w:tc>
      </w:tr>
      <w:tr>
        <w:trPr>
          <w:trHeight w:val="128"/>
        </w:trPr>
        <w:tc>
          <w:tcPr>
            <w:tcW w:w="1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60" w:type="dxa"/>
            <w:vAlign w:val="bottom"/>
            <w:gridSpan w:val="2"/>
            <w:vMerge w:val="restart"/>
          </w:tcPr>
          <w:p>
            <w:pPr>
              <w:jc w:val="center"/>
              <w:spacing w:after="0"/>
              <w:rPr>
                <w:sz w:val="20"/>
                <w:szCs w:val="20"/>
                <w:color w:val="auto"/>
              </w:rPr>
            </w:pPr>
            <w:r>
              <w:rPr>
                <w:rFonts w:ascii="Arial" w:cs="Arial" w:eastAsia="Arial" w:hAnsi="Arial"/>
                <w:sz w:val="12"/>
                <w:szCs w:val="12"/>
                <w:b w:val="1"/>
                <w:bCs w:val="1"/>
                <w:color w:val="002B5F"/>
                <w:w w:val="99"/>
              </w:rPr>
              <w:t>Number of</w:t>
            </w:r>
          </w:p>
        </w:tc>
        <w:tc>
          <w:tcPr>
            <w:tcW w:w="800" w:type="dxa"/>
            <w:vAlign w:val="bottom"/>
          </w:tcPr>
          <w:p>
            <w:pPr>
              <w:spacing w:after="0"/>
              <w:rPr>
                <w:sz w:val="11"/>
                <w:szCs w:val="11"/>
                <w:color w:val="auto"/>
              </w:rPr>
            </w:pPr>
          </w:p>
        </w:tc>
        <w:tc>
          <w:tcPr>
            <w:tcW w:w="800" w:type="dxa"/>
            <w:vAlign w:val="bottom"/>
          </w:tcPr>
          <w:p>
            <w:pPr>
              <w:jc w:val="center"/>
              <w:spacing w:after="0" w:line="128" w:lineRule="exact"/>
              <w:rPr>
                <w:sz w:val="20"/>
                <w:szCs w:val="20"/>
                <w:color w:val="auto"/>
              </w:rPr>
            </w:pPr>
            <w:r>
              <w:rPr>
                <w:rFonts w:ascii="Arial" w:cs="Arial" w:eastAsia="Arial" w:hAnsi="Arial"/>
                <w:sz w:val="12"/>
                <w:szCs w:val="12"/>
                <w:b w:val="1"/>
                <w:bCs w:val="1"/>
                <w:color w:val="002B5F"/>
                <w:w w:val="97"/>
              </w:rPr>
              <w:t>Awards:</w:t>
            </w:r>
          </w:p>
        </w:tc>
        <w:tc>
          <w:tcPr>
            <w:tcW w:w="760" w:type="dxa"/>
            <w:vAlign w:val="bottom"/>
          </w:tcPr>
          <w:p>
            <w:pPr>
              <w:jc w:val="center"/>
              <w:spacing w:after="0" w:line="128" w:lineRule="exact"/>
              <w:rPr>
                <w:sz w:val="20"/>
                <w:szCs w:val="20"/>
                <w:color w:val="auto"/>
              </w:rPr>
            </w:pPr>
            <w:r>
              <w:rPr>
                <w:rFonts w:ascii="Arial" w:cs="Arial" w:eastAsia="Arial" w:hAnsi="Arial"/>
                <w:sz w:val="12"/>
                <w:szCs w:val="12"/>
                <w:b w:val="1"/>
                <w:bCs w:val="1"/>
                <w:color w:val="002B5F"/>
              </w:rPr>
              <w:t>Awards:</w:t>
            </w:r>
          </w:p>
        </w:tc>
        <w:tc>
          <w:tcPr>
            <w:tcW w:w="0" w:type="dxa"/>
            <w:vAlign w:val="bottom"/>
          </w:tcPr>
          <w:p>
            <w:pPr>
              <w:spacing w:after="0"/>
              <w:rPr>
                <w:sz w:val="1"/>
                <w:szCs w:val="1"/>
                <w:color w:val="auto"/>
              </w:rPr>
            </w:pPr>
          </w:p>
        </w:tc>
      </w:tr>
      <w:tr>
        <w:trPr>
          <w:trHeight w:val="120"/>
        </w:trPr>
        <w:tc>
          <w:tcPr>
            <w:tcW w:w="1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gridSpan w:val="3"/>
            <w:vMerge w:val="restart"/>
          </w:tcPr>
          <w:p>
            <w:pPr>
              <w:jc w:val="center"/>
              <w:spacing w:after="0"/>
              <w:rPr>
                <w:sz w:val="20"/>
                <w:szCs w:val="20"/>
                <w:color w:val="auto"/>
              </w:rPr>
            </w:pPr>
            <w:r>
              <w:rPr>
                <w:rFonts w:ascii="Arial" w:cs="Arial" w:eastAsia="Arial" w:hAnsi="Arial"/>
                <w:sz w:val="12"/>
                <w:szCs w:val="12"/>
                <w:b w:val="1"/>
                <w:bCs w:val="1"/>
                <w:color w:val="002B5F"/>
                <w:w w:val="99"/>
              </w:rPr>
              <w:t>Number of</w:t>
            </w:r>
          </w:p>
        </w:tc>
        <w:tc>
          <w:tcPr>
            <w:tcW w:w="40" w:type="dxa"/>
            <w:vAlign w:val="bottom"/>
          </w:tcPr>
          <w:p>
            <w:pPr>
              <w:spacing w:after="0"/>
              <w:rPr>
                <w:sz w:val="10"/>
                <w:szCs w:val="10"/>
                <w:color w:val="auto"/>
              </w:rPr>
            </w:pPr>
          </w:p>
        </w:tc>
        <w:tc>
          <w:tcPr>
            <w:tcW w:w="940" w:type="dxa"/>
            <w:vAlign w:val="bottom"/>
            <w:gridSpan w:val="2"/>
            <w:vMerge w:val="restart"/>
          </w:tcPr>
          <w:p>
            <w:pPr>
              <w:jc w:val="center"/>
              <w:ind w:right="34"/>
              <w:spacing w:after="0"/>
              <w:rPr>
                <w:sz w:val="20"/>
                <w:szCs w:val="20"/>
                <w:color w:val="auto"/>
              </w:rPr>
            </w:pPr>
            <w:r>
              <w:rPr>
                <w:rFonts w:ascii="Arial" w:cs="Arial" w:eastAsia="Arial" w:hAnsi="Arial"/>
                <w:sz w:val="12"/>
                <w:szCs w:val="12"/>
                <w:b w:val="1"/>
                <w:bCs w:val="1"/>
                <w:color w:val="002B5F"/>
                <w:w w:val="99"/>
              </w:rPr>
              <w:t>Number of</w:t>
            </w:r>
          </w:p>
        </w:tc>
        <w:tc>
          <w:tcPr>
            <w:tcW w:w="7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60" w:type="dxa"/>
            <w:vAlign w:val="bottom"/>
            <w:gridSpan w:val="2"/>
            <w:vMerge w:val="continue"/>
          </w:tcPr>
          <w:p>
            <w:pPr>
              <w:spacing w:after="0"/>
              <w:rPr>
                <w:sz w:val="10"/>
                <w:szCs w:val="10"/>
                <w:color w:val="auto"/>
              </w:rPr>
            </w:pPr>
          </w:p>
        </w:tc>
        <w:tc>
          <w:tcPr>
            <w:tcW w:w="800" w:type="dxa"/>
            <w:vAlign w:val="bottom"/>
            <w:vMerge w:val="restart"/>
          </w:tcPr>
          <w:p>
            <w:pPr>
              <w:jc w:val="center"/>
              <w:spacing w:after="0"/>
              <w:rPr>
                <w:sz w:val="20"/>
                <w:szCs w:val="20"/>
                <w:color w:val="auto"/>
              </w:rPr>
            </w:pPr>
            <w:r>
              <w:rPr>
                <w:rFonts w:ascii="Arial" w:cs="Arial" w:eastAsia="Arial" w:hAnsi="Arial"/>
                <w:sz w:val="12"/>
                <w:szCs w:val="12"/>
                <w:b w:val="1"/>
                <w:bCs w:val="1"/>
                <w:color w:val="002B5F"/>
                <w:w w:val="97"/>
              </w:rPr>
              <w:t>Market Value</w:t>
            </w:r>
          </w:p>
        </w:tc>
        <w:tc>
          <w:tcPr>
            <w:tcW w:w="800" w:type="dxa"/>
            <w:vAlign w:val="bottom"/>
          </w:tcPr>
          <w:p>
            <w:pPr>
              <w:jc w:val="center"/>
              <w:spacing w:after="0" w:line="120" w:lineRule="exact"/>
              <w:rPr>
                <w:sz w:val="20"/>
                <w:szCs w:val="20"/>
                <w:color w:val="auto"/>
              </w:rPr>
            </w:pPr>
            <w:r>
              <w:rPr>
                <w:rFonts w:ascii="Arial" w:cs="Arial" w:eastAsia="Arial" w:hAnsi="Arial"/>
                <w:sz w:val="12"/>
                <w:szCs w:val="12"/>
                <w:b w:val="1"/>
                <w:bCs w:val="1"/>
                <w:color w:val="002B5F"/>
                <w:w w:val="99"/>
              </w:rPr>
              <w:t>Number of</w:t>
            </w:r>
          </w:p>
        </w:tc>
        <w:tc>
          <w:tcPr>
            <w:tcW w:w="760" w:type="dxa"/>
            <w:vAlign w:val="bottom"/>
          </w:tcPr>
          <w:p>
            <w:pPr>
              <w:jc w:val="center"/>
              <w:spacing w:after="0" w:line="120" w:lineRule="exact"/>
              <w:rPr>
                <w:sz w:val="20"/>
                <w:szCs w:val="20"/>
                <w:color w:val="auto"/>
              </w:rPr>
            </w:pPr>
            <w:r>
              <w:rPr>
                <w:rFonts w:ascii="Arial" w:cs="Arial" w:eastAsia="Arial" w:hAnsi="Arial"/>
                <w:sz w:val="12"/>
                <w:szCs w:val="12"/>
                <w:b w:val="1"/>
                <w:bCs w:val="1"/>
                <w:color w:val="002B5F"/>
                <w:w w:val="99"/>
              </w:rPr>
              <w:t>Market or</w:t>
            </w:r>
          </w:p>
        </w:tc>
        <w:tc>
          <w:tcPr>
            <w:tcW w:w="0" w:type="dxa"/>
            <w:vAlign w:val="bottom"/>
          </w:tcPr>
          <w:p>
            <w:pPr>
              <w:spacing w:after="0"/>
              <w:rPr>
                <w:sz w:val="1"/>
                <w:szCs w:val="1"/>
                <w:color w:val="auto"/>
              </w:rPr>
            </w:pPr>
          </w:p>
        </w:tc>
      </w:tr>
      <w:tr>
        <w:trPr>
          <w:trHeight w:val="128"/>
        </w:trPr>
        <w:tc>
          <w:tcPr>
            <w:tcW w:w="1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3"/>
            <w:vMerge w:val="continue"/>
          </w:tcPr>
          <w:p>
            <w:pPr>
              <w:spacing w:after="0"/>
              <w:rPr>
                <w:sz w:val="11"/>
                <w:szCs w:val="11"/>
                <w:color w:val="auto"/>
              </w:rPr>
            </w:pPr>
          </w:p>
        </w:tc>
        <w:tc>
          <w:tcPr>
            <w:tcW w:w="4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jc w:val="center"/>
              <w:spacing w:after="0" w:line="128" w:lineRule="exact"/>
              <w:rPr>
                <w:sz w:val="20"/>
                <w:szCs w:val="20"/>
                <w:color w:val="auto"/>
              </w:rPr>
            </w:pPr>
            <w:r>
              <w:rPr>
                <w:rFonts w:ascii="Arial" w:cs="Arial" w:eastAsia="Arial" w:hAnsi="Arial"/>
                <w:sz w:val="12"/>
                <w:szCs w:val="12"/>
                <w:b w:val="1"/>
                <w:bCs w:val="1"/>
                <w:color w:val="002B5F"/>
              </w:rPr>
              <w:t>Shares or</w:t>
            </w:r>
          </w:p>
        </w:tc>
        <w:tc>
          <w:tcPr>
            <w:tcW w:w="800" w:type="dxa"/>
            <w:vAlign w:val="bottom"/>
            <w:vMerge w:val="continue"/>
          </w:tcPr>
          <w:p>
            <w:pPr>
              <w:spacing w:after="0"/>
              <w:rPr>
                <w:sz w:val="11"/>
                <w:szCs w:val="11"/>
                <w:color w:val="auto"/>
              </w:rPr>
            </w:pPr>
          </w:p>
        </w:tc>
        <w:tc>
          <w:tcPr>
            <w:tcW w:w="800" w:type="dxa"/>
            <w:vAlign w:val="bottom"/>
          </w:tcPr>
          <w:p>
            <w:pPr>
              <w:jc w:val="center"/>
              <w:spacing w:after="0" w:line="128" w:lineRule="exact"/>
              <w:rPr>
                <w:sz w:val="20"/>
                <w:szCs w:val="20"/>
                <w:color w:val="auto"/>
              </w:rPr>
            </w:pPr>
            <w:r>
              <w:rPr>
                <w:rFonts w:ascii="Arial" w:cs="Arial" w:eastAsia="Arial" w:hAnsi="Arial"/>
                <w:sz w:val="12"/>
                <w:szCs w:val="12"/>
                <w:b w:val="1"/>
                <w:bCs w:val="1"/>
                <w:color w:val="002B5F"/>
                <w:w w:val="97"/>
              </w:rPr>
              <w:t>Unearned</w:t>
            </w:r>
          </w:p>
        </w:tc>
        <w:tc>
          <w:tcPr>
            <w:tcW w:w="760" w:type="dxa"/>
            <w:vAlign w:val="bottom"/>
          </w:tcPr>
          <w:p>
            <w:pPr>
              <w:jc w:val="center"/>
              <w:spacing w:after="0" w:line="128" w:lineRule="exact"/>
              <w:rPr>
                <w:sz w:val="20"/>
                <w:szCs w:val="20"/>
                <w:color w:val="auto"/>
              </w:rPr>
            </w:pPr>
            <w:r>
              <w:rPr>
                <w:rFonts w:ascii="Arial" w:cs="Arial" w:eastAsia="Arial" w:hAnsi="Arial"/>
                <w:sz w:val="12"/>
                <w:szCs w:val="12"/>
                <w:b w:val="1"/>
                <w:bCs w:val="1"/>
                <w:color w:val="002B5F"/>
                <w:w w:val="99"/>
              </w:rPr>
              <w:t>Payout</w:t>
            </w:r>
          </w:p>
        </w:tc>
        <w:tc>
          <w:tcPr>
            <w:tcW w:w="0" w:type="dxa"/>
            <w:vAlign w:val="bottom"/>
          </w:tcPr>
          <w:p>
            <w:pPr>
              <w:spacing w:after="0"/>
              <w:rPr>
                <w:sz w:val="1"/>
                <w:szCs w:val="1"/>
                <w:color w:val="auto"/>
              </w:rPr>
            </w:pPr>
          </w:p>
        </w:tc>
      </w:tr>
      <w:tr>
        <w:trPr>
          <w:trHeight w:val="128"/>
        </w:trPr>
        <w:tc>
          <w:tcPr>
            <w:tcW w:w="1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3"/>
          </w:tcPr>
          <w:p>
            <w:pPr>
              <w:jc w:val="center"/>
              <w:spacing w:after="0" w:line="128" w:lineRule="exact"/>
              <w:rPr>
                <w:sz w:val="20"/>
                <w:szCs w:val="20"/>
                <w:color w:val="auto"/>
              </w:rPr>
            </w:pPr>
            <w:r>
              <w:rPr>
                <w:rFonts w:ascii="Arial" w:cs="Arial" w:eastAsia="Arial" w:hAnsi="Arial"/>
                <w:sz w:val="12"/>
                <w:szCs w:val="12"/>
                <w:b w:val="1"/>
                <w:bCs w:val="1"/>
                <w:color w:val="002B5F"/>
                <w:w w:val="97"/>
              </w:rPr>
              <w:t>Securities</w:t>
            </w:r>
          </w:p>
        </w:tc>
        <w:tc>
          <w:tcPr>
            <w:tcW w:w="40" w:type="dxa"/>
            <w:vAlign w:val="bottom"/>
          </w:tcPr>
          <w:p>
            <w:pPr>
              <w:spacing w:after="0"/>
              <w:rPr>
                <w:sz w:val="11"/>
                <w:szCs w:val="11"/>
                <w:color w:val="auto"/>
              </w:rPr>
            </w:pPr>
          </w:p>
        </w:tc>
        <w:tc>
          <w:tcPr>
            <w:tcW w:w="940" w:type="dxa"/>
            <w:vAlign w:val="bottom"/>
            <w:gridSpan w:val="2"/>
          </w:tcPr>
          <w:p>
            <w:pPr>
              <w:jc w:val="center"/>
              <w:ind w:right="54"/>
              <w:spacing w:after="0" w:line="128" w:lineRule="exact"/>
              <w:rPr>
                <w:sz w:val="20"/>
                <w:szCs w:val="20"/>
                <w:color w:val="auto"/>
              </w:rPr>
            </w:pPr>
            <w:r>
              <w:rPr>
                <w:rFonts w:ascii="Arial" w:cs="Arial" w:eastAsia="Arial" w:hAnsi="Arial"/>
                <w:sz w:val="12"/>
                <w:szCs w:val="12"/>
                <w:b w:val="1"/>
                <w:bCs w:val="1"/>
                <w:color w:val="002B5F"/>
              </w:rPr>
              <w:t>Securities</w:t>
            </w: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jc w:val="center"/>
              <w:spacing w:after="0" w:line="128" w:lineRule="exact"/>
              <w:rPr>
                <w:sz w:val="20"/>
                <w:szCs w:val="20"/>
                <w:color w:val="auto"/>
              </w:rPr>
            </w:pPr>
            <w:r>
              <w:rPr>
                <w:rFonts w:ascii="Arial" w:cs="Arial" w:eastAsia="Arial" w:hAnsi="Arial"/>
                <w:sz w:val="12"/>
                <w:szCs w:val="12"/>
                <w:b w:val="1"/>
                <w:bCs w:val="1"/>
                <w:color w:val="002B5F"/>
                <w:w w:val="98"/>
              </w:rPr>
              <w:t>Units of</w:t>
            </w:r>
          </w:p>
        </w:tc>
        <w:tc>
          <w:tcPr>
            <w:tcW w:w="800" w:type="dxa"/>
            <w:vAlign w:val="bottom"/>
          </w:tcPr>
          <w:p>
            <w:pPr>
              <w:jc w:val="center"/>
              <w:spacing w:after="0" w:line="128" w:lineRule="exact"/>
              <w:rPr>
                <w:sz w:val="20"/>
                <w:szCs w:val="20"/>
                <w:color w:val="auto"/>
              </w:rPr>
            </w:pPr>
            <w:r>
              <w:rPr>
                <w:rFonts w:ascii="Arial" w:cs="Arial" w:eastAsia="Arial" w:hAnsi="Arial"/>
                <w:sz w:val="12"/>
                <w:szCs w:val="12"/>
                <w:b w:val="1"/>
                <w:bCs w:val="1"/>
                <w:color w:val="002B5F"/>
                <w:w w:val="97"/>
              </w:rPr>
              <w:t>of Shares or</w:t>
            </w:r>
          </w:p>
        </w:tc>
        <w:tc>
          <w:tcPr>
            <w:tcW w:w="800" w:type="dxa"/>
            <w:vAlign w:val="bottom"/>
          </w:tcPr>
          <w:p>
            <w:pPr>
              <w:jc w:val="center"/>
              <w:spacing w:after="0" w:line="128" w:lineRule="exact"/>
              <w:rPr>
                <w:sz w:val="20"/>
                <w:szCs w:val="20"/>
                <w:color w:val="auto"/>
              </w:rPr>
            </w:pPr>
            <w:r>
              <w:rPr>
                <w:rFonts w:ascii="Arial" w:cs="Arial" w:eastAsia="Arial" w:hAnsi="Arial"/>
                <w:sz w:val="12"/>
                <w:szCs w:val="12"/>
                <w:b w:val="1"/>
                <w:bCs w:val="1"/>
                <w:color w:val="002B5F"/>
              </w:rPr>
              <w:t>Shares,</w:t>
            </w:r>
          </w:p>
        </w:tc>
        <w:tc>
          <w:tcPr>
            <w:tcW w:w="760" w:type="dxa"/>
            <w:vAlign w:val="bottom"/>
          </w:tcPr>
          <w:p>
            <w:pPr>
              <w:jc w:val="center"/>
              <w:spacing w:after="0" w:line="128" w:lineRule="exact"/>
              <w:rPr>
                <w:sz w:val="20"/>
                <w:szCs w:val="20"/>
                <w:color w:val="auto"/>
              </w:rPr>
            </w:pPr>
            <w:r>
              <w:rPr>
                <w:rFonts w:ascii="Arial" w:cs="Arial" w:eastAsia="Arial" w:hAnsi="Arial"/>
                <w:sz w:val="12"/>
                <w:szCs w:val="12"/>
                <w:b w:val="1"/>
                <w:bCs w:val="1"/>
                <w:color w:val="002B5F"/>
                <w:w w:val="98"/>
              </w:rPr>
              <w:t>Value of</w:t>
            </w:r>
          </w:p>
        </w:tc>
        <w:tc>
          <w:tcPr>
            <w:tcW w:w="0" w:type="dxa"/>
            <w:vAlign w:val="bottom"/>
          </w:tcPr>
          <w:p>
            <w:pPr>
              <w:spacing w:after="0"/>
              <w:rPr>
                <w:sz w:val="1"/>
                <w:szCs w:val="1"/>
                <w:color w:val="auto"/>
              </w:rPr>
            </w:pPr>
          </w:p>
        </w:tc>
      </w:tr>
      <w:tr>
        <w:trPr>
          <w:trHeight w:val="128"/>
        </w:trPr>
        <w:tc>
          <w:tcPr>
            <w:tcW w:w="1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3"/>
          </w:tcPr>
          <w:p>
            <w:pPr>
              <w:jc w:val="center"/>
              <w:ind w:right="20"/>
              <w:spacing w:after="0" w:line="128" w:lineRule="exact"/>
              <w:rPr>
                <w:sz w:val="20"/>
                <w:szCs w:val="20"/>
                <w:color w:val="auto"/>
              </w:rPr>
            </w:pPr>
            <w:r>
              <w:rPr>
                <w:rFonts w:ascii="Arial" w:cs="Arial" w:eastAsia="Arial" w:hAnsi="Arial"/>
                <w:sz w:val="12"/>
                <w:szCs w:val="12"/>
                <w:b w:val="1"/>
                <w:bCs w:val="1"/>
                <w:color w:val="002B5F"/>
                <w:w w:val="98"/>
              </w:rPr>
              <w:t>Underlying</w:t>
            </w:r>
          </w:p>
        </w:tc>
        <w:tc>
          <w:tcPr>
            <w:tcW w:w="40" w:type="dxa"/>
            <w:vAlign w:val="bottom"/>
          </w:tcPr>
          <w:p>
            <w:pPr>
              <w:spacing w:after="0"/>
              <w:rPr>
                <w:sz w:val="11"/>
                <w:szCs w:val="11"/>
                <w:color w:val="auto"/>
              </w:rPr>
            </w:pPr>
          </w:p>
        </w:tc>
        <w:tc>
          <w:tcPr>
            <w:tcW w:w="940" w:type="dxa"/>
            <w:vAlign w:val="bottom"/>
            <w:gridSpan w:val="2"/>
          </w:tcPr>
          <w:p>
            <w:pPr>
              <w:jc w:val="center"/>
              <w:ind w:right="54"/>
              <w:spacing w:after="0" w:line="128" w:lineRule="exact"/>
              <w:rPr>
                <w:sz w:val="20"/>
                <w:szCs w:val="20"/>
                <w:color w:val="auto"/>
              </w:rPr>
            </w:pPr>
            <w:r>
              <w:rPr>
                <w:rFonts w:ascii="Arial" w:cs="Arial" w:eastAsia="Arial" w:hAnsi="Arial"/>
                <w:sz w:val="12"/>
                <w:szCs w:val="12"/>
                <w:b w:val="1"/>
                <w:bCs w:val="1"/>
                <w:color w:val="002B5F"/>
                <w:w w:val="98"/>
              </w:rPr>
              <w:t>Underlying</w:t>
            </w:r>
          </w:p>
        </w:tc>
        <w:tc>
          <w:tcPr>
            <w:tcW w:w="740" w:type="dxa"/>
            <w:vAlign w:val="bottom"/>
            <w:vMerge w:val="restart"/>
          </w:tcPr>
          <w:p>
            <w:pPr>
              <w:jc w:val="center"/>
              <w:spacing w:after="0"/>
              <w:rPr>
                <w:sz w:val="20"/>
                <w:szCs w:val="20"/>
                <w:color w:val="auto"/>
              </w:rPr>
            </w:pPr>
            <w:r>
              <w:rPr>
                <w:rFonts w:ascii="Arial" w:cs="Arial" w:eastAsia="Arial" w:hAnsi="Arial"/>
                <w:sz w:val="12"/>
                <w:szCs w:val="12"/>
                <w:b w:val="1"/>
                <w:bCs w:val="1"/>
                <w:color w:val="002B5F"/>
                <w:w w:val="98"/>
              </w:rPr>
              <w:t>Option</w:t>
            </w: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jc w:val="center"/>
              <w:spacing w:after="0" w:line="128" w:lineRule="exact"/>
              <w:rPr>
                <w:sz w:val="20"/>
                <w:szCs w:val="20"/>
                <w:color w:val="auto"/>
              </w:rPr>
            </w:pPr>
            <w:r>
              <w:rPr>
                <w:rFonts w:ascii="Arial" w:cs="Arial" w:eastAsia="Arial" w:hAnsi="Arial"/>
                <w:sz w:val="12"/>
                <w:szCs w:val="12"/>
                <w:b w:val="1"/>
                <w:bCs w:val="1"/>
                <w:color w:val="002B5F"/>
                <w:w w:val="97"/>
              </w:rPr>
              <w:t>Stock</w:t>
            </w:r>
          </w:p>
        </w:tc>
        <w:tc>
          <w:tcPr>
            <w:tcW w:w="800" w:type="dxa"/>
            <w:vAlign w:val="bottom"/>
          </w:tcPr>
          <w:p>
            <w:pPr>
              <w:jc w:val="center"/>
              <w:spacing w:after="0" w:line="128" w:lineRule="exact"/>
              <w:rPr>
                <w:sz w:val="20"/>
                <w:szCs w:val="20"/>
                <w:color w:val="auto"/>
              </w:rPr>
            </w:pPr>
            <w:r>
              <w:rPr>
                <w:rFonts w:ascii="Arial" w:cs="Arial" w:eastAsia="Arial" w:hAnsi="Arial"/>
                <w:sz w:val="12"/>
                <w:szCs w:val="12"/>
                <w:b w:val="1"/>
                <w:bCs w:val="1"/>
                <w:color w:val="002B5F"/>
                <w:w w:val="98"/>
              </w:rPr>
              <w:t>Units of</w:t>
            </w:r>
          </w:p>
        </w:tc>
        <w:tc>
          <w:tcPr>
            <w:tcW w:w="800" w:type="dxa"/>
            <w:vAlign w:val="bottom"/>
          </w:tcPr>
          <w:p>
            <w:pPr>
              <w:jc w:val="center"/>
              <w:spacing w:after="0" w:line="128" w:lineRule="exact"/>
              <w:rPr>
                <w:sz w:val="20"/>
                <w:szCs w:val="20"/>
                <w:color w:val="auto"/>
              </w:rPr>
            </w:pPr>
            <w:r>
              <w:rPr>
                <w:rFonts w:ascii="Arial" w:cs="Arial" w:eastAsia="Arial" w:hAnsi="Arial"/>
                <w:sz w:val="12"/>
                <w:szCs w:val="12"/>
                <w:b w:val="1"/>
                <w:bCs w:val="1"/>
                <w:color w:val="002B5F"/>
                <w:w w:val="96"/>
              </w:rPr>
              <w:t>Units or</w:t>
            </w:r>
          </w:p>
        </w:tc>
        <w:tc>
          <w:tcPr>
            <w:tcW w:w="760" w:type="dxa"/>
            <w:vAlign w:val="bottom"/>
          </w:tcPr>
          <w:p>
            <w:pPr>
              <w:jc w:val="center"/>
              <w:spacing w:after="0" w:line="128" w:lineRule="exact"/>
              <w:rPr>
                <w:sz w:val="20"/>
                <w:szCs w:val="20"/>
                <w:color w:val="auto"/>
              </w:rPr>
            </w:pPr>
            <w:r>
              <w:rPr>
                <w:rFonts w:ascii="Arial" w:cs="Arial" w:eastAsia="Arial" w:hAnsi="Arial"/>
                <w:sz w:val="12"/>
                <w:szCs w:val="12"/>
                <w:b w:val="1"/>
                <w:bCs w:val="1"/>
                <w:color w:val="002B5F"/>
              </w:rPr>
              <w:t>Unearned</w:t>
            </w:r>
          </w:p>
        </w:tc>
        <w:tc>
          <w:tcPr>
            <w:tcW w:w="0" w:type="dxa"/>
            <w:vAlign w:val="bottom"/>
          </w:tcPr>
          <w:p>
            <w:pPr>
              <w:spacing w:after="0"/>
              <w:rPr>
                <w:sz w:val="1"/>
                <w:szCs w:val="1"/>
                <w:color w:val="auto"/>
              </w:rPr>
            </w:pPr>
          </w:p>
        </w:tc>
      </w:tr>
      <w:tr>
        <w:trPr>
          <w:trHeight w:val="128"/>
        </w:trPr>
        <w:tc>
          <w:tcPr>
            <w:tcW w:w="1660" w:type="dxa"/>
            <w:vAlign w:val="bottom"/>
          </w:tcPr>
          <w:p>
            <w:pPr>
              <w:spacing w:after="0"/>
              <w:rPr>
                <w:sz w:val="11"/>
                <w:szCs w:val="11"/>
                <w:color w:val="auto"/>
              </w:rPr>
            </w:pPr>
          </w:p>
        </w:tc>
        <w:tc>
          <w:tcPr>
            <w:tcW w:w="760" w:type="dxa"/>
            <w:vAlign w:val="bottom"/>
            <w:gridSpan w:val="4"/>
          </w:tcPr>
          <w:p>
            <w:pPr>
              <w:jc w:val="center"/>
              <w:spacing w:after="0" w:line="128" w:lineRule="exact"/>
              <w:rPr>
                <w:sz w:val="20"/>
                <w:szCs w:val="20"/>
                <w:color w:val="auto"/>
              </w:rPr>
            </w:pPr>
            <w:r>
              <w:rPr>
                <w:rFonts w:ascii="Arial" w:cs="Arial" w:eastAsia="Arial" w:hAnsi="Arial"/>
                <w:sz w:val="12"/>
                <w:szCs w:val="12"/>
                <w:b w:val="1"/>
                <w:bCs w:val="1"/>
                <w:color w:val="002B5F"/>
              </w:rPr>
              <w:t>Unexercised</w:t>
            </w:r>
          </w:p>
        </w:tc>
        <w:tc>
          <w:tcPr>
            <w:tcW w:w="40" w:type="dxa"/>
            <w:vAlign w:val="bottom"/>
          </w:tcPr>
          <w:p>
            <w:pPr>
              <w:spacing w:after="0"/>
              <w:rPr>
                <w:sz w:val="11"/>
                <w:szCs w:val="11"/>
                <w:color w:val="auto"/>
              </w:rPr>
            </w:pPr>
          </w:p>
        </w:tc>
        <w:tc>
          <w:tcPr>
            <w:tcW w:w="940" w:type="dxa"/>
            <w:vAlign w:val="bottom"/>
            <w:gridSpan w:val="2"/>
          </w:tcPr>
          <w:p>
            <w:pPr>
              <w:jc w:val="center"/>
              <w:ind w:right="54"/>
              <w:spacing w:after="0" w:line="128" w:lineRule="exact"/>
              <w:rPr>
                <w:sz w:val="20"/>
                <w:szCs w:val="20"/>
                <w:color w:val="auto"/>
              </w:rPr>
            </w:pPr>
            <w:r>
              <w:rPr>
                <w:rFonts w:ascii="Arial" w:cs="Arial" w:eastAsia="Arial" w:hAnsi="Arial"/>
                <w:sz w:val="12"/>
                <w:szCs w:val="12"/>
                <w:b w:val="1"/>
                <w:bCs w:val="1"/>
                <w:color w:val="002B5F"/>
                <w:w w:val="98"/>
              </w:rPr>
              <w:t>Unexercised</w:t>
            </w:r>
          </w:p>
        </w:tc>
        <w:tc>
          <w:tcPr>
            <w:tcW w:w="740" w:type="dxa"/>
            <w:vAlign w:val="bottom"/>
            <w:vMerge w:val="continue"/>
          </w:tcPr>
          <w:p>
            <w:pPr>
              <w:spacing w:after="0"/>
              <w:rPr>
                <w:sz w:val="11"/>
                <w:szCs w:val="11"/>
                <w:color w:val="auto"/>
              </w:rPr>
            </w:pPr>
          </w:p>
        </w:tc>
        <w:tc>
          <w:tcPr>
            <w:tcW w:w="800" w:type="dxa"/>
            <w:vAlign w:val="bottom"/>
            <w:vMerge w:val="restart"/>
          </w:tcPr>
          <w:p>
            <w:pPr>
              <w:ind w:left="240"/>
              <w:spacing w:after="0"/>
              <w:rPr>
                <w:sz w:val="20"/>
                <w:szCs w:val="20"/>
                <w:color w:val="auto"/>
              </w:rPr>
            </w:pPr>
            <w:r>
              <w:rPr>
                <w:rFonts w:ascii="Arial" w:cs="Arial" w:eastAsia="Arial" w:hAnsi="Arial"/>
                <w:sz w:val="12"/>
                <w:szCs w:val="12"/>
                <w:b w:val="1"/>
                <w:bCs w:val="1"/>
                <w:color w:val="002B5F"/>
              </w:rPr>
              <w:t>Option</w:t>
            </w:r>
          </w:p>
        </w:tc>
        <w:tc>
          <w:tcPr>
            <w:tcW w:w="40" w:type="dxa"/>
            <w:vAlign w:val="bottom"/>
          </w:tcPr>
          <w:p>
            <w:pPr>
              <w:spacing w:after="0"/>
              <w:rPr>
                <w:sz w:val="11"/>
                <w:szCs w:val="11"/>
                <w:color w:val="auto"/>
              </w:rPr>
            </w:pPr>
          </w:p>
        </w:tc>
        <w:tc>
          <w:tcPr>
            <w:tcW w:w="620" w:type="dxa"/>
            <w:vAlign w:val="bottom"/>
          </w:tcPr>
          <w:p>
            <w:pPr>
              <w:jc w:val="center"/>
              <w:spacing w:after="0" w:line="128" w:lineRule="exact"/>
              <w:rPr>
                <w:sz w:val="20"/>
                <w:szCs w:val="20"/>
                <w:color w:val="auto"/>
              </w:rPr>
            </w:pPr>
            <w:r>
              <w:rPr>
                <w:rFonts w:ascii="Arial" w:cs="Arial" w:eastAsia="Arial" w:hAnsi="Arial"/>
                <w:sz w:val="12"/>
                <w:szCs w:val="12"/>
                <w:b w:val="1"/>
                <w:bCs w:val="1"/>
                <w:color w:val="002B5F"/>
                <w:w w:val="94"/>
              </w:rPr>
              <w:t>That</w:t>
            </w:r>
          </w:p>
        </w:tc>
        <w:tc>
          <w:tcPr>
            <w:tcW w:w="800" w:type="dxa"/>
            <w:vAlign w:val="bottom"/>
          </w:tcPr>
          <w:p>
            <w:pPr>
              <w:jc w:val="center"/>
              <w:spacing w:after="0" w:line="128" w:lineRule="exact"/>
              <w:rPr>
                <w:sz w:val="20"/>
                <w:szCs w:val="20"/>
                <w:color w:val="auto"/>
              </w:rPr>
            </w:pPr>
            <w:r>
              <w:rPr>
                <w:rFonts w:ascii="Arial" w:cs="Arial" w:eastAsia="Arial" w:hAnsi="Arial"/>
                <w:sz w:val="12"/>
                <w:szCs w:val="12"/>
                <w:b w:val="1"/>
                <w:bCs w:val="1"/>
                <w:color w:val="002B5F"/>
                <w:w w:val="97"/>
              </w:rPr>
              <w:t>Stock That</w:t>
            </w:r>
          </w:p>
        </w:tc>
        <w:tc>
          <w:tcPr>
            <w:tcW w:w="1560" w:type="dxa"/>
            <w:vAlign w:val="bottom"/>
            <w:gridSpan w:val="2"/>
          </w:tcPr>
          <w:p>
            <w:pPr>
              <w:jc w:val="right"/>
              <w:spacing w:after="0" w:line="128" w:lineRule="exact"/>
              <w:rPr>
                <w:sz w:val="20"/>
                <w:szCs w:val="20"/>
                <w:color w:val="auto"/>
              </w:rPr>
            </w:pPr>
            <w:r>
              <w:rPr>
                <w:rFonts w:ascii="Arial" w:cs="Arial" w:eastAsia="Arial" w:hAnsi="Arial"/>
                <w:sz w:val="12"/>
                <w:szCs w:val="12"/>
                <w:b w:val="1"/>
                <w:bCs w:val="1"/>
                <w:color w:val="002B5F"/>
              </w:rPr>
              <w:t>Other Rights  Shares That</w:t>
            </w:r>
          </w:p>
        </w:tc>
        <w:tc>
          <w:tcPr>
            <w:tcW w:w="0" w:type="dxa"/>
            <w:vAlign w:val="bottom"/>
          </w:tcPr>
          <w:p>
            <w:pPr>
              <w:spacing w:after="0"/>
              <w:rPr>
                <w:sz w:val="1"/>
                <w:szCs w:val="1"/>
                <w:color w:val="auto"/>
              </w:rPr>
            </w:pPr>
          </w:p>
        </w:tc>
      </w:tr>
      <w:tr>
        <w:trPr>
          <w:trHeight w:val="128"/>
        </w:trPr>
        <w:tc>
          <w:tcPr>
            <w:tcW w:w="1660" w:type="dxa"/>
            <w:vAlign w:val="bottom"/>
            <w:vMerge w:val="restart"/>
          </w:tcPr>
          <w:p>
            <w:pPr>
              <w:ind w:left="60"/>
              <w:spacing w:after="0"/>
              <w:rPr>
                <w:sz w:val="20"/>
                <w:szCs w:val="20"/>
                <w:color w:val="auto"/>
              </w:rPr>
            </w:pPr>
            <w:r>
              <w:rPr>
                <w:rFonts w:ascii="Arial" w:cs="Arial" w:eastAsia="Arial" w:hAnsi="Arial"/>
                <w:sz w:val="12"/>
                <w:szCs w:val="12"/>
                <w:b w:val="1"/>
                <w:bCs w:val="1"/>
                <w:color w:val="002B5F"/>
              </w:rPr>
              <w:t>Named</w:t>
            </w:r>
          </w:p>
        </w:tc>
        <w:tc>
          <w:tcPr>
            <w:tcW w:w="40" w:type="dxa"/>
            <w:vAlign w:val="bottom"/>
          </w:tcPr>
          <w:p>
            <w:pPr>
              <w:spacing w:after="0"/>
              <w:rPr>
                <w:sz w:val="11"/>
                <w:szCs w:val="11"/>
                <w:color w:val="auto"/>
              </w:rPr>
            </w:pPr>
          </w:p>
        </w:tc>
        <w:tc>
          <w:tcPr>
            <w:tcW w:w="720" w:type="dxa"/>
            <w:vAlign w:val="bottom"/>
            <w:gridSpan w:val="3"/>
          </w:tcPr>
          <w:p>
            <w:pPr>
              <w:jc w:val="center"/>
              <w:spacing w:after="0" w:line="128" w:lineRule="exact"/>
              <w:rPr>
                <w:sz w:val="20"/>
                <w:szCs w:val="20"/>
                <w:color w:val="auto"/>
              </w:rPr>
            </w:pPr>
            <w:r>
              <w:rPr>
                <w:rFonts w:ascii="Arial" w:cs="Arial" w:eastAsia="Arial" w:hAnsi="Arial"/>
                <w:sz w:val="12"/>
                <w:szCs w:val="12"/>
                <w:b w:val="1"/>
                <w:bCs w:val="1"/>
                <w:color w:val="002B5F"/>
                <w:w w:val="96"/>
              </w:rPr>
              <w:t>Options</w:t>
            </w:r>
          </w:p>
        </w:tc>
        <w:tc>
          <w:tcPr>
            <w:tcW w:w="40" w:type="dxa"/>
            <w:vAlign w:val="bottom"/>
          </w:tcPr>
          <w:p>
            <w:pPr>
              <w:spacing w:after="0"/>
              <w:rPr>
                <w:sz w:val="11"/>
                <w:szCs w:val="11"/>
                <w:color w:val="auto"/>
              </w:rPr>
            </w:pPr>
          </w:p>
        </w:tc>
        <w:tc>
          <w:tcPr>
            <w:tcW w:w="940" w:type="dxa"/>
            <w:vAlign w:val="bottom"/>
            <w:gridSpan w:val="2"/>
          </w:tcPr>
          <w:p>
            <w:pPr>
              <w:jc w:val="center"/>
              <w:ind w:right="54"/>
              <w:spacing w:after="0" w:line="128" w:lineRule="exact"/>
              <w:rPr>
                <w:sz w:val="20"/>
                <w:szCs w:val="20"/>
                <w:color w:val="auto"/>
              </w:rPr>
            </w:pPr>
            <w:r>
              <w:rPr>
                <w:rFonts w:ascii="Arial" w:cs="Arial" w:eastAsia="Arial" w:hAnsi="Arial"/>
                <w:sz w:val="12"/>
                <w:szCs w:val="12"/>
                <w:b w:val="1"/>
                <w:bCs w:val="1"/>
                <w:color w:val="002B5F"/>
              </w:rPr>
              <w:t>Options</w:t>
            </w:r>
          </w:p>
        </w:tc>
        <w:tc>
          <w:tcPr>
            <w:tcW w:w="740" w:type="dxa"/>
            <w:vAlign w:val="bottom"/>
          </w:tcPr>
          <w:p>
            <w:pPr>
              <w:jc w:val="center"/>
              <w:spacing w:after="0" w:line="128" w:lineRule="exact"/>
              <w:rPr>
                <w:sz w:val="20"/>
                <w:szCs w:val="20"/>
                <w:color w:val="auto"/>
              </w:rPr>
            </w:pPr>
            <w:r>
              <w:rPr>
                <w:rFonts w:ascii="Arial" w:cs="Arial" w:eastAsia="Arial" w:hAnsi="Arial"/>
                <w:sz w:val="12"/>
                <w:szCs w:val="12"/>
                <w:b w:val="1"/>
                <w:bCs w:val="1"/>
                <w:color w:val="002B5F"/>
              </w:rPr>
              <w:t>Exercise</w:t>
            </w:r>
          </w:p>
        </w:tc>
        <w:tc>
          <w:tcPr>
            <w:tcW w:w="80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jc w:val="center"/>
              <w:spacing w:after="0" w:line="128" w:lineRule="exact"/>
              <w:rPr>
                <w:sz w:val="20"/>
                <w:szCs w:val="20"/>
                <w:color w:val="auto"/>
              </w:rPr>
            </w:pPr>
            <w:r>
              <w:rPr>
                <w:rFonts w:ascii="Arial" w:cs="Arial" w:eastAsia="Arial" w:hAnsi="Arial"/>
                <w:sz w:val="12"/>
                <w:szCs w:val="12"/>
                <w:b w:val="1"/>
                <w:bCs w:val="1"/>
                <w:color w:val="002B5F"/>
                <w:w w:val="99"/>
              </w:rPr>
              <w:t>Have Not</w:t>
            </w:r>
          </w:p>
        </w:tc>
        <w:tc>
          <w:tcPr>
            <w:tcW w:w="800" w:type="dxa"/>
            <w:vAlign w:val="bottom"/>
          </w:tcPr>
          <w:p>
            <w:pPr>
              <w:jc w:val="center"/>
              <w:spacing w:after="0" w:line="128" w:lineRule="exact"/>
              <w:rPr>
                <w:sz w:val="20"/>
                <w:szCs w:val="20"/>
                <w:color w:val="auto"/>
              </w:rPr>
            </w:pPr>
            <w:r>
              <w:rPr>
                <w:rFonts w:ascii="Arial" w:cs="Arial" w:eastAsia="Arial" w:hAnsi="Arial"/>
                <w:sz w:val="12"/>
                <w:szCs w:val="12"/>
                <w:b w:val="1"/>
                <w:bCs w:val="1"/>
                <w:color w:val="002B5F"/>
                <w:w w:val="99"/>
              </w:rPr>
              <w:t>Have Not</w:t>
            </w:r>
          </w:p>
        </w:tc>
        <w:tc>
          <w:tcPr>
            <w:tcW w:w="800" w:type="dxa"/>
            <w:vAlign w:val="bottom"/>
          </w:tcPr>
          <w:p>
            <w:pPr>
              <w:jc w:val="center"/>
              <w:spacing w:after="0" w:line="128" w:lineRule="exact"/>
              <w:rPr>
                <w:sz w:val="20"/>
                <w:szCs w:val="20"/>
                <w:color w:val="auto"/>
              </w:rPr>
            </w:pPr>
            <w:r>
              <w:rPr>
                <w:rFonts w:ascii="Arial" w:cs="Arial" w:eastAsia="Arial" w:hAnsi="Arial"/>
                <w:sz w:val="12"/>
                <w:szCs w:val="12"/>
                <w:b w:val="1"/>
                <w:bCs w:val="1"/>
                <w:color w:val="002B5F"/>
                <w:w w:val="97"/>
              </w:rPr>
              <w:t>That Have</w:t>
            </w:r>
          </w:p>
        </w:tc>
        <w:tc>
          <w:tcPr>
            <w:tcW w:w="760" w:type="dxa"/>
            <w:vAlign w:val="bottom"/>
          </w:tcPr>
          <w:p>
            <w:pPr>
              <w:jc w:val="center"/>
              <w:spacing w:after="0" w:line="128" w:lineRule="exact"/>
              <w:rPr>
                <w:sz w:val="20"/>
                <w:szCs w:val="20"/>
                <w:color w:val="auto"/>
              </w:rPr>
            </w:pPr>
            <w:r>
              <w:rPr>
                <w:rFonts w:ascii="Arial" w:cs="Arial" w:eastAsia="Arial" w:hAnsi="Arial"/>
                <w:sz w:val="12"/>
                <w:szCs w:val="12"/>
                <w:b w:val="1"/>
                <w:bCs w:val="1"/>
                <w:color w:val="002B5F"/>
                <w:w w:val="99"/>
              </w:rPr>
              <w:t>Have Not</w:t>
            </w:r>
          </w:p>
        </w:tc>
        <w:tc>
          <w:tcPr>
            <w:tcW w:w="0" w:type="dxa"/>
            <w:vAlign w:val="bottom"/>
          </w:tcPr>
          <w:p>
            <w:pPr>
              <w:spacing w:after="0"/>
              <w:rPr>
                <w:sz w:val="1"/>
                <w:szCs w:val="1"/>
                <w:color w:val="auto"/>
              </w:rPr>
            </w:pPr>
          </w:p>
        </w:tc>
      </w:tr>
      <w:tr>
        <w:trPr>
          <w:trHeight w:val="128"/>
        </w:trPr>
        <w:tc>
          <w:tcPr>
            <w:tcW w:w="1660" w:type="dxa"/>
            <w:vAlign w:val="bottom"/>
            <w:vMerge w:val="continue"/>
          </w:tcPr>
          <w:p>
            <w:pPr>
              <w:spacing w:after="0"/>
              <w:rPr>
                <w:sz w:val="11"/>
                <w:szCs w:val="11"/>
                <w:color w:val="auto"/>
              </w:rPr>
            </w:pPr>
          </w:p>
        </w:tc>
        <w:tc>
          <w:tcPr>
            <w:tcW w:w="700" w:type="dxa"/>
            <w:vAlign w:val="bottom"/>
            <w:gridSpan w:val="3"/>
          </w:tcPr>
          <w:p>
            <w:pPr>
              <w:jc w:val="center"/>
              <w:ind w:left="18"/>
              <w:spacing w:after="0" w:line="128" w:lineRule="exact"/>
              <w:rPr>
                <w:sz w:val="20"/>
                <w:szCs w:val="20"/>
                <w:color w:val="auto"/>
              </w:rPr>
            </w:pPr>
            <w:r>
              <w:rPr>
                <w:rFonts w:ascii="Arial" w:cs="Arial" w:eastAsia="Arial" w:hAnsi="Arial"/>
                <w:sz w:val="12"/>
                <w:szCs w:val="12"/>
                <w:b w:val="1"/>
                <w:bCs w:val="1"/>
                <w:color w:val="002B5F"/>
                <w:w w:val="95"/>
              </w:rPr>
              <w:t>(#)</w:t>
            </w:r>
          </w:p>
        </w:tc>
        <w:tc>
          <w:tcPr>
            <w:tcW w:w="60" w:type="dxa"/>
            <w:vAlign w:val="bottom"/>
          </w:tcPr>
          <w:p>
            <w:pPr>
              <w:spacing w:after="0"/>
              <w:rPr>
                <w:sz w:val="11"/>
                <w:szCs w:val="11"/>
                <w:color w:val="auto"/>
              </w:rPr>
            </w:pPr>
          </w:p>
        </w:tc>
        <w:tc>
          <w:tcPr>
            <w:tcW w:w="980" w:type="dxa"/>
            <w:vAlign w:val="bottom"/>
            <w:gridSpan w:val="3"/>
          </w:tcPr>
          <w:p>
            <w:pPr>
              <w:jc w:val="center"/>
              <w:ind w:right="14"/>
              <w:spacing w:after="0" w:line="128" w:lineRule="exact"/>
              <w:rPr>
                <w:sz w:val="20"/>
                <w:szCs w:val="20"/>
                <w:color w:val="auto"/>
              </w:rPr>
            </w:pPr>
            <w:r>
              <w:rPr>
                <w:rFonts w:ascii="Arial" w:cs="Arial" w:eastAsia="Arial" w:hAnsi="Arial"/>
                <w:sz w:val="12"/>
                <w:szCs w:val="12"/>
                <w:b w:val="1"/>
                <w:bCs w:val="1"/>
                <w:color w:val="002B5F"/>
                <w:w w:val="95"/>
              </w:rPr>
              <w:t>(#)</w:t>
            </w:r>
          </w:p>
        </w:tc>
        <w:tc>
          <w:tcPr>
            <w:tcW w:w="740" w:type="dxa"/>
            <w:vAlign w:val="bottom"/>
          </w:tcPr>
          <w:p>
            <w:pPr>
              <w:jc w:val="center"/>
              <w:spacing w:after="0" w:line="128" w:lineRule="exact"/>
              <w:rPr>
                <w:sz w:val="20"/>
                <w:szCs w:val="20"/>
                <w:color w:val="auto"/>
              </w:rPr>
            </w:pPr>
            <w:r>
              <w:rPr>
                <w:rFonts w:ascii="Arial" w:cs="Arial" w:eastAsia="Arial" w:hAnsi="Arial"/>
                <w:sz w:val="12"/>
                <w:szCs w:val="12"/>
                <w:b w:val="1"/>
                <w:bCs w:val="1"/>
                <w:color w:val="002B5F"/>
              </w:rPr>
              <w:t>Price</w:t>
            </w:r>
          </w:p>
        </w:tc>
        <w:tc>
          <w:tcPr>
            <w:tcW w:w="800" w:type="dxa"/>
            <w:vAlign w:val="bottom"/>
          </w:tcPr>
          <w:p>
            <w:pPr>
              <w:ind w:left="140"/>
              <w:spacing w:after="0" w:line="128" w:lineRule="exact"/>
              <w:rPr>
                <w:sz w:val="20"/>
                <w:szCs w:val="20"/>
                <w:color w:val="auto"/>
              </w:rPr>
            </w:pPr>
            <w:r>
              <w:rPr>
                <w:rFonts w:ascii="Arial" w:cs="Arial" w:eastAsia="Arial" w:hAnsi="Arial"/>
                <w:sz w:val="12"/>
                <w:szCs w:val="12"/>
                <w:b w:val="1"/>
                <w:bCs w:val="1"/>
                <w:color w:val="002B5F"/>
              </w:rPr>
              <w:t>Expiration</w:t>
            </w:r>
          </w:p>
        </w:tc>
        <w:tc>
          <w:tcPr>
            <w:tcW w:w="40" w:type="dxa"/>
            <w:vAlign w:val="bottom"/>
          </w:tcPr>
          <w:p>
            <w:pPr>
              <w:spacing w:after="0"/>
              <w:rPr>
                <w:sz w:val="11"/>
                <w:szCs w:val="11"/>
                <w:color w:val="auto"/>
              </w:rPr>
            </w:pPr>
          </w:p>
        </w:tc>
        <w:tc>
          <w:tcPr>
            <w:tcW w:w="620" w:type="dxa"/>
            <w:vAlign w:val="bottom"/>
          </w:tcPr>
          <w:p>
            <w:pPr>
              <w:jc w:val="center"/>
              <w:spacing w:after="0" w:line="128" w:lineRule="exact"/>
              <w:rPr>
                <w:sz w:val="20"/>
                <w:szCs w:val="20"/>
                <w:color w:val="auto"/>
              </w:rPr>
            </w:pPr>
            <w:r>
              <w:rPr>
                <w:rFonts w:ascii="Arial" w:cs="Arial" w:eastAsia="Arial" w:hAnsi="Arial"/>
                <w:sz w:val="12"/>
                <w:szCs w:val="12"/>
                <w:b w:val="1"/>
                <w:bCs w:val="1"/>
                <w:color w:val="002B5F"/>
              </w:rPr>
              <w:t>Vested</w:t>
            </w:r>
          </w:p>
        </w:tc>
        <w:tc>
          <w:tcPr>
            <w:tcW w:w="800" w:type="dxa"/>
            <w:vAlign w:val="bottom"/>
          </w:tcPr>
          <w:p>
            <w:pPr>
              <w:jc w:val="center"/>
              <w:spacing w:after="0" w:line="128" w:lineRule="exact"/>
              <w:rPr>
                <w:sz w:val="20"/>
                <w:szCs w:val="20"/>
                <w:color w:val="auto"/>
              </w:rPr>
            </w:pPr>
            <w:r>
              <w:rPr>
                <w:rFonts w:ascii="Arial" w:cs="Arial" w:eastAsia="Arial" w:hAnsi="Arial"/>
                <w:sz w:val="12"/>
                <w:szCs w:val="12"/>
                <w:b w:val="1"/>
                <w:bCs w:val="1"/>
                <w:color w:val="002B5F"/>
              </w:rPr>
              <w:t>Vested</w:t>
            </w:r>
          </w:p>
        </w:tc>
        <w:tc>
          <w:tcPr>
            <w:tcW w:w="800" w:type="dxa"/>
            <w:vAlign w:val="bottom"/>
          </w:tcPr>
          <w:p>
            <w:pPr>
              <w:jc w:val="center"/>
              <w:spacing w:after="0" w:line="128" w:lineRule="exact"/>
              <w:rPr>
                <w:sz w:val="20"/>
                <w:szCs w:val="20"/>
                <w:color w:val="auto"/>
              </w:rPr>
            </w:pPr>
            <w:r>
              <w:rPr>
                <w:rFonts w:ascii="Arial" w:cs="Arial" w:eastAsia="Arial" w:hAnsi="Arial"/>
                <w:sz w:val="12"/>
                <w:szCs w:val="12"/>
                <w:b w:val="1"/>
                <w:bCs w:val="1"/>
                <w:color w:val="002B5F"/>
                <w:w w:val="98"/>
              </w:rPr>
              <w:t>Not Vested</w:t>
            </w:r>
          </w:p>
        </w:tc>
        <w:tc>
          <w:tcPr>
            <w:tcW w:w="760" w:type="dxa"/>
            <w:vAlign w:val="bottom"/>
          </w:tcPr>
          <w:p>
            <w:pPr>
              <w:jc w:val="center"/>
              <w:spacing w:after="0" w:line="128" w:lineRule="exact"/>
              <w:rPr>
                <w:sz w:val="20"/>
                <w:szCs w:val="20"/>
                <w:color w:val="auto"/>
              </w:rPr>
            </w:pPr>
            <w:r>
              <w:rPr>
                <w:rFonts w:ascii="Arial" w:cs="Arial" w:eastAsia="Arial" w:hAnsi="Arial"/>
                <w:sz w:val="12"/>
                <w:szCs w:val="12"/>
                <w:b w:val="1"/>
                <w:bCs w:val="1"/>
                <w:color w:val="002B5F"/>
                <w:w w:val="96"/>
              </w:rPr>
              <w:t>Vested</w:t>
            </w:r>
          </w:p>
        </w:tc>
        <w:tc>
          <w:tcPr>
            <w:tcW w:w="0" w:type="dxa"/>
            <w:vAlign w:val="bottom"/>
          </w:tcPr>
          <w:p>
            <w:pPr>
              <w:spacing w:after="0"/>
              <w:rPr>
                <w:sz w:val="1"/>
                <w:szCs w:val="1"/>
                <w:color w:val="auto"/>
              </w:rPr>
            </w:pPr>
          </w:p>
        </w:tc>
      </w:tr>
      <w:tr>
        <w:trPr>
          <w:trHeight w:val="184"/>
        </w:trPr>
        <w:tc>
          <w:tcPr>
            <w:tcW w:w="1660" w:type="dxa"/>
            <w:vAlign w:val="bottom"/>
            <w:tcBorders>
              <w:bottom w:val="single" w:sz="8" w:color="002B5F"/>
            </w:tcBorders>
          </w:tcPr>
          <w:p>
            <w:pPr>
              <w:ind w:left="60"/>
              <w:spacing w:after="0"/>
              <w:rPr>
                <w:sz w:val="20"/>
                <w:szCs w:val="20"/>
                <w:color w:val="auto"/>
              </w:rPr>
            </w:pPr>
            <w:r>
              <w:rPr>
                <w:rFonts w:ascii="Arial" w:cs="Arial" w:eastAsia="Arial" w:hAnsi="Arial"/>
                <w:sz w:val="12"/>
                <w:szCs w:val="12"/>
                <w:b w:val="1"/>
                <w:bCs w:val="1"/>
                <w:color w:val="002B5F"/>
              </w:rPr>
              <w:t>Executive Officer</w:t>
            </w:r>
          </w:p>
        </w:tc>
        <w:tc>
          <w:tcPr>
            <w:tcW w:w="40" w:type="dxa"/>
            <w:vAlign w:val="bottom"/>
            <w:tcBorders>
              <w:bottom w:val="single" w:sz="8" w:color="002B5F"/>
            </w:tcBorders>
          </w:tcPr>
          <w:p>
            <w:pPr>
              <w:spacing w:after="0"/>
              <w:rPr>
                <w:sz w:val="16"/>
                <w:szCs w:val="16"/>
                <w:color w:val="auto"/>
              </w:rPr>
            </w:pPr>
          </w:p>
        </w:tc>
        <w:tc>
          <w:tcPr>
            <w:tcW w:w="720" w:type="dxa"/>
            <w:vAlign w:val="bottom"/>
            <w:tcBorders>
              <w:bottom w:val="single" w:sz="8" w:color="002B5F"/>
            </w:tcBorders>
            <w:gridSpan w:val="3"/>
          </w:tcPr>
          <w:p>
            <w:pPr>
              <w:jc w:val="center"/>
              <w:ind w:right="20"/>
              <w:spacing w:after="0"/>
              <w:rPr>
                <w:sz w:val="20"/>
                <w:szCs w:val="20"/>
                <w:color w:val="auto"/>
              </w:rPr>
            </w:pPr>
            <w:r>
              <w:rPr>
                <w:rFonts w:ascii="Arial" w:cs="Arial" w:eastAsia="Arial" w:hAnsi="Arial"/>
                <w:sz w:val="12"/>
                <w:szCs w:val="12"/>
                <w:b w:val="1"/>
                <w:bCs w:val="1"/>
                <w:color w:val="002B5F"/>
                <w:w w:val="98"/>
              </w:rPr>
              <w:t>Exercisable</w:t>
            </w:r>
          </w:p>
        </w:tc>
        <w:tc>
          <w:tcPr>
            <w:tcW w:w="40" w:type="dxa"/>
            <w:vAlign w:val="bottom"/>
            <w:tcBorders>
              <w:bottom w:val="single" w:sz="8" w:color="002B5F"/>
            </w:tcBorders>
          </w:tcPr>
          <w:p>
            <w:pPr>
              <w:spacing w:after="0"/>
              <w:rPr>
                <w:sz w:val="16"/>
                <w:szCs w:val="16"/>
                <w:color w:val="auto"/>
              </w:rPr>
            </w:pPr>
          </w:p>
        </w:tc>
        <w:tc>
          <w:tcPr>
            <w:tcW w:w="940" w:type="dxa"/>
            <w:vAlign w:val="bottom"/>
            <w:tcBorders>
              <w:bottom w:val="single" w:sz="8" w:color="002B5F"/>
            </w:tcBorders>
            <w:gridSpan w:val="2"/>
          </w:tcPr>
          <w:p>
            <w:pPr>
              <w:jc w:val="center"/>
              <w:ind w:right="54"/>
              <w:spacing w:after="0"/>
              <w:rPr>
                <w:sz w:val="20"/>
                <w:szCs w:val="20"/>
                <w:color w:val="auto"/>
              </w:rPr>
            </w:pPr>
            <w:r>
              <w:rPr>
                <w:rFonts w:ascii="Arial" w:cs="Arial" w:eastAsia="Arial" w:hAnsi="Arial"/>
                <w:sz w:val="12"/>
                <w:szCs w:val="12"/>
                <w:b w:val="1"/>
                <w:bCs w:val="1"/>
                <w:color w:val="002B5F"/>
              </w:rPr>
              <w:t>Unexercisable</w:t>
            </w:r>
          </w:p>
        </w:tc>
        <w:tc>
          <w:tcPr>
            <w:tcW w:w="740" w:type="dxa"/>
            <w:vAlign w:val="bottom"/>
            <w:tcBorders>
              <w:bottom w:val="single" w:sz="8" w:color="002B5F"/>
            </w:tcBorders>
          </w:tcPr>
          <w:p>
            <w:pPr>
              <w:jc w:val="center"/>
              <w:spacing w:after="0"/>
              <w:rPr>
                <w:sz w:val="20"/>
                <w:szCs w:val="20"/>
                <w:color w:val="auto"/>
              </w:rPr>
            </w:pPr>
            <w:r>
              <w:rPr>
                <w:rFonts w:ascii="Arial" w:cs="Arial" w:eastAsia="Arial" w:hAnsi="Arial"/>
                <w:sz w:val="12"/>
                <w:szCs w:val="12"/>
                <w:b w:val="1"/>
                <w:bCs w:val="1"/>
                <w:color w:val="002B5F"/>
                <w:w w:val="95"/>
              </w:rPr>
              <w:t>($)</w:t>
            </w:r>
          </w:p>
        </w:tc>
        <w:tc>
          <w:tcPr>
            <w:tcW w:w="800" w:type="dxa"/>
            <w:vAlign w:val="bottom"/>
            <w:tcBorders>
              <w:bottom w:val="single" w:sz="8" w:color="002B5F"/>
            </w:tcBorders>
          </w:tcPr>
          <w:p>
            <w:pPr>
              <w:ind w:left="300"/>
              <w:spacing w:after="0"/>
              <w:rPr>
                <w:sz w:val="20"/>
                <w:szCs w:val="20"/>
                <w:color w:val="auto"/>
              </w:rPr>
            </w:pPr>
            <w:r>
              <w:rPr>
                <w:rFonts w:ascii="Arial" w:cs="Arial" w:eastAsia="Arial" w:hAnsi="Arial"/>
                <w:sz w:val="12"/>
                <w:szCs w:val="12"/>
                <w:b w:val="1"/>
                <w:bCs w:val="1"/>
                <w:color w:val="002B5F"/>
              </w:rPr>
              <w:t>Date</w:t>
            </w:r>
          </w:p>
        </w:tc>
        <w:tc>
          <w:tcPr>
            <w:tcW w:w="660" w:type="dxa"/>
            <w:vAlign w:val="bottom"/>
            <w:tcBorders>
              <w:bottom w:val="single" w:sz="8" w:color="002B5F"/>
            </w:tcBorders>
            <w:gridSpan w:val="2"/>
          </w:tcPr>
          <w:p>
            <w:pPr>
              <w:jc w:val="center"/>
              <w:spacing w:after="0"/>
              <w:rPr>
                <w:sz w:val="20"/>
                <w:szCs w:val="20"/>
                <w:color w:val="auto"/>
              </w:rPr>
            </w:pPr>
            <w:r>
              <w:rPr>
                <w:rFonts w:ascii="Arial" w:cs="Arial" w:eastAsia="Arial" w:hAnsi="Arial"/>
                <w:sz w:val="12"/>
                <w:szCs w:val="12"/>
                <w:b w:val="1"/>
                <w:bCs w:val="1"/>
                <w:color w:val="002B5F"/>
              </w:rPr>
              <w:t>(#)</w:t>
            </w:r>
          </w:p>
        </w:tc>
        <w:tc>
          <w:tcPr>
            <w:tcW w:w="800" w:type="dxa"/>
            <w:vAlign w:val="bottom"/>
            <w:tcBorders>
              <w:bottom w:val="single" w:sz="8" w:color="002B5F"/>
            </w:tcBorders>
          </w:tcPr>
          <w:p>
            <w:pPr>
              <w:jc w:val="center"/>
              <w:spacing w:after="0" w:line="179" w:lineRule="exact"/>
              <w:rPr>
                <w:sz w:val="20"/>
                <w:szCs w:val="20"/>
                <w:color w:val="auto"/>
              </w:rPr>
            </w:pPr>
            <w:r>
              <w:rPr>
                <w:rFonts w:ascii="Arial" w:cs="Arial" w:eastAsia="Arial" w:hAnsi="Arial"/>
                <w:sz w:val="12"/>
                <w:szCs w:val="12"/>
                <w:b w:val="1"/>
                <w:bCs w:val="1"/>
                <w:color w:val="002B5F"/>
                <w:w w:val="83"/>
              </w:rPr>
              <w:t>($)</w:t>
            </w:r>
            <w:r>
              <w:rPr>
                <w:rFonts w:ascii="Arial" w:cs="Arial" w:eastAsia="Arial" w:hAnsi="Arial"/>
                <w:sz w:val="17"/>
                <w:szCs w:val="17"/>
                <w:b w:val="1"/>
                <w:bCs w:val="1"/>
                <w:color w:val="002B5F"/>
                <w:w w:val="83"/>
                <w:vertAlign w:val="superscript"/>
              </w:rPr>
              <w:t>(1)</w:t>
            </w:r>
          </w:p>
        </w:tc>
        <w:tc>
          <w:tcPr>
            <w:tcW w:w="800" w:type="dxa"/>
            <w:vAlign w:val="bottom"/>
            <w:tcBorders>
              <w:bottom w:val="single" w:sz="8" w:color="002B5F"/>
            </w:tcBorders>
          </w:tcPr>
          <w:p>
            <w:pPr>
              <w:jc w:val="center"/>
              <w:spacing w:after="0"/>
              <w:rPr>
                <w:sz w:val="20"/>
                <w:szCs w:val="20"/>
                <w:color w:val="auto"/>
              </w:rPr>
            </w:pPr>
            <w:r>
              <w:rPr>
                <w:rFonts w:ascii="Arial" w:cs="Arial" w:eastAsia="Arial" w:hAnsi="Arial"/>
                <w:sz w:val="12"/>
                <w:szCs w:val="12"/>
                <w:b w:val="1"/>
                <w:bCs w:val="1"/>
                <w:color w:val="002B5F"/>
                <w:w w:val="95"/>
              </w:rPr>
              <w:t>(#)</w:t>
            </w:r>
          </w:p>
        </w:tc>
        <w:tc>
          <w:tcPr>
            <w:tcW w:w="760" w:type="dxa"/>
            <w:vAlign w:val="bottom"/>
            <w:tcBorders>
              <w:bottom w:val="single" w:sz="8" w:color="002B5F"/>
            </w:tcBorders>
          </w:tcPr>
          <w:p>
            <w:pPr>
              <w:jc w:val="center"/>
              <w:spacing w:after="0" w:line="179" w:lineRule="exact"/>
              <w:rPr>
                <w:sz w:val="20"/>
                <w:szCs w:val="20"/>
                <w:color w:val="auto"/>
              </w:rPr>
            </w:pPr>
            <w:r>
              <w:rPr>
                <w:rFonts w:ascii="Arial" w:cs="Arial" w:eastAsia="Arial" w:hAnsi="Arial"/>
                <w:sz w:val="12"/>
                <w:szCs w:val="12"/>
                <w:b w:val="1"/>
                <w:bCs w:val="1"/>
                <w:color w:val="002B5F"/>
                <w:w w:val="83"/>
              </w:rPr>
              <w:t>($)</w:t>
            </w:r>
            <w:r>
              <w:rPr>
                <w:rFonts w:ascii="Arial" w:cs="Arial" w:eastAsia="Arial" w:hAnsi="Arial"/>
                <w:sz w:val="17"/>
                <w:szCs w:val="17"/>
                <w:b w:val="1"/>
                <w:bCs w:val="1"/>
                <w:color w:val="002B5F"/>
                <w:w w:val="83"/>
                <w:vertAlign w:val="superscript"/>
              </w:rPr>
              <w:t>(2)</w:t>
            </w:r>
          </w:p>
        </w:tc>
        <w:tc>
          <w:tcPr>
            <w:tcW w:w="0" w:type="dxa"/>
            <w:vAlign w:val="bottom"/>
          </w:tcPr>
          <w:p>
            <w:pPr>
              <w:spacing w:after="0"/>
              <w:rPr>
                <w:sz w:val="1"/>
                <w:szCs w:val="1"/>
                <w:color w:val="auto"/>
              </w:rPr>
            </w:pPr>
          </w:p>
        </w:tc>
      </w:tr>
      <w:tr>
        <w:trPr>
          <w:trHeight w:val="255"/>
        </w:trPr>
        <w:tc>
          <w:tcPr>
            <w:tcW w:w="1660" w:type="dxa"/>
            <w:vAlign w:val="bottom"/>
            <w:shd w:val="clear" w:color="auto" w:fill="F7F1EC"/>
          </w:tcPr>
          <w:p>
            <w:pPr>
              <w:spacing w:after="0"/>
              <w:rPr>
                <w:sz w:val="22"/>
                <w:szCs w:val="22"/>
                <w:color w:val="auto"/>
              </w:rPr>
            </w:pPr>
          </w:p>
        </w:tc>
        <w:tc>
          <w:tcPr>
            <w:tcW w:w="40" w:type="dxa"/>
            <w:vAlign w:val="bottom"/>
            <w:shd w:val="clear" w:color="auto" w:fill="F7F1EC"/>
          </w:tcPr>
          <w:p>
            <w:pPr>
              <w:spacing w:after="0"/>
              <w:rPr>
                <w:sz w:val="22"/>
                <w:szCs w:val="22"/>
                <w:color w:val="auto"/>
              </w:rPr>
            </w:pPr>
          </w:p>
        </w:tc>
        <w:tc>
          <w:tcPr>
            <w:tcW w:w="320" w:type="dxa"/>
            <w:vAlign w:val="bottom"/>
            <w:shd w:val="clear" w:color="auto" w:fill="F7F1EC"/>
          </w:tcPr>
          <w:p>
            <w:pPr>
              <w:spacing w:after="0"/>
              <w:rPr>
                <w:sz w:val="22"/>
                <w:szCs w:val="22"/>
                <w:color w:val="auto"/>
              </w:rPr>
            </w:pPr>
          </w:p>
        </w:tc>
        <w:tc>
          <w:tcPr>
            <w:tcW w:w="400" w:type="dxa"/>
            <w:vAlign w:val="bottom"/>
            <w:gridSpan w:val="2"/>
            <w:shd w:val="clear" w:color="auto" w:fill="F7F1EC"/>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shd w:val="clear" w:color="auto" w:fill="F7F1EC"/>
          </w:tcPr>
          <w:p>
            <w:pPr>
              <w:spacing w:after="0"/>
              <w:rPr>
                <w:sz w:val="22"/>
                <w:szCs w:val="22"/>
                <w:color w:val="auto"/>
              </w:rPr>
            </w:pPr>
          </w:p>
        </w:tc>
        <w:tc>
          <w:tcPr>
            <w:tcW w:w="360" w:type="dxa"/>
            <w:vAlign w:val="bottom"/>
            <w:shd w:val="clear" w:color="auto" w:fill="F7F1EC"/>
          </w:tcPr>
          <w:p>
            <w:pPr>
              <w:spacing w:after="0"/>
              <w:rPr>
                <w:sz w:val="22"/>
                <w:szCs w:val="22"/>
                <w:color w:val="auto"/>
              </w:rPr>
            </w:pPr>
          </w:p>
        </w:tc>
        <w:tc>
          <w:tcPr>
            <w:tcW w:w="580" w:type="dxa"/>
            <w:vAlign w:val="bottom"/>
            <w:shd w:val="clear" w:color="auto" w:fill="F7F1EC"/>
          </w:tcPr>
          <w:p>
            <w:pPr>
              <w:ind w:left="40"/>
              <w:spacing w:after="0"/>
              <w:rPr>
                <w:sz w:val="20"/>
                <w:szCs w:val="20"/>
                <w:color w:val="auto"/>
              </w:rPr>
            </w:pPr>
            <w:r>
              <w:rPr>
                <w:rFonts w:ascii="Arial" w:cs="Arial" w:eastAsia="Arial" w:hAnsi="Arial"/>
                <w:sz w:val="14"/>
                <w:szCs w:val="14"/>
                <w:color w:val="auto"/>
              </w:rPr>
              <w:t>—</w:t>
            </w:r>
          </w:p>
        </w:tc>
        <w:tc>
          <w:tcPr>
            <w:tcW w:w="740" w:type="dxa"/>
            <w:vAlign w:val="bottom"/>
            <w:shd w:val="clear" w:color="auto" w:fill="F7F1EC"/>
          </w:tcPr>
          <w:p>
            <w:pPr>
              <w:jc w:val="right"/>
              <w:ind w:right="133"/>
              <w:spacing w:after="0"/>
              <w:rPr>
                <w:sz w:val="20"/>
                <w:szCs w:val="20"/>
                <w:color w:val="auto"/>
              </w:rPr>
            </w:pPr>
            <w:r>
              <w:rPr>
                <w:rFonts w:ascii="Arial" w:cs="Arial" w:eastAsia="Arial" w:hAnsi="Arial"/>
                <w:sz w:val="14"/>
                <w:szCs w:val="14"/>
                <w:color w:val="auto"/>
              </w:rPr>
              <w:t>—</w:t>
            </w:r>
          </w:p>
        </w:tc>
        <w:tc>
          <w:tcPr>
            <w:tcW w:w="800" w:type="dxa"/>
            <w:vAlign w:val="bottom"/>
            <w:shd w:val="clear" w:color="auto" w:fill="F7F1EC"/>
          </w:tcPr>
          <w:p>
            <w:pPr>
              <w:spacing w:after="0"/>
              <w:rPr>
                <w:sz w:val="22"/>
                <w:szCs w:val="22"/>
                <w:color w:val="auto"/>
              </w:rPr>
            </w:pPr>
          </w:p>
        </w:tc>
        <w:tc>
          <w:tcPr>
            <w:tcW w:w="660" w:type="dxa"/>
            <w:vAlign w:val="bottom"/>
            <w:gridSpan w:val="2"/>
            <w:shd w:val="clear" w:color="auto" w:fill="F7F1EC"/>
          </w:tcPr>
          <w:p>
            <w:pPr>
              <w:jc w:val="right"/>
              <w:spacing w:after="0"/>
              <w:rPr>
                <w:sz w:val="20"/>
                <w:szCs w:val="20"/>
                <w:color w:val="auto"/>
              </w:rPr>
            </w:pPr>
            <w:r>
              <w:rPr>
                <w:rFonts w:ascii="Arial" w:cs="Arial" w:eastAsia="Arial" w:hAnsi="Arial"/>
                <w:sz w:val="14"/>
                <w:szCs w:val="14"/>
                <w:color w:val="auto"/>
              </w:rPr>
              <w:t>619</w:t>
            </w:r>
            <w:r>
              <w:rPr>
                <w:rFonts w:ascii="Arial" w:cs="Arial" w:eastAsia="Arial" w:hAnsi="Arial"/>
                <w:sz w:val="20"/>
                <w:szCs w:val="20"/>
                <w:color w:val="auto"/>
                <w:vertAlign w:val="superscript"/>
              </w:rPr>
              <w:t>(3)</w:t>
            </w:r>
          </w:p>
        </w:tc>
        <w:tc>
          <w:tcPr>
            <w:tcW w:w="800" w:type="dxa"/>
            <w:vAlign w:val="bottom"/>
            <w:shd w:val="clear" w:color="auto" w:fill="F7F1EC"/>
          </w:tcPr>
          <w:p>
            <w:pPr>
              <w:jc w:val="right"/>
              <w:spacing w:after="0"/>
              <w:rPr>
                <w:sz w:val="20"/>
                <w:szCs w:val="20"/>
                <w:color w:val="auto"/>
              </w:rPr>
            </w:pPr>
            <w:r>
              <w:rPr>
                <w:rFonts w:ascii="Arial" w:cs="Arial" w:eastAsia="Arial" w:hAnsi="Arial"/>
                <w:sz w:val="14"/>
                <w:szCs w:val="14"/>
                <w:color w:val="auto"/>
              </w:rPr>
              <w:t>221,088</w:t>
            </w:r>
          </w:p>
        </w:tc>
        <w:tc>
          <w:tcPr>
            <w:tcW w:w="800" w:type="dxa"/>
            <w:vAlign w:val="bottom"/>
            <w:shd w:val="clear" w:color="auto" w:fill="F7F1EC"/>
          </w:tcPr>
          <w:p>
            <w:pPr>
              <w:jc w:val="right"/>
              <w:ind w:right="154"/>
              <w:spacing w:after="0"/>
              <w:rPr>
                <w:sz w:val="20"/>
                <w:szCs w:val="20"/>
                <w:color w:val="auto"/>
              </w:rPr>
            </w:pPr>
            <w:r>
              <w:rPr>
                <w:rFonts w:ascii="Arial" w:cs="Arial" w:eastAsia="Arial" w:hAnsi="Arial"/>
                <w:sz w:val="14"/>
                <w:szCs w:val="14"/>
                <w:color w:val="auto"/>
              </w:rPr>
              <w:t>—</w:t>
            </w:r>
          </w:p>
        </w:tc>
        <w:tc>
          <w:tcPr>
            <w:tcW w:w="760" w:type="dxa"/>
            <w:vAlign w:val="bottom"/>
            <w:shd w:val="clear" w:color="auto" w:fill="F7F1EC"/>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4"/>
        </w:trPr>
        <w:tc>
          <w:tcPr>
            <w:tcW w:w="1660" w:type="dxa"/>
            <w:vAlign w:val="bottom"/>
            <w:shd w:val="clear" w:color="auto" w:fill="F7F1EC"/>
          </w:tcPr>
          <w:p>
            <w:pPr>
              <w:spacing w:after="0"/>
              <w:rPr>
                <w:sz w:val="17"/>
                <w:szCs w:val="17"/>
                <w:color w:val="auto"/>
              </w:rPr>
            </w:pPr>
          </w:p>
        </w:tc>
        <w:tc>
          <w:tcPr>
            <w:tcW w:w="40" w:type="dxa"/>
            <w:vAlign w:val="bottom"/>
            <w:shd w:val="clear" w:color="auto" w:fill="F7F1EC"/>
          </w:tcPr>
          <w:p>
            <w:pPr>
              <w:spacing w:after="0"/>
              <w:rPr>
                <w:sz w:val="17"/>
                <w:szCs w:val="17"/>
                <w:color w:val="auto"/>
              </w:rPr>
            </w:pPr>
          </w:p>
        </w:tc>
        <w:tc>
          <w:tcPr>
            <w:tcW w:w="320" w:type="dxa"/>
            <w:vAlign w:val="bottom"/>
            <w:shd w:val="clear" w:color="auto" w:fill="F7F1EC"/>
          </w:tcPr>
          <w:p>
            <w:pPr>
              <w:spacing w:after="0"/>
              <w:rPr>
                <w:sz w:val="17"/>
                <w:szCs w:val="17"/>
                <w:color w:val="auto"/>
              </w:rPr>
            </w:pPr>
          </w:p>
        </w:tc>
        <w:tc>
          <w:tcPr>
            <w:tcW w:w="400" w:type="dxa"/>
            <w:vAlign w:val="bottom"/>
            <w:gridSpan w:val="2"/>
            <w:shd w:val="clear" w:color="auto" w:fill="F7F1EC"/>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shd w:val="clear" w:color="auto" w:fill="F7F1EC"/>
          </w:tcPr>
          <w:p>
            <w:pPr>
              <w:spacing w:after="0"/>
              <w:rPr>
                <w:sz w:val="17"/>
                <w:szCs w:val="17"/>
                <w:color w:val="auto"/>
              </w:rPr>
            </w:pPr>
          </w:p>
        </w:tc>
        <w:tc>
          <w:tcPr>
            <w:tcW w:w="360" w:type="dxa"/>
            <w:vAlign w:val="bottom"/>
            <w:shd w:val="clear" w:color="auto" w:fill="F7F1EC"/>
          </w:tcPr>
          <w:p>
            <w:pPr>
              <w:spacing w:after="0"/>
              <w:rPr>
                <w:sz w:val="17"/>
                <w:szCs w:val="17"/>
                <w:color w:val="auto"/>
              </w:rPr>
            </w:pPr>
          </w:p>
        </w:tc>
        <w:tc>
          <w:tcPr>
            <w:tcW w:w="580" w:type="dxa"/>
            <w:vAlign w:val="bottom"/>
            <w:shd w:val="clear" w:color="auto" w:fill="F7F1EC"/>
          </w:tcPr>
          <w:p>
            <w:pPr>
              <w:ind w:left="40"/>
              <w:spacing w:after="0"/>
              <w:rPr>
                <w:sz w:val="20"/>
                <w:szCs w:val="20"/>
                <w:color w:val="auto"/>
              </w:rPr>
            </w:pPr>
            <w:r>
              <w:rPr>
                <w:rFonts w:ascii="Arial" w:cs="Arial" w:eastAsia="Arial" w:hAnsi="Arial"/>
                <w:sz w:val="14"/>
                <w:szCs w:val="14"/>
                <w:color w:val="auto"/>
              </w:rPr>
              <w:t>—</w:t>
            </w:r>
          </w:p>
        </w:tc>
        <w:tc>
          <w:tcPr>
            <w:tcW w:w="740" w:type="dxa"/>
            <w:vAlign w:val="bottom"/>
            <w:shd w:val="clear" w:color="auto" w:fill="F7F1EC"/>
          </w:tcPr>
          <w:p>
            <w:pPr>
              <w:jc w:val="right"/>
              <w:ind w:right="133"/>
              <w:spacing w:after="0"/>
              <w:rPr>
                <w:sz w:val="20"/>
                <w:szCs w:val="20"/>
                <w:color w:val="auto"/>
              </w:rPr>
            </w:pPr>
            <w:r>
              <w:rPr>
                <w:rFonts w:ascii="Arial" w:cs="Arial" w:eastAsia="Arial" w:hAnsi="Arial"/>
                <w:sz w:val="14"/>
                <w:szCs w:val="14"/>
                <w:color w:val="auto"/>
              </w:rPr>
              <w:t>—</w:t>
            </w:r>
          </w:p>
        </w:tc>
        <w:tc>
          <w:tcPr>
            <w:tcW w:w="800" w:type="dxa"/>
            <w:vAlign w:val="bottom"/>
            <w:shd w:val="clear" w:color="auto" w:fill="F7F1EC"/>
          </w:tcPr>
          <w:p>
            <w:pPr>
              <w:spacing w:after="0"/>
              <w:rPr>
                <w:sz w:val="17"/>
                <w:szCs w:val="17"/>
                <w:color w:val="auto"/>
              </w:rPr>
            </w:pPr>
          </w:p>
        </w:tc>
        <w:tc>
          <w:tcPr>
            <w:tcW w:w="660" w:type="dxa"/>
            <w:vAlign w:val="bottom"/>
            <w:gridSpan w:val="2"/>
            <w:shd w:val="clear" w:color="auto" w:fill="F7F1EC"/>
          </w:tcPr>
          <w:p>
            <w:pPr>
              <w:jc w:val="right"/>
              <w:spacing w:after="0" w:line="205" w:lineRule="exact"/>
              <w:rPr>
                <w:sz w:val="20"/>
                <w:szCs w:val="20"/>
                <w:color w:val="auto"/>
              </w:rPr>
            </w:pPr>
            <w:r>
              <w:rPr>
                <w:rFonts w:ascii="Arial" w:cs="Arial" w:eastAsia="Arial" w:hAnsi="Arial"/>
                <w:sz w:val="14"/>
                <w:szCs w:val="14"/>
                <w:color w:val="auto"/>
              </w:rPr>
              <w:t>1,736</w:t>
            </w:r>
            <w:r>
              <w:rPr>
                <w:rFonts w:ascii="Arial" w:cs="Arial" w:eastAsia="Arial" w:hAnsi="Arial"/>
                <w:sz w:val="20"/>
                <w:szCs w:val="20"/>
                <w:color w:val="auto"/>
                <w:vertAlign w:val="superscript"/>
              </w:rPr>
              <w:t>(4)</w:t>
            </w:r>
          </w:p>
        </w:tc>
        <w:tc>
          <w:tcPr>
            <w:tcW w:w="800" w:type="dxa"/>
            <w:vAlign w:val="bottom"/>
            <w:shd w:val="clear" w:color="auto" w:fill="F7F1EC"/>
          </w:tcPr>
          <w:p>
            <w:pPr>
              <w:jc w:val="right"/>
              <w:spacing w:after="0"/>
              <w:rPr>
                <w:sz w:val="20"/>
                <w:szCs w:val="20"/>
                <w:color w:val="auto"/>
              </w:rPr>
            </w:pPr>
            <w:r>
              <w:rPr>
                <w:rFonts w:ascii="Arial" w:cs="Arial" w:eastAsia="Arial" w:hAnsi="Arial"/>
                <w:sz w:val="14"/>
                <w:szCs w:val="14"/>
                <w:color w:val="auto"/>
              </w:rPr>
              <w:t>620,047</w:t>
            </w:r>
          </w:p>
        </w:tc>
        <w:tc>
          <w:tcPr>
            <w:tcW w:w="800" w:type="dxa"/>
            <w:vAlign w:val="bottom"/>
            <w:shd w:val="clear" w:color="auto" w:fill="F7F1EC"/>
          </w:tcPr>
          <w:p>
            <w:pPr>
              <w:jc w:val="right"/>
              <w:ind w:right="154"/>
              <w:spacing w:after="0"/>
              <w:rPr>
                <w:sz w:val="20"/>
                <w:szCs w:val="20"/>
                <w:color w:val="auto"/>
              </w:rPr>
            </w:pPr>
            <w:r>
              <w:rPr>
                <w:rFonts w:ascii="Arial" w:cs="Arial" w:eastAsia="Arial" w:hAnsi="Arial"/>
                <w:sz w:val="14"/>
                <w:szCs w:val="14"/>
                <w:color w:val="auto"/>
              </w:rPr>
              <w:t>—</w:t>
            </w:r>
          </w:p>
        </w:tc>
        <w:tc>
          <w:tcPr>
            <w:tcW w:w="760" w:type="dxa"/>
            <w:vAlign w:val="bottom"/>
            <w:shd w:val="clear" w:color="auto" w:fill="F7F1EC"/>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4"/>
        </w:trPr>
        <w:tc>
          <w:tcPr>
            <w:tcW w:w="1660" w:type="dxa"/>
            <w:vAlign w:val="bottom"/>
            <w:vMerge w:val="restart"/>
            <w:shd w:val="clear" w:color="auto" w:fill="F7F1EC"/>
          </w:tcPr>
          <w:p>
            <w:pPr>
              <w:ind w:left="60"/>
              <w:spacing w:after="0"/>
              <w:rPr>
                <w:sz w:val="20"/>
                <w:szCs w:val="20"/>
                <w:color w:val="auto"/>
              </w:rPr>
            </w:pPr>
            <w:r>
              <w:rPr>
                <w:rFonts w:ascii="Arial" w:cs="Arial" w:eastAsia="Arial" w:hAnsi="Arial"/>
                <w:sz w:val="14"/>
                <w:szCs w:val="14"/>
                <w:b w:val="1"/>
                <w:bCs w:val="1"/>
                <w:color w:val="B95827"/>
              </w:rPr>
              <w:t>Richard Steinmeier</w:t>
            </w:r>
          </w:p>
        </w:tc>
        <w:tc>
          <w:tcPr>
            <w:tcW w:w="40" w:type="dxa"/>
            <w:vAlign w:val="bottom"/>
            <w:shd w:val="clear" w:color="auto" w:fill="F7F1EC"/>
          </w:tcPr>
          <w:p>
            <w:pPr>
              <w:spacing w:after="0"/>
              <w:rPr>
                <w:sz w:val="17"/>
                <w:szCs w:val="17"/>
                <w:color w:val="auto"/>
              </w:rPr>
            </w:pPr>
          </w:p>
        </w:tc>
        <w:tc>
          <w:tcPr>
            <w:tcW w:w="320" w:type="dxa"/>
            <w:vAlign w:val="bottom"/>
            <w:shd w:val="clear" w:color="auto" w:fill="F7F1EC"/>
          </w:tcPr>
          <w:p>
            <w:pPr>
              <w:spacing w:after="0"/>
              <w:rPr>
                <w:sz w:val="17"/>
                <w:szCs w:val="17"/>
                <w:color w:val="auto"/>
              </w:rPr>
            </w:pPr>
          </w:p>
        </w:tc>
        <w:tc>
          <w:tcPr>
            <w:tcW w:w="400" w:type="dxa"/>
            <w:vAlign w:val="bottom"/>
            <w:gridSpan w:val="2"/>
            <w:shd w:val="clear" w:color="auto" w:fill="F7F1EC"/>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shd w:val="clear" w:color="auto" w:fill="F7F1EC"/>
          </w:tcPr>
          <w:p>
            <w:pPr>
              <w:spacing w:after="0"/>
              <w:rPr>
                <w:sz w:val="17"/>
                <w:szCs w:val="17"/>
                <w:color w:val="auto"/>
              </w:rPr>
            </w:pPr>
          </w:p>
        </w:tc>
        <w:tc>
          <w:tcPr>
            <w:tcW w:w="360" w:type="dxa"/>
            <w:vAlign w:val="bottom"/>
            <w:shd w:val="clear" w:color="auto" w:fill="F7F1EC"/>
          </w:tcPr>
          <w:p>
            <w:pPr>
              <w:spacing w:after="0"/>
              <w:rPr>
                <w:sz w:val="17"/>
                <w:szCs w:val="17"/>
                <w:color w:val="auto"/>
              </w:rPr>
            </w:pPr>
          </w:p>
        </w:tc>
        <w:tc>
          <w:tcPr>
            <w:tcW w:w="580" w:type="dxa"/>
            <w:vAlign w:val="bottom"/>
            <w:shd w:val="clear" w:color="auto" w:fill="F7F1EC"/>
          </w:tcPr>
          <w:p>
            <w:pPr>
              <w:ind w:left="40"/>
              <w:spacing w:after="0"/>
              <w:rPr>
                <w:sz w:val="20"/>
                <w:szCs w:val="20"/>
                <w:color w:val="auto"/>
              </w:rPr>
            </w:pPr>
            <w:r>
              <w:rPr>
                <w:rFonts w:ascii="Arial" w:cs="Arial" w:eastAsia="Arial" w:hAnsi="Arial"/>
                <w:sz w:val="14"/>
                <w:szCs w:val="14"/>
                <w:color w:val="auto"/>
              </w:rPr>
              <w:t>—</w:t>
            </w:r>
          </w:p>
        </w:tc>
        <w:tc>
          <w:tcPr>
            <w:tcW w:w="740" w:type="dxa"/>
            <w:vAlign w:val="bottom"/>
            <w:shd w:val="clear" w:color="auto" w:fill="F7F1EC"/>
          </w:tcPr>
          <w:p>
            <w:pPr>
              <w:jc w:val="right"/>
              <w:ind w:right="133"/>
              <w:spacing w:after="0"/>
              <w:rPr>
                <w:sz w:val="20"/>
                <w:szCs w:val="20"/>
                <w:color w:val="auto"/>
              </w:rPr>
            </w:pPr>
            <w:r>
              <w:rPr>
                <w:rFonts w:ascii="Arial" w:cs="Arial" w:eastAsia="Arial" w:hAnsi="Arial"/>
                <w:sz w:val="14"/>
                <w:szCs w:val="14"/>
                <w:color w:val="auto"/>
              </w:rPr>
              <w:t>—</w:t>
            </w:r>
          </w:p>
        </w:tc>
        <w:tc>
          <w:tcPr>
            <w:tcW w:w="800" w:type="dxa"/>
            <w:vAlign w:val="bottom"/>
            <w:shd w:val="clear" w:color="auto" w:fill="F7F1EC"/>
          </w:tcPr>
          <w:p>
            <w:pPr>
              <w:spacing w:after="0"/>
              <w:rPr>
                <w:sz w:val="17"/>
                <w:szCs w:val="17"/>
                <w:color w:val="auto"/>
              </w:rPr>
            </w:pPr>
          </w:p>
        </w:tc>
        <w:tc>
          <w:tcPr>
            <w:tcW w:w="660" w:type="dxa"/>
            <w:vAlign w:val="bottom"/>
            <w:gridSpan w:val="2"/>
            <w:shd w:val="clear" w:color="auto" w:fill="F7F1EC"/>
          </w:tcPr>
          <w:p>
            <w:pPr>
              <w:jc w:val="right"/>
              <w:spacing w:after="0" w:line="205" w:lineRule="exact"/>
              <w:rPr>
                <w:sz w:val="20"/>
                <w:szCs w:val="20"/>
                <w:color w:val="auto"/>
              </w:rPr>
            </w:pPr>
            <w:r>
              <w:rPr>
                <w:rFonts w:ascii="Arial" w:cs="Arial" w:eastAsia="Arial" w:hAnsi="Arial"/>
                <w:sz w:val="14"/>
                <w:szCs w:val="14"/>
                <w:color w:val="auto"/>
              </w:rPr>
              <w:t>6,971</w:t>
            </w:r>
            <w:r>
              <w:rPr>
                <w:rFonts w:ascii="Arial" w:cs="Arial" w:eastAsia="Arial" w:hAnsi="Arial"/>
                <w:sz w:val="20"/>
                <w:szCs w:val="20"/>
                <w:color w:val="auto"/>
                <w:vertAlign w:val="superscript"/>
              </w:rPr>
              <w:t>(5)</w:t>
            </w:r>
          </w:p>
        </w:tc>
        <w:tc>
          <w:tcPr>
            <w:tcW w:w="800" w:type="dxa"/>
            <w:vAlign w:val="bottom"/>
            <w:shd w:val="clear" w:color="auto" w:fill="F7F1EC"/>
          </w:tcPr>
          <w:p>
            <w:pPr>
              <w:jc w:val="right"/>
              <w:spacing w:after="0"/>
              <w:rPr>
                <w:sz w:val="20"/>
                <w:szCs w:val="20"/>
                <w:color w:val="auto"/>
              </w:rPr>
            </w:pPr>
            <w:r>
              <w:rPr>
                <w:rFonts w:ascii="Arial" w:cs="Arial" w:eastAsia="Arial" w:hAnsi="Arial"/>
                <w:sz w:val="14"/>
                <w:szCs w:val="14"/>
                <w:color w:val="auto"/>
              </w:rPr>
              <w:t>2,489,832</w:t>
            </w:r>
          </w:p>
        </w:tc>
        <w:tc>
          <w:tcPr>
            <w:tcW w:w="800" w:type="dxa"/>
            <w:vAlign w:val="bottom"/>
            <w:shd w:val="clear" w:color="auto" w:fill="F7F1EC"/>
          </w:tcPr>
          <w:p>
            <w:pPr>
              <w:jc w:val="right"/>
              <w:ind w:right="154"/>
              <w:spacing w:after="0"/>
              <w:rPr>
                <w:sz w:val="20"/>
                <w:szCs w:val="20"/>
                <w:color w:val="auto"/>
              </w:rPr>
            </w:pPr>
            <w:r>
              <w:rPr>
                <w:rFonts w:ascii="Arial" w:cs="Arial" w:eastAsia="Arial" w:hAnsi="Arial"/>
                <w:sz w:val="14"/>
                <w:szCs w:val="14"/>
                <w:color w:val="auto"/>
              </w:rPr>
              <w:t>—</w:t>
            </w:r>
          </w:p>
        </w:tc>
        <w:tc>
          <w:tcPr>
            <w:tcW w:w="760" w:type="dxa"/>
            <w:vAlign w:val="bottom"/>
            <w:shd w:val="clear" w:color="auto" w:fill="F7F1EC"/>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9"/>
        </w:trPr>
        <w:tc>
          <w:tcPr>
            <w:tcW w:w="1660" w:type="dxa"/>
            <w:vAlign w:val="bottom"/>
            <w:vMerge w:val="continue"/>
            <w:shd w:val="clear" w:color="auto" w:fill="F7F1EC"/>
          </w:tcPr>
          <w:p>
            <w:pPr>
              <w:spacing w:after="0"/>
              <w:rPr>
                <w:sz w:val="7"/>
                <w:szCs w:val="7"/>
                <w:color w:val="auto"/>
              </w:rPr>
            </w:pPr>
          </w:p>
        </w:tc>
        <w:tc>
          <w:tcPr>
            <w:tcW w:w="40" w:type="dxa"/>
            <w:vAlign w:val="bottom"/>
            <w:shd w:val="clear" w:color="auto" w:fill="F7F1EC"/>
          </w:tcPr>
          <w:p>
            <w:pPr>
              <w:spacing w:after="0"/>
              <w:rPr>
                <w:sz w:val="7"/>
                <w:szCs w:val="7"/>
                <w:color w:val="auto"/>
              </w:rPr>
            </w:pPr>
          </w:p>
        </w:tc>
        <w:tc>
          <w:tcPr>
            <w:tcW w:w="320" w:type="dxa"/>
            <w:vAlign w:val="bottom"/>
            <w:shd w:val="clear" w:color="auto" w:fill="F7F1EC"/>
          </w:tcPr>
          <w:p>
            <w:pPr>
              <w:spacing w:after="0"/>
              <w:rPr>
                <w:sz w:val="7"/>
                <w:szCs w:val="7"/>
                <w:color w:val="auto"/>
              </w:rPr>
            </w:pPr>
          </w:p>
        </w:tc>
        <w:tc>
          <w:tcPr>
            <w:tcW w:w="340" w:type="dxa"/>
            <w:vAlign w:val="bottom"/>
            <w:vMerge w:val="restart"/>
            <w:shd w:val="clear" w:color="auto" w:fill="F7F1EC"/>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F7F1EC"/>
          </w:tcPr>
          <w:p>
            <w:pPr>
              <w:spacing w:after="0"/>
              <w:rPr>
                <w:sz w:val="7"/>
                <w:szCs w:val="7"/>
                <w:color w:val="auto"/>
              </w:rPr>
            </w:pPr>
          </w:p>
        </w:tc>
        <w:tc>
          <w:tcPr>
            <w:tcW w:w="40" w:type="dxa"/>
            <w:vAlign w:val="bottom"/>
            <w:shd w:val="clear" w:color="auto" w:fill="F7F1EC"/>
          </w:tcPr>
          <w:p>
            <w:pPr>
              <w:spacing w:after="0"/>
              <w:rPr>
                <w:sz w:val="7"/>
                <w:szCs w:val="7"/>
                <w:color w:val="auto"/>
              </w:rPr>
            </w:pPr>
          </w:p>
        </w:tc>
        <w:tc>
          <w:tcPr>
            <w:tcW w:w="360" w:type="dxa"/>
            <w:vAlign w:val="bottom"/>
            <w:shd w:val="clear" w:color="auto" w:fill="F7F1EC"/>
          </w:tcPr>
          <w:p>
            <w:pPr>
              <w:spacing w:after="0"/>
              <w:rPr>
                <w:sz w:val="7"/>
                <w:szCs w:val="7"/>
                <w:color w:val="auto"/>
              </w:rPr>
            </w:pPr>
          </w:p>
        </w:tc>
        <w:tc>
          <w:tcPr>
            <w:tcW w:w="580" w:type="dxa"/>
            <w:vAlign w:val="bottom"/>
            <w:vMerge w:val="restart"/>
            <w:shd w:val="clear" w:color="auto" w:fill="F7F1EC"/>
          </w:tcPr>
          <w:p>
            <w:pPr>
              <w:ind w:left="40"/>
              <w:spacing w:after="0"/>
              <w:rPr>
                <w:sz w:val="20"/>
                <w:szCs w:val="20"/>
                <w:color w:val="auto"/>
              </w:rPr>
            </w:pPr>
            <w:r>
              <w:rPr>
                <w:rFonts w:ascii="Arial" w:cs="Arial" w:eastAsia="Arial" w:hAnsi="Arial"/>
                <w:sz w:val="14"/>
                <w:szCs w:val="14"/>
                <w:color w:val="auto"/>
              </w:rPr>
              <w:t>—</w:t>
            </w:r>
          </w:p>
        </w:tc>
        <w:tc>
          <w:tcPr>
            <w:tcW w:w="740" w:type="dxa"/>
            <w:vAlign w:val="bottom"/>
            <w:vMerge w:val="restart"/>
            <w:shd w:val="clear" w:color="auto" w:fill="F7F1EC"/>
          </w:tcPr>
          <w:p>
            <w:pPr>
              <w:jc w:val="right"/>
              <w:ind w:right="133"/>
              <w:spacing w:after="0"/>
              <w:rPr>
                <w:sz w:val="20"/>
                <w:szCs w:val="20"/>
                <w:color w:val="auto"/>
              </w:rPr>
            </w:pPr>
            <w:r>
              <w:rPr>
                <w:rFonts w:ascii="Arial" w:cs="Arial" w:eastAsia="Arial" w:hAnsi="Arial"/>
                <w:sz w:val="14"/>
                <w:szCs w:val="14"/>
                <w:color w:val="auto"/>
              </w:rPr>
              <w:t>—</w:t>
            </w:r>
          </w:p>
        </w:tc>
        <w:tc>
          <w:tcPr>
            <w:tcW w:w="800" w:type="dxa"/>
            <w:vAlign w:val="bottom"/>
            <w:shd w:val="clear" w:color="auto" w:fill="F7F1EC"/>
          </w:tcPr>
          <w:p>
            <w:pPr>
              <w:spacing w:after="0"/>
              <w:rPr>
                <w:sz w:val="7"/>
                <w:szCs w:val="7"/>
                <w:color w:val="auto"/>
              </w:rPr>
            </w:pPr>
          </w:p>
        </w:tc>
        <w:tc>
          <w:tcPr>
            <w:tcW w:w="660" w:type="dxa"/>
            <w:vAlign w:val="bottom"/>
            <w:gridSpan w:val="2"/>
            <w:vMerge w:val="restart"/>
            <w:shd w:val="clear" w:color="auto" w:fill="F7F1EC"/>
          </w:tcPr>
          <w:p>
            <w:pPr>
              <w:jc w:val="right"/>
              <w:spacing w:after="0" w:line="205" w:lineRule="exact"/>
              <w:rPr>
                <w:sz w:val="20"/>
                <w:szCs w:val="20"/>
                <w:color w:val="auto"/>
              </w:rPr>
            </w:pPr>
            <w:r>
              <w:rPr>
                <w:rFonts w:ascii="Arial" w:cs="Arial" w:eastAsia="Arial" w:hAnsi="Arial"/>
                <w:sz w:val="14"/>
                <w:szCs w:val="14"/>
                <w:color w:val="auto"/>
              </w:rPr>
              <w:t>2,255</w:t>
            </w:r>
            <w:r>
              <w:rPr>
                <w:rFonts w:ascii="Arial" w:cs="Arial" w:eastAsia="Arial" w:hAnsi="Arial"/>
                <w:sz w:val="20"/>
                <w:szCs w:val="20"/>
                <w:color w:val="auto"/>
                <w:vertAlign w:val="superscript"/>
              </w:rPr>
              <w:t>(6)</w:t>
            </w:r>
          </w:p>
        </w:tc>
        <w:tc>
          <w:tcPr>
            <w:tcW w:w="800" w:type="dxa"/>
            <w:vAlign w:val="bottom"/>
            <w:vMerge w:val="restart"/>
            <w:shd w:val="clear" w:color="auto" w:fill="F7F1EC"/>
          </w:tcPr>
          <w:p>
            <w:pPr>
              <w:jc w:val="right"/>
              <w:spacing w:after="0"/>
              <w:rPr>
                <w:sz w:val="20"/>
                <w:szCs w:val="20"/>
                <w:color w:val="auto"/>
              </w:rPr>
            </w:pPr>
            <w:r>
              <w:rPr>
                <w:rFonts w:ascii="Arial" w:cs="Arial" w:eastAsia="Arial" w:hAnsi="Arial"/>
                <w:sz w:val="14"/>
                <w:szCs w:val="14"/>
                <w:color w:val="auto"/>
              </w:rPr>
              <w:t>805,418</w:t>
            </w:r>
          </w:p>
        </w:tc>
        <w:tc>
          <w:tcPr>
            <w:tcW w:w="800" w:type="dxa"/>
            <w:vAlign w:val="bottom"/>
            <w:vMerge w:val="restart"/>
            <w:shd w:val="clear" w:color="auto" w:fill="F7F1EC"/>
          </w:tcPr>
          <w:p>
            <w:pPr>
              <w:jc w:val="right"/>
              <w:ind w:right="154"/>
              <w:spacing w:after="0"/>
              <w:rPr>
                <w:sz w:val="20"/>
                <w:szCs w:val="20"/>
                <w:color w:val="auto"/>
              </w:rPr>
            </w:pPr>
            <w:r>
              <w:rPr>
                <w:rFonts w:ascii="Arial" w:cs="Arial" w:eastAsia="Arial" w:hAnsi="Arial"/>
                <w:sz w:val="14"/>
                <w:szCs w:val="14"/>
                <w:color w:val="auto"/>
              </w:rPr>
              <w:t>—</w:t>
            </w:r>
          </w:p>
        </w:tc>
        <w:tc>
          <w:tcPr>
            <w:tcW w:w="760" w:type="dxa"/>
            <w:vAlign w:val="bottom"/>
            <w:vMerge w:val="restart"/>
            <w:shd w:val="clear" w:color="auto" w:fill="F7F1EC"/>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16"/>
        </w:trPr>
        <w:tc>
          <w:tcPr>
            <w:tcW w:w="1660" w:type="dxa"/>
            <w:vAlign w:val="bottom"/>
            <w:shd w:val="clear" w:color="auto" w:fill="F7F1EC"/>
          </w:tcPr>
          <w:p>
            <w:pPr>
              <w:spacing w:after="0"/>
              <w:rPr>
                <w:sz w:val="10"/>
                <w:szCs w:val="10"/>
                <w:color w:val="auto"/>
              </w:rPr>
            </w:pPr>
          </w:p>
        </w:tc>
        <w:tc>
          <w:tcPr>
            <w:tcW w:w="40" w:type="dxa"/>
            <w:vAlign w:val="bottom"/>
            <w:shd w:val="clear" w:color="auto" w:fill="F7F1EC"/>
          </w:tcPr>
          <w:p>
            <w:pPr>
              <w:spacing w:after="0"/>
              <w:rPr>
                <w:sz w:val="10"/>
                <w:szCs w:val="10"/>
                <w:color w:val="auto"/>
              </w:rPr>
            </w:pPr>
          </w:p>
        </w:tc>
        <w:tc>
          <w:tcPr>
            <w:tcW w:w="320" w:type="dxa"/>
            <w:vAlign w:val="bottom"/>
            <w:shd w:val="clear" w:color="auto" w:fill="F7F1EC"/>
          </w:tcPr>
          <w:p>
            <w:pPr>
              <w:spacing w:after="0"/>
              <w:rPr>
                <w:sz w:val="10"/>
                <w:szCs w:val="10"/>
                <w:color w:val="auto"/>
              </w:rPr>
            </w:pPr>
          </w:p>
        </w:tc>
        <w:tc>
          <w:tcPr>
            <w:tcW w:w="340" w:type="dxa"/>
            <w:vAlign w:val="bottom"/>
            <w:vMerge w:val="continue"/>
            <w:shd w:val="clear" w:color="auto" w:fill="F7F1EC"/>
          </w:tcPr>
          <w:p>
            <w:pPr>
              <w:spacing w:after="0"/>
              <w:rPr>
                <w:sz w:val="10"/>
                <w:szCs w:val="10"/>
                <w:color w:val="auto"/>
              </w:rPr>
            </w:pPr>
          </w:p>
        </w:tc>
        <w:tc>
          <w:tcPr>
            <w:tcW w:w="60" w:type="dxa"/>
            <w:vAlign w:val="bottom"/>
            <w:shd w:val="clear" w:color="auto" w:fill="F7F1EC"/>
          </w:tcPr>
          <w:p>
            <w:pPr>
              <w:spacing w:after="0"/>
              <w:rPr>
                <w:sz w:val="10"/>
                <w:szCs w:val="10"/>
                <w:color w:val="auto"/>
              </w:rPr>
            </w:pPr>
          </w:p>
        </w:tc>
        <w:tc>
          <w:tcPr>
            <w:tcW w:w="40" w:type="dxa"/>
            <w:vAlign w:val="bottom"/>
            <w:shd w:val="clear" w:color="auto" w:fill="F7F1EC"/>
          </w:tcPr>
          <w:p>
            <w:pPr>
              <w:spacing w:after="0"/>
              <w:rPr>
                <w:sz w:val="10"/>
                <w:szCs w:val="10"/>
                <w:color w:val="auto"/>
              </w:rPr>
            </w:pPr>
          </w:p>
        </w:tc>
        <w:tc>
          <w:tcPr>
            <w:tcW w:w="360" w:type="dxa"/>
            <w:vAlign w:val="bottom"/>
            <w:shd w:val="clear" w:color="auto" w:fill="F7F1EC"/>
          </w:tcPr>
          <w:p>
            <w:pPr>
              <w:spacing w:after="0"/>
              <w:rPr>
                <w:sz w:val="10"/>
                <w:szCs w:val="10"/>
                <w:color w:val="auto"/>
              </w:rPr>
            </w:pPr>
          </w:p>
        </w:tc>
        <w:tc>
          <w:tcPr>
            <w:tcW w:w="580" w:type="dxa"/>
            <w:vAlign w:val="bottom"/>
            <w:vMerge w:val="continue"/>
            <w:shd w:val="clear" w:color="auto" w:fill="F7F1EC"/>
          </w:tcPr>
          <w:p>
            <w:pPr>
              <w:spacing w:after="0"/>
              <w:rPr>
                <w:sz w:val="10"/>
                <w:szCs w:val="10"/>
                <w:color w:val="auto"/>
              </w:rPr>
            </w:pPr>
          </w:p>
        </w:tc>
        <w:tc>
          <w:tcPr>
            <w:tcW w:w="740" w:type="dxa"/>
            <w:vAlign w:val="bottom"/>
            <w:vMerge w:val="continue"/>
            <w:shd w:val="clear" w:color="auto" w:fill="F7F1EC"/>
          </w:tcPr>
          <w:p>
            <w:pPr>
              <w:spacing w:after="0"/>
              <w:rPr>
                <w:sz w:val="10"/>
                <w:szCs w:val="10"/>
                <w:color w:val="auto"/>
              </w:rPr>
            </w:pPr>
          </w:p>
        </w:tc>
        <w:tc>
          <w:tcPr>
            <w:tcW w:w="800" w:type="dxa"/>
            <w:vAlign w:val="bottom"/>
            <w:shd w:val="clear" w:color="auto" w:fill="F7F1EC"/>
          </w:tcPr>
          <w:p>
            <w:pPr>
              <w:spacing w:after="0"/>
              <w:rPr>
                <w:sz w:val="10"/>
                <w:szCs w:val="10"/>
                <w:color w:val="auto"/>
              </w:rPr>
            </w:pPr>
          </w:p>
        </w:tc>
        <w:tc>
          <w:tcPr>
            <w:tcW w:w="660" w:type="dxa"/>
            <w:vAlign w:val="bottom"/>
            <w:gridSpan w:val="2"/>
            <w:vMerge w:val="continue"/>
            <w:shd w:val="clear" w:color="auto" w:fill="F7F1EC"/>
          </w:tcPr>
          <w:p>
            <w:pPr>
              <w:spacing w:after="0"/>
              <w:rPr>
                <w:sz w:val="10"/>
                <w:szCs w:val="10"/>
                <w:color w:val="auto"/>
              </w:rPr>
            </w:pPr>
          </w:p>
        </w:tc>
        <w:tc>
          <w:tcPr>
            <w:tcW w:w="800" w:type="dxa"/>
            <w:vAlign w:val="bottom"/>
            <w:vMerge w:val="continue"/>
            <w:shd w:val="clear" w:color="auto" w:fill="F7F1EC"/>
          </w:tcPr>
          <w:p>
            <w:pPr>
              <w:spacing w:after="0"/>
              <w:rPr>
                <w:sz w:val="10"/>
                <w:szCs w:val="10"/>
                <w:color w:val="auto"/>
              </w:rPr>
            </w:pPr>
          </w:p>
        </w:tc>
        <w:tc>
          <w:tcPr>
            <w:tcW w:w="800" w:type="dxa"/>
            <w:vAlign w:val="bottom"/>
            <w:vMerge w:val="continue"/>
            <w:shd w:val="clear" w:color="auto" w:fill="F7F1EC"/>
          </w:tcPr>
          <w:p>
            <w:pPr>
              <w:spacing w:after="0"/>
              <w:rPr>
                <w:sz w:val="10"/>
                <w:szCs w:val="10"/>
                <w:color w:val="auto"/>
              </w:rPr>
            </w:pPr>
          </w:p>
        </w:tc>
        <w:tc>
          <w:tcPr>
            <w:tcW w:w="760" w:type="dxa"/>
            <w:vAlign w:val="bottom"/>
            <w:vMerge w:val="continue"/>
            <w:shd w:val="clear" w:color="auto" w:fill="F7F1EC"/>
          </w:tcPr>
          <w:p>
            <w:pPr>
              <w:spacing w:after="0"/>
              <w:rPr>
                <w:sz w:val="10"/>
                <w:szCs w:val="10"/>
                <w:color w:val="auto"/>
              </w:rPr>
            </w:pPr>
          </w:p>
        </w:tc>
        <w:tc>
          <w:tcPr>
            <w:tcW w:w="0" w:type="dxa"/>
            <w:vAlign w:val="bottom"/>
          </w:tcPr>
          <w:p>
            <w:pPr>
              <w:spacing w:after="0"/>
              <w:rPr>
                <w:sz w:val="1"/>
                <w:szCs w:val="1"/>
                <w:color w:val="auto"/>
              </w:rPr>
            </w:pPr>
          </w:p>
        </w:tc>
      </w:tr>
      <w:tr>
        <w:trPr>
          <w:trHeight w:val="204"/>
        </w:trPr>
        <w:tc>
          <w:tcPr>
            <w:tcW w:w="1660" w:type="dxa"/>
            <w:vAlign w:val="bottom"/>
            <w:shd w:val="clear" w:color="auto" w:fill="F7F1EC"/>
          </w:tcPr>
          <w:p>
            <w:pPr>
              <w:spacing w:after="0"/>
              <w:rPr>
                <w:sz w:val="17"/>
                <w:szCs w:val="17"/>
                <w:color w:val="auto"/>
              </w:rPr>
            </w:pPr>
          </w:p>
        </w:tc>
        <w:tc>
          <w:tcPr>
            <w:tcW w:w="40" w:type="dxa"/>
            <w:vAlign w:val="bottom"/>
            <w:shd w:val="clear" w:color="auto" w:fill="F7F1EC"/>
          </w:tcPr>
          <w:p>
            <w:pPr>
              <w:spacing w:after="0"/>
              <w:rPr>
                <w:sz w:val="17"/>
                <w:szCs w:val="17"/>
                <w:color w:val="auto"/>
              </w:rPr>
            </w:pPr>
          </w:p>
        </w:tc>
        <w:tc>
          <w:tcPr>
            <w:tcW w:w="320" w:type="dxa"/>
            <w:vAlign w:val="bottom"/>
            <w:shd w:val="clear" w:color="auto" w:fill="F7F1EC"/>
          </w:tcPr>
          <w:p>
            <w:pPr>
              <w:spacing w:after="0"/>
              <w:rPr>
                <w:sz w:val="17"/>
                <w:szCs w:val="17"/>
                <w:color w:val="auto"/>
              </w:rPr>
            </w:pPr>
          </w:p>
        </w:tc>
        <w:tc>
          <w:tcPr>
            <w:tcW w:w="340" w:type="dxa"/>
            <w:vAlign w:val="bottom"/>
            <w:shd w:val="clear" w:color="auto" w:fill="F7F1EC"/>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F7F1EC"/>
          </w:tcPr>
          <w:p>
            <w:pPr>
              <w:spacing w:after="0"/>
              <w:rPr>
                <w:sz w:val="17"/>
                <w:szCs w:val="17"/>
                <w:color w:val="auto"/>
              </w:rPr>
            </w:pPr>
          </w:p>
        </w:tc>
        <w:tc>
          <w:tcPr>
            <w:tcW w:w="40" w:type="dxa"/>
            <w:vAlign w:val="bottom"/>
            <w:shd w:val="clear" w:color="auto" w:fill="F7F1EC"/>
          </w:tcPr>
          <w:p>
            <w:pPr>
              <w:spacing w:after="0"/>
              <w:rPr>
                <w:sz w:val="17"/>
                <w:szCs w:val="17"/>
                <w:color w:val="auto"/>
              </w:rPr>
            </w:pPr>
          </w:p>
        </w:tc>
        <w:tc>
          <w:tcPr>
            <w:tcW w:w="360" w:type="dxa"/>
            <w:vAlign w:val="bottom"/>
            <w:shd w:val="clear" w:color="auto" w:fill="F7F1EC"/>
          </w:tcPr>
          <w:p>
            <w:pPr>
              <w:spacing w:after="0"/>
              <w:rPr>
                <w:sz w:val="17"/>
                <w:szCs w:val="17"/>
                <w:color w:val="auto"/>
              </w:rPr>
            </w:pPr>
          </w:p>
        </w:tc>
        <w:tc>
          <w:tcPr>
            <w:tcW w:w="580" w:type="dxa"/>
            <w:vAlign w:val="bottom"/>
            <w:shd w:val="clear" w:color="auto" w:fill="F7F1EC"/>
          </w:tcPr>
          <w:p>
            <w:pPr>
              <w:ind w:left="40"/>
              <w:spacing w:after="0"/>
              <w:rPr>
                <w:sz w:val="20"/>
                <w:szCs w:val="20"/>
                <w:color w:val="auto"/>
              </w:rPr>
            </w:pPr>
            <w:r>
              <w:rPr>
                <w:rFonts w:ascii="Arial" w:cs="Arial" w:eastAsia="Arial" w:hAnsi="Arial"/>
                <w:sz w:val="14"/>
                <w:szCs w:val="14"/>
                <w:color w:val="auto"/>
              </w:rPr>
              <w:t>—</w:t>
            </w:r>
          </w:p>
        </w:tc>
        <w:tc>
          <w:tcPr>
            <w:tcW w:w="740" w:type="dxa"/>
            <w:vAlign w:val="bottom"/>
            <w:shd w:val="clear" w:color="auto" w:fill="F7F1EC"/>
          </w:tcPr>
          <w:p>
            <w:pPr>
              <w:jc w:val="right"/>
              <w:ind w:right="133"/>
              <w:spacing w:after="0"/>
              <w:rPr>
                <w:sz w:val="20"/>
                <w:szCs w:val="20"/>
                <w:color w:val="auto"/>
              </w:rPr>
            </w:pPr>
            <w:r>
              <w:rPr>
                <w:rFonts w:ascii="Arial" w:cs="Arial" w:eastAsia="Arial" w:hAnsi="Arial"/>
                <w:sz w:val="14"/>
                <w:szCs w:val="14"/>
                <w:color w:val="auto"/>
              </w:rPr>
              <w:t>—</w:t>
            </w:r>
          </w:p>
        </w:tc>
        <w:tc>
          <w:tcPr>
            <w:tcW w:w="800" w:type="dxa"/>
            <w:vAlign w:val="bottom"/>
            <w:shd w:val="clear" w:color="auto" w:fill="F7F1EC"/>
          </w:tcPr>
          <w:p>
            <w:pPr>
              <w:spacing w:after="0"/>
              <w:rPr>
                <w:sz w:val="17"/>
                <w:szCs w:val="17"/>
                <w:color w:val="auto"/>
              </w:rPr>
            </w:pPr>
          </w:p>
        </w:tc>
        <w:tc>
          <w:tcPr>
            <w:tcW w:w="40" w:type="dxa"/>
            <w:vAlign w:val="bottom"/>
            <w:shd w:val="clear" w:color="auto" w:fill="F7F1EC"/>
          </w:tcPr>
          <w:p>
            <w:pPr>
              <w:spacing w:after="0"/>
              <w:rPr>
                <w:sz w:val="17"/>
                <w:szCs w:val="17"/>
                <w:color w:val="auto"/>
              </w:rPr>
            </w:pPr>
          </w:p>
        </w:tc>
        <w:tc>
          <w:tcPr>
            <w:tcW w:w="620" w:type="dxa"/>
            <w:vAlign w:val="bottom"/>
            <w:shd w:val="clear" w:color="auto" w:fill="F7F1EC"/>
          </w:tcPr>
          <w:p>
            <w:pPr>
              <w:jc w:val="right"/>
              <w:ind w:right="115"/>
              <w:spacing w:after="0"/>
              <w:rPr>
                <w:sz w:val="20"/>
                <w:szCs w:val="20"/>
                <w:color w:val="auto"/>
              </w:rPr>
            </w:pPr>
            <w:r>
              <w:rPr>
                <w:rFonts w:ascii="Arial" w:cs="Arial" w:eastAsia="Arial" w:hAnsi="Arial"/>
                <w:sz w:val="14"/>
                <w:szCs w:val="14"/>
                <w:color w:val="auto"/>
              </w:rPr>
              <w:t>—</w:t>
            </w:r>
          </w:p>
        </w:tc>
        <w:tc>
          <w:tcPr>
            <w:tcW w:w="800" w:type="dxa"/>
            <w:vAlign w:val="bottom"/>
            <w:shd w:val="clear" w:color="auto" w:fill="F7F1EC"/>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F7F1EC"/>
          </w:tcPr>
          <w:p>
            <w:pPr>
              <w:jc w:val="right"/>
              <w:ind w:right="34"/>
              <w:spacing w:after="0" w:line="205" w:lineRule="exact"/>
              <w:rPr>
                <w:sz w:val="20"/>
                <w:szCs w:val="20"/>
                <w:color w:val="auto"/>
              </w:rPr>
            </w:pPr>
            <w:r>
              <w:rPr>
                <w:rFonts w:ascii="Arial" w:cs="Arial" w:eastAsia="Arial" w:hAnsi="Arial"/>
                <w:sz w:val="14"/>
                <w:szCs w:val="14"/>
                <w:color w:val="auto"/>
              </w:rPr>
              <w:t>7,810</w:t>
            </w:r>
            <w:r>
              <w:rPr>
                <w:rFonts w:ascii="Arial" w:cs="Arial" w:eastAsia="Arial" w:hAnsi="Arial"/>
                <w:sz w:val="20"/>
                <w:szCs w:val="20"/>
                <w:color w:val="auto"/>
                <w:vertAlign w:val="superscript"/>
              </w:rPr>
              <w:t>(7)</w:t>
            </w:r>
          </w:p>
        </w:tc>
        <w:tc>
          <w:tcPr>
            <w:tcW w:w="760" w:type="dxa"/>
            <w:vAlign w:val="bottom"/>
            <w:shd w:val="clear" w:color="auto" w:fill="F7F1EC"/>
          </w:tcPr>
          <w:p>
            <w:pPr>
              <w:jc w:val="right"/>
              <w:spacing w:after="0"/>
              <w:rPr>
                <w:sz w:val="20"/>
                <w:szCs w:val="20"/>
                <w:color w:val="auto"/>
              </w:rPr>
            </w:pPr>
            <w:r>
              <w:rPr>
                <w:rFonts w:ascii="Arial" w:cs="Arial" w:eastAsia="Arial" w:hAnsi="Arial"/>
                <w:sz w:val="14"/>
                <w:szCs w:val="14"/>
                <w:color w:val="auto"/>
              </w:rPr>
              <w:t>2,789,498</w:t>
            </w:r>
          </w:p>
        </w:tc>
        <w:tc>
          <w:tcPr>
            <w:tcW w:w="0" w:type="dxa"/>
            <w:vAlign w:val="bottom"/>
          </w:tcPr>
          <w:p>
            <w:pPr>
              <w:spacing w:after="0"/>
              <w:rPr>
                <w:sz w:val="1"/>
                <w:szCs w:val="1"/>
                <w:color w:val="auto"/>
              </w:rPr>
            </w:pPr>
          </w:p>
        </w:tc>
      </w:tr>
      <w:tr>
        <w:trPr>
          <w:trHeight w:val="217"/>
        </w:trPr>
        <w:tc>
          <w:tcPr>
            <w:tcW w:w="1660" w:type="dxa"/>
            <w:vAlign w:val="bottom"/>
            <w:shd w:val="clear" w:color="auto" w:fill="F7F1EC"/>
          </w:tcPr>
          <w:p>
            <w:pPr>
              <w:spacing w:after="0"/>
              <w:rPr>
                <w:sz w:val="18"/>
                <w:szCs w:val="18"/>
                <w:color w:val="auto"/>
              </w:rPr>
            </w:pPr>
          </w:p>
        </w:tc>
        <w:tc>
          <w:tcPr>
            <w:tcW w:w="40" w:type="dxa"/>
            <w:vAlign w:val="bottom"/>
            <w:shd w:val="clear" w:color="auto" w:fill="F7F1EC"/>
          </w:tcPr>
          <w:p>
            <w:pPr>
              <w:spacing w:after="0"/>
              <w:rPr>
                <w:sz w:val="18"/>
                <w:szCs w:val="18"/>
                <w:color w:val="auto"/>
              </w:rPr>
            </w:pPr>
          </w:p>
        </w:tc>
        <w:tc>
          <w:tcPr>
            <w:tcW w:w="320" w:type="dxa"/>
            <w:vAlign w:val="bottom"/>
            <w:shd w:val="clear" w:color="auto" w:fill="F7F1EC"/>
          </w:tcPr>
          <w:p>
            <w:pPr>
              <w:spacing w:after="0"/>
              <w:rPr>
                <w:sz w:val="18"/>
                <w:szCs w:val="18"/>
                <w:color w:val="auto"/>
              </w:rPr>
            </w:pPr>
          </w:p>
        </w:tc>
        <w:tc>
          <w:tcPr>
            <w:tcW w:w="340" w:type="dxa"/>
            <w:vAlign w:val="bottom"/>
            <w:shd w:val="clear" w:color="auto" w:fill="F7F1EC"/>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F7F1EC"/>
          </w:tcPr>
          <w:p>
            <w:pPr>
              <w:spacing w:after="0"/>
              <w:rPr>
                <w:sz w:val="18"/>
                <w:szCs w:val="18"/>
                <w:color w:val="auto"/>
              </w:rPr>
            </w:pPr>
          </w:p>
        </w:tc>
        <w:tc>
          <w:tcPr>
            <w:tcW w:w="40" w:type="dxa"/>
            <w:vAlign w:val="bottom"/>
            <w:shd w:val="clear" w:color="auto" w:fill="F7F1EC"/>
          </w:tcPr>
          <w:p>
            <w:pPr>
              <w:spacing w:after="0"/>
              <w:rPr>
                <w:sz w:val="18"/>
                <w:szCs w:val="18"/>
                <w:color w:val="auto"/>
              </w:rPr>
            </w:pPr>
          </w:p>
        </w:tc>
        <w:tc>
          <w:tcPr>
            <w:tcW w:w="360" w:type="dxa"/>
            <w:vAlign w:val="bottom"/>
            <w:shd w:val="clear" w:color="auto" w:fill="F7F1EC"/>
          </w:tcPr>
          <w:p>
            <w:pPr>
              <w:spacing w:after="0"/>
              <w:rPr>
                <w:sz w:val="18"/>
                <w:szCs w:val="18"/>
                <w:color w:val="auto"/>
              </w:rPr>
            </w:pPr>
          </w:p>
        </w:tc>
        <w:tc>
          <w:tcPr>
            <w:tcW w:w="580" w:type="dxa"/>
            <w:vAlign w:val="bottom"/>
            <w:shd w:val="clear" w:color="auto" w:fill="F7F1EC"/>
          </w:tcPr>
          <w:p>
            <w:pPr>
              <w:ind w:left="40"/>
              <w:spacing w:after="0"/>
              <w:rPr>
                <w:sz w:val="20"/>
                <w:szCs w:val="20"/>
                <w:color w:val="auto"/>
              </w:rPr>
            </w:pPr>
            <w:r>
              <w:rPr>
                <w:rFonts w:ascii="Arial" w:cs="Arial" w:eastAsia="Arial" w:hAnsi="Arial"/>
                <w:sz w:val="14"/>
                <w:szCs w:val="14"/>
                <w:color w:val="auto"/>
              </w:rPr>
              <w:t>—</w:t>
            </w:r>
          </w:p>
        </w:tc>
        <w:tc>
          <w:tcPr>
            <w:tcW w:w="740" w:type="dxa"/>
            <w:vAlign w:val="bottom"/>
            <w:shd w:val="clear" w:color="auto" w:fill="F7F1EC"/>
          </w:tcPr>
          <w:p>
            <w:pPr>
              <w:jc w:val="right"/>
              <w:ind w:right="133"/>
              <w:spacing w:after="0"/>
              <w:rPr>
                <w:sz w:val="20"/>
                <w:szCs w:val="20"/>
                <w:color w:val="auto"/>
              </w:rPr>
            </w:pPr>
            <w:r>
              <w:rPr>
                <w:rFonts w:ascii="Arial" w:cs="Arial" w:eastAsia="Arial" w:hAnsi="Arial"/>
                <w:sz w:val="14"/>
                <w:szCs w:val="14"/>
                <w:color w:val="auto"/>
              </w:rPr>
              <w:t>—</w:t>
            </w:r>
          </w:p>
        </w:tc>
        <w:tc>
          <w:tcPr>
            <w:tcW w:w="800" w:type="dxa"/>
            <w:vAlign w:val="bottom"/>
            <w:shd w:val="clear" w:color="auto" w:fill="F7F1EC"/>
          </w:tcPr>
          <w:p>
            <w:pPr>
              <w:spacing w:after="0"/>
              <w:rPr>
                <w:sz w:val="18"/>
                <w:szCs w:val="18"/>
                <w:color w:val="auto"/>
              </w:rPr>
            </w:pPr>
          </w:p>
        </w:tc>
        <w:tc>
          <w:tcPr>
            <w:tcW w:w="40" w:type="dxa"/>
            <w:vAlign w:val="bottom"/>
            <w:shd w:val="clear" w:color="auto" w:fill="F7F1EC"/>
          </w:tcPr>
          <w:p>
            <w:pPr>
              <w:spacing w:after="0"/>
              <w:rPr>
                <w:sz w:val="18"/>
                <w:szCs w:val="18"/>
                <w:color w:val="auto"/>
              </w:rPr>
            </w:pPr>
          </w:p>
        </w:tc>
        <w:tc>
          <w:tcPr>
            <w:tcW w:w="620" w:type="dxa"/>
            <w:vAlign w:val="bottom"/>
            <w:shd w:val="clear" w:color="auto" w:fill="F7F1EC"/>
          </w:tcPr>
          <w:p>
            <w:pPr>
              <w:jc w:val="right"/>
              <w:ind w:right="115"/>
              <w:spacing w:after="0"/>
              <w:rPr>
                <w:sz w:val="20"/>
                <w:szCs w:val="20"/>
                <w:color w:val="auto"/>
              </w:rPr>
            </w:pPr>
            <w:r>
              <w:rPr>
                <w:rFonts w:ascii="Arial" w:cs="Arial" w:eastAsia="Arial" w:hAnsi="Arial"/>
                <w:sz w:val="14"/>
                <w:szCs w:val="14"/>
                <w:color w:val="auto"/>
              </w:rPr>
              <w:t>—</w:t>
            </w:r>
          </w:p>
        </w:tc>
        <w:tc>
          <w:tcPr>
            <w:tcW w:w="800" w:type="dxa"/>
            <w:vAlign w:val="bottom"/>
            <w:shd w:val="clear" w:color="auto" w:fill="F7F1EC"/>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F7F1EC"/>
          </w:tcPr>
          <w:p>
            <w:pPr>
              <w:jc w:val="right"/>
              <w:ind w:right="34"/>
              <w:spacing w:after="0" w:line="217" w:lineRule="exact"/>
              <w:rPr>
                <w:sz w:val="20"/>
                <w:szCs w:val="20"/>
                <w:color w:val="auto"/>
              </w:rPr>
            </w:pPr>
            <w:r>
              <w:rPr>
                <w:rFonts w:ascii="Arial" w:cs="Arial" w:eastAsia="Arial" w:hAnsi="Arial"/>
                <w:sz w:val="14"/>
                <w:szCs w:val="14"/>
                <w:color w:val="auto"/>
              </w:rPr>
              <w:t>32,532</w:t>
            </w:r>
            <w:r>
              <w:rPr>
                <w:rFonts w:ascii="Arial" w:cs="Arial" w:eastAsia="Arial" w:hAnsi="Arial"/>
                <w:sz w:val="20"/>
                <w:szCs w:val="20"/>
                <w:color w:val="auto"/>
                <w:vertAlign w:val="superscript"/>
              </w:rPr>
              <w:t>(7)</w:t>
            </w:r>
          </w:p>
        </w:tc>
        <w:tc>
          <w:tcPr>
            <w:tcW w:w="760" w:type="dxa"/>
            <w:vAlign w:val="bottom"/>
            <w:shd w:val="clear" w:color="auto" w:fill="F7F1EC"/>
          </w:tcPr>
          <w:p>
            <w:pPr>
              <w:jc w:val="right"/>
              <w:spacing w:after="0"/>
              <w:rPr>
                <w:sz w:val="20"/>
                <w:szCs w:val="20"/>
                <w:color w:val="auto"/>
              </w:rPr>
            </w:pPr>
            <w:r>
              <w:rPr>
                <w:rFonts w:ascii="Arial" w:cs="Arial" w:eastAsia="Arial" w:hAnsi="Arial"/>
                <w:sz w:val="14"/>
                <w:szCs w:val="14"/>
                <w:color w:val="auto"/>
              </w:rPr>
              <w:t>11,619,454</w:t>
            </w:r>
          </w:p>
        </w:tc>
        <w:tc>
          <w:tcPr>
            <w:tcW w:w="0" w:type="dxa"/>
            <w:vAlign w:val="bottom"/>
          </w:tcPr>
          <w:p>
            <w:pPr>
              <w:spacing w:after="0"/>
              <w:rPr>
                <w:sz w:val="1"/>
                <w:szCs w:val="1"/>
                <w:color w:val="auto"/>
              </w:rPr>
            </w:pPr>
          </w:p>
        </w:tc>
      </w:tr>
      <w:tr>
        <w:trPr>
          <w:trHeight w:val="268"/>
        </w:trPr>
        <w:tc>
          <w:tcPr>
            <w:tcW w:w="1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580" w:type="dxa"/>
            <w:vAlign w:val="bottom"/>
          </w:tcPr>
          <w:p>
            <w:pPr>
              <w:ind w:left="4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133"/>
              <w:spacing w:after="0"/>
              <w:rPr>
                <w:sz w:val="20"/>
                <w:szCs w:val="20"/>
                <w:color w:val="auto"/>
              </w:rPr>
            </w:pPr>
            <w:r>
              <w:rPr>
                <w:rFonts w:ascii="Arial" w:cs="Arial" w:eastAsia="Arial" w:hAnsi="Arial"/>
                <w:sz w:val="14"/>
                <w:szCs w:val="14"/>
                <w:color w:val="auto"/>
              </w:rPr>
              <w:t>—</w:t>
            </w:r>
          </w:p>
        </w:tc>
        <w:tc>
          <w:tcPr>
            <w:tcW w:w="800" w:type="dxa"/>
            <w:vAlign w:val="bottom"/>
          </w:tcPr>
          <w:p>
            <w:pPr>
              <w:spacing w:after="0"/>
              <w:rPr>
                <w:sz w:val="23"/>
                <w:szCs w:val="23"/>
                <w:color w:val="auto"/>
              </w:rPr>
            </w:pPr>
          </w:p>
        </w:tc>
        <w:tc>
          <w:tcPr>
            <w:tcW w:w="660" w:type="dxa"/>
            <w:vAlign w:val="bottom"/>
            <w:gridSpan w:val="2"/>
          </w:tcPr>
          <w:p>
            <w:pPr>
              <w:jc w:val="right"/>
              <w:spacing w:after="0" w:line="267" w:lineRule="exact"/>
              <w:rPr>
                <w:sz w:val="20"/>
                <w:szCs w:val="20"/>
                <w:color w:val="auto"/>
              </w:rPr>
            </w:pPr>
            <w:r>
              <w:rPr>
                <w:rFonts w:ascii="Arial" w:cs="Arial" w:eastAsia="Arial" w:hAnsi="Arial"/>
                <w:sz w:val="27"/>
                <w:szCs w:val="27"/>
                <w:color w:val="auto"/>
                <w:vertAlign w:val="subscript"/>
              </w:rPr>
              <w:t>591</w:t>
            </w:r>
            <w:r>
              <w:rPr>
                <w:rFonts w:ascii="Arial" w:cs="Arial" w:eastAsia="Arial" w:hAnsi="Arial"/>
                <w:sz w:val="10"/>
                <w:szCs w:val="10"/>
                <w:color w:val="auto"/>
              </w:rPr>
              <w:t>(3)</w:t>
            </w:r>
          </w:p>
        </w:tc>
        <w:tc>
          <w:tcPr>
            <w:tcW w:w="800" w:type="dxa"/>
            <w:vAlign w:val="bottom"/>
          </w:tcPr>
          <w:p>
            <w:pPr>
              <w:jc w:val="right"/>
              <w:spacing w:after="0"/>
              <w:rPr>
                <w:sz w:val="20"/>
                <w:szCs w:val="20"/>
                <w:color w:val="auto"/>
              </w:rPr>
            </w:pPr>
            <w:r>
              <w:rPr>
                <w:rFonts w:ascii="Arial" w:cs="Arial" w:eastAsia="Arial" w:hAnsi="Arial"/>
                <w:sz w:val="14"/>
                <w:szCs w:val="14"/>
                <w:color w:val="auto"/>
              </w:rPr>
              <w:t>211,087</w:t>
            </w:r>
          </w:p>
        </w:tc>
        <w:tc>
          <w:tcPr>
            <w:tcW w:w="800" w:type="dxa"/>
            <w:vAlign w:val="bottom"/>
          </w:tcPr>
          <w:p>
            <w:pPr>
              <w:jc w:val="right"/>
              <w:ind w:right="154"/>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4"/>
        </w:trPr>
        <w:tc>
          <w:tcPr>
            <w:tcW w:w="1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80" w:type="dxa"/>
            <w:vAlign w:val="bottom"/>
          </w:tcPr>
          <w:p>
            <w:pPr>
              <w:ind w:left="4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133"/>
              <w:spacing w:after="0"/>
              <w:rPr>
                <w:sz w:val="20"/>
                <w:szCs w:val="20"/>
                <w:color w:val="auto"/>
              </w:rPr>
            </w:pPr>
            <w:r>
              <w:rPr>
                <w:rFonts w:ascii="Arial" w:cs="Arial" w:eastAsia="Arial" w:hAnsi="Arial"/>
                <w:sz w:val="14"/>
                <w:szCs w:val="14"/>
                <w:color w:val="auto"/>
              </w:rPr>
              <w:t>—</w:t>
            </w:r>
          </w:p>
        </w:tc>
        <w:tc>
          <w:tcPr>
            <w:tcW w:w="800" w:type="dxa"/>
            <w:vAlign w:val="bottom"/>
          </w:tcPr>
          <w:p>
            <w:pPr>
              <w:spacing w:after="0"/>
              <w:rPr>
                <w:sz w:val="17"/>
                <w:szCs w:val="17"/>
                <w:color w:val="auto"/>
              </w:rPr>
            </w:pPr>
          </w:p>
        </w:tc>
        <w:tc>
          <w:tcPr>
            <w:tcW w:w="660" w:type="dxa"/>
            <w:vAlign w:val="bottom"/>
            <w:gridSpan w:val="2"/>
          </w:tcPr>
          <w:p>
            <w:pPr>
              <w:jc w:val="right"/>
              <w:spacing w:after="0" w:line="205" w:lineRule="exact"/>
              <w:rPr>
                <w:sz w:val="20"/>
                <w:szCs w:val="20"/>
                <w:color w:val="auto"/>
              </w:rPr>
            </w:pPr>
            <w:r>
              <w:rPr>
                <w:rFonts w:ascii="Arial" w:cs="Arial" w:eastAsia="Arial" w:hAnsi="Arial"/>
                <w:sz w:val="14"/>
                <w:szCs w:val="14"/>
                <w:color w:val="auto"/>
              </w:rPr>
              <w:t>1,573</w:t>
            </w:r>
            <w:r>
              <w:rPr>
                <w:rFonts w:ascii="Arial" w:cs="Arial" w:eastAsia="Arial" w:hAnsi="Arial"/>
                <w:sz w:val="20"/>
                <w:szCs w:val="20"/>
                <w:color w:val="auto"/>
                <w:vertAlign w:val="superscript"/>
              </w:rPr>
              <w:t>(4)</w:t>
            </w:r>
          </w:p>
        </w:tc>
        <w:tc>
          <w:tcPr>
            <w:tcW w:w="800" w:type="dxa"/>
            <w:vAlign w:val="bottom"/>
          </w:tcPr>
          <w:p>
            <w:pPr>
              <w:jc w:val="right"/>
              <w:spacing w:after="0"/>
              <w:rPr>
                <w:sz w:val="20"/>
                <w:szCs w:val="20"/>
                <w:color w:val="auto"/>
              </w:rPr>
            </w:pPr>
            <w:r>
              <w:rPr>
                <w:rFonts w:ascii="Arial" w:cs="Arial" w:eastAsia="Arial" w:hAnsi="Arial"/>
                <w:sz w:val="14"/>
                <w:szCs w:val="14"/>
                <w:color w:val="auto"/>
              </w:rPr>
              <w:t>561,828</w:t>
            </w:r>
          </w:p>
        </w:tc>
        <w:tc>
          <w:tcPr>
            <w:tcW w:w="800" w:type="dxa"/>
            <w:vAlign w:val="bottom"/>
          </w:tcPr>
          <w:p>
            <w:pPr>
              <w:jc w:val="right"/>
              <w:ind w:right="154"/>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4"/>
        </w:trPr>
        <w:tc>
          <w:tcPr>
            <w:tcW w:w="1660" w:type="dxa"/>
            <w:vAlign w:val="bottom"/>
            <w:vMerge w:val="restart"/>
          </w:tcPr>
          <w:p>
            <w:pPr>
              <w:ind w:left="60"/>
              <w:spacing w:after="0"/>
              <w:rPr>
                <w:sz w:val="20"/>
                <w:szCs w:val="20"/>
                <w:color w:val="auto"/>
              </w:rPr>
            </w:pPr>
            <w:r>
              <w:rPr>
                <w:rFonts w:ascii="Arial" w:cs="Arial" w:eastAsia="Arial" w:hAnsi="Arial"/>
                <w:sz w:val="14"/>
                <w:szCs w:val="14"/>
                <w:b w:val="1"/>
                <w:bCs w:val="1"/>
                <w:color w:val="B95827"/>
              </w:rPr>
              <w:t>Matthew Audette</w:t>
            </w: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80" w:type="dxa"/>
            <w:vAlign w:val="bottom"/>
          </w:tcPr>
          <w:p>
            <w:pPr>
              <w:ind w:left="4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133"/>
              <w:spacing w:after="0"/>
              <w:rPr>
                <w:sz w:val="20"/>
                <w:szCs w:val="20"/>
                <w:color w:val="auto"/>
              </w:rPr>
            </w:pPr>
            <w:r>
              <w:rPr>
                <w:rFonts w:ascii="Arial" w:cs="Arial" w:eastAsia="Arial" w:hAnsi="Arial"/>
                <w:sz w:val="14"/>
                <w:szCs w:val="14"/>
                <w:color w:val="auto"/>
              </w:rPr>
              <w:t>—</w:t>
            </w:r>
          </w:p>
        </w:tc>
        <w:tc>
          <w:tcPr>
            <w:tcW w:w="800" w:type="dxa"/>
            <w:vAlign w:val="bottom"/>
          </w:tcPr>
          <w:p>
            <w:pPr>
              <w:spacing w:after="0"/>
              <w:rPr>
                <w:sz w:val="17"/>
                <w:szCs w:val="17"/>
                <w:color w:val="auto"/>
              </w:rPr>
            </w:pPr>
          </w:p>
        </w:tc>
        <w:tc>
          <w:tcPr>
            <w:tcW w:w="660" w:type="dxa"/>
            <w:vAlign w:val="bottom"/>
            <w:gridSpan w:val="2"/>
          </w:tcPr>
          <w:p>
            <w:pPr>
              <w:jc w:val="right"/>
              <w:spacing w:after="0" w:line="205" w:lineRule="exact"/>
              <w:rPr>
                <w:sz w:val="20"/>
                <w:szCs w:val="20"/>
                <w:color w:val="auto"/>
              </w:rPr>
            </w:pPr>
            <w:r>
              <w:rPr>
                <w:rFonts w:ascii="Arial" w:cs="Arial" w:eastAsia="Arial" w:hAnsi="Arial"/>
                <w:sz w:val="14"/>
                <w:szCs w:val="14"/>
                <w:color w:val="auto"/>
              </w:rPr>
              <w:t>5,947</w:t>
            </w:r>
            <w:r>
              <w:rPr>
                <w:rFonts w:ascii="Arial" w:cs="Arial" w:eastAsia="Arial" w:hAnsi="Arial"/>
                <w:sz w:val="20"/>
                <w:szCs w:val="20"/>
                <w:color w:val="auto"/>
                <w:vertAlign w:val="superscript"/>
              </w:rPr>
              <w:t>(5)</w:t>
            </w:r>
          </w:p>
        </w:tc>
        <w:tc>
          <w:tcPr>
            <w:tcW w:w="800" w:type="dxa"/>
            <w:vAlign w:val="bottom"/>
          </w:tcPr>
          <w:p>
            <w:pPr>
              <w:jc w:val="right"/>
              <w:spacing w:after="0"/>
              <w:rPr>
                <w:sz w:val="20"/>
                <w:szCs w:val="20"/>
                <w:color w:val="auto"/>
              </w:rPr>
            </w:pPr>
            <w:r>
              <w:rPr>
                <w:rFonts w:ascii="Arial" w:cs="Arial" w:eastAsia="Arial" w:hAnsi="Arial"/>
                <w:sz w:val="14"/>
                <w:szCs w:val="14"/>
                <w:color w:val="auto"/>
              </w:rPr>
              <w:t>2,124,090</w:t>
            </w:r>
          </w:p>
        </w:tc>
        <w:tc>
          <w:tcPr>
            <w:tcW w:w="800" w:type="dxa"/>
            <w:vAlign w:val="bottom"/>
          </w:tcPr>
          <w:p>
            <w:pPr>
              <w:jc w:val="right"/>
              <w:ind w:right="154"/>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9"/>
        </w:trPr>
        <w:tc>
          <w:tcPr>
            <w:tcW w:w="166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320" w:type="dxa"/>
            <w:vAlign w:val="bottom"/>
          </w:tcPr>
          <w:p>
            <w:pPr>
              <w:spacing w:after="0"/>
              <w:rPr>
                <w:sz w:val="7"/>
                <w:szCs w:val="7"/>
                <w:color w:val="auto"/>
              </w:rPr>
            </w:pPr>
          </w:p>
        </w:tc>
        <w:tc>
          <w:tcPr>
            <w:tcW w:w="40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7"/>
                <w:szCs w:val="7"/>
                <w:color w:val="auto"/>
              </w:rPr>
            </w:pPr>
          </w:p>
        </w:tc>
        <w:tc>
          <w:tcPr>
            <w:tcW w:w="360" w:type="dxa"/>
            <w:vAlign w:val="bottom"/>
          </w:tcPr>
          <w:p>
            <w:pPr>
              <w:spacing w:after="0"/>
              <w:rPr>
                <w:sz w:val="7"/>
                <w:szCs w:val="7"/>
                <w:color w:val="auto"/>
              </w:rPr>
            </w:pPr>
          </w:p>
        </w:tc>
        <w:tc>
          <w:tcPr>
            <w:tcW w:w="580" w:type="dxa"/>
            <w:vAlign w:val="bottom"/>
            <w:vMerge w:val="restart"/>
          </w:tcPr>
          <w:p>
            <w:pPr>
              <w:ind w:left="40"/>
              <w:spacing w:after="0"/>
              <w:rPr>
                <w:sz w:val="20"/>
                <w:szCs w:val="20"/>
                <w:color w:val="auto"/>
              </w:rPr>
            </w:pPr>
            <w:r>
              <w:rPr>
                <w:rFonts w:ascii="Arial" w:cs="Arial" w:eastAsia="Arial" w:hAnsi="Arial"/>
                <w:sz w:val="14"/>
                <w:szCs w:val="14"/>
                <w:color w:val="auto"/>
              </w:rPr>
              <w:t>—</w:t>
            </w:r>
          </w:p>
        </w:tc>
        <w:tc>
          <w:tcPr>
            <w:tcW w:w="740" w:type="dxa"/>
            <w:vAlign w:val="bottom"/>
            <w:vMerge w:val="restart"/>
          </w:tcPr>
          <w:p>
            <w:pPr>
              <w:jc w:val="right"/>
              <w:ind w:right="133"/>
              <w:spacing w:after="0"/>
              <w:rPr>
                <w:sz w:val="20"/>
                <w:szCs w:val="20"/>
                <w:color w:val="auto"/>
              </w:rPr>
            </w:pPr>
            <w:r>
              <w:rPr>
                <w:rFonts w:ascii="Arial" w:cs="Arial" w:eastAsia="Arial" w:hAnsi="Arial"/>
                <w:sz w:val="14"/>
                <w:szCs w:val="14"/>
                <w:color w:val="auto"/>
              </w:rPr>
              <w:t>—</w:t>
            </w:r>
          </w:p>
        </w:tc>
        <w:tc>
          <w:tcPr>
            <w:tcW w:w="800" w:type="dxa"/>
            <w:vAlign w:val="bottom"/>
          </w:tcPr>
          <w:p>
            <w:pPr>
              <w:spacing w:after="0"/>
              <w:rPr>
                <w:sz w:val="7"/>
                <w:szCs w:val="7"/>
                <w:color w:val="auto"/>
              </w:rPr>
            </w:pPr>
          </w:p>
        </w:tc>
        <w:tc>
          <w:tcPr>
            <w:tcW w:w="660" w:type="dxa"/>
            <w:vAlign w:val="bottom"/>
            <w:gridSpan w:val="2"/>
            <w:vMerge w:val="restart"/>
          </w:tcPr>
          <w:p>
            <w:pPr>
              <w:jc w:val="right"/>
              <w:spacing w:after="0" w:line="205" w:lineRule="exact"/>
              <w:rPr>
                <w:sz w:val="20"/>
                <w:szCs w:val="20"/>
                <w:color w:val="auto"/>
              </w:rPr>
            </w:pPr>
            <w:r>
              <w:rPr>
                <w:rFonts w:ascii="Arial" w:cs="Arial" w:eastAsia="Arial" w:hAnsi="Arial"/>
                <w:sz w:val="14"/>
                <w:szCs w:val="14"/>
                <w:color w:val="auto"/>
              </w:rPr>
              <w:t>2,152</w:t>
            </w:r>
            <w:r>
              <w:rPr>
                <w:rFonts w:ascii="Arial" w:cs="Arial" w:eastAsia="Arial" w:hAnsi="Arial"/>
                <w:sz w:val="20"/>
                <w:szCs w:val="20"/>
                <w:color w:val="auto"/>
                <w:vertAlign w:val="superscript"/>
              </w:rPr>
              <w:t>(6)</w:t>
            </w: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768,630</w:t>
            </w:r>
          </w:p>
        </w:tc>
        <w:tc>
          <w:tcPr>
            <w:tcW w:w="800" w:type="dxa"/>
            <w:vAlign w:val="bottom"/>
            <w:vMerge w:val="restart"/>
          </w:tcPr>
          <w:p>
            <w:pPr>
              <w:jc w:val="right"/>
              <w:ind w:right="154"/>
              <w:spacing w:after="0"/>
              <w:rPr>
                <w:sz w:val="20"/>
                <w:szCs w:val="20"/>
                <w:color w:val="auto"/>
              </w:rPr>
            </w:pPr>
            <w:r>
              <w:rPr>
                <w:rFonts w:ascii="Arial" w:cs="Arial" w:eastAsia="Arial" w:hAnsi="Arial"/>
                <w:sz w:val="14"/>
                <w:szCs w:val="14"/>
                <w:color w:val="auto"/>
              </w:rPr>
              <w:t>—</w:t>
            </w: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16"/>
        </w:trPr>
        <w:tc>
          <w:tcPr>
            <w:tcW w:w="1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00" w:type="dxa"/>
            <w:vAlign w:val="bottom"/>
            <w:gridSpan w:val="2"/>
            <w:vMerge w:val="continue"/>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800" w:type="dxa"/>
            <w:vAlign w:val="bottom"/>
          </w:tcPr>
          <w:p>
            <w:pPr>
              <w:spacing w:after="0"/>
              <w:rPr>
                <w:sz w:val="10"/>
                <w:szCs w:val="10"/>
                <w:color w:val="auto"/>
              </w:rPr>
            </w:pPr>
          </w:p>
        </w:tc>
        <w:tc>
          <w:tcPr>
            <w:tcW w:w="660" w:type="dxa"/>
            <w:vAlign w:val="bottom"/>
            <w:gridSpan w:val="2"/>
            <w:vMerge w:val="continue"/>
          </w:tcPr>
          <w:p>
            <w:pPr>
              <w:spacing w:after="0"/>
              <w:rPr>
                <w:sz w:val="10"/>
                <w:szCs w:val="10"/>
                <w:color w:val="auto"/>
              </w:rPr>
            </w:pPr>
          </w:p>
        </w:tc>
        <w:tc>
          <w:tcPr>
            <w:tcW w:w="800" w:type="dxa"/>
            <w:vAlign w:val="bottom"/>
            <w:vMerge w:val="continue"/>
          </w:tcPr>
          <w:p>
            <w:pPr>
              <w:spacing w:after="0"/>
              <w:rPr>
                <w:sz w:val="10"/>
                <w:szCs w:val="10"/>
                <w:color w:val="auto"/>
              </w:rPr>
            </w:pPr>
          </w:p>
        </w:tc>
        <w:tc>
          <w:tcPr>
            <w:tcW w:w="80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4"/>
        </w:trPr>
        <w:tc>
          <w:tcPr>
            <w:tcW w:w="1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80" w:type="dxa"/>
            <w:vAlign w:val="bottom"/>
          </w:tcPr>
          <w:p>
            <w:pPr>
              <w:ind w:left="4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133"/>
              <w:spacing w:after="0"/>
              <w:rPr>
                <w:sz w:val="20"/>
                <w:szCs w:val="20"/>
                <w:color w:val="auto"/>
              </w:rPr>
            </w:pPr>
            <w:r>
              <w:rPr>
                <w:rFonts w:ascii="Arial" w:cs="Arial" w:eastAsia="Arial" w:hAnsi="Arial"/>
                <w:sz w:val="14"/>
                <w:szCs w:val="14"/>
                <w:color w:val="auto"/>
              </w:rPr>
              <w:t>—</w:t>
            </w: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20" w:type="dxa"/>
            <w:vAlign w:val="bottom"/>
          </w:tcPr>
          <w:p>
            <w:pPr>
              <w:jc w:val="right"/>
              <w:ind w:right="115"/>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34"/>
              <w:spacing w:after="0" w:line="205" w:lineRule="exact"/>
              <w:rPr>
                <w:sz w:val="20"/>
                <w:szCs w:val="20"/>
                <w:color w:val="auto"/>
              </w:rPr>
            </w:pPr>
            <w:r>
              <w:rPr>
                <w:rFonts w:ascii="Arial" w:cs="Arial" w:eastAsia="Arial" w:hAnsi="Arial"/>
                <w:sz w:val="14"/>
                <w:szCs w:val="14"/>
                <w:color w:val="auto"/>
              </w:rPr>
              <w:t>7,078</w:t>
            </w:r>
            <w:r>
              <w:rPr>
                <w:rFonts w:ascii="Arial" w:cs="Arial" w:eastAsia="Arial" w:hAnsi="Arial"/>
                <w:sz w:val="20"/>
                <w:szCs w:val="20"/>
                <w:color w:val="auto"/>
                <w:vertAlign w:val="superscript"/>
              </w:rPr>
              <w:t>(7)</w:t>
            </w:r>
          </w:p>
        </w:tc>
        <w:tc>
          <w:tcPr>
            <w:tcW w:w="760" w:type="dxa"/>
            <w:vAlign w:val="bottom"/>
          </w:tcPr>
          <w:p>
            <w:pPr>
              <w:jc w:val="right"/>
              <w:spacing w:after="0"/>
              <w:rPr>
                <w:sz w:val="20"/>
                <w:szCs w:val="20"/>
                <w:color w:val="auto"/>
              </w:rPr>
            </w:pPr>
            <w:r>
              <w:rPr>
                <w:rFonts w:ascii="Arial" w:cs="Arial" w:eastAsia="Arial" w:hAnsi="Arial"/>
                <w:sz w:val="14"/>
                <w:szCs w:val="14"/>
                <w:color w:val="auto"/>
              </w:rPr>
              <w:t>2,528,049</w:t>
            </w:r>
          </w:p>
        </w:tc>
        <w:tc>
          <w:tcPr>
            <w:tcW w:w="0" w:type="dxa"/>
            <w:vAlign w:val="bottom"/>
          </w:tcPr>
          <w:p>
            <w:pPr>
              <w:spacing w:after="0"/>
              <w:rPr>
                <w:sz w:val="1"/>
                <w:szCs w:val="1"/>
                <w:color w:val="auto"/>
              </w:rPr>
            </w:pPr>
          </w:p>
        </w:tc>
      </w:tr>
      <w:tr>
        <w:trPr>
          <w:trHeight w:val="217"/>
        </w:trPr>
        <w:tc>
          <w:tcPr>
            <w:tcW w:w="1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ind w:left="4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133"/>
              <w:spacing w:after="0"/>
              <w:rPr>
                <w:sz w:val="20"/>
                <w:szCs w:val="20"/>
                <w:color w:val="auto"/>
              </w:rPr>
            </w:pPr>
            <w:r>
              <w:rPr>
                <w:rFonts w:ascii="Arial" w:cs="Arial" w:eastAsia="Arial" w:hAnsi="Arial"/>
                <w:sz w:val="14"/>
                <w:szCs w:val="14"/>
                <w:color w:val="auto"/>
              </w:rPr>
              <w:t>—</w:t>
            </w: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tcPr>
          <w:p>
            <w:pPr>
              <w:jc w:val="right"/>
              <w:ind w:right="115"/>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34"/>
              <w:spacing w:after="0" w:line="217" w:lineRule="exact"/>
              <w:rPr>
                <w:sz w:val="20"/>
                <w:szCs w:val="20"/>
                <w:color w:val="auto"/>
              </w:rPr>
            </w:pPr>
            <w:r>
              <w:rPr>
                <w:rFonts w:ascii="Arial" w:cs="Arial" w:eastAsia="Arial" w:hAnsi="Arial"/>
                <w:sz w:val="14"/>
                <w:szCs w:val="14"/>
                <w:color w:val="auto"/>
              </w:rPr>
              <w:t>17,842</w:t>
            </w:r>
            <w:r>
              <w:rPr>
                <w:rFonts w:ascii="Arial" w:cs="Arial" w:eastAsia="Arial" w:hAnsi="Arial"/>
                <w:sz w:val="20"/>
                <w:szCs w:val="20"/>
                <w:color w:val="auto"/>
                <w:vertAlign w:val="superscript"/>
              </w:rPr>
              <w:t>(7)</w:t>
            </w:r>
          </w:p>
        </w:tc>
        <w:tc>
          <w:tcPr>
            <w:tcW w:w="760" w:type="dxa"/>
            <w:vAlign w:val="bottom"/>
          </w:tcPr>
          <w:p>
            <w:pPr>
              <w:jc w:val="right"/>
              <w:spacing w:after="0"/>
              <w:rPr>
                <w:sz w:val="20"/>
                <w:szCs w:val="20"/>
                <w:color w:val="auto"/>
              </w:rPr>
            </w:pPr>
            <w:r>
              <w:rPr>
                <w:rFonts w:ascii="Arial" w:cs="Arial" w:eastAsia="Arial" w:hAnsi="Arial"/>
                <w:sz w:val="14"/>
                <w:szCs w:val="14"/>
                <w:color w:val="auto"/>
              </w:rPr>
              <w:t>6,372,627</w:t>
            </w:r>
          </w:p>
        </w:tc>
        <w:tc>
          <w:tcPr>
            <w:tcW w:w="0" w:type="dxa"/>
            <w:vAlign w:val="bottom"/>
          </w:tcPr>
          <w:p>
            <w:pPr>
              <w:spacing w:after="0"/>
              <w:rPr>
                <w:sz w:val="1"/>
                <w:szCs w:val="1"/>
                <w:color w:val="auto"/>
              </w:rPr>
            </w:pPr>
          </w:p>
        </w:tc>
      </w:tr>
      <w:tr>
        <w:trPr>
          <w:trHeight w:val="268"/>
        </w:trPr>
        <w:tc>
          <w:tcPr>
            <w:tcW w:w="1660" w:type="dxa"/>
            <w:vAlign w:val="bottom"/>
            <w:shd w:val="clear" w:color="auto" w:fill="F7F1EC"/>
          </w:tcPr>
          <w:p>
            <w:pPr>
              <w:spacing w:after="0"/>
              <w:rPr>
                <w:sz w:val="23"/>
                <w:szCs w:val="23"/>
                <w:color w:val="auto"/>
              </w:rPr>
            </w:pPr>
          </w:p>
        </w:tc>
        <w:tc>
          <w:tcPr>
            <w:tcW w:w="40" w:type="dxa"/>
            <w:vAlign w:val="bottom"/>
            <w:shd w:val="clear" w:color="auto" w:fill="F7F1EC"/>
          </w:tcPr>
          <w:p>
            <w:pPr>
              <w:spacing w:after="0"/>
              <w:rPr>
                <w:sz w:val="23"/>
                <w:szCs w:val="23"/>
                <w:color w:val="auto"/>
              </w:rPr>
            </w:pPr>
          </w:p>
        </w:tc>
        <w:tc>
          <w:tcPr>
            <w:tcW w:w="660" w:type="dxa"/>
            <w:vAlign w:val="bottom"/>
            <w:gridSpan w:val="2"/>
            <w:shd w:val="clear" w:color="auto" w:fill="F7F1EC"/>
          </w:tcPr>
          <w:p>
            <w:pPr>
              <w:jc w:val="right"/>
              <w:spacing w:after="0"/>
              <w:rPr>
                <w:sz w:val="20"/>
                <w:szCs w:val="20"/>
                <w:color w:val="auto"/>
              </w:rPr>
            </w:pPr>
            <w:r>
              <w:rPr>
                <w:rFonts w:ascii="Arial" w:cs="Arial" w:eastAsia="Arial" w:hAnsi="Arial"/>
                <w:sz w:val="14"/>
                <w:szCs w:val="14"/>
                <w:color w:val="auto"/>
              </w:rPr>
              <w:t>5,382</w:t>
            </w:r>
          </w:p>
        </w:tc>
        <w:tc>
          <w:tcPr>
            <w:tcW w:w="60" w:type="dxa"/>
            <w:vAlign w:val="bottom"/>
            <w:shd w:val="clear" w:color="auto" w:fill="F7F1EC"/>
          </w:tcPr>
          <w:p>
            <w:pPr>
              <w:spacing w:after="0"/>
              <w:rPr>
                <w:sz w:val="23"/>
                <w:szCs w:val="23"/>
                <w:color w:val="auto"/>
              </w:rPr>
            </w:pPr>
          </w:p>
        </w:tc>
        <w:tc>
          <w:tcPr>
            <w:tcW w:w="40" w:type="dxa"/>
            <w:vAlign w:val="bottom"/>
            <w:shd w:val="clear" w:color="auto" w:fill="F7F1EC"/>
          </w:tcPr>
          <w:p>
            <w:pPr>
              <w:spacing w:after="0"/>
              <w:rPr>
                <w:sz w:val="23"/>
                <w:szCs w:val="23"/>
                <w:color w:val="auto"/>
              </w:rPr>
            </w:pPr>
          </w:p>
        </w:tc>
        <w:tc>
          <w:tcPr>
            <w:tcW w:w="360" w:type="dxa"/>
            <w:vAlign w:val="bottom"/>
            <w:shd w:val="clear" w:color="auto" w:fill="F7F1EC"/>
          </w:tcPr>
          <w:p>
            <w:pPr>
              <w:spacing w:after="0"/>
              <w:rPr>
                <w:sz w:val="23"/>
                <w:szCs w:val="23"/>
                <w:color w:val="auto"/>
              </w:rPr>
            </w:pPr>
          </w:p>
        </w:tc>
        <w:tc>
          <w:tcPr>
            <w:tcW w:w="580" w:type="dxa"/>
            <w:vAlign w:val="bottom"/>
            <w:shd w:val="clear" w:color="auto" w:fill="F7F1EC"/>
          </w:tcPr>
          <w:p>
            <w:pPr>
              <w:ind w:left="40"/>
              <w:spacing w:after="0" w:line="267"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0"/>
                <w:szCs w:val="10"/>
                <w:color w:val="auto"/>
              </w:rPr>
              <w:t>(8)</w:t>
            </w:r>
          </w:p>
        </w:tc>
        <w:tc>
          <w:tcPr>
            <w:tcW w:w="740" w:type="dxa"/>
            <w:vAlign w:val="bottom"/>
            <w:shd w:val="clear" w:color="auto" w:fill="F7F1EC"/>
          </w:tcPr>
          <w:p>
            <w:pPr>
              <w:jc w:val="right"/>
              <w:ind w:right="133"/>
              <w:spacing w:after="0"/>
              <w:rPr>
                <w:sz w:val="20"/>
                <w:szCs w:val="20"/>
                <w:color w:val="auto"/>
              </w:rPr>
            </w:pPr>
            <w:r>
              <w:rPr>
                <w:rFonts w:ascii="Arial" w:cs="Arial" w:eastAsia="Arial" w:hAnsi="Arial"/>
                <w:sz w:val="14"/>
                <w:szCs w:val="14"/>
                <w:color w:val="auto"/>
              </w:rPr>
              <w:t>65.50</w:t>
            </w:r>
          </w:p>
        </w:tc>
        <w:tc>
          <w:tcPr>
            <w:tcW w:w="800" w:type="dxa"/>
            <w:vAlign w:val="bottom"/>
            <w:shd w:val="clear" w:color="auto" w:fill="F7F1EC"/>
          </w:tcPr>
          <w:p>
            <w:pPr>
              <w:ind w:left="180"/>
              <w:spacing w:after="0"/>
              <w:rPr>
                <w:sz w:val="20"/>
                <w:szCs w:val="20"/>
                <w:color w:val="auto"/>
              </w:rPr>
            </w:pPr>
            <w:r>
              <w:rPr>
                <w:rFonts w:ascii="Arial" w:cs="Arial" w:eastAsia="Arial" w:hAnsi="Arial"/>
                <w:sz w:val="14"/>
                <w:szCs w:val="14"/>
                <w:color w:val="auto"/>
                <w:w w:val="96"/>
              </w:rPr>
              <w:t>2/23/2028</w:t>
            </w:r>
          </w:p>
        </w:tc>
        <w:tc>
          <w:tcPr>
            <w:tcW w:w="40" w:type="dxa"/>
            <w:vAlign w:val="bottom"/>
            <w:shd w:val="clear" w:color="auto" w:fill="F7F1EC"/>
          </w:tcPr>
          <w:p>
            <w:pPr>
              <w:spacing w:after="0"/>
              <w:rPr>
                <w:sz w:val="23"/>
                <w:szCs w:val="23"/>
                <w:color w:val="auto"/>
              </w:rPr>
            </w:pPr>
          </w:p>
        </w:tc>
        <w:tc>
          <w:tcPr>
            <w:tcW w:w="620" w:type="dxa"/>
            <w:vAlign w:val="bottom"/>
            <w:shd w:val="clear" w:color="auto" w:fill="F7F1EC"/>
          </w:tcPr>
          <w:p>
            <w:pPr>
              <w:jc w:val="right"/>
              <w:ind w:right="115"/>
              <w:spacing w:after="0"/>
              <w:rPr>
                <w:sz w:val="20"/>
                <w:szCs w:val="20"/>
                <w:color w:val="auto"/>
              </w:rPr>
            </w:pPr>
            <w:r>
              <w:rPr>
                <w:rFonts w:ascii="Arial" w:cs="Arial" w:eastAsia="Arial" w:hAnsi="Arial"/>
                <w:sz w:val="14"/>
                <w:szCs w:val="14"/>
                <w:color w:val="auto"/>
              </w:rPr>
              <w:t>—</w:t>
            </w:r>
          </w:p>
        </w:tc>
        <w:tc>
          <w:tcPr>
            <w:tcW w:w="800" w:type="dxa"/>
            <w:vAlign w:val="bottom"/>
            <w:shd w:val="clear" w:color="auto" w:fill="F7F1EC"/>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F7F1EC"/>
          </w:tcPr>
          <w:p>
            <w:pPr>
              <w:jc w:val="right"/>
              <w:ind w:right="154"/>
              <w:spacing w:after="0"/>
              <w:rPr>
                <w:sz w:val="20"/>
                <w:szCs w:val="20"/>
                <w:color w:val="auto"/>
              </w:rPr>
            </w:pPr>
            <w:r>
              <w:rPr>
                <w:rFonts w:ascii="Arial" w:cs="Arial" w:eastAsia="Arial" w:hAnsi="Arial"/>
                <w:sz w:val="14"/>
                <w:szCs w:val="14"/>
                <w:color w:val="auto"/>
              </w:rPr>
              <w:t>—</w:t>
            </w:r>
          </w:p>
        </w:tc>
        <w:tc>
          <w:tcPr>
            <w:tcW w:w="760" w:type="dxa"/>
            <w:vAlign w:val="bottom"/>
            <w:shd w:val="clear" w:color="auto" w:fill="F7F1EC"/>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4"/>
        </w:trPr>
        <w:tc>
          <w:tcPr>
            <w:tcW w:w="1660" w:type="dxa"/>
            <w:vAlign w:val="bottom"/>
            <w:shd w:val="clear" w:color="auto" w:fill="F7F1EC"/>
          </w:tcPr>
          <w:p>
            <w:pPr>
              <w:spacing w:after="0"/>
              <w:rPr>
                <w:sz w:val="17"/>
                <w:szCs w:val="17"/>
                <w:color w:val="auto"/>
              </w:rPr>
            </w:pPr>
          </w:p>
        </w:tc>
        <w:tc>
          <w:tcPr>
            <w:tcW w:w="40" w:type="dxa"/>
            <w:vAlign w:val="bottom"/>
            <w:shd w:val="clear" w:color="auto" w:fill="F7F1EC"/>
          </w:tcPr>
          <w:p>
            <w:pPr>
              <w:spacing w:after="0"/>
              <w:rPr>
                <w:sz w:val="17"/>
                <w:szCs w:val="17"/>
                <w:color w:val="auto"/>
              </w:rPr>
            </w:pPr>
          </w:p>
        </w:tc>
        <w:tc>
          <w:tcPr>
            <w:tcW w:w="660" w:type="dxa"/>
            <w:vAlign w:val="bottom"/>
            <w:gridSpan w:val="2"/>
            <w:shd w:val="clear" w:color="auto" w:fill="F7F1EC"/>
          </w:tcPr>
          <w:p>
            <w:pPr>
              <w:jc w:val="right"/>
              <w:spacing w:after="0"/>
              <w:rPr>
                <w:sz w:val="20"/>
                <w:szCs w:val="20"/>
                <w:color w:val="auto"/>
              </w:rPr>
            </w:pPr>
            <w:r>
              <w:rPr>
                <w:rFonts w:ascii="Arial" w:cs="Arial" w:eastAsia="Arial" w:hAnsi="Arial"/>
                <w:sz w:val="14"/>
                <w:szCs w:val="14"/>
                <w:color w:val="auto"/>
              </w:rPr>
              <w:t>5,653</w:t>
            </w:r>
          </w:p>
        </w:tc>
        <w:tc>
          <w:tcPr>
            <w:tcW w:w="60" w:type="dxa"/>
            <w:vAlign w:val="bottom"/>
            <w:shd w:val="clear" w:color="auto" w:fill="F7F1EC"/>
          </w:tcPr>
          <w:p>
            <w:pPr>
              <w:spacing w:after="0"/>
              <w:rPr>
                <w:sz w:val="17"/>
                <w:szCs w:val="17"/>
                <w:color w:val="auto"/>
              </w:rPr>
            </w:pPr>
          </w:p>
        </w:tc>
        <w:tc>
          <w:tcPr>
            <w:tcW w:w="40" w:type="dxa"/>
            <w:vAlign w:val="bottom"/>
            <w:shd w:val="clear" w:color="auto" w:fill="F7F1EC"/>
          </w:tcPr>
          <w:p>
            <w:pPr>
              <w:spacing w:after="0"/>
              <w:rPr>
                <w:sz w:val="17"/>
                <w:szCs w:val="17"/>
                <w:color w:val="auto"/>
              </w:rPr>
            </w:pPr>
          </w:p>
        </w:tc>
        <w:tc>
          <w:tcPr>
            <w:tcW w:w="360" w:type="dxa"/>
            <w:vAlign w:val="bottom"/>
            <w:shd w:val="clear" w:color="auto" w:fill="F7F1EC"/>
          </w:tcPr>
          <w:p>
            <w:pPr>
              <w:spacing w:after="0"/>
              <w:rPr>
                <w:sz w:val="17"/>
                <w:szCs w:val="17"/>
                <w:color w:val="auto"/>
              </w:rPr>
            </w:pPr>
          </w:p>
        </w:tc>
        <w:tc>
          <w:tcPr>
            <w:tcW w:w="580" w:type="dxa"/>
            <w:vAlign w:val="bottom"/>
            <w:shd w:val="clear" w:color="auto" w:fill="F7F1EC"/>
          </w:tcPr>
          <w:p>
            <w:pPr>
              <w:ind w:left="40"/>
              <w:spacing w:after="0" w:line="204" w:lineRule="exact"/>
              <w:rPr>
                <w:sz w:val="20"/>
                <w:szCs w:val="20"/>
                <w:color w:val="auto"/>
              </w:rPr>
            </w:pPr>
            <w:r>
              <w:rPr>
                <w:rFonts w:ascii="Arial" w:cs="Arial" w:eastAsia="Arial" w:hAnsi="Arial"/>
                <w:sz w:val="23"/>
                <w:szCs w:val="23"/>
                <w:color w:val="auto"/>
                <w:vertAlign w:val="subscript"/>
              </w:rPr>
              <w:t>—</w:t>
            </w:r>
            <w:r>
              <w:rPr>
                <w:rFonts w:ascii="Arial" w:cs="Arial" w:eastAsia="Arial" w:hAnsi="Arial"/>
                <w:sz w:val="9"/>
                <w:szCs w:val="9"/>
                <w:color w:val="auto"/>
              </w:rPr>
              <w:t>(9)</w:t>
            </w:r>
          </w:p>
        </w:tc>
        <w:tc>
          <w:tcPr>
            <w:tcW w:w="740" w:type="dxa"/>
            <w:vAlign w:val="bottom"/>
            <w:shd w:val="clear" w:color="auto" w:fill="F7F1EC"/>
          </w:tcPr>
          <w:p>
            <w:pPr>
              <w:jc w:val="right"/>
              <w:ind w:right="133"/>
              <w:spacing w:after="0"/>
              <w:rPr>
                <w:sz w:val="20"/>
                <w:szCs w:val="20"/>
                <w:color w:val="auto"/>
              </w:rPr>
            </w:pPr>
            <w:r>
              <w:rPr>
                <w:rFonts w:ascii="Arial" w:cs="Arial" w:eastAsia="Arial" w:hAnsi="Arial"/>
                <w:sz w:val="14"/>
                <w:szCs w:val="14"/>
                <w:color w:val="auto"/>
              </w:rPr>
              <w:t>77.53</w:t>
            </w:r>
          </w:p>
        </w:tc>
        <w:tc>
          <w:tcPr>
            <w:tcW w:w="800" w:type="dxa"/>
            <w:vAlign w:val="bottom"/>
            <w:shd w:val="clear" w:color="auto" w:fill="F7F1EC"/>
          </w:tcPr>
          <w:p>
            <w:pPr>
              <w:ind w:left="180"/>
              <w:spacing w:after="0"/>
              <w:rPr>
                <w:sz w:val="20"/>
                <w:szCs w:val="20"/>
                <w:color w:val="auto"/>
              </w:rPr>
            </w:pPr>
            <w:r>
              <w:rPr>
                <w:rFonts w:ascii="Arial" w:cs="Arial" w:eastAsia="Arial" w:hAnsi="Arial"/>
                <w:sz w:val="14"/>
                <w:szCs w:val="14"/>
                <w:color w:val="auto"/>
                <w:w w:val="96"/>
              </w:rPr>
              <w:t>2/25/2029</w:t>
            </w:r>
          </w:p>
        </w:tc>
        <w:tc>
          <w:tcPr>
            <w:tcW w:w="40" w:type="dxa"/>
            <w:vAlign w:val="bottom"/>
            <w:shd w:val="clear" w:color="auto" w:fill="F7F1EC"/>
          </w:tcPr>
          <w:p>
            <w:pPr>
              <w:spacing w:after="0"/>
              <w:rPr>
                <w:sz w:val="17"/>
                <w:szCs w:val="17"/>
                <w:color w:val="auto"/>
              </w:rPr>
            </w:pPr>
          </w:p>
        </w:tc>
        <w:tc>
          <w:tcPr>
            <w:tcW w:w="620" w:type="dxa"/>
            <w:vAlign w:val="bottom"/>
            <w:shd w:val="clear" w:color="auto" w:fill="F7F1EC"/>
          </w:tcPr>
          <w:p>
            <w:pPr>
              <w:jc w:val="right"/>
              <w:ind w:right="115"/>
              <w:spacing w:after="0"/>
              <w:rPr>
                <w:sz w:val="20"/>
                <w:szCs w:val="20"/>
                <w:color w:val="auto"/>
              </w:rPr>
            </w:pPr>
            <w:r>
              <w:rPr>
                <w:rFonts w:ascii="Arial" w:cs="Arial" w:eastAsia="Arial" w:hAnsi="Arial"/>
                <w:sz w:val="14"/>
                <w:szCs w:val="14"/>
                <w:color w:val="auto"/>
              </w:rPr>
              <w:t>—</w:t>
            </w:r>
          </w:p>
        </w:tc>
        <w:tc>
          <w:tcPr>
            <w:tcW w:w="800" w:type="dxa"/>
            <w:vAlign w:val="bottom"/>
            <w:shd w:val="clear" w:color="auto" w:fill="F7F1EC"/>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F7F1EC"/>
          </w:tcPr>
          <w:p>
            <w:pPr>
              <w:jc w:val="right"/>
              <w:ind w:right="154"/>
              <w:spacing w:after="0"/>
              <w:rPr>
                <w:sz w:val="20"/>
                <w:szCs w:val="20"/>
                <w:color w:val="auto"/>
              </w:rPr>
            </w:pPr>
            <w:r>
              <w:rPr>
                <w:rFonts w:ascii="Arial" w:cs="Arial" w:eastAsia="Arial" w:hAnsi="Arial"/>
                <w:sz w:val="14"/>
                <w:szCs w:val="14"/>
                <w:color w:val="auto"/>
              </w:rPr>
              <w:t>—</w:t>
            </w:r>
          </w:p>
        </w:tc>
        <w:tc>
          <w:tcPr>
            <w:tcW w:w="760" w:type="dxa"/>
            <w:vAlign w:val="bottom"/>
            <w:shd w:val="clear" w:color="auto" w:fill="F7F1EC"/>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4"/>
        </w:trPr>
        <w:tc>
          <w:tcPr>
            <w:tcW w:w="1660" w:type="dxa"/>
            <w:vAlign w:val="bottom"/>
            <w:shd w:val="clear" w:color="auto" w:fill="F7F1EC"/>
          </w:tcPr>
          <w:p>
            <w:pPr>
              <w:spacing w:after="0"/>
              <w:rPr>
                <w:sz w:val="17"/>
                <w:szCs w:val="17"/>
                <w:color w:val="auto"/>
              </w:rPr>
            </w:pPr>
          </w:p>
        </w:tc>
        <w:tc>
          <w:tcPr>
            <w:tcW w:w="40" w:type="dxa"/>
            <w:vAlign w:val="bottom"/>
            <w:shd w:val="clear" w:color="auto" w:fill="F7F1EC"/>
          </w:tcPr>
          <w:p>
            <w:pPr>
              <w:spacing w:after="0"/>
              <w:rPr>
                <w:sz w:val="17"/>
                <w:szCs w:val="17"/>
                <w:color w:val="auto"/>
              </w:rPr>
            </w:pPr>
          </w:p>
        </w:tc>
        <w:tc>
          <w:tcPr>
            <w:tcW w:w="320" w:type="dxa"/>
            <w:vAlign w:val="bottom"/>
            <w:shd w:val="clear" w:color="auto" w:fill="F7F1EC"/>
          </w:tcPr>
          <w:p>
            <w:pPr>
              <w:spacing w:after="0"/>
              <w:rPr>
                <w:sz w:val="17"/>
                <w:szCs w:val="17"/>
                <w:color w:val="auto"/>
              </w:rPr>
            </w:pPr>
          </w:p>
        </w:tc>
        <w:tc>
          <w:tcPr>
            <w:tcW w:w="400" w:type="dxa"/>
            <w:vAlign w:val="bottom"/>
            <w:gridSpan w:val="2"/>
            <w:shd w:val="clear" w:color="auto" w:fill="F7F1EC"/>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shd w:val="clear" w:color="auto" w:fill="F7F1EC"/>
          </w:tcPr>
          <w:p>
            <w:pPr>
              <w:spacing w:after="0"/>
              <w:rPr>
                <w:sz w:val="17"/>
                <w:szCs w:val="17"/>
                <w:color w:val="auto"/>
              </w:rPr>
            </w:pPr>
          </w:p>
        </w:tc>
        <w:tc>
          <w:tcPr>
            <w:tcW w:w="360" w:type="dxa"/>
            <w:vAlign w:val="bottom"/>
            <w:shd w:val="clear" w:color="auto" w:fill="F7F1EC"/>
          </w:tcPr>
          <w:p>
            <w:pPr>
              <w:spacing w:after="0"/>
              <w:rPr>
                <w:sz w:val="17"/>
                <w:szCs w:val="17"/>
                <w:color w:val="auto"/>
              </w:rPr>
            </w:pPr>
          </w:p>
        </w:tc>
        <w:tc>
          <w:tcPr>
            <w:tcW w:w="580" w:type="dxa"/>
            <w:vAlign w:val="bottom"/>
            <w:shd w:val="clear" w:color="auto" w:fill="F7F1EC"/>
          </w:tcPr>
          <w:p>
            <w:pPr>
              <w:ind w:left="40"/>
              <w:spacing w:after="0"/>
              <w:rPr>
                <w:sz w:val="20"/>
                <w:szCs w:val="20"/>
                <w:color w:val="auto"/>
              </w:rPr>
            </w:pPr>
            <w:r>
              <w:rPr>
                <w:rFonts w:ascii="Arial" w:cs="Arial" w:eastAsia="Arial" w:hAnsi="Arial"/>
                <w:sz w:val="14"/>
                <w:szCs w:val="14"/>
                <w:color w:val="auto"/>
              </w:rPr>
              <w:t>—</w:t>
            </w:r>
          </w:p>
        </w:tc>
        <w:tc>
          <w:tcPr>
            <w:tcW w:w="740" w:type="dxa"/>
            <w:vAlign w:val="bottom"/>
            <w:shd w:val="clear" w:color="auto" w:fill="F7F1EC"/>
          </w:tcPr>
          <w:p>
            <w:pPr>
              <w:jc w:val="right"/>
              <w:ind w:right="133"/>
              <w:spacing w:after="0"/>
              <w:rPr>
                <w:sz w:val="20"/>
                <w:szCs w:val="20"/>
                <w:color w:val="auto"/>
              </w:rPr>
            </w:pPr>
            <w:r>
              <w:rPr>
                <w:rFonts w:ascii="Arial" w:cs="Arial" w:eastAsia="Arial" w:hAnsi="Arial"/>
                <w:sz w:val="14"/>
                <w:szCs w:val="14"/>
                <w:color w:val="auto"/>
              </w:rPr>
              <w:t>—</w:t>
            </w:r>
          </w:p>
        </w:tc>
        <w:tc>
          <w:tcPr>
            <w:tcW w:w="800" w:type="dxa"/>
            <w:vAlign w:val="bottom"/>
            <w:shd w:val="clear" w:color="auto" w:fill="F7F1EC"/>
          </w:tcPr>
          <w:p>
            <w:pPr>
              <w:spacing w:after="0"/>
              <w:rPr>
                <w:sz w:val="17"/>
                <w:szCs w:val="17"/>
                <w:color w:val="auto"/>
              </w:rPr>
            </w:pPr>
          </w:p>
        </w:tc>
        <w:tc>
          <w:tcPr>
            <w:tcW w:w="660" w:type="dxa"/>
            <w:vAlign w:val="bottom"/>
            <w:gridSpan w:val="2"/>
            <w:shd w:val="clear" w:color="auto" w:fill="F7F1EC"/>
          </w:tcPr>
          <w:p>
            <w:pPr>
              <w:jc w:val="right"/>
              <w:spacing w:after="0" w:line="205" w:lineRule="exact"/>
              <w:rPr>
                <w:sz w:val="20"/>
                <w:szCs w:val="20"/>
                <w:color w:val="auto"/>
              </w:rPr>
            </w:pPr>
            <w:r>
              <w:rPr>
                <w:rFonts w:ascii="Arial" w:cs="Arial" w:eastAsia="Arial" w:hAnsi="Arial"/>
                <w:sz w:val="14"/>
                <w:szCs w:val="14"/>
                <w:color w:val="auto"/>
              </w:rPr>
              <w:t>494</w:t>
            </w:r>
            <w:r>
              <w:rPr>
                <w:rFonts w:ascii="Arial" w:cs="Arial" w:eastAsia="Arial" w:hAnsi="Arial"/>
                <w:sz w:val="20"/>
                <w:szCs w:val="20"/>
                <w:color w:val="auto"/>
                <w:vertAlign w:val="superscript"/>
              </w:rPr>
              <w:t>(3)</w:t>
            </w:r>
          </w:p>
        </w:tc>
        <w:tc>
          <w:tcPr>
            <w:tcW w:w="800" w:type="dxa"/>
            <w:vAlign w:val="bottom"/>
            <w:shd w:val="clear" w:color="auto" w:fill="F7F1EC"/>
          </w:tcPr>
          <w:p>
            <w:pPr>
              <w:jc w:val="right"/>
              <w:spacing w:after="0"/>
              <w:rPr>
                <w:sz w:val="20"/>
                <w:szCs w:val="20"/>
                <w:color w:val="auto"/>
              </w:rPr>
            </w:pPr>
            <w:r>
              <w:rPr>
                <w:rFonts w:ascii="Arial" w:cs="Arial" w:eastAsia="Arial" w:hAnsi="Arial"/>
                <w:sz w:val="14"/>
                <w:szCs w:val="14"/>
                <w:color w:val="auto"/>
              </w:rPr>
              <w:t>176,442</w:t>
            </w:r>
          </w:p>
        </w:tc>
        <w:tc>
          <w:tcPr>
            <w:tcW w:w="800" w:type="dxa"/>
            <w:vAlign w:val="bottom"/>
            <w:shd w:val="clear" w:color="auto" w:fill="F7F1EC"/>
          </w:tcPr>
          <w:p>
            <w:pPr>
              <w:jc w:val="right"/>
              <w:ind w:right="154"/>
              <w:spacing w:after="0"/>
              <w:rPr>
                <w:sz w:val="20"/>
                <w:szCs w:val="20"/>
                <w:color w:val="auto"/>
              </w:rPr>
            </w:pPr>
            <w:r>
              <w:rPr>
                <w:rFonts w:ascii="Arial" w:cs="Arial" w:eastAsia="Arial" w:hAnsi="Arial"/>
                <w:sz w:val="14"/>
                <w:szCs w:val="14"/>
                <w:color w:val="auto"/>
              </w:rPr>
              <w:t>—</w:t>
            </w:r>
          </w:p>
        </w:tc>
        <w:tc>
          <w:tcPr>
            <w:tcW w:w="760" w:type="dxa"/>
            <w:vAlign w:val="bottom"/>
            <w:shd w:val="clear" w:color="auto" w:fill="F7F1EC"/>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4"/>
        </w:trPr>
        <w:tc>
          <w:tcPr>
            <w:tcW w:w="1660" w:type="dxa"/>
            <w:vAlign w:val="bottom"/>
            <w:vMerge w:val="restart"/>
            <w:shd w:val="clear" w:color="auto" w:fill="F7F1EC"/>
          </w:tcPr>
          <w:p>
            <w:pPr>
              <w:ind w:left="60"/>
              <w:spacing w:after="0"/>
              <w:rPr>
                <w:sz w:val="20"/>
                <w:szCs w:val="20"/>
                <w:color w:val="auto"/>
              </w:rPr>
            </w:pPr>
            <w:r>
              <w:rPr>
                <w:rFonts w:ascii="Arial" w:cs="Arial" w:eastAsia="Arial" w:hAnsi="Arial"/>
                <w:sz w:val="14"/>
                <w:szCs w:val="14"/>
                <w:b w:val="1"/>
                <w:bCs w:val="1"/>
                <w:color w:val="B95827"/>
              </w:rPr>
              <w:t>Matthew Enyedi</w:t>
            </w:r>
          </w:p>
        </w:tc>
        <w:tc>
          <w:tcPr>
            <w:tcW w:w="40" w:type="dxa"/>
            <w:vAlign w:val="bottom"/>
            <w:shd w:val="clear" w:color="auto" w:fill="F7F1EC"/>
          </w:tcPr>
          <w:p>
            <w:pPr>
              <w:spacing w:after="0"/>
              <w:rPr>
                <w:sz w:val="17"/>
                <w:szCs w:val="17"/>
                <w:color w:val="auto"/>
              </w:rPr>
            </w:pPr>
          </w:p>
        </w:tc>
        <w:tc>
          <w:tcPr>
            <w:tcW w:w="320" w:type="dxa"/>
            <w:vAlign w:val="bottom"/>
            <w:shd w:val="clear" w:color="auto" w:fill="F7F1EC"/>
          </w:tcPr>
          <w:p>
            <w:pPr>
              <w:spacing w:after="0"/>
              <w:rPr>
                <w:sz w:val="17"/>
                <w:szCs w:val="17"/>
                <w:color w:val="auto"/>
              </w:rPr>
            </w:pPr>
          </w:p>
        </w:tc>
        <w:tc>
          <w:tcPr>
            <w:tcW w:w="340" w:type="dxa"/>
            <w:vAlign w:val="bottom"/>
            <w:shd w:val="clear" w:color="auto" w:fill="F7F1EC"/>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F7F1EC"/>
          </w:tcPr>
          <w:p>
            <w:pPr>
              <w:spacing w:after="0"/>
              <w:rPr>
                <w:sz w:val="17"/>
                <w:szCs w:val="17"/>
                <w:color w:val="auto"/>
              </w:rPr>
            </w:pPr>
          </w:p>
        </w:tc>
        <w:tc>
          <w:tcPr>
            <w:tcW w:w="40" w:type="dxa"/>
            <w:vAlign w:val="bottom"/>
            <w:shd w:val="clear" w:color="auto" w:fill="F7F1EC"/>
          </w:tcPr>
          <w:p>
            <w:pPr>
              <w:spacing w:after="0"/>
              <w:rPr>
                <w:sz w:val="17"/>
                <w:szCs w:val="17"/>
                <w:color w:val="auto"/>
              </w:rPr>
            </w:pPr>
          </w:p>
        </w:tc>
        <w:tc>
          <w:tcPr>
            <w:tcW w:w="360" w:type="dxa"/>
            <w:vAlign w:val="bottom"/>
            <w:shd w:val="clear" w:color="auto" w:fill="F7F1EC"/>
          </w:tcPr>
          <w:p>
            <w:pPr>
              <w:spacing w:after="0"/>
              <w:rPr>
                <w:sz w:val="17"/>
                <w:szCs w:val="17"/>
                <w:color w:val="auto"/>
              </w:rPr>
            </w:pPr>
          </w:p>
        </w:tc>
        <w:tc>
          <w:tcPr>
            <w:tcW w:w="580" w:type="dxa"/>
            <w:vAlign w:val="bottom"/>
            <w:shd w:val="clear" w:color="auto" w:fill="F7F1EC"/>
          </w:tcPr>
          <w:p>
            <w:pPr>
              <w:ind w:left="40"/>
              <w:spacing w:after="0"/>
              <w:rPr>
                <w:sz w:val="20"/>
                <w:szCs w:val="20"/>
                <w:color w:val="auto"/>
              </w:rPr>
            </w:pPr>
            <w:r>
              <w:rPr>
                <w:rFonts w:ascii="Arial" w:cs="Arial" w:eastAsia="Arial" w:hAnsi="Arial"/>
                <w:sz w:val="14"/>
                <w:szCs w:val="14"/>
                <w:color w:val="auto"/>
              </w:rPr>
              <w:t>—</w:t>
            </w:r>
          </w:p>
        </w:tc>
        <w:tc>
          <w:tcPr>
            <w:tcW w:w="740" w:type="dxa"/>
            <w:vAlign w:val="bottom"/>
            <w:shd w:val="clear" w:color="auto" w:fill="F7F1EC"/>
          </w:tcPr>
          <w:p>
            <w:pPr>
              <w:jc w:val="right"/>
              <w:ind w:right="133"/>
              <w:spacing w:after="0"/>
              <w:rPr>
                <w:sz w:val="20"/>
                <w:szCs w:val="20"/>
                <w:color w:val="auto"/>
              </w:rPr>
            </w:pPr>
            <w:r>
              <w:rPr>
                <w:rFonts w:ascii="Arial" w:cs="Arial" w:eastAsia="Arial" w:hAnsi="Arial"/>
                <w:sz w:val="14"/>
                <w:szCs w:val="14"/>
                <w:color w:val="auto"/>
              </w:rPr>
              <w:t>—</w:t>
            </w:r>
          </w:p>
        </w:tc>
        <w:tc>
          <w:tcPr>
            <w:tcW w:w="800" w:type="dxa"/>
            <w:vAlign w:val="bottom"/>
            <w:shd w:val="clear" w:color="auto" w:fill="F7F1EC"/>
          </w:tcPr>
          <w:p>
            <w:pPr>
              <w:spacing w:after="0"/>
              <w:rPr>
                <w:sz w:val="17"/>
                <w:szCs w:val="17"/>
                <w:color w:val="auto"/>
              </w:rPr>
            </w:pPr>
          </w:p>
        </w:tc>
        <w:tc>
          <w:tcPr>
            <w:tcW w:w="660" w:type="dxa"/>
            <w:vAlign w:val="bottom"/>
            <w:gridSpan w:val="2"/>
            <w:shd w:val="clear" w:color="auto" w:fill="F7F1EC"/>
          </w:tcPr>
          <w:p>
            <w:pPr>
              <w:jc w:val="right"/>
              <w:spacing w:after="0" w:line="205" w:lineRule="exact"/>
              <w:rPr>
                <w:sz w:val="20"/>
                <w:szCs w:val="20"/>
                <w:color w:val="auto"/>
              </w:rPr>
            </w:pPr>
            <w:r>
              <w:rPr>
                <w:rFonts w:ascii="Arial" w:cs="Arial" w:eastAsia="Arial" w:hAnsi="Arial"/>
                <w:sz w:val="14"/>
                <w:szCs w:val="14"/>
                <w:color w:val="auto"/>
              </w:rPr>
              <w:t>1,193</w:t>
            </w:r>
            <w:r>
              <w:rPr>
                <w:rFonts w:ascii="Arial" w:cs="Arial" w:eastAsia="Arial" w:hAnsi="Arial"/>
                <w:sz w:val="20"/>
                <w:szCs w:val="20"/>
                <w:color w:val="auto"/>
                <w:vertAlign w:val="superscript"/>
              </w:rPr>
              <w:t>(4)</w:t>
            </w:r>
          </w:p>
        </w:tc>
        <w:tc>
          <w:tcPr>
            <w:tcW w:w="800" w:type="dxa"/>
            <w:vAlign w:val="bottom"/>
            <w:shd w:val="clear" w:color="auto" w:fill="F7F1EC"/>
          </w:tcPr>
          <w:p>
            <w:pPr>
              <w:jc w:val="right"/>
              <w:spacing w:after="0"/>
              <w:rPr>
                <w:sz w:val="20"/>
                <w:szCs w:val="20"/>
                <w:color w:val="auto"/>
              </w:rPr>
            </w:pPr>
            <w:r>
              <w:rPr>
                <w:rFonts w:ascii="Arial" w:cs="Arial" w:eastAsia="Arial" w:hAnsi="Arial"/>
                <w:sz w:val="14"/>
                <w:szCs w:val="14"/>
                <w:color w:val="auto"/>
              </w:rPr>
              <w:t>426,104</w:t>
            </w:r>
          </w:p>
        </w:tc>
        <w:tc>
          <w:tcPr>
            <w:tcW w:w="800" w:type="dxa"/>
            <w:vAlign w:val="bottom"/>
            <w:shd w:val="clear" w:color="auto" w:fill="F7F1EC"/>
          </w:tcPr>
          <w:p>
            <w:pPr>
              <w:jc w:val="right"/>
              <w:ind w:right="154"/>
              <w:spacing w:after="0"/>
              <w:rPr>
                <w:sz w:val="20"/>
                <w:szCs w:val="20"/>
                <w:color w:val="auto"/>
              </w:rPr>
            </w:pPr>
            <w:r>
              <w:rPr>
                <w:rFonts w:ascii="Arial" w:cs="Arial" w:eastAsia="Arial" w:hAnsi="Arial"/>
                <w:sz w:val="14"/>
                <w:szCs w:val="14"/>
                <w:color w:val="auto"/>
              </w:rPr>
              <w:t>—</w:t>
            </w:r>
          </w:p>
        </w:tc>
        <w:tc>
          <w:tcPr>
            <w:tcW w:w="760" w:type="dxa"/>
            <w:vAlign w:val="bottom"/>
            <w:shd w:val="clear" w:color="auto" w:fill="F7F1EC"/>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9"/>
        </w:trPr>
        <w:tc>
          <w:tcPr>
            <w:tcW w:w="1660" w:type="dxa"/>
            <w:vAlign w:val="bottom"/>
            <w:vMerge w:val="continue"/>
            <w:shd w:val="clear" w:color="auto" w:fill="F7F1EC"/>
          </w:tcPr>
          <w:p>
            <w:pPr>
              <w:spacing w:after="0"/>
              <w:rPr>
                <w:sz w:val="7"/>
                <w:szCs w:val="7"/>
                <w:color w:val="auto"/>
              </w:rPr>
            </w:pPr>
          </w:p>
        </w:tc>
        <w:tc>
          <w:tcPr>
            <w:tcW w:w="40" w:type="dxa"/>
            <w:vAlign w:val="bottom"/>
            <w:shd w:val="clear" w:color="auto" w:fill="F7F1EC"/>
          </w:tcPr>
          <w:p>
            <w:pPr>
              <w:spacing w:after="0"/>
              <w:rPr>
                <w:sz w:val="7"/>
                <w:szCs w:val="7"/>
                <w:color w:val="auto"/>
              </w:rPr>
            </w:pPr>
          </w:p>
        </w:tc>
        <w:tc>
          <w:tcPr>
            <w:tcW w:w="320" w:type="dxa"/>
            <w:vAlign w:val="bottom"/>
            <w:shd w:val="clear" w:color="auto" w:fill="F7F1EC"/>
          </w:tcPr>
          <w:p>
            <w:pPr>
              <w:spacing w:after="0"/>
              <w:rPr>
                <w:sz w:val="7"/>
                <w:szCs w:val="7"/>
                <w:color w:val="auto"/>
              </w:rPr>
            </w:pPr>
          </w:p>
        </w:tc>
        <w:tc>
          <w:tcPr>
            <w:tcW w:w="340" w:type="dxa"/>
            <w:vAlign w:val="bottom"/>
            <w:vMerge w:val="restart"/>
            <w:shd w:val="clear" w:color="auto" w:fill="F7F1EC"/>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F7F1EC"/>
          </w:tcPr>
          <w:p>
            <w:pPr>
              <w:spacing w:after="0"/>
              <w:rPr>
                <w:sz w:val="7"/>
                <w:szCs w:val="7"/>
                <w:color w:val="auto"/>
              </w:rPr>
            </w:pPr>
          </w:p>
        </w:tc>
        <w:tc>
          <w:tcPr>
            <w:tcW w:w="40" w:type="dxa"/>
            <w:vAlign w:val="bottom"/>
            <w:shd w:val="clear" w:color="auto" w:fill="F7F1EC"/>
          </w:tcPr>
          <w:p>
            <w:pPr>
              <w:spacing w:after="0"/>
              <w:rPr>
                <w:sz w:val="7"/>
                <w:szCs w:val="7"/>
                <w:color w:val="auto"/>
              </w:rPr>
            </w:pPr>
          </w:p>
        </w:tc>
        <w:tc>
          <w:tcPr>
            <w:tcW w:w="360" w:type="dxa"/>
            <w:vAlign w:val="bottom"/>
            <w:shd w:val="clear" w:color="auto" w:fill="F7F1EC"/>
          </w:tcPr>
          <w:p>
            <w:pPr>
              <w:spacing w:after="0"/>
              <w:rPr>
                <w:sz w:val="7"/>
                <w:szCs w:val="7"/>
                <w:color w:val="auto"/>
              </w:rPr>
            </w:pPr>
          </w:p>
        </w:tc>
        <w:tc>
          <w:tcPr>
            <w:tcW w:w="580" w:type="dxa"/>
            <w:vAlign w:val="bottom"/>
            <w:vMerge w:val="restart"/>
            <w:shd w:val="clear" w:color="auto" w:fill="F7F1EC"/>
          </w:tcPr>
          <w:p>
            <w:pPr>
              <w:ind w:left="40"/>
              <w:spacing w:after="0"/>
              <w:rPr>
                <w:sz w:val="20"/>
                <w:szCs w:val="20"/>
                <w:color w:val="auto"/>
              </w:rPr>
            </w:pPr>
            <w:r>
              <w:rPr>
                <w:rFonts w:ascii="Arial" w:cs="Arial" w:eastAsia="Arial" w:hAnsi="Arial"/>
                <w:sz w:val="14"/>
                <w:szCs w:val="14"/>
                <w:color w:val="auto"/>
              </w:rPr>
              <w:t>—</w:t>
            </w:r>
          </w:p>
        </w:tc>
        <w:tc>
          <w:tcPr>
            <w:tcW w:w="740" w:type="dxa"/>
            <w:vAlign w:val="bottom"/>
            <w:vMerge w:val="restart"/>
            <w:shd w:val="clear" w:color="auto" w:fill="F7F1EC"/>
          </w:tcPr>
          <w:p>
            <w:pPr>
              <w:jc w:val="right"/>
              <w:ind w:right="133"/>
              <w:spacing w:after="0"/>
              <w:rPr>
                <w:sz w:val="20"/>
                <w:szCs w:val="20"/>
                <w:color w:val="auto"/>
              </w:rPr>
            </w:pPr>
            <w:r>
              <w:rPr>
                <w:rFonts w:ascii="Arial" w:cs="Arial" w:eastAsia="Arial" w:hAnsi="Arial"/>
                <w:sz w:val="14"/>
                <w:szCs w:val="14"/>
                <w:color w:val="auto"/>
              </w:rPr>
              <w:t>—</w:t>
            </w:r>
          </w:p>
        </w:tc>
        <w:tc>
          <w:tcPr>
            <w:tcW w:w="800" w:type="dxa"/>
            <w:vAlign w:val="bottom"/>
            <w:shd w:val="clear" w:color="auto" w:fill="F7F1EC"/>
          </w:tcPr>
          <w:p>
            <w:pPr>
              <w:spacing w:after="0"/>
              <w:rPr>
                <w:sz w:val="7"/>
                <w:szCs w:val="7"/>
                <w:color w:val="auto"/>
              </w:rPr>
            </w:pPr>
          </w:p>
        </w:tc>
        <w:tc>
          <w:tcPr>
            <w:tcW w:w="660" w:type="dxa"/>
            <w:vAlign w:val="bottom"/>
            <w:gridSpan w:val="2"/>
            <w:vMerge w:val="restart"/>
            <w:shd w:val="clear" w:color="auto" w:fill="F7F1EC"/>
          </w:tcPr>
          <w:p>
            <w:pPr>
              <w:jc w:val="right"/>
              <w:spacing w:after="0" w:line="205" w:lineRule="exact"/>
              <w:rPr>
                <w:sz w:val="20"/>
                <w:szCs w:val="20"/>
                <w:color w:val="auto"/>
              </w:rPr>
            </w:pPr>
            <w:r>
              <w:rPr>
                <w:rFonts w:ascii="Arial" w:cs="Arial" w:eastAsia="Arial" w:hAnsi="Arial"/>
                <w:sz w:val="14"/>
                <w:szCs w:val="14"/>
                <w:color w:val="auto"/>
              </w:rPr>
              <w:t>1,659</w:t>
            </w:r>
            <w:r>
              <w:rPr>
                <w:rFonts w:ascii="Arial" w:cs="Arial" w:eastAsia="Arial" w:hAnsi="Arial"/>
                <w:sz w:val="20"/>
                <w:szCs w:val="20"/>
                <w:color w:val="auto"/>
                <w:vertAlign w:val="superscript"/>
              </w:rPr>
              <w:t>(5)</w:t>
            </w:r>
          </w:p>
        </w:tc>
        <w:tc>
          <w:tcPr>
            <w:tcW w:w="800" w:type="dxa"/>
            <w:vAlign w:val="bottom"/>
            <w:vMerge w:val="restart"/>
            <w:shd w:val="clear" w:color="auto" w:fill="F7F1EC"/>
          </w:tcPr>
          <w:p>
            <w:pPr>
              <w:jc w:val="right"/>
              <w:spacing w:after="0"/>
              <w:rPr>
                <w:sz w:val="20"/>
                <w:szCs w:val="20"/>
                <w:color w:val="auto"/>
              </w:rPr>
            </w:pPr>
            <w:r>
              <w:rPr>
                <w:rFonts w:ascii="Arial" w:cs="Arial" w:eastAsia="Arial" w:hAnsi="Arial"/>
                <w:sz w:val="14"/>
                <w:szCs w:val="14"/>
                <w:color w:val="auto"/>
              </w:rPr>
              <w:t>592,545</w:t>
            </w:r>
          </w:p>
        </w:tc>
        <w:tc>
          <w:tcPr>
            <w:tcW w:w="800" w:type="dxa"/>
            <w:vAlign w:val="bottom"/>
            <w:vMerge w:val="restart"/>
            <w:shd w:val="clear" w:color="auto" w:fill="F7F1EC"/>
          </w:tcPr>
          <w:p>
            <w:pPr>
              <w:jc w:val="right"/>
              <w:ind w:right="154"/>
              <w:spacing w:after="0"/>
              <w:rPr>
                <w:sz w:val="20"/>
                <w:szCs w:val="20"/>
                <w:color w:val="auto"/>
              </w:rPr>
            </w:pPr>
            <w:r>
              <w:rPr>
                <w:rFonts w:ascii="Arial" w:cs="Arial" w:eastAsia="Arial" w:hAnsi="Arial"/>
                <w:sz w:val="14"/>
                <w:szCs w:val="14"/>
                <w:color w:val="auto"/>
              </w:rPr>
              <w:t>—</w:t>
            </w:r>
          </w:p>
        </w:tc>
        <w:tc>
          <w:tcPr>
            <w:tcW w:w="760" w:type="dxa"/>
            <w:vAlign w:val="bottom"/>
            <w:vMerge w:val="restart"/>
            <w:shd w:val="clear" w:color="auto" w:fill="F7F1EC"/>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16"/>
        </w:trPr>
        <w:tc>
          <w:tcPr>
            <w:tcW w:w="1660" w:type="dxa"/>
            <w:vAlign w:val="bottom"/>
            <w:shd w:val="clear" w:color="auto" w:fill="F7F1EC"/>
          </w:tcPr>
          <w:p>
            <w:pPr>
              <w:spacing w:after="0"/>
              <w:rPr>
                <w:sz w:val="10"/>
                <w:szCs w:val="10"/>
                <w:color w:val="auto"/>
              </w:rPr>
            </w:pPr>
          </w:p>
        </w:tc>
        <w:tc>
          <w:tcPr>
            <w:tcW w:w="40" w:type="dxa"/>
            <w:vAlign w:val="bottom"/>
            <w:shd w:val="clear" w:color="auto" w:fill="F7F1EC"/>
          </w:tcPr>
          <w:p>
            <w:pPr>
              <w:spacing w:after="0"/>
              <w:rPr>
                <w:sz w:val="10"/>
                <w:szCs w:val="10"/>
                <w:color w:val="auto"/>
              </w:rPr>
            </w:pPr>
          </w:p>
        </w:tc>
        <w:tc>
          <w:tcPr>
            <w:tcW w:w="320" w:type="dxa"/>
            <w:vAlign w:val="bottom"/>
            <w:shd w:val="clear" w:color="auto" w:fill="F7F1EC"/>
          </w:tcPr>
          <w:p>
            <w:pPr>
              <w:spacing w:after="0"/>
              <w:rPr>
                <w:sz w:val="10"/>
                <w:szCs w:val="10"/>
                <w:color w:val="auto"/>
              </w:rPr>
            </w:pPr>
          </w:p>
        </w:tc>
        <w:tc>
          <w:tcPr>
            <w:tcW w:w="340" w:type="dxa"/>
            <w:vAlign w:val="bottom"/>
            <w:vMerge w:val="continue"/>
            <w:shd w:val="clear" w:color="auto" w:fill="F7F1EC"/>
          </w:tcPr>
          <w:p>
            <w:pPr>
              <w:spacing w:after="0"/>
              <w:rPr>
                <w:sz w:val="10"/>
                <w:szCs w:val="10"/>
                <w:color w:val="auto"/>
              </w:rPr>
            </w:pPr>
          </w:p>
        </w:tc>
        <w:tc>
          <w:tcPr>
            <w:tcW w:w="60" w:type="dxa"/>
            <w:vAlign w:val="bottom"/>
            <w:shd w:val="clear" w:color="auto" w:fill="F7F1EC"/>
          </w:tcPr>
          <w:p>
            <w:pPr>
              <w:spacing w:after="0"/>
              <w:rPr>
                <w:sz w:val="10"/>
                <w:szCs w:val="10"/>
                <w:color w:val="auto"/>
              </w:rPr>
            </w:pPr>
          </w:p>
        </w:tc>
        <w:tc>
          <w:tcPr>
            <w:tcW w:w="40" w:type="dxa"/>
            <w:vAlign w:val="bottom"/>
            <w:shd w:val="clear" w:color="auto" w:fill="F7F1EC"/>
          </w:tcPr>
          <w:p>
            <w:pPr>
              <w:spacing w:after="0"/>
              <w:rPr>
                <w:sz w:val="10"/>
                <w:szCs w:val="10"/>
                <w:color w:val="auto"/>
              </w:rPr>
            </w:pPr>
          </w:p>
        </w:tc>
        <w:tc>
          <w:tcPr>
            <w:tcW w:w="360" w:type="dxa"/>
            <w:vAlign w:val="bottom"/>
            <w:shd w:val="clear" w:color="auto" w:fill="F7F1EC"/>
          </w:tcPr>
          <w:p>
            <w:pPr>
              <w:spacing w:after="0"/>
              <w:rPr>
                <w:sz w:val="10"/>
                <w:szCs w:val="10"/>
                <w:color w:val="auto"/>
              </w:rPr>
            </w:pPr>
          </w:p>
        </w:tc>
        <w:tc>
          <w:tcPr>
            <w:tcW w:w="580" w:type="dxa"/>
            <w:vAlign w:val="bottom"/>
            <w:vMerge w:val="continue"/>
            <w:shd w:val="clear" w:color="auto" w:fill="F7F1EC"/>
          </w:tcPr>
          <w:p>
            <w:pPr>
              <w:spacing w:after="0"/>
              <w:rPr>
                <w:sz w:val="10"/>
                <w:szCs w:val="10"/>
                <w:color w:val="auto"/>
              </w:rPr>
            </w:pPr>
          </w:p>
        </w:tc>
        <w:tc>
          <w:tcPr>
            <w:tcW w:w="740" w:type="dxa"/>
            <w:vAlign w:val="bottom"/>
            <w:vMerge w:val="continue"/>
            <w:shd w:val="clear" w:color="auto" w:fill="F7F1EC"/>
          </w:tcPr>
          <w:p>
            <w:pPr>
              <w:spacing w:after="0"/>
              <w:rPr>
                <w:sz w:val="10"/>
                <w:szCs w:val="10"/>
                <w:color w:val="auto"/>
              </w:rPr>
            </w:pPr>
          </w:p>
        </w:tc>
        <w:tc>
          <w:tcPr>
            <w:tcW w:w="800" w:type="dxa"/>
            <w:vAlign w:val="bottom"/>
            <w:shd w:val="clear" w:color="auto" w:fill="F7F1EC"/>
          </w:tcPr>
          <w:p>
            <w:pPr>
              <w:spacing w:after="0"/>
              <w:rPr>
                <w:sz w:val="10"/>
                <w:szCs w:val="10"/>
                <w:color w:val="auto"/>
              </w:rPr>
            </w:pPr>
          </w:p>
        </w:tc>
        <w:tc>
          <w:tcPr>
            <w:tcW w:w="660" w:type="dxa"/>
            <w:vAlign w:val="bottom"/>
            <w:gridSpan w:val="2"/>
            <w:vMerge w:val="continue"/>
            <w:shd w:val="clear" w:color="auto" w:fill="F7F1EC"/>
          </w:tcPr>
          <w:p>
            <w:pPr>
              <w:spacing w:after="0"/>
              <w:rPr>
                <w:sz w:val="10"/>
                <w:szCs w:val="10"/>
                <w:color w:val="auto"/>
              </w:rPr>
            </w:pPr>
          </w:p>
        </w:tc>
        <w:tc>
          <w:tcPr>
            <w:tcW w:w="800" w:type="dxa"/>
            <w:vAlign w:val="bottom"/>
            <w:vMerge w:val="continue"/>
            <w:shd w:val="clear" w:color="auto" w:fill="F7F1EC"/>
          </w:tcPr>
          <w:p>
            <w:pPr>
              <w:spacing w:after="0"/>
              <w:rPr>
                <w:sz w:val="10"/>
                <w:szCs w:val="10"/>
                <w:color w:val="auto"/>
              </w:rPr>
            </w:pPr>
          </w:p>
        </w:tc>
        <w:tc>
          <w:tcPr>
            <w:tcW w:w="800" w:type="dxa"/>
            <w:vAlign w:val="bottom"/>
            <w:vMerge w:val="continue"/>
            <w:shd w:val="clear" w:color="auto" w:fill="F7F1EC"/>
          </w:tcPr>
          <w:p>
            <w:pPr>
              <w:spacing w:after="0"/>
              <w:rPr>
                <w:sz w:val="10"/>
                <w:szCs w:val="10"/>
                <w:color w:val="auto"/>
              </w:rPr>
            </w:pPr>
          </w:p>
        </w:tc>
        <w:tc>
          <w:tcPr>
            <w:tcW w:w="760" w:type="dxa"/>
            <w:vAlign w:val="bottom"/>
            <w:vMerge w:val="continue"/>
            <w:shd w:val="clear" w:color="auto" w:fill="F7F1EC"/>
          </w:tcPr>
          <w:p>
            <w:pPr>
              <w:spacing w:after="0"/>
              <w:rPr>
                <w:sz w:val="10"/>
                <w:szCs w:val="10"/>
                <w:color w:val="auto"/>
              </w:rPr>
            </w:pPr>
          </w:p>
        </w:tc>
        <w:tc>
          <w:tcPr>
            <w:tcW w:w="0" w:type="dxa"/>
            <w:vAlign w:val="bottom"/>
          </w:tcPr>
          <w:p>
            <w:pPr>
              <w:spacing w:after="0"/>
              <w:rPr>
                <w:sz w:val="1"/>
                <w:szCs w:val="1"/>
                <w:color w:val="auto"/>
              </w:rPr>
            </w:pPr>
          </w:p>
        </w:tc>
      </w:tr>
      <w:tr>
        <w:trPr>
          <w:trHeight w:val="204"/>
        </w:trPr>
        <w:tc>
          <w:tcPr>
            <w:tcW w:w="1660" w:type="dxa"/>
            <w:vAlign w:val="bottom"/>
            <w:shd w:val="clear" w:color="auto" w:fill="F7F1EC"/>
          </w:tcPr>
          <w:p>
            <w:pPr>
              <w:spacing w:after="0"/>
              <w:rPr>
                <w:sz w:val="17"/>
                <w:szCs w:val="17"/>
                <w:color w:val="auto"/>
              </w:rPr>
            </w:pPr>
          </w:p>
        </w:tc>
        <w:tc>
          <w:tcPr>
            <w:tcW w:w="40" w:type="dxa"/>
            <w:vAlign w:val="bottom"/>
            <w:shd w:val="clear" w:color="auto" w:fill="F7F1EC"/>
          </w:tcPr>
          <w:p>
            <w:pPr>
              <w:spacing w:after="0"/>
              <w:rPr>
                <w:sz w:val="17"/>
                <w:szCs w:val="17"/>
                <w:color w:val="auto"/>
              </w:rPr>
            </w:pPr>
          </w:p>
        </w:tc>
        <w:tc>
          <w:tcPr>
            <w:tcW w:w="320" w:type="dxa"/>
            <w:vAlign w:val="bottom"/>
            <w:shd w:val="clear" w:color="auto" w:fill="F7F1EC"/>
          </w:tcPr>
          <w:p>
            <w:pPr>
              <w:spacing w:after="0"/>
              <w:rPr>
                <w:sz w:val="17"/>
                <w:szCs w:val="17"/>
                <w:color w:val="auto"/>
              </w:rPr>
            </w:pPr>
          </w:p>
        </w:tc>
        <w:tc>
          <w:tcPr>
            <w:tcW w:w="340" w:type="dxa"/>
            <w:vAlign w:val="bottom"/>
            <w:shd w:val="clear" w:color="auto" w:fill="F7F1EC"/>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F7F1EC"/>
          </w:tcPr>
          <w:p>
            <w:pPr>
              <w:spacing w:after="0"/>
              <w:rPr>
                <w:sz w:val="17"/>
                <w:szCs w:val="17"/>
                <w:color w:val="auto"/>
              </w:rPr>
            </w:pPr>
          </w:p>
        </w:tc>
        <w:tc>
          <w:tcPr>
            <w:tcW w:w="40" w:type="dxa"/>
            <w:vAlign w:val="bottom"/>
            <w:shd w:val="clear" w:color="auto" w:fill="F7F1EC"/>
          </w:tcPr>
          <w:p>
            <w:pPr>
              <w:spacing w:after="0"/>
              <w:rPr>
                <w:sz w:val="17"/>
                <w:szCs w:val="17"/>
                <w:color w:val="auto"/>
              </w:rPr>
            </w:pPr>
          </w:p>
        </w:tc>
        <w:tc>
          <w:tcPr>
            <w:tcW w:w="360" w:type="dxa"/>
            <w:vAlign w:val="bottom"/>
            <w:shd w:val="clear" w:color="auto" w:fill="F7F1EC"/>
          </w:tcPr>
          <w:p>
            <w:pPr>
              <w:spacing w:after="0"/>
              <w:rPr>
                <w:sz w:val="17"/>
                <w:szCs w:val="17"/>
                <w:color w:val="auto"/>
              </w:rPr>
            </w:pPr>
          </w:p>
        </w:tc>
        <w:tc>
          <w:tcPr>
            <w:tcW w:w="580" w:type="dxa"/>
            <w:vAlign w:val="bottom"/>
            <w:shd w:val="clear" w:color="auto" w:fill="F7F1EC"/>
          </w:tcPr>
          <w:p>
            <w:pPr>
              <w:ind w:left="40"/>
              <w:spacing w:after="0"/>
              <w:rPr>
                <w:sz w:val="20"/>
                <w:szCs w:val="20"/>
                <w:color w:val="auto"/>
              </w:rPr>
            </w:pPr>
            <w:r>
              <w:rPr>
                <w:rFonts w:ascii="Arial" w:cs="Arial" w:eastAsia="Arial" w:hAnsi="Arial"/>
                <w:sz w:val="14"/>
                <w:szCs w:val="14"/>
                <w:color w:val="auto"/>
              </w:rPr>
              <w:t>—</w:t>
            </w:r>
          </w:p>
        </w:tc>
        <w:tc>
          <w:tcPr>
            <w:tcW w:w="740" w:type="dxa"/>
            <w:vAlign w:val="bottom"/>
            <w:shd w:val="clear" w:color="auto" w:fill="F7F1EC"/>
          </w:tcPr>
          <w:p>
            <w:pPr>
              <w:jc w:val="right"/>
              <w:ind w:right="133"/>
              <w:spacing w:after="0"/>
              <w:rPr>
                <w:sz w:val="20"/>
                <w:szCs w:val="20"/>
                <w:color w:val="auto"/>
              </w:rPr>
            </w:pPr>
            <w:r>
              <w:rPr>
                <w:rFonts w:ascii="Arial" w:cs="Arial" w:eastAsia="Arial" w:hAnsi="Arial"/>
                <w:sz w:val="14"/>
                <w:szCs w:val="14"/>
                <w:color w:val="auto"/>
              </w:rPr>
              <w:t>—</w:t>
            </w:r>
          </w:p>
        </w:tc>
        <w:tc>
          <w:tcPr>
            <w:tcW w:w="800" w:type="dxa"/>
            <w:vAlign w:val="bottom"/>
            <w:shd w:val="clear" w:color="auto" w:fill="F7F1EC"/>
          </w:tcPr>
          <w:p>
            <w:pPr>
              <w:spacing w:after="0"/>
              <w:rPr>
                <w:sz w:val="17"/>
                <w:szCs w:val="17"/>
                <w:color w:val="auto"/>
              </w:rPr>
            </w:pPr>
          </w:p>
        </w:tc>
        <w:tc>
          <w:tcPr>
            <w:tcW w:w="660" w:type="dxa"/>
            <w:vAlign w:val="bottom"/>
            <w:gridSpan w:val="2"/>
            <w:shd w:val="clear" w:color="auto" w:fill="F7F1EC"/>
          </w:tcPr>
          <w:p>
            <w:pPr>
              <w:jc w:val="right"/>
              <w:spacing w:after="0" w:line="205" w:lineRule="exact"/>
              <w:rPr>
                <w:sz w:val="20"/>
                <w:szCs w:val="20"/>
                <w:color w:val="auto"/>
              </w:rPr>
            </w:pPr>
            <w:r>
              <w:rPr>
                <w:rFonts w:ascii="Arial" w:cs="Arial" w:eastAsia="Arial" w:hAnsi="Arial"/>
                <w:sz w:val="14"/>
                <w:szCs w:val="14"/>
                <w:color w:val="auto"/>
              </w:rPr>
              <w:t>1,799</w:t>
            </w:r>
            <w:r>
              <w:rPr>
                <w:rFonts w:ascii="Arial" w:cs="Arial" w:eastAsia="Arial" w:hAnsi="Arial"/>
                <w:sz w:val="20"/>
                <w:szCs w:val="20"/>
                <w:color w:val="auto"/>
                <w:vertAlign w:val="superscript"/>
              </w:rPr>
              <w:t>(6)</w:t>
            </w:r>
          </w:p>
        </w:tc>
        <w:tc>
          <w:tcPr>
            <w:tcW w:w="800" w:type="dxa"/>
            <w:vAlign w:val="bottom"/>
            <w:shd w:val="clear" w:color="auto" w:fill="F7F1EC"/>
          </w:tcPr>
          <w:p>
            <w:pPr>
              <w:jc w:val="right"/>
              <w:spacing w:after="0"/>
              <w:rPr>
                <w:sz w:val="20"/>
                <w:szCs w:val="20"/>
                <w:color w:val="auto"/>
              </w:rPr>
            </w:pPr>
            <w:r>
              <w:rPr>
                <w:rFonts w:ascii="Arial" w:cs="Arial" w:eastAsia="Arial" w:hAnsi="Arial"/>
                <w:sz w:val="14"/>
                <w:szCs w:val="14"/>
                <w:color w:val="auto"/>
              </w:rPr>
              <w:t>642,549</w:t>
            </w:r>
          </w:p>
        </w:tc>
        <w:tc>
          <w:tcPr>
            <w:tcW w:w="800" w:type="dxa"/>
            <w:vAlign w:val="bottom"/>
            <w:shd w:val="clear" w:color="auto" w:fill="F7F1EC"/>
          </w:tcPr>
          <w:p>
            <w:pPr>
              <w:jc w:val="right"/>
              <w:ind w:right="154"/>
              <w:spacing w:after="0"/>
              <w:rPr>
                <w:sz w:val="20"/>
                <w:szCs w:val="20"/>
                <w:color w:val="auto"/>
              </w:rPr>
            </w:pPr>
            <w:r>
              <w:rPr>
                <w:rFonts w:ascii="Arial" w:cs="Arial" w:eastAsia="Arial" w:hAnsi="Arial"/>
                <w:sz w:val="14"/>
                <w:szCs w:val="14"/>
                <w:color w:val="auto"/>
              </w:rPr>
              <w:t>—</w:t>
            </w:r>
          </w:p>
        </w:tc>
        <w:tc>
          <w:tcPr>
            <w:tcW w:w="760" w:type="dxa"/>
            <w:vAlign w:val="bottom"/>
            <w:shd w:val="clear" w:color="auto" w:fill="F7F1EC"/>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4"/>
        </w:trPr>
        <w:tc>
          <w:tcPr>
            <w:tcW w:w="1660" w:type="dxa"/>
            <w:vAlign w:val="bottom"/>
            <w:shd w:val="clear" w:color="auto" w:fill="F7F1EC"/>
          </w:tcPr>
          <w:p>
            <w:pPr>
              <w:spacing w:after="0"/>
              <w:rPr>
                <w:sz w:val="17"/>
                <w:szCs w:val="17"/>
                <w:color w:val="auto"/>
              </w:rPr>
            </w:pPr>
          </w:p>
        </w:tc>
        <w:tc>
          <w:tcPr>
            <w:tcW w:w="40" w:type="dxa"/>
            <w:vAlign w:val="bottom"/>
            <w:shd w:val="clear" w:color="auto" w:fill="F7F1EC"/>
          </w:tcPr>
          <w:p>
            <w:pPr>
              <w:spacing w:after="0"/>
              <w:rPr>
                <w:sz w:val="17"/>
                <w:szCs w:val="17"/>
                <w:color w:val="auto"/>
              </w:rPr>
            </w:pPr>
          </w:p>
        </w:tc>
        <w:tc>
          <w:tcPr>
            <w:tcW w:w="320" w:type="dxa"/>
            <w:vAlign w:val="bottom"/>
            <w:shd w:val="clear" w:color="auto" w:fill="F7F1EC"/>
          </w:tcPr>
          <w:p>
            <w:pPr>
              <w:spacing w:after="0"/>
              <w:rPr>
                <w:sz w:val="17"/>
                <w:szCs w:val="17"/>
                <w:color w:val="auto"/>
              </w:rPr>
            </w:pPr>
          </w:p>
        </w:tc>
        <w:tc>
          <w:tcPr>
            <w:tcW w:w="340" w:type="dxa"/>
            <w:vAlign w:val="bottom"/>
            <w:shd w:val="clear" w:color="auto" w:fill="F7F1EC"/>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F7F1EC"/>
          </w:tcPr>
          <w:p>
            <w:pPr>
              <w:spacing w:after="0"/>
              <w:rPr>
                <w:sz w:val="17"/>
                <w:szCs w:val="17"/>
                <w:color w:val="auto"/>
              </w:rPr>
            </w:pPr>
          </w:p>
        </w:tc>
        <w:tc>
          <w:tcPr>
            <w:tcW w:w="40" w:type="dxa"/>
            <w:vAlign w:val="bottom"/>
            <w:shd w:val="clear" w:color="auto" w:fill="F7F1EC"/>
          </w:tcPr>
          <w:p>
            <w:pPr>
              <w:spacing w:after="0"/>
              <w:rPr>
                <w:sz w:val="17"/>
                <w:szCs w:val="17"/>
                <w:color w:val="auto"/>
              </w:rPr>
            </w:pPr>
          </w:p>
        </w:tc>
        <w:tc>
          <w:tcPr>
            <w:tcW w:w="360" w:type="dxa"/>
            <w:vAlign w:val="bottom"/>
            <w:shd w:val="clear" w:color="auto" w:fill="F7F1EC"/>
          </w:tcPr>
          <w:p>
            <w:pPr>
              <w:spacing w:after="0"/>
              <w:rPr>
                <w:sz w:val="17"/>
                <w:szCs w:val="17"/>
                <w:color w:val="auto"/>
              </w:rPr>
            </w:pPr>
          </w:p>
        </w:tc>
        <w:tc>
          <w:tcPr>
            <w:tcW w:w="580" w:type="dxa"/>
            <w:vAlign w:val="bottom"/>
            <w:shd w:val="clear" w:color="auto" w:fill="F7F1EC"/>
          </w:tcPr>
          <w:p>
            <w:pPr>
              <w:ind w:left="40"/>
              <w:spacing w:after="0"/>
              <w:rPr>
                <w:sz w:val="20"/>
                <w:szCs w:val="20"/>
                <w:color w:val="auto"/>
              </w:rPr>
            </w:pPr>
            <w:r>
              <w:rPr>
                <w:rFonts w:ascii="Arial" w:cs="Arial" w:eastAsia="Arial" w:hAnsi="Arial"/>
                <w:sz w:val="14"/>
                <w:szCs w:val="14"/>
                <w:color w:val="auto"/>
              </w:rPr>
              <w:t>—</w:t>
            </w:r>
          </w:p>
        </w:tc>
        <w:tc>
          <w:tcPr>
            <w:tcW w:w="740" w:type="dxa"/>
            <w:vAlign w:val="bottom"/>
            <w:shd w:val="clear" w:color="auto" w:fill="F7F1EC"/>
          </w:tcPr>
          <w:p>
            <w:pPr>
              <w:jc w:val="right"/>
              <w:ind w:right="133"/>
              <w:spacing w:after="0"/>
              <w:rPr>
                <w:sz w:val="20"/>
                <w:szCs w:val="20"/>
                <w:color w:val="auto"/>
              </w:rPr>
            </w:pPr>
            <w:r>
              <w:rPr>
                <w:rFonts w:ascii="Arial" w:cs="Arial" w:eastAsia="Arial" w:hAnsi="Arial"/>
                <w:sz w:val="14"/>
                <w:szCs w:val="14"/>
                <w:color w:val="auto"/>
              </w:rPr>
              <w:t>—</w:t>
            </w:r>
          </w:p>
        </w:tc>
        <w:tc>
          <w:tcPr>
            <w:tcW w:w="800" w:type="dxa"/>
            <w:vAlign w:val="bottom"/>
            <w:shd w:val="clear" w:color="auto" w:fill="F7F1EC"/>
          </w:tcPr>
          <w:p>
            <w:pPr>
              <w:spacing w:after="0"/>
              <w:rPr>
                <w:sz w:val="17"/>
                <w:szCs w:val="17"/>
                <w:color w:val="auto"/>
              </w:rPr>
            </w:pPr>
          </w:p>
        </w:tc>
        <w:tc>
          <w:tcPr>
            <w:tcW w:w="40" w:type="dxa"/>
            <w:vAlign w:val="bottom"/>
            <w:shd w:val="clear" w:color="auto" w:fill="F7F1EC"/>
          </w:tcPr>
          <w:p>
            <w:pPr>
              <w:spacing w:after="0"/>
              <w:rPr>
                <w:sz w:val="17"/>
                <w:szCs w:val="17"/>
                <w:color w:val="auto"/>
              </w:rPr>
            </w:pPr>
          </w:p>
        </w:tc>
        <w:tc>
          <w:tcPr>
            <w:tcW w:w="620" w:type="dxa"/>
            <w:vAlign w:val="bottom"/>
            <w:shd w:val="clear" w:color="auto" w:fill="F7F1EC"/>
          </w:tcPr>
          <w:p>
            <w:pPr>
              <w:jc w:val="right"/>
              <w:ind w:right="115"/>
              <w:spacing w:after="0"/>
              <w:rPr>
                <w:sz w:val="20"/>
                <w:szCs w:val="20"/>
                <w:color w:val="auto"/>
              </w:rPr>
            </w:pPr>
            <w:r>
              <w:rPr>
                <w:rFonts w:ascii="Arial" w:cs="Arial" w:eastAsia="Arial" w:hAnsi="Arial"/>
                <w:sz w:val="14"/>
                <w:szCs w:val="14"/>
                <w:color w:val="auto"/>
              </w:rPr>
              <w:t>—</w:t>
            </w:r>
          </w:p>
        </w:tc>
        <w:tc>
          <w:tcPr>
            <w:tcW w:w="800" w:type="dxa"/>
            <w:vAlign w:val="bottom"/>
            <w:shd w:val="clear" w:color="auto" w:fill="F7F1EC"/>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F7F1EC"/>
          </w:tcPr>
          <w:p>
            <w:pPr>
              <w:jc w:val="right"/>
              <w:ind w:right="34"/>
              <w:spacing w:after="0" w:line="205" w:lineRule="exact"/>
              <w:rPr>
                <w:sz w:val="20"/>
                <w:szCs w:val="20"/>
                <w:color w:val="auto"/>
              </w:rPr>
            </w:pPr>
            <w:r>
              <w:rPr>
                <w:rFonts w:ascii="Arial" w:cs="Arial" w:eastAsia="Arial" w:hAnsi="Arial"/>
                <w:sz w:val="14"/>
                <w:szCs w:val="14"/>
                <w:color w:val="auto"/>
              </w:rPr>
              <w:t>5,368</w:t>
            </w:r>
            <w:r>
              <w:rPr>
                <w:rFonts w:ascii="Arial" w:cs="Arial" w:eastAsia="Arial" w:hAnsi="Arial"/>
                <w:sz w:val="20"/>
                <w:szCs w:val="20"/>
                <w:color w:val="auto"/>
                <w:vertAlign w:val="superscript"/>
              </w:rPr>
              <w:t>(7)</w:t>
            </w:r>
          </w:p>
        </w:tc>
        <w:tc>
          <w:tcPr>
            <w:tcW w:w="760" w:type="dxa"/>
            <w:vAlign w:val="bottom"/>
            <w:shd w:val="clear" w:color="auto" w:fill="F7F1EC"/>
          </w:tcPr>
          <w:p>
            <w:pPr>
              <w:jc w:val="right"/>
              <w:spacing w:after="0"/>
              <w:rPr>
                <w:sz w:val="20"/>
                <w:szCs w:val="20"/>
                <w:color w:val="auto"/>
              </w:rPr>
            </w:pPr>
            <w:r>
              <w:rPr>
                <w:rFonts w:ascii="Arial" w:cs="Arial" w:eastAsia="Arial" w:hAnsi="Arial"/>
                <w:sz w:val="14"/>
                <w:szCs w:val="14"/>
                <w:color w:val="auto"/>
              </w:rPr>
              <w:t>1,917,289</w:t>
            </w:r>
          </w:p>
        </w:tc>
        <w:tc>
          <w:tcPr>
            <w:tcW w:w="0" w:type="dxa"/>
            <w:vAlign w:val="bottom"/>
          </w:tcPr>
          <w:p>
            <w:pPr>
              <w:spacing w:after="0"/>
              <w:rPr>
                <w:sz w:val="1"/>
                <w:szCs w:val="1"/>
                <w:color w:val="auto"/>
              </w:rPr>
            </w:pPr>
          </w:p>
        </w:tc>
      </w:tr>
      <w:tr>
        <w:trPr>
          <w:trHeight w:val="217"/>
        </w:trPr>
        <w:tc>
          <w:tcPr>
            <w:tcW w:w="1660" w:type="dxa"/>
            <w:vAlign w:val="bottom"/>
            <w:shd w:val="clear" w:color="auto" w:fill="F7F1EC"/>
          </w:tcPr>
          <w:p>
            <w:pPr>
              <w:spacing w:after="0"/>
              <w:rPr>
                <w:sz w:val="18"/>
                <w:szCs w:val="18"/>
                <w:color w:val="auto"/>
              </w:rPr>
            </w:pPr>
          </w:p>
        </w:tc>
        <w:tc>
          <w:tcPr>
            <w:tcW w:w="40" w:type="dxa"/>
            <w:vAlign w:val="bottom"/>
            <w:shd w:val="clear" w:color="auto" w:fill="F7F1EC"/>
          </w:tcPr>
          <w:p>
            <w:pPr>
              <w:spacing w:after="0"/>
              <w:rPr>
                <w:sz w:val="18"/>
                <w:szCs w:val="18"/>
                <w:color w:val="auto"/>
              </w:rPr>
            </w:pPr>
          </w:p>
        </w:tc>
        <w:tc>
          <w:tcPr>
            <w:tcW w:w="320" w:type="dxa"/>
            <w:vAlign w:val="bottom"/>
            <w:shd w:val="clear" w:color="auto" w:fill="F7F1EC"/>
          </w:tcPr>
          <w:p>
            <w:pPr>
              <w:spacing w:after="0"/>
              <w:rPr>
                <w:sz w:val="18"/>
                <w:szCs w:val="18"/>
                <w:color w:val="auto"/>
              </w:rPr>
            </w:pPr>
          </w:p>
        </w:tc>
        <w:tc>
          <w:tcPr>
            <w:tcW w:w="340" w:type="dxa"/>
            <w:vAlign w:val="bottom"/>
            <w:shd w:val="clear" w:color="auto" w:fill="F7F1EC"/>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F7F1EC"/>
          </w:tcPr>
          <w:p>
            <w:pPr>
              <w:spacing w:after="0"/>
              <w:rPr>
                <w:sz w:val="18"/>
                <w:szCs w:val="18"/>
                <w:color w:val="auto"/>
              </w:rPr>
            </w:pPr>
          </w:p>
        </w:tc>
        <w:tc>
          <w:tcPr>
            <w:tcW w:w="40" w:type="dxa"/>
            <w:vAlign w:val="bottom"/>
            <w:shd w:val="clear" w:color="auto" w:fill="F7F1EC"/>
          </w:tcPr>
          <w:p>
            <w:pPr>
              <w:spacing w:after="0"/>
              <w:rPr>
                <w:sz w:val="18"/>
                <w:szCs w:val="18"/>
                <w:color w:val="auto"/>
              </w:rPr>
            </w:pPr>
          </w:p>
        </w:tc>
        <w:tc>
          <w:tcPr>
            <w:tcW w:w="360" w:type="dxa"/>
            <w:vAlign w:val="bottom"/>
            <w:shd w:val="clear" w:color="auto" w:fill="F7F1EC"/>
          </w:tcPr>
          <w:p>
            <w:pPr>
              <w:spacing w:after="0"/>
              <w:rPr>
                <w:sz w:val="18"/>
                <w:szCs w:val="18"/>
                <w:color w:val="auto"/>
              </w:rPr>
            </w:pPr>
          </w:p>
        </w:tc>
        <w:tc>
          <w:tcPr>
            <w:tcW w:w="580" w:type="dxa"/>
            <w:vAlign w:val="bottom"/>
            <w:shd w:val="clear" w:color="auto" w:fill="F7F1EC"/>
          </w:tcPr>
          <w:p>
            <w:pPr>
              <w:ind w:left="40"/>
              <w:spacing w:after="0"/>
              <w:rPr>
                <w:sz w:val="20"/>
                <w:szCs w:val="20"/>
                <w:color w:val="auto"/>
              </w:rPr>
            </w:pPr>
            <w:r>
              <w:rPr>
                <w:rFonts w:ascii="Arial" w:cs="Arial" w:eastAsia="Arial" w:hAnsi="Arial"/>
                <w:sz w:val="14"/>
                <w:szCs w:val="14"/>
                <w:color w:val="auto"/>
              </w:rPr>
              <w:t>—</w:t>
            </w:r>
          </w:p>
        </w:tc>
        <w:tc>
          <w:tcPr>
            <w:tcW w:w="740" w:type="dxa"/>
            <w:vAlign w:val="bottom"/>
            <w:shd w:val="clear" w:color="auto" w:fill="F7F1EC"/>
          </w:tcPr>
          <w:p>
            <w:pPr>
              <w:jc w:val="right"/>
              <w:ind w:right="133"/>
              <w:spacing w:after="0"/>
              <w:rPr>
                <w:sz w:val="20"/>
                <w:szCs w:val="20"/>
                <w:color w:val="auto"/>
              </w:rPr>
            </w:pPr>
            <w:r>
              <w:rPr>
                <w:rFonts w:ascii="Arial" w:cs="Arial" w:eastAsia="Arial" w:hAnsi="Arial"/>
                <w:sz w:val="14"/>
                <w:szCs w:val="14"/>
                <w:color w:val="auto"/>
              </w:rPr>
              <w:t>—</w:t>
            </w:r>
          </w:p>
        </w:tc>
        <w:tc>
          <w:tcPr>
            <w:tcW w:w="800" w:type="dxa"/>
            <w:vAlign w:val="bottom"/>
            <w:shd w:val="clear" w:color="auto" w:fill="F7F1EC"/>
          </w:tcPr>
          <w:p>
            <w:pPr>
              <w:spacing w:after="0"/>
              <w:rPr>
                <w:sz w:val="18"/>
                <w:szCs w:val="18"/>
                <w:color w:val="auto"/>
              </w:rPr>
            </w:pPr>
          </w:p>
        </w:tc>
        <w:tc>
          <w:tcPr>
            <w:tcW w:w="40" w:type="dxa"/>
            <w:vAlign w:val="bottom"/>
            <w:shd w:val="clear" w:color="auto" w:fill="F7F1EC"/>
          </w:tcPr>
          <w:p>
            <w:pPr>
              <w:spacing w:after="0"/>
              <w:rPr>
                <w:sz w:val="18"/>
                <w:szCs w:val="18"/>
                <w:color w:val="auto"/>
              </w:rPr>
            </w:pPr>
          </w:p>
        </w:tc>
        <w:tc>
          <w:tcPr>
            <w:tcW w:w="620" w:type="dxa"/>
            <w:vAlign w:val="bottom"/>
            <w:shd w:val="clear" w:color="auto" w:fill="F7F1EC"/>
          </w:tcPr>
          <w:p>
            <w:pPr>
              <w:jc w:val="right"/>
              <w:ind w:right="115"/>
              <w:spacing w:after="0"/>
              <w:rPr>
                <w:sz w:val="20"/>
                <w:szCs w:val="20"/>
                <w:color w:val="auto"/>
              </w:rPr>
            </w:pPr>
            <w:r>
              <w:rPr>
                <w:rFonts w:ascii="Arial" w:cs="Arial" w:eastAsia="Arial" w:hAnsi="Arial"/>
                <w:sz w:val="14"/>
                <w:szCs w:val="14"/>
                <w:color w:val="auto"/>
              </w:rPr>
              <w:t>—</w:t>
            </w:r>
          </w:p>
        </w:tc>
        <w:tc>
          <w:tcPr>
            <w:tcW w:w="800" w:type="dxa"/>
            <w:vAlign w:val="bottom"/>
            <w:shd w:val="clear" w:color="auto" w:fill="F7F1EC"/>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F7F1EC"/>
          </w:tcPr>
          <w:p>
            <w:pPr>
              <w:jc w:val="right"/>
              <w:ind w:right="34"/>
              <w:spacing w:after="0" w:line="217" w:lineRule="exact"/>
              <w:rPr>
                <w:sz w:val="20"/>
                <w:szCs w:val="20"/>
                <w:color w:val="auto"/>
              </w:rPr>
            </w:pPr>
            <w:r>
              <w:rPr>
                <w:rFonts w:ascii="Arial" w:cs="Arial" w:eastAsia="Arial" w:hAnsi="Arial"/>
                <w:sz w:val="14"/>
                <w:szCs w:val="14"/>
                <w:color w:val="auto"/>
              </w:rPr>
              <w:t>4,978</w:t>
            </w:r>
            <w:r>
              <w:rPr>
                <w:rFonts w:ascii="Arial" w:cs="Arial" w:eastAsia="Arial" w:hAnsi="Arial"/>
                <w:sz w:val="20"/>
                <w:szCs w:val="20"/>
                <w:color w:val="auto"/>
                <w:vertAlign w:val="superscript"/>
              </w:rPr>
              <w:t>(7)</w:t>
            </w:r>
          </w:p>
        </w:tc>
        <w:tc>
          <w:tcPr>
            <w:tcW w:w="760" w:type="dxa"/>
            <w:vAlign w:val="bottom"/>
            <w:shd w:val="clear" w:color="auto" w:fill="F7F1EC"/>
          </w:tcPr>
          <w:p>
            <w:pPr>
              <w:jc w:val="right"/>
              <w:spacing w:after="0"/>
              <w:rPr>
                <w:sz w:val="20"/>
                <w:szCs w:val="20"/>
                <w:color w:val="auto"/>
              </w:rPr>
            </w:pPr>
            <w:r>
              <w:rPr>
                <w:rFonts w:ascii="Arial" w:cs="Arial" w:eastAsia="Arial" w:hAnsi="Arial"/>
                <w:sz w:val="14"/>
                <w:szCs w:val="14"/>
                <w:color w:val="auto"/>
              </w:rPr>
              <w:t>1,777,992</w:t>
            </w:r>
          </w:p>
        </w:tc>
        <w:tc>
          <w:tcPr>
            <w:tcW w:w="0" w:type="dxa"/>
            <w:vAlign w:val="bottom"/>
          </w:tcPr>
          <w:p>
            <w:pPr>
              <w:spacing w:after="0"/>
              <w:rPr>
                <w:sz w:val="1"/>
                <w:szCs w:val="1"/>
                <w:color w:val="auto"/>
              </w:rPr>
            </w:pPr>
          </w:p>
        </w:tc>
      </w:tr>
      <w:tr>
        <w:trPr>
          <w:trHeight w:val="268"/>
        </w:trPr>
        <w:tc>
          <w:tcPr>
            <w:tcW w:w="1660" w:type="dxa"/>
            <w:vAlign w:val="bottom"/>
          </w:tcPr>
          <w:p>
            <w:pPr>
              <w:spacing w:after="0"/>
              <w:rPr>
                <w:sz w:val="23"/>
                <w:szCs w:val="23"/>
                <w:color w:val="auto"/>
              </w:rPr>
            </w:pPr>
          </w:p>
        </w:tc>
        <w:tc>
          <w:tcPr>
            <w:tcW w:w="700" w:type="dxa"/>
            <w:vAlign w:val="bottom"/>
            <w:gridSpan w:val="3"/>
          </w:tcPr>
          <w:p>
            <w:pPr>
              <w:jc w:val="right"/>
              <w:spacing w:after="0"/>
              <w:rPr>
                <w:sz w:val="20"/>
                <w:szCs w:val="20"/>
                <w:color w:val="auto"/>
              </w:rPr>
            </w:pPr>
            <w:r>
              <w:rPr>
                <w:rFonts w:ascii="Arial" w:cs="Arial" w:eastAsia="Arial" w:hAnsi="Arial"/>
                <w:sz w:val="14"/>
                <w:szCs w:val="14"/>
                <w:color w:val="auto"/>
              </w:rPr>
              <w:t>7,189</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580" w:type="dxa"/>
            <w:vAlign w:val="bottom"/>
          </w:tcPr>
          <w:p>
            <w:pPr>
              <w:ind w:left="40"/>
              <w:spacing w:after="0" w:line="267"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0"/>
                <w:szCs w:val="10"/>
                <w:color w:val="auto"/>
              </w:rPr>
              <w:t>(9)</w:t>
            </w:r>
          </w:p>
        </w:tc>
        <w:tc>
          <w:tcPr>
            <w:tcW w:w="740" w:type="dxa"/>
            <w:vAlign w:val="bottom"/>
          </w:tcPr>
          <w:p>
            <w:pPr>
              <w:jc w:val="right"/>
              <w:ind w:right="133"/>
              <w:spacing w:after="0"/>
              <w:rPr>
                <w:sz w:val="20"/>
                <w:szCs w:val="20"/>
                <w:color w:val="auto"/>
              </w:rPr>
            </w:pPr>
            <w:r>
              <w:rPr>
                <w:rFonts w:ascii="Arial" w:cs="Arial" w:eastAsia="Arial" w:hAnsi="Arial"/>
                <w:sz w:val="14"/>
                <w:szCs w:val="14"/>
                <w:color w:val="auto"/>
              </w:rPr>
              <w:t>77.53</w:t>
            </w:r>
          </w:p>
        </w:tc>
        <w:tc>
          <w:tcPr>
            <w:tcW w:w="800" w:type="dxa"/>
            <w:vAlign w:val="bottom"/>
          </w:tcPr>
          <w:p>
            <w:pPr>
              <w:ind w:left="180"/>
              <w:spacing w:after="0"/>
              <w:rPr>
                <w:sz w:val="20"/>
                <w:szCs w:val="20"/>
                <w:color w:val="auto"/>
              </w:rPr>
            </w:pPr>
            <w:r>
              <w:rPr>
                <w:rFonts w:ascii="Arial" w:cs="Arial" w:eastAsia="Arial" w:hAnsi="Arial"/>
                <w:sz w:val="14"/>
                <w:szCs w:val="14"/>
                <w:color w:val="auto"/>
                <w:w w:val="96"/>
              </w:rPr>
              <w:t>2/25/2029</w:t>
            </w:r>
          </w:p>
        </w:tc>
        <w:tc>
          <w:tcPr>
            <w:tcW w:w="40" w:type="dxa"/>
            <w:vAlign w:val="bottom"/>
          </w:tcPr>
          <w:p>
            <w:pPr>
              <w:spacing w:after="0"/>
              <w:rPr>
                <w:sz w:val="23"/>
                <w:szCs w:val="23"/>
                <w:color w:val="auto"/>
              </w:rPr>
            </w:pPr>
          </w:p>
        </w:tc>
        <w:tc>
          <w:tcPr>
            <w:tcW w:w="620" w:type="dxa"/>
            <w:vAlign w:val="bottom"/>
          </w:tcPr>
          <w:p>
            <w:pPr>
              <w:jc w:val="right"/>
              <w:ind w:right="115"/>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154"/>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4"/>
        </w:trPr>
        <w:tc>
          <w:tcPr>
            <w:tcW w:w="1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80" w:type="dxa"/>
            <w:vAlign w:val="bottom"/>
          </w:tcPr>
          <w:p>
            <w:pPr>
              <w:ind w:left="4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133"/>
              <w:spacing w:after="0"/>
              <w:rPr>
                <w:sz w:val="20"/>
                <w:szCs w:val="20"/>
                <w:color w:val="auto"/>
              </w:rPr>
            </w:pPr>
            <w:r>
              <w:rPr>
                <w:rFonts w:ascii="Arial" w:cs="Arial" w:eastAsia="Arial" w:hAnsi="Arial"/>
                <w:sz w:val="14"/>
                <w:szCs w:val="14"/>
                <w:color w:val="auto"/>
              </w:rPr>
              <w:t>—</w:t>
            </w:r>
          </w:p>
        </w:tc>
        <w:tc>
          <w:tcPr>
            <w:tcW w:w="800" w:type="dxa"/>
            <w:vAlign w:val="bottom"/>
          </w:tcPr>
          <w:p>
            <w:pPr>
              <w:spacing w:after="0"/>
              <w:rPr>
                <w:sz w:val="17"/>
                <w:szCs w:val="17"/>
                <w:color w:val="auto"/>
              </w:rPr>
            </w:pPr>
          </w:p>
        </w:tc>
        <w:tc>
          <w:tcPr>
            <w:tcW w:w="660" w:type="dxa"/>
            <w:vAlign w:val="bottom"/>
            <w:gridSpan w:val="2"/>
          </w:tcPr>
          <w:p>
            <w:pPr>
              <w:jc w:val="right"/>
              <w:spacing w:after="0" w:line="204" w:lineRule="exact"/>
              <w:rPr>
                <w:sz w:val="20"/>
                <w:szCs w:val="20"/>
                <w:color w:val="auto"/>
              </w:rPr>
            </w:pPr>
            <w:r>
              <w:rPr>
                <w:rFonts w:ascii="Arial" w:cs="Arial" w:eastAsia="Arial" w:hAnsi="Arial"/>
                <w:sz w:val="23"/>
                <w:szCs w:val="23"/>
                <w:color w:val="auto"/>
                <w:vertAlign w:val="subscript"/>
              </w:rPr>
              <w:t>510</w:t>
            </w:r>
            <w:r>
              <w:rPr>
                <w:rFonts w:ascii="Arial" w:cs="Arial" w:eastAsia="Arial" w:hAnsi="Arial"/>
                <w:sz w:val="9"/>
                <w:szCs w:val="9"/>
                <w:color w:val="auto"/>
              </w:rPr>
              <w:t>(3)</w:t>
            </w:r>
          </w:p>
        </w:tc>
        <w:tc>
          <w:tcPr>
            <w:tcW w:w="800" w:type="dxa"/>
            <w:vAlign w:val="bottom"/>
          </w:tcPr>
          <w:p>
            <w:pPr>
              <w:jc w:val="right"/>
              <w:spacing w:after="0"/>
              <w:rPr>
                <w:sz w:val="20"/>
                <w:szCs w:val="20"/>
                <w:color w:val="auto"/>
              </w:rPr>
            </w:pPr>
            <w:r>
              <w:rPr>
                <w:rFonts w:ascii="Arial" w:cs="Arial" w:eastAsia="Arial" w:hAnsi="Arial"/>
                <w:sz w:val="14"/>
                <w:szCs w:val="14"/>
                <w:color w:val="auto"/>
              </w:rPr>
              <w:t>182,157</w:t>
            </w:r>
          </w:p>
        </w:tc>
        <w:tc>
          <w:tcPr>
            <w:tcW w:w="800" w:type="dxa"/>
            <w:vAlign w:val="bottom"/>
          </w:tcPr>
          <w:p>
            <w:pPr>
              <w:jc w:val="right"/>
              <w:ind w:right="154"/>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4"/>
        </w:trPr>
        <w:tc>
          <w:tcPr>
            <w:tcW w:w="1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80" w:type="dxa"/>
            <w:vAlign w:val="bottom"/>
          </w:tcPr>
          <w:p>
            <w:pPr>
              <w:ind w:left="4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133"/>
              <w:spacing w:after="0"/>
              <w:rPr>
                <w:sz w:val="20"/>
                <w:szCs w:val="20"/>
                <w:color w:val="auto"/>
              </w:rPr>
            </w:pPr>
            <w:r>
              <w:rPr>
                <w:rFonts w:ascii="Arial" w:cs="Arial" w:eastAsia="Arial" w:hAnsi="Arial"/>
                <w:sz w:val="14"/>
                <w:szCs w:val="14"/>
                <w:color w:val="auto"/>
              </w:rPr>
              <w:t>—</w:t>
            </w:r>
          </w:p>
        </w:tc>
        <w:tc>
          <w:tcPr>
            <w:tcW w:w="800" w:type="dxa"/>
            <w:vAlign w:val="bottom"/>
          </w:tcPr>
          <w:p>
            <w:pPr>
              <w:spacing w:after="0"/>
              <w:rPr>
                <w:sz w:val="17"/>
                <w:szCs w:val="17"/>
                <w:color w:val="auto"/>
              </w:rPr>
            </w:pPr>
          </w:p>
        </w:tc>
        <w:tc>
          <w:tcPr>
            <w:tcW w:w="660" w:type="dxa"/>
            <w:vAlign w:val="bottom"/>
            <w:gridSpan w:val="2"/>
          </w:tcPr>
          <w:p>
            <w:pPr>
              <w:jc w:val="right"/>
              <w:spacing w:after="0" w:line="205" w:lineRule="exact"/>
              <w:rPr>
                <w:sz w:val="20"/>
                <w:szCs w:val="20"/>
                <w:color w:val="auto"/>
              </w:rPr>
            </w:pPr>
            <w:r>
              <w:rPr>
                <w:rFonts w:ascii="Arial" w:cs="Arial" w:eastAsia="Arial" w:hAnsi="Arial"/>
                <w:sz w:val="14"/>
                <w:szCs w:val="14"/>
                <w:color w:val="auto"/>
              </w:rPr>
              <w:t>511</w:t>
            </w:r>
            <w:r>
              <w:rPr>
                <w:rFonts w:ascii="Arial" w:cs="Arial" w:eastAsia="Arial" w:hAnsi="Arial"/>
                <w:sz w:val="20"/>
                <w:szCs w:val="20"/>
                <w:color w:val="auto"/>
                <w:vertAlign w:val="superscript"/>
              </w:rPr>
              <w:t>(3)</w:t>
            </w:r>
          </w:p>
        </w:tc>
        <w:tc>
          <w:tcPr>
            <w:tcW w:w="800" w:type="dxa"/>
            <w:vAlign w:val="bottom"/>
          </w:tcPr>
          <w:p>
            <w:pPr>
              <w:jc w:val="right"/>
              <w:spacing w:after="0"/>
              <w:rPr>
                <w:sz w:val="20"/>
                <w:szCs w:val="20"/>
                <w:color w:val="auto"/>
              </w:rPr>
            </w:pPr>
            <w:r>
              <w:rPr>
                <w:rFonts w:ascii="Arial" w:cs="Arial" w:eastAsia="Arial" w:hAnsi="Arial"/>
                <w:sz w:val="14"/>
                <w:szCs w:val="14"/>
                <w:color w:val="auto"/>
              </w:rPr>
              <w:t>182,514</w:t>
            </w:r>
          </w:p>
        </w:tc>
        <w:tc>
          <w:tcPr>
            <w:tcW w:w="800" w:type="dxa"/>
            <w:vAlign w:val="bottom"/>
          </w:tcPr>
          <w:p>
            <w:pPr>
              <w:jc w:val="right"/>
              <w:ind w:right="154"/>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4"/>
        </w:trPr>
        <w:tc>
          <w:tcPr>
            <w:tcW w:w="1660" w:type="dxa"/>
            <w:vAlign w:val="bottom"/>
            <w:vMerge w:val="restart"/>
          </w:tcPr>
          <w:p>
            <w:pPr>
              <w:ind w:left="60"/>
              <w:spacing w:after="0"/>
              <w:rPr>
                <w:sz w:val="20"/>
                <w:szCs w:val="20"/>
                <w:color w:val="auto"/>
              </w:rPr>
            </w:pPr>
            <w:r>
              <w:rPr>
                <w:rFonts w:ascii="Arial" w:cs="Arial" w:eastAsia="Arial" w:hAnsi="Arial"/>
                <w:sz w:val="14"/>
                <w:szCs w:val="14"/>
                <w:b w:val="1"/>
                <w:bCs w:val="1"/>
                <w:color w:val="B95827"/>
              </w:rPr>
              <w:t>Greg Gates</w:t>
            </w: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80" w:type="dxa"/>
            <w:vAlign w:val="bottom"/>
          </w:tcPr>
          <w:p>
            <w:pPr>
              <w:ind w:left="4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133"/>
              <w:spacing w:after="0"/>
              <w:rPr>
                <w:sz w:val="20"/>
                <w:szCs w:val="20"/>
                <w:color w:val="auto"/>
              </w:rPr>
            </w:pPr>
            <w:r>
              <w:rPr>
                <w:rFonts w:ascii="Arial" w:cs="Arial" w:eastAsia="Arial" w:hAnsi="Arial"/>
                <w:sz w:val="14"/>
                <w:szCs w:val="14"/>
                <w:color w:val="auto"/>
              </w:rPr>
              <w:t>—</w:t>
            </w:r>
          </w:p>
        </w:tc>
        <w:tc>
          <w:tcPr>
            <w:tcW w:w="800" w:type="dxa"/>
            <w:vAlign w:val="bottom"/>
          </w:tcPr>
          <w:p>
            <w:pPr>
              <w:spacing w:after="0"/>
              <w:rPr>
                <w:sz w:val="17"/>
                <w:szCs w:val="17"/>
                <w:color w:val="auto"/>
              </w:rPr>
            </w:pPr>
          </w:p>
        </w:tc>
        <w:tc>
          <w:tcPr>
            <w:tcW w:w="660" w:type="dxa"/>
            <w:vAlign w:val="bottom"/>
            <w:gridSpan w:val="2"/>
          </w:tcPr>
          <w:p>
            <w:pPr>
              <w:jc w:val="right"/>
              <w:spacing w:after="0" w:line="205" w:lineRule="exact"/>
              <w:rPr>
                <w:sz w:val="20"/>
                <w:szCs w:val="20"/>
                <w:color w:val="auto"/>
              </w:rPr>
            </w:pPr>
            <w:r>
              <w:rPr>
                <w:rFonts w:ascii="Arial" w:cs="Arial" w:eastAsia="Arial" w:hAnsi="Arial"/>
                <w:sz w:val="14"/>
                <w:szCs w:val="14"/>
                <w:color w:val="auto"/>
              </w:rPr>
              <w:t>1,551</w:t>
            </w:r>
            <w:r>
              <w:rPr>
                <w:rFonts w:ascii="Arial" w:cs="Arial" w:eastAsia="Arial" w:hAnsi="Arial"/>
                <w:sz w:val="20"/>
                <w:szCs w:val="20"/>
                <w:color w:val="auto"/>
                <w:vertAlign w:val="superscript"/>
              </w:rPr>
              <w:t>(4)</w:t>
            </w:r>
          </w:p>
        </w:tc>
        <w:tc>
          <w:tcPr>
            <w:tcW w:w="800" w:type="dxa"/>
            <w:vAlign w:val="bottom"/>
          </w:tcPr>
          <w:p>
            <w:pPr>
              <w:jc w:val="right"/>
              <w:spacing w:after="0"/>
              <w:rPr>
                <w:sz w:val="20"/>
                <w:szCs w:val="20"/>
                <w:color w:val="auto"/>
              </w:rPr>
            </w:pPr>
            <w:r>
              <w:rPr>
                <w:rFonts w:ascii="Arial" w:cs="Arial" w:eastAsia="Arial" w:hAnsi="Arial"/>
                <w:sz w:val="14"/>
                <w:szCs w:val="14"/>
                <w:color w:val="auto"/>
              </w:rPr>
              <w:t>553,971</w:t>
            </w:r>
          </w:p>
        </w:tc>
        <w:tc>
          <w:tcPr>
            <w:tcW w:w="800" w:type="dxa"/>
            <w:vAlign w:val="bottom"/>
          </w:tcPr>
          <w:p>
            <w:pPr>
              <w:jc w:val="right"/>
              <w:ind w:right="154"/>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9"/>
        </w:trPr>
        <w:tc>
          <w:tcPr>
            <w:tcW w:w="166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320" w:type="dxa"/>
            <w:vAlign w:val="bottom"/>
          </w:tcPr>
          <w:p>
            <w:pPr>
              <w:spacing w:after="0"/>
              <w:rPr>
                <w:sz w:val="7"/>
                <w:szCs w:val="7"/>
                <w:color w:val="auto"/>
              </w:rPr>
            </w:pPr>
          </w:p>
        </w:tc>
        <w:tc>
          <w:tcPr>
            <w:tcW w:w="40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7"/>
                <w:szCs w:val="7"/>
                <w:color w:val="auto"/>
              </w:rPr>
            </w:pPr>
          </w:p>
        </w:tc>
        <w:tc>
          <w:tcPr>
            <w:tcW w:w="360" w:type="dxa"/>
            <w:vAlign w:val="bottom"/>
          </w:tcPr>
          <w:p>
            <w:pPr>
              <w:spacing w:after="0"/>
              <w:rPr>
                <w:sz w:val="7"/>
                <w:szCs w:val="7"/>
                <w:color w:val="auto"/>
              </w:rPr>
            </w:pPr>
          </w:p>
        </w:tc>
        <w:tc>
          <w:tcPr>
            <w:tcW w:w="580" w:type="dxa"/>
            <w:vAlign w:val="bottom"/>
            <w:vMerge w:val="restart"/>
          </w:tcPr>
          <w:p>
            <w:pPr>
              <w:ind w:left="40"/>
              <w:spacing w:after="0"/>
              <w:rPr>
                <w:sz w:val="20"/>
                <w:szCs w:val="20"/>
                <w:color w:val="auto"/>
              </w:rPr>
            </w:pPr>
            <w:r>
              <w:rPr>
                <w:rFonts w:ascii="Arial" w:cs="Arial" w:eastAsia="Arial" w:hAnsi="Arial"/>
                <w:sz w:val="14"/>
                <w:szCs w:val="14"/>
                <w:color w:val="auto"/>
              </w:rPr>
              <w:t>—</w:t>
            </w:r>
          </w:p>
        </w:tc>
        <w:tc>
          <w:tcPr>
            <w:tcW w:w="740" w:type="dxa"/>
            <w:vAlign w:val="bottom"/>
            <w:vMerge w:val="restart"/>
          </w:tcPr>
          <w:p>
            <w:pPr>
              <w:jc w:val="right"/>
              <w:ind w:right="133"/>
              <w:spacing w:after="0"/>
              <w:rPr>
                <w:sz w:val="20"/>
                <w:szCs w:val="20"/>
                <w:color w:val="auto"/>
              </w:rPr>
            </w:pPr>
            <w:r>
              <w:rPr>
                <w:rFonts w:ascii="Arial" w:cs="Arial" w:eastAsia="Arial" w:hAnsi="Arial"/>
                <w:sz w:val="14"/>
                <w:szCs w:val="14"/>
                <w:color w:val="auto"/>
              </w:rPr>
              <w:t>—</w:t>
            </w:r>
          </w:p>
        </w:tc>
        <w:tc>
          <w:tcPr>
            <w:tcW w:w="800" w:type="dxa"/>
            <w:vAlign w:val="bottom"/>
          </w:tcPr>
          <w:p>
            <w:pPr>
              <w:spacing w:after="0"/>
              <w:rPr>
                <w:sz w:val="7"/>
                <w:szCs w:val="7"/>
                <w:color w:val="auto"/>
              </w:rPr>
            </w:pPr>
          </w:p>
        </w:tc>
        <w:tc>
          <w:tcPr>
            <w:tcW w:w="660" w:type="dxa"/>
            <w:vAlign w:val="bottom"/>
            <w:gridSpan w:val="2"/>
            <w:vMerge w:val="restart"/>
          </w:tcPr>
          <w:p>
            <w:pPr>
              <w:jc w:val="right"/>
              <w:spacing w:after="0" w:line="205" w:lineRule="exact"/>
              <w:rPr>
                <w:sz w:val="20"/>
                <w:szCs w:val="20"/>
                <w:color w:val="auto"/>
              </w:rPr>
            </w:pPr>
            <w:r>
              <w:rPr>
                <w:rFonts w:ascii="Arial" w:cs="Arial" w:eastAsia="Arial" w:hAnsi="Arial"/>
                <w:sz w:val="14"/>
                <w:szCs w:val="14"/>
                <w:color w:val="auto"/>
              </w:rPr>
              <w:t>2,157</w:t>
            </w:r>
            <w:r>
              <w:rPr>
                <w:rFonts w:ascii="Arial" w:cs="Arial" w:eastAsia="Arial" w:hAnsi="Arial"/>
                <w:sz w:val="20"/>
                <w:szCs w:val="20"/>
                <w:color w:val="auto"/>
                <w:vertAlign w:val="superscript"/>
              </w:rPr>
              <w:t>(5)</w:t>
            </w: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770,416</w:t>
            </w:r>
          </w:p>
        </w:tc>
        <w:tc>
          <w:tcPr>
            <w:tcW w:w="800" w:type="dxa"/>
            <w:vAlign w:val="bottom"/>
            <w:vMerge w:val="restart"/>
          </w:tcPr>
          <w:p>
            <w:pPr>
              <w:jc w:val="right"/>
              <w:ind w:right="154"/>
              <w:spacing w:after="0"/>
              <w:rPr>
                <w:sz w:val="20"/>
                <w:szCs w:val="20"/>
                <w:color w:val="auto"/>
              </w:rPr>
            </w:pPr>
            <w:r>
              <w:rPr>
                <w:rFonts w:ascii="Arial" w:cs="Arial" w:eastAsia="Arial" w:hAnsi="Arial"/>
                <w:sz w:val="14"/>
                <w:szCs w:val="14"/>
                <w:color w:val="auto"/>
              </w:rPr>
              <w:t>—</w:t>
            </w: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16"/>
        </w:trPr>
        <w:tc>
          <w:tcPr>
            <w:tcW w:w="1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00" w:type="dxa"/>
            <w:vAlign w:val="bottom"/>
            <w:gridSpan w:val="2"/>
            <w:vMerge w:val="continue"/>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800" w:type="dxa"/>
            <w:vAlign w:val="bottom"/>
          </w:tcPr>
          <w:p>
            <w:pPr>
              <w:spacing w:after="0"/>
              <w:rPr>
                <w:sz w:val="10"/>
                <w:szCs w:val="10"/>
                <w:color w:val="auto"/>
              </w:rPr>
            </w:pPr>
          </w:p>
        </w:tc>
        <w:tc>
          <w:tcPr>
            <w:tcW w:w="660" w:type="dxa"/>
            <w:vAlign w:val="bottom"/>
            <w:gridSpan w:val="2"/>
            <w:vMerge w:val="continue"/>
          </w:tcPr>
          <w:p>
            <w:pPr>
              <w:spacing w:after="0"/>
              <w:rPr>
                <w:sz w:val="10"/>
                <w:szCs w:val="10"/>
                <w:color w:val="auto"/>
              </w:rPr>
            </w:pPr>
          </w:p>
        </w:tc>
        <w:tc>
          <w:tcPr>
            <w:tcW w:w="800" w:type="dxa"/>
            <w:vAlign w:val="bottom"/>
            <w:vMerge w:val="continue"/>
          </w:tcPr>
          <w:p>
            <w:pPr>
              <w:spacing w:after="0"/>
              <w:rPr>
                <w:sz w:val="10"/>
                <w:szCs w:val="10"/>
                <w:color w:val="auto"/>
              </w:rPr>
            </w:pPr>
          </w:p>
        </w:tc>
        <w:tc>
          <w:tcPr>
            <w:tcW w:w="80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4"/>
        </w:trPr>
        <w:tc>
          <w:tcPr>
            <w:tcW w:w="1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80" w:type="dxa"/>
            <w:vAlign w:val="bottom"/>
          </w:tcPr>
          <w:p>
            <w:pPr>
              <w:ind w:left="4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133"/>
              <w:spacing w:after="0"/>
              <w:rPr>
                <w:sz w:val="20"/>
                <w:szCs w:val="20"/>
                <w:color w:val="auto"/>
              </w:rPr>
            </w:pPr>
            <w:r>
              <w:rPr>
                <w:rFonts w:ascii="Arial" w:cs="Arial" w:eastAsia="Arial" w:hAnsi="Arial"/>
                <w:sz w:val="14"/>
                <w:szCs w:val="14"/>
                <w:color w:val="auto"/>
              </w:rPr>
              <w:t>—</w:t>
            </w:r>
          </w:p>
        </w:tc>
        <w:tc>
          <w:tcPr>
            <w:tcW w:w="800" w:type="dxa"/>
            <w:vAlign w:val="bottom"/>
          </w:tcPr>
          <w:p>
            <w:pPr>
              <w:spacing w:after="0"/>
              <w:rPr>
                <w:sz w:val="17"/>
                <w:szCs w:val="17"/>
                <w:color w:val="auto"/>
              </w:rPr>
            </w:pPr>
          </w:p>
        </w:tc>
        <w:tc>
          <w:tcPr>
            <w:tcW w:w="660" w:type="dxa"/>
            <w:vAlign w:val="bottom"/>
            <w:gridSpan w:val="2"/>
          </w:tcPr>
          <w:p>
            <w:pPr>
              <w:jc w:val="right"/>
              <w:spacing w:after="0" w:line="205" w:lineRule="exact"/>
              <w:rPr>
                <w:sz w:val="20"/>
                <w:szCs w:val="20"/>
                <w:color w:val="auto"/>
              </w:rPr>
            </w:pPr>
            <w:r>
              <w:rPr>
                <w:rFonts w:ascii="Arial" w:cs="Arial" w:eastAsia="Arial" w:hAnsi="Arial"/>
                <w:sz w:val="14"/>
                <w:szCs w:val="14"/>
                <w:color w:val="auto"/>
              </w:rPr>
              <w:t>1,856</w:t>
            </w:r>
            <w:r>
              <w:rPr>
                <w:rFonts w:ascii="Arial" w:cs="Arial" w:eastAsia="Arial" w:hAnsi="Arial"/>
                <w:sz w:val="20"/>
                <w:szCs w:val="20"/>
                <w:color w:val="auto"/>
                <w:vertAlign w:val="superscript"/>
              </w:rPr>
              <w:t>(6)</w:t>
            </w:r>
          </w:p>
        </w:tc>
        <w:tc>
          <w:tcPr>
            <w:tcW w:w="800" w:type="dxa"/>
            <w:vAlign w:val="bottom"/>
          </w:tcPr>
          <w:p>
            <w:pPr>
              <w:jc w:val="right"/>
              <w:spacing w:after="0"/>
              <w:rPr>
                <w:sz w:val="20"/>
                <w:szCs w:val="20"/>
                <w:color w:val="auto"/>
              </w:rPr>
            </w:pPr>
            <w:r>
              <w:rPr>
                <w:rFonts w:ascii="Arial" w:cs="Arial" w:eastAsia="Arial" w:hAnsi="Arial"/>
                <w:sz w:val="14"/>
                <w:szCs w:val="14"/>
                <w:color w:val="auto"/>
              </w:rPr>
              <w:t>662,908</w:t>
            </w:r>
          </w:p>
        </w:tc>
        <w:tc>
          <w:tcPr>
            <w:tcW w:w="800" w:type="dxa"/>
            <w:vAlign w:val="bottom"/>
          </w:tcPr>
          <w:p>
            <w:pPr>
              <w:jc w:val="right"/>
              <w:ind w:right="154"/>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4"/>
        </w:trPr>
        <w:tc>
          <w:tcPr>
            <w:tcW w:w="1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80" w:type="dxa"/>
            <w:vAlign w:val="bottom"/>
          </w:tcPr>
          <w:p>
            <w:pPr>
              <w:ind w:left="4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133"/>
              <w:spacing w:after="0"/>
              <w:rPr>
                <w:sz w:val="20"/>
                <w:szCs w:val="20"/>
                <w:color w:val="auto"/>
              </w:rPr>
            </w:pPr>
            <w:r>
              <w:rPr>
                <w:rFonts w:ascii="Arial" w:cs="Arial" w:eastAsia="Arial" w:hAnsi="Arial"/>
                <w:sz w:val="14"/>
                <w:szCs w:val="14"/>
                <w:color w:val="auto"/>
              </w:rPr>
              <w:t>—</w:t>
            </w: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20" w:type="dxa"/>
            <w:vAlign w:val="bottom"/>
          </w:tcPr>
          <w:p>
            <w:pPr>
              <w:jc w:val="right"/>
              <w:ind w:right="115"/>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34"/>
              <w:spacing w:after="0" w:line="205" w:lineRule="exact"/>
              <w:rPr>
                <w:sz w:val="20"/>
                <w:szCs w:val="20"/>
                <w:color w:val="auto"/>
              </w:rPr>
            </w:pPr>
            <w:r>
              <w:rPr>
                <w:rFonts w:ascii="Arial" w:cs="Arial" w:eastAsia="Arial" w:hAnsi="Arial"/>
                <w:sz w:val="14"/>
                <w:szCs w:val="14"/>
                <w:color w:val="auto"/>
              </w:rPr>
              <w:t>6,980</w:t>
            </w:r>
            <w:r>
              <w:rPr>
                <w:rFonts w:ascii="Arial" w:cs="Arial" w:eastAsia="Arial" w:hAnsi="Arial"/>
                <w:sz w:val="20"/>
                <w:szCs w:val="20"/>
                <w:color w:val="auto"/>
                <w:vertAlign w:val="superscript"/>
              </w:rPr>
              <w:t>(7)</w:t>
            </w:r>
          </w:p>
        </w:tc>
        <w:tc>
          <w:tcPr>
            <w:tcW w:w="760" w:type="dxa"/>
            <w:vAlign w:val="bottom"/>
          </w:tcPr>
          <w:p>
            <w:pPr>
              <w:jc w:val="right"/>
              <w:spacing w:after="0"/>
              <w:rPr>
                <w:sz w:val="20"/>
                <w:szCs w:val="20"/>
                <w:color w:val="auto"/>
              </w:rPr>
            </w:pPr>
            <w:r>
              <w:rPr>
                <w:rFonts w:ascii="Arial" w:cs="Arial" w:eastAsia="Arial" w:hAnsi="Arial"/>
                <w:sz w:val="14"/>
                <w:szCs w:val="14"/>
                <w:color w:val="auto"/>
              </w:rPr>
              <w:t>2,493,047</w:t>
            </w:r>
          </w:p>
        </w:tc>
        <w:tc>
          <w:tcPr>
            <w:tcW w:w="0" w:type="dxa"/>
            <w:vAlign w:val="bottom"/>
          </w:tcPr>
          <w:p>
            <w:pPr>
              <w:spacing w:after="0"/>
              <w:rPr>
                <w:sz w:val="1"/>
                <w:szCs w:val="1"/>
                <w:color w:val="auto"/>
              </w:rPr>
            </w:pPr>
          </w:p>
        </w:tc>
      </w:tr>
      <w:tr>
        <w:trPr>
          <w:trHeight w:val="217"/>
        </w:trPr>
        <w:tc>
          <w:tcPr>
            <w:tcW w:w="1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ind w:left="4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133"/>
              <w:spacing w:after="0"/>
              <w:rPr>
                <w:sz w:val="20"/>
                <w:szCs w:val="20"/>
                <w:color w:val="auto"/>
              </w:rPr>
            </w:pPr>
            <w:r>
              <w:rPr>
                <w:rFonts w:ascii="Arial" w:cs="Arial" w:eastAsia="Arial" w:hAnsi="Arial"/>
                <w:sz w:val="14"/>
                <w:szCs w:val="14"/>
                <w:color w:val="auto"/>
              </w:rPr>
              <w:t>—</w:t>
            </w: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tcPr>
          <w:p>
            <w:pPr>
              <w:jc w:val="right"/>
              <w:ind w:right="115"/>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34"/>
              <w:spacing w:after="0" w:line="217" w:lineRule="exact"/>
              <w:rPr>
                <w:sz w:val="20"/>
                <w:szCs w:val="20"/>
                <w:color w:val="auto"/>
              </w:rPr>
            </w:pPr>
            <w:r>
              <w:rPr>
                <w:rFonts w:ascii="Arial" w:cs="Arial" w:eastAsia="Arial" w:hAnsi="Arial"/>
                <w:sz w:val="14"/>
                <w:szCs w:val="14"/>
                <w:color w:val="auto"/>
              </w:rPr>
              <w:t>6,472</w:t>
            </w:r>
            <w:r>
              <w:rPr>
                <w:rFonts w:ascii="Arial" w:cs="Arial" w:eastAsia="Arial" w:hAnsi="Arial"/>
                <w:sz w:val="20"/>
                <w:szCs w:val="20"/>
                <w:color w:val="auto"/>
                <w:vertAlign w:val="superscript"/>
              </w:rPr>
              <w:t>(7)</w:t>
            </w:r>
          </w:p>
        </w:tc>
        <w:tc>
          <w:tcPr>
            <w:tcW w:w="760" w:type="dxa"/>
            <w:vAlign w:val="bottom"/>
          </w:tcPr>
          <w:p>
            <w:pPr>
              <w:jc w:val="right"/>
              <w:spacing w:after="0"/>
              <w:rPr>
                <w:sz w:val="20"/>
                <w:szCs w:val="20"/>
                <w:color w:val="auto"/>
              </w:rPr>
            </w:pPr>
            <w:r>
              <w:rPr>
                <w:rFonts w:ascii="Arial" w:cs="Arial" w:eastAsia="Arial" w:hAnsi="Arial"/>
                <w:sz w:val="14"/>
                <w:szCs w:val="14"/>
                <w:color w:val="auto"/>
              </w:rPr>
              <w:t>2,311,604</w:t>
            </w:r>
          </w:p>
        </w:tc>
        <w:tc>
          <w:tcPr>
            <w:tcW w:w="0" w:type="dxa"/>
            <w:vAlign w:val="bottom"/>
          </w:tcPr>
          <w:p>
            <w:pPr>
              <w:spacing w:after="0"/>
              <w:rPr>
                <w:sz w:val="1"/>
                <w:szCs w:val="1"/>
                <w:color w:val="auto"/>
              </w:rPr>
            </w:pPr>
          </w:p>
        </w:tc>
      </w:tr>
      <w:tr>
        <w:trPr>
          <w:trHeight w:val="268"/>
        </w:trPr>
        <w:tc>
          <w:tcPr>
            <w:tcW w:w="1660" w:type="dxa"/>
            <w:vAlign w:val="bottom"/>
            <w:shd w:val="clear" w:color="auto" w:fill="F7F1EC"/>
          </w:tcPr>
          <w:p>
            <w:pPr>
              <w:spacing w:after="0"/>
              <w:rPr>
                <w:sz w:val="23"/>
                <w:szCs w:val="23"/>
                <w:color w:val="auto"/>
              </w:rPr>
            </w:pPr>
          </w:p>
        </w:tc>
        <w:tc>
          <w:tcPr>
            <w:tcW w:w="40" w:type="dxa"/>
            <w:vAlign w:val="bottom"/>
            <w:shd w:val="clear" w:color="auto" w:fill="F7F1EC"/>
          </w:tcPr>
          <w:p>
            <w:pPr>
              <w:spacing w:after="0"/>
              <w:rPr>
                <w:sz w:val="23"/>
                <w:szCs w:val="23"/>
                <w:color w:val="auto"/>
              </w:rPr>
            </w:pPr>
          </w:p>
        </w:tc>
        <w:tc>
          <w:tcPr>
            <w:tcW w:w="320" w:type="dxa"/>
            <w:vAlign w:val="bottom"/>
            <w:shd w:val="clear" w:color="auto" w:fill="F7F1EC"/>
          </w:tcPr>
          <w:p>
            <w:pPr>
              <w:spacing w:after="0"/>
              <w:rPr>
                <w:sz w:val="23"/>
                <w:szCs w:val="23"/>
                <w:color w:val="auto"/>
              </w:rPr>
            </w:pPr>
          </w:p>
        </w:tc>
        <w:tc>
          <w:tcPr>
            <w:tcW w:w="400" w:type="dxa"/>
            <w:vAlign w:val="bottom"/>
            <w:gridSpan w:val="2"/>
            <w:shd w:val="clear" w:color="auto" w:fill="F7F1EC"/>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shd w:val="clear" w:color="auto" w:fill="F7F1EC"/>
          </w:tcPr>
          <w:p>
            <w:pPr>
              <w:spacing w:after="0"/>
              <w:rPr>
                <w:sz w:val="23"/>
                <w:szCs w:val="23"/>
                <w:color w:val="auto"/>
              </w:rPr>
            </w:pPr>
          </w:p>
        </w:tc>
        <w:tc>
          <w:tcPr>
            <w:tcW w:w="360" w:type="dxa"/>
            <w:vAlign w:val="bottom"/>
            <w:shd w:val="clear" w:color="auto" w:fill="F7F1EC"/>
          </w:tcPr>
          <w:p>
            <w:pPr>
              <w:spacing w:after="0"/>
              <w:rPr>
                <w:sz w:val="23"/>
                <w:szCs w:val="23"/>
                <w:color w:val="auto"/>
              </w:rPr>
            </w:pPr>
          </w:p>
        </w:tc>
        <w:tc>
          <w:tcPr>
            <w:tcW w:w="580" w:type="dxa"/>
            <w:vAlign w:val="bottom"/>
            <w:shd w:val="clear" w:color="auto" w:fill="F7F1EC"/>
          </w:tcPr>
          <w:p>
            <w:pPr>
              <w:ind w:left="40"/>
              <w:spacing w:after="0"/>
              <w:rPr>
                <w:sz w:val="20"/>
                <w:szCs w:val="20"/>
                <w:color w:val="auto"/>
              </w:rPr>
            </w:pPr>
            <w:r>
              <w:rPr>
                <w:rFonts w:ascii="Arial" w:cs="Arial" w:eastAsia="Arial" w:hAnsi="Arial"/>
                <w:sz w:val="14"/>
                <w:szCs w:val="14"/>
                <w:color w:val="auto"/>
              </w:rPr>
              <w:t>—</w:t>
            </w:r>
          </w:p>
        </w:tc>
        <w:tc>
          <w:tcPr>
            <w:tcW w:w="740" w:type="dxa"/>
            <w:vAlign w:val="bottom"/>
            <w:shd w:val="clear" w:color="auto" w:fill="F7F1EC"/>
          </w:tcPr>
          <w:p>
            <w:pPr>
              <w:jc w:val="right"/>
              <w:ind w:right="133"/>
              <w:spacing w:after="0"/>
              <w:rPr>
                <w:sz w:val="20"/>
                <w:szCs w:val="20"/>
                <w:color w:val="auto"/>
              </w:rPr>
            </w:pPr>
            <w:r>
              <w:rPr>
                <w:rFonts w:ascii="Arial" w:cs="Arial" w:eastAsia="Arial" w:hAnsi="Arial"/>
                <w:sz w:val="14"/>
                <w:szCs w:val="14"/>
                <w:color w:val="auto"/>
              </w:rPr>
              <w:t>—</w:t>
            </w:r>
          </w:p>
        </w:tc>
        <w:tc>
          <w:tcPr>
            <w:tcW w:w="800" w:type="dxa"/>
            <w:vAlign w:val="bottom"/>
            <w:shd w:val="clear" w:color="auto" w:fill="F7F1EC"/>
          </w:tcPr>
          <w:p>
            <w:pPr>
              <w:spacing w:after="0"/>
              <w:rPr>
                <w:sz w:val="23"/>
                <w:szCs w:val="23"/>
                <w:color w:val="auto"/>
              </w:rPr>
            </w:pPr>
          </w:p>
        </w:tc>
        <w:tc>
          <w:tcPr>
            <w:tcW w:w="660" w:type="dxa"/>
            <w:vAlign w:val="bottom"/>
            <w:gridSpan w:val="2"/>
            <w:shd w:val="clear" w:color="auto" w:fill="F7F1EC"/>
          </w:tcPr>
          <w:p>
            <w:pPr>
              <w:jc w:val="right"/>
              <w:spacing w:after="0"/>
              <w:rPr>
                <w:sz w:val="20"/>
                <w:szCs w:val="20"/>
                <w:color w:val="auto"/>
              </w:rPr>
            </w:pPr>
            <w:r>
              <w:rPr>
                <w:rFonts w:ascii="Arial" w:cs="Arial" w:eastAsia="Arial" w:hAnsi="Arial"/>
                <w:sz w:val="14"/>
                <w:szCs w:val="14"/>
                <w:color w:val="auto"/>
              </w:rPr>
              <w:t>259</w:t>
            </w:r>
            <w:r>
              <w:rPr>
                <w:rFonts w:ascii="Arial" w:cs="Arial" w:eastAsia="Arial" w:hAnsi="Arial"/>
                <w:sz w:val="20"/>
                <w:szCs w:val="20"/>
                <w:color w:val="auto"/>
                <w:vertAlign w:val="superscript"/>
              </w:rPr>
              <w:t>(3)</w:t>
            </w:r>
          </w:p>
        </w:tc>
        <w:tc>
          <w:tcPr>
            <w:tcW w:w="800" w:type="dxa"/>
            <w:vAlign w:val="bottom"/>
            <w:shd w:val="clear" w:color="auto" w:fill="F7F1EC"/>
          </w:tcPr>
          <w:p>
            <w:pPr>
              <w:jc w:val="right"/>
              <w:spacing w:after="0"/>
              <w:rPr>
                <w:sz w:val="20"/>
                <w:szCs w:val="20"/>
                <w:color w:val="auto"/>
              </w:rPr>
            </w:pPr>
            <w:r>
              <w:rPr>
                <w:rFonts w:ascii="Arial" w:cs="Arial" w:eastAsia="Arial" w:hAnsi="Arial"/>
                <w:sz w:val="14"/>
                <w:szCs w:val="14"/>
                <w:color w:val="auto"/>
              </w:rPr>
              <w:t>92,507</w:t>
            </w:r>
          </w:p>
        </w:tc>
        <w:tc>
          <w:tcPr>
            <w:tcW w:w="800" w:type="dxa"/>
            <w:vAlign w:val="bottom"/>
            <w:shd w:val="clear" w:color="auto" w:fill="F7F1EC"/>
          </w:tcPr>
          <w:p>
            <w:pPr>
              <w:spacing w:after="0"/>
              <w:rPr>
                <w:sz w:val="23"/>
                <w:szCs w:val="23"/>
                <w:color w:val="auto"/>
              </w:rPr>
            </w:pPr>
          </w:p>
        </w:tc>
        <w:tc>
          <w:tcPr>
            <w:tcW w:w="760" w:type="dxa"/>
            <w:vAlign w:val="bottom"/>
            <w:shd w:val="clear" w:color="auto" w:fill="F7F1EC"/>
          </w:tcPr>
          <w:p>
            <w:pPr>
              <w:spacing w:after="0"/>
              <w:rPr>
                <w:sz w:val="23"/>
                <w:szCs w:val="23"/>
                <w:color w:val="auto"/>
              </w:rPr>
            </w:pPr>
          </w:p>
        </w:tc>
        <w:tc>
          <w:tcPr>
            <w:tcW w:w="0" w:type="dxa"/>
            <w:vAlign w:val="bottom"/>
          </w:tcPr>
          <w:p>
            <w:pPr>
              <w:spacing w:after="0"/>
              <w:rPr>
                <w:sz w:val="1"/>
                <w:szCs w:val="1"/>
                <w:color w:val="auto"/>
              </w:rPr>
            </w:pPr>
          </w:p>
        </w:tc>
      </w:tr>
      <w:tr>
        <w:trPr>
          <w:trHeight w:val="204"/>
        </w:trPr>
        <w:tc>
          <w:tcPr>
            <w:tcW w:w="1660" w:type="dxa"/>
            <w:vAlign w:val="bottom"/>
            <w:shd w:val="clear" w:color="auto" w:fill="F7F1EC"/>
          </w:tcPr>
          <w:p>
            <w:pPr>
              <w:spacing w:after="0"/>
              <w:rPr>
                <w:sz w:val="17"/>
                <w:szCs w:val="17"/>
                <w:color w:val="auto"/>
              </w:rPr>
            </w:pPr>
          </w:p>
        </w:tc>
        <w:tc>
          <w:tcPr>
            <w:tcW w:w="40" w:type="dxa"/>
            <w:vAlign w:val="bottom"/>
            <w:shd w:val="clear" w:color="auto" w:fill="F7F1EC"/>
          </w:tcPr>
          <w:p>
            <w:pPr>
              <w:spacing w:after="0"/>
              <w:rPr>
                <w:sz w:val="17"/>
                <w:szCs w:val="17"/>
                <w:color w:val="auto"/>
              </w:rPr>
            </w:pPr>
          </w:p>
        </w:tc>
        <w:tc>
          <w:tcPr>
            <w:tcW w:w="320" w:type="dxa"/>
            <w:vAlign w:val="bottom"/>
            <w:shd w:val="clear" w:color="auto" w:fill="F7F1EC"/>
          </w:tcPr>
          <w:p>
            <w:pPr>
              <w:spacing w:after="0"/>
              <w:rPr>
                <w:sz w:val="17"/>
                <w:szCs w:val="17"/>
                <w:color w:val="auto"/>
              </w:rPr>
            </w:pPr>
          </w:p>
        </w:tc>
        <w:tc>
          <w:tcPr>
            <w:tcW w:w="400" w:type="dxa"/>
            <w:vAlign w:val="bottom"/>
            <w:gridSpan w:val="2"/>
            <w:shd w:val="clear" w:color="auto" w:fill="F7F1EC"/>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shd w:val="clear" w:color="auto" w:fill="F7F1EC"/>
          </w:tcPr>
          <w:p>
            <w:pPr>
              <w:spacing w:after="0"/>
              <w:rPr>
                <w:sz w:val="17"/>
                <w:szCs w:val="17"/>
                <w:color w:val="auto"/>
              </w:rPr>
            </w:pPr>
          </w:p>
        </w:tc>
        <w:tc>
          <w:tcPr>
            <w:tcW w:w="360" w:type="dxa"/>
            <w:vAlign w:val="bottom"/>
            <w:shd w:val="clear" w:color="auto" w:fill="F7F1EC"/>
          </w:tcPr>
          <w:p>
            <w:pPr>
              <w:spacing w:after="0"/>
              <w:rPr>
                <w:sz w:val="17"/>
                <w:szCs w:val="17"/>
                <w:color w:val="auto"/>
              </w:rPr>
            </w:pPr>
          </w:p>
        </w:tc>
        <w:tc>
          <w:tcPr>
            <w:tcW w:w="580" w:type="dxa"/>
            <w:vAlign w:val="bottom"/>
            <w:shd w:val="clear" w:color="auto" w:fill="F7F1EC"/>
          </w:tcPr>
          <w:p>
            <w:pPr>
              <w:ind w:left="40"/>
              <w:spacing w:after="0"/>
              <w:rPr>
                <w:sz w:val="20"/>
                <w:szCs w:val="20"/>
                <w:color w:val="auto"/>
              </w:rPr>
            </w:pPr>
            <w:r>
              <w:rPr>
                <w:rFonts w:ascii="Arial" w:cs="Arial" w:eastAsia="Arial" w:hAnsi="Arial"/>
                <w:sz w:val="14"/>
                <w:szCs w:val="14"/>
                <w:color w:val="auto"/>
              </w:rPr>
              <w:t>—</w:t>
            </w:r>
          </w:p>
        </w:tc>
        <w:tc>
          <w:tcPr>
            <w:tcW w:w="740" w:type="dxa"/>
            <w:vAlign w:val="bottom"/>
            <w:shd w:val="clear" w:color="auto" w:fill="F7F1EC"/>
          </w:tcPr>
          <w:p>
            <w:pPr>
              <w:jc w:val="right"/>
              <w:ind w:right="133"/>
              <w:spacing w:after="0"/>
              <w:rPr>
                <w:sz w:val="20"/>
                <w:szCs w:val="20"/>
                <w:color w:val="auto"/>
              </w:rPr>
            </w:pPr>
            <w:r>
              <w:rPr>
                <w:rFonts w:ascii="Arial" w:cs="Arial" w:eastAsia="Arial" w:hAnsi="Arial"/>
                <w:sz w:val="14"/>
                <w:szCs w:val="14"/>
                <w:color w:val="auto"/>
              </w:rPr>
              <w:t>—</w:t>
            </w:r>
          </w:p>
        </w:tc>
        <w:tc>
          <w:tcPr>
            <w:tcW w:w="800" w:type="dxa"/>
            <w:vAlign w:val="bottom"/>
            <w:shd w:val="clear" w:color="auto" w:fill="F7F1EC"/>
          </w:tcPr>
          <w:p>
            <w:pPr>
              <w:spacing w:after="0"/>
              <w:rPr>
                <w:sz w:val="17"/>
                <w:szCs w:val="17"/>
                <w:color w:val="auto"/>
              </w:rPr>
            </w:pPr>
          </w:p>
        </w:tc>
        <w:tc>
          <w:tcPr>
            <w:tcW w:w="660" w:type="dxa"/>
            <w:vAlign w:val="bottom"/>
            <w:gridSpan w:val="2"/>
            <w:shd w:val="clear" w:color="auto" w:fill="F7F1EC"/>
          </w:tcPr>
          <w:p>
            <w:pPr>
              <w:jc w:val="right"/>
              <w:spacing w:after="0" w:line="205" w:lineRule="exact"/>
              <w:rPr>
                <w:sz w:val="20"/>
                <w:szCs w:val="20"/>
                <w:color w:val="auto"/>
              </w:rPr>
            </w:pPr>
            <w:r>
              <w:rPr>
                <w:rFonts w:ascii="Arial" w:cs="Arial" w:eastAsia="Arial" w:hAnsi="Arial"/>
                <w:sz w:val="14"/>
                <w:szCs w:val="14"/>
                <w:color w:val="auto"/>
              </w:rPr>
              <w:t>759</w:t>
            </w:r>
            <w:r>
              <w:rPr>
                <w:rFonts w:ascii="Arial" w:cs="Arial" w:eastAsia="Arial" w:hAnsi="Arial"/>
                <w:sz w:val="20"/>
                <w:szCs w:val="20"/>
                <w:color w:val="auto"/>
                <w:vertAlign w:val="superscript"/>
              </w:rPr>
              <w:t>(4)</w:t>
            </w:r>
          </w:p>
        </w:tc>
        <w:tc>
          <w:tcPr>
            <w:tcW w:w="800" w:type="dxa"/>
            <w:vAlign w:val="bottom"/>
            <w:shd w:val="clear" w:color="auto" w:fill="F7F1EC"/>
          </w:tcPr>
          <w:p>
            <w:pPr>
              <w:jc w:val="right"/>
              <w:spacing w:after="0"/>
              <w:rPr>
                <w:sz w:val="20"/>
                <w:szCs w:val="20"/>
                <w:color w:val="auto"/>
              </w:rPr>
            </w:pPr>
            <w:r>
              <w:rPr>
                <w:rFonts w:ascii="Arial" w:cs="Arial" w:eastAsia="Arial" w:hAnsi="Arial"/>
                <w:sz w:val="14"/>
                <w:szCs w:val="14"/>
                <w:color w:val="auto"/>
              </w:rPr>
              <w:t>271,092</w:t>
            </w:r>
          </w:p>
        </w:tc>
        <w:tc>
          <w:tcPr>
            <w:tcW w:w="800" w:type="dxa"/>
            <w:vAlign w:val="bottom"/>
            <w:shd w:val="clear" w:color="auto" w:fill="F7F1EC"/>
          </w:tcPr>
          <w:p>
            <w:pPr>
              <w:spacing w:after="0"/>
              <w:rPr>
                <w:sz w:val="17"/>
                <w:szCs w:val="17"/>
                <w:color w:val="auto"/>
              </w:rPr>
            </w:pPr>
          </w:p>
        </w:tc>
        <w:tc>
          <w:tcPr>
            <w:tcW w:w="760" w:type="dxa"/>
            <w:vAlign w:val="bottom"/>
            <w:shd w:val="clear" w:color="auto" w:fill="F7F1EC"/>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660" w:type="dxa"/>
            <w:vAlign w:val="bottom"/>
            <w:vMerge w:val="restart"/>
            <w:shd w:val="clear" w:color="auto" w:fill="F7F1EC"/>
          </w:tcPr>
          <w:p>
            <w:pPr>
              <w:ind w:left="60"/>
              <w:spacing w:after="0"/>
              <w:rPr>
                <w:sz w:val="20"/>
                <w:szCs w:val="20"/>
                <w:color w:val="auto"/>
              </w:rPr>
            </w:pPr>
            <w:r>
              <w:rPr>
                <w:rFonts w:ascii="Arial" w:cs="Arial" w:eastAsia="Arial" w:hAnsi="Arial"/>
                <w:sz w:val="14"/>
                <w:szCs w:val="14"/>
                <w:b w:val="1"/>
                <w:bCs w:val="1"/>
                <w:color w:val="B95827"/>
              </w:rPr>
              <w:t>Aneri Jambusaria</w:t>
            </w:r>
          </w:p>
        </w:tc>
        <w:tc>
          <w:tcPr>
            <w:tcW w:w="40" w:type="dxa"/>
            <w:vAlign w:val="bottom"/>
            <w:shd w:val="clear" w:color="auto" w:fill="F7F1EC"/>
          </w:tcPr>
          <w:p>
            <w:pPr>
              <w:spacing w:after="0"/>
              <w:rPr>
                <w:sz w:val="17"/>
                <w:szCs w:val="17"/>
                <w:color w:val="auto"/>
              </w:rPr>
            </w:pPr>
          </w:p>
        </w:tc>
        <w:tc>
          <w:tcPr>
            <w:tcW w:w="320" w:type="dxa"/>
            <w:vAlign w:val="bottom"/>
            <w:shd w:val="clear" w:color="auto" w:fill="F7F1EC"/>
          </w:tcPr>
          <w:p>
            <w:pPr>
              <w:spacing w:after="0"/>
              <w:rPr>
                <w:sz w:val="17"/>
                <w:szCs w:val="17"/>
                <w:color w:val="auto"/>
              </w:rPr>
            </w:pPr>
          </w:p>
        </w:tc>
        <w:tc>
          <w:tcPr>
            <w:tcW w:w="400" w:type="dxa"/>
            <w:vAlign w:val="bottom"/>
            <w:gridSpan w:val="2"/>
            <w:shd w:val="clear" w:color="auto" w:fill="F7F1EC"/>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shd w:val="clear" w:color="auto" w:fill="F7F1EC"/>
          </w:tcPr>
          <w:p>
            <w:pPr>
              <w:spacing w:after="0"/>
              <w:rPr>
                <w:sz w:val="17"/>
                <w:szCs w:val="17"/>
                <w:color w:val="auto"/>
              </w:rPr>
            </w:pPr>
          </w:p>
        </w:tc>
        <w:tc>
          <w:tcPr>
            <w:tcW w:w="360" w:type="dxa"/>
            <w:vAlign w:val="bottom"/>
            <w:shd w:val="clear" w:color="auto" w:fill="F7F1EC"/>
          </w:tcPr>
          <w:p>
            <w:pPr>
              <w:spacing w:after="0"/>
              <w:rPr>
                <w:sz w:val="17"/>
                <w:szCs w:val="17"/>
                <w:color w:val="auto"/>
              </w:rPr>
            </w:pPr>
          </w:p>
        </w:tc>
        <w:tc>
          <w:tcPr>
            <w:tcW w:w="580" w:type="dxa"/>
            <w:vAlign w:val="bottom"/>
            <w:shd w:val="clear" w:color="auto" w:fill="F7F1EC"/>
          </w:tcPr>
          <w:p>
            <w:pPr>
              <w:ind w:left="40"/>
              <w:spacing w:after="0"/>
              <w:rPr>
                <w:sz w:val="20"/>
                <w:szCs w:val="20"/>
                <w:color w:val="auto"/>
              </w:rPr>
            </w:pPr>
            <w:r>
              <w:rPr>
                <w:rFonts w:ascii="Arial" w:cs="Arial" w:eastAsia="Arial" w:hAnsi="Arial"/>
                <w:sz w:val="14"/>
                <w:szCs w:val="14"/>
                <w:color w:val="auto"/>
              </w:rPr>
              <w:t>—</w:t>
            </w:r>
          </w:p>
        </w:tc>
        <w:tc>
          <w:tcPr>
            <w:tcW w:w="740" w:type="dxa"/>
            <w:vAlign w:val="bottom"/>
            <w:shd w:val="clear" w:color="auto" w:fill="F7F1EC"/>
          </w:tcPr>
          <w:p>
            <w:pPr>
              <w:jc w:val="right"/>
              <w:ind w:right="133"/>
              <w:spacing w:after="0"/>
              <w:rPr>
                <w:sz w:val="20"/>
                <w:szCs w:val="20"/>
                <w:color w:val="auto"/>
              </w:rPr>
            </w:pPr>
            <w:r>
              <w:rPr>
                <w:rFonts w:ascii="Arial" w:cs="Arial" w:eastAsia="Arial" w:hAnsi="Arial"/>
                <w:sz w:val="14"/>
                <w:szCs w:val="14"/>
                <w:color w:val="auto"/>
              </w:rPr>
              <w:t>—</w:t>
            </w:r>
          </w:p>
        </w:tc>
        <w:tc>
          <w:tcPr>
            <w:tcW w:w="800" w:type="dxa"/>
            <w:vAlign w:val="bottom"/>
            <w:shd w:val="clear" w:color="auto" w:fill="F7F1EC"/>
          </w:tcPr>
          <w:p>
            <w:pPr>
              <w:spacing w:after="0"/>
              <w:rPr>
                <w:sz w:val="17"/>
                <w:szCs w:val="17"/>
                <w:color w:val="auto"/>
              </w:rPr>
            </w:pPr>
          </w:p>
        </w:tc>
        <w:tc>
          <w:tcPr>
            <w:tcW w:w="660" w:type="dxa"/>
            <w:vAlign w:val="bottom"/>
            <w:gridSpan w:val="2"/>
            <w:shd w:val="clear" w:color="auto" w:fill="F7F1EC"/>
          </w:tcPr>
          <w:p>
            <w:pPr>
              <w:jc w:val="right"/>
              <w:spacing w:after="0" w:line="205" w:lineRule="exact"/>
              <w:rPr>
                <w:sz w:val="20"/>
                <w:szCs w:val="20"/>
                <w:color w:val="auto"/>
              </w:rPr>
            </w:pPr>
            <w:r>
              <w:rPr>
                <w:rFonts w:ascii="Arial" w:cs="Arial" w:eastAsia="Arial" w:hAnsi="Arial"/>
                <w:sz w:val="14"/>
                <w:szCs w:val="14"/>
                <w:color w:val="auto"/>
              </w:rPr>
              <w:t>1,106</w:t>
            </w:r>
            <w:r>
              <w:rPr>
                <w:rFonts w:ascii="Arial" w:cs="Arial" w:eastAsia="Arial" w:hAnsi="Arial"/>
                <w:sz w:val="20"/>
                <w:szCs w:val="20"/>
                <w:color w:val="auto"/>
                <w:vertAlign w:val="superscript"/>
              </w:rPr>
              <w:t>(5)</w:t>
            </w:r>
          </w:p>
        </w:tc>
        <w:tc>
          <w:tcPr>
            <w:tcW w:w="800" w:type="dxa"/>
            <w:vAlign w:val="bottom"/>
            <w:shd w:val="clear" w:color="auto" w:fill="F7F1EC"/>
          </w:tcPr>
          <w:p>
            <w:pPr>
              <w:jc w:val="right"/>
              <w:spacing w:after="0"/>
              <w:rPr>
                <w:sz w:val="20"/>
                <w:szCs w:val="20"/>
                <w:color w:val="auto"/>
              </w:rPr>
            </w:pPr>
            <w:r>
              <w:rPr>
                <w:rFonts w:ascii="Arial" w:cs="Arial" w:eastAsia="Arial" w:hAnsi="Arial"/>
                <w:sz w:val="14"/>
                <w:szCs w:val="14"/>
                <w:color w:val="auto"/>
              </w:rPr>
              <w:t>395,030</w:t>
            </w:r>
          </w:p>
        </w:tc>
        <w:tc>
          <w:tcPr>
            <w:tcW w:w="800" w:type="dxa"/>
            <w:vAlign w:val="bottom"/>
            <w:shd w:val="clear" w:color="auto" w:fill="F7F1EC"/>
          </w:tcPr>
          <w:p>
            <w:pPr>
              <w:spacing w:after="0"/>
              <w:rPr>
                <w:sz w:val="17"/>
                <w:szCs w:val="17"/>
                <w:color w:val="auto"/>
              </w:rPr>
            </w:pPr>
          </w:p>
        </w:tc>
        <w:tc>
          <w:tcPr>
            <w:tcW w:w="760" w:type="dxa"/>
            <w:vAlign w:val="bottom"/>
            <w:shd w:val="clear" w:color="auto" w:fill="F7F1EC"/>
          </w:tcPr>
          <w:p>
            <w:pPr>
              <w:spacing w:after="0"/>
              <w:rPr>
                <w:sz w:val="17"/>
                <w:szCs w:val="17"/>
                <w:color w:val="auto"/>
              </w:rPr>
            </w:pPr>
          </w:p>
        </w:tc>
        <w:tc>
          <w:tcPr>
            <w:tcW w:w="0" w:type="dxa"/>
            <w:vAlign w:val="bottom"/>
          </w:tcPr>
          <w:p>
            <w:pPr>
              <w:spacing w:after="0"/>
              <w:rPr>
                <w:sz w:val="1"/>
                <w:szCs w:val="1"/>
                <w:color w:val="auto"/>
              </w:rPr>
            </w:pPr>
          </w:p>
        </w:tc>
      </w:tr>
      <w:tr>
        <w:trPr>
          <w:trHeight w:val="89"/>
        </w:trPr>
        <w:tc>
          <w:tcPr>
            <w:tcW w:w="1660" w:type="dxa"/>
            <w:vAlign w:val="bottom"/>
            <w:vMerge w:val="continue"/>
            <w:shd w:val="clear" w:color="auto" w:fill="F7F1EC"/>
          </w:tcPr>
          <w:p>
            <w:pPr>
              <w:spacing w:after="0"/>
              <w:rPr>
                <w:sz w:val="7"/>
                <w:szCs w:val="7"/>
                <w:color w:val="auto"/>
              </w:rPr>
            </w:pPr>
          </w:p>
        </w:tc>
        <w:tc>
          <w:tcPr>
            <w:tcW w:w="40" w:type="dxa"/>
            <w:vAlign w:val="bottom"/>
            <w:shd w:val="clear" w:color="auto" w:fill="F7F1EC"/>
          </w:tcPr>
          <w:p>
            <w:pPr>
              <w:spacing w:after="0"/>
              <w:rPr>
                <w:sz w:val="7"/>
                <w:szCs w:val="7"/>
                <w:color w:val="auto"/>
              </w:rPr>
            </w:pPr>
          </w:p>
        </w:tc>
        <w:tc>
          <w:tcPr>
            <w:tcW w:w="320" w:type="dxa"/>
            <w:vAlign w:val="bottom"/>
            <w:shd w:val="clear" w:color="auto" w:fill="F7F1EC"/>
          </w:tcPr>
          <w:p>
            <w:pPr>
              <w:spacing w:after="0"/>
              <w:rPr>
                <w:sz w:val="7"/>
                <w:szCs w:val="7"/>
                <w:color w:val="auto"/>
              </w:rPr>
            </w:pPr>
          </w:p>
        </w:tc>
        <w:tc>
          <w:tcPr>
            <w:tcW w:w="340" w:type="dxa"/>
            <w:vAlign w:val="bottom"/>
            <w:shd w:val="clear" w:color="auto" w:fill="F7F1EC"/>
          </w:tcPr>
          <w:p>
            <w:pPr>
              <w:spacing w:after="0"/>
              <w:rPr>
                <w:sz w:val="7"/>
                <w:szCs w:val="7"/>
                <w:color w:val="auto"/>
              </w:rPr>
            </w:pPr>
          </w:p>
        </w:tc>
        <w:tc>
          <w:tcPr>
            <w:tcW w:w="60" w:type="dxa"/>
            <w:vAlign w:val="bottom"/>
            <w:shd w:val="clear" w:color="auto" w:fill="F7F1EC"/>
          </w:tcPr>
          <w:p>
            <w:pPr>
              <w:spacing w:after="0"/>
              <w:rPr>
                <w:sz w:val="7"/>
                <w:szCs w:val="7"/>
                <w:color w:val="auto"/>
              </w:rPr>
            </w:pPr>
          </w:p>
        </w:tc>
        <w:tc>
          <w:tcPr>
            <w:tcW w:w="40" w:type="dxa"/>
            <w:vAlign w:val="bottom"/>
            <w:shd w:val="clear" w:color="auto" w:fill="F7F1EC"/>
          </w:tcPr>
          <w:p>
            <w:pPr>
              <w:spacing w:after="0"/>
              <w:rPr>
                <w:sz w:val="7"/>
                <w:szCs w:val="7"/>
                <w:color w:val="auto"/>
              </w:rPr>
            </w:pPr>
          </w:p>
        </w:tc>
        <w:tc>
          <w:tcPr>
            <w:tcW w:w="360" w:type="dxa"/>
            <w:vAlign w:val="bottom"/>
            <w:shd w:val="clear" w:color="auto" w:fill="F7F1EC"/>
          </w:tcPr>
          <w:p>
            <w:pPr>
              <w:spacing w:after="0"/>
              <w:rPr>
                <w:sz w:val="7"/>
                <w:szCs w:val="7"/>
                <w:color w:val="auto"/>
              </w:rPr>
            </w:pPr>
          </w:p>
        </w:tc>
        <w:tc>
          <w:tcPr>
            <w:tcW w:w="580" w:type="dxa"/>
            <w:vAlign w:val="bottom"/>
            <w:shd w:val="clear" w:color="auto" w:fill="F7F1EC"/>
          </w:tcPr>
          <w:p>
            <w:pPr>
              <w:spacing w:after="0"/>
              <w:rPr>
                <w:sz w:val="7"/>
                <w:szCs w:val="7"/>
                <w:color w:val="auto"/>
              </w:rPr>
            </w:pPr>
          </w:p>
        </w:tc>
        <w:tc>
          <w:tcPr>
            <w:tcW w:w="740" w:type="dxa"/>
            <w:vAlign w:val="bottom"/>
            <w:shd w:val="clear" w:color="auto" w:fill="F7F1EC"/>
          </w:tcPr>
          <w:p>
            <w:pPr>
              <w:spacing w:after="0"/>
              <w:rPr>
                <w:sz w:val="7"/>
                <w:szCs w:val="7"/>
                <w:color w:val="auto"/>
              </w:rPr>
            </w:pPr>
          </w:p>
        </w:tc>
        <w:tc>
          <w:tcPr>
            <w:tcW w:w="800" w:type="dxa"/>
            <w:vAlign w:val="bottom"/>
            <w:shd w:val="clear" w:color="auto" w:fill="F7F1EC"/>
          </w:tcPr>
          <w:p>
            <w:pPr>
              <w:spacing w:after="0"/>
              <w:rPr>
                <w:sz w:val="7"/>
                <w:szCs w:val="7"/>
                <w:color w:val="auto"/>
              </w:rPr>
            </w:pPr>
          </w:p>
        </w:tc>
        <w:tc>
          <w:tcPr>
            <w:tcW w:w="660" w:type="dxa"/>
            <w:vAlign w:val="bottom"/>
            <w:gridSpan w:val="2"/>
            <w:vMerge w:val="restart"/>
            <w:shd w:val="clear" w:color="auto" w:fill="F7F1EC"/>
          </w:tcPr>
          <w:p>
            <w:pPr>
              <w:jc w:val="right"/>
              <w:spacing w:after="0" w:line="204" w:lineRule="exact"/>
              <w:rPr>
                <w:sz w:val="20"/>
                <w:szCs w:val="20"/>
                <w:color w:val="auto"/>
              </w:rPr>
            </w:pPr>
            <w:r>
              <w:rPr>
                <w:rFonts w:ascii="Arial" w:cs="Arial" w:eastAsia="Arial" w:hAnsi="Arial"/>
                <w:sz w:val="23"/>
                <w:szCs w:val="23"/>
                <w:color w:val="auto"/>
                <w:vertAlign w:val="subscript"/>
              </w:rPr>
              <w:t>942</w:t>
            </w:r>
            <w:r>
              <w:rPr>
                <w:rFonts w:ascii="Arial" w:cs="Arial" w:eastAsia="Arial" w:hAnsi="Arial"/>
                <w:sz w:val="9"/>
                <w:szCs w:val="9"/>
                <w:color w:val="auto"/>
              </w:rPr>
              <w:t>(6)</w:t>
            </w:r>
          </w:p>
        </w:tc>
        <w:tc>
          <w:tcPr>
            <w:tcW w:w="800" w:type="dxa"/>
            <w:vAlign w:val="bottom"/>
            <w:vMerge w:val="restart"/>
            <w:shd w:val="clear" w:color="auto" w:fill="F7F1EC"/>
          </w:tcPr>
          <w:p>
            <w:pPr>
              <w:jc w:val="right"/>
              <w:spacing w:after="0"/>
              <w:rPr>
                <w:sz w:val="20"/>
                <w:szCs w:val="20"/>
                <w:color w:val="auto"/>
              </w:rPr>
            </w:pPr>
            <w:r>
              <w:rPr>
                <w:rFonts w:ascii="Arial" w:cs="Arial" w:eastAsia="Arial" w:hAnsi="Arial"/>
                <w:sz w:val="14"/>
                <w:szCs w:val="14"/>
                <w:color w:val="auto"/>
              </w:rPr>
              <w:t>336,454</w:t>
            </w:r>
          </w:p>
        </w:tc>
        <w:tc>
          <w:tcPr>
            <w:tcW w:w="800" w:type="dxa"/>
            <w:vAlign w:val="bottom"/>
            <w:shd w:val="clear" w:color="auto" w:fill="F7F1EC"/>
          </w:tcPr>
          <w:p>
            <w:pPr>
              <w:spacing w:after="0"/>
              <w:rPr>
                <w:sz w:val="7"/>
                <w:szCs w:val="7"/>
                <w:color w:val="auto"/>
              </w:rPr>
            </w:pPr>
          </w:p>
        </w:tc>
        <w:tc>
          <w:tcPr>
            <w:tcW w:w="760" w:type="dxa"/>
            <w:vAlign w:val="bottom"/>
            <w:shd w:val="clear" w:color="auto" w:fill="F7F1EC"/>
          </w:tcPr>
          <w:p>
            <w:pPr>
              <w:spacing w:after="0"/>
              <w:rPr>
                <w:sz w:val="7"/>
                <w:szCs w:val="7"/>
                <w:color w:val="auto"/>
              </w:rPr>
            </w:pPr>
          </w:p>
        </w:tc>
        <w:tc>
          <w:tcPr>
            <w:tcW w:w="0" w:type="dxa"/>
            <w:vAlign w:val="bottom"/>
          </w:tcPr>
          <w:p>
            <w:pPr>
              <w:spacing w:after="0"/>
              <w:rPr>
                <w:sz w:val="1"/>
                <w:szCs w:val="1"/>
                <w:color w:val="auto"/>
              </w:rPr>
            </w:pPr>
          </w:p>
        </w:tc>
      </w:tr>
      <w:tr>
        <w:trPr>
          <w:trHeight w:val="116"/>
        </w:trPr>
        <w:tc>
          <w:tcPr>
            <w:tcW w:w="1660" w:type="dxa"/>
            <w:vAlign w:val="bottom"/>
            <w:shd w:val="clear" w:color="auto" w:fill="F7F1EC"/>
          </w:tcPr>
          <w:p>
            <w:pPr>
              <w:spacing w:after="0"/>
              <w:rPr>
                <w:sz w:val="10"/>
                <w:szCs w:val="10"/>
                <w:color w:val="auto"/>
              </w:rPr>
            </w:pPr>
          </w:p>
        </w:tc>
        <w:tc>
          <w:tcPr>
            <w:tcW w:w="40" w:type="dxa"/>
            <w:vAlign w:val="bottom"/>
            <w:shd w:val="clear" w:color="auto" w:fill="F7F1EC"/>
          </w:tcPr>
          <w:p>
            <w:pPr>
              <w:spacing w:after="0"/>
              <w:rPr>
                <w:sz w:val="10"/>
                <w:szCs w:val="10"/>
                <w:color w:val="auto"/>
              </w:rPr>
            </w:pPr>
          </w:p>
        </w:tc>
        <w:tc>
          <w:tcPr>
            <w:tcW w:w="320" w:type="dxa"/>
            <w:vAlign w:val="bottom"/>
            <w:shd w:val="clear" w:color="auto" w:fill="F7F1EC"/>
          </w:tcPr>
          <w:p>
            <w:pPr>
              <w:spacing w:after="0"/>
              <w:rPr>
                <w:sz w:val="10"/>
                <w:szCs w:val="10"/>
                <w:color w:val="auto"/>
              </w:rPr>
            </w:pPr>
          </w:p>
        </w:tc>
        <w:tc>
          <w:tcPr>
            <w:tcW w:w="340" w:type="dxa"/>
            <w:vAlign w:val="bottom"/>
            <w:shd w:val="clear" w:color="auto" w:fill="F7F1EC"/>
          </w:tcPr>
          <w:p>
            <w:pPr>
              <w:spacing w:after="0"/>
              <w:rPr>
                <w:sz w:val="10"/>
                <w:szCs w:val="10"/>
                <w:color w:val="auto"/>
              </w:rPr>
            </w:pPr>
          </w:p>
        </w:tc>
        <w:tc>
          <w:tcPr>
            <w:tcW w:w="60" w:type="dxa"/>
            <w:vAlign w:val="bottom"/>
            <w:shd w:val="clear" w:color="auto" w:fill="F7F1EC"/>
          </w:tcPr>
          <w:p>
            <w:pPr>
              <w:spacing w:after="0"/>
              <w:rPr>
                <w:sz w:val="10"/>
                <w:szCs w:val="10"/>
                <w:color w:val="auto"/>
              </w:rPr>
            </w:pPr>
          </w:p>
        </w:tc>
        <w:tc>
          <w:tcPr>
            <w:tcW w:w="40" w:type="dxa"/>
            <w:vAlign w:val="bottom"/>
            <w:shd w:val="clear" w:color="auto" w:fill="F7F1EC"/>
          </w:tcPr>
          <w:p>
            <w:pPr>
              <w:spacing w:after="0"/>
              <w:rPr>
                <w:sz w:val="10"/>
                <w:szCs w:val="10"/>
                <w:color w:val="auto"/>
              </w:rPr>
            </w:pPr>
          </w:p>
        </w:tc>
        <w:tc>
          <w:tcPr>
            <w:tcW w:w="360" w:type="dxa"/>
            <w:vAlign w:val="bottom"/>
            <w:shd w:val="clear" w:color="auto" w:fill="F7F1EC"/>
          </w:tcPr>
          <w:p>
            <w:pPr>
              <w:spacing w:after="0"/>
              <w:rPr>
                <w:sz w:val="10"/>
                <w:szCs w:val="10"/>
                <w:color w:val="auto"/>
              </w:rPr>
            </w:pPr>
          </w:p>
        </w:tc>
        <w:tc>
          <w:tcPr>
            <w:tcW w:w="580" w:type="dxa"/>
            <w:vAlign w:val="bottom"/>
            <w:shd w:val="clear" w:color="auto" w:fill="F7F1EC"/>
          </w:tcPr>
          <w:p>
            <w:pPr>
              <w:spacing w:after="0"/>
              <w:rPr>
                <w:sz w:val="10"/>
                <w:szCs w:val="10"/>
                <w:color w:val="auto"/>
              </w:rPr>
            </w:pPr>
          </w:p>
        </w:tc>
        <w:tc>
          <w:tcPr>
            <w:tcW w:w="740" w:type="dxa"/>
            <w:vAlign w:val="bottom"/>
            <w:shd w:val="clear" w:color="auto" w:fill="F7F1EC"/>
          </w:tcPr>
          <w:p>
            <w:pPr>
              <w:spacing w:after="0"/>
              <w:rPr>
                <w:sz w:val="10"/>
                <w:szCs w:val="10"/>
                <w:color w:val="auto"/>
              </w:rPr>
            </w:pPr>
          </w:p>
        </w:tc>
        <w:tc>
          <w:tcPr>
            <w:tcW w:w="800" w:type="dxa"/>
            <w:vAlign w:val="bottom"/>
            <w:shd w:val="clear" w:color="auto" w:fill="F7F1EC"/>
          </w:tcPr>
          <w:p>
            <w:pPr>
              <w:spacing w:after="0"/>
              <w:rPr>
                <w:sz w:val="10"/>
                <w:szCs w:val="10"/>
                <w:color w:val="auto"/>
              </w:rPr>
            </w:pPr>
          </w:p>
        </w:tc>
        <w:tc>
          <w:tcPr>
            <w:tcW w:w="660" w:type="dxa"/>
            <w:vAlign w:val="bottom"/>
            <w:gridSpan w:val="2"/>
            <w:vMerge w:val="continue"/>
            <w:shd w:val="clear" w:color="auto" w:fill="F7F1EC"/>
          </w:tcPr>
          <w:p>
            <w:pPr>
              <w:spacing w:after="0"/>
              <w:rPr>
                <w:sz w:val="10"/>
                <w:szCs w:val="10"/>
                <w:color w:val="auto"/>
              </w:rPr>
            </w:pPr>
          </w:p>
        </w:tc>
        <w:tc>
          <w:tcPr>
            <w:tcW w:w="800" w:type="dxa"/>
            <w:vAlign w:val="bottom"/>
            <w:vMerge w:val="continue"/>
            <w:shd w:val="clear" w:color="auto" w:fill="F7F1EC"/>
          </w:tcPr>
          <w:p>
            <w:pPr>
              <w:spacing w:after="0"/>
              <w:rPr>
                <w:sz w:val="10"/>
                <w:szCs w:val="10"/>
                <w:color w:val="auto"/>
              </w:rPr>
            </w:pPr>
          </w:p>
        </w:tc>
        <w:tc>
          <w:tcPr>
            <w:tcW w:w="800" w:type="dxa"/>
            <w:vAlign w:val="bottom"/>
            <w:shd w:val="clear" w:color="auto" w:fill="F7F1EC"/>
          </w:tcPr>
          <w:p>
            <w:pPr>
              <w:spacing w:after="0"/>
              <w:rPr>
                <w:sz w:val="10"/>
                <w:szCs w:val="10"/>
                <w:color w:val="auto"/>
              </w:rPr>
            </w:pPr>
          </w:p>
        </w:tc>
        <w:tc>
          <w:tcPr>
            <w:tcW w:w="760" w:type="dxa"/>
            <w:vAlign w:val="bottom"/>
            <w:shd w:val="clear" w:color="auto" w:fill="F7F1EC"/>
          </w:tcPr>
          <w:p>
            <w:pPr>
              <w:spacing w:after="0"/>
              <w:rPr>
                <w:sz w:val="10"/>
                <w:szCs w:val="10"/>
                <w:color w:val="auto"/>
              </w:rPr>
            </w:pPr>
          </w:p>
        </w:tc>
        <w:tc>
          <w:tcPr>
            <w:tcW w:w="0" w:type="dxa"/>
            <w:vAlign w:val="bottom"/>
          </w:tcPr>
          <w:p>
            <w:pPr>
              <w:spacing w:after="0"/>
              <w:rPr>
                <w:sz w:val="1"/>
                <w:szCs w:val="1"/>
                <w:color w:val="auto"/>
              </w:rPr>
            </w:pPr>
          </w:p>
        </w:tc>
      </w:tr>
      <w:tr>
        <w:trPr>
          <w:trHeight w:val="204"/>
        </w:trPr>
        <w:tc>
          <w:tcPr>
            <w:tcW w:w="1660" w:type="dxa"/>
            <w:vAlign w:val="bottom"/>
            <w:shd w:val="clear" w:color="auto" w:fill="F7F1EC"/>
          </w:tcPr>
          <w:p>
            <w:pPr>
              <w:spacing w:after="0"/>
              <w:rPr>
                <w:sz w:val="17"/>
                <w:szCs w:val="17"/>
                <w:color w:val="auto"/>
              </w:rPr>
            </w:pPr>
          </w:p>
        </w:tc>
        <w:tc>
          <w:tcPr>
            <w:tcW w:w="40" w:type="dxa"/>
            <w:vAlign w:val="bottom"/>
            <w:shd w:val="clear" w:color="auto" w:fill="F7F1EC"/>
          </w:tcPr>
          <w:p>
            <w:pPr>
              <w:spacing w:after="0"/>
              <w:rPr>
                <w:sz w:val="17"/>
                <w:szCs w:val="17"/>
                <w:color w:val="auto"/>
              </w:rPr>
            </w:pPr>
          </w:p>
        </w:tc>
        <w:tc>
          <w:tcPr>
            <w:tcW w:w="320" w:type="dxa"/>
            <w:vAlign w:val="bottom"/>
            <w:shd w:val="clear" w:color="auto" w:fill="F7F1EC"/>
          </w:tcPr>
          <w:p>
            <w:pPr>
              <w:spacing w:after="0"/>
              <w:rPr>
                <w:sz w:val="17"/>
                <w:szCs w:val="17"/>
                <w:color w:val="auto"/>
              </w:rPr>
            </w:pPr>
          </w:p>
        </w:tc>
        <w:tc>
          <w:tcPr>
            <w:tcW w:w="340" w:type="dxa"/>
            <w:vAlign w:val="bottom"/>
            <w:shd w:val="clear" w:color="auto" w:fill="F7F1EC"/>
          </w:tcPr>
          <w:p>
            <w:pPr>
              <w:spacing w:after="0"/>
              <w:rPr>
                <w:sz w:val="17"/>
                <w:szCs w:val="17"/>
                <w:color w:val="auto"/>
              </w:rPr>
            </w:pPr>
          </w:p>
        </w:tc>
        <w:tc>
          <w:tcPr>
            <w:tcW w:w="60" w:type="dxa"/>
            <w:vAlign w:val="bottom"/>
            <w:shd w:val="clear" w:color="auto" w:fill="F7F1EC"/>
          </w:tcPr>
          <w:p>
            <w:pPr>
              <w:spacing w:after="0"/>
              <w:rPr>
                <w:sz w:val="17"/>
                <w:szCs w:val="17"/>
                <w:color w:val="auto"/>
              </w:rPr>
            </w:pPr>
          </w:p>
        </w:tc>
        <w:tc>
          <w:tcPr>
            <w:tcW w:w="40" w:type="dxa"/>
            <w:vAlign w:val="bottom"/>
            <w:shd w:val="clear" w:color="auto" w:fill="F7F1EC"/>
          </w:tcPr>
          <w:p>
            <w:pPr>
              <w:spacing w:after="0"/>
              <w:rPr>
                <w:sz w:val="17"/>
                <w:szCs w:val="17"/>
                <w:color w:val="auto"/>
              </w:rPr>
            </w:pPr>
          </w:p>
        </w:tc>
        <w:tc>
          <w:tcPr>
            <w:tcW w:w="360" w:type="dxa"/>
            <w:vAlign w:val="bottom"/>
            <w:shd w:val="clear" w:color="auto" w:fill="F7F1EC"/>
          </w:tcPr>
          <w:p>
            <w:pPr>
              <w:spacing w:after="0"/>
              <w:rPr>
                <w:sz w:val="17"/>
                <w:szCs w:val="17"/>
                <w:color w:val="auto"/>
              </w:rPr>
            </w:pPr>
          </w:p>
        </w:tc>
        <w:tc>
          <w:tcPr>
            <w:tcW w:w="580" w:type="dxa"/>
            <w:vAlign w:val="bottom"/>
            <w:shd w:val="clear" w:color="auto" w:fill="F7F1EC"/>
          </w:tcPr>
          <w:p>
            <w:pPr>
              <w:spacing w:after="0"/>
              <w:rPr>
                <w:sz w:val="17"/>
                <w:szCs w:val="17"/>
                <w:color w:val="auto"/>
              </w:rPr>
            </w:pPr>
          </w:p>
        </w:tc>
        <w:tc>
          <w:tcPr>
            <w:tcW w:w="740" w:type="dxa"/>
            <w:vAlign w:val="bottom"/>
            <w:shd w:val="clear" w:color="auto" w:fill="F7F1EC"/>
          </w:tcPr>
          <w:p>
            <w:pPr>
              <w:spacing w:after="0"/>
              <w:rPr>
                <w:sz w:val="17"/>
                <w:szCs w:val="17"/>
                <w:color w:val="auto"/>
              </w:rPr>
            </w:pPr>
          </w:p>
        </w:tc>
        <w:tc>
          <w:tcPr>
            <w:tcW w:w="800" w:type="dxa"/>
            <w:vAlign w:val="bottom"/>
            <w:shd w:val="clear" w:color="auto" w:fill="F7F1EC"/>
          </w:tcPr>
          <w:p>
            <w:pPr>
              <w:spacing w:after="0"/>
              <w:rPr>
                <w:sz w:val="17"/>
                <w:szCs w:val="17"/>
                <w:color w:val="auto"/>
              </w:rPr>
            </w:pPr>
          </w:p>
        </w:tc>
        <w:tc>
          <w:tcPr>
            <w:tcW w:w="40" w:type="dxa"/>
            <w:vAlign w:val="bottom"/>
            <w:shd w:val="clear" w:color="auto" w:fill="F7F1EC"/>
          </w:tcPr>
          <w:p>
            <w:pPr>
              <w:spacing w:after="0"/>
              <w:rPr>
                <w:sz w:val="17"/>
                <w:szCs w:val="17"/>
                <w:color w:val="auto"/>
              </w:rPr>
            </w:pPr>
          </w:p>
        </w:tc>
        <w:tc>
          <w:tcPr>
            <w:tcW w:w="620" w:type="dxa"/>
            <w:vAlign w:val="bottom"/>
            <w:shd w:val="clear" w:color="auto" w:fill="F7F1EC"/>
          </w:tcPr>
          <w:p>
            <w:pPr>
              <w:spacing w:after="0"/>
              <w:rPr>
                <w:sz w:val="17"/>
                <w:szCs w:val="17"/>
                <w:color w:val="auto"/>
              </w:rPr>
            </w:pPr>
          </w:p>
        </w:tc>
        <w:tc>
          <w:tcPr>
            <w:tcW w:w="800" w:type="dxa"/>
            <w:vAlign w:val="bottom"/>
            <w:shd w:val="clear" w:color="auto" w:fill="F7F1EC"/>
          </w:tcPr>
          <w:p>
            <w:pPr>
              <w:spacing w:after="0"/>
              <w:rPr>
                <w:sz w:val="17"/>
                <w:szCs w:val="17"/>
                <w:color w:val="auto"/>
              </w:rPr>
            </w:pPr>
          </w:p>
        </w:tc>
        <w:tc>
          <w:tcPr>
            <w:tcW w:w="800" w:type="dxa"/>
            <w:vAlign w:val="bottom"/>
            <w:shd w:val="clear" w:color="auto" w:fill="F7F1EC"/>
          </w:tcPr>
          <w:p>
            <w:pPr>
              <w:jc w:val="right"/>
              <w:ind w:right="34"/>
              <w:spacing w:after="0" w:line="205" w:lineRule="exact"/>
              <w:rPr>
                <w:sz w:val="20"/>
                <w:szCs w:val="20"/>
                <w:color w:val="auto"/>
              </w:rPr>
            </w:pPr>
            <w:r>
              <w:rPr>
                <w:rFonts w:ascii="Arial" w:cs="Arial" w:eastAsia="Arial" w:hAnsi="Arial"/>
                <w:sz w:val="14"/>
                <w:szCs w:val="14"/>
                <w:color w:val="auto"/>
              </w:rPr>
              <w:t>3,416</w:t>
            </w:r>
            <w:r>
              <w:rPr>
                <w:rFonts w:ascii="Arial" w:cs="Arial" w:eastAsia="Arial" w:hAnsi="Arial"/>
                <w:sz w:val="20"/>
                <w:szCs w:val="20"/>
                <w:color w:val="auto"/>
                <w:vertAlign w:val="superscript"/>
              </w:rPr>
              <w:t>(7)</w:t>
            </w:r>
          </w:p>
        </w:tc>
        <w:tc>
          <w:tcPr>
            <w:tcW w:w="760" w:type="dxa"/>
            <w:vAlign w:val="bottom"/>
            <w:shd w:val="clear" w:color="auto" w:fill="F7F1EC"/>
          </w:tcPr>
          <w:p>
            <w:pPr>
              <w:jc w:val="right"/>
              <w:spacing w:after="0"/>
              <w:rPr>
                <w:sz w:val="20"/>
                <w:szCs w:val="20"/>
                <w:color w:val="auto"/>
              </w:rPr>
            </w:pPr>
            <w:r>
              <w:rPr>
                <w:rFonts w:ascii="Arial" w:cs="Arial" w:eastAsia="Arial" w:hAnsi="Arial"/>
                <w:sz w:val="14"/>
                <w:szCs w:val="14"/>
                <w:color w:val="auto"/>
              </w:rPr>
              <w:t>1,220,093</w:t>
            </w:r>
          </w:p>
        </w:tc>
        <w:tc>
          <w:tcPr>
            <w:tcW w:w="0" w:type="dxa"/>
            <w:vAlign w:val="bottom"/>
          </w:tcPr>
          <w:p>
            <w:pPr>
              <w:spacing w:after="0"/>
              <w:rPr>
                <w:sz w:val="1"/>
                <w:szCs w:val="1"/>
                <w:color w:val="auto"/>
              </w:rPr>
            </w:pPr>
          </w:p>
        </w:tc>
      </w:tr>
      <w:tr>
        <w:trPr>
          <w:trHeight w:val="217"/>
        </w:trPr>
        <w:tc>
          <w:tcPr>
            <w:tcW w:w="1660" w:type="dxa"/>
            <w:vAlign w:val="bottom"/>
            <w:shd w:val="clear" w:color="auto" w:fill="F7F1EC"/>
          </w:tcPr>
          <w:p>
            <w:pPr>
              <w:spacing w:after="0"/>
              <w:rPr>
                <w:sz w:val="18"/>
                <w:szCs w:val="18"/>
                <w:color w:val="auto"/>
              </w:rPr>
            </w:pPr>
          </w:p>
        </w:tc>
        <w:tc>
          <w:tcPr>
            <w:tcW w:w="40" w:type="dxa"/>
            <w:vAlign w:val="bottom"/>
            <w:shd w:val="clear" w:color="auto" w:fill="F7F1EC"/>
          </w:tcPr>
          <w:p>
            <w:pPr>
              <w:spacing w:after="0"/>
              <w:rPr>
                <w:sz w:val="18"/>
                <w:szCs w:val="18"/>
                <w:color w:val="auto"/>
              </w:rPr>
            </w:pPr>
          </w:p>
        </w:tc>
        <w:tc>
          <w:tcPr>
            <w:tcW w:w="320" w:type="dxa"/>
            <w:vAlign w:val="bottom"/>
            <w:shd w:val="clear" w:color="auto" w:fill="F7F1EC"/>
          </w:tcPr>
          <w:p>
            <w:pPr>
              <w:spacing w:after="0"/>
              <w:rPr>
                <w:sz w:val="18"/>
                <w:szCs w:val="18"/>
                <w:color w:val="auto"/>
              </w:rPr>
            </w:pPr>
          </w:p>
        </w:tc>
        <w:tc>
          <w:tcPr>
            <w:tcW w:w="340" w:type="dxa"/>
            <w:vAlign w:val="bottom"/>
            <w:shd w:val="clear" w:color="auto" w:fill="F7F1EC"/>
          </w:tcPr>
          <w:p>
            <w:pPr>
              <w:spacing w:after="0"/>
              <w:rPr>
                <w:sz w:val="18"/>
                <w:szCs w:val="18"/>
                <w:color w:val="auto"/>
              </w:rPr>
            </w:pPr>
          </w:p>
        </w:tc>
        <w:tc>
          <w:tcPr>
            <w:tcW w:w="60" w:type="dxa"/>
            <w:vAlign w:val="bottom"/>
            <w:shd w:val="clear" w:color="auto" w:fill="F7F1EC"/>
          </w:tcPr>
          <w:p>
            <w:pPr>
              <w:spacing w:after="0"/>
              <w:rPr>
                <w:sz w:val="18"/>
                <w:szCs w:val="18"/>
                <w:color w:val="auto"/>
              </w:rPr>
            </w:pPr>
          </w:p>
        </w:tc>
        <w:tc>
          <w:tcPr>
            <w:tcW w:w="40" w:type="dxa"/>
            <w:vAlign w:val="bottom"/>
            <w:shd w:val="clear" w:color="auto" w:fill="F7F1EC"/>
          </w:tcPr>
          <w:p>
            <w:pPr>
              <w:spacing w:after="0"/>
              <w:rPr>
                <w:sz w:val="18"/>
                <w:szCs w:val="18"/>
                <w:color w:val="auto"/>
              </w:rPr>
            </w:pPr>
          </w:p>
        </w:tc>
        <w:tc>
          <w:tcPr>
            <w:tcW w:w="360" w:type="dxa"/>
            <w:vAlign w:val="bottom"/>
            <w:shd w:val="clear" w:color="auto" w:fill="F7F1EC"/>
          </w:tcPr>
          <w:p>
            <w:pPr>
              <w:spacing w:after="0"/>
              <w:rPr>
                <w:sz w:val="18"/>
                <w:szCs w:val="18"/>
                <w:color w:val="auto"/>
              </w:rPr>
            </w:pPr>
          </w:p>
        </w:tc>
        <w:tc>
          <w:tcPr>
            <w:tcW w:w="580" w:type="dxa"/>
            <w:vAlign w:val="bottom"/>
            <w:shd w:val="clear" w:color="auto" w:fill="F7F1EC"/>
          </w:tcPr>
          <w:p>
            <w:pPr>
              <w:spacing w:after="0"/>
              <w:rPr>
                <w:sz w:val="18"/>
                <w:szCs w:val="18"/>
                <w:color w:val="auto"/>
              </w:rPr>
            </w:pPr>
          </w:p>
        </w:tc>
        <w:tc>
          <w:tcPr>
            <w:tcW w:w="740" w:type="dxa"/>
            <w:vAlign w:val="bottom"/>
            <w:shd w:val="clear" w:color="auto" w:fill="F7F1EC"/>
          </w:tcPr>
          <w:p>
            <w:pPr>
              <w:spacing w:after="0"/>
              <w:rPr>
                <w:sz w:val="18"/>
                <w:szCs w:val="18"/>
                <w:color w:val="auto"/>
              </w:rPr>
            </w:pPr>
          </w:p>
        </w:tc>
        <w:tc>
          <w:tcPr>
            <w:tcW w:w="800" w:type="dxa"/>
            <w:vAlign w:val="bottom"/>
            <w:shd w:val="clear" w:color="auto" w:fill="F7F1EC"/>
          </w:tcPr>
          <w:p>
            <w:pPr>
              <w:spacing w:after="0"/>
              <w:rPr>
                <w:sz w:val="18"/>
                <w:szCs w:val="18"/>
                <w:color w:val="auto"/>
              </w:rPr>
            </w:pPr>
          </w:p>
        </w:tc>
        <w:tc>
          <w:tcPr>
            <w:tcW w:w="40" w:type="dxa"/>
            <w:vAlign w:val="bottom"/>
            <w:shd w:val="clear" w:color="auto" w:fill="F7F1EC"/>
          </w:tcPr>
          <w:p>
            <w:pPr>
              <w:spacing w:after="0"/>
              <w:rPr>
                <w:sz w:val="18"/>
                <w:szCs w:val="18"/>
                <w:color w:val="auto"/>
              </w:rPr>
            </w:pPr>
          </w:p>
        </w:tc>
        <w:tc>
          <w:tcPr>
            <w:tcW w:w="620" w:type="dxa"/>
            <w:vAlign w:val="bottom"/>
            <w:shd w:val="clear" w:color="auto" w:fill="F7F1EC"/>
          </w:tcPr>
          <w:p>
            <w:pPr>
              <w:spacing w:after="0"/>
              <w:rPr>
                <w:sz w:val="18"/>
                <w:szCs w:val="18"/>
                <w:color w:val="auto"/>
              </w:rPr>
            </w:pPr>
          </w:p>
        </w:tc>
        <w:tc>
          <w:tcPr>
            <w:tcW w:w="800" w:type="dxa"/>
            <w:vAlign w:val="bottom"/>
            <w:shd w:val="clear" w:color="auto" w:fill="F7F1EC"/>
          </w:tcPr>
          <w:p>
            <w:pPr>
              <w:spacing w:after="0"/>
              <w:rPr>
                <w:sz w:val="18"/>
                <w:szCs w:val="18"/>
                <w:color w:val="auto"/>
              </w:rPr>
            </w:pPr>
          </w:p>
        </w:tc>
        <w:tc>
          <w:tcPr>
            <w:tcW w:w="800" w:type="dxa"/>
            <w:vAlign w:val="bottom"/>
            <w:shd w:val="clear" w:color="auto" w:fill="F7F1EC"/>
          </w:tcPr>
          <w:p>
            <w:pPr>
              <w:jc w:val="right"/>
              <w:ind w:right="34"/>
              <w:spacing w:after="0" w:line="217" w:lineRule="exact"/>
              <w:rPr>
                <w:sz w:val="20"/>
                <w:szCs w:val="20"/>
                <w:color w:val="auto"/>
              </w:rPr>
            </w:pPr>
            <w:r>
              <w:rPr>
                <w:rFonts w:ascii="Arial" w:cs="Arial" w:eastAsia="Arial" w:hAnsi="Arial"/>
                <w:sz w:val="14"/>
                <w:szCs w:val="14"/>
                <w:color w:val="auto"/>
              </w:rPr>
              <w:t>3,318</w:t>
            </w:r>
            <w:r>
              <w:rPr>
                <w:rFonts w:ascii="Arial" w:cs="Arial" w:eastAsia="Arial" w:hAnsi="Arial"/>
                <w:sz w:val="20"/>
                <w:szCs w:val="20"/>
                <w:color w:val="auto"/>
                <w:vertAlign w:val="superscript"/>
              </w:rPr>
              <w:t>(7)</w:t>
            </w:r>
          </w:p>
        </w:tc>
        <w:tc>
          <w:tcPr>
            <w:tcW w:w="760" w:type="dxa"/>
            <w:vAlign w:val="bottom"/>
            <w:shd w:val="clear" w:color="auto" w:fill="F7F1EC"/>
          </w:tcPr>
          <w:p>
            <w:pPr>
              <w:jc w:val="right"/>
              <w:spacing w:after="0"/>
              <w:rPr>
                <w:sz w:val="20"/>
                <w:szCs w:val="20"/>
                <w:color w:val="auto"/>
              </w:rPr>
            </w:pPr>
            <w:r>
              <w:rPr>
                <w:rFonts w:ascii="Arial" w:cs="Arial" w:eastAsia="Arial" w:hAnsi="Arial"/>
                <w:sz w:val="14"/>
                <w:szCs w:val="14"/>
                <w:color w:val="auto"/>
              </w:rPr>
              <w:t>1,185,090</w:t>
            </w:r>
          </w:p>
        </w:tc>
        <w:tc>
          <w:tcPr>
            <w:tcW w:w="0" w:type="dxa"/>
            <w:vAlign w:val="bottom"/>
          </w:tcPr>
          <w:p>
            <w:pPr>
              <w:spacing w:after="0"/>
              <w:rPr>
                <w:sz w:val="1"/>
                <w:szCs w:val="1"/>
                <w:color w:val="auto"/>
              </w:rPr>
            </w:pPr>
          </w:p>
        </w:tc>
      </w:tr>
    </w:tbl>
    <w:p>
      <w:pPr>
        <w:spacing w:after="0" w:line="1137" w:lineRule="exact"/>
        <w:rPr>
          <w:sz w:val="20"/>
          <w:szCs w:val="20"/>
          <w:color w:val="auto"/>
        </w:rPr>
      </w:pPr>
    </w:p>
    <w:p>
      <w:pPr>
        <w:sectPr>
          <w:pgSz w:w="11900" w:h="16838" w:orient="portrait"/>
          <w:cols w:equalWidth="0" w:num="2">
            <w:col w:w="2160" w:space="560"/>
            <w:col w:w="7980"/>
          </w:cols>
          <w:pgMar w:left="320" w:top="464" w:right="879" w:bottom="1440" w:gutter="0" w:footer="0" w:header="0"/>
        </w:sectPr>
      </w:pPr>
    </w:p>
    <w:p>
      <w:pPr>
        <w:spacing w:after="0" w:line="200" w:lineRule="exact"/>
        <w:rPr>
          <w:sz w:val="20"/>
          <w:szCs w:val="20"/>
          <w:color w:val="auto"/>
        </w:rPr>
      </w:pPr>
    </w:p>
    <w:p>
      <w:pPr>
        <w:spacing w:after="0" w:line="385" w:lineRule="exact"/>
        <w:rPr>
          <w:sz w:val="20"/>
          <w:szCs w:val="20"/>
          <w:color w:val="auto"/>
        </w:rPr>
      </w:pPr>
    </w:p>
    <w:p>
      <w:pPr>
        <w:ind w:left="420"/>
        <w:spacing w:after="0"/>
        <w:tabs>
          <w:tab w:leader="none" w:pos="2380" w:val="left"/>
          <w:tab w:leader="none" w:pos="2800" w:val="left"/>
        </w:tabs>
        <w:rPr>
          <w:sz w:val="20"/>
          <w:szCs w:val="20"/>
          <w:color w:val="auto"/>
        </w:rPr>
      </w:pPr>
      <w:r>
        <w:rPr>
          <w:rFonts w:ascii="Arial" w:cs="Arial" w:eastAsia="Arial" w:hAnsi="Arial"/>
          <w:sz w:val="30"/>
          <w:szCs w:val="30"/>
          <w:color w:val="000000"/>
          <w:vertAlign w:val="superscript"/>
        </w:rPr>
        <w:t xml:space="preserve">             </w:t>
      </w:r>
      <w:r>
        <w:rPr>
          <w:sz w:val="20"/>
          <w:szCs w:val="20"/>
          <w:color w:val="auto"/>
        </w:rPr>
        <w:tab/>
      </w:r>
      <w:r>
        <w:rPr>
          <w:rFonts w:ascii="Arial" w:cs="Arial" w:eastAsia="Arial" w:hAnsi="Arial"/>
          <w:sz w:val="31"/>
          <w:szCs w:val="31"/>
          <w:color w:val="auto"/>
          <w:vertAlign w:val="superscript"/>
        </w:rPr>
        <w:t xml:space="preserve">    </w:t>
      </w:r>
      <w:r>
        <w:rPr>
          <w:sz w:val="20"/>
          <w:szCs w:val="20"/>
          <w:color w:val="auto"/>
        </w:rPr>
        <w:tab/>
      </w:r>
      <w:r>
        <w:rPr>
          <w:rFonts w:ascii="Arial" w:cs="Arial" w:eastAsia="Arial" w:hAnsi="Arial"/>
          <w:sz w:val="15"/>
          <w:szCs w:val="15"/>
          <w:b w:val="1"/>
          <w:bCs w:val="1"/>
          <w:color w:val="002B5F"/>
        </w:rPr>
        <w:t xml:space="preserve">64  </w:t>
      </w:r>
      <w:r>
        <w:rPr>
          <w:rFonts w:ascii="Arial" w:cs="Arial" w:eastAsia="Arial" w:hAnsi="Arial"/>
          <w:sz w:val="20"/>
          <w:szCs w:val="20"/>
          <w:color w:val="002B5F"/>
        </w:rPr>
        <w:t>|</w:t>
      </w:r>
      <w:r>
        <w:rPr>
          <w:rFonts w:ascii="Arial" w:cs="Arial" w:eastAsia="Arial" w:hAnsi="Arial"/>
          <w:sz w:val="15"/>
          <w:szCs w:val="15"/>
          <w:b w:val="1"/>
          <w:bCs w:val="1"/>
          <w:color w:val="002B5F"/>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6111875</wp:posOffset>
            </wp:positionH>
            <wp:positionV relativeFrom="paragraph">
              <wp:posOffset>-208915</wp:posOffset>
            </wp:positionV>
            <wp:extent cx="769620" cy="971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69620" cy="97155"/>
                    </a:xfrm>
                    <a:prstGeom prst="rect">
                      <a:avLst/>
                    </a:prstGeom>
                    <a:noFill/>
                  </pic:spPr>
                </pic:pic>
              </a:graphicData>
            </a:graphic>
          </wp:anchor>
        </w:drawing>
      </w:r>
    </w:p>
    <w:p>
      <w:pPr>
        <w:sectPr>
          <w:pgSz w:w="11900" w:h="16838" w:orient="portrait"/>
          <w:cols w:equalWidth="0" w:num="1">
            <w:col w:w="10700"/>
          </w:cols>
          <w:pgMar w:left="320" w:top="464" w:right="879" w:bottom="1440" w:gutter="0" w:footer="0" w:header="0"/>
          <w:type w:val="continuous"/>
        </w:sectPr>
      </w:pPr>
    </w:p>
    <w:bookmarkStart w:id="76" w:name="page77"/>
    <w:bookmarkEnd w:id="7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5334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81215" cy="53340"/>
                    </a:xfrm>
                    <a:prstGeom prst="rect">
                      <a:avLst/>
                    </a:prstGeom>
                    <a:noFill/>
                  </pic:spPr>
                </pic:pic>
              </a:graphicData>
            </a:graphic>
          </wp:anchor>
        </w:drawing>
        <w:t>Table of Contents</w:t>
      </w:r>
    </w:p>
    <w:p>
      <w:pPr>
        <w:spacing w:after="0" w:line="399" w:lineRule="exact"/>
        <w:rPr>
          <w:sz w:val="20"/>
          <w:szCs w:val="20"/>
          <w:color w:val="auto"/>
        </w:rPr>
      </w:pPr>
    </w:p>
    <w:tbl>
      <w:tblPr>
        <w:tblLayout w:type="fixed"/>
        <w:tblInd w:w="540" w:type="dxa"/>
        <w:tblCellMar>
          <w:top w:w="0" w:type="dxa"/>
          <w:left w:w="0" w:type="dxa"/>
          <w:bottom w:w="0" w:type="dxa"/>
          <w:right w:w="0" w:type="dxa"/>
        </w:tblCellMar>
      </w:tblPr>
      <w:tr>
        <w:trPr>
          <w:trHeight w:val="314"/>
        </w:trPr>
        <w:tc>
          <w:tcPr>
            <w:tcW w:w="8300" w:type="dxa"/>
            <w:vAlign w:val="bottom"/>
          </w:tcPr>
          <w:p>
            <w:pPr>
              <w:spacing w:after="0"/>
              <w:rPr>
                <w:sz w:val="20"/>
                <w:szCs w:val="20"/>
                <w:color w:val="auto"/>
              </w:rPr>
            </w:pPr>
            <w:r>
              <w:rPr>
                <w:rFonts w:ascii="Arial" w:cs="Arial" w:eastAsia="Arial" w:hAnsi="Arial"/>
                <w:sz w:val="12"/>
                <w:szCs w:val="12"/>
                <w:color w:val="auto"/>
              </w:rPr>
              <w:t>(1)  Amounts were determined by multiplying the number of RSUs or PSUs, as applicable, by $357.17, the closing price per share of our Common</w:t>
            </w:r>
          </w:p>
        </w:tc>
        <w:tc>
          <w:tcPr>
            <w:tcW w:w="240" w:type="dxa"/>
            <w:vAlign w:val="bottom"/>
            <w:vMerge w:val="restart"/>
            <w:shd w:val="clear" w:color="auto" w:fill="002B5F"/>
          </w:tcPr>
          <w:p>
            <w:pPr>
              <w:ind w:left="40"/>
              <w:spacing w:after="0"/>
              <w:rPr>
                <w:sz w:val="20"/>
                <w:szCs w:val="20"/>
                <w:color w:val="auto"/>
              </w:rPr>
            </w:pPr>
            <w:r>
              <w:rPr>
                <w:rFonts w:ascii="Arial" w:cs="Arial" w:eastAsia="Arial" w:hAnsi="Arial"/>
                <w:sz w:val="15"/>
                <w:szCs w:val="15"/>
                <w:color w:val="auto"/>
              </w:rPr>
              <w:t> </w:t>
            </w:r>
          </w:p>
        </w:tc>
        <w:tc>
          <w:tcPr>
            <w:tcW w:w="1280" w:type="dxa"/>
            <w:vAlign w:val="bottom"/>
            <w:shd w:val="clear" w:color="auto" w:fill="002B5F"/>
          </w:tcPr>
          <w:p>
            <w:pPr>
              <w:spacing w:after="0"/>
              <w:rPr>
                <w:sz w:val="24"/>
                <w:szCs w:val="24"/>
                <w:color w:val="auto"/>
              </w:rPr>
            </w:pPr>
          </w:p>
        </w:tc>
        <w:tc>
          <w:tcPr>
            <w:tcW w:w="460" w:type="dxa"/>
            <w:vAlign w:val="bottom"/>
            <w:vMerge w:val="restart"/>
            <w:shd w:val="clear" w:color="auto" w:fill="002B5F"/>
          </w:tcPr>
          <w:p>
            <w:pPr>
              <w:ind w:left="80"/>
              <w:spacing w:after="0"/>
              <w:rPr>
                <w:sz w:val="20"/>
                <w:szCs w:val="20"/>
                <w:color w:val="auto"/>
              </w:rPr>
            </w:pPr>
            <w:r>
              <w:rPr>
                <w:rFonts w:ascii="Arial" w:cs="Arial" w:eastAsia="Arial" w:hAnsi="Arial"/>
                <w:sz w:val="15"/>
                <w:szCs w:val="15"/>
                <w:color w:val="auto"/>
              </w:rPr>
              <w:t xml:space="preserve">       </w:t>
            </w:r>
          </w:p>
        </w:tc>
        <w:tc>
          <w:tcPr>
            <w:tcW w:w="0" w:type="dxa"/>
            <w:vAlign w:val="bottom"/>
          </w:tcPr>
          <w:p>
            <w:pPr>
              <w:spacing w:after="0"/>
              <w:rPr>
                <w:sz w:val="1"/>
                <w:szCs w:val="1"/>
                <w:color w:val="auto"/>
              </w:rPr>
            </w:pPr>
          </w:p>
        </w:tc>
      </w:tr>
      <w:tr>
        <w:trPr>
          <w:trHeight w:val="152"/>
        </w:trPr>
        <w:tc>
          <w:tcPr>
            <w:tcW w:w="8300" w:type="dxa"/>
            <w:vAlign w:val="bottom"/>
          </w:tcPr>
          <w:p>
            <w:pPr>
              <w:ind w:left="240"/>
              <w:spacing w:after="0"/>
              <w:rPr>
                <w:sz w:val="20"/>
                <w:szCs w:val="20"/>
                <w:color w:val="auto"/>
              </w:rPr>
            </w:pPr>
            <w:r>
              <w:rPr>
                <w:rFonts w:ascii="Arial" w:cs="Arial" w:eastAsia="Arial" w:hAnsi="Arial"/>
                <w:sz w:val="12"/>
                <w:szCs w:val="12"/>
                <w:color w:val="auto"/>
              </w:rPr>
              <w:t>Stock on December 31, 2025, the last business day of 2025.</w:t>
            </w:r>
          </w:p>
        </w:tc>
        <w:tc>
          <w:tcPr>
            <w:tcW w:w="240" w:type="dxa"/>
            <w:vAlign w:val="bottom"/>
            <w:vMerge w:val="continue"/>
            <w:shd w:val="clear" w:color="auto" w:fill="002B5F"/>
          </w:tcPr>
          <w:p>
            <w:pPr>
              <w:spacing w:after="0"/>
              <w:rPr>
                <w:sz w:val="13"/>
                <w:szCs w:val="13"/>
                <w:color w:val="auto"/>
              </w:rPr>
            </w:pPr>
          </w:p>
        </w:tc>
        <w:tc>
          <w:tcPr>
            <w:tcW w:w="1280" w:type="dxa"/>
            <w:vAlign w:val="bottom"/>
            <w:shd w:val="clear" w:color="auto" w:fill="002B5F"/>
          </w:tcPr>
          <w:p>
            <w:pPr>
              <w:ind w:left="140"/>
              <w:spacing w:after="0"/>
              <w:rPr>
                <w:sz w:val="20"/>
                <w:szCs w:val="20"/>
                <w:color w:val="auto"/>
              </w:rPr>
            </w:pPr>
            <w:r>
              <w:rPr>
                <w:rFonts w:ascii="Arial" w:cs="Arial" w:eastAsia="Arial" w:hAnsi="Arial"/>
                <w:sz w:val="12"/>
                <w:szCs w:val="12"/>
                <w:color w:val="FFFFFF"/>
              </w:rPr>
              <w:t>General</w:t>
            </w:r>
          </w:p>
        </w:tc>
        <w:tc>
          <w:tcPr>
            <w:tcW w:w="460" w:type="dxa"/>
            <w:vAlign w:val="bottom"/>
            <w:vMerge w:val="continue"/>
            <w:shd w:val="clear" w:color="auto" w:fill="002B5F"/>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8300" w:type="dxa"/>
            <w:vAlign w:val="bottom"/>
          </w:tcPr>
          <w:p>
            <w:pPr>
              <w:spacing w:after="0"/>
              <w:rPr>
                <w:sz w:val="20"/>
                <w:szCs w:val="20"/>
                <w:color w:val="auto"/>
              </w:rPr>
            </w:pPr>
            <w:r>
              <w:rPr>
                <w:rFonts w:ascii="Arial" w:cs="Arial" w:eastAsia="Arial" w:hAnsi="Arial"/>
                <w:sz w:val="12"/>
                <w:szCs w:val="12"/>
                <w:color w:val="auto"/>
              </w:rPr>
              <w:t>(2)  Amounts were determined by multiplying the number of PSUs that would be earned at maximum performance levels by $357.17, the closing</w:t>
            </w:r>
          </w:p>
        </w:tc>
        <w:tc>
          <w:tcPr>
            <w:tcW w:w="240" w:type="dxa"/>
            <w:vAlign w:val="bottom"/>
            <w:shd w:val="clear" w:color="auto" w:fill="002B5F"/>
          </w:tcPr>
          <w:p>
            <w:pPr>
              <w:spacing w:after="0"/>
              <w:rPr>
                <w:sz w:val="14"/>
                <w:szCs w:val="14"/>
                <w:color w:val="auto"/>
              </w:rPr>
            </w:pPr>
          </w:p>
        </w:tc>
        <w:tc>
          <w:tcPr>
            <w:tcW w:w="1280" w:type="dxa"/>
            <w:vAlign w:val="bottom"/>
            <w:shd w:val="clear" w:color="auto" w:fill="002B5F"/>
          </w:tcPr>
          <w:p>
            <w:pPr>
              <w:ind w:left="140"/>
              <w:spacing w:after="0"/>
              <w:rPr>
                <w:sz w:val="20"/>
                <w:szCs w:val="20"/>
                <w:color w:val="auto"/>
              </w:rPr>
            </w:pPr>
            <w:r>
              <w:rPr>
                <w:rFonts w:ascii="Arial" w:cs="Arial" w:eastAsia="Arial" w:hAnsi="Arial"/>
                <w:sz w:val="12"/>
                <w:szCs w:val="12"/>
                <w:color w:val="FFFFFF"/>
              </w:rPr>
              <w:t>Information</w:t>
            </w:r>
          </w:p>
        </w:tc>
        <w:tc>
          <w:tcPr>
            <w:tcW w:w="460" w:type="dxa"/>
            <w:vAlign w:val="bottom"/>
            <w:shd w:val="clear" w:color="auto" w:fill="002B5F"/>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8300" w:type="dxa"/>
            <w:vAlign w:val="bottom"/>
          </w:tcPr>
          <w:p>
            <w:pPr>
              <w:ind w:left="240"/>
              <w:spacing w:after="0"/>
              <w:rPr>
                <w:sz w:val="20"/>
                <w:szCs w:val="20"/>
                <w:color w:val="auto"/>
              </w:rPr>
            </w:pPr>
            <w:r>
              <w:rPr>
                <w:rFonts w:ascii="Arial" w:cs="Arial" w:eastAsia="Arial" w:hAnsi="Arial"/>
                <w:sz w:val="12"/>
                <w:szCs w:val="12"/>
                <w:color w:val="auto"/>
              </w:rPr>
              <w:t>price per share of our Common Stock on December 31, 2025, the last business day of 2025.</w:t>
            </w:r>
          </w:p>
        </w:tc>
        <w:tc>
          <w:tcPr>
            <w:tcW w:w="240" w:type="dxa"/>
            <w:vAlign w:val="bottom"/>
            <w:shd w:val="clear" w:color="auto" w:fill="002B5F"/>
          </w:tcPr>
          <w:p>
            <w:pPr>
              <w:spacing w:after="0"/>
              <w:rPr>
                <w:sz w:val="13"/>
                <w:szCs w:val="13"/>
                <w:color w:val="auto"/>
              </w:rPr>
            </w:pPr>
          </w:p>
        </w:tc>
        <w:tc>
          <w:tcPr>
            <w:tcW w:w="1280" w:type="dxa"/>
            <w:vAlign w:val="bottom"/>
            <w:vMerge w:val="restart"/>
            <w:shd w:val="clear" w:color="auto" w:fill="002B5F"/>
          </w:tcPr>
          <w:p>
            <w:pPr>
              <w:ind w:left="140"/>
              <w:spacing w:after="0"/>
              <w:rPr>
                <w:sz w:val="20"/>
                <w:szCs w:val="20"/>
                <w:color w:val="auto"/>
              </w:rPr>
            </w:pPr>
            <w:r>
              <w:rPr>
                <w:rFonts w:ascii="Arial" w:cs="Arial" w:eastAsia="Arial" w:hAnsi="Arial"/>
                <w:sz w:val="12"/>
                <w:szCs w:val="12"/>
                <w:color w:val="FFFFFF"/>
              </w:rPr>
              <w:t>General Information</w:t>
            </w:r>
          </w:p>
        </w:tc>
        <w:tc>
          <w:tcPr>
            <w:tcW w:w="460" w:type="dxa"/>
            <w:vAlign w:val="bottom"/>
            <w:shd w:val="clear" w:color="auto" w:fill="002B5F"/>
          </w:tcPr>
          <w:p>
            <w:pPr>
              <w:spacing w:after="0"/>
              <w:rPr>
                <w:sz w:val="13"/>
                <w:szCs w:val="13"/>
                <w:color w:val="auto"/>
              </w:rPr>
            </w:pPr>
          </w:p>
        </w:tc>
        <w:tc>
          <w:tcPr>
            <w:tcW w:w="0" w:type="dxa"/>
            <w:vAlign w:val="bottom"/>
          </w:tcPr>
          <w:p>
            <w:pPr>
              <w:spacing w:after="0"/>
              <w:rPr>
                <w:sz w:val="1"/>
                <w:szCs w:val="1"/>
                <w:color w:val="auto"/>
              </w:rPr>
            </w:pPr>
          </w:p>
        </w:tc>
      </w:tr>
      <w:tr>
        <w:trPr>
          <w:trHeight w:val="85"/>
        </w:trPr>
        <w:tc>
          <w:tcPr>
            <w:tcW w:w="8300" w:type="dxa"/>
            <w:vAlign w:val="bottom"/>
            <w:vMerge w:val="restart"/>
          </w:tcPr>
          <w:p>
            <w:pPr>
              <w:spacing w:after="0"/>
              <w:rPr>
                <w:sz w:val="20"/>
                <w:szCs w:val="20"/>
                <w:color w:val="auto"/>
              </w:rPr>
            </w:pPr>
            <w:r>
              <w:rPr>
                <w:rFonts w:ascii="Arial" w:cs="Arial" w:eastAsia="Arial" w:hAnsi="Arial"/>
                <w:sz w:val="12"/>
                <w:szCs w:val="12"/>
                <w:color w:val="auto"/>
              </w:rPr>
              <w:t>(3)  These awards vest over a three-year period in equal tranches, with the first and second tranches having vested on the first and second</w:t>
            </w:r>
          </w:p>
        </w:tc>
        <w:tc>
          <w:tcPr>
            <w:tcW w:w="240" w:type="dxa"/>
            <w:vAlign w:val="bottom"/>
            <w:shd w:val="clear" w:color="auto" w:fill="002B5F"/>
          </w:tcPr>
          <w:p>
            <w:pPr>
              <w:spacing w:after="0"/>
              <w:rPr>
                <w:sz w:val="7"/>
                <w:szCs w:val="7"/>
                <w:color w:val="auto"/>
              </w:rPr>
            </w:pPr>
          </w:p>
        </w:tc>
        <w:tc>
          <w:tcPr>
            <w:tcW w:w="1280" w:type="dxa"/>
            <w:vAlign w:val="bottom"/>
            <w:vMerge w:val="continue"/>
            <w:shd w:val="clear" w:color="auto" w:fill="002B5F"/>
          </w:tcPr>
          <w:p>
            <w:pPr>
              <w:spacing w:after="0"/>
              <w:rPr>
                <w:sz w:val="7"/>
                <w:szCs w:val="7"/>
                <w:color w:val="auto"/>
              </w:rPr>
            </w:pPr>
          </w:p>
        </w:tc>
        <w:tc>
          <w:tcPr>
            <w:tcW w:w="460" w:type="dxa"/>
            <w:vAlign w:val="bottom"/>
            <w:shd w:val="clear" w:color="auto" w:fill="002B5F"/>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8300" w:type="dxa"/>
            <w:vAlign w:val="bottom"/>
            <w:vMerge w:val="continue"/>
          </w:tcPr>
          <w:p>
            <w:pPr>
              <w:spacing w:after="0"/>
              <w:rPr>
                <w:sz w:val="6"/>
                <w:szCs w:val="6"/>
                <w:color w:val="auto"/>
              </w:rPr>
            </w:pPr>
          </w:p>
        </w:tc>
        <w:tc>
          <w:tcPr>
            <w:tcW w:w="240" w:type="dxa"/>
            <w:vAlign w:val="bottom"/>
            <w:shd w:val="clear" w:color="auto" w:fill="002B5F"/>
          </w:tcPr>
          <w:p>
            <w:pPr>
              <w:spacing w:after="0"/>
              <w:rPr>
                <w:sz w:val="6"/>
                <w:szCs w:val="6"/>
                <w:color w:val="auto"/>
              </w:rPr>
            </w:pPr>
          </w:p>
        </w:tc>
        <w:tc>
          <w:tcPr>
            <w:tcW w:w="1280" w:type="dxa"/>
            <w:vAlign w:val="bottom"/>
            <w:vMerge w:val="restart"/>
            <w:shd w:val="clear" w:color="auto" w:fill="002B5F"/>
          </w:tcPr>
          <w:p>
            <w:pPr>
              <w:ind w:left="140"/>
              <w:spacing w:after="0" w:line="128" w:lineRule="exact"/>
              <w:rPr>
                <w:sz w:val="20"/>
                <w:szCs w:val="20"/>
                <w:color w:val="auto"/>
              </w:rPr>
            </w:pPr>
            <w:r>
              <w:rPr>
                <w:rFonts w:ascii="Arial" w:cs="Arial" w:eastAsia="Arial" w:hAnsi="Arial"/>
                <w:sz w:val="12"/>
                <w:szCs w:val="12"/>
                <w:color w:val="FFFFFF"/>
              </w:rPr>
              <w:t>About Corporate</w:t>
            </w:r>
          </w:p>
        </w:tc>
        <w:tc>
          <w:tcPr>
            <w:tcW w:w="460" w:type="dxa"/>
            <w:vAlign w:val="bottom"/>
            <w:shd w:val="clear" w:color="auto" w:fill="002B5F"/>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8300" w:type="dxa"/>
            <w:vAlign w:val="bottom"/>
            <w:vMerge w:val="restart"/>
          </w:tcPr>
          <w:p>
            <w:pPr>
              <w:ind w:left="240"/>
              <w:spacing w:after="0"/>
              <w:rPr>
                <w:sz w:val="20"/>
                <w:szCs w:val="20"/>
                <w:color w:val="auto"/>
              </w:rPr>
            </w:pPr>
            <w:r>
              <w:rPr>
                <w:rFonts w:ascii="Arial" w:cs="Arial" w:eastAsia="Arial" w:hAnsi="Arial"/>
                <w:sz w:val="12"/>
                <w:szCs w:val="12"/>
                <w:color w:val="auto"/>
              </w:rPr>
              <w:t>anniversaries of the grant date, respectively, and the third tranche scheduled to vest on the third anniversary of the grant date.</w:t>
            </w:r>
          </w:p>
        </w:tc>
        <w:tc>
          <w:tcPr>
            <w:tcW w:w="240" w:type="dxa"/>
            <w:vAlign w:val="bottom"/>
            <w:shd w:val="clear" w:color="auto" w:fill="002B5F"/>
          </w:tcPr>
          <w:p>
            <w:pPr>
              <w:spacing w:after="0"/>
              <w:rPr>
                <w:sz w:val="4"/>
                <w:szCs w:val="4"/>
                <w:color w:val="auto"/>
              </w:rPr>
            </w:pPr>
          </w:p>
        </w:tc>
        <w:tc>
          <w:tcPr>
            <w:tcW w:w="1280" w:type="dxa"/>
            <w:vAlign w:val="bottom"/>
            <w:vMerge w:val="continue"/>
            <w:shd w:val="clear" w:color="auto" w:fill="002B5F"/>
          </w:tcPr>
          <w:p>
            <w:pPr>
              <w:spacing w:after="0"/>
              <w:rPr>
                <w:sz w:val="4"/>
                <w:szCs w:val="4"/>
                <w:color w:val="auto"/>
              </w:rPr>
            </w:pPr>
          </w:p>
        </w:tc>
        <w:tc>
          <w:tcPr>
            <w:tcW w:w="460" w:type="dxa"/>
            <w:vAlign w:val="bottom"/>
            <w:shd w:val="clear" w:color="auto" w:fill="002B5F"/>
          </w:tcPr>
          <w:p>
            <w:pPr>
              <w:spacing w:after="0"/>
              <w:rPr>
                <w:sz w:val="4"/>
                <w:szCs w:val="4"/>
                <w:color w:val="auto"/>
              </w:rPr>
            </w:pPr>
          </w:p>
        </w:tc>
        <w:tc>
          <w:tcPr>
            <w:tcW w:w="0" w:type="dxa"/>
            <w:vAlign w:val="bottom"/>
          </w:tcPr>
          <w:p>
            <w:pPr>
              <w:spacing w:after="0"/>
              <w:rPr>
                <w:sz w:val="1"/>
                <w:szCs w:val="1"/>
                <w:color w:val="auto"/>
              </w:rPr>
            </w:pPr>
          </w:p>
        </w:tc>
      </w:tr>
      <w:tr>
        <w:trPr>
          <w:trHeight w:val="107"/>
        </w:trPr>
        <w:tc>
          <w:tcPr>
            <w:tcW w:w="8300" w:type="dxa"/>
            <w:vAlign w:val="bottom"/>
            <w:vMerge w:val="continue"/>
          </w:tcPr>
          <w:p>
            <w:pPr>
              <w:spacing w:after="0"/>
              <w:rPr>
                <w:sz w:val="9"/>
                <w:szCs w:val="9"/>
                <w:color w:val="auto"/>
              </w:rPr>
            </w:pPr>
          </w:p>
        </w:tc>
        <w:tc>
          <w:tcPr>
            <w:tcW w:w="240" w:type="dxa"/>
            <w:vAlign w:val="bottom"/>
            <w:shd w:val="clear" w:color="auto" w:fill="002B5F"/>
          </w:tcPr>
          <w:p>
            <w:pPr>
              <w:spacing w:after="0"/>
              <w:rPr>
                <w:sz w:val="9"/>
                <w:szCs w:val="9"/>
                <w:color w:val="auto"/>
              </w:rPr>
            </w:pPr>
          </w:p>
        </w:tc>
        <w:tc>
          <w:tcPr>
            <w:tcW w:w="1280" w:type="dxa"/>
            <w:vAlign w:val="bottom"/>
            <w:vMerge w:val="restart"/>
            <w:shd w:val="clear" w:color="auto" w:fill="002B5F"/>
          </w:tcPr>
          <w:p>
            <w:pPr>
              <w:ind w:left="140"/>
              <w:spacing w:after="0" w:line="128" w:lineRule="exact"/>
              <w:rPr>
                <w:sz w:val="20"/>
                <w:szCs w:val="20"/>
                <w:color w:val="auto"/>
              </w:rPr>
            </w:pPr>
            <w:r>
              <w:rPr>
                <w:rFonts w:ascii="Arial" w:cs="Arial" w:eastAsia="Arial" w:hAnsi="Arial"/>
                <w:sz w:val="12"/>
                <w:szCs w:val="12"/>
                <w:color w:val="FFFFFF"/>
              </w:rPr>
              <w:t>Governance</w:t>
            </w:r>
          </w:p>
        </w:tc>
        <w:tc>
          <w:tcPr>
            <w:tcW w:w="460" w:type="dxa"/>
            <w:vAlign w:val="bottom"/>
            <w:shd w:val="clear" w:color="auto" w:fill="002B5F"/>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8300" w:type="dxa"/>
            <w:vAlign w:val="bottom"/>
          </w:tcPr>
          <w:p>
            <w:pPr>
              <w:spacing w:after="0" w:line="20" w:lineRule="exact"/>
              <w:rPr>
                <w:sz w:val="1"/>
                <w:szCs w:val="1"/>
                <w:color w:val="auto"/>
              </w:rPr>
            </w:pPr>
          </w:p>
        </w:tc>
        <w:tc>
          <w:tcPr>
            <w:tcW w:w="240" w:type="dxa"/>
            <w:vAlign w:val="bottom"/>
            <w:shd w:val="clear" w:color="auto" w:fill="002B5F"/>
          </w:tcPr>
          <w:p>
            <w:pPr>
              <w:spacing w:after="0" w:line="20" w:lineRule="exact"/>
              <w:rPr>
                <w:sz w:val="1"/>
                <w:szCs w:val="1"/>
                <w:color w:val="auto"/>
              </w:rPr>
            </w:pPr>
          </w:p>
        </w:tc>
        <w:tc>
          <w:tcPr>
            <w:tcW w:w="1280" w:type="dxa"/>
            <w:vAlign w:val="bottom"/>
            <w:vMerge w:val="continue"/>
            <w:shd w:val="clear" w:color="auto" w:fill="002B5F"/>
          </w:tcPr>
          <w:p>
            <w:pPr>
              <w:spacing w:after="0" w:line="20" w:lineRule="exact"/>
              <w:rPr>
                <w:sz w:val="1"/>
                <w:szCs w:val="1"/>
                <w:color w:val="auto"/>
              </w:rPr>
            </w:pPr>
          </w:p>
        </w:tc>
        <w:tc>
          <w:tcPr>
            <w:tcW w:w="460" w:type="dxa"/>
            <w:vAlign w:val="bottom"/>
            <w:shd w:val="clear" w:color="auto" w:fill="002B5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8300" w:type="dxa"/>
            <w:vAlign w:val="bottom"/>
          </w:tcPr>
          <w:p>
            <w:pPr>
              <w:spacing w:after="0" w:line="133" w:lineRule="exact"/>
              <w:rPr>
                <w:sz w:val="20"/>
                <w:szCs w:val="20"/>
                <w:color w:val="auto"/>
              </w:rPr>
            </w:pPr>
            <w:r>
              <w:rPr>
                <w:rFonts w:ascii="Arial" w:cs="Arial" w:eastAsia="Arial" w:hAnsi="Arial"/>
                <w:sz w:val="12"/>
                <w:szCs w:val="12"/>
                <w:color w:val="auto"/>
              </w:rPr>
              <w:t>(4)  These awards vest over a three-year period in equal tranches, with the first tranche having vested on the first anniversary of the grant date, and</w:t>
            </w:r>
          </w:p>
        </w:tc>
        <w:tc>
          <w:tcPr>
            <w:tcW w:w="240" w:type="dxa"/>
            <w:vAlign w:val="bottom"/>
            <w:shd w:val="clear" w:color="auto" w:fill="002B5F"/>
          </w:tcPr>
          <w:p>
            <w:pPr>
              <w:spacing w:after="0"/>
              <w:rPr>
                <w:sz w:val="11"/>
                <w:szCs w:val="11"/>
                <w:color w:val="auto"/>
              </w:rPr>
            </w:pPr>
          </w:p>
        </w:tc>
        <w:tc>
          <w:tcPr>
            <w:tcW w:w="1280" w:type="dxa"/>
            <w:vAlign w:val="bottom"/>
            <w:shd w:val="clear" w:color="auto" w:fill="002B5F"/>
          </w:tcPr>
          <w:p>
            <w:pPr>
              <w:ind w:left="140"/>
              <w:spacing w:after="0" w:line="133" w:lineRule="exact"/>
              <w:rPr>
                <w:sz w:val="20"/>
                <w:szCs w:val="20"/>
                <w:color w:val="auto"/>
              </w:rPr>
            </w:pPr>
            <w:r>
              <w:rPr>
                <w:rFonts w:ascii="Arial" w:cs="Arial" w:eastAsia="Arial" w:hAnsi="Arial"/>
                <w:sz w:val="12"/>
                <w:szCs w:val="12"/>
                <w:color w:val="FFFFFF"/>
              </w:rPr>
              <w:t>and the Board of</w:t>
            </w:r>
          </w:p>
        </w:tc>
        <w:tc>
          <w:tcPr>
            <w:tcW w:w="460" w:type="dxa"/>
            <w:vAlign w:val="bottom"/>
            <w:shd w:val="clear" w:color="auto" w:fill="002B5F"/>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8300" w:type="dxa"/>
            <w:vAlign w:val="bottom"/>
          </w:tcPr>
          <w:p>
            <w:pPr>
              <w:ind w:left="240"/>
              <w:spacing w:after="0"/>
              <w:rPr>
                <w:sz w:val="20"/>
                <w:szCs w:val="20"/>
                <w:color w:val="auto"/>
              </w:rPr>
            </w:pPr>
            <w:r>
              <w:rPr>
                <w:rFonts w:ascii="Arial" w:cs="Arial" w:eastAsia="Arial" w:hAnsi="Arial"/>
                <w:sz w:val="12"/>
                <w:szCs w:val="12"/>
                <w:color w:val="auto"/>
              </w:rPr>
              <w:t>the second and third tranches scheduled to vest on the second and third anniversaries of the grant date, respectively.</w:t>
            </w:r>
          </w:p>
        </w:tc>
        <w:tc>
          <w:tcPr>
            <w:tcW w:w="240" w:type="dxa"/>
            <w:vAlign w:val="bottom"/>
            <w:shd w:val="clear" w:color="auto" w:fill="002B5F"/>
          </w:tcPr>
          <w:p>
            <w:pPr>
              <w:spacing w:after="0"/>
              <w:rPr>
                <w:sz w:val="14"/>
                <w:szCs w:val="14"/>
                <w:color w:val="auto"/>
              </w:rPr>
            </w:pPr>
          </w:p>
        </w:tc>
        <w:tc>
          <w:tcPr>
            <w:tcW w:w="1280" w:type="dxa"/>
            <w:vAlign w:val="bottom"/>
            <w:shd w:val="clear" w:color="auto" w:fill="002B5F"/>
          </w:tcPr>
          <w:p>
            <w:pPr>
              <w:ind w:left="140"/>
              <w:spacing w:after="0"/>
              <w:rPr>
                <w:sz w:val="20"/>
                <w:szCs w:val="20"/>
                <w:color w:val="auto"/>
              </w:rPr>
            </w:pPr>
            <w:r>
              <w:rPr>
                <w:rFonts w:ascii="Arial" w:cs="Arial" w:eastAsia="Arial" w:hAnsi="Arial"/>
                <w:sz w:val="12"/>
                <w:szCs w:val="12"/>
                <w:color w:val="FFFFFF"/>
              </w:rPr>
              <w:t>Directors</w:t>
            </w:r>
          </w:p>
        </w:tc>
        <w:tc>
          <w:tcPr>
            <w:tcW w:w="460" w:type="dxa"/>
            <w:vAlign w:val="bottom"/>
            <w:shd w:val="clear" w:color="auto" w:fill="002B5F"/>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8300" w:type="dxa"/>
            <w:vAlign w:val="bottom"/>
          </w:tcPr>
          <w:p>
            <w:pPr>
              <w:spacing w:after="0"/>
              <w:rPr>
                <w:sz w:val="20"/>
                <w:szCs w:val="20"/>
                <w:color w:val="auto"/>
              </w:rPr>
            </w:pPr>
            <w:r>
              <w:rPr>
                <w:rFonts w:ascii="Arial" w:cs="Arial" w:eastAsia="Arial" w:hAnsi="Arial"/>
                <w:sz w:val="12"/>
                <w:szCs w:val="12"/>
                <w:color w:val="auto"/>
              </w:rPr>
              <w:t>(5)  These awards vest over a three-year period in equal tranches, with the first, second and third tranches scheduled to vest on the first, second and</w:t>
            </w:r>
          </w:p>
        </w:tc>
        <w:tc>
          <w:tcPr>
            <w:tcW w:w="240" w:type="dxa"/>
            <w:vAlign w:val="bottom"/>
            <w:shd w:val="clear" w:color="auto" w:fill="002B5F"/>
          </w:tcPr>
          <w:p>
            <w:pPr>
              <w:spacing w:after="0"/>
              <w:rPr>
                <w:sz w:val="14"/>
                <w:szCs w:val="14"/>
                <w:color w:val="auto"/>
              </w:rPr>
            </w:pPr>
          </w:p>
        </w:tc>
        <w:tc>
          <w:tcPr>
            <w:tcW w:w="1280" w:type="dxa"/>
            <w:vAlign w:val="bottom"/>
            <w:vMerge w:val="restart"/>
            <w:shd w:val="clear" w:color="auto" w:fill="002B5F"/>
          </w:tcPr>
          <w:p>
            <w:pPr>
              <w:ind w:left="140"/>
              <w:spacing w:after="0"/>
              <w:rPr>
                <w:sz w:val="20"/>
                <w:szCs w:val="20"/>
                <w:color w:val="auto"/>
              </w:rPr>
            </w:pPr>
            <w:r>
              <w:rPr>
                <w:rFonts w:ascii="Arial" w:cs="Arial" w:eastAsia="Arial" w:hAnsi="Arial"/>
                <w:sz w:val="12"/>
                <w:szCs w:val="12"/>
                <w:color w:val="FFFFFF"/>
              </w:rPr>
              <w:t>Proposal 1</w:t>
            </w:r>
          </w:p>
        </w:tc>
        <w:tc>
          <w:tcPr>
            <w:tcW w:w="460" w:type="dxa"/>
            <w:vAlign w:val="bottom"/>
            <w:shd w:val="clear" w:color="auto" w:fill="002B5F"/>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8300" w:type="dxa"/>
            <w:vAlign w:val="bottom"/>
          </w:tcPr>
          <w:p>
            <w:pPr>
              <w:ind w:left="240"/>
              <w:spacing w:after="0"/>
              <w:rPr>
                <w:sz w:val="20"/>
                <w:szCs w:val="20"/>
                <w:color w:val="auto"/>
              </w:rPr>
            </w:pPr>
            <w:r>
              <w:rPr>
                <w:rFonts w:ascii="Arial" w:cs="Arial" w:eastAsia="Arial" w:hAnsi="Arial"/>
                <w:sz w:val="12"/>
                <w:szCs w:val="12"/>
                <w:color w:val="auto"/>
              </w:rPr>
              <w:t>third anniversaries of the grant date, respectively.</w:t>
            </w:r>
          </w:p>
        </w:tc>
        <w:tc>
          <w:tcPr>
            <w:tcW w:w="240" w:type="dxa"/>
            <w:vAlign w:val="bottom"/>
            <w:shd w:val="clear" w:color="auto" w:fill="002B5F"/>
          </w:tcPr>
          <w:p>
            <w:pPr>
              <w:spacing w:after="0"/>
              <w:rPr>
                <w:sz w:val="13"/>
                <w:szCs w:val="13"/>
                <w:color w:val="auto"/>
              </w:rPr>
            </w:pPr>
          </w:p>
        </w:tc>
        <w:tc>
          <w:tcPr>
            <w:tcW w:w="1280" w:type="dxa"/>
            <w:vAlign w:val="bottom"/>
            <w:vMerge w:val="continue"/>
            <w:shd w:val="clear" w:color="auto" w:fill="002B5F"/>
          </w:tcPr>
          <w:p>
            <w:pPr>
              <w:spacing w:after="0"/>
              <w:rPr>
                <w:sz w:val="13"/>
                <w:szCs w:val="13"/>
                <w:color w:val="auto"/>
              </w:rPr>
            </w:pPr>
          </w:p>
        </w:tc>
        <w:tc>
          <w:tcPr>
            <w:tcW w:w="460" w:type="dxa"/>
            <w:vAlign w:val="bottom"/>
            <w:shd w:val="clear" w:color="auto" w:fill="002B5F"/>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8300" w:type="dxa"/>
            <w:vAlign w:val="bottom"/>
          </w:tcPr>
          <w:p>
            <w:pPr>
              <w:spacing w:after="0"/>
              <w:rPr>
                <w:sz w:val="20"/>
                <w:szCs w:val="20"/>
                <w:color w:val="auto"/>
              </w:rPr>
            </w:pPr>
            <w:r>
              <w:rPr>
                <w:rFonts w:ascii="Arial" w:cs="Arial" w:eastAsia="Arial" w:hAnsi="Arial"/>
                <w:sz w:val="12"/>
                <w:szCs w:val="12"/>
                <w:color w:val="auto"/>
              </w:rPr>
              <w:t>(6)  Amounts represent PSUs that were earned with respect to the Performance Period ended on February 14, 2026 and that vested on February 25,</w:t>
            </w:r>
          </w:p>
        </w:tc>
        <w:tc>
          <w:tcPr>
            <w:tcW w:w="240" w:type="dxa"/>
            <w:vAlign w:val="bottom"/>
            <w:shd w:val="clear" w:color="auto" w:fill="002B5F"/>
          </w:tcPr>
          <w:p>
            <w:pPr>
              <w:spacing w:after="0"/>
              <w:rPr>
                <w:sz w:val="14"/>
                <w:szCs w:val="14"/>
                <w:color w:val="auto"/>
              </w:rPr>
            </w:pPr>
          </w:p>
        </w:tc>
        <w:tc>
          <w:tcPr>
            <w:tcW w:w="1280" w:type="dxa"/>
            <w:vAlign w:val="bottom"/>
            <w:vMerge w:val="restart"/>
            <w:shd w:val="clear" w:color="auto" w:fill="002B5F"/>
          </w:tcPr>
          <w:p>
            <w:pPr>
              <w:ind w:left="140"/>
              <w:spacing w:after="0"/>
              <w:rPr>
                <w:sz w:val="20"/>
                <w:szCs w:val="20"/>
                <w:color w:val="auto"/>
              </w:rPr>
            </w:pPr>
            <w:r>
              <w:rPr>
                <w:rFonts w:ascii="Arial" w:cs="Arial" w:eastAsia="Arial" w:hAnsi="Arial"/>
                <w:sz w:val="12"/>
                <w:szCs w:val="12"/>
                <w:color w:val="FFFFFF"/>
              </w:rPr>
              <w:t>Information</w:t>
            </w:r>
          </w:p>
        </w:tc>
        <w:tc>
          <w:tcPr>
            <w:tcW w:w="460" w:type="dxa"/>
            <w:vAlign w:val="bottom"/>
            <w:shd w:val="clear" w:color="auto" w:fill="002B5F"/>
          </w:tcPr>
          <w:p>
            <w:pPr>
              <w:spacing w:after="0"/>
              <w:rPr>
                <w:sz w:val="14"/>
                <w:szCs w:val="14"/>
                <w:color w:val="auto"/>
              </w:rPr>
            </w:pPr>
          </w:p>
        </w:tc>
        <w:tc>
          <w:tcPr>
            <w:tcW w:w="0" w:type="dxa"/>
            <w:vAlign w:val="bottom"/>
          </w:tcPr>
          <w:p>
            <w:pPr>
              <w:spacing w:after="0"/>
              <w:rPr>
                <w:sz w:val="1"/>
                <w:szCs w:val="1"/>
                <w:color w:val="auto"/>
              </w:rPr>
            </w:pPr>
          </w:p>
        </w:tc>
      </w:tr>
      <w:tr>
        <w:trPr>
          <w:trHeight w:val="64"/>
        </w:trPr>
        <w:tc>
          <w:tcPr>
            <w:tcW w:w="8300" w:type="dxa"/>
            <w:vAlign w:val="bottom"/>
            <w:vMerge w:val="restart"/>
          </w:tcPr>
          <w:p>
            <w:pPr>
              <w:ind w:left="240"/>
              <w:spacing w:after="0" w:line="128" w:lineRule="exact"/>
              <w:rPr>
                <w:sz w:val="20"/>
                <w:szCs w:val="20"/>
                <w:color w:val="auto"/>
              </w:rPr>
            </w:pPr>
            <w:r>
              <w:rPr>
                <w:rFonts w:ascii="Arial" w:cs="Arial" w:eastAsia="Arial" w:hAnsi="Arial"/>
                <w:sz w:val="12"/>
                <w:szCs w:val="12"/>
                <w:color w:val="auto"/>
              </w:rPr>
              <w:t>2026, the third anniversary of the grant date. The number of earned PSUs was 81% of the target award, as discussed under “Compensation</w:t>
            </w:r>
          </w:p>
        </w:tc>
        <w:tc>
          <w:tcPr>
            <w:tcW w:w="240" w:type="dxa"/>
            <w:vAlign w:val="bottom"/>
            <w:shd w:val="clear" w:color="auto" w:fill="002B5F"/>
          </w:tcPr>
          <w:p>
            <w:pPr>
              <w:spacing w:after="0"/>
              <w:rPr>
                <w:sz w:val="5"/>
                <w:szCs w:val="5"/>
                <w:color w:val="auto"/>
              </w:rPr>
            </w:pPr>
          </w:p>
        </w:tc>
        <w:tc>
          <w:tcPr>
            <w:tcW w:w="1280" w:type="dxa"/>
            <w:vAlign w:val="bottom"/>
            <w:vMerge w:val="continue"/>
            <w:shd w:val="clear" w:color="auto" w:fill="002B5F"/>
          </w:tcPr>
          <w:p>
            <w:pPr>
              <w:spacing w:after="0"/>
              <w:rPr>
                <w:sz w:val="5"/>
                <w:szCs w:val="5"/>
                <w:color w:val="auto"/>
              </w:rPr>
            </w:pPr>
          </w:p>
        </w:tc>
        <w:tc>
          <w:tcPr>
            <w:tcW w:w="460" w:type="dxa"/>
            <w:vAlign w:val="bottom"/>
            <w:shd w:val="clear" w:color="auto" w:fill="002B5F"/>
          </w:tcPr>
          <w:p>
            <w:pPr>
              <w:spacing w:after="0"/>
              <w:rPr>
                <w:sz w:val="5"/>
                <w:szCs w:val="5"/>
                <w:color w:val="auto"/>
              </w:rPr>
            </w:pPr>
          </w:p>
        </w:tc>
        <w:tc>
          <w:tcPr>
            <w:tcW w:w="0" w:type="dxa"/>
            <w:vAlign w:val="bottom"/>
          </w:tcPr>
          <w:p>
            <w:pPr>
              <w:spacing w:after="0"/>
              <w:rPr>
                <w:sz w:val="1"/>
                <w:szCs w:val="1"/>
                <w:color w:val="auto"/>
              </w:rPr>
            </w:pPr>
          </w:p>
        </w:tc>
      </w:tr>
      <w:tr>
        <w:trPr>
          <w:trHeight w:val="64"/>
        </w:trPr>
        <w:tc>
          <w:tcPr>
            <w:tcW w:w="8300" w:type="dxa"/>
            <w:vAlign w:val="bottom"/>
            <w:vMerge w:val="continue"/>
          </w:tcPr>
          <w:p>
            <w:pPr>
              <w:spacing w:after="0"/>
              <w:rPr>
                <w:sz w:val="5"/>
                <w:szCs w:val="5"/>
                <w:color w:val="auto"/>
              </w:rPr>
            </w:pPr>
          </w:p>
        </w:tc>
        <w:tc>
          <w:tcPr>
            <w:tcW w:w="240" w:type="dxa"/>
            <w:vAlign w:val="bottom"/>
            <w:shd w:val="clear" w:color="auto" w:fill="002B5F"/>
          </w:tcPr>
          <w:p>
            <w:pPr>
              <w:spacing w:after="0"/>
              <w:rPr>
                <w:sz w:val="5"/>
                <w:szCs w:val="5"/>
                <w:color w:val="auto"/>
              </w:rPr>
            </w:pPr>
          </w:p>
        </w:tc>
        <w:tc>
          <w:tcPr>
            <w:tcW w:w="1280" w:type="dxa"/>
            <w:vAlign w:val="bottom"/>
            <w:vMerge w:val="restart"/>
            <w:shd w:val="clear" w:color="auto" w:fill="002B5F"/>
          </w:tcPr>
          <w:p>
            <w:pPr>
              <w:ind w:left="140"/>
              <w:spacing w:after="0" w:line="128" w:lineRule="exact"/>
              <w:rPr>
                <w:sz w:val="20"/>
                <w:szCs w:val="20"/>
                <w:color w:val="auto"/>
              </w:rPr>
            </w:pPr>
            <w:r>
              <w:rPr>
                <w:rFonts w:ascii="Arial" w:cs="Arial" w:eastAsia="Arial" w:hAnsi="Arial"/>
                <w:sz w:val="12"/>
                <w:szCs w:val="12"/>
                <w:color w:val="FFFFFF"/>
              </w:rPr>
              <w:t>Regarding Board</w:t>
            </w:r>
          </w:p>
        </w:tc>
        <w:tc>
          <w:tcPr>
            <w:tcW w:w="460" w:type="dxa"/>
            <w:vAlign w:val="bottom"/>
            <w:shd w:val="clear" w:color="auto" w:fill="002B5F"/>
          </w:tcPr>
          <w:p>
            <w:pPr>
              <w:spacing w:after="0"/>
              <w:rPr>
                <w:sz w:val="5"/>
                <w:szCs w:val="5"/>
                <w:color w:val="auto"/>
              </w:rPr>
            </w:pPr>
          </w:p>
        </w:tc>
        <w:tc>
          <w:tcPr>
            <w:tcW w:w="0" w:type="dxa"/>
            <w:vAlign w:val="bottom"/>
          </w:tcPr>
          <w:p>
            <w:pPr>
              <w:spacing w:after="0"/>
              <w:rPr>
                <w:sz w:val="1"/>
                <w:szCs w:val="1"/>
                <w:color w:val="auto"/>
              </w:rPr>
            </w:pPr>
          </w:p>
        </w:tc>
      </w:tr>
      <w:tr>
        <w:trPr>
          <w:trHeight w:val="64"/>
        </w:trPr>
        <w:tc>
          <w:tcPr>
            <w:tcW w:w="8300" w:type="dxa"/>
            <w:vAlign w:val="bottom"/>
            <w:vMerge w:val="restart"/>
          </w:tcPr>
          <w:p>
            <w:pPr>
              <w:ind w:left="240"/>
              <w:spacing w:after="0"/>
              <w:rPr>
                <w:sz w:val="20"/>
                <w:szCs w:val="20"/>
                <w:color w:val="auto"/>
              </w:rPr>
            </w:pPr>
            <w:r>
              <w:rPr>
                <w:rFonts w:ascii="Arial" w:cs="Arial" w:eastAsia="Arial" w:hAnsi="Arial"/>
                <w:sz w:val="12"/>
                <w:szCs w:val="12"/>
                <w:color w:val="auto"/>
              </w:rPr>
              <w:t>Discussion and Analysis—Long-Term Equity Incentive Awards Granted in 2025—Payout of 2023 PSUs.”</w:t>
            </w:r>
          </w:p>
        </w:tc>
        <w:tc>
          <w:tcPr>
            <w:tcW w:w="240" w:type="dxa"/>
            <w:vAlign w:val="bottom"/>
            <w:shd w:val="clear" w:color="auto" w:fill="002B5F"/>
          </w:tcPr>
          <w:p>
            <w:pPr>
              <w:spacing w:after="0"/>
              <w:rPr>
                <w:sz w:val="5"/>
                <w:szCs w:val="5"/>
                <w:color w:val="auto"/>
              </w:rPr>
            </w:pPr>
          </w:p>
        </w:tc>
        <w:tc>
          <w:tcPr>
            <w:tcW w:w="1280" w:type="dxa"/>
            <w:vAlign w:val="bottom"/>
            <w:vMerge w:val="continue"/>
            <w:shd w:val="clear" w:color="auto" w:fill="002B5F"/>
          </w:tcPr>
          <w:p>
            <w:pPr>
              <w:spacing w:after="0"/>
              <w:rPr>
                <w:sz w:val="5"/>
                <w:szCs w:val="5"/>
                <w:color w:val="auto"/>
              </w:rPr>
            </w:pPr>
          </w:p>
        </w:tc>
        <w:tc>
          <w:tcPr>
            <w:tcW w:w="460" w:type="dxa"/>
            <w:vAlign w:val="bottom"/>
            <w:shd w:val="clear" w:color="auto" w:fill="002B5F"/>
          </w:tcPr>
          <w:p>
            <w:pPr>
              <w:spacing w:after="0"/>
              <w:rPr>
                <w:sz w:val="5"/>
                <w:szCs w:val="5"/>
                <w:color w:val="auto"/>
              </w:rPr>
            </w:pPr>
          </w:p>
        </w:tc>
        <w:tc>
          <w:tcPr>
            <w:tcW w:w="0" w:type="dxa"/>
            <w:vAlign w:val="bottom"/>
          </w:tcPr>
          <w:p>
            <w:pPr>
              <w:spacing w:after="0"/>
              <w:rPr>
                <w:sz w:val="1"/>
                <w:szCs w:val="1"/>
                <w:color w:val="auto"/>
              </w:rPr>
            </w:pPr>
          </w:p>
        </w:tc>
      </w:tr>
      <w:tr>
        <w:trPr>
          <w:trHeight w:val="94"/>
        </w:trPr>
        <w:tc>
          <w:tcPr>
            <w:tcW w:w="8300" w:type="dxa"/>
            <w:vAlign w:val="bottom"/>
            <w:vMerge w:val="continue"/>
          </w:tcPr>
          <w:p>
            <w:pPr>
              <w:spacing w:after="0"/>
              <w:rPr>
                <w:sz w:val="8"/>
                <w:szCs w:val="8"/>
                <w:color w:val="auto"/>
              </w:rPr>
            </w:pPr>
          </w:p>
        </w:tc>
        <w:tc>
          <w:tcPr>
            <w:tcW w:w="240" w:type="dxa"/>
            <w:vAlign w:val="bottom"/>
            <w:shd w:val="clear" w:color="auto" w:fill="002B5F"/>
          </w:tcPr>
          <w:p>
            <w:pPr>
              <w:spacing w:after="0"/>
              <w:rPr>
                <w:sz w:val="8"/>
                <w:szCs w:val="8"/>
                <w:color w:val="auto"/>
              </w:rPr>
            </w:pPr>
          </w:p>
        </w:tc>
        <w:tc>
          <w:tcPr>
            <w:tcW w:w="1280" w:type="dxa"/>
            <w:vAlign w:val="bottom"/>
            <w:vMerge w:val="restart"/>
            <w:shd w:val="clear" w:color="auto" w:fill="002B5F"/>
          </w:tcPr>
          <w:p>
            <w:pPr>
              <w:ind w:left="140"/>
              <w:spacing w:after="0" w:line="128" w:lineRule="exact"/>
              <w:rPr>
                <w:sz w:val="20"/>
                <w:szCs w:val="20"/>
                <w:color w:val="auto"/>
              </w:rPr>
            </w:pPr>
            <w:r>
              <w:rPr>
                <w:rFonts w:ascii="Arial" w:cs="Arial" w:eastAsia="Arial" w:hAnsi="Arial"/>
                <w:sz w:val="12"/>
                <w:szCs w:val="12"/>
                <w:color w:val="FFFFFF"/>
              </w:rPr>
              <w:t>and Committee</w:t>
            </w:r>
          </w:p>
        </w:tc>
        <w:tc>
          <w:tcPr>
            <w:tcW w:w="460" w:type="dxa"/>
            <w:vAlign w:val="bottom"/>
            <w:shd w:val="clear" w:color="auto" w:fill="002B5F"/>
          </w:tcPr>
          <w:p>
            <w:pPr>
              <w:spacing w:after="0"/>
              <w:rPr>
                <w:sz w:val="8"/>
                <w:szCs w:val="8"/>
                <w:color w:val="auto"/>
              </w:rPr>
            </w:pPr>
          </w:p>
        </w:tc>
        <w:tc>
          <w:tcPr>
            <w:tcW w:w="0" w:type="dxa"/>
            <w:vAlign w:val="bottom"/>
          </w:tcPr>
          <w:p>
            <w:pPr>
              <w:spacing w:after="0"/>
              <w:rPr>
                <w:sz w:val="1"/>
                <w:szCs w:val="1"/>
                <w:color w:val="auto"/>
              </w:rPr>
            </w:pPr>
          </w:p>
        </w:tc>
      </w:tr>
      <w:tr>
        <w:trPr>
          <w:trHeight w:val="34"/>
        </w:trPr>
        <w:tc>
          <w:tcPr>
            <w:tcW w:w="8300" w:type="dxa"/>
            <w:vAlign w:val="bottom"/>
          </w:tcPr>
          <w:p>
            <w:pPr>
              <w:spacing w:after="0"/>
              <w:rPr>
                <w:sz w:val="2"/>
                <w:szCs w:val="2"/>
                <w:color w:val="auto"/>
              </w:rPr>
            </w:pPr>
          </w:p>
        </w:tc>
        <w:tc>
          <w:tcPr>
            <w:tcW w:w="240" w:type="dxa"/>
            <w:vAlign w:val="bottom"/>
            <w:shd w:val="clear" w:color="auto" w:fill="002B5F"/>
          </w:tcPr>
          <w:p>
            <w:pPr>
              <w:spacing w:after="0"/>
              <w:rPr>
                <w:sz w:val="2"/>
                <w:szCs w:val="2"/>
                <w:color w:val="auto"/>
              </w:rPr>
            </w:pPr>
          </w:p>
        </w:tc>
        <w:tc>
          <w:tcPr>
            <w:tcW w:w="1280" w:type="dxa"/>
            <w:vAlign w:val="bottom"/>
            <w:vMerge w:val="continue"/>
            <w:shd w:val="clear" w:color="auto" w:fill="002B5F"/>
          </w:tcPr>
          <w:p>
            <w:pPr>
              <w:spacing w:after="0"/>
              <w:rPr>
                <w:sz w:val="2"/>
                <w:szCs w:val="2"/>
                <w:color w:val="auto"/>
              </w:rPr>
            </w:pPr>
          </w:p>
        </w:tc>
        <w:tc>
          <w:tcPr>
            <w:tcW w:w="460" w:type="dxa"/>
            <w:vAlign w:val="bottom"/>
            <w:shd w:val="clear" w:color="auto" w:fill="002B5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8"/>
        </w:trPr>
        <w:tc>
          <w:tcPr>
            <w:tcW w:w="8300" w:type="dxa"/>
            <w:vAlign w:val="bottom"/>
          </w:tcPr>
          <w:p>
            <w:pPr>
              <w:spacing w:after="0" w:line="128" w:lineRule="exact"/>
              <w:rPr>
                <w:sz w:val="20"/>
                <w:szCs w:val="20"/>
                <w:color w:val="auto"/>
              </w:rPr>
            </w:pPr>
            <w:r>
              <w:rPr>
                <w:rFonts w:ascii="Arial" w:cs="Arial" w:eastAsia="Arial" w:hAnsi="Arial"/>
                <w:sz w:val="12"/>
                <w:szCs w:val="12"/>
                <w:color w:val="auto"/>
              </w:rPr>
              <w:t>(7)  Amounts represent PSUs and assume achievement of performance at maximum levels. PSUs are eligible to become earned PSUs based on the</w:t>
            </w:r>
          </w:p>
        </w:tc>
        <w:tc>
          <w:tcPr>
            <w:tcW w:w="240" w:type="dxa"/>
            <w:vAlign w:val="bottom"/>
            <w:shd w:val="clear" w:color="auto" w:fill="002B5F"/>
          </w:tcPr>
          <w:p>
            <w:pPr>
              <w:spacing w:after="0"/>
              <w:rPr>
                <w:sz w:val="11"/>
                <w:szCs w:val="11"/>
                <w:color w:val="auto"/>
              </w:rPr>
            </w:pPr>
          </w:p>
        </w:tc>
        <w:tc>
          <w:tcPr>
            <w:tcW w:w="1280" w:type="dxa"/>
            <w:vAlign w:val="bottom"/>
            <w:shd w:val="clear" w:color="auto" w:fill="002B5F"/>
          </w:tcPr>
          <w:p>
            <w:pPr>
              <w:ind w:left="140"/>
              <w:spacing w:after="0" w:line="128" w:lineRule="exact"/>
              <w:rPr>
                <w:sz w:val="20"/>
                <w:szCs w:val="20"/>
                <w:color w:val="auto"/>
              </w:rPr>
            </w:pPr>
            <w:r>
              <w:rPr>
                <w:rFonts w:ascii="Arial" w:cs="Arial" w:eastAsia="Arial" w:hAnsi="Arial"/>
                <w:sz w:val="12"/>
                <w:szCs w:val="12"/>
                <w:color w:val="FFFFFF"/>
              </w:rPr>
              <w:t>Structure</w:t>
            </w:r>
          </w:p>
        </w:tc>
        <w:tc>
          <w:tcPr>
            <w:tcW w:w="460" w:type="dxa"/>
            <w:vAlign w:val="bottom"/>
            <w:shd w:val="clear" w:color="auto" w:fill="002B5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300" w:type="dxa"/>
            <w:vAlign w:val="bottom"/>
          </w:tcPr>
          <w:p>
            <w:pPr>
              <w:ind w:left="240"/>
              <w:spacing w:after="0" w:line="128" w:lineRule="exact"/>
              <w:rPr>
                <w:sz w:val="20"/>
                <w:szCs w:val="20"/>
                <w:color w:val="auto"/>
              </w:rPr>
            </w:pPr>
            <w:r>
              <w:rPr>
                <w:rFonts w:ascii="Arial" w:cs="Arial" w:eastAsia="Arial" w:hAnsi="Arial"/>
                <w:sz w:val="12"/>
                <w:szCs w:val="12"/>
                <w:color w:val="auto"/>
              </w:rPr>
              <w:t>Company’s TSR relative to the TSR of the Comparator Group (as defined above) over the Performance Period (as defined above). The number</w:t>
            </w:r>
          </w:p>
        </w:tc>
        <w:tc>
          <w:tcPr>
            <w:tcW w:w="240" w:type="dxa"/>
            <w:vAlign w:val="bottom"/>
            <w:shd w:val="clear" w:color="auto" w:fill="002B5F"/>
          </w:tcPr>
          <w:p>
            <w:pPr>
              <w:spacing w:after="0"/>
              <w:rPr>
                <w:sz w:val="11"/>
                <w:szCs w:val="11"/>
                <w:color w:val="auto"/>
              </w:rPr>
            </w:pPr>
          </w:p>
        </w:tc>
        <w:tc>
          <w:tcPr>
            <w:tcW w:w="1280" w:type="dxa"/>
            <w:vAlign w:val="bottom"/>
            <w:shd w:val="clear" w:color="auto" w:fill="002B5F"/>
          </w:tcPr>
          <w:p>
            <w:pPr>
              <w:spacing w:after="0"/>
              <w:rPr>
                <w:sz w:val="11"/>
                <w:szCs w:val="11"/>
                <w:color w:val="auto"/>
              </w:rPr>
            </w:pPr>
          </w:p>
        </w:tc>
        <w:tc>
          <w:tcPr>
            <w:tcW w:w="460" w:type="dxa"/>
            <w:vAlign w:val="bottom"/>
            <w:shd w:val="clear" w:color="auto" w:fill="002B5F"/>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8300" w:type="dxa"/>
            <w:vAlign w:val="bottom"/>
          </w:tcPr>
          <w:p>
            <w:pPr>
              <w:ind w:left="240"/>
              <w:spacing w:after="0"/>
              <w:rPr>
                <w:sz w:val="20"/>
                <w:szCs w:val="20"/>
                <w:color w:val="auto"/>
              </w:rPr>
            </w:pPr>
            <w:r>
              <w:rPr>
                <w:rFonts w:ascii="Arial" w:cs="Arial" w:eastAsia="Arial" w:hAnsi="Arial"/>
                <w:sz w:val="12"/>
                <w:szCs w:val="12"/>
                <w:color w:val="auto"/>
              </w:rPr>
              <w:t>of PSUs that is earned is determined based on the Company’s relative ranking between the 25th and the 80th percentiles of the Comparator</w:t>
            </w:r>
          </w:p>
        </w:tc>
        <w:tc>
          <w:tcPr>
            <w:tcW w:w="240" w:type="dxa"/>
            <w:vAlign w:val="bottom"/>
            <w:shd w:val="clear" w:color="auto" w:fill="002B5F"/>
          </w:tcPr>
          <w:p>
            <w:pPr>
              <w:spacing w:after="0"/>
              <w:rPr>
                <w:sz w:val="13"/>
                <w:szCs w:val="13"/>
                <w:color w:val="auto"/>
              </w:rPr>
            </w:pPr>
          </w:p>
        </w:tc>
        <w:tc>
          <w:tcPr>
            <w:tcW w:w="1280" w:type="dxa"/>
            <w:vAlign w:val="bottom"/>
            <w:shd w:val="clear" w:color="auto" w:fill="002B5F"/>
          </w:tcPr>
          <w:p>
            <w:pPr>
              <w:ind w:left="140"/>
              <w:spacing w:after="0"/>
              <w:rPr>
                <w:sz w:val="20"/>
                <w:szCs w:val="20"/>
                <w:color w:val="auto"/>
              </w:rPr>
            </w:pPr>
            <w:r>
              <w:rPr>
                <w:rFonts w:ascii="Arial" w:cs="Arial" w:eastAsia="Arial" w:hAnsi="Arial"/>
                <w:sz w:val="12"/>
                <w:szCs w:val="12"/>
                <w:color w:val="FFFFFF"/>
              </w:rPr>
              <w:t>Board of Directors</w:t>
            </w:r>
          </w:p>
        </w:tc>
        <w:tc>
          <w:tcPr>
            <w:tcW w:w="460" w:type="dxa"/>
            <w:vAlign w:val="bottom"/>
            <w:shd w:val="clear" w:color="auto" w:fill="002B5F"/>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8300" w:type="dxa"/>
            <w:vAlign w:val="bottom"/>
          </w:tcPr>
          <w:p>
            <w:pPr>
              <w:ind w:left="240"/>
              <w:spacing w:after="0" w:line="128" w:lineRule="exact"/>
              <w:rPr>
                <w:sz w:val="20"/>
                <w:szCs w:val="20"/>
                <w:color w:val="auto"/>
              </w:rPr>
            </w:pPr>
            <w:r>
              <w:rPr>
                <w:rFonts w:ascii="Arial" w:cs="Arial" w:eastAsia="Arial" w:hAnsi="Arial"/>
                <w:sz w:val="12"/>
                <w:szCs w:val="12"/>
                <w:color w:val="auto"/>
              </w:rPr>
              <w:t>Group’s TSR results. If threshold performance were achieved (a TSR percentile rank at 25%), 50% of the target award would be earned; if target</w:t>
            </w:r>
          </w:p>
        </w:tc>
        <w:tc>
          <w:tcPr>
            <w:tcW w:w="240" w:type="dxa"/>
            <w:vAlign w:val="bottom"/>
            <w:shd w:val="clear" w:color="auto" w:fill="002B5F"/>
          </w:tcPr>
          <w:p>
            <w:pPr>
              <w:spacing w:after="0"/>
              <w:rPr>
                <w:sz w:val="11"/>
                <w:szCs w:val="11"/>
                <w:color w:val="auto"/>
              </w:rPr>
            </w:pPr>
          </w:p>
        </w:tc>
        <w:tc>
          <w:tcPr>
            <w:tcW w:w="1280" w:type="dxa"/>
            <w:vAlign w:val="bottom"/>
            <w:shd w:val="clear" w:color="auto" w:fill="002B5F"/>
          </w:tcPr>
          <w:p>
            <w:pPr>
              <w:ind w:left="140"/>
              <w:spacing w:after="0" w:line="128" w:lineRule="exact"/>
              <w:rPr>
                <w:sz w:val="20"/>
                <w:szCs w:val="20"/>
                <w:color w:val="auto"/>
              </w:rPr>
            </w:pPr>
            <w:r>
              <w:rPr>
                <w:rFonts w:ascii="Arial" w:cs="Arial" w:eastAsia="Arial" w:hAnsi="Arial"/>
                <w:sz w:val="12"/>
                <w:szCs w:val="12"/>
                <w:color w:val="FFFFFF"/>
              </w:rPr>
              <w:t>Compensation</w:t>
            </w:r>
          </w:p>
        </w:tc>
        <w:tc>
          <w:tcPr>
            <w:tcW w:w="460" w:type="dxa"/>
            <w:vAlign w:val="bottom"/>
            <w:shd w:val="clear" w:color="auto" w:fill="002B5F"/>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8300" w:type="dxa"/>
            <w:vAlign w:val="bottom"/>
          </w:tcPr>
          <w:p>
            <w:pPr>
              <w:ind w:left="240"/>
              <w:spacing w:after="0" w:line="97" w:lineRule="exact"/>
              <w:rPr>
                <w:sz w:val="20"/>
                <w:szCs w:val="20"/>
                <w:color w:val="auto"/>
              </w:rPr>
            </w:pPr>
            <w:r>
              <w:rPr>
                <w:rFonts w:ascii="Arial" w:cs="Arial" w:eastAsia="Arial" w:hAnsi="Arial"/>
                <w:sz w:val="11"/>
                <w:szCs w:val="11"/>
                <w:color w:val="auto"/>
              </w:rPr>
              <w:t>performance were achieved (a TSR percentile rank at 50%), 100% of the target award would be earned; and if maximum performance were</w:t>
            </w:r>
          </w:p>
        </w:tc>
        <w:tc>
          <w:tcPr>
            <w:tcW w:w="240" w:type="dxa"/>
            <w:vAlign w:val="bottom"/>
            <w:shd w:val="clear" w:color="auto" w:fill="002B5F"/>
          </w:tcPr>
          <w:p>
            <w:pPr>
              <w:spacing w:after="0"/>
              <w:rPr>
                <w:sz w:val="8"/>
                <w:szCs w:val="8"/>
                <w:color w:val="auto"/>
              </w:rPr>
            </w:pPr>
          </w:p>
        </w:tc>
        <w:tc>
          <w:tcPr>
            <w:tcW w:w="1280" w:type="dxa"/>
            <w:vAlign w:val="bottom"/>
            <w:shd w:val="clear" w:color="auto" w:fill="002B5F"/>
          </w:tcPr>
          <w:p>
            <w:pPr>
              <w:spacing w:after="0"/>
              <w:rPr>
                <w:sz w:val="8"/>
                <w:szCs w:val="8"/>
                <w:color w:val="auto"/>
              </w:rPr>
            </w:pPr>
          </w:p>
        </w:tc>
        <w:tc>
          <w:tcPr>
            <w:tcW w:w="460" w:type="dxa"/>
            <w:vAlign w:val="bottom"/>
            <w:shd w:val="clear" w:color="auto" w:fill="002B5F"/>
          </w:tcPr>
          <w:p>
            <w:pPr>
              <w:spacing w:after="0"/>
              <w:rPr>
                <w:sz w:val="8"/>
                <w:szCs w:val="8"/>
                <w:color w:val="auto"/>
              </w:rPr>
            </w:pPr>
          </w:p>
        </w:tc>
        <w:tc>
          <w:tcPr>
            <w:tcW w:w="0" w:type="dxa"/>
            <w:vAlign w:val="bottom"/>
          </w:tcPr>
          <w:p>
            <w:pPr>
              <w:spacing w:after="0"/>
              <w:rPr>
                <w:sz w:val="1"/>
                <w:szCs w:val="1"/>
                <w:color w:val="auto"/>
              </w:rPr>
            </w:pPr>
          </w:p>
        </w:tc>
      </w:tr>
      <w:tr>
        <w:trPr>
          <w:trHeight w:val="128"/>
        </w:trPr>
        <w:tc>
          <w:tcPr>
            <w:tcW w:w="8300" w:type="dxa"/>
            <w:vAlign w:val="bottom"/>
          </w:tcPr>
          <w:p>
            <w:pPr>
              <w:ind w:left="240"/>
              <w:spacing w:after="0" w:line="128" w:lineRule="exact"/>
              <w:rPr>
                <w:sz w:val="20"/>
                <w:szCs w:val="20"/>
                <w:color w:val="auto"/>
              </w:rPr>
            </w:pPr>
            <w:r>
              <w:rPr>
                <w:rFonts w:ascii="Arial" w:cs="Arial" w:eastAsia="Arial" w:hAnsi="Arial"/>
                <w:sz w:val="12"/>
                <w:szCs w:val="12"/>
                <w:color w:val="auto"/>
              </w:rPr>
              <w:t>achieved (a TSR percentile rank at or above 80%), 200% of the target award would be earned. The number of PSUs earned between threshold,</w:t>
            </w:r>
          </w:p>
        </w:tc>
        <w:tc>
          <w:tcPr>
            <w:tcW w:w="240" w:type="dxa"/>
            <w:vAlign w:val="bottom"/>
            <w:shd w:val="clear" w:color="auto" w:fill="002B5F"/>
          </w:tcPr>
          <w:p>
            <w:pPr>
              <w:spacing w:after="0"/>
              <w:rPr>
                <w:sz w:val="11"/>
                <w:szCs w:val="11"/>
                <w:color w:val="auto"/>
              </w:rPr>
            </w:pPr>
          </w:p>
        </w:tc>
        <w:tc>
          <w:tcPr>
            <w:tcW w:w="1280" w:type="dxa"/>
            <w:vAlign w:val="bottom"/>
            <w:vMerge w:val="restart"/>
            <w:shd w:val="clear" w:color="auto" w:fill="002B5F"/>
          </w:tcPr>
          <w:p>
            <w:pPr>
              <w:ind w:left="140"/>
              <w:spacing w:after="0"/>
              <w:rPr>
                <w:sz w:val="20"/>
                <w:szCs w:val="20"/>
                <w:color w:val="auto"/>
              </w:rPr>
            </w:pPr>
            <w:r>
              <w:rPr>
                <w:rFonts w:ascii="Arial" w:cs="Arial" w:eastAsia="Arial" w:hAnsi="Arial"/>
                <w:sz w:val="12"/>
                <w:szCs w:val="12"/>
                <w:color w:val="FFFFFF"/>
              </w:rPr>
              <w:t>Compensation</w:t>
            </w:r>
          </w:p>
        </w:tc>
        <w:tc>
          <w:tcPr>
            <w:tcW w:w="460" w:type="dxa"/>
            <w:vAlign w:val="bottom"/>
            <w:shd w:val="clear" w:color="auto" w:fill="002B5F"/>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8300" w:type="dxa"/>
            <w:vAlign w:val="bottom"/>
            <w:vMerge w:val="restart"/>
          </w:tcPr>
          <w:p>
            <w:pPr>
              <w:ind w:left="240"/>
              <w:spacing w:after="0" w:line="128" w:lineRule="exact"/>
              <w:rPr>
                <w:sz w:val="20"/>
                <w:szCs w:val="20"/>
                <w:color w:val="auto"/>
              </w:rPr>
            </w:pPr>
            <w:r>
              <w:rPr>
                <w:rFonts w:ascii="Arial" w:cs="Arial" w:eastAsia="Arial" w:hAnsi="Arial"/>
                <w:sz w:val="12"/>
                <w:szCs w:val="12"/>
                <w:color w:val="auto"/>
              </w:rPr>
              <w:t>target and maximum performance levels is interpolated on a straight-line basis between performance levels. No PSUs will be earned if</w:t>
            </w:r>
          </w:p>
        </w:tc>
        <w:tc>
          <w:tcPr>
            <w:tcW w:w="240" w:type="dxa"/>
            <w:vAlign w:val="bottom"/>
            <w:shd w:val="clear" w:color="auto" w:fill="002B5F"/>
          </w:tcPr>
          <w:p>
            <w:pPr>
              <w:spacing w:after="0"/>
              <w:rPr>
                <w:sz w:val="6"/>
                <w:szCs w:val="6"/>
                <w:color w:val="auto"/>
              </w:rPr>
            </w:pPr>
          </w:p>
        </w:tc>
        <w:tc>
          <w:tcPr>
            <w:tcW w:w="1280" w:type="dxa"/>
            <w:vAlign w:val="bottom"/>
            <w:vMerge w:val="continue"/>
            <w:shd w:val="clear" w:color="auto" w:fill="002B5F"/>
          </w:tcPr>
          <w:p>
            <w:pPr>
              <w:spacing w:after="0"/>
              <w:rPr>
                <w:sz w:val="6"/>
                <w:szCs w:val="6"/>
                <w:color w:val="auto"/>
              </w:rPr>
            </w:pPr>
          </w:p>
        </w:tc>
        <w:tc>
          <w:tcPr>
            <w:tcW w:w="460" w:type="dxa"/>
            <w:vAlign w:val="bottom"/>
            <w:shd w:val="clear" w:color="auto" w:fill="002B5F"/>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8300" w:type="dxa"/>
            <w:vAlign w:val="bottom"/>
            <w:vMerge w:val="continue"/>
          </w:tcPr>
          <w:p>
            <w:pPr>
              <w:spacing w:after="0"/>
              <w:rPr>
                <w:sz w:val="4"/>
                <w:szCs w:val="4"/>
                <w:color w:val="auto"/>
              </w:rPr>
            </w:pPr>
          </w:p>
        </w:tc>
        <w:tc>
          <w:tcPr>
            <w:tcW w:w="240" w:type="dxa"/>
            <w:vAlign w:val="bottom"/>
            <w:shd w:val="clear" w:color="auto" w:fill="002B5F"/>
          </w:tcPr>
          <w:p>
            <w:pPr>
              <w:spacing w:after="0"/>
              <w:rPr>
                <w:sz w:val="4"/>
                <w:szCs w:val="4"/>
                <w:color w:val="auto"/>
              </w:rPr>
            </w:pPr>
          </w:p>
        </w:tc>
        <w:tc>
          <w:tcPr>
            <w:tcW w:w="1280" w:type="dxa"/>
            <w:vAlign w:val="bottom"/>
            <w:vMerge w:val="restart"/>
            <w:shd w:val="clear" w:color="auto" w:fill="002B5F"/>
          </w:tcPr>
          <w:p>
            <w:pPr>
              <w:ind w:left="140"/>
              <w:spacing w:after="0" w:line="128" w:lineRule="exact"/>
              <w:rPr>
                <w:sz w:val="20"/>
                <w:szCs w:val="20"/>
                <w:color w:val="auto"/>
              </w:rPr>
            </w:pPr>
            <w:r>
              <w:rPr>
                <w:rFonts w:ascii="Arial" w:cs="Arial" w:eastAsia="Arial" w:hAnsi="Arial"/>
                <w:sz w:val="12"/>
                <w:szCs w:val="12"/>
                <w:color w:val="FFFFFF"/>
              </w:rPr>
              <w:t>Discussion and</w:t>
            </w:r>
          </w:p>
        </w:tc>
        <w:tc>
          <w:tcPr>
            <w:tcW w:w="460" w:type="dxa"/>
            <w:vAlign w:val="bottom"/>
            <w:shd w:val="clear" w:color="auto" w:fill="002B5F"/>
          </w:tcPr>
          <w:p>
            <w:pPr>
              <w:spacing w:after="0"/>
              <w:rPr>
                <w:sz w:val="4"/>
                <w:szCs w:val="4"/>
                <w:color w:val="auto"/>
              </w:rPr>
            </w:pPr>
          </w:p>
        </w:tc>
        <w:tc>
          <w:tcPr>
            <w:tcW w:w="0" w:type="dxa"/>
            <w:vAlign w:val="bottom"/>
          </w:tcPr>
          <w:p>
            <w:pPr>
              <w:spacing w:after="0"/>
              <w:rPr>
                <w:sz w:val="1"/>
                <w:szCs w:val="1"/>
                <w:color w:val="auto"/>
              </w:rPr>
            </w:pPr>
          </w:p>
        </w:tc>
      </w:tr>
      <w:tr>
        <w:trPr>
          <w:trHeight w:val="77"/>
        </w:trPr>
        <w:tc>
          <w:tcPr>
            <w:tcW w:w="8300" w:type="dxa"/>
            <w:vAlign w:val="bottom"/>
            <w:vMerge w:val="restart"/>
          </w:tcPr>
          <w:p>
            <w:pPr>
              <w:ind w:left="240"/>
              <w:spacing w:after="0" w:line="128" w:lineRule="exact"/>
              <w:rPr>
                <w:sz w:val="20"/>
                <w:szCs w:val="20"/>
                <w:color w:val="auto"/>
              </w:rPr>
            </w:pPr>
            <w:r>
              <w:rPr>
                <w:rFonts w:ascii="Arial" w:cs="Arial" w:eastAsia="Arial" w:hAnsi="Arial"/>
                <w:sz w:val="12"/>
                <w:szCs w:val="12"/>
                <w:color w:val="auto"/>
              </w:rPr>
              <w:t>performance is below the threshold level. The number of earned PSUs is capped at 100% of the target award if the Company’s TSR is negative</w:t>
            </w:r>
          </w:p>
        </w:tc>
        <w:tc>
          <w:tcPr>
            <w:tcW w:w="240" w:type="dxa"/>
            <w:vAlign w:val="bottom"/>
            <w:shd w:val="clear" w:color="auto" w:fill="002B5F"/>
          </w:tcPr>
          <w:p>
            <w:pPr>
              <w:spacing w:after="0"/>
              <w:rPr>
                <w:sz w:val="6"/>
                <w:szCs w:val="6"/>
                <w:color w:val="auto"/>
              </w:rPr>
            </w:pPr>
          </w:p>
        </w:tc>
        <w:tc>
          <w:tcPr>
            <w:tcW w:w="1280" w:type="dxa"/>
            <w:vAlign w:val="bottom"/>
            <w:vMerge w:val="continue"/>
            <w:shd w:val="clear" w:color="auto" w:fill="002B5F"/>
          </w:tcPr>
          <w:p>
            <w:pPr>
              <w:spacing w:after="0"/>
              <w:rPr>
                <w:sz w:val="6"/>
                <w:szCs w:val="6"/>
                <w:color w:val="auto"/>
              </w:rPr>
            </w:pPr>
          </w:p>
        </w:tc>
        <w:tc>
          <w:tcPr>
            <w:tcW w:w="460" w:type="dxa"/>
            <w:vAlign w:val="bottom"/>
            <w:shd w:val="clear" w:color="auto" w:fill="002B5F"/>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8300" w:type="dxa"/>
            <w:vAlign w:val="bottom"/>
            <w:vMerge w:val="continue"/>
          </w:tcPr>
          <w:p>
            <w:pPr>
              <w:spacing w:after="0"/>
              <w:rPr>
                <w:sz w:val="4"/>
                <w:szCs w:val="4"/>
                <w:color w:val="auto"/>
              </w:rPr>
            </w:pPr>
          </w:p>
        </w:tc>
        <w:tc>
          <w:tcPr>
            <w:tcW w:w="240" w:type="dxa"/>
            <w:vAlign w:val="bottom"/>
            <w:shd w:val="clear" w:color="auto" w:fill="002B5F"/>
          </w:tcPr>
          <w:p>
            <w:pPr>
              <w:spacing w:after="0"/>
              <w:rPr>
                <w:sz w:val="4"/>
                <w:szCs w:val="4"/>
                <w:color w:val="auto"/>
              </w:rPr>
            </w:pPr>
          </w:p>
        </w:tc>
        <w:tc>
          <w:tcPr>
            <w:tcW w:w="1280" w:type="dxa"/>
            <w:vAlign w:val="bottom"/>
            <w:vMerge w:val="restart"/>
            <w:shd w:val="clear" w:color="auto" w:fill="002B5F"/>
          </w:tcPr>
          <w:p>
            <w:pPr>
              <w:ind w:left="140"/>
              <w:spacing w:after="0"/>
              <w:rPr>
                <w:sz w:val="20"/>
                <w:szCs w:val="20"/>
                <w:color w:val="auto"/>
              </w:rPr>
            </w:pPr>
            <w:r>
              <w:rPr>
                <w:rFonts w:ascii="Arial" w:cs="Arial" w:eastAsia="Arial" w:hAnsi="Arial"/>
                <w:sz w:val="12"/>
                <w:szCs w:val="12"/>
                <w:color w:val="FFFFFF"/>
              </w:rPr>
              <w:t>Analysis</w:t>
            </w:r>
          </w:p>
        </w:tc>
        <w:tc>
          <w:tcPr>
            <w:tcW w:w="460" w:type="dxa"/>
            <w:vAlign w:val="bottom"/>
            <w:shd w:val="clear" w:color="auto" w:fill="002B5F"/>
          </w:tcPr>
          <w:p>
            <w:pPr>
              <w:spacing w:after="0"/>
              <w:rPr>
                <w:sz w:val="4"/>
                <w:szCs w:val="4"/>
                <w:color w:val="auto"/>
              </w:rPr>
            </w:pPr>
          </w:p>
        </w:tc>
        <w:tc>
          <w:tcPr>
            <w:tcW w:w="0" w:type="dxa"/>
            <w:vAlign w:val="bottom"/>
          </w:tcPr>
          <w:p>
            <w:pPr>
              <w:spacing w:after="0"/>
              <w:rPr>
                <w:sz w:val="1"/>
                <w:szCs w:val="1"/>
                <w:color w:val="auto"/>
              </w:rPr>
            </w:pPr>
          </w:p>
        </w:tc>
      </w:tr>
      <w:tr>
        <w:trPr>
          <w:trHeight w:val="107"/>
        </w:trPr>
        <w:tc>
          <w:tcPr>
            <w:tcW w:w="8300" w:type="dxa"/>
            <w:vAlign w:val="bottom"/>
            <w:vMerge w:val="restart"/>
          </w:tcPr>
          <w:p>
            <w:pPr>
              <w:ind w:left="240"/>
              <w:spacing w:after="0" w:line="128" w:lineRule="exact"/>
              <w:rPr>
                <w:sz w:val="20"/>
                <w:szCs w:val="20"/>
                <w:color w:val="auto"/>
              </w:rPr>
            </w:pPr>
            <w:r>
              <w:rPr>
                <w:rFonts w:ascii="Arial" w:cs="Arial" w:eastAsia="Arial" w:hAnsi="Arial"/>
                <w:sz w:val="12"/>
                <w:szCs w:val="12"/>
                <w:color w:val="auto"/>
              </w:rPr>
              <w:t>during the Performance Period. Earned PSUs become vested on the later of the third anniversary of the grant date and the date on which the</w:t>
            </w:r>
          </w:p>
        </w:tc>
        <w:tc>
          <w:tcPr>
            <w:tcW w:w="240" w:type="dxa"/>
            <w:vAlign w:val="bottom"/>
            <w:shd w:val="clear" w:color="auto" w:fill="002B5F"/>
          </w:tcPr>
          <w:p>
            <w:pPr>
              <w:spacing w:after="0"/>
              <w:rPr>
                <w:sz w:val="9"/>
                <w:szCs w:val="9"/>
                <w:color w:val="auto"/>
              </w:rPr>
            </w:pPr>
          </w:p>
        </w:tc>
        <w:tc>
          <w:tcPr>
            <w:tcW w:w="1280" w:type="dxa"/>
            <w:vAlign w:val="bottom"/>
            <w:vMerge w:val="continue"/>
            <w:shd w:val="clear" w:color="auto" w:fill="002B5F"/>
          </w:tcPr>
          <w:p>
            <w:pPr>
              <w:spacing w:after="0"/>
              <w:rPr>
                <w:sz w:val="9"/>
                <w:szCs w:val="9"/>
                <w:color w:val="auto"/>
              </w:rPr>
            </w:pPr>
          </w:p>
        </w:tc>
        <w:tc>
          <w:tcPr>
            <w:tcW w:w="460" w:type="dxa"/>
            <w:vAlign w:val="bottom"/>
            <w:shd w:val="clear" w:color="auto" w:fill="002B5F"/>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8300" w:type="dxa"/>
            <w:vAlign w:val="bottom"/>
            <w:vMerge w:val="continue"/>
          </w:tcPr>
          <w:p>
            <w:pPr>
              <w:spacing w:after="0" w:line="20" w:lineRule="exact"/>
              <w:rPr>
                <w:sz w:val="1"/>
                <w:szCs w:val="1"/>
                <w:color w:val="auto"/>
              </w:rPr>
            </w:pPr>
          </w:p>
        </w:tc>
        <w:tc>
          <w:tcPr>
            <w:tcW w:w="240" w:type="dxa"/>
            <w:vAlign w:val="bottom"/>
            <w:shd w:val="clear" w:color="auto" w:fill="002B5F"/>
          </w:tcPr>
          <w:p>
            <w:pPr>
              <w:spacing w:after="0" w:line="20" w:lineRule="exact"/>
              <w:rPr>
                <w:sz w:val="1"/>
                <w:szCs w:val="1"/>
                <w:color w:val="auto"/>
              </w:rPr>
            </w:pPr>
          </w:p>
        </w:tc>
        <w:tc>
          <w:tcPr>
            <w:tcW w:w="1280" w:type="dxa"/>
            <w:vAlign w:val="bottom"/>
            <w:shd w:val="clear" w:color="auto" w:fill="002B5F"/>
          </w:tcPr>
          <w:p>
            <w:pPr>
              <w:spacing w:after="0" w:line="20" w:lineRule="exact"/>
              <w:rPr>
                <w:sz w:val="1"/>
                <w:szCs w:val="1"/>
                <w:color w:val="auto"/>
              </w:rPr>
            </w:pPr>
          </w:p>
        </w:tc>
        <w:tc>
          <w:tcPr>
            <w:tcW w:w="460" w:type="dxa"/>
            <w:vAlign w:val="bottom"/>
            <w:shd w:val="clear" w:color="auto" w:fill="002B5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8300" w:type="dxa"/>
            <w:vAlign w:val="bottom"/>
          </w:tcPr>
          <w:p>
            <w:pPr>
              <w:ind w:left="240"/>
              <w:spacing w:after="0" w:line="128" w:lineRule="exact"/>
              <w:rPr>
                <w:sz w:val="20"/>
                <w:szCs w:val="20"/>
                <w:color w:val="auto"/>
              </w:rPr>
            </w:pPr>
            <w:r>
              <w:rPr>
                <w:rFonts w:ascii="Arial" w:cs="Arial" w:eastAsia="Arial" w:hAnsi="Arial"/>
                <w:sz w:val="12"/>
                <w:szCs w:val="12"/>
                <w:color w:val="auto"/>
              </w:rPr>
              <w:t>Compensation Committee determines the level of achievement of the performance criteria associated with the award and the number of PSUs</w:t>
            </w:r>
          </w:p>
        </w:tc>
        <w:tc>
          <w:tcPr>
            <w:tcW w:w="240" w:type="dxa"/>
            <w:vAlign w:val="bottom"/>
            <w:shd w:val="clear" w:color="auto" w:fill="002B5F"/>
          </w:tcPr>
          <w:p>
            <w:pPr>
              <w:spacing w:after="0"/>
              <w:rPr>
                <w:sz w:val="11"/>
                <w:szCs w:val="11"/>
                <w:color w:val="auto"/>
              </w:rPr>
            </w:pPr>
          </w:p>
        </w:tc>
        <w:tc>
          <w:tcPr>
            <w:tcW w:w="1280" w:type="dxa"/>
            <w:vAlign w:val="bottom"/>
            <w:vMerge w:val="restart"/>
            <w:shd w:val="clear" w:color="auto" w:fill="002B5F"/>
          </w:tcPr>
          <w:p>
            <w:pPr>
              <w:ind w:left="140"/>
              <w:spacing w:after="0"/>
              <w:rPr>
                <w:sz w:val="20"/>
                <w:szCs w:val="20"/>
                <w:color w:val="auto"/>
              </w:rPr>
            </w:pPr>
            <w:r>
              <w:rPr>
                <w:rFonts w:ascii="Arial" w:cs="Arial" w:eastAsia="Arial" w:hAnsi="Arial"/>
                <w:sz w:val="12"/>
                <w:szCs w:val="12"/>
                <w:color w:val="FFFFFF"/>
              </w:rPr>
              <w:t>Report of the</w:t>
            </w:r>
          </w:p>
        </w:tc>
        <w:tc>
          <w:tcPr>
            <w:tcW w:w="460" w:type="dxa"/>
            <w:vAlign w:val="bottom"/>
            <w:shd w:val="clear" w:color="auto" w:fill="002B5F"/>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8300" w:type="dxa"/>
            <w:vAlign w:val="bottom"/>
          </w:tcPr>
          <w:p>
            <w:pPr>
              <w:ind w:left="240"/>
              <w:spacing w:after="0" w:line="120" w:lineRule="exact"/>
              <w:rPr>
                <w:sz w:val="20"/>
                <w:szCs w:val="20"/>
                <w:color w:val="auto"/>
              </w:rPr>
            </w:pPr>
            <w:r>
              <w:rPr>
                <w:rFonts w:ascii="Arial" w:cs="Arial" w:eastAsia="Arial" w:hAnsi="Arial"/>
                <w:sz w:val="12"/>
                <w:szCs w:val="12"/>
                <w:color w:val="auto"/>
              </w:rPr>
              <w:t>that have become earned under the award agreement.</w:t>
            </w:r>
          </w:p>
        </w:tc>
        <w:tc>
          <w:tcPr>
            <w:tcW w:w="240" w:type="dxa"/>
            <w:vAlign w:val="bottom"/>
            <w:shd w:val="clear" w:color="auto" w:fill="002B5F"/>
          </w:tcPr>
          <w:p>
            <w:pPr>
              <w:spacing w:after="0"/>
              <w:rPr>
                <w:sz w:val="10"/>
                <w:szCs w:val="10"/>
                <w:color w:val="auto"/>
              </w:rPr>
            </w:pPr>
          </w:p>
        </w:tc>
        <w:tc>
          <w:tcPr>
            <w:tcW w:w="1280" w:type="dxa"/>
            <w:vAlign w:val="bottom"/>
            <w:vMerge w:val="continue"/>
            <w:shd w:val="clear" w:color="auto" w:fill="002B5F"/>
          </w:tcPr>
          <w:p>
            <w:pPr>
              <w:spacing w:after="0"/>
              <w:rPr>
                <w:sz w:val="10"/>
                <w:szCs w:val="10"/>
                <w:color w:val="auto"/>
              </w:rPr>
            </w:pPr>
          </w:p>
        </w:tc>
        <w:tc>
          <w:tcPr>
            <w:tcW w:w="460" w:type="dxa"/>
            <w:vAlign w:val="bottom"/>
            <w:shd w:val="clear" w:color="auto" w:fill="002B5F"/>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8300" w:type="dxa"/>
            <w:vAlign w:val="bottom"/>
            <w:vMerge w:val="restart"/>
          </w:tcPr>
          <w:p>
            <w:pPr>
              <w:spacing w:after="0"/>
              <w:rPr>
                <w:sz w:val="20"/>
                <w:szCs w:val="20"/>
                <w:color w:val="auto"/>
              </w:rPr>
            </w:pPr>
            <w:r>
              <w:rPr>
                <w:rFonts w:ascii="Arial" w:cs="Arial" w:eastAsia="Arial" w:hAnsi="Arial"/>
                <w:sz w:val="12"/>
                <w:szCs w:val="12"/>
                <w:color w:val="auto"/>
              </w:rPr>
              <w:t>(8)  These awards vested over a three-year period in equal tranches and became fully vested on February 23, 2021.</w:t>
            </w:r>
          </w:p>
        </w:tc>
        <w:tc>
          <w:tcPr>
            <w:tcW w:w="240" w:type="dxa"/>
            <w:vAlign w:val="bottom"/>
            <w:shd w:val="clear" w:color="auto" w:fill="002B5F"/>
          </w:tcPr>
          <w:p>
            <w:pPr>
              <w:spacing w:after="0"/>
              <w:rPr>
                <w:sz w:val="10"/>
                <w:szCs w:val="10"/>
                <w:color w:val="auto"/>
              </w:rPr>
            </w:pPr>
          </w:p>
        </w:tc>
        <w:tc>
          <w:tcPr>
            <w:tcW w:w="1280" w:type="dxa"/>
            <w:vAlign w:val="bottom"/>
            <w:shd w:val="clear" w:color="auto" w:fill="002B5F"/>
          </w:tcPr>
          <w:p>
            <w:pPr>
              <w:ind w:left="140"/>
              <w:spacing w:after="0" w:line="123" w:lineRule="exact"/>
              <w:rPr>
                <w:sz w:val="20"/>
                <w:szCs w:val="20"/>
                <w:color w:val="auto"/>
              </w:rPr>
            </w:pPr>
            <w:r>
              <w:rPr>
                <w:rFonts w:ascii="Arial" w:cs="Arial" w:eastAsia="Arial" w:hAnsi="Arial"/>
                <w:sz w:val="12"/>
                <w:szCs w:val="12"/>
                <w:color w:val="FFFFFF"/>
              </w:rPr>
              <w:t>Compensation</w:t>
            </w:r>
          </w:p>
        </w:tc>
        <w:tc>
          <w:tcPr>
            <w:tcW w:w="460" w:type="dxa"/>
            <w:vAlign w:val="bottom"/>
            <w:shd w:val="clear" w:color="auto" w:fill="002B5F"/>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8300" w:type="dxa"/>
            <w:vAlign w:val="bottom"/>
            <w:vMerge w:val="continue"/>
          </w:tcPr>
          <w:p>
            <w:pPr>
              <w:spacing w:after="0"/>
              <w:rPr>
                <w:sz w:val="9"/>
                <w:szCs w:val="9"/>
                <w:color w:val="auto"/>
              </w:rPr>
            </w:pPr>
          </w:p>
        </w:tc>
        <w:tc>
          <w:tcPr>
            <w:tcW w:w="240" w:type="dxa"/>
            <w:vAlign w:val="bottom"/>
            <w:shd w:val="clear" w:color="auto" w:fill="002B5F"/>
          </w:tcPr>
          <w:p>
            <w:pPr>
              <w:spacing w:after="0"/>
              <w:rPr>
                <w:sz w:val="9"/>
                <w:szCs w:val="9"/>
                <w:color w:val="auto"/>
              </w:rPr>
            </w:pPr>
          </w:p>
        </w:tc>
        <w:tc>
          <w:tcPr>
            <w:tcW w:w="1280" w:type="dxa"/>
            <w:vAlign w:val="bottom"/>
            <w:vMerge w:val="restart"/>
            <w:shd w:val="clear" w:color="auto" w:fill="002B5F"/>
          </w:tcPr>
          <w:p>
            <w:pPr>
              <w:ind w:left="140"/>
              <w:spacing w:after="0" w:line="128" w:lineRule="exact"/>
              <w:rPr>
                <w:sz w:val="20"/>
                <w:szCs w:val="20"/>
                <w:color w:val="auto"/>
              </w:rPr>
            </w:pPr>
            <w:r>
              <w:rPr>
                <w:rFonts w:ascii="Arial" w:cs="Arial" w:eastAsia="Arial" w:hAnsi="Arial"/>
                <w:sz w:val="12"/>
                <w:szCs w:val="12"/>
                <w:color w:val="FFFFFF"/>
              </w:rPr>
              <w:t>and Human</w:t>
            </w:r>
          </w:p>
        </w:tc>
        <w:tc>
          <w:tcPr>
            <w:tcW w:w="460" w:type="dxa"/>
            <w:vAlign w:val="bottom"/>
            <w:shd w:val="clear" w:color="auto" w:fill="002B5F"/>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8300" w:type="dxa"/>
            <w:vAlign w:val="bottom"/>
          </w:tcPr>
          <w:p>
            <w:pPr>
              <w:spacing w:after="0" w:line="20" w:lineRule="exact"/>
              <w:rPr>
                <w:sz w:val="1"/>
                <w:szCs w:val="1"/>
                <w:color w:val="auto"/>
              </w:rPr>
            </w:pPr>
          </w:p>
        </w:tc>
        <w:tc>
          <w:tcPr>
            <w:tcW w:w="240" w:type="dxa"/>
            <w:vAlign w:val="bottom"/>
            <w:shd w:val="clear" w:color="auto" w:fill="002B5F"/>
          </w:tcPr>
          <w:p>
            <w:pPr>
              <w:spacing w:after="0" w:line="20" w:lineRule="exact"/>
              <w:rPr>
                <w:sz w:val="1"/>
                <w:szCs w:val="1"/>
                <w:color w:val="auto"/>
              </w:rPr>
            </w:pPr>
          </w:p>
        </w:tc>
        <w:tc>
          <w:tcPr>
            <w:tcW w:w="1280" w:type="dxa"/>
            <w:vAlign w:val="bottom"/>
            <w:vMerge w:val="continue"/>
            <w:shd w:val="clear" w:color="auto" w:fill="002B5F"/>
          </w:tcPr>
          <w:p>
            <w:pPr>
              <w:spacing w:after="0" w:line="20" w:lineRule="exact"/>
              <w:rPr>
                <w:sz w:val="1"/>
                <w:szCs w:val="1"/>
                <w:color w:val="auto"/>
              </w:rPr>
            </w:pPr>
          </w:p>
        </w:tc>
        <w:tc>
          <w:tcPr>
            <w:tcW w:w="460" w:type="dxa"/>
            <w:vAlign w:val="bottom"/>
            <w:shd w:val="clear" w:color="auto" w:fill="002B5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8300" w:type="dxa"/>
            <w:vAlign w:val="bottom"/>
          </w:tcPr>
          <w:p>
            <w:pPr>
              <w:spacing w:after="0" w:line="133" w:lineRule="exact"/>
              <w:rPr>
                <w:sz w:val="20"/>
                <w:szCs w:val="20"/>
                <w:color w:val="auto"/>
              </w:rPr>
            </w:pPr>
            <w:r>
              <w:rPr>
                <w:rFonts w:ascii="Arial" w:cs="Arial" w:eastAsia="Arial" w:hAnsi="Arial"/>
                <w:sz w:val="12"/>
                <w:szCs w:val="12"/>
                <w:color w:val="auto"/>
              </w:rPr>
              <w:t>(9)  These awards vested over a three-year period in equal tranches and became fully vested on February 25, 2022.</w:t>
            </w:r>
          </w:p>
        </w:tc>
        <w:tc>
          <w:tcPr>
            <w:tcW w:w="240" w:type="dxa"/>
            <w:vAlign w:val="bottom"/>
            <w:shd w:val="clear" w:color="auto" w:fill="002B5F"/>
          </w:tcPr>
          <w:p>
            <w:pPr>
              <w:spacing w:after="0"/>
              <w:rPr>
                <w:sz w:val="11"/>
                <w:szCs w:val="11"/>
                <w:color w:val="auto"/>
              </w:rPr>
            </w:pPr>
          </w:p>
        </w:tc>
        <w:tc>
          <w:tcPr>
            <w:tcW w:w="1280" w:type="dxa"/>
            <w:vAlign w:val="bottom"/>
            <w:shd w:val="clear" w:color="auto" w:fill="002B5F"/>
          </w:tcPr>
          <w:p>
            <w:pPr>
              <w:ind w:left="140"/>
              <w:spacing w:after="0" w:line="133" w:lineRule="exact"/>
              <w:rPr>
                <w:sz w:val="20"/>
                <w:szCs w:val="20"/>
                <w:color w:val="auto"/>
              </w:rPr>
            </w:pPr>
            <w:r>
              <w:rPr>
                <w:rFonts w:ascii="Arial" w:cs="Arial" w:eastAsia="Arial" w:hAnsi="Arial"/>
                <w:sz w:val="12"/>
                <w:szCs w:val="12"/>
                <w:color w:val="FFFFFF"/>
              </w:rPr>
              <w:t>Resources</w:t>
            </w:r>
          </w:p>
        </w:tc>
        <w:tc>
          <w:tcPr>
            <w:tcW w:w="460" w:type="dxa"/>
            <w:vAlign w:val="bottom"/>
            <w:shd w:val="clear" w:color="auto" w:fill="002B5F"/>
          </w:tcPr>
          <w:p>
            <w:pPr>
              <w:spacing w:after="0"/>
              <w:rPr>
                <w:sz w:val="11"/>
                <w:szCs w:val="11"/>
                <w:color w:val="auto"/>
              </w:rPr>
            </w:pPr>
          </w:p>
        </w:tc>
        <w:tc>
          <w:tcPr>
            <w:tcW w:w="0" w:type="dxa"/>
            <w:vAlign w:val="bottom"/>
          </w:tcPr>
          <w:p>
            <w:pPr>
              <w:spacing w:after="0"/>
              <w:rPr>
                <w:sz w:val="1"/>
                <w:szCs w:val="1"/>
                <w:color w:val="auto"/>
              </w:rPr>
            </w:pPr>
          </w:p>
        </w:tc>
      </w:tr>
      <w:tr>
        <w:trPr>
          <w:trHeight w:val="123"/>
        </w:trPr>
        <w:tc>
          <w:tcPr>
            <w:tcW w:w="8300" w:type="dxa"/>
            <w:vAlign w:val="bottom"/>
          </w:tcPr>
          <w:p>
            <w:pPr>
              <w:spacing w:after="0"/>
              <w:rPr>
                <w:sz w:val="10"/>
                <w:szCs w:val="10"/>
                <w:color w:val="auto"/>
              </w:rPr>
            </w:pPr>
          </w:p>
        </w:tc>
        <w:tc>
          <w:tcPr>
            <w:tcW w:w="240" w:type="dxa"/>
            <w:vAlign w:val="bottom"/>
            <w:shd w:val="clear" w:color="auto" w:fill="002B5F"/>
          </w:tcPr>
          <w:p>
            <w:pPr>
              <w:spacing w:after="0"/>
              <w:rPr>
                <w:sz w:val="10"/>
                <w:szCs w:val="10"/>
                <w:color w:val="auto"/>
              </w:rPr>
            </w:pPr>
          </w:p>
        </w:tc>
        <w:tc>
          <w:tcPr>
            <w:tcW w:w="1280" w:type="dxa"/>
            <w:vAlign w:val="bottom"/>
            <w:shd w:val="clear" w:color="auto" w:fill="002B5F"/>
          </w:tcPr>
          <w:p>
            <w:pPr>
              <w:ind w:left="140"/>
              <w:spacing w:after="0" w:line="123" w:lineRule="exact"/>
              <w:rPr>
                <w:sz w:val="20"/>
                <w:szCs w:val="20"/>
                <w:color w:val="auto"/>
              </w:rPr>
            </w:pPr>
            <w:r>
              <w:rPr>
                <w:rFonts w:ascii="Arial" w:cs="Arial" w:eastAsia="Arial" w:hAnsi="Arial"/>
                <w:sz w:val="12"/>
                <w:szCs w:val="12"/>
                <w:color w:val="FFFFFF"/>
              </w:rPr>
              <w:t>Committee of the</w:t>
            </w:r>
          </w:p>
        </w:tc>
        <w:tc>
          <w:tcPr>
            <w:tcW w:w="460" w:type="dxa"/>
            <w:vAlign w:val="bottom"/>
            <w:shd w:val="clear" w:color="auto" w:fill="002B5F"/>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8300" w:type="dxa"/>
            <w:vAlign w:val="bottom"/>
          </w:tcPr>
          <w:p>
            <w:pPr>
              <w:spacing w:after="0"/>
              <w:rPr>
                <w:sz w:val="13"/>
                <w:szCs w:val="13"/>
                <w:color w:val="auto"/>
              </w:rPr>
            </w:pPr>
          </w:p>
        </w:tc>
        <w:tc>
          <w:tcPr>
            <w:tcW w:w="240" w:type="dxa"/>
            <w:vAlign w:val="bottom"/>
            <w:shd w:val="clear" w:color="auto" w:fill="002B5F"/>
          </w:tcPr>
          <w:p>
            <w:pPr>
              <w:spacing w:after="0"/>
              <w:rPr>
                <w:sz w:val="13"/>
                <w:szCs w:val="13"/>
                <w:color w:val="auto"/>
              </w:rPr>
            </w:pPr>
          </w:p>
        </w:tc>
        <w:tc>
          <w:tcPr>
            <w:tcW w:w="1280" w:type="dxa"/>
            <w:vAlign w:val="bottom"/>
            <w:shd w:val="clear" w:color="auto" w:fill="002B5F"/>
          </w:tcPr>
          <w:p>
            <w:pPr>
              <w:ind w:left="140"/>
              <w:spacing w:after="0"/>
              <w:rPr>
                <w:sz w:val="20"/>
                <w:szCs w:val="20"/>
                <w:color w:val="auto"/>
              </w:rPr>
            </w:pPr>
            <w:r>
              <w:rPr>
                <w:rFonts w:ascii="Arial" w:cs="Arial" w:eastAsia="Arial" w:hAnsi="Arial"/>
                <w:sz w:val="12"/>
                <w:szCs w:val="12"/>
                <w:color w:val="FFFFFF"/>
              </w:rPr>
              <w:t>Board of Directors</w:t>
            </w:r>
          </w:p>
        </w:tc>
        <w:tc>
          <w:tcPr>
            <w:tcW w:w="460" w:type="dxa"/>
            <w:vAlign w:val="bottom"/>
            <w:shd w:val="clear" w:color="auto" w:fill="002B5F"/>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8300" w:type="dxa"/>
            <w:vAlign w:val="bottom"/>
          </w:tcPr>
          <w:p>
            <w:pPr>
              <w:spacing w:after="0"/>
              <w:rPr>
                <w:sz w:val="22"/>
                <w:szCs w:val="22"/>
                <w:color w:val="auto"/>
              </w:rPr>
            </w:pPr>
          </w:p>
        </w:tc>
        <w:tc>
          <w:tcPr>
            <w:tcW w:w="240" w:type="dxa"/>
            <w:vAlign w:val="bottom"/>
            <w:shd w:val="clear" w:color="auto" w:fill="002B5F"/>
          </w:tcPr>
          <w:p>
            <w:pPr>
              <w:spacing w:after="0"/>
              <w:rPr>
                <w:sz w:val="22"/>
                <w:szCs w:val="22"/>
                <w:color w:val="auto"/>
              </w:rPr>
            </w:pPr>
          </w:p>
        </w:tc>
        <w:tc>
          <w:tcPr>
            <w:tcW w:w="1280" w:type="dxa"/>
            <w:vAlign w:val="bottom"/>
            <w:shd w:val="clear" w:color="auto" w:fill="002B5F"/>
          </w:tcPr>
          <w:p>
            <w:pPr>
              <w:ind w:left="140"/>
              <w:spacing w:after="0"/>
              <w:rPr>
                <w:sz w:val="20"/>
                <w:szCs w:val="20"/>
                <w:color w:val="auto"/>
              </w:rPr>
            </w:pPr>
            <w:r>
              <w:rPr>
                <w:rFonts w:ascii="Arial" w:cs="Arial" w:eastAsia="Arial" w:hAnsi="Arial"/>
                <w:sz w:val="12"/>
                <w:szCs w:val="12"/>
                <w:b w:val="1"/>
                <w:bCs w:val="1"/>
                <w:color w:val="FFFFFF"/>
              </w:rPr>
              <w:t>Compensation of</w:t>
            </w:r>
          </w:p>
        </w:tc>
        <w:tc>
          <w:tcPr>
            <w:tcW w:w="460" w:type="dxa"/>
            <w:vAlign w:val="bottom"/>
            <w:shd w:val="clear" w:color="auto" w:fill="002B5F"/>
          </w:tcPr>
          <w:p>
            <w:pPr>
              <w:spacing w:after="0"/>
              <w:rPr>
                <w:sz w:val="22"/>
                <w:szCs w:val="22"/>
                <w:color w:val="auto"/>
              </w:rPr>
            </w:pPr>
          </w:p>
        </w:tc>
        <w:tc>
          <w:tcPr>
            <w:tcW w:w="0" w:type="dxa"/>
            <w:vAlign w:val="bottom"/>
          </w:tcPr>
          <w:p>
            <w:pPr>
              <w:spacing w:after="0"/>
              <w:rPr>
                <w:sz w:val="1"/>
                <w:szCs w:val="1"/>
                <w:color w:val="auto"/>
              </w:rPr>
            </w:pPr>
          </w:p>
        </w:tc>
      </w:tr>
      <w:tr>
        <w:trPr>
          <w:trHeight w:val="128"/>
        </w:trPr>
        <w:tc>
          <w:tcPr>
            <w:tcW w:w="8300" w:type="dxa"/>
            <w:vAlign w:val="bottom"/>
          </w:tcPr>
          <w:p>
            <w:pPr>
              <w:spacing w:after="0"/>
              <w:rPr>
                <w:sz w:val="11"/>
                <w:szCs w:val="11"/>
                <w:color w:val="auto"/>
              </w:rPr>
            </w:pPr>
          </w:p>
        </w:tc>
        <w:tc>
          <w:tcPr>
            <w:tcW w:w="240" w:type="dxa"/>
            <w:vAlign w:val="bottom"/>
            <w:shd w:val="clear" w:color="auto" w:fill="002B5F"/>
          </w:tcPr>
          <w:p>
            <w:pPr>
              <w:spacing w:after="0"/>
              <w:rPr>
                <w:sz w:val="11"/>
                <w:szCs w:val="11"/>
                <w:color w:val="auto"/>
              </w:rPr>
            </w:pPr>
          </w:p>
        </w:tc>
        <w:tc>
          <w:tcPr>
            <w:tcW w:w="1280" w:type="dxa"/>
            <w:vAlign w:val="bottom"/>
            <w:shd w:val="clear" w:color="auto" w:fill="002B5F"/>
          </w:tcPr>
          <w:p>
            <w:pPr>
              <w:ind w:left="140"/>
              <w:spacing w:after="0" w:line="128" w:lineRule="exact"/>
              <w:rPr>
                <w:sz w:val="20"/>
                <w:szCs w:val="20"/>
                <w:color w:val="auto"/>
              </w:rPr>
            </w:pPr>
            <w:r>
              <w:rPr>
                <w:rFonts w:ascii="Arial" w:cs="Arial" w:eastAsia="Arial" w:hAnsi="Arial"/>
                <w:sz w:val="12"/>
                <w:szCs w:val="12"/>
                <w:b w:val="1"/>
                <w:bCs w:val="1"/>
                <w:color w:val="FFFFFF"/>
              </w:rPr>
              <w:t>Named Executive</w:t>
            </w:r>
          </w:p>
        </w:tc>
        <w:tc>
          <w:tcPr>
            <w:tcW w:w="460" w:type="dxa"/>
            <w:vAlign w:val="bottom"/>
            <w:shd w:val="clear" w:color="auto" w:fill="002B5F"/>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8300" w:type="dxa"/>
            <w:vAlign w:val="bottom"/>
          </w:tcPr>
          <w:p>
            <w:pPr>
              <w:spacing w:after="0"/>
              <w:rPr>
                <w:sz w:val="14"/>
                <w:szCs w:val="14"/>
                <w:color w:val="auto"/>
              </w:rPr>
            </w:pPr>
          </w:p>
        </w:tc>
        <w:tc>
          <w:tcPr>
            <w:tcW w:w="240" w:type="dxa"/>
            <w:vAlign w:val="bottom"/>
            <w:shd w:val="clear" w:color="auto" w:fill="002B5F"/>
          </w:tcPr>
          <w:p>
            <w:pPr>
              <w:spacing w:after="0"/>
              <w:rPr>
                <w:sz w:val="14"/>
                <w:szCs w:val="14"/>
                <w:color w:val="auto"/>
              </w:rPr>
            </w:pPr>
          </w:p>
        </w:tc>
        <w:tc>
          <w:tcPr>
            <w:tcW w:w="1280" w:type="dxa"/>
            <w:vAlign w:val="bottom"/>
            <w:shd w:val="clear" w:color="auto" w:fill="002B5F"/>
          </w:tcPr>
          <w:p>
            <w:pPr>
              <w:ind w:left="140"/>
              <w:spacing w:after="0"/>
              <w:rPr>
                <w:sz w:val="20"/>
                <w:szCs w:val="20"/>
                <w:color w:val="auto"/>
              </w:rPr>
            </w:pPr>
            <w:r>
              <w:rPr>
                <w:rFonts w:ascii="Arial" w:cs="Arial" w:eastAsia="Arial" w:hAnsi="Arial"/>
                <w:sz w:val="12"/>
                <w:szCs w:val="12"/>
                <w:b w:val="1"/>
                <w:bCs w:val="1"/>
                <w:color w:val="FFFFFF"/>
              </w:rPr>
              <w:t>Officers</w:t>
            </w:r>
          </w:p>
        </w:tc>
        <w:tc>
          <w:tcPr>
            <w:tcW w:w="460" w:type="dxa"/>
            <w:vAlign w:val="bottom"/>
            <w:shd w:val="clear" w:color="auto" w:fill="002B5F"/>
          </w:tcPr>
          <w:p>
            <w:pPr>
              <w:spacing w:after="0"/>
              <w:rPr>
                <w:sz w:val="14"/>
                <w:szCs w:val="14"/>
                <w:color w:val="auto"/>
              </w:rPr>
            </w:pPr>
          </w:p>
        </w:tc>
        <w:tc>
          <w:tcPr>
            <w:tcW w:w="0" w:type="dxa"/>
            <w:vAlign w:val="bottom"/>
          </w:tcPr>
          <w:p>
            <w:pPr>
              <w:spacing w:after="0"/>
              <w:rPr>
                <w:sz w:val="1"/>
                <w:szCs w:val="1"/>
                <w:color w:val="auto"/>
              </w:rPr>
            </w:pPr>
          </w:p>
        </w:tc>
      </w:tr>
      <w:tr>
        <w:trPr>
          <w:trHeight w:val="257"/>
        </w:trPr>
        <w:tc>
          <w:tcPr>
            <w:tcW w:w="8300" w:type="dxa"/>
            <w:vAlign w:val="bottom"/>
          </w:tcPr>
          <w:p>
            <w:pPr>
              <w:spacing w:after="0"/>
              <w:rPr>
                <w:sz w:val="22"/>
                <w:szCs w:val="22"/>
                <w:color w:val="auto"/>
              </w:rPr>
            </w:pPr>
          </w:p>
        </w:tc>
        <w:tc>
          <w:tcPr>
            <w:tcW w:w="240" w:type="dxa"/>
            <w:vAlign w:val="bottom"/>
            <w:shd w:val="clear" w:color="auto" w:fill="002B5F"/>
          </w:tcPr>
          <w:p>
            <w:pPr>
              <w:spacing w:after="0"/>
              <w:rPr>
                <w:sz w:val="22"/>
                <w:szCs w:val="22"/>
                <w:color w:val="auto"/>
              </w:rPr>
            </w:pPr>
          </w:p>
        </w:tc>
        <w:tc>
          <w:tcPr>
            <w:tcW w:w="1280" w:type="dxa"/>
            <w:vAlign w:val="bottom"/>
            <w:shd w:val="clear" w:color="auto" w:fill="002B5F"/>
          </w:tcPr>
          <w:p>
            <w:pPr>
              <w:ind w:left="140"/>
              <w:spacing w:after="0"/>
              <w:rPr>
                <w:sz w:val="20"/>
                <w:szCs w:val="20"/>
                <w:color w:val="auto"/>
              </w:rPr>
            </w:pPr>
            <w:r>
              <w:rPr>
                <w:rFonts w:ascii="Arial" w:cs="Arial" w:eastAsia="Arial" w:hAnsi="Arial"/>
                <w:sz w:val="12"/>
                <w:szCs w:val="12"/>
                <w:color w:val="FFFFFF"/>
              </w:rPr>
              <w:t>Pay Versus</w:t>
            </w:r>
          </w:p>
        </w:tc>
        <w:tc>
          <w:tcPr>
            <w:tcW w:w="460" w:type="dxa"/>
            <w:vAlign w:val="bottom"/>
            <w:shd w:val="clear" w:color="auto" w:fill="002B5F"/>
          </w:tcPr>
          <w:p>
            <w:pPr>
              <w:spacing w:after="0"/>
              <w:rPr>
                <w:sz w:val="22"/>
                <w:szCs w:val="22"/>
                <w:color w:val="auto"/>
              </w:rPr>
            </w:pPr>
          </w:p>
        </w:tc>
        <w:tc>
          <w:tcPr>
            <w:tcW w:w="0" w:type="dxa"/>
            <w:vAlign w:val="bottom"/>
          </w:tcPr>
          <w:p>
            <w:pPr>
              <w:spacing w:after="0"/>
              <w:rPr>
                <w:sz w:val="1"/>
                <w:szCs w:val="1"/>
                <w:color w:val="auto"/>
              </w:rPr>
            </w:pPr>
          </w:p>
        </w:tc>
      </w:tr>
      <w:tr>
        <w:trPr>
          <w:trHeight w:val="128"/>
        </w:trPr>
        <w:tc>
          <w:tcPr>
            <w:tcW w:w="8300" w:type="dxa"/>
            <w:vAlign w:val="bottom"/>
          </w:tcPr>
          <w:p>
            <w:pPr>
              <w:spacing w:after="0"/>
              <w:rPr>
                <w:sz w:val="11"/>
                <w:szCs w:val="11"/>
                <w:color w:val="auto"/>
              </w:rPr>
            </w:pPr>
          </w:p>
        </w:tc>
        <w:tc>
          <w:tcPr>
            <w:tcW w:w="240" w:type="dxa"/>
            <w:vAlign w:val="bottom"/>
            <w:shd w:val="clear" w:color="auto" w:fill="002B5F"/>
          </w:tcPr>
          <w:p>
            <w:pPr>
              <w:spacing w:after="0"/>
              <w:rPr>
                <w:sz w:val="11"/>
                <w:szCs w:val="11"/>
                <w:color w:val="auto"/>
              </w:rPr>
            </w:pPr>
          </w:p>
        </w:tc>
        <w:tc>
          <w:tcPr>
            <w:tcW w:w="1280" w:type="dxa"/>
            <w:vAlign w:val="bottom"/>
            <w:shd w:val="clear" w:color="auto" w:fill="002B5F"/>
          </w:tcPr>
          <w:p>
            <w:pPr>
              <w:ind w:left="140"/>
              <w:spacing w:after="0" w:line="128" w:lineRule="exact"/>
              <w:rPr>
                <w:sz w:val="20"/>
                <w:szCs w:val="20"/>
                <w:color w:val="auto"/>
              </w:rPr>
            </w:pPr>
            <w:r>
              <w:rPr>
                <w:rFonts w:ascii="Arial" w:cs="Arial" w:eastAsia="Arial" w:hAnsi="Arial"/>
                <w:sz w:val="12"/>
                <w:szCs w:val="12"/>
                <w:color w:val="FFFFFF"/>
              </w:rPr>
              <w:t>Performance</w:t>
            </w:r>
          </w:p>
        </w:tc>
        <w:tc>
          <w:tcPr>
            <w:tcW w:w="460" w:type="dxa"/>
            <w:vAlign w:val="bottom"/>
            <w:shd w:val="clear" w:color="auto" w:fill="002B5F"/>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8300" w:type="dxa"/>
            <w:vAlign w:val="bottom"/>
          </w:tcPr>
          <w:p>
            <w:pPr>
              <w:spacing w:after="0"/>
              <w:rPr>
                <w:sz w:val="13"/>
                <w:szCs w:val="13"/>
                <w:color w:val="auto"/>
              </w:rPr>
            </w:pPr>
          </w:p>
        </w:tc>
        <w:tc>
          <w:tcPr>
            <w:tcW w:w="240" w:type="dxa"/>
            <w:vAlign w:val="bottom"/>
            <w:shd w:val="clear" w:color="auto" w:fill="002B5F"/>
          </w:tcPr>
          <w:p>
            <w:pPr>
              <w:spacing w:after="0"/>
              <w:rPr>
                <w:sz w:val="13"/>
                <w:szCs w:val="13"/>
                <w:color w:val="auto"/>
              </w:rPr>
            </w:pPr>
          </w:p>
        </w:tc>
        <w:tc>
          <w:tcPr>
            <w:tcW w:w="1280" w:type="dxa"/>
            <w:vAlign w:val="bottom"/>
            <w:shd w:val="clear" w:color="auto" w:fill="002B5F"/>
          </w:tcPr>
          <w:p>
            <w:pPr>
              <w:ind w:left="140"/>
              <w:spacing w:after="0"/>
              <w:rPr>
                <w:sz w:val="20"/>
                <w:szCs w:val="20"/>
                <w:color w:val="auto"/>
              </w:rPr>
            </w:pPr>
            <w:r>
              <w:rPr>
                <w:rFonts w:ascii="Arial" w:cs="Arial" w:eastAsia="Arial" w:hAnsi="Arial"/>
                <w:sz w:val="12"/>
                <w:szCs w:val="12"/>
                <w:color w:val="FFFFFF"/>
              </w:rPr>
              <w:t>Disclosure</w:t>
            </w:r>
          </w:p>
        </w:tc>
        <w:tc>
          <w:tcPr>
            <w:tcW w:w="460" w:type="dxa"/>
            <w:vAlign w:val="bottom"/>
            <w:shd w:val="clear" w:color="auto" w:fill="002B5F"/>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8300" w:type="dxa"/>
            <w:vAlign w:val="bottom"/>
          </w:tcPr>
          <w:p>
            <w:pPr>
              <w:spacing w:after="0"/>
              <w:rPr>
                <w:sz w:val="22"/>
                <w:szCs w:val="22"/>
                <w:color w:val="auto"/>
              </w:rPr>
            </w:pPr>
          </w:p>
        </w:tc>
        <w:tc>
          <w:tcPr>
            <w:tcW w:w="240" w:type="dxa"/>
            <w:vAlign w:val="bottom"/>
            <w:shd w:val="clear" w:color="auto" w:fill="002B5F"/>
          </w:tcPr>
          <w:p>
            <w:pPr>
              <w:spacing w:after="0"/>
              <w:rPr>
                <w:sz w:val="22"/>
                <w:szCs w:val="22"/>
                <w:color w:val="auto"/>
              </w:rPr>
            </w:pPr>
          </w:p>
        </w:tc>
        <w:tc>
          <w:tcPr>
            <w:tcW w:w="1280" w:type="dxa"/>
            <w:vAlign w:val="bottom"/>
            <w:shd w:val="clear" w:color="auto" w:fill="002B5F"/>
          </w:tcPr>
          <w:p>
            <w:pPr>
              <w:ind w:left="140"/>
              <w:spacing w:after="0"/>
              <w:rPr>
                <w:sz w:val="20"/>
                <w:szCs w:val="20"/>
                <w:color w:val="auto"/>
              </w:rPr>
            </w:pPr>
            <w:r>
              <w:rPr>
                <w:rFonts w:ascii="Arial" w:cs="Arial" w:eastAsia="Arial" w:hAnsi="Arial"/>
                <w:sz w:val="12"/>
                <w:szCs w:val="12"/>
                <w:color w:val="FFFFFF"/>
              </w:rPr>
              <w:t>Security</w:t>
            </w:r>
          </w:p>
        </w:tc>
        <w:tc>
          <w:tcPr>
            <w:tcW w:w="460" w:type="dxa"/>
            <w:vAlign w:val="bottom"/>
            <w:shd w:val="clear" w:color="auto" w:fill="002B5F"/>
          </w:tcPr>
          <w:p>
            <w:pPr>
              <w:spacing w:after="0"/>
              <w:rPr>
                <w:sz w:val="22"/>
                <w:szCs w:val="22"/>
                <w:color w:val="auto"/>
              </w:rPr>
            </w:pPr>
          </w:p>
        </w:tc>
        <w:tc>
          <w:tcPr>
            <w:tcW w:w="0" w:type="dxa"/>
            <w:vAlign w:val="bottom"/>
          </w:tcPr>
          <w:p>
            <w:pPr>
              <w:spacing w:after="0"/>
              <w:rPr>
                <w:sz w:val="1"/>
                <w:szCs w:val="1"/>
                <w:color w:val="auto"/>
              </w:rPr>
            </w:pPr>
          </w:p>
        </w:tc>
      </w:tr>
      <w:tr>
        <w:trPr>
          <w:trHeight w:val="128"/>
        </w:trPr>
        <w:tc>
          <w:tcPr>
            <w:tcW w:w="8300" w:type="dxa"/>
            <w:vAlign w:val="bottom"/>
          </w:tcPr>
          <w:p>
            <w:pPr>
              <w:spacing w:after="0"/>
              <w:rPr>
                <w:sz w:val="11"/>
                <w:szCs w:val="11"/>
                <w:color w:val="auto"/>
              </w:rPr>
            </w:pPr>
          </w:p>
        </w:tc>
        <w:tc>
          <w:tcPr>
            <w:tcW w:w="240" w:type="dxa"/>
            <w:vAlign w:val="bottom"/>
            <w:shd w:val="clear" w:color="auto" w:fill="002B5F"/>
          </w:tcPr>
          <w:p>
            <w:pPr>
              <w:spacing w:after="0"/>
              <w:rPr>
                <w:sz w:val="11"/>
                <w:szCs w:val="11"/>
                <w:color w:val="auto"/>
              </w:rPr>
            </w:pPr>
          </w:p>
        </w:tc>
        <w:tc>
          <w:tcPr>
            <w:tcW w:w="1280" w:type="dxa"/>
            <w:vAlign w:val="bottom"/>
            <w:shd w:val="clear" w:color="auto" w:fill="002B5F"/>
          </w:tcPr>
          <w:p>
            <w:pPr>
              <w:ind w:left="140"/>
              <w:spacing w:after="0" w:line="128" w:lineRule="exact"/>
              <w:rPr>
                <w:sz w:val="20"/>
                <w:szCs w:val="20"/>
                <w:color w:val="auto"/>
              </w:rPr>
            </w:pPr>
            <w:r>
              <w:rPr>
                <w:rFonts w:ascii="Arial" w:cs="Arial" w:eastAsia="Arial" w:hAnsi="Arial"/>
                <w:sz w:val="12"/>
                <w:szCs w:val="12"/>
                <w:color w:val="FFFFFF"/>
              </w:rPr>
              <w:t>Ownership of</w:t>
            </w:r>
          </w:p>
        </w:tc>
        <w:tc>
          <w:tcPr>
            <w:tcW w:w="460" w:type="dxa"/>
            <w:vAlign w:val="bottom"/>
            <w:shd w:val="clear" w:color="auto" w:fill="002B5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300" w:type="dxa"/>
            <w:vAlign w:val="bottom"/>
          </w:tcPr>
          <w:p>
            <w:pPr>
              <w:spacing w:after="0"/>
              <w:rPr>
                <w:sz w:val="11"/>
                <w:szCs w:val="11"/>
                <w:color w:val="auto"/>
              </w:rPr>
            </w:pPr>
          </w:p>
        </w:tc>
        <w:tc>
          <w:tcPr>
            <w:tcW w:w="240" w:type="dxa"/>
            <w:vAlign w:val="bottom"/>
            <w:shd w:val="clear" w:color="auto" w:fill="002B5F"/>
          </w:tcPr>
          <w:p>
            <w:pPr>
              <w:spacing w:after="0"/>
              <w:rPr>
                <w:sz w:val="11"/>
                <w:szCs w:val="11"/>
                <w:color w:val="auto"/>
              </w:rPr>
            </w:pPr>
          </w:p>
        </w:tc>
        <w:tc>
          <w:tcPr>
            <w:tcW w:w="1280" w:type="dxa"/>
            <w:vAlign w:val="bottom"/>
            <w:shd w:val="clear" w:color="auto" w:fill="002B5F"/>
          </w:tcPr>
          <w:p>
            <w:pPr>
              <w:ind w:left="140"/>
              <w:spacing w:after="0" w:line="128" w:lineRule="exact"/>
              <w:rPr>
                <w:sz w:val="20"/>
                <w:szCs w:val="20"/>
                <w:color w:val="auto"/>
              </w:rPr>
            </w:pPr>
            <w:r>
              <w:rPr>
                <w:rFonts w:ascii="Arial" w:cs="Arial" w:eastAsia="Arial" w:hAnsi="Arial"/>
                <w:sz w:val="12"/>
                <w:szCs w:val="12"/>
                <w:color w:val="FFFFFF"/>
              </w:rPr>
              <w:t>Certain Beneficial</w:t>
            </w:r>
          </w:p>
        </w:tc>
        <w:tc>
          <w:tcPr>
            <w:tcW w:w="460" w:type="dxa"/>
            <w:vAlign w:val="bottom"/>
            <w:shd w:val="clear" w:color="auto" w:fill="002B5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300" w:type="dxa"/>
            <w:vAlign w:val="bottom"/>
          </w:tcPr>
          <w:p>
            <w:pPr>
              <w:spacing w:after="0"/>
              <w:rPr>
                <w:sz w:val="11"/>
                <w:szCs w:val="11"/>
                <w:color w:val="auto"/>
              </w:rPr>
            </w:pPr>
          </w:p>
        </w:tc>
        <w:tc>
          <w:tcPr>
            <w:tcW w:w="240" w:type="dxa"/>
            <w:vAlign w:val="bottom"/>
            <w:shd w:val="clear" w:color="auto" w:fill="002B5F"/>
          </w:tcPr>
          <w:p>
            <w:pPr>
              <w:spacing w:after="0"/>
              <w:rPr>
                <w:sz w:val="11"/>
                <w:szCs w:val="11"/>
                <w:color w:val="auto"/>
              </w:rPr>
            </w:pPr>
          </w:p>
        </w:tc>
        <w:tc>
          <w:tcPr>
            <w:tcW w:w="1280" w:type="dxa"/>
            <w:vAlign w:val="bottom"/>
            <w:shd w:val="clear" w:color="auto" w:fill="002B5F"/>
          </w:tcPr>
          <w:p>
            <w:pPr>
              <w:ind w:left="140"/>
              <w:spacing w:after="0" w:line="128" w:lineRule="exact"/>
              <w:rPr>
                <w:sz w:val="20"/>
                <w:szCs w:val="20"/>
                <w:color w:val="auto"/>
              </w:rPr>
            </w:pPr>
            <w:r>
              <w:rPr>
                <w:rFonts w:ascii="Arial" w:cs="Arial" w:eastAsia="Arial" w:hAnsi="Arial"/>
                <w:sz w:val="12"/>
                <w:szCs w:val="12"/>
                <w:color w:val="FFFFFF"/>
              </w:rPr>
              <w:t>Owners and</w:t>
            </w:r>
          </w:p>
        </w:tc>
        <w:tc>
          <w:tcPr>
            <w:tcW w:w="460" w:type="dxa"/>
            <w:vAlign w:val="bottom"/>
            <w:shd w:val="clear" w:color="auto" w:fill="002B5F"/>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8300" w:type="dxa"/>
            <w:vAlign w:val="bottom"/>
          </w:tcPr>
          <w:p>
            <w:pPr>
              <w:spacing w:after="0"/>
              <w:rPr>
                <w:sz w:val="13"/>
                <w:szCs w:val="13"/>
                <w:color w:val="auto"/>
              </w:rPr>
            </w:pPr>
          </w:p>
        </w:tc>
        <w:tc>
          <w:tcPr>
            <w:tcW w:w="240" w:type="dxa"/>
            <w:vAlign w:val="bottom"/>
            <w:shd w:val="clear" w:color="auto" w:fill="002B5F"/>
          </w:tcPr>
          <w:p>
            <w:pPr>
              <w:spacing w:after="0"/>
              <w:rPr>
                <w:sz w:val="13"/>
                <w:szCs w:val="13"/>
                <w:color w:val="auto"/>
              </w:rPr>
            </w:pPr>
          </w:p>
        </w:tc>
        <w:tc>
          <w:tcPr>
            <w:tcW w:w="1280" w:type="dxa"/>
            <w:vAlign w:val="bottom"/>
            <w:shd w:val="clear" w:color="auto" w:fill="002B5F"/>
          </w:tcPr>
          <w:p>
            <w:pPr>
              <w:ind w:left="140"/>
              <w:spacing w:after="0"/>
              <w:rPr>
                <w:sz w:val="20"/>
                <w:szCs w:val="20"/>
                <w:color w:val="auto"/>
              </w:rPr>
            </w:pPr>
            <w:r>
              <w:rPr>
                <w:rFonts w:ascii="Arial" w:cs="Arial" w:eastAsia="Arial" w:hAnsi="Arial"/>
                <w:sz w:val="12"/>
                <w:szCs w:val="12"/>
                <w:color w:val="FFFFFF"/>
              </w:rPr>
              <w:t>Management</w:t>
            </w:r>
          </w:p>
        </w:tc>
        <w:tc>
          <w:tcPr>
            <w:tcW w:w="460" w:type="dxa"/>
            <w:vAlign w:val="bottom"/>
            <w:shd w:val="clear" w:color="auto" w:fill="002B5F"/>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8300" w:type="dxa"/>
            <w:vAlign w:val="bottom"/>
          </w:tcPr>
          <w:p>
            <w:pPr>
              <w:spacing w:after="0"/>
              <w:rPr>
                <w:sz w:val="22"/>
                <w:szCs w:val="22"/>
                <w:color w:val="auto"/>
              </w:rPr>
            </w:pPr>
          </w:p>
        </w:tc>
        <w:tc>
          <w:tcPr>
            <w:tcW w:w="240" w:type="dxa"/>
            <w:vAlign w:val="bottom"/>
            <w:shd w:val="clear" w:color="auto" w:fill="002B5F"/>
          </w:tcPr>
          <w:p>
            <w:pPr>
              <w:spacing w:after="0"/>
              <w:rPr>
                <w:sz w:val="22"/>
                <w:szCs w:val="22"/>
                <w:color w:val="auto"/>
              </w:rPr>
            </w:pPr>
          </w:p>
        </w:tc>
        <w:tc>
          <w:tcPr>
            <w:tcW w:w="1280" w:type="dxa"/>
            <w:vAlign w:val="bottom"/>
            <w:shd w:val="clear" w:color="auto" w:fill="002B5F"/>
          </w:tcPr>
          <w:p>
            <w:pPr>
              <w:ind w:left="140"/>
              <w:spacing w:after="0"/>
              <w:rPr>
                <w:sz w:val="20"/>
                <w:szCs w:val="20"/>
                <w:color w:val="auto"/>
              </w:rPr>
            </w:pPr>
            <w:r>
              <w:rPr>
                <w:rFonts w:ascii="Arial" w:cs="Arial" w:eastAsia="Arial" w:hAnsi="Arial"/>
                <w:sz w:val="12"/>
                <w:szCs w:val="12"/>
                <w:color w:val="FFFFFF"/>
              </w:rPr>
              <w:t>Certain</w:t>
            </w:r>
          </w:p>
        </w:tc>
        <w:tc>
          <w:tcPr>
            <w:tcW w:w="460" w:type="dxa"/>
            <w:vAlign w:val="bottom"/>
            <w:shd w:val="clear" w:color="auto" w:fill="002B5F"/>
          </w:tcPr>
          <w:p>
            <w:pPr>
              <w:spacing w:after="0"/>
              <w:rPr>
                <w:sz w:val="22"/>
                <w:szCs w:val="22"/>
                <w:color w:val="auto"/>
              </w:rPr>
            </w:pPr>
          </w:p>
        </w:tc>
        <w:tc>
          <w:tcPr>
            <w:tcW w:w="0" w:type="dxa"/>
            <w:vAlign w:val="bottom"/>
          </w:tcPr>
          <w:p>
            <w:pPr>
              <w:spacing w:after="0"/>
              <w:rPr>
                <w:sz w:val="1"/>
                <w:szCs w:val="1"/>
                <w:color w:val="auto"/>
              </w:rPr>
            </w:pPr>
          </w:p>
        </w:tc>
      </w:tr>
      <w:tr>
        <w:trPr>
          <w:trHeight w:val="128"/>
        </w:trPr>
        <w:tc>
          <w:tcPr>
            <w:tcW w:w="8300" w:type="dxa"/>
            <w:vAlign w:val="bottom"/>
          </w:tcPr>
          <w:p>
            <w:pPr>
              <w:spacing w:after="0"/>
              <w:rPr>
                <w:sz w:val="11"/>
                <w:szCs w:val="11"/>
                <w:color w:val="auto"/>
              </w:rPr>
            </w:pPr>
          </w:p>
        </w:tc>
        <w:tc>
          <w:tcPr>
            <w:tcW w:w="240" w:type="dxa"/>
            <w:vAlign w:val="bottom"/>
            <w:shd w:val="clear" w:color="auto" w:fill="002B5F"/>
          </w:tcPr>
          <w:p>
            <w:pPr>
              <w:spacing w:after="0"/>
              <w:rPr>
                <w:sz w:val="11"/>
                <w:szCs w:val="11"/>
                <w:color w:val="auto"/>
              </w:rPr>
            </w:pPr>
          </w:p>
        </w:tc>
        <w:tc>
          <w:tcPr>
            <w:tcW w:w="1280" w:type="dxa"/>
            <w:vAlign w:val="bottom"/>
            <w:shd w:val="clear" w:color="auto" w:fill="002B5F"/>
          </w:tcPr>
          <w:p>
            <w:pPr>
              <w:ind w:left="140"/>
              <w:spacing w:after="0" w:line="128" w:lineRule="exact"/>
              <w:rPr>
                <w:sz w:val="20"/>
                <w:szCs w:val="20"/>
                <w:color w:val="auto"/>
              </w:rPr>
            </w:pPr>
            <w:r>
              <w:rPr>
                <w:rFonts w:ascii="Arial" w:cs="Arial" w:eastAsia="Arial" w:hAnsi="Arial"/>
                <w:sz w:val="12"/>
                <w:szCs w:val="12"/>
                <w:color w:val="FFFFFF"/>
              </w:rPr>
              <w:t>Relationships and</w:t>
            </w:r>
          </w:p>
        </w:tc>
        <w:tc>
          <w:tcPr>
            <w:tcW w:w="460" w:type="dxa"/>
            <w:vAlign w:val="bottom"/>
            <w:shd w:val="clear" w:color="auto" w:fill="002B5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300" w:type="dxa"/>
            <w:vAlign w:val="bottom"/>
          </w:tcPr>
          <w:p>
            <w:pPr>
              <w:spacing w:after="0"/>
              <w:rPr>
                <w:sz w:val="11"/>
                <w:szCs w:val="11"/>
                <w:color w:val="auto"/>
              </w:rPr>
            </w:pPr>
          </w:p>
        </w:tc>
        <w:tc>
          <w:tcPr>
            <w:tcW w:w="240" w:type="dxa"/>
            <w:vAlign w:val="bottom"/>
            <w:shd w:val="clear" w:color="auto" w:fill="002B5F"/>
          </w:tcPr>
          <w:p>
            <w:pPr>
              <w:spacing w:after="0"/>
              <w:rPr>
                <w:sz w:val="11"/>
                <w:szCs w:val="11"/>
                <w:color w:val="auto"/>
              </w:rPr>
            </w:pPr>
          </w:p>
        </w:tc>
        <w:tc>
          <w:tcPr>
            <w:tcW w:w="1280" w:type="dxa"/>
            <w:vAlign w:val="bottom"/>
            <w:shd w:val="clear" w:color="auto" w:fill="002B5F"/>
          </w:tcPr>
          <w:p>
            <w:pPr>
              <w:ind w:left="140"/>
              <w:spacing w:after="0" w:line="128" w:lineRule="exact"/>
              <w:rPr>
                <w:sz w:val="20"/>
                <w:szCs w:val="20"/>
                <w:color w:val="auto"/>
              </w:rPr>
            </w:pPr>
            <w:r>
              <w:rPr>
                <w:rFonts w:ascii="Arial" w:cs="Arial" w:eastAsia="Arial" w:hAnsi="Arial"/>
                <w:sz w:val="12"/>
                <w:szCs w:val="12"/>
                <w:color w:val="FFFFFF"/>
              </w:rPr>
              <w:t>Related Party</w:t>
            </w:r>
          </w:p>
        </w:tc>
        <w:tc>
          <w:tcPr>
            <w:tcW w:w="460" w:type="dxa"/>
            <w:vAlign w:val="bottom"/>
            <w:shd w:val="clear" w:color="auto" w:fill="002B5F"/>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8300" w:type="dxa"/>
            <w:vAlign w:val="bottom"/>
          </w:tcPr>
          <w:p>
            <w:pPr>
              <w:spacing w:after="0"/>
              <w:rPr>
                <w:sz w:val="13"/>
                <w:szCs w:val="13"/>
                <w:color w:val="auto"/>
              </w:rPr>
            </w:pPr>
          </w:p>
        </w:tc>
        <w:tc>
          <w:tcPr>
            <w:tcW w:w="240" w:type="dxa"/>
            <w:vAlign w:val="bottom"/>
            <w:shd w:val="clear" w:color="auto" w:fill="002B5F"/>
          </w:tcPr>
          <w:p>
            <w:pPr>
              <w:spacing w:after="0"/>
              <w:rPr>
                <w:sz w:val="13"/>
                <w:szCs w:val="13"/>
                <w:color w:val="auto"/>
              </w:rPr>
            </w:pPr>
          </w:p>
        </w:tc>
        <w:tc>
          <w:tcPr>
            <w:tcW w:w="1280" w:type="dxa"/>
            <w:vAlign w:val="bottom"/>
            <w:shd w:val="clear" w:color="auto" w:fill="002B5F"/>
          </w:tcPr>
          <w:p>
            <w:pPr>
              <w:ind w:left="140"/>
              <w:spacing w:after="0"/>
              <w:rPr>
                <w:sz w:val="20"/>
                <w:szCs w:val="20"/>
                <w:color w:val="auto"/>
              </w:rPr>
            </w:pPr>
            <w:r>
              <w:rPr>
                <w:rFonts w:ascii="Arial" w:cs="Arial" w:eastAsia="Arial" w:hAnsi="Arial"/>
                <w:sz w:val="12"/>
                <w:szCs w:val="12"/>
                <w:color w:val="FFFFFF"/>
              </w:rPr>
              <w:t>Transactions</w:t>
            </w:r>
          </w:p>
        </w:tc>
        <w:tc>
          <w:tcPr>
            <w:tcW w:w="460" w:type="dxa"/>
            <w:vAlign w:val="bottom"/>
            <w:shd w:val="clear" w:color="auto" w:fill="002B5F"/>
          </w:tcPr>
          <w:p>
            <w:pPr>
              <w:spacing w:after="0"/>
              <w:rPr>
                <w:sz w:val="13"/>
                <w:szCs w:val="13"/>
                <w:color w:val="auto"/>
              </w:rPr>
            </w:pPr>
          </w:p>
        </w:tc>
        <w:tc>
          <w:tcPr>
            <w:tcW w:w="0" w:type="dxa"/>
            <w:vAlign w:val="bottom"/>
          </w:tcPr>
          <w:p>
            <w:pPr>
              <w:spacing w:after="0"/>
              <w:rPr>
                <w:sz w:val="1"/>
                <w:szCs w:val="1"/>
                <w:color w:val="auto"/>
              </w:rPr>
            </w:pPr>
          </w:p>
        </w:tc>
      </w:tr>
      <w:tr>
        <w:trPr>
          <w:trHeight w:val="294"/>
        </w:trPr>
        <w:tc>
          <w:tcPr>
            <w:tcW w:w="8300" w:type="dxa"/>
            <w:vAlign w:val="bottom"/>
          </w:tcPr>
          <w:p>
            <w:pPr>
              <w:spacing w:after="0"/>
              <w:rPr>
                <w:sz w:val="24"/>
                <w:szCs w:val="24"/>
                <w:color w:val="auto"/>
              </w:rPr>
            </w:pPr>
          </w:p>
        </w:tc>
        <w:tc>
          <w:tcPr>
            <w:tcW w:w="240" w:type="dxa"/>
            <w:vAlign w:val="bottom"/>
            <w:shd w:val="clear" w:color="auto" w:fill="002B5F"/>
          </w:tcPr>
          <w:p>
            <w:pPr>
              <w:spacing w:after="0"/>
              <w:rPr>
                <w:sz w:val="24"/>
                <w:szCs w:val="24"/>
                <w:color w:val="auto"/>
              </w:rPr>
            </w:pPr>
          </w:p>
        </w:tc>
        <w:tc>
          <w:tcPr>
            <w:tcW w:w="1280" w:type="dxa"/>
            <w:vAlign w:val="bottom"/>
            <w:shd w:val="clear" w:color="auto" w:fill="002B5F"/>
          </w:tcPr>
          <w:p>
            <w:pPr>
              <w:ind w:left="140"/>
              <w:spacing w:after="0"/>
              <w:rPr>
                <w:sz w:val="20"/>
                <w:szCs w:val="20"/>
                <w:color w:val="auto"/>
              </w:rPr>
            </w:pPr>
            <w:r>
              <w:rPr>
                <w:rFonts w:ascii="Arial" w:cs="Arial" w:eastAsia="Arial" w:hAnsi="Arial"/>
                <w:sz w:val="12"/>
                <w:szCs w:val="12"/>
                <w:color w:val="FFFFFF"/>
              </w:rPr>
              <w:t>Proposal 2</w:t>
            </w:r>
          </w:p>
        </w:tc>
        <w:tc>
          <w:tcPr>
            <w:tcW w:w="460" w:type="dxa"/>
            <w:vAlign w:val="bottom"/>
            <w:shd w:val="clear" w:color="auto" w:fill="002B5F"/>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8300" w:type="dxa"/>
            <w:vAlign w:val="bottom"/>
          </w:tcPr>
          <w:p>
            <w:pPr>
              <w:spacing w:after="0"/>
              <w:rPr>
                <w:sz w:val="22"/>
                <w:szCs w:val="22"/>
                <w:color w:val="auto"/>
              </w:rPr>
            </w:pPr>
          </w:p>
        </w:tc>
        <w:tc>
          <w:tcPr>
            <w:tcW w:w="240" w:type="dxa"/>
            <w:vAlign w:val="bottom"/>
            <w:shd w:val="clear" w:color="auto" w:fill="002B5F"/>
          </w:tcPr>
          <w:p>
            <w:pPr>
              <w:spacing w:after="0"/>
              <w:rPr>
                <w:sz w:val="22"/>
                <w:szCs w:val="22"/>
                <w:color w:val="auto"/>
              </w:rPr>
            </w:pPr>
          </w:p>
        </w:tc>
        <w:tc>
          <w:tcPr>
            <w:tcW w:w="1280" w:type="dxa"/>
            <w:vAlign w:val="bottom"/>
            <w:shd w:val="clear" w:color="auto" w:fill="002B5F"/>
          </w:tcPr>
          <w:p>
            <w:pPr>
              <w:ind w:left="140"/>
              <w:spacing w:after="0"/>
              <w:rPr>
                <w:sz w:val="20"/>
                <w:szCs w:val="20"/>
                <w:color w:val="auto"/>
              </w:rPr>
            </w:pPr>
            <w:r>
              <w:rPr>
                <w:rFonts w:ascii="Arial" w:cs="Arial" w:eastAsia="Arial" w:hAnsi="Arial"/>
                <w:sz w:val="12"/>
                <w:szCs w:val="12"/>
                <w:color w:val="FFFFFF"/>
              </w:rPr>
              <w:t>Report of the</w:t>
            </w:r>
          </w:p>
        </w:tc>
        <w:tc>
          <w:tcPr>
            <w:tcW w:w="460" w:type="dxa"/>
            <w:vAlign w:val="bottom"/>
            <w:shd w:val="clear" w:color="auto" w:fill="002B5F"/>
          </w:tcPr>
          <w:p>
            <w:pPr>
              <w:spacing w:after="0"/>
              <w:rPr>
                <w:sz w:val="22"/>
                <w:szCs w:val="22"/>
                <w:color w:val="auto"/>
              </w:rPr>
            </w:pPr>
          </w:p>
        </w:tc>
        <w:tc>
          <w:tcPr>
            <w:tcW w:w="0" w:type="dxa"/>
            <w:vAlign w:val="bottom"/>
          </w:tcPr>
          <w:p>
            <w:pPr>
              <w:spacing w:after="0"/>
              <w:rPr>
                <w:sz w:val="1"/>
                <w:szCs w:val="1"/>
                <w:color w:val="auto"/>
              </w:rPr>
            </w:pPr>
          </w:p>
        </w:tc>
      </w:tr>
      <w:tr>
        <w:trPr>
          <w:trHeight w:val="128"/>
        </w:trPr>
        <w:tc>
          <w:tcPr>
            <w:tcW w:w="8300" w:type="dxa"/>
            <w:vAlign w:val="bottom"/>
          </w:tcPr>
          <w:p>
            <w:pPr>
              <w:spacing w:after="0"/>
              <w:rPr>
                <w:sz w:val="11"/>
                <w:szCs w:val="11"/>
                <w:color w:val="auto"/>
              </w:rPr>
            </w:pPr>
          </w:p>
        </w:tc>
        <w:tc>
          <w:tcPr>
            <w:tcW w:w="240" w:type="dxa"/>
            <w:vAlign w:val="bottom"/>
            <w:shd w:val="clear" w:color="auto" w:fill="002B5F"/>
          </w:tcPr>
          <w:p>
            <w:pPr>
              <w:spacing w:after="0"/>
              <w:rPr>
                <w:sz w:val="11"/>
                <w:szCs w:val="11"/>
                <w:color w:val="auto"/>
              </w:rPr>
            </w:pPr>
          </w:p>
        </w:tc>
        <w:tc>
          <w:tcPr>
            <w:tcW w:w="1280" w:type="dxa"/>
            <w:vAlign w:val="bottom"/>
            <w:shd w:val="clear" w:color="auto" w:fill="002B5F"/>
          </w:tcPr>
          <w:p>
            <w:pPr>
              <w:ind w:left="140"/>
              <w:spacing w:after="0" w:line="128" w:lineRule="exact"/>
              <w:rPr>
                <w:sz w:val="20"/>
                <w:szCs w:val="20"/>
                <w:color w:val="auto"/>
              </w:rPr>
            </w:pPr>
            <w:r>
              <w:rPr>
                <w:rFonts w:ascii="Arial" w:cs="Arial" w:eastAsia="Arial" w:hAnsi="Arial"/>
                <w:sz w:val="12"/>
                <w:szCs w:val="12"/>
                <w:color w:val="FFFFFF"/>
              </w:rPr>
              <w:t>Audit and Risk</w:t>
            </w:r>
          </w:p>
        </w:tc>
        <w:tc>
          <w:tcPr>
            <w:tcW w:w="460" w:type="dxa"/>
            <w:vAlign w:val="bottom"/>
            <w:shd w:val="clear" w:color="auto" w:fill="002B5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300" w:type="dxa"/>
            <w:vAlign w:val="bottom"/>
          </w:tcPr>
          <w:p>
            <w:pPr>
              <w:spacing w:after="0"/>
              <w:rPr>
                <w:sz w:val="11"/>
                <w:szCs w:val="11"/>
                <w:color w:val="auto"/>
              </w:rPr>
            </w:pPr>
          </w:p>
        </w:tc>
        <w:tc>
          <w:tcPr>
            <w:tcW w:w="240" w:type="dxa"/>
            <w:vAlign w:val="bottom"/>
            <w:shd w:val="clear" w:color="auto" w:fill="002B5F"/>
          </w:tcPr>
          <w:p>
            <w:pPr>
              <w:spacing w:after="0"/>
              <w:rPr>
                <w:sz w:val="11"/>
                <w:szCs w:val="11"/>
                <w:color w:val="auto"/>
              </w:rPr>
            </w:pPr>
          </w:p>
        </w:tc>
        <w:tc>
          <w:tcPr>
            <w:tcW w:w="1280" w:type="dxa"/>
            <w:vAlign w:val="bottom"/>
            <w:shd w:val="clear" w:color="auto" w:fill="002B5F"/>
          </w:tcPr>
          <w:p>
            <w:pPr>
              <w:ind w:left="140"/>
              <w:spacing w:after="0" w:line="128" w:lineRule="exact"/>
              <w:rPr>
                <w:sz w:val="20"/>
                <w:szCs w:val="20"/>
                <w:color w:val="auto"/>
              </w:rPr>
            </w:pPr>
            <w:r>
              <w:rPr>
                <w:rFonts w:ascii="Arial" w:cs="Arial" w:eastAsia="Arial" w:hAnsi="Arial"/>
                <w:sz w:val="12"/>
                <w:szCs w:val="12"/>
                <w:color w:val="FFFFFF"/>
              </w:rPr>
              <w:t>Committee of the</w:t>
            </w:r>
          </w:p>
        </w:tc>
        <w:tc>
          <w:tcPr>
            <w:tcW w:w="460" w:type="dxa"/>
            <w:vAlign w:val="bottom"/>
            <w:shd w:val="clear" w:color="auto" w:fill="002B5F"/>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8300" w:type="dxa"/>
            <w:vAlign w:val="bottom"/>
          </w:tcPr>
          <w:p>
            <w:pPr>
              <w:spacing w:after="0"/>
              <w:rPr>
                <w:sz w:val="13"/>
                <w:szCs w:val="13"/>
                <w:color w:val="auto"/>
              </w:rPr>
            </w:pPr>
          </w:p>
        </w:tc>
        <w:tc>
          <w:tcPr>
            <w:tcW w:w="240" w:type="dxa"/>
            <w:vAlign w:val="bottom"/>
            <w:shd w:val="clear" w:color="auto" w:fill="002B5F"/>
          </w:tcPr>
          <w:p>
            <w:pPr>
              <w:spacing w:after="0"/>
              <w:rPr>
                <w:sz w:val="13"/>
                <w:szCs w:val="13"/>
                <w:color w:val="auto"/>
              </w:rPr>
            </w:pPr>
          </w:p>
        </w:tc>
        <w:tc>
          <w:tcPr>
            <w:tcW w:w="1280" w:type="dxa"/>
            <w:vAlign w:val="bottom"/>
            <w:shd w:val="clear" w:color="auto" w:fill="002B5F"/>
          </w:tcPr>
          <w:p>
            <w:pPr>
              <w:ind w:left="140"/>
              <w:spacing w:after="0"/>
              <w:rPr>
                <w:sz w:val="20"/>
                <w:szCs w:val="20"/>
                <w:color w:val="auto"/>
              </w:rPr>
            </w:pPr>
            <w:r>
              <w:rPr>
                <w:rFonts w:ascii="Arial" w:cs="Arial" w:eastAsia="Arial" w:hAnsi="Arial"/>
                <w:sz w:val="12"/>
                <w:szCs w:val="12"/>
                <w:color w:val="FFFFFF"/>
              </w:rPr>
              <w:t>Board of Directors</w:t>
            </w:r>
          </w:p>
        </w:tc>
        <w:tc>
          <w:tcPr>
            <w:tcW w:w="460" w:type="dxa"/>
            <w:vAlign w:val="bottom"/>
            <w:shd w:val="clear" w:color="auto" w:fill="002B5F"/>
          </w:tcPr>
          <w:p>
            <w:pPr>
              <w:spacing w:after="0"/>
              <w:rPr>
                <w:sz w:val="13"/>
                <w:szCs w:val="13"/>
                <w:color w:val="auto"/>
              </w:rPr>
            </w:pPr>
          </w:p>
        </w:tc>
        <w:tc>
          <w:tcPr>
            <w:tcW w:w="0" w:type="dxa"/>
            <w:vAlign w:val="bottom"/>
          </w:tcPr>
          <w:p>
            <w:pPr>
              <w:spacing w:after="0"/>
              <w:rPr>
                <w:sz w:val="1"/>
                <w:szCs w:val="1"/>
                <w:color w:val="auto"/>
              </w:rPr>
            </w:pPr>
          </w:p>
        </w:tc>
      </w:tr>
      <w:tr>
        <w:trPr>
          <w:trHeight w:val="294"/>
        </w:trPr>
        <w:tc>
          <w:tcPr>
            <w:tcW w:w="8300" w:type="dxa"/>
            <w:vAlign w:val="bottom"/>
          </w:tcPr>
          <w:p>
            <w:pPr>
              <w:spacing w:after="0"/>
              <w:rPr>
                <w:sz w:val="24"/>
                <w:szCs w:val="24"/>
                <w:color w:val="auto"/>
              </w:rPr>
            </w:pPr>
          </w:p>
        </w:tc>
        <w:tc>
          <w:tcPr>
            <w:tcW w:w="240" w:type="dxa"/>
            <w:vAlign w:val="bottom"/>
            <w:shd w:val="clear" w:color="auto" w:fill="002B5F"/>
          </w:tcPr>
          <w:p>
            <w:pPr>
              <w:spacing w:after="0"/>
              <w:rPr>
                <w:sz w:val="24"/>
                <w:szCs w:val="24"/>
                <w:color w:val="auto"/>
              </w:rPr>
            </w:pPr>
          </w:p>
        </w:tc>
        <w:tc>
          <w:tcPr>
            <w:tcW w:w="1280" w:type="dxa"/>
            <w:vAlign w:val="bottom"/>
            <w:shd w:val="clear" w:color="auto" w:fill="002B5F"/>
          </w:tcPr>
          <w:p>
            <w:pPr>
              <w:ind w:left="140"/>
              <w:spacing w:after="0"/>
              <w:rPr>
                <w:sz w:val="20"/>
                <w:szCs w:val="20"/>
                <w:color w:val="auto"/>
              </w:rPr>
            </w:pPr>
            <w:r>
              <w:rPr>
                <w:rFonts w:ascii="Arial" w:cs="Arial" w:eastAsia="Arial" w:hAnsi="Arial"/>
                <w:sz w:val="12"/>
                <w:szCs w:val="12"/>
                <w:color w:val="FFFFFF"/>
              </w:rPr>
              <w:t>Proposal 3</w:t>
            </w:r>
          </w:p>
        </w:tc>
        <w:tc>
          <w:tcPr>
            <w:tcW w:w="460" w:type="dxa"/>
            <w:vAlign w:val="bottom"/>
            <w:shd w:val="clear" w:color="auto" w:fill="002B5F"/>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8300" w:type="dxa"/>
            <w:vAlign w:val="bottom"/>
          </w:tcPr>
          <w:p>
            <w:pPr>
              <w:spacing w:after="0"/>
              <w:rPr>
                <w:sz w:val="24"/>
                <w:szCs w:val="24"/>
                <w:color w:val="auto"/>
              </w:rPr>
            </w:pPr>
          </w:p>
        </w:tc>
        <w:tc>
          <w:tcPr>
            <w:tcW w:w="240" w:type="dxa"/>
            <w:vAlign w:val="bottom"/>
            <w:shd w:val="clear" w:color="auto" w:fill="002B5F"/>
          </w:tcPr>
          <w:p>
            <w:pPr>
              <w:spacing w:after="0"/>
              <w:rPr>
                <w:sz w:val="24"/>
                <w:szCs w:val="24"/>
                <w:color w:val="auto"/>
              </w:rPr>
            </w:pPr>
          </w:p>
        </w:tc>
        <w:tc>
          <w:tcPr>
            <w:tcW w:w="1280" w:type="dxa"/>
            <w:vAlign w:val="bottom"/>
            <w:shd w:val="clear" w:color="auto" w:fill="002B5F"/>
          </w:tcPr>
          <w:p>
            <w:pPr>
              <w:ind w:left="140"/>
              <w:spacing w:after="0"/>
              <w:rPr>
                <w:sz w:val="20"/>
                <w:szCs w:val="20"/>
                <w:color w:val="auto"/>
              </w:rPr>
            </w:pPr>
            <w:r>
              <w:rPr>
                <w:rFonts w:ascii="Arial" w:cs="Arial" w:eastAsia="Arial" w:hAnsi="Arial"/>
                <w:sz w:val="12"/>
                <w:szCs w:val="12"/>
                <w:color w:val="FFFFFF"/>
              </w:rPr>
              <w:t>Proposal 4</w:t>
            </w:r>
          </w:p>
        </w:tc>
        <w:tc>
          <w:tcPr>
            <w:tcW w:w="460" w:type="dxa"/>
            <w:vAlign w:val="bottom"/>
            <w:shd w:val="clear" w:color="auto" w:fill="002B5F"/>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8300" w:type="dxa"/>
            <w:vAlign w:val="bottom"/>
          </w:tcPr>
          <w:p>
            <w:pPr>
              <w:spacing w:after="0"/>
              <w:rPr>
                <w:sz w:val="24"/>
                <w:szCs w:val="24"/>
                <w:color w:val="auto"/>
              </w:rPr>
            </w:pPr>
          </w:p>
        </w:tc>
        <w:tc>
          <w:tcPr>
            <w:tcW w:w="240" w:type="dxa"/>
            <w:vAlign w:val="bottom"/>
            <w:shd w:val="clear" w:color="auto" w:fill="002B5F"/>
          </w:tcPr>
          <w:p>
            <w:pPr>
              <w:spacing w:after="0"/>
              <w:rPr>
                <w:sz w:val="24"/>
                <w:szCs w:val="24"/>
                <w:color w:val="auto"/>
              </w:rPr>
            </w:pPr>
          </w:p>
        </w:tc>
        <w:tc>
          <w:tcPr>
            <w:tcW w:w="1280" w:type="dxa"/>
            <w:vAlign w:val="bottom"/>
            <w:shd w:val="clear" w:color="auto" w:fill="002B5F"/>
          </w:tcPr>
          <w:p>
            <w:pPr>
              <w:ind w:left="140"/>
              <w:spacing w:after="0"/>
              <w:rPr>
                <w:sz w:val="20"/>
                <w:szCs w:val="20"/>
                <w:color w:val="auto"/>
              </w:rPr>
            </w:pPr>
            <w:r>
              <w:rPr>
                <w:rFonts w:ascii="Arial" w:cs="Arial" w:eastAsia="Arial" w:hAnsi="Arial"/>
                <w:sz w:val="12"/>
                <w:szCs w:val="12"/>
                <w:color w:val="FFFFFF"/>
              </w:rPr>
              <w:t>Proposal 5</w:t>
            </w:r>
          </w:p>
        </w:tc>
        <w:tc>
          <w:tcPr>
            <w:tcW w:w="460" w:type="dxa"/>
            <w:vAlign w:val="bottom"/>
            <w:shd w:val="clear" w:color="auto" w:fill="002B5F"/>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8300" w:type="dxa"/>
            <w:vAlign w:val="bottom"/>
          </w:tcPr>
          <w:p>
            <w:pPr>
              <w:spacing w:after="0"/>
              <w:rPr>
                <w:sz w:val="24"/>
                <w:szCs w:val="24"/>
                <w:color w:val="auto"/>
              </w:rPr>
            </w:pPr>
          </w:p>
        </w:tc>
        <w:tc>
          <w:tcPr>
            <w:tcW w:w="240" w:type="dxa"/>
            <w:vAlign w:val="bottom"/>
            <w:shd w:val="clear" w:color="auto" w:fill="002B5F"/>
          </w:tcPr>
          <w:p>
            <w:pPr>
              <w:spacing w:after="0"/>
              <w:rPr>
                <w:sz w:val="24"/>
                <w:szCs w:val="24"/>
                <w:color w:val="auto"/>
              </w:rPr>
            </w:pPr>
          </w:p>
        </w:tc>
        <w:tc>
          <w:tcPr>
            <w:tcW w:w="1280" w:type="dxa"/>
            <w:vAlign w:val="bottom"/>
            <w:shd w:val="clear" w:color="auto" w:fill="002B5F"/>
          </w:tcPr>
          <w:p>
            <w:pPr>
              <w:ind w:left="140"/>
              <w:spacing w:after="0"/>
              <w:rPr>
                <w:sz w:val="20"/>
                <w:szCs w:val="20"/>
                <w:color w:val="auto"/>
              </w:rPr>
            </w:pPr>
            <w:r>
              <w:rPr>
                <w:rFonts w:ascii="Arial" w:cs="Arial" w:eastAsia="Arial" w:hAnsi="Arial"/>
                <w:sz w:val="12"/>
                <w:szCs w:val="12"/>
                <w:color w:val="FFFFFF"/>
              </w:rPr>
              <w:t>Proposal 6</w:t>
            </w:r>
          </w:p>
        </w:tc>
        <w:tc>
          <w:tcPr>
            <w:tcW w:w="460" w:type="dxa"/>
            <w:vAlign w:val="bottom"/>
            <w:shd w:val="clear" w:color="auto" w:fill="002B5F"/>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8300" w:type="dxa"/>
            <w:vAlign w:val="bottom"/>
          </w:tcPr>
          <w:p>
            <w:pPr>
              <w:spacing w:after="0"/>
              <w:rPr>
                <w:sz w:val="22"/>
                <w:szCs w:val="22"/>
                <w:color w:val="auto"/>
              </w:rPr>
            </w:pPr>
          </w:p>
        </w:tc>
        <w:tc>
          <w:tcPr>
            <w:tcW w:w="240" w:type="dxa"/>
            <w:vAlign w:val="bottom"/>
            <w:shd w:val="clear" w:color="auto" w:fill="002B5F"/>
          </w:tcPr>
          <w:p>
            <w:pPr>
              <w:spacing w:after="0"/>
              <w:rPr>
                <w:sz w:val="22"/>
                <w:szCs w:val="22"/>
                <w:color w:val="auto"/>
              </w:rPr>
            </w:pPr>
          </w:p>
        </w:tc>
        <w:tc>
          <w:tcPr>
            <w:tcW w:w="1280" w:type="dxa"/>
            <w:vAlign w:val="bottom"/>
            <w:shd w:val="clear" w:color="auto" w:fill="002B5F"/>
          </w:tcPr>
          <w:p>
            <w:pPr>
              <w:ind w:left="140"/>
              <w:spacing w:after="0"/>
              <w:rPr>
                <w:sz w:val="20"/>
                <w:szCs w:val="20"/>
                <w:color w:val="auto"/>
              </w:rPr>
            </w:pPr>
            <w:r>
              <w:rPr>
                <w:rFonts w:ascii="Arial" w:cs="Arial" w:eastAsia="Arial" w:hAnsi="Arial"/>
                <w:sz w:val="12"/>
                <w:szCs w:val="12"/>
                <w:color w:val="FFFFFF"/>
              </w:rPr>
              <w:t>Stockholder</w:t>
            </w:r>
          </w:p>
        </w:tc>
        <w:tc>
          <w:tcPr>
            <w:tcW w:w="460" w:type="dxa"/>
            <w:vAlign w:val="bottom"/>
            <w:shd w:val="clear" w:color="auto" w:fill="002B5F"/>
          </w:tcPr>
          <w:p>
            <w:pPr>
              <w:spacing w:after="0"/>
              <w:rPr>
                <w:sz w:val="22"/>
                <w:szCs w:val="22"/>
                <w:color w:val="auto"/>
              </w:rPr>
            </w:pPr>
          </w:p>
        </w:tc>
        <w:tc>
          <w:tcPr>
            <w:tcW w:w="0" w:type="dxa"/>
            <w:vAlign w:val="bottom"/>
          </w:tcPr>
          <w:p>
            <w:pPr>
              <w:spacing w:after="0"/>
              <w:rPr>
                <w:sz w:val="1"/>
                <w:szCs w:val="1"/>
                <w:color w:val="auto"/>
              </w:rPr>
            </w:pPr>
          </w:p>
        </w:tc>
      </w:tr>
      <w:tr>
        <w:trPr>
          <w:trHeight w:val="128"/>
        </w:trPr>
        <w:tc>
          <w:tcPr>
            <w:tcW w:w="8300" w:type="dxa"/>
            <w:vAlign w:val="bottom"/>
          </w:tcPr>
          <w:p>
            <w:pPr>
              <w:spacing w:after="0"/>
              <w:rPr>
                <w:sz w:val="11"/>
                <w:szCs w:val="11"/>
                <w:color w:val="auto"/>
              </w:rPr>
            </w:pPr>
          </w:p>
        </w:tc>
        <w:tc>
          <w:tcPr>
            <w:tcW w:w="240" w:type="dxa"/>
            <w:vAlign w:val="bottom"/>
            <w:shd w:val="clear" w:color="auto" w:fill="002B5F"/>
          </w:tcPr>
          <w:p>
            <w:pPr>
              <w:spacing w:after="0"/>
              <w:rPr>
                <w:sz w:val="11"/>
                <w:szCs w:val="11"/>
                <w:color w:val="auto"/>
              </w:rPr>
            </w:pPr>
          </w:p>
        </w:tc>
        <w:tc>
          <w:tcPr>
            <w:tcW w:w="1280" w:type="dxa"/>
            <w:vAlign w:val="bottom"/>
            <w:shd w:val="clear" w:color="auto" w:fill="002B5F"/>
          </w:tcPr>
          <w:p>
            <w:pPr>
              <w:ind w:left="140"/>
              <w:spacing w:after="0" w:line="128" w:lineRule="exact"/>
              <w:rPr>
                <w:sz w:val="20"/>
                <w:szCs w:val="20"/>
                <w:color w:val="auto"/>
              </w:rPr>
            </w:pPr>
            <w:r>
              <w:rPr>
                <w:rFonts w:ascii="Arial" w:cs="Arial" w:eastAsia="Arial" w:hAnsi="Arial"/>
                <w:sz w:val="12"/>
                <w:szCs w:val="12"/>
                <w:color w:val="FFFFFF"/>
              </w:rPr>
              <w:t>Proposals and</w:t>
            </w:r>
          </w:p>
        </w:tc>
        <w:tc>
          <w:tcPr>
            <w:tcW w:w="460" w:type="dxa"/>
            <w:vAlign w:val="bottom"/>
            <w:shd w:val="clear" w:color="auto" w:fill="002B5F"/>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8300" w:type="dxa"/>
            <w:vAlign w:val="bottom"/>
          </w:tcPr>
          <w:p>
            <w:pPr>
              <w:spacing w:after="0"/>
              <w:rPr>
                <w:sz w:val="13"/>
                <w:szCs w:val="13"/>
                <w:color w:val="auto"/>
              </w:rPr>
            </w:pPr>
          </w:p>
        </w:tc>
        <w:tc>
          <w:tcPr>
            <w:tcW w:w="240" w:type="dxa"/>
            <w:vAlign w:val="bottom"/>
            <w:shd w:val="clear" w:color="auto" w:fill="002B5F"/>
          </w:tcPr>
          <w:p>
            <w:pPr>
              <w:spacing w:after="0"/>
              <w:rPr>
                <w:sz w:val="13"/>
                <w:szCs w:val="13"/>
                <w:color w:val="auto"/>
              </w:rPr>
            </w:pPr>
          </w:p>
        </w:tc>
        <w:tc>
          <w:tcPr>
            <w:tcW w:w="1280" w:type="dxa"/>
            <w:vAlign w:val="bottom"/>
            <w:shd w:val="clear" w:color="auto" w:fill="002B5F"/>
          </w:tcPr>
          <w:p>
            <w:pPr>
              <w:ind w:left="140"/>
              <w:spacing w:after="0"/>
              <w:rPr>
                <w:sz w:val="20"/>
                <w:szCs w:val="20"/>
                <w:color w:val="auto"/>
              </w:rPr>
            </w:pPr>
            <w:r>
              <w:rPr>
                <w:rFonts w:ascii="Arial" w:cs="Arial" w:eastAsia="Arial" w:hAnsi="Arial"/>
                <w:sz w:val="12"/>
                <w:szCs w:val="12"/>
                <w:color w:val="FFFFFF"/>
              </w:rPr>
              <w:t>Other Matters</w:t>
            </w:r>
          </w:p>
        </w:tc>
        <w:tc>
          <w:tcPr>
            <w:tcW w:w="460" w:type="dxa"/>
            <w:vAlign w:val="bottom"/>
            <w:shd w:val="clear" w:color="auto" w:fill="002B5F"/>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8300" w:type="dxa"/>
            <w:vAlign w:val="bottom"/>
          </w:tcPr>
          <w:p>
            <w:pPr>
              <w:spacing w:after="0"/>
              <w:rPr>
                <w:sz w:val="22"/>
                <w:szCs w:val="22"/>
                <w:color w:val="auto"/>
              </w:rPr>
            </w:pPr>
          </w:p>
        </w:tc>
        <w:tc>
          <w:tcPr>
            <w:tcW w:w="240" w:type="dxa"/>
            <w:vAlign w:val="bottom"/>
            <w:shd w:val="clear" w:color="auto" w:fill="002B5F"/>
          </w:tcPr>
          <w:p>
            <w:pPr>
              <w:spacing w:after="0"/>
              <w:rPr>
                <w:sz w:val="22"/>
                <w:szCs w:val="22"/>
                <w:color w:val="auto"/>
              </w:rPr>
            </w:pPr>
          </w:p>
        </w:tc>
        <w:tc>
          <w:tcPr>
            <w:tcW w:w="1280" w:type="dxa"/>
            <w:vAlign w:val="bottom"/>
            <w:shd w:val="clear" w:color="auto" w:fill="002B5F"/>
          </w:tcPr>
          <w:p>
            <w:pPr>
              <w:ind w:left="140"/>
              <w:spacing w:after="0"/>
              <w:rPr>
                <w:sz w:val="20"/>
                <w:szCs w:val="20"/>
                <w:color w:val="auto"/>
              </w:rPr>
            </w:pPr>
            <w:r>
              <w:rPr>
                <w:rFonts w:ascii="Arial" w:cs="Arial" w:eastAsia="Arial" w:hAnsi="Arial"/>
                <w:sz w:val="12"/>
                <w:szCs w:val="12"/>
                <w:color w:val="FFFFFF"/>
              </w:rPr>
              <w:t>Delinquent</w:t>
            </w:r>
          </w:p>
        </w:tc>
        <w:tc>
          <w:tcPr>
            <w:tcW w:w="460" w:type="dxa"/>
            <w:vAlign w:val="bottom"/>
            <w:shd w:val="clear" w:color="auto" w:fill="002B5F"/>
          </w:tcPr>
          <w:p>
            <w:pPr>
              <w:spacing w:after="0"/>
              <w:rPr>
                <w:sz w:val="22"/>
                <w:szCs w:val="22"/>
                <w:color w:val="auto"/>
              </w:rPr>
            </w:pPr>
          </w:p>
        </w:tc>
        <w:tc>
          <w:tcPr>
            <w:tcW w:w="0" w:type="dxa"/>
            <w:vAlign w:val="bottom"/>
          </w:tcPr>
          <w:p>
            <w:pPr>
              <w:spacing w:after="0"/>
              <w:rPr>
                <w:sz w:val="1"/>
                <w:szCs w:val="1"/>
                <w:color w:val="auto"/>
              </w:rPr>
            </w:pPr>
          </w:p>
        </w:tc>
      </w:tr>
      <w:tr>
        <w:trPr>
          <w:trHeight w:val="128"/>
        </w:trPr>
        <w:tc>
          <w:tcPr>
            <w:tcW w:w="8300" w:type="dxa"/>
            <w:vAlign w:val="bottom"/>
          </w:tcPr>
          <w:p>
            <w:pPr>
              <w:spacing w:after="0"/>
              <w:rPr>
                <w:sz w:val="11"/>
                <w:szCs w:val="11"/>
                <w:color w:val="auto"/>
              </w:rPr>
            </w:pPr>
          </w:p>
        </w:tc>
        <w:tc>
          <w:tcPr>
            <w:tcW w:w="240" w:type="dxa"/>
            <w:vAlign w:val="bottom"/>
            <w:shd w:val="clear" w:color="auto" w:fill="002B5F"/>
          </w:tcPr>
          <w:p>
            <w:pPr>
              <w:spacing w:after="0"/>
              <w:rPr>
                <w:sz w:val="11"/>
                <w:szCs w:val="11"/>
                <w:color w:val="auto"/>
              </w:rPr>
            </w:pPr>
          </w:p>
        </w:tc>
        <w:tc>
          <w:tcPr>
            <w:tcW w:w="1280" w:type="dxa"/>
            <w:vAlign w:val="bottom"/>
            <w:shd w:val="clear" w:color="auto" w:fill="002B5F"/>
          </w:tcPr>
          <w:p>
            <w:pPr>
              <w:ind w:left="140"/>
              <w:spacing w:after="0" w:line="128" w:lineRule="exact"/>
              <w:rPr>
                <w:sz w:val="20"/>
                <w:szCs w:val="20"/>
                <w:color w:val="auto"/>
              </w:rPr>
            </w:pPr>
            <w:r>
              <w:rPr>
                <w:rFonts w:ascii="Arial" w:cs="Arial" w:eastAsia="Arial" w:hAnsi="Arial"/>
                <w:sz w:val="12"/>
                <w:szCs w:val="12"/>
                <w:color w:val="FFFFFF"/>
              </w:rPr>
              <w:t>Section 16(a)</w:t>
            </w:r>
          </w:p>
        </w:tc>
        <w:tc>
          <w:tcPr>
            <w:tcW w:w="460" w:type="dxa"/>
            <w:vAlign w:val="bottom"/>
            <w:shd w:val="clear" w:color="auto" w:fill="002B5F"/>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8300" w:type="dxa"/>
            <w:vAlign w:val="bottom"/>
          </w:tcPr>
          <w:p>
            <w:pPr>
              <w:spacing w:after="0"/>
              <w:rPr>
                <w:sz w:val="13"/>
                <w:szCs w:val="13"/>
                <w:color w:val="auto"/>
              </w:rPr>
            </w:pPr>
          </w:p>
        </w:tc>
        <w:tc>
          <w:tcPr>
            <w:tcW w:w="240" w:type="dxa"/>
            <w:vAlign w:val="bottom"/>
            <w:shd w:val="clear" w:color="auto" w:fill="002B5F"/>
          </w:tcPr>
          <w:p>
            <w:pPr>
              <w:spacing w:after="0"/>
              <w:rPr>
                <w:sz w:val="13"/>
                <w:szCs w:val="13"/>
                <w:color w:val="auto"/>
              </w:rPr>
            </w:pPr>
          </w:p>
        </w:tc>
        <w:tc>
          <w:tcPr>
            <w:tcW w:w="1280" w:type="dxa"/>
            <w:vAlign w:val="bottom"/>
            <w:shd w:val="clear" w:color="auto" w:fill="002B5F"/>
          </w:tcPr>
          <w:p>
            <w:pPr>
              <w:ind w:left="140"/>
              <w:spacing w:after="0"/>
              <w:rPr>
                <w:sz w:val="20"/>
                <w:szCs w:val="20"/>
                <w:color w:val="auto"/>
              </w:rPr>
            </w:pPr>
            <w:r>
              <w:rPr>
                <w:rFonts w:ascii="Arial" w:cs="Arial" w:eastAsia="Arial" w:hAnsi="Arial"/>
                <w:sz w:val="12"/>
                <w:szCs w:val="12"/>
                <w:color w:val="FFFFFF"/>
              </w:rPr>
              <w:t>Reports</w:t>
            </w:r>
          </w:p>
        </w:tc>
        <w:tc>
          <w:tcPr>
            <w:tcW w:w="460" w:type="dxa"/>
            <w:vAlign w:val="bottom"/>
            <w:shd w:val="clear" w:color="auto" w:fill="002B5F"/>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8300" w:type="dxa"/>
            <w:vAlign w:val="bottom"/>
          </w:tcPr>
          <w:p>
            <w:pPr>
              <w:spacing w:after="0"/>
              <w:rPr>
                <w:sz w:val="22"/>
                <w:szCs w:val="22"/>
                <w:color w:val="auto"/>
              </w:rPr>
            </w:pPr>
          </w:p>
        </w:tc>
        <w:tc>
          <w:tcPr>
            <w:tcW w:w="240" w:type="dxa"/>
            <w:vAlign w:val="bottom"/>
            <w:shd w:val="clear" w:color="auto" w:fill="002B5F"/>
          </w:tcPr>
          <w:p>
            <w:pPr>
              <w:spacing w:after="0"/>
              <w:rPr>
                <w:sz w:val="22"/>
                <w:szCs w:val="22"/>
                <w:color w:val="auto"/>
              </w:rPr>
            </w:pPr>
          </w:p>
        </w:tc>
        <w:tc>
          <w:tcPr>
            <w:tcW w:w="1280" w:type="dxa"/>
            <w:vAlign w:val="bottom"/>
            <w:shd w:val="clear" w:color="auto" w:fill="002B5F"/>
          </w:tcPr>
          <w:p>
            <w:pPr>
              <w:ind w:left="140"/>
              <w:spacing w:after="0"/>
              <w:rPr>
                <w:sz w:val="20"/>
                <w:szCs w:val="20"/>
                <w:color w:val="auto"/>
              </w:rPr>
            </w:pPr>
            <w:r>
              <w:rPr>
                <w:rFonts w:ascii="Arial" w:cs="Arial" w:eastAsia="Arial" w:hAnsi="Arial"/>
                <w:sz w:val="12"/>
                <w:szCs w:val="12"/>
                <w:color w:val="FFFFFF"/>
              </w:rPr>
              <w:t>Other</w:t>
            </w:r>
          </w:p>
        </w:tc>
        <w:tc>
          <w:tcPr>
            <w:tcW w:w="460" w:type="dxa"/>
            <w:vAlign w:val="bottom"/>
            <w:shd w:val="clear" w:color="auto" w:fill="002B5F"/>
          </w:tcPr>
          <w:p>
            <w:pPr>
              <w:spacing w:after="0"/>
              <w:rPr>
                <w:sz w:val="22"/>
                <w:szCs w:val="22"/>
                <w:color w:val="auto"/>
              </w:rPr>
            </w:pPr>
          </w:p>
        </w:tc>
        <w:tc>
          <w:tcPr>
            <w:tcW w:w="0" w:type="dxa"/>
            <w:vAlign w:val="bottom"/>
          </w:tcPr>
          <w:p>
            <w:pPr>
              <w:spacing w:after="0"/>
              <w:rPr>
                <w:sz w:val="1"/>
                <w:szCs w:val="1"/>
                <w:color w:val="auto"/>
              </w:rPr>
            </w:pPr>
          </w:p>
        </w:tc>
      </w:tr>
      <w:tr>
        <w:trPr>
          <w:trHeight w:val="158"/>
        </w:trPr>
        <w:tc>
          <w:tcPr>
            <w:tcW w:w="8300" w:type="dxa"/>
            <w:vAlign w:val="bottom"/>
          </w:tcPr>
          <w:p>
            <w:pPr>
              <w:spacing w:after="0"/>
              <w:rPr>
                <w:sz w:val="13"/>
                <w:szCs w:val="13"/>
                <w:color w:val="auto"/>
              </w:rPr>
            </w:pPr>
          </w:p>
        </w:tc>
        <w:tc>
          <w:tcPr>
            <w:tcW w:w="240" w:type="dxa"/>
            <w:vAlign w:val="bottom"/>
            <w:shd w:val="clear" w:color="auto" w:fill="002B5F"/>
          </w:tcPr>
          <w:p>
            <w:pPr>
              <w:spacing w:after="0"/>
              <w:rPr>
                <w:sz w:val="13"/>
                <w:szCs w:val="13"/>
                <w:color w:val="auto"/>
              </w:rPr>
            </w:pPr>
          </w:p>
        </w:tc>
        <w:tc>
          <w:tcPr>
            <w:tcW w:w="1280" w:type="dxa"/>
            <w:vAlign w:val="bottom"/>
            <w:shd w:val="clear" w:color="auto" w:fill="002B5F"/>
          </w:tcPr>
          <w:p>
            <w:pPr>
              <w:ind w:left="140"/>
              <w:spacing w:after="0"/>
              <w:rPr>
                <w:sz w:val="20"/>
                <w:szCs w:val="20"/>
                <w:color w:val="auto"/>
              </w:rPr>
            </w:pPr>
            <w:r>
              <w:rPr>
                <w:rFonts w:ascii="Arial" w:cs="Arial" w:eastAsia="Arial" w:hAnsi="Arial"/>
                <w:sz w:val="12"/>
                <w:szCs w:val="12"/>
                <w:color w:val="FFFFFF"/>
              </w:rPr>
              <w:t>Information</w:t>
            </w:r>
          </w:p>
        </w:tc>
        <w:tc>
          <w:tcPr>
            <w:tcW w:w="460" w:type="dxa"/>
            <w:vAlign w:val="bottom"/>
            <w:shd w:val="clear" w:color="auto" w:fill="002B5F"/>
          </w:tcPr>
          <w:p>
            <w:pPr>
              <w:spacing w:after="0"/>
              <w:rPr>
                <w:sz w:val="13"/>
                <w:szCs w:val="13"/>
                <w:color w:val="auto"/>
              </w:rPr>
            </w:pPr>
          </w:p>
        </w:tc>
        <w:tc>
          <w:tcPr>
            <w:tcW w:w="0" w:type="dxa"/>
            <w:vAlign w:val="bottom"/>
          </w:tcPr>
          <w:p>
            <w:pPr>
              <w:spacing w:after="0"/>
              <w:rPr>
                <w:sz w:val="1"/>
                <w:szCs w:val="1"/>
                <w:color w:val="auto"/>
              </w:rPr>
            </w:pPr>
          </w:p>
        </w:tc>
      </w:tr>
      <w:tr>
        <w:trPr>
          <w:trHeight w:val="294"/>
        </w:trPr>
        <w:tc>
          <w:tcPr>
            <w:tcW w:w="8300" w:type="dxa"/>
            <w:vAlign w:val="bottom"/>
          </w:tcPr>
          <w:p>
            <w:pPr>
              <w:spacing w:after="0"/>
              <w:rPr>
                <w:sz w:val="24"/>
                <w:szCs w:val="24"/>
                <w:color w:val="auto"/>
              </w:rPr>
            </w:pPr>
          </w:p>
        </w:tc>
        <w:tc>
          <w:tcPr>
            <w:tcW w:w="240" w:type="dxa"/>
            <w:vAlign w:val="bottom"/>
            <w:shd w:val="clear" w:color="auto" w:fill="002B5F"/>
          </w:tcPr>
          <w:p>
            <w:pPr>
              <w:spacing w:after="0"/>
              <w:rPr>
                <w:sz w:val="24"/>
                <w:szCs w:val="24"/>
                <w:color w:val="auto"/>
              </w:rPr>
            </w:pPr>
          </w:p>
        </w:tc>
        <w:tc>
          <w:tcPr>
            <w:tcW w:w="1280" w:type="dxa"/>
            <w:vAlign w:val="bottom"/>
            <w:shd w:val="clear" w:color="auto" w:fill="002B5F"/>
          </w:tcPr>
          <w:p>
            <w:pPr>
              <w:ind w:left="140"/>
              <w:spacing w:after="0"/>
              <w:rPr>
                <w:sz w:val="20"/>
                <w:szCs w:val="20"/>
                <w:color w:val="auto"/>
              </w:rPr>
            </w:pPr>
            <w:r>
              <w:rPr>
                <w:rFonts w:ascii="Arial" w:cs="Arial" w:eastAsia="Arial" w:hAnsi="Arial"/>
                <w:sz w:val="12"/>
                <w:szCs w:val="12"/>
                <w:color w:val="FFFFFF"/>
              </w:rPr>
              <w:t>Appendix A</w:t>
            </w:r>
          </w:p>
        </w:tc>
        <w:tc>
          <w:tcPr>
            <w:tcW w:w="460" w:type="dxa"/>
            <w:vAlign w:val="bottom"/>
            <w:shd w:val="clear" w:color="auto" w:fill="002B5F"/>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8300" w:type="dxa"/>
            <w:vAlign w:val="bottom"/>
          </w:tcPr>
          <w:p>
            <w:pPr>
              <w:spacing w:after="0"/>
              <w:rPr>
                <w:sz w:val="24"/>
                <w:szCs w:val="24"/>
                <w:color w:val="auto"/>
              </w:rPr>
            </w:pPr>
          </w:p>
        </w:tc>
        <w:tc>
          <w:tcPr>
            <w:tcW w:w="240" w:type="dxa"/>
            <w:vAlign w:val="bottom"/>
            <w:shd w:val="clear" w:color="auto" w:fill="002B5F"/>
          </w:tcPr>
          <w:p>
            <w:pPr>
              <w:spacing w:after="0"/>
              <w:rPr>
                <w:sz w:val="24"/>
                <w:szCs w:val="24"/>
                <w:color w:val="auto"/>
              </w:rPr>
            </w:pPr>
          </w:p>
        </w:tc>
        <w:tc>
          <w:tcPr>
            <w:tcW w:w="1280" w:type="dxa"/>
            <w:vAlign w:val="bottom"/>
            <w:shd w:val="clear" w:color="auto" w:fill="002B5F"/>
          </w:tcPr>
          <w:p>
            <w:pPr>
              <w:ind w:left="140"/>
              <w:spacing w:after="0"/>
              <w:rPr>
                <w:sz w:val="20"/>
                <w:szCs w:val="20"/>
                <w:color w:val="auto"/>
              </w:rPr>
            </w:pPr>
            <w:r>
              <w:rPr>
                <w:rFonts w:ascii="Arial" w:cs="Arial" w:eastAsia="Arial" w:hAnsi="Arial"/>
                <w:sz w:val="12"/>
                <w:szCs w:val="12"/>
                <w:color w:val="FFFFFF"/>
              </w:rPr>
              <w:t>Appendix B</w:t>
            </w:r>
          </w:p>
        </w:tc>
        <w:tc>
          <w:tcPr>
            <w:tcW w:w="460" w:type="dxa"/>
            <w:vAlign w:val="bottom"/>
            <w:shd w:val="clear" w:color="auto" w:fill="002B5F"/>
          </w:tcPr>
          <w:p>
            <w:pPr>
              <w:spacing w:after="0"/>
              <w:rPr>
                <w:sz w:val="24"/>
                <w:szCs w:val="24"/>
                <w:color w:val="auto"/>
              </w:rPr>
            </w:pPr>
          </w:p>
        </w:tc>
        <w:tc>
          <w:tcPr>
            <w:tcW w:w="0" w:type="dxa"/>
            <w:vAlign w:val="bottom"/>
          </w:tcPr>
          <w:p>
            <w:pPr>
              <w:spacing w:after="0"/>
              <w:rPr>
                <w:sz w:val="1"/>
                <w:szCs w:val="1"/>
                <w:color w:val="auto"/>
              </w:rPr>
            </w:pPr>
          </w:p>
        </w:tc>
      </w:tr>
      <w:tr>
        <w:trPr>
          <w:trHeight w:val="651"/>
        </w:trPr>
        <w:tc>
          <w:tcPr>
            <w:tcW w:w="8300" w:type="dxa"/>
            <w:vAlign w:val="bottom"/>
          </w:tcPr>
          <w:p>
            <w:pPr>
              <w:spacing w:after="0"/>
              <w:rPr>
                <w:sz w:val="24"/>
                <w:szCs w:val="24"/>
                <w:color w:val="auto"/>
              </w:rPr>
            </w:pPr>
          </w:p>
        </w:tc>
        <w:tc>
          <w:tcPr>
            <w:tcW w:w="240" w:type="dxa"/>
            <w:vAlign w:val="bottom"/>
            <w:shd w:val="clear" w:color="auto" w:fill="002B5F"/>
          </w:tcPr>
          <w:p>
            <w:pPr>
              <w:spacing w:after="0"/>
              <w:rPr>
                <w:sz w:val="24"/>
                <w:szCs w:val="24"/>
                <w:color w:val="auto"/>
              </w:rPr>
            </w:pPr>
          </w:p>
        </w:tc>
        <w:tc>
          <w:tcPr>
            <w:tcW w:w="1280" w:type="dxa"/>
            <w:vAlign w:val="bottom"/>
            <w:shd w:val="clear" w:color="auto" w:fill="002B5F"/>
          </w:tcPr>
          <w:p>
            <w:pPr>
              <w:spacing w:after="0"/>
              <w:rPr>
                <w:sz w:val="24"/>
                <w:szCs w:val="24"/>
                <w:color w:val="auto"/>
              </w:rPr>
            </w:pPr>
          </w:p>
        </w:tc>
        <w:tc>
          <w:tcPr>
            <w:tcW w:w="460" w:type="dxa"/>
            <w:vAlign w:val="bottom"/>
            <w:shd w:val="clear" w:color="auto" w:fill="002B5F"/>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5771515</wp:posOffset>
            </wp:positionH>
            <wp:positionV relativeFrom="paragraph">
              <wp:posOffset>-4651375</wp:posOffset>
            </wp:positionV>
            <wp:extent cx="56515" cy="8890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56515" cy="88900"/>
                    </a:xfrm>
                    <a:prstGeom prst="rect">
                      <a:avLst/>
                    </a:prstGeom>
                    <a:noFill/>
                  </pic:spPr>
                </pic:pic>
              </a:graphicData>
            </a:graphic>
          </wp:anchor>
        </w:drawing>
      </w:r>
    </w:p>
    <w:p>
      <w:pPr>
        <w:spacing w:after="0" w:line="235" w:lineRule="exact"/>
        <w:rPr>
          <w:sz w:val="20"/>
          <w:szCs w:val="20"/>
          <w:color w:val="auto"/>
        </w:rPr>
      </w:pPr>
    </w:p>
    <w:p>
      <w:pPr>
        <w:ind w:left="6380"/>
        <w:spacing w:after="0"/>
        <w:tabs>
          <w:tab w:leader="none" w:pos="8500" w:val="left"/>
          <w:tab w:leader="none" w:pos="9960" w:val="left"/>
        </w:tabs>
        <w:rPr>
          <w:sz w:val="20"/>
          <w:szCs w:val="20"/>
          <w:color w:val="auto"/>
        </w:rPr>
      </w:pPr>
      <w:r>
        <w:rPr>
          <w:rFonts w:ascii="Arial" w:cs="Arial" w:eastAsia="Arial" w:hAnsi="Arial"/>
          <w:sz w:val="15"/>
          <w:szCs w:val="15"/>
          <w:b w:val="1"/>
          <w:bCs w:val="1"/>
          <w:color w:val="002B5F"/>
        </w:rPr>
        <w:t xml:space="preserve">2026 Proxy Statement  </w:t>
      </w:r>
      <w:r>
        <w:rPr>
          <w:rFonts w:ascii="Arial" w:cs="Arial" w:eastAsia="Arial" w:hAnsi="Arial"/>
          <w:sz w:val="20"/>
          <w:szCs w:val="20"/>
          <w:color w:val="002B5F"/>
        </w:rPr>
        <w:t>|</w:t>
      </w:r>
      <w:r>
        <w:rPr>
          <w:rFonts w:ascii="Arial" w:cs="Arial" w:eastAsia="Arial" w:hAnsi="Arial"/>
          <w:sz w:val="15"/>
          <w:szCs w:val="15"/>
          <w:b w:val="1"/>
          <w:bCs w:val="1"/>
          <w:color w:val="002B5F"/>
        </w:rPr>
        <w:t xml:space="preserve">  65</w:t>
      </w:r>
      <w:r>
        <w:rPr>
          <w:sz w:val="20"/>
          <w:szCs w:val="20"/>
          <w:color w:val="auto"/>
        </w:rPr>
        <w:tab/>
      </w:r>
      <w:r>
        <w:rPr>
          <w:rFonts w:ascii="Arial" w:cs="Arial" w:eastAsia="Arial" w:hAnsi="Arial"/>
          <w:sz w:val="17"/>
          <w:szCs w:val="17"/>
          <w:color w:val="auto"/>
        </w:rPr>
        <w:t xml:space="preserve">    </w:t>
      </w:r>
      <w:r>
        <w:rPr>
          <w:sz w:val="20"/>
          <w:szCs w:val="20"/>
          <w:color w:val="auto"/>
        </w:rPr>
        <w:tab/>
      </w:r>
      <w:r>
        <w:rPr>
          <w:rFonts w:ascii="Arial" w:cs="Arial" w:eastAsia="Arial" w:hAnsi="Arial"/>
          <w:sz w:val="17"/>
          <w:szCs w:val="17"/>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268605</wp:posOffset>
            </wp:positionH>
            <wp:positionV relativeFrom="paragraph">
              <wp:posOffset>-128905</wp:posOffset>
            </wp:positionV>
            <wp:extent cx="762000" cy="971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62000" cy="97155"/>
                    </a:xfrm>
                    <a:prstGeom prst="rect">
                      <a:avLst/>
                    </a:prstGeom>
                    <a:noFill/>
                  </pic:spPr>
                </pic:pic>
              </a:graphicData>
            </a:graphic>
          </wp:anchor>
        </w:drawing>
      </w:r>
    </w:p>
    <w:p>
      <w:pPr>
        <w:sectPr>
          <w:pgSz w:w="11900" w:h="16838" w:orient="portrait"/>
          <w:cols w:equalWidth="0" w:num="1">
            <w:col w:w="10820"/>
          </w:cols>
          <w:pgMar w:left="320" w:top="464" w:right="75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7"/>
          <w:szCs w:val="17"/>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268605</wp:posOffset>
            </wp:positionH>
            <wp:positionV relativeFrom="paragraph">
              <wp:posOffset>253365</wp:posOffset>
            </wp:positionV>
            <wp:extent cx="1183005" cy="745617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1183005" cy="7456170"/>
                    </a:xfrm>
                    <a:prstGeom prst="rect">
                      <a:avLst/>
                    </a:prstGeom>
                    <a:noFill/>
                  </pic:spPr>
                </pic:pic>
              </a:graphicData>
            </a:graphic>
          </wp:anchor>
        </w:drawing>
      </w:r>
    </w:p>
    <w:p>
      <w:pPr>
        <w:spacing w:after="0" w:line="200" w:lineRule="exact"/>
        <w:rPr>
          <w:sz w:val="20"/>
          <w:szCs w:val="20"/>
          <w:color w:val="auto"/>
        </w:rPr>
      </w:pPr>
    </w:p>
    <w:p>
      <w:pPr>
        <w:spacing w:after="0" w:line="304" w:lineRule="exact"/>
        <w:rPr>
          <w:sz w:val="20"/>
          <w:szCs w:val="20"/>
          <w:color w:val="auto"/>
        </w:rPr>
      </w:pPr>
    </w:p>
    <w:p>
      <w:pPr>
        <w:ind w:left="1120" w:right="460" w:hanging="672"/>
        <w:spacing w:after="0" w:line="382" w:lineRule="auto"/>
        <w:tabs>
          <w:tab w:leader="none" w:pos="610" w:val="left"/>
        </w:tabs>
        <w:numPr>
          <w:ilvl w:val="0"/>
          <w:numId w:val="99"/>
        </w:numPr>
        <w:rPr>
          <w:rFonts w:ascii="Arial" w:cs="Arial" w:eastAsia="Arial" w:hAnsi="Arial"/>
          <w:sz w:val="24"/>
          <w:szCs w:val="24"/>
          <w:color w:val="auto"/>
          <w:vertAlign w:val="subscript"/>
        </w:rPr>
      </w:pPr>
      <w:r>
        <w:rPr>
          <w:rFonts w:ascii="Arial" w:cs="Arial" w:eastAsia="Arial" w:hAnsi="Arial"/>
          <w:sz w:val="24"/>
          <w:szCs w:val="24"/>
          <w:color w:val="000000"/>
          <w:vertAlign w:val="subscript"/>
        </w:rPr>
        <w:t xml:space="preserve">     </w:t>
      </w:r>
      <w:r>
        <w:rPr>
          <w:rFonts w:ascii="Arial" w:cs="Arial" w:eastAsia="Arial" w:hAnsi="Arial"/>
          <w:sz w:val="10"/>
          <w:szCs w:val="10"/>
          <w:color w:val="FFFFFF"/>
        </w:rPr>
        <w:t xml:space="preserve"> General Information</w:t>
      </w:r>
    </w:p>
    <w:p>
      <w:pPr>
        <w:spacing w:after="0" w:line="1" w:lineRule="exact"/>
        <w:rPr>
          <w:sz w:val="20"/>
          <w:szCs w:val="20"/>
          <w:color w:val="auto"/>
        </w:rPr>
      </w:pPr>
    </w:p>
    <w:p>
      <w:pPr>
        <w:ind w:left="1120"/>
        <w:spacing w:after="0"/>
        <w:rPr>
          <w:sz w:val="20"/>
          <w:szCs w:val="20"/>
          <w:color w:val="auto"/>
        </w:rPr>
      </w:pPr>
      <w:r>
        <w:rPr>
          <w:rFonts w:ascii="Arial" w:cs="Arial" w:eastAsia="Arial" w:hAnsi="Arial"/>
          <w:sz w:val="11"/>
          <w:szCs w:val="11"/>
          <w:color w:val="FFFFFF"/>
        </w:rPr>
        <w:t>General Information</w:t>
      </w:r>
    </w:p>
    <w:p>
      <w:pPr>
        <w:spacing w:after="0" w:line="3"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About Corporate</w:t>
      </w:r>
    </w:p>
    <w:p>
      <w:pPr>
        <w:ind w:left="1120"/>
        <w:spacing w:after="0" w:line="221" w:lineRule="auto"/>
        <w:rPr>
          <w:sz w:val="20"/>
          <w:szCs w:val="20"/>
          <w:color w:val="auto"/>
        </w:rPr>
      </w:pPr>
      <w:r>
        <w:rPr>
          <w:rFonts w:ascii="Arial" w:cs="Arial" w:eastAsia="Arial" w:hAnsi="Arial"/>
          <w:sz w:val="12"/>
          <w:szCs w:val="12"/>
          <w:color w:val="FFFFFF"/>
        </w:rPr>
        <w:t>Governance</w:t>
      </w:r>
    </w:p>
    <w:p>
      <w:pPr>
        <w:ind w:left="1120"/>
        <w:spacing w:after="0" w:line="222" w:lineRule="auto"/>
        <w:rPr>
          <w:sz w:val="20"/>
          <w:szCs w:val="20"/>
          <w:color w:val="auto"/>
        </w:rPr>
      </w:pPr>
      <w:r>
        <w:rPr>
          <w:rFonts w:ascii="Arial" w:cs="Arial" w:eastAsia="Arial" w:hAnsi="Arial"/>
          <w:sz w:val="12"/>
          <w:szCs w:val="12"/>
          <w:color w:val="FFFFFF"/>
        </w:rPr>
        <w:t>and the Board of</w:t>
      </w:r>
    </w:p>
    <w:p>
      <w:pPr>
        <w:spacing w:after="0" w:line="1"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Directors</w:t>
      </w:r>
    </w:p>
    <w:p>
      <w:pPr>
        <w:spacing w:after="0" w:line="144" w:lineRule="exact"/>
        <w:rPr>
          <w:sz w:val="20"/>
          <w:szCs w:val="20"/>
          <w:color w:val="auto"/>
        </w:rPr>
      </w:pPr>
    </w:p>
    <w:p>
      <w:pPr>
        <w:jc w:val="center"/>
        <w:ind w:left="620"/>
        <w:spacing w:after="0"/>
        <w:rPr>
          <w:sz w:val="20"/>
          <w:szCs w:val="20"/>
          <w:color w:val="auto"/>
        </w:rPr>
      </w:pPr>
      <w:r>
        <w:rPr>
          <w:rFonts w:ascii="Arial" w:cs="Arial" w:eastAsia="Arial" w:hAnsi="Arial"/>
          <w:sz w:val="12"/>
          <w:szCs w:val="12"/>
          <w:color w:val="FFFFFF"/>
        </w:rPr>
        <w:t>Proposal 1</w:t>
      </w:r>
    </w:p>
    <w:p>
      <w:pPr>
        <w:spacing w:after="0" w:line="156"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Information</w:t>
      </w:r>
    </w:p>
    <w:p>
      <w:pPr>
        <w:ind w:left="1120"/>
        <w:spacing w:after="0" w:line="224" w:lineRule="auto"/>
        <w:rPr>
          <w:sz w:val="20"/>
          <w:szCs w:val="20"/>
          <w:color w:val="auto"/>
        </w:rPr>
      </w:pPr>
      <w:r>
        <w:rPr>
          <w:rFonts w:ascii="Arial" w:cs="Arial" w:eastAsia="Arial" w:hAnsi="Arial"/>
          <w:sz w:val="12"/>
          <w:szCs w:val="12"/>
          <w:color w:val="FFFFFF"/>
        </w:rPr>
        <w:t>Regarding Board</w:t>
      </w:r>
    </w:p>
    <w:p>
      <w:pPr>
        <w:ind w:left="1120"/>
        <w:spacing w:after="0" w:line="222" w:lineRule="auto"/>
        <w:rPr>
          <w:sz w:val="20"/>
          <w:szCs w:val="20"/>
          <w:color w:val="auto"/>
        </w:rPr>
      </w:pPr>
      <w:r>
        <w:rPr>
          <w:rFonts w:ascii="Arial" w:cs="Arial" w:eastAsia="Arial" w:hAnsi="Arial"/>
          <w:sz w:val="12"/>
          <w:szCs w:val="12"/>
          <w:color w:val="FFFFFF"/>
        </w:rPr>
        <w:t>and Committee</w:t>
      </w:r>
    </w:p>
    <w:p>
      <w:pPr>
        <w:ind w:left="1120"/>
        <w:spacing w:after="0"/>
        <w:rPr>
          <w:sz w:val="20"/>
          <w:szCs w:val="20"/>
          <w:color w:val="auto"/>
        </w:rPr>
      </w:pPr>
      <w:r>
        <w:rPr>
          <w:rFonts w:ascii="Arial" w:cs="Arial" w:eastAsia="Arial" w:hAnsi="Arial"/>
          <w:sz w:val="12"/>
          <w:szCs w:val="12"/>
          <w:color w:val="FFFFFF"/>
        </w:rPr>
        <w:t>Structure</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Board of Directors</w:t>
      </w:r>
    </w:p>
    <w:p>
      <w:pPr>
        <w:spacing w:after="0" w:line="2"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Compensation</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Compensation</w:t>
      </w:r>
    </w:p>
    <w:p>
      <w:pPr>
        <w:ind w:left="1120"/>
        <w:spacing w:after="0" w:line="224" w:lineRule="auto"/>
        <w:rPr>
          <w:sz w:val="20"/>
          <w:szCs w:val="20"/>
          <w:color w:val="auto"/>
        </w:rPr>
      </w:pPr>
      <w:r>
        <w:rPr>
          <w:rFonts w:ascii="Arial" w:cs="Arial" w:eastAsia="Arial" w:hAnsi="Arial"/>
          <w:sz w:val="12"/>
          <w:szCs w:val="12"/>
          <w:color w:val="FFFFFF"/>
        </w:rPr>
        <w:t>Discussion and</w:t>
      </w:r>
    </w:p>
    <w:p>
      <w:pPr>
        <w:ind w:left="1120"/>
        <w:spacing w:after="0"/>
        <w:rPr>
          <w:sz w:val="20"/>
          <w:szCs w:val="20"/>
          <w:color w:val="auto"/>
        </w:rPr>
      </w:pPr>
      <w:r>
        <w:rPr>
          <w:rFonts w:ascii="Arial" w:cs="Arial" w:eastAsia="Arial" w:hAnsi="Arial"/>
          <w:sz w:val="12"/>
          <w:szCs w:val="12"/>
          <w:color w:val="FFFFFF"/>
        </w:rPr>
        <w:t>Analysis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Report of the</w:t>
      </w:r>
    </w:p>
    <w:p>
      <w:pPr>
        <w:ind w:left="1120"/>
        <w:spacing w:after="0" w:line="224" w:lineRule="auto"/>
        <w:rPr>
          <w:sz w:val="20"/>
          <w:szCs w:val="20"/>
          <w:color w:val="auto"/>
        </w:rPr>
      </w:pPr>
      <w:r>
        <w:rPr>
          <w:rFonts w:ascii="Arial" w:cs="Arial" w:eastAsia="Arial" w:hAnsi="Arial"/>
          <w:sz w:val="12"/>
          <w:szCs w:val="12"/>
          <w:color w:val="FFFFFF"/>
        </w:rPr>
        <w:t>Compensation</w:t>
      </w:r>
    </w:p>
    <w:p>
      <w:pPr>
        <w:ind w:left="1120"/>
        <w:spacing w:after="0" w:line="222" w:lineRule="auto"/>
        <w:rPr>
          <w:sz w:val="20"/>
          <w:szCs w:val="20"/>
          <w:color w:val="auto"/>
        </w:rPr>
      </w:pPr>
      <w:r>
        <w:rPr>
          <w:rFonts w:ascii="Arial" w:cs="Arial" w:eastAsia="Arial" w:hAnsi="Arial"/>
          <w:sz w:val="12"/>
          <w:szCs w:val="12"/>
          <w:color w:val="FFFFFF"/>
        </w:rPr>
        <w:t>and Human</w:t>
      </w:r>
    </w:p>
    <w:p>
      <w:pPr>
        <w:ind w:left="1120"/>
        <w:spacing w:after="0" w:line="222" w:lineRule="auto"/>
        <w:rPr>
          <w:sz w:val="20"/>
          <w:szCs w:val="20"/>
          <w:color w:val="auto"/>
        </w:rPr>
      </w:pPr>
      <w:r>
        <w:rPr>
          <w:rFonts w:ascii="Arial" w:cs="Arial" w:eastAsia="Arial" w:hAnsi="Arial"/>
          <w:sz w:val="12"/>
          <w:szCs w:val="12"/>
          <w:color w:val="FFFFFF"/>
        </w:rPr>
        <w:t>Resources</w:t>
      </w:r>
    </w:p>
    <w:p>
      <w:pPr>
        <w:ind w:left="1120"/>
        <w:spacing w:after="0" w:line="222" w:lineRule="auto"/>
        <w:rPr>
          <w:sz w:val="20"/>
          <w:szCs w:val="20"/>
          <w:color w:val="auto"/>
        </w:rPr>
      </w:pPr>
      <w:r>
        <w:rPr>
          <w:rFonts w:ascii="Arial" w:cs="Arial" w:eastAsia="Arial" w:hAnsi="Arial"/>
          <w:sz w:val="12"/>
          <w:szCs w:val="12"/>
          <w:color w:val="FFFFFF"/>
        </w:rPr>
        <w:t>Committee of the</w:t>
      </w:r>
    </w:p>
    <w:p>
      <w:pPr>
        <w:ind w:left="1120"/>
        <w:spacing w:after="0"/>
        <w:rPr>
          <w:sz w:val="20"/>
          <w:szCs w:val="20"/>
          <w:color w:val="auto"/>
        </w:rPr>
      </w:pPr>
      <w:r>
        <w:rPr>
          <w:rFonts w:ascii="Arial" w:cs="Arial" w:eastAsia="Arial" w:hAnsi="Arial"/>
          <w:sz w:val="12"/>
          <w:szCs w:val="12"/>
          <w:color w:val="FFFFFF"/>
        </w:rPr>
        <w:t>Board of Directors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b w:val="1"/>
          <w:bCs w:val="1"/>
          <w:color w:val="FFFFFF"/>
        </w:rPr>
        <w:t>Compensation of</w:t>
      </w:r>
    </w:p>
    <w:p>
      <w:pPr>
        <w:ind w:left="1120"/>
        <w:spacing w:after="0" w:line="224" w:lineRule="auto"/>
        <w:rPr>
          <w:sz w:val="20"/>
          <w:szCs w:val="20"/>
          <w:color w:val="auto"/>
        </w:rPr>
      </w:pPr>
      <w:r>
        <w:rPr>
          <w:rFonts w:ascii="Arial" w:cs="Arial" w:eastAsia="Arial" w:hAnsi="Arial"/>
          <w:sz w:val="12"/>
          <w:szCs w:val="12"/>
          <w:b w:val="1"/>
          <w:bCs w:val="1"/>
          <w:color w:val="FFFFFF"/>
        </w:rPr>
        <w:t>Named Executive</w:t>
      </w:r>
    </w:p>
    <w:p>
      <w:pPr>
        <w:ind w:left="1120"/>
        <w:spacing w:after="0"/>
        <w:rPr>
          <w:sz w:val="20"/>
          <w:szCs w:val="20"/>
          <w:color w:val="auto"/>
        </w:rPr>
      </w:pPr>
      <w:r>
        <w:rPr>
          <w:rFonts w:ascii="Arial" w:cs="Arial" w:eastAsia="Arial" w:hAnsi="Arial"/>
          <w:sz w:val="12"/>
          <w:szCs w:val="12"/>
          <w:b w:val="1"/>
          <w:bCs w:val="1"/>
          <w:color w:val="FFFFFF"/>
        </w:rPr>
        <w:t>Officers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Pay Versus</w:t>
      </w:r>
    </w:p>
    <w:p>
      <w:pPr>
        <w:ind w:left="1120"/>
        <w:spacing w:after="0" w:line="224" w:lineRule="auto"/>
        <w:rPr>
          <w:sz w:val="20"/>
          <w:szCs w:val="20"/>
          <w:color w:val="auto"/>
        </w:rPr>
      </w:pPr>
      <w:r>
        <w:rPr>
          <w:rFonts w:ascii="Arial" w:cs="Arial" w:eastAsia="Arial" w:hAnsi="Arial"/>
          <w:sz w:val="12"/>
          <w:szCs w:val="12"/>
          <w:color w:val="FFFFFF"/>
        </w:rPr>
        <w:t>Performance</w:t>
      </w:r>
    </w:p>
    <w:p>
      <w:pPr>
        <w:ind w:left="1120"/>
        <w:spacing w:after="0"/>
        <w:rPr>
          <w:sz w:val="20"/>
          <w:szCs w:val="20"/>
          <w:color w:val="auto"/>
        </w:rPr>
      </w:pPr>
      <w:r>
        <w:rPr>
          <w:rFonts w:ascii="Arial" w:cs="Arial" w:eastAsia="Arial" w:hAnsi="Arial"/>
          <w:sz w:val="12"/>
          <w:szCs w:val="12"/>
          <w:color w:val="FFFFFF"/>
        </w:rPr>
        <w:t>Disclosure</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Security</w:t>
      </w:r>
    </w:p>
    <w:p>
      <w:pPr>
        <w:ind w:left="1120"/>
        <w:spacing w:after="0" w:line="224" w:lineRule="auto"/>
        <w:rPr>
          <w:sz w:val="20"/>
          <w:szCs w:val="20"/>
          <w:color w:val="auto"/>
        </w:rPr>
      </w:pPr>
      <w:r>
        <w:rPr>
          <w:rFonts w:ascii="Arial" w:cs="Arial" w:eastAsia="Arial" w:hAnsi="Arial"/>
          <w:sz w:val="12"/>
          <w:szCs w:val="12"/>
          <w:color w:val="FFFFFF"/>
        </w:rPr>
        <w:t>Ownership of</w:t>
      </w:r>
    </w:p>
    <w:p>
      <w:pPr>
        <w:ind w:left="1120"/>
        <w:spacing w:after="0" w:line="222" w:lineRule="auto"/>
        <w:rPr>
          <w:sz w:val="20"/>
          <w:szCs w:val="20"/>
          <w:color w:val="auto"/>
        </w:rPr>
      </w:pPr>
      <w:r>
        <w:rPr>
          <w:rFonts w:ascii="Arial" w:cs="Arial" w:eastAsia="Arial" w:hAnsi="Arial"/>
          <w:sz w:val="12"/>
          <w:szCs w:val="12"/>
          <w:color w:val="FFFFFF"/>
        </w:rPr>
        <w:t>Certain Beneficial</w:t>
      </w:r>
    </w:p>
    <w:p>
      <w:pPr>
        <w:ind w:left="1120"/>
        <w:spacing w:after="0" w:line="222" w:lineRule="auto"/>
        <w:rPr>
          <w:sz w:val="20"/>
          <w:szCs w:val="20"/>
          <w:color w:val="auto"/>
        </w:rPr>
      </w:pPr>
      <w:r>
        <w:rPr>
          <w:rFonts w:ascii="Arial" w:cs="Arial" w:eastAsia="Arial" w:hAnsi="Arial"/>
          <w:sz w:val="12"/>
          <w:szCs w:val="12"/>
          <w:color w:val="FFFFFF"/>
        </w:rPr>
        <w:t>Owners and</w:t>
      </w:r>
    </w:p>
    <w:p>
      <w:pPr>
        <w:ind w:left="1120"/>
        <w:spacing w:after="0"/>
        <w:rPr>
          <w:sz w:val="20"/>
          <w:szCs w:val="20"/>
          <w:color w:val="auto"/>
        </w:rPr>
      </w:pPr>
      <w:r>
        <w:rPr>
          <w:rFonts w:ascii="Arial" w:cs="Arial" w:eastAsia="Arial" w:hAnsi="Arial"/>
          <w:sz w:val="12"/>
          <w:szCs w:val="12"/>
          <w:color w:val="FFFFFF"/>
        </w:rPr>
        <w:t>Management</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Certain</w:t>
      </w:r>
    </w:p>
    <w:p>
      <w:pPr>
        <w:ind w:left="1120"/>
        <w:spacing w:after="0" w:line="224" w:lineRule="auto"/>
        <w:rPr>
          <w:sz w:val="20"/>
          <w:szCs w:val="20"/>
          <w:color w:val="auto"/>
        </w:rPr>
      </w:pPr>
      <w:r>
        <w:rPr>
          <w:rFonts w:ascii="Arial" w:cs="Arial" w:eastAsia="Arial" w:hAnsi="Arial"/>
          <w:sz w:val="12"/>
          <w:szCs w:val="12"/>
          <w:color w:val="FFFFFF"/>
        </w:rPr>
        <w:t>Relationships and</w:t>
      </w:r>
    </w:p>
    <w:p>
      <w:pPr>
        <w:ind w:left="1120"/>
        <w:spacing w:after="0" w:line="222" w:lineRule="auto"/>
        <w:rPr>
          <w:sz w:val="20"/>
          <w:szCs w:val="20"/>
          <w:color w:val="auto"/>
        </w:rPr>
      </w:pPr>
      <w:r>
        <w:rPr>
          <w:rFonts w:ascii="Arial" w:cs="Arial" w:eastAsia="Arial" w:hAnsi="Arial"/>
          <w:sz w:val="12"/>
          <w:szCs w:val="12"/>
          <w:color w:val="FFFFFF"/>
        </w:rPr>
        <w:t>Related Party</w:t>
      </w:r>
    </w:p>
    <w:p>
      <w:pPr>
        <w:ind w:left="1120"/>
        <w:spacing w:after="0"/>
        <w:rPr>
          <w:sz w:val="20"/>
          <w:szCs w:val="20"/>
          <w:color w:val="auto"/>
        </w:rPr>
      </w:pPr>
      <w:r>
        <w:rPr>
          <w:rFonts w:ascii="Arial" w:cs="Arial" w:eastAsia="Arial" w:hAnsi="Arial"/>
          <w:sz w:val="12"/>
          <w:szCs w:val="12"/>
          <w:color w:val="FFFFFF"/>
        </w:rPr>
        <w:t>Transactions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Proposal 2</w:t>
      </w:r>
    </w:p>
    <w:p>
      <w:pPr>
        <w:spacing w:after="0" w:line="156"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Report of the</w:t>
      </w:r>
    </w:p>
    <w:p>
      <w:pPr>
        <w:ind w:left="1120"/>
        <w:spacing w:after="0" w:line="224" w:lineRule="auto"/>
        <w:rPr>
          <w:sz w:val="20"/>
          <w:szCs w:val="20"/>
          <w:color w:val="auto"/>
        </w:rPr>
      </w:pPr>
      <w:r>
        <w:rPr>
          <w:rFonts w:ascii="Arial" w:cs="Arial" w:eastAsia="Arial" w:hAnsi="Arial"/>
          <w:sz w:val="12"/>
          <w:szCs w:val="12"/>
          <w:color w:val="FFFFFF"/>
        </w:rPr>
        <w:t>Audit and Risk</w:t>
      </w:r>
    </w:p>
    <w:p>
      <w:pPr>
        <w:ind w:left="1120"/>
        <w:spacing w:after="0" w:line="222" w:lineRule="auto"/>
        <w:rPr>
          <w:sz w:val="20"/>
          <w:szCs w:val="20"/>
          <w:color w:val="auto"/>
        </w:rPr>
      </w:pPr>
      <w:r>
        <w:rPr>
          <w:rFonts w:ascii="Arial" w:cs="Arial" w:eastAsia="Arial" w:hAnsi="Arial"/>
          <w:sz w:val="12"/>
          <w:szCs w:val="12"/>
          <w:color w:val="FFFFFF"/>
        </w:rPr>
        <w:t>Committee of the</w:t>
      </w:r>
    </w:p>
    <w:p>
      <w:pPr>
        <w:ind w:left="1120"/>
        <w:spacing w:after="0"/>
        <w:rPr>
          <w:sz w:val="20"/>
          <w:szCs w:val="20"/>
          <w:color w:val="auto"/>
        </w:rPr>
      </w:pPr>
      <w:r>
        <w:rPr>
          <w:rFonts w:ascii="Arial" w:cs="Arial" w:eastAsia="Arial" w:hAnsi="Arial"/>
          <w:sz w:val="12"/>
          <w:szCs w:val="12"/>
          <w:color w:val="FFFFFF"/>
        </w:rPr>
        <w:t>Board of Directors</w:t>
      </w:r>
    </w:p>
    <w:p>
      <w:pPr>
        <w:spacing w:after="0" w:line="144" w:lineRule="exact"/>
        <w:rPr>
          <w:sz w:val="20"/>
          <w:szCs w:val="20"/>
          <w:color w:val="auto"/>
        </w:rPr>
      </w:pPr>
    </w:p>
    <w:p>
      <w:pPr>
        <w:jc w:val="center"/>
        <w:ind w:left="620"/>
        <w:spacing w:after="0"/>
        <w:rPr>
          <w:sz w:val="20"/>
          <w:szCs w:val="20"/>
          <w:color w:val="auto"/>
        </w:rPr>
      </w:pPr>
      <w:r>
        <w:rPr>
          <w:rFonts w:ascii="Arial" w:cs="Arial" w:eastAsia="Arial" w:hAnsi="Arial"/>
          <w:sz w:val="12"/>
          <w:szCs w:val="12"/>
          <w:color w:val="FFFFFF"/>
        </w:rPr>
        <w:t>Proposal 3</w:t>
      </w:r>
    </w:p>
    <w:p>
      <w:pPr>
        <w:spacing w:after="0" w:line="156" w:lineRule="exact"/>
        <w:rPr>
          <w:sz w:val="20"/>
          <w:szCs w:val="20"/>
          <w:color w:val="auto"/>
        </w:rPr>
      </w:pPr>
    </w:p>
    <w:p>
      <w:pPr>
        <w:jc w:val="center"/>
        <w:ind w:left="620"/>
        <w:spacing w:after="0"/>
        <w:rPr>
          <w:sz w:val="20"/>
          <w:szCs w:val="20"/>
          <w:color w:val="auto"/>
        </w:rPr>
      </w:pPr>
      <w:r>
        <w:rPr>
          <w:rFonts w:ascii="Arial" w:cs="Arial" w:eastAsia="Arial" w:hAnsi="Arial"/>
          <w:sz w:val="12"/>
          <w:szCs w:val="12"/>
          <w:color w:val="FFFFFF"/>
        </w:rPr>
        <w:t>Proposal 4</w:t>
      </w:r>
    </w:p>
    <w:p>
      <w:pPr>
        <w:spacing w:after="0" w:line="156" w:lineRule="exact"/>
        <w:rPr>
          <w:sz w:val="20"/>
          <w:szCs w:val="20"/>
          <w:color w:val="auto"/>
        </w:rPr>
      </w:pPr>
    </w:p>
    <w:p>
      <w:pPr>
        <w:jc w:val="center"/>
        <w:ind w:left="620"/>
        <w:spacing w:after="0"/>
        <w:rPr>
          <w:sz w:val="20"/>
          <w:szCs w:val="20"/>
          <w:color w:val="auto"/>
        </w:rPr>
      </w:pPr>
      <w:r>
        <w:rPr>
          <w:rFonts w:ascii="Arial" w:cs="Arial" w:eastAsia="Arial" w:hAnsi="Arial"/>
          <w:sz w:val="12"/>
          <w:szCs w:val="12"/>
          <w:color w:val="FFFFFF"/>
        </w:rPr>
        <w:t>Proposal 5</w:t>
      </w:r>
    </w:p>
    <w:p>
      <w:pPr>
        <w:spacing w:after="0" w:line="156"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Proposal 6</w:t>
      </w:r>
    </w:p>
    <w:p>
      <w:pPr>
        <w:spacing w:after="0" w:line="156"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Stockholder</w:t>
      </w:r>
    </w:p>
    <w:p>
      <w:pPr>
        <w:ind w:left="1120"/>
        <w:spacing w:after="0" w:line="224" w:lineRule="auto"/>
        <w:rPr>
          <w:sz w:val="20"/>
          <w:szCs w:val="20"/>
          <w:color w:val="auto"/>
        </w:rPr>
      </w:pPr>
      <w:r>
        <w:rPr>
          <w:rFonts w:ascii="Arial" w:cs="Arial" w:eastAsia="Arial" w:hAnsi="Arial"/>
          <w:sz w:val="12"/>
          <w:szCs w:val="12"/>
          <w:color w:val="FFFFFF"/>
        </w:rPr>
        <w:t>Proposals and</w:t>
      </w:r>
    </w:p>
    <w:p>
      <w:pPr>
        <w:ind w:left="1120"/>
        <w:spacing w:after="0"/>
        <w:rPr>
          <w:sz w:val="20"/>
          <w:szCs w:val="20"/>
          <w:color w:val="auto"/>
        </w:rPr>
      </w:pPr>
      <w:r>
        <w:rPr>
          <w:rFonts w:ascii="Arial" w:cs="Arial" w:eastAsia="Arial" w:hAnsi="Arial"/>
          <w:sz w:val="12"/>
          <w:szCs w:val="12"/>
          <w:color w:val="FFFFFF"/>
        </w:rPr>
        <w:t>Other Matters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Delinquent</w:t>
      </w:r>
    </w:p>
    <w:p>
      <w:pPr>
        <w:ind w:left="1120"/>
        <w:spacing w:after="0" w:line="224" w:lineRule="auto"/>
        <w:rPr>
          <w:sz w:val="20"/>
          <w:szCs w:val="20"/>
          <w:color w:val="auto"/>
        </w:rPr>
      </w:pPr>
      <w:r>
        <w:rPr>
          <w:rFonts w:ascii="Arial" w:cs="Arial" w:eastAsia="Arial" w:hAnsi="Arial"/>
          <w:sz w:val="12"/>
          <w:szCs w:val="12"/>
          <w:color w:val="FFFFFF"/>
        </w:rPr>
        <w:t>Section 16(a)</w:t>
      </w:r>
    </w:p>
    <w:p>
      <w:pPr>
        <w:ind w:left="1120"/>
        <w:spacing w:after="0"/>
        <w:rPr>
          <w:sz w:val="20"/>
          <w:szCs w:val="20"/>
          <w:color w:val="auto"/>
        </w:rPr>
      </w:pPr>
      <w:r>
        <w:rPr>
          <w:rFonts w:ascii="Arial" w:cs="Arial" w:eastAsia="Arial" w:hAnsi="Arial"/>
          <w:sz w:val="12"/>
          <w:szCs w:val="12"/>
          <w:color w:val="FFFFFF"/>
        </w:rPr>
        <w:t>Reports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Other</w:t>
      </w:r>
    </w:p>
    <w:p>
      <w:pPr>
        <w:spacing w:after="0" w:line="2"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Information</w:t>
      </w:r>
    </w:p>
    <w:p>
      <w:pPr>
        <w:spacing w:after="0" w:line="144" w:lineRule="exact"/>
        <w:rPr>
          <w:sz w:val="20"/>
          <w:szCs w:val="20"/>
          <w:color w:val="auto"/>
        </w:rPr>
      </w:pPr>
    </w:p>
    <w:p>
      <w:pPr>
        <w:jc w:val="center"/>
        <w:ind w:left="660"/>
        <w:spacing w:after="0"/>
        <w:rPr>
          <w:sz w:val="20"/>
          <w:szCs w:val="20"/>
          <w:color w:val="auto"/>
        </w:rPr>
      </w:pPr>
      <w:r>
        <w:rPr>
          <w:rFonts w:ascii="Arial" w:cs="Arial" w:eastAsia="Arial" w:hAnsi="Arial"/>
          <w:sz w:val="12"/>
          <w:szCs w:val="12"/>
          <w:color w:val="FFFFFF"/>
        </w:rPr>
        <w:t>Appendix A</w:t>
      </w:r>
    </w:p>
    <w:p>
      <w:pPr>
        <w:spacing w:after="0" w:line="156" w:lineRule="exact"/>
        <w:rPr>
          <w:sz w:val="20"/>
          <w:szCs w:val="20"/>
          <w:color w:val="auto"/>
        </w:rPr>
      </w:pPr>
    </w:p>
    <w:p>
      <w:pPr>
        <w:jc w:val="center"/>
        <w:ind w:left="660"/>
        <w:spacing w:after="0"/>
        <w:rPr>
          <w:sz w:val="20"/>
          <w:szCs w:val="20"/>
          <w:color w:val="auto"/>
        </w:rPr>
      </w:pPr>
      <w:r>
        <w:rPr>
          <w:rFonts w:ascii="Arial" w:cs="Arial" w:eastAsia="Arial" w:hAnsi="Arial"/>
          <w:sz w:val="12"/>
          <w:szCs w:val="12"/>
          <w:color w:val="FFFFFF"/>
        </w:rPr>
        <w:t>Appendix 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24"/>
          <w:szCs w:val="24"/>
          <w:color w:val="B95827"/>
        </w:rPr>
        <w:t>2025 Option Exercises and Stock Vested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-1737995</wp:posOffset>
            </wp:positionH>
            <wp:positionV relativeFrom="paragraph">
              <wp:posOffset>-800735</wp:posOffset>
            </wp:positionV>
            <wp:extent cx="7181215" cy="5334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81215" cy="53340"/>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Arial" w:cs="Arial" w:eastAsia="Arial" w:hAnsi="Arial"/>
          <w:sz w:val="15"/>
          <w:szCs w:val="15"/>
          <w:color w:val="auto"/>
        </w:rPr>
        <w:t>The following table sets forth the options exercised and stock vested during the year ended December 31, 2025:</w:t>
      </w:r>
    </w:p>
    <w:p>
      <w:pPr>
        <w:spacing w:after="0" w:line="239" w:lineRule="exact"/>
        <w:rPr>
          <w:sz w:val="20"/>
          <w:szCs w:val="20"/>
          <w:color w:val="auto"/>
        </w:rPr>
      </w:pPr>
    </w:p>
    <w:tbl>
      <w:tblPr>
        <w:tblLayout w:type="fixed"/>
        <w:tblInd w:w="20" w:type="dxa"/>
        <w:tblCellMar>
          <w:top w:w="0" w:type="dxa"/>
          <w:left w:w="0" w:type="dxa"/>
          <w:bottom w:w="0" w:type="dxa"/>
          <w:right w:w="0" w:type="dxa"/>
        </w:tblCellMar>
      </w:tblPr>
      <w:tr>
        <w:trPr>
          <w:trHeight w:val="168"/>
        </w:trPr>
        <w:tc>
          <w:tcPr>
            <w:tcW w:w="3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720" w:type="dxa"/>
            <w:vAlign w:val="bottom"/>
            <w:gridSpan w:val="3"/>
          </w:tcPr>
          <w:p>
            <w:pPr>
              <w:ind w:left="20"/>
              <w:spacing w:after="0"/>
              <w:rPr>
                <w:sz w:val="20"/>
                <w:szCs w:val="20"/>
                <w:color w:val="auto"/>
              </w:rPr>
            </w:pPr>
            <w:r>
              <w:rPr>
                <w:rFonts w:ascii="Arial" w:cs="Arial" w:eastAsia="Arial" w:hAnsi="Arial"/>
                <w:sz w:val="14"/>
                <w:szCs w:val="14"/>
                <w:b w:val="1"/>
                <w:bCs w:val="1"/>
                <w:color w:val="002B5F"/>
              </w:rPr>
              <w:t>Option Awards</w:t>
            </w:r>
          </w:p>
        </w:tc>
        <w:tc>
          <w:tcPr>
            <w:tcW w:w="2080" w:type="dxa"/>
            <w:vAlign w:val="bottom"/>
            <w:gridSpan w:val="2"/>
          </w:tcPr>
          <w:p>
            <w:pPr>
              <w:jc w:val="right"/>
              <w:ind w:right="513"/>
              <w:spacing w:after="0"/>
              <w:rPr>
                <w:sz w:val="20"/>
                <w:szCs w:val="20"/>
                <w:color w:val="auto"/>
              </w:rPr>
            </w:pPr>
            <w:r>
              <w:rPr>
                <w:rFonts w:ascii="Arial" w:cs="Arial" w:eastAsia="Arial" w:hAnsi="Arial"/>
                <w:sz w:val="14"/>
                <w:szCs w:val="14"/>
                <w:b w:val="1"/>
                <w:bCs w:val="1"/>
                <w:color w:val="002B5F"/>
              </w:rPr>
              <w:t>Stock Awards</w:t>
            </w:r>
          </w:p>
        </w:tc>
        <w:tc>
          <w:tcPr>
            <w:tcW w:w="0" w:type="dxa"/>
            <w:vAlign w:val="bottom"/>
          </w:tcPr>
          <w:p>
            <w:pPr>
              <w:spacing w:after="0"/>
              <w:rPr>
                <w:sz w:val="1"/>
                <w:szCs w:val="1"/>
                <w:color w:val="auto"/>
              </w:rPr>
            </w:pPr>
          </w:p>
        </w:tc>
      </w:tr>
      <w:tr>
        <w:trPr>
          <w:trHeight w:val="144"/>
        </w:trPr>
        <w:tc>
          <w:tcPr>
            <w:tcW w:w="3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tcBorders>
              <w:top w:val="single" w:sz="8" w:color="002B5F"/>
            </w:tcBorders>
            <w:gridSpan w:val="2"/>
          </w:tcPr>
          <w:p>
            <w:pPr>
              <w:jc w:val="center"/>
              <w:spacing w:after="0" w:line="144" w:lineRule="exact"/>
              <w:rPr>
                <w:sz w:val="20"/>
                <w:szCs w:val="20"/>
                <w:color w:val="auto"/>
              </w:rPr>
            </w:pPr>
            <w:r>
              <w:rPr>
                <w:rFonts w:ascii="Arial" w:cs="Arial" w:eastAsia="Arial" w:hAnsi="Arial"/>
                <w:sz w:val="14"/>
                <w:szCs w:val="14"/>
                <w:b w:val="1"/>
                <w:bCs w:val="1"/>
                <w:color w:val="002B5F"/>
                <w:w w:val="97"/>
              </w:rPr>
              <w:t>Number of</w:t>
            </w:r>
          </w:p>
        </w:tc>
        <w:tc>
          <w:tcPr>
            <w:tcW w:w="880" w:type="dxa"/>
            <w:vAlign w:val="bottom"/>
            <w:tcBorders>
              <w:top w:val="single" w:sz="8" w:color="002B5F"/>
            </w:tcBorders>
          </w:tcPr>
          <w:p>
            <w:pPr>
              <w:jc w:val="center"/>
              <w:spacing w:after="0" w:line="144" w:lineRule="exact"/>
              <w:rPr>
                <w:sz w:val="20"/>
                <w:szCs w:val="20"/>
                <w:color w:val="auto"/>
              </w:rPr>
            </w:pPr>
            <w:r>
              <w:rPr>
                <w:rFonts w:ascii="Arial" w:cs="Arial" w:eastAsia="Arial" w:hAnsi="Arial"/>
                <w:sz w:val="14"/>
                <w:szCs w:val="14"/>
                <w:b w:val="1"/>
                <w:bCs w:val="1"/>
                <w:color w:val="002B5F"/>
                <w:w w:val="96"/>
              </w:rPr>
              <w:t>Value</w:t>
            </w:r>
          </w:p>
        </w:tc>
        <w:tc>
          <w:tcPr>
            <w:tcW w:w="200" w:type="dxa"/>
            <w:vAlign w:val="bottom"/>
          </w:tcPr>
          <w:p>
            <w:pPr>
              <w:spacing w:after="0"/>
              <w:rPr>
                <w:sz w:val="12"/>
                <w:szCs w:val="12"/>
                <w:color w:val="auto"/>
              </w:rPr>
            </w:pPr>
          </w:p>
        </w:tc>
        <w:tc>
          <w:tcPr>
            <w:tcW w:w="1160" w:type="dxa"/>
            <w:vAlign w:val="bottom"/>
            <w:tcBorders>
              <w:top w:val="single" w:sz="8" w:color="002B5F"/>
            </w:tcBorders>
          </w:tcPr>
          <w:p>
            <w:pPr>
              <w:jc w:val="center"/>
              <w:ind w:right="12"/>
              <w:spacing w:after="0" w:line="144" w:lineRule="exact"/>
              <w:rPr>
                <w:sz w:val="20"/>
                <w:szCs w:val="20"/>
                <w:color w:val="auto"/>
              </w:rPr>
            </w:pPr>
            <w:r>
              <w:rPr>
                <w:rFonts w:ascii="Arial" w:cs="Arial" w:eastAsia="Arial" w:hAnsi="Arial"/>
                <w:sz w:val="14"/>
                <w:szCs w:val="14"/>
                <w:b w:val="1"/>
                <w:bCs w:val="1"/>
                <w:color w:val="002B5F"/>
                <w:w w:val="97"/>
              </w:rPr>
              <w:t>Number of</w:t>
            </w:r>
          </w:p>
        </w:tc>
        <w:tc>
          <w:tcPr>
            <w:tcW w:w="920" w:type="dxa"/>
            <w:vAlign w:val="bottom"/>
            <w:tcBorders>
              <w:top w:val="single" w:sz="8" w:color="002B5F"/>
            </w:tcBorders>
          </w:tcPr>
          <w:p>
            <w:pPr>
              <w:jc w:val="center"/>
              <w:spacing w:after="0" w:line="144" w:lineRule="exact"/>
              <w:rPr>
                <w:sz w:val="20"/>
                <w:szCs w:val="20"/>
                <w:color w:val="auto"/>
              </w:rPr>
            </w:pPr>
            <w:r>
              <w:rPr>
                <w:rFonts w:ascii="Arial" w:cs="Arial" w:eastAsia="Arial" w:hAnsi="Arial"/>
                <w:sz w:val="14"/>
                <w:szCs w:val="14"/>
                <w:b w:val="1"/>
                <w:bCs w:val="1"/>
                <w:color w:val="002B5F"/>
                <w:w w:val="96"/>
              </w:rPr>
              <w:t>Value</w:t>
            </w:r>
          </w:p>
        </w:tc>
        <w:tc>
          <w:tcPr>
            <w:tcW w:w="0" w:type="dxa"/>
            <w:vAlign w:val="bottom"/>
          </w:tcPr>
          <w:p>
            <w:pPr>
              <w:spacing w:after="0"/>
              <w:rPr>
                <w:sz w:val="1"/>
                <w:szCs w:val="1"/>
                <w:color w:val="auto"/>
              </w:rPr>
            </w:pPr>
          </w:p>
        </w:tc>
      </w:tr>
      <w:tr>
        <w:trPr>
          <w:trHeight w:val="153"/>
        </w:trPr>
        <w:tc>
          <w:tcPr>
            <w:tcW w:w="3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gridSpan w:val="2"/>
          </w:tcPr>
          <w:p>
            <w:pPr>
              <w:jc w:val="center"/>
              <w:spacing w:after="0" w:line="153" w:lineRule="exact"/>
              <w:rPr>
                <w:sz w:val="20"/>
                <w:szCs w:val="20"/>
                <w:color w:val="auto"/>
              </w:rPr>
            </w:pPr>
            <w:r>
              <w:rPr>
                <w:rFonts w:ascii="Arial" w:cs="Arial" w:eastAsia="Arial" w:hAnsi="Arial"/>
                <w:sz w:val="14"/>
                <w:szCs w:val="14"/>
                <w:b w:val="1"/>
                <w:bCs w:val="1"/>
                <w:color w:val="002B5F"/>
                <w:w w:val="97"/>
              </w:rPr>
              <w:t>Shares Acquired</w:t>
            </w:r>
          </w:p>
        </w:tc>
        <w:tc>
          <w:tcPr>
            <w:tcW w:w="1080" w:type="dxa"/>
            <w:vAlign w:val="bottom"/>
            <w:gridSpan w:val="2"/>
          </w:tcPr>
          <w:p>
            <w:pPr>
              <w:jc w:val="center"/>
              <w:ind w:right="200"/>
              <w:spacing w:after="0" w:line="153" w:lineRule="exact"/>
              <w:rPr>
                <w:sz w:val="20"/>
                <w:szCs w:val="20"/>
                <w:color w:val="auto"/>
              </w:rPr>
            </w:pPr>
            <w:r>
              <w:rPr>
                <w:rFonts w:ascii="Arial" w:cs="Arial" w:eastAsia="Arial" w:hAnsi="Arial"/>
                <w:sz w:val="14"/>
                <w:szCs w:val="14"/>
                <w:b w:val="1"/>
                <w:bCs w:val="1"/>
                <w:color w:val="002B5F"/>
                <w:w w:val="98"/>
              </w:rPr>
              <w:t>Realized</w:t>
            </w:r>
          </w:p>
        </w:tc>
        <w:tc>
          <w:tcPr>
            <w:tcW w:w="1160" w:type="dxa"/>
            <w:vAlign w:val="bottom"/>
          </w:tcPr>
          <w:p>
            <w:pPr>
              <w:jc w:val="center"/>
              <w:ind w:right="12"/>
              <w:spacing w:after="0" w:line="153" w:lineRule="exact"/>
              <w:rPr>
                <w:sz w:val="20"/>
                <w:szCs w:val="20"/>
                <w:color w:val="auto"/>
              </w:rPr>
            </w:pPr>
            <w:r>
              <w:rPr>
                <w:rFonts w:ascii="Arial" w:cs="Arial" w:eastAsia="Arial" w:hAnsi="Arial"/>
                <w:sz w:val="14"/>
                <w:szCs w:val="14"/>
                <w:b w:val="1"/>
                <w:bCs w:val="1"/>
                <w:color w:val="002B5F"/>
                <w:w w:val="97"/>
              </w:rPr>
              <w:t>Shares Acquired</w:t>
            </w:r>
          </w:p>
        </w:tc>
        <w:tc>
          <w:tcPr>
            <w:tcW w:w="920" w:type="dxa"/>
            <w:vAlign w:val="bottom"/>
          </w:tcPr>
          <w:p>
            <w:pPr>
              <w:jc w:val="center"/>
              <w:spacing w:after="0" w:line="153" w:lineRule="exact"/>
              <w:rPr>
                <w:sz w:val="20"/>
                <w:szCs w:val="20"/>
                <w:color w:val="auto"/>
              </w:rPr>
            </w:pPr>
            <w:r>
              <w:rPr>
                <w:rFonts w:ascii="Arial" w:cs="Arial" w:eastAsia="Arial" w:hAnsi="Arial"/>
                <w:sz w:val="14"/>
                <w:szCs w:val="14"/>
                <w:b w:val="1"/>
                <w:bCs w:val="1"/>
                <w:color w:val="002B5F"/>
                <w:w w:val="94"/>
              </w:rPr>
              <w:t>Realized</w:t>
            </w:r>
          </w:p>
        </w:tc>
        <w:tc>
          <w:tcPr>
            <w:tcW w:w="0" w:type="dxa"/>
            <w:vAlign w:val="bottom"/>
          </w:tcPr>
          <w:p>
            <w:pPr>
              <w:spacing w:after="0"/>
              <w:rPr>
                <w:sz w:val="1"/>
                <w:szCs w:val="1"/>
                <w:color w:val="auto"/>
              </w:rPr>
            </w:pPr>
          </w:p>
        </w:tc>
      </w:tr>
      <w:tr>
        <w:trPr>
          <w:trHeight w:val="150"/>
        </w:trPr>
        <w:tc>
          <w:tcPr>
            <w:tcW w:w="3580" w:type="dxa"/>
            <w:vAlign w:val="bottom"/>
          </w:tcPr>
          <w:p>
            <w:pPr>
              <w:ind w:left="60"/>
              <w:spacing w:after="0" w:line="149" w:lineRule="exact"/>
              <w:rPr>
                <w:sz w:val="20"/>
                <w:szCs w:val="20"/>
                <w:color w:val="auto"/>
              </w:rPr>
            </w:pPr>
            <w:r>
              <w:rPr>
                <w:rFonts w:ascii="Arial" w:cs="Arial" w:eastAsia="Arial" w:hAnsi="Arial"/>
                <w:sz w:val="14"/>
                <w:szCs w:val="14"/>
                <w:b w:val="1"/>
                <w:bCs w:val="1"/>
                <w:color w:val="002B5F"/>
              </w:rPr>
              <w:t>Named</w:t>
            </w:r>
          </w:p>
        </w:tc>
        <w:tc>
          <w:tcPr>
            <w:tcW w:w="80" w:type="dxa"/>
            <w:vAlign w:val="bottom"/>
          </w:tcPr>
          <w:p>
            <w:pPr>
              <w:spacing w:after="0"/>
              <w:rPr>
                <w:sz w:val="13"/>
                <w:szCs w:val="13"/>
                <w:color w:val="auto"/>
              </w:rPr>
            </w:pPr>
          </w:p>
        </w:tc>
        <w:tc>
          <w:tcPr>
            <w:tcW w:w="11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002B5F"/>
                <w:w w:val="96"/>
              </w:rPr>
              <w:t>on Exercise</w:t>
            </w:r>
          </w:p>
        </w:tc>
        <w:tc>
          <w:tcPr>
            <w:tcW w:w="10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002B5F"/>
                <w:w w:val="96"/>
              </w:rPr>
              <w:t>on Exercise</w:t>
            </w: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002B5F"/>
                <w:w w:val="97"/>
              </w:rPr>
              <w:t>on Vesting</w:t>
            </w: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002B5F"/>
                <w:w w:val="94"/>
              </w:rPr>
              <w:t>on Vesting</w:t>
            </w:r>
          </w:p>
        </w:tc>
        <w:tc>
          <w:tcPr>
            <w:tcW w:w="0" w:type="dxa"/>
            <w:vAlign w:val="bottom"/>
          </w:tcPr>
          <w:p>
            <w:pPr>
              <w:spacing w:after="0"/>
              <w:rPr>
                <w:sz w:val="1"/>
                <w:szCs w:val="1"/>
                <w:color w:val="auto"/>
              </w:rPr>
            </w:pPr>
          </w:p>
        </w:tc>
      </w:tr>
      <w:tr>
        <w:trPr>
          <w:trHeight w:val="210"/>
        </w:trPr>
        <w:tc>
          <w:tcPr>
            <w:tcW w:w="3580" w:type="dxa"/>
            <w:vAlign w:val="bottom"/>
            <w:tcBorders>
              <w:bottom w:val="single" w:sz="8" w:color="002B5F"/>
            </w:tcBorders>
          </w:tcPr>
          <w:p>
            <w:pPr>
              <w:ind w:left="60"/>
              <w:spacing w:after="0"/>
              <w:rPr>
                <w:sz w:val="20"/>
                <w:szCs w:val="20"/>
                <w:color w:val="auto"/>
              </w:rPr>
            </w:pPr>
            <w:r>
              <w:rPr>
                <w:rFonts w:ascii="Arial" w:cs="Arial" w:eastAsia="Arial" w:hAnsi="Arial"/>
                <w:sz w:val="14"/>
                <w:szCs w:val="14"/>
                <w:b w:val="1"/>
                <w:bCs w:val="1"/>
                <w:color w:val="002B5F"/>
              </w:rPr>
              <w:t>Executive Officer</w:t>
            </w:r>
          </w:p>
        </w:tc>
        <w:tc>
          <w:tcPr>
            <w:tcW w:w="1220" w:type="dxa"/>
            <w:vAlign w:val="bottom"/>
            <w:tcBorders>
              <w:bottom w:val="single" w:sz="8" w:color="002B5F"/>
            </w:tcBorders>
            <w:gridSpan w:val="3"/>
          </w:tcPr>
          <w:p>
            <w:pPr>
              <w:jc w:val="center"/>
              <w:spacing w:after="0"/>
              <w:rPr>
                <w:sz w:val="20"/>
                <w:szCs w:val="20"/>
                <w:color w:val="auto"/>
              </w:rPr>
            </w:pPr>
            <w:r>
              <w:rPr>
                <w:rFonts w:ascii="Arial" w:cs="Arial" w:eastAsia="Arial" w:hAnsi="Arial"/>
                <w:sz w:val="14"/>
                <w:szCs w:val="14"/>
                <w:b w:val="1"/>
                <w:bCs w:val="1"/>
                <w:color w:val="002B5F"/>
                <w:w w:val="93"/>
              </w:rPr>
              <w:t>(#)</w:t>
            </w:r>
          </w:p>
        </w:tc>
        <w:tc>
          <w:tcPr>
            <w:tcW w:w="880" w:type="dxa"/>
            <w:vAlign w:val="bottom"/>
            <w:tcBorders>
              <w:bottom w:val="single" w:sz="8" w:color="002B5F"/>
            </w:tcBorders>
          </w:tcPr>
          <w:p>
            <w:pPr>
              <w:jc w:val="center"/>
              <w:spacing w:after="0" w:line="204" w:lineRule="exact"/>
              <w:rPr>
                <w:sz w:val="20"/>
                <w:szCs w:val="20"/>
                <w:color w:val="auto"/>
              </w:rPr>
            </w:pPr>
            <w:r>
              <w:rPr>
                <w:rFonts w:ascii="Arial" w:cs="Arial" w:eastAsia="Arial" w:hAnsi="Arial"/>
                <w:sz w:val="23"/>
                <w:szCs w:val="23"/>
                <w:b w:val="1"/>
                <w:bCs w:val="1"/>
                <w:color w:val="002B5F"/>
                <w:w w:val="93"/>
                <w:vertAlign w:val="subscript"/>
              </w:rPr>
              <w:t>($)</w:t>
            </w:r>
            <w:r>
              <w:rPr>
                <w:rFonts w:ascii="Arial" w:cs="Arial" w:eastAsia="Arial" w:hAnsi="Arial"/>
                <w:sz w:val="9"/>
                <w:szCs w:val="9"/>
                <w:b w:val="1"/>
                <w:bCs w:val="1"/>
                <w:color w:val="002B5F"/>
                <w:w w:val="93"/>
              </w:rPr>
              <w:t>(1)</w:t>
            </w:r>
          </w:p>
        </w:tc>
        <w:tc>
          <w:tcPr>
            <w:tcW w:w="200" w:type="dxa"/>
            <w:vAlign w:val="bottom"/>
            <w:tcBorders>
              <w:bottom w:val="single" w:sz="8" w:color="002B5F"/>
            </w:tcBorders>
          </w:tcPr>
          <w:p>
            <w:pPr>
              <w:spacing w:after="0"/>
              <w:rPr>
                <w:sz w:val="18"/>
                <w:szCs w:val="18"/>
                <w:color w:val="auto"/>
              </w:rPr>
            </w:pPr>
          </w:p>
        </w:tc>
        <w:tc>
          <w:tcPr>
            <w:tcW w:w="1160" w:type="dxa"/>
            <w:vAlign w:val="bottom"/>
            <w:tcBorders>
              <w:bottom w:val="single" w:sz="8" w:color="002B5F"/>
            </w:tcBorders>
          </w:tcPr>
          <w:p>
            <w:pPr>
              <w:jc w:val="center"/>
              <w:spacing w:after="0"/>
              <w:rPr>
                <w:sz w:val="20"/>
                <w:szCs w:val="20"/>
                <w:color w:val="auto"/>
              </w:rPr>
            </w:pPr>
            <w:r>
              <w:rPr>
                <w:rFonts w:ascii="Arial" w:cs="Arial" w:eastAsia="Arial" w:hAnsi="Arial"/>
                <w:sz w:val="14"/>
                <w:szCs w:val="14"/>
                <w:b w:val="1"/>
                <w:bCs w:val="1"/>
                <w:color w:val="002B5F"/>
              </w:rPr>
              <w:t>(#)</w:t>
            </w:r>
          </w:p>
        </w:tc>
        <w:tc>
          <w:tcPr>
            <w:tcW w:w="920" w:type="dxa"/>
            <w:vAlign w:val="bottom"/>
            <w:tcBorders>
              <w:bottom w:val="single" w:sz="8" w:color="002B5F"/>
            </w:tcBorders>
          </w:tcPr>
          <w:p>
            <w:pPr>
              <w:jc w:val="center"/>
              <w:spacing w:after="0" w:line="204" w:lineRule="exact"/>
              <w:rPr>
                <w:sz w:val="20"/>
                <w:szCs w:val="20"/>
                <w:color w:val="auto"/>
              </w:rPr>
            </w:pPr>
            <w:r>
              <w:rPr>
                <w:rFonts w:ascii="Arial" w:cs="Arial" w:eastAsia="Arial" w:hAnsi="Arial"/>
                <w:sz w:val="23"/>
                <w:szCs w:val="23"/>
                <w:b w:val="1"/>
                <w:bCs w:val="1"/>
                <w:color w:val="002B5F"/>
                <w:vertAlign w:val="subscript"/>
              </w:rPr>
              <w:t>($)</w:t>
            </w:r>
            <w:r>
              <w:rPr>
                <w:rFonts w:ascii="Arial" w:cs="Arial" w:eastAsia="Arial" w:hAnsi="Arial"/>
                <w:sz w:val="9"/>
                <w:szCs w:val="9"/>
                <w:b w:val="1"/>
                <w:bCs w:val="1"/>
                <w:color w:val="002B5F"/>
              </w:rPr>
              <w:t>(2)</w:t>
            </w:r>
          </w:p>
        </w:tc>
        <w:tc>
          <w:tcPr>
            <w:tcW w:w="0" w:type="dxa"/>
            <w:vAlign w:val="bottom"/>
          </w:tcPr>
          <w:p>
            <w:pPr>
              <w:spacing w:after="0"/>
              <w:rPr>
                <w:sz w:val="1"/>
                <w:szCs w:val="1"/>
                <w:color w:val="auto"/>
              </w:rPr>
            </w:pPr>
          </w:p>
        </w:tc>
      </w:tr>
      <w:tr>
        <w:trPr>
          <w:trHeight w:val="255"/>
        </w:trPr>
        <w:tc>
          <w:tcPr>
            <w:tcW w:w="3580" w:type="dxa"/>
            <w:vAlign w:val="bottom"/>
            <w:shd w:val="clear" w:color="auto" w:fill="F7F1EC"/>
          </w:tcPr>
          <w:p>
            <w:pPr>
              <w:spacing w:after="0"/>
              <w:rPr>
                <w:sz w:val="22"/>
                <w:szCs w:val="22"/>
                <w:color w:val="auto"/>
              </w:rPr>
            </w:pPr>
          </w:p>
        </w:tc>
        <w:tc>
          <w:tcPr>
            <w:tcW w:w="80" w:type="dxa"/>
            <w:vAlign w:val="bottom"/>
            <w:shd w:val="clear" w:color="auto" w:fill="F7F1EC"/>
          </w:tcPr>
          <w:p>
            <w:pPr>
              <w:spacing w:after="0"/>
              <w:rPr>
                <w:sz w:val="22"/>
                <w:szCs w:val="22"/>
                <w:color w:val="auto"/>
              </w:rPr>
            </w:pPr>
          </w:p>
        </w:tc>
        <w:tc>
          <w:tcPr>
            <w:tcW w:w="500" w:type="dxa"/>
            <w:vAlign w:val="bottom"/>
            <w:shd w:val="clear" w:color="auto" w:fill="F7F1EC"/>
          </w:tcPr>
          <w:p>
            <w:pPr>
              <w:spacing w:after="0"/>
              <w:rPr>
                <w:sz w:val="22"/>
                <w:szCs w:val="22"/>
                <w:color w:val="auto"/>
              </w:rPr>
            </w:pPr>
          </w:p>
        </w:tc>
        <w:tc>
          <w:tcPr>
            <w:tcW w:w="640" w:type="dxa"/>
            <w:vAlign w:val="bottom"/>
            <w:shd w:val="clear" w:color="auto" w:fill="F7F1EC"/>
          </w:tcPr>
          <w:p>
            <w:pPr>
              <w:jc w:val="right"/>
              <w:ind w:right="152"/>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F7F1EC"/>
          </w:tcPr>
          <w:p>
            <w:pPr>
              <w:jc w:val="right"/>
              <w:ind w:right="380"/>
              <w:spacing w:after="0"/>
              <w:rPr>
                <w:sz w:val="20"/>
                <w:szCs w:val="20"/>
                <w:color w:val="auto"/>
              </w:rPr>
            </w:pPr>
            <w:r>
              <w:rPr>
                <w:rFonts w:ascii="Arial" w:cs="Arial" w:eastAsia="Arial" w:hAnsi="Arial"/>
                <w:sz w:val="14"/>
                <w:szCs w:val="14"/>
                <w:color w:val="auto"/>
              </w:rPr>
              <w:t>—</w:t>
            </w:r>
          </w:p>
        </w:tc>
        <w:tc>
          <w:tcPr>
            <w:tcW w:w="1160" w:type="dxa"/>
            <w:vAlign w:val="bottom"/>
            <w:shd w:val="clear" w:color="auto" w:fill="F7F1EC"/>
          </w:tcPr>
          <w:p>
            <w:pPr>
              <w:jc w:val="right"/>
              <w:ind w:right="232"/>
              <w:spacing w:after="0"/>
              <w:rPr>
                <w:sz w:val="20"/>
                <w:szCs w:val="20"/>
                <w:color w:val="auto"/>
              </w:rPr>
            </w:pPr>
            <w:r>
              <w:rPr>
                <w:rFonts w:ascii="Arial" w:cs="Arial" w:eastAsia="Arial" w:hAnsi="Arial"/>
                <w:sz w:val="14"/>
                <w:szCs w:val="14"/>
                <w:color w:val="auto"/>
              </w:rPr>
              <w:t>871</w:t>
            </w:r>
          </w:p>
        </w:tc>
        <w:tc>
          <w:tcPr>
            <w:tcW w:w="920" w:type="dxa"/>
            <w:vAlign w:val="bottom"/>
            <w:shd w:val="clear" w:color="auto" w:fill="F7F1EC"/>
          </w:tcPr>
          <w:p>
            <w:pPr>
              <w:jc w:val="right"/>
              <w:ind w:right="33"/>
              <w:spacing w:after="0"/>
              <w:rPr>
                <w:sz w:val="20"/>
                <w:szCs w:val="20"/>
                <w:color w:val="auto"/>
              </w:rPr>
            </w:pPr>
            <w:r>
              <w:rPr>
                <w:rFonts w:ascii="Arial" w:cs="Arial" w:eastAsia="Arial" w:hAnsi="Arial"/>
                <w:sz w:val="14"/>
                <w:szCs w:val="14"/>
                <w:color w:val="auto"/>
              </w:rPr>
              <w:t>311,261</w:t>
            </w:r>
            <w:r>
              <w:rPr>
                <w:rFonts w:ascii="Arial" w:cs="Arial" w:eastAsia="Arial" w:hAnsi="Arial"/>
                <w:sz w:val="20"/>
                <w:szCs w:val="20"/>
                <w:color w:val="auto"/>
                <w:vertAlign w:val="superscript"/>
              </w:rPr>
              <w:t>(3)</w:t>
            </w:r>
          </w:p>
        </w:tc>
        <w:tc>
          <w:tcPr>
            <w:tcW w:w="0" w:type="dxa"/>
            <w:vAlign w:val="bottom"/>
          </w:tcPr>
          <w:p>
            <w:pPr>
              <w:spacing w:after="0"/>
              <w:rPr>
                <w:sz w:val="1"/>
                <w:szCs w:val="1"/>
                <w:color w:val="auto"/>
              </w:rPr>
            </w:pPr>
          </w:p>
        </w:tc>
      </w:tr>
      <w:tr>
        <w:trPr>
          <w:trHeight w:val="204"/>
        </w:trPr>
        <w:tc>
          <w:tcPr>
            <w:tcW w:w="3580" w:type="dxa"/>
            <w:vAlign w:val="bottom"/>
            <w:vMerge w:val="restart"/>
            <w:shd w:val="clear" w:color="auto" w:fill="F7F1EC"/>
          </w:tcPr>
          <w:p>
            <w:pPr>
              <w:ind w:left="60"/>
              <w:spacing w:after="0"/>
              <w:rPr>
                <w:sz w:val="20"/>
                <w:szCs w:val="20"/>
                <w:color w:val="auto"/>
              </w:rPr>
            </w:pPr>
            <w:r>
              <w:rPr>
                <w:rFonts w:ascii="Arial" w:cs="Arial" w:eastAsia="Arial" w:hAnsi="Arial"/>
                <w:sz w:val="14"/>
                <w:szCs w:val="14"/>
                <w:b w:val="1"/>
                <w:bCs w:val="1"/>
                <w:color w:val="B95827"/>
              </w:rPr>
              <w:t>Richard Steinmeier</w:t>
            </w:r>
          </w:p>
        </w:tc>
        <w:tc>
          <w:tcPr>
            <w:tcW w:w="80" w:type="dxa"/>
            <w:vAlign w:val="bottom"/>
            <w:shd w:val="clear" w:color="auto" w:fill="F7F1EC"/>
          </w:tcPr>
          <w:p>
            <w:pPr>
              <w:spacing w:after="0"/>
              <w:rPr>
                <w:sz w:val="17"/>
                <w:szCs w:val="17"/>
                <w:color w:val="auto"/>
              </w:rPr>
            </w:pPr>
          </w:p>
        </w:tc>
        <w:tc>
          <w:tcPr>
            <w:tcW w:w="500" w:type="dxa"/>
            <w:vAlign w:val="bottom"/>
            <w:shd w:val="clear" w:color="auto" w:fill="F7F1EC"/>
          </w:tcPr>
          <w:p>
            <w:pPr>
              <w:spacing w:after="0"/>
              <w:rPr>
                <w:sz w:val="17"/>
                <w:szCs w:val="17"/>
                <w:color w:val="auto"/>
              </w:rPr>
            </w:pPr>
          </w:p>
        </w:tc>
        <w:tc>
          <w:tcPr>
            <w:tcW w:w="640" w:type="dxa"/>
            <w:vAlign w:val="bottom"/>
            <w:shd w:val="clear" w:color="auto" w:fill="F7F1EC"/>
          </w:tcPr>
          <w:p>
            <w:pPr>
              <w:jc w:val="right"/>
              <w:ind w:right="152"/>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F7F1EC"/>
          </w:tcPr>
          <w:p>
            <w:pPr>
              <w:jc w:val="right"/>
              <w:ind w:right="380"/>
              <w:spacing w:after="0"/>
              <w:rPr>
                <w:sz w:val="20"/>
                <w:szCs w:val="20"/>
                <w:color w:val="auto"/>
              </w:rPr>
            </w:pPr>
            <w:r>
              <w:rPr>
                <w:rFonts w:ascii="Arial" w:cs="Arial" w:eastAsia="Arial" w:hAnsi="Arial"/>
                <w:sz w:val="14"/>
                <w:szCs w:val="14"/>
                <w:color w:val="auto"/>
              </w:rPr>
              <w:t>—</w:t>
            </w:r>
          </w:p>
        </w:tc>
        <w:tc>
          <w:tcPr>
            <w:tcW w:w="1160" w:type="dxa"/>
            <w:vAlign w:val="bottom"/>
            <w:shd w:val="clear" w:color="auto" w:fill="F7F1EC"/>
          </w:tcPr>
          <w:p>
            <w:pPr>
              <w:jc w:val="right"/>
              <w:ind w:right="232"/>
              <w:spacing w:after="0"/>
              <w:rPr>
                <w:sz w:val="20"/>
                <w:szCs w:val="20"/>
                <w:color w:val="auto"/>
              </w:rPr>
            </w:pPr>
            <w:r>
              <w:rPr>
                <w:rFonts w:ascii="Arial" w:cs="Arial" w:eastAsia="Arial" w:hAnsi="Arial"/>
                <w:sz w:val="14"/>
                <w:szCs w:val="14"/>
                <w:color w:val="auto"/>
              </w:rPr>
              <w:t>619</w:t>
            </w:r>
          </w:p>
        </w:tc>
        <w:tc>
          <w:tcPr>
            <w:tcW w:w="920" w:type="dxa"/>
            <w:vAlign w:val="bottom"/>
            <w:shd w:val="clear" w:color="auto" w:fill="F7F1EC"/>
          </w:tcPr>
          <w:p>
            <w:pPr>
              <w:jc w:val="right"/>
              <w:ind w:right="33"/>
              <w:spacing w:after="0" w:line="205" w:lineRule="exact"/>
              <w:rPr>
                <w:sz w:val="20"/>
                <w:szCs w:val="20"/>
                <w:color w:val="auto"/>
              </w:rPr>
            </w:pPr>
            <w:r>
              <w:rPr>
                <w:rFonts w:ascii="Arial" w:cs="Arial" w:eastAsia="Arial" w:hAnsi="Arial"/>
                <w:sz w:val="14"/>
                <w:szCs w:val="14"/>
                <w:color w:val="auto"/>
              </w:rPr>
              <w:t>221,206</w:t>
            </w:r>
            <w:r>
              <w:rPr>
                <w:rFonts w:ascii="Arial" w:cs="Arial" w:eastAsia="Arial" w:hAnsi="Arial"/>
                <w:sz w:val="20"/>
                <w:szCs w:val="20"/>
                <w:color w:val="auto"/>
                <w:vertAlign w:val="superscript"/>
              </w:rPr>
              <w:t>(3)</w:t>
            </w:r>
          </w:p>
        </w:tc>
        <w:tc>
          <w:tcPr>
            <w:tcW w:w="0" w:type="dxa"/>
            <w:vAlign w:val="bottom"/>
          </w:tcPr>
          <w:p>
            <w:pPr>
              <w:spacing w:after="0"/>
              <w:rPr>
                <w:sz w:val="1"/>
                <w:szCs w:val="1"/>
                <w:color w:val="auto"/>
              </w:rPr>
            </w:pPr>
          </w:p>
        </w:tc>
      </w:tr>
      <w:tr>
        <w:trPr>
          <w:trHeight w:val="89"/>
        </w:trPr>
        <w:tc>
          <w:tcPr>
            <w:tcW w:w="3580" w:type="dxa"/>
            <w:vAlign w:val="bottom"/>
            <w:vMerge w:val="continue"/>
            <w:shd w:val="clear" w:color="auto" w:fill="F7F1EC"/>
          </w:tcPr>
          <w:p>
            <w:pPr>
              <w:spacing w:after="0"/>
              <w:rPr>
                <w:sz w:val="7"/>
                <w:szCs w:val="7"/>
                <w:color w:val="auto"/>
              </w:rPr>
            </w:pPr>
          </w:p>
        </w:tc>
        <w:tc>
          <w:tcPr>
            <w:tcW w:w="80" w:type="dxa"/>
            <w:vAlign w:val="bottom"/>
            <w:shd w:val="clear" w:color="auto" w:fill="F7F1EC"/>
          </w:tcPr>
          <w:p>
            <w:pPr>
              <w:spacing w:after="0"/>
              <w:rPr>
                <w:sz w:val="7"/>
                <w:szCs w:val="7"/>
                <w:color w:val="auto"/>
              </w:rPr>
            </w:pPr>
          </w:p>
        </w:tc>
        <w:tc>
          <w:tcPr>
            <w:tcW w:w="500" w:type="dxa"/>
            <w:vAlign w:val="bottom"/>
            <w:shd w:val="clear" w:color="auto" w:fill="F7F1EC"/>
          </w:tcPr>
          <w:p>
            <w:pPr>
              <w:spacing w:after="0"/>
              <w:rPr>
                <w:sz w:val="7"/>
                <w:szCs w:val="7"/>
                <w:color w:val="auto"/>
              </w:rPr>
            </w:pPr>
          </w:p>
        </w:tc>
        <w:tc>
          <w:tcPr>
            <w:tcW w:w="640" w:type="dxa"/>
            <w:vAlign w:val="bottom"/>
            <w:vMerge w:val="restart"/>
            <w:shd w:val="clear" w:color="auto" w:fill="F7F1EC"/>
          </w:tcPr>
          <w:p>
            <w:pPr>
              <w:jc w:val="right"/>
              <w:ind w:right="152"/>
              <w:spacing w:after="0"/>
              <w:rPr>
                <w:sz w:val="20"/>
                <w:szCs w:val="20"/>
                <w:color w:val="auto"/>
              </w:rPr>
            </w:pPr>
            <w:r>
              <w:rPr>
                <w:rFonts w:ascii="Arial" w:cs="Arial" w:eastAsia="Arial" w:hAnsi="Arial"/>
                <w:sz w:val="14"/>
                <w:szCs w:val="14"/>
                <w:color w:val="auto"/>
              </w:rPr>
              <w:t>—</w:t>
            </w:r>
          </w:p>
        </w:tc>
        <w:tc>
          <w:tcPr>
            <w:tcW w:w="1080" w:type="dxa"/>
            <w:vAlign w:val="bottom"/>
            <w:gridSpan w:val="2"/>
            <w:vMerge w:val="restart"/>
            <w:shd w:val="clear" w:color="auto" w:fill="F7F1EC"/>
          </w:tcPr>
          <w:p>
            <w:pPr>
              <w:jc w:val="right"/>
              <w:ind w:right="380"/>
              <w:spacing w:after="0"/>
              <w:rPr>
                <w:sz w:val="20"/>
                <w:szCs w:val="20"/>
                <w:color w:val="auto"/>
              </w:rPr>
            </w:pPr>
            <w:r>
              <w:rPr>
                <w:rFonts w:ascii="Arial" w:cs="Arial" w:eastAsia="Arial" w:hAnsi="Arial"/>
                <w:sz w:val="14"/>
                <w:szCs w:val="14"/>
                <w:color w:val="auto"/>
              </w:rPr>
              <w:t>—</w:t>
            </w:r>
          </w:p>
        </w:tc>
        <w:tc>
          <w:tcPr>
            <w:tcW w:w="1160" w:type="dxa"/>
            <w:vAlign w:val="bottom"/>
            <w:vMerge w:val="restart"/>
            <w:shd w:val="clear" w:color="auto" w:fill="F7F1EC"/>
          </w:tcPr>
          <w:p>
            <w:pPr>
              <w:jc w:val="right"/>
              <w:ind w:right="232"/>
              <w:spacing w:after="0"/>
              <w:rPr>
                <w:sz w:val="20"/>
                <w:szCs w:val="20"/>
                <w:color w:val="auto"/>
              </w:rPr>
            </w:pPr>
            <w:r>
              <w:rPr>
                <w:rFonts w:ascii="Arial" w:cs="Arial" w:eastAsia="Arial" w:hAnsi="Arial"/>
                <w:sz w:val="14"/>
                <w:szCs w:val="14"/>
                <w:color w:val="auto"/>
              </w:rPr>
              <w:t>867</w:t>
            </w:r>
          </w:p>
        </w:tc>
        <w:tc>
          <w:tcPr>
            <w:tcW w:w="920" w:type="dxa"/>
            <w:vAlign w:val="bottom"/>
            <w:vMerge w:val="restart"/>
            <w:shd w:val="clear" w:color="auto" w:fill="F7F1EC"/>
          </w:tcPr>
          <w:p>
            <w:pPr>
              <w:jc w:val="right"/>
              <w:ind w:right="33"/>
              <w:spacing w:after="0" w:line="205" w:lineRule="exact"/>
              <w:rPr>
                <w:sz w:val="20"/>
                <w:szCs w:val="20"/>
                <w:color w:val="auto"/>
              </w:rPr>
            </w:pPr>
            <w:r>
              <w:rPr>
                <w:rFonts w:ascii="Arial" w:cs="Arial" w:eastAsia="Arial" w:hAnsi="Arial"/>
                <w:sz w:val="14"/>
                <w:szCs w:val="14"/>
                <w:color w:val="auto"/>
              </w:rPr>
              <w:t>309,831</w:t>
            </w:r>
            <w:r>
              <w:rPr>
                <w:rFonts w:ascii="Arial" w:cs="Arial" w:eastAsia="Arial" w:hAnsi="Arial"/>
                <w:sz w:val="20"/>
                <w:szCs w:val="20"/>
                <w:color w:val="auto"/>
                <w:vertAlign w:val="superscript"/>
              </w:rPr>
              <w:t>(3)</w:t>
            </w:r>
          </w:p>
        </w:tc>
        <w:tc>
          <w:tcPr>
            <w:tcW w:w="0" w:type="dxa"/>
            <w:vAlign w:val="bottom"/>
          </w:tcPr>
          <w:p>
            <w:pPr>
              <w:spacing w:after="0"/>
              <w:rPr>
                <w:sz w:val="1"/>
                <w:szCs w:val="1"/>
                <w:color w:val="auto"/>
              </w:rPr>
            </w:pPr>
          </w:p>
        </w:tc>
      </w:tr>
      <w:tr>
        <w:trPr>
          <w:trHeight w:val="116"/>
        </w:trPr>
        <w:tc>
          <w:tcPr>
            <w:tcW w:w="3580" w:type="dxa"/>
            <w:vAlign w:val="bottom"/>
            <w:shd w:val="clear" w:color="auto" w:fill="F7F1EC"/>
          </w:tcPr>
          <w:p>
            <w:pPr>
              <w:spacing w:after="0"/>
              <w:rPr>
                <w:sz w:val="10"/>
                <w:szCs w:val="10"/>
                <w:color w:val="auto"/>
              </w:rPr>
            </w:pPr>
          </w:p>
        </w:tc>
        <w:tc>
          <w:tcPr>
            <w:tcW w:w="80" w:type="dxa"/>
            <w:vAlign w:val="bottom"/>
            <w:shd w:val="clear" w:color="auto" w:fill="F7F1EC"/>
          </w:tcPr>
          <w:p>
            <w:pPr>
              <w:spacing w:after="0"/>
              <w:rPr>
                <w:sz w:val="10"/>
                <w:szCs w:val="10"/>
                <w:color w:val="auto"/>
              </w:rPr>
            </w:pPr>
          </w:p>
        </w:tc>
        <w:tc>
          <w:tcPr>
            <w:tcW w:w="500" w:type="dxa"/>
            <w:vAlign w:val="bottom"/>
            <w:shd w:val="clear" w:color="auto" w:fill="F7F1EC"/>
          </w:tcPr>
          <w:p>
            <w:pPr>
              <w:spacing w:after="0"/>
              <w:rPr>
                <w:sz w:val="10"/>
                <w:szCs w:val="10"/>
                <w:color w:val="auto"/>
              </w:rPr>
            </w:pPr>
          </w:p>
        </w:tc>
        <w:tc>
          <w:tcPr>
            <w:tcW w:w="640" w:type="dxa"/>
            <w:vAlign w:val="bottom"/>
            <w:vMerge w:val="continue"/>
            <w:shd w:val="clear" w:color="auto" w:fill="F7F1EC"/>
          </w:tcPr>
          <w:p>
            <w:pPr>
              <w:spacing w:after="0"/>
              <w:rPr>
                <w:sz w:val="10"/>
                <w:szCs w:val="10"/>
                <w:color w:val="auto"/>
              </w:rPr>
            </w:pPr>
          </w:p>
        </w:tc>
        <w:tc>
          <w:tcPr>
            <w:tcW w:w="1080" w:type="dxa"/>
            <w:vAlign w:val="bottom"/>
            <w:gridSpan w:val="2"/>
            <w:vMerge w:val="continue"/>
            <w:shd w:val="clear" w:color="auto" w:fill="F7F1EC"/>
          </w:tcPr>
          <w:p>
            <w:pPr>
              <w:spacing w:after="0"/>
              <w:rPr>
                <w:sz w:val="10"/>
                <w:szCs w:val="10"/>
                <w:color w:val="auto"/>
              </w:rPr>
            </w:pPr>
          </w:p>
        </w:tc>
        <w:tc>
          <w:tcPr>
            <w:tcW w:w="1160" w:type="dxa"/>
            <w:vAlign w:val="bottom"/>
            <w:vMerge w:val="continue"/>
            <w:shd w:val="clear" w:color="auto" w:fill="F7F1EC"/>
          </w:tcPr>
          <w:p>
            <w:pPr>
              <w:spacing w:after="0"/>
              <w:rPr>
                <w:sz w:val="10"/>
                <w:szCs w:val="10"/>
                <w:color w:val="auto"/>
              </w:rPr>
            </w:pPr>
          </w:p>
        </w:tc>
        <w:tc>
          <w:tcPr>
            <w:tcW w:w="920" w:type="dxa"/>
            <w:vAlign w:val="bottom"/>
            <w:vMerge w:val="continue"/>
            <w:shd w:val="clear" w:color="auto" w:fill="F7F1EC"/>
          </w:tcPr>
          <w:p>
            <w:pPr>
              <w:spacing w:after="0"/>
              <w:rPr>
                <w:sz w:val="10"/>
                <w:szCs w:val="10"/>
                <w:color w:val="auto"/>
              </w:rPr>
            </w:pPr>
          </w:p>
        </w:tc>
        <w:tc>
          <w:tcPr>
            <w:tcW w:w="0" w:type="dxa"/>
            <w:vAlign w:val="bottom"/>
          </w:tcPr>
          <w:p>
            <w:pPr>
              <w:spacing w:after="0"/>
              <w:rPr>
                <w:sz w:val="1"/>
                <w:szCs w:val="1"/>
                <w:color w:val="auto"/>
              </w:rPr>
            </w:pPr>
          </w:p>
        </w:tc>
      </w:tr>
      <w:tr>
        <w:trPr>
          <w:trHeight w:val="217"/>
        </w:trPr>
        <w:tc>
          <w:tcPr>
            <w:tcW w:w="3580" w:type="dxa"/>
            <w:vAlign w:val="bottom"/>
            <w:shd w:val="clear" w:color="auto" w:fill="F7F1EC"/>
          </w:tcPr>
          <w:p>
            <w:pPr>
              <w:spacing w:after="0"/>
              <w:rPr>
                <w:sz w:val="18"/>
                <w:szCs w:val="18"/>
                <w:color w:val="auto"/>
              </w:rPr>
            </w:pPr>
          </w:p>
        </w:tc>
        <w:tc>
          <w:tcPr>
            <w:tcW w:w="80" w:type="dxa"/>
            <w:vAlign w:val="bottom"/>
            <w:shd w:val="clear" w:color="auto" w:fill="F7F1EC"/>
          </w:tcPr>
          <w:p>
            <w:pPr>
              <w:spacing w:after="0"/>
              <w:rPr>
                <w:sz w:val="18"/>
                <w:szCs w:val="18"/>
                <w:color w:val="auto"/>
              </w:rPr>
            </w:pPr>
          </w:p>
        </w:tc>
        <w:tc>
          <w:tcPr>
            <w:tcW w:w="500" w:type="dxa"/>
            <w:vAlign w:val="bottom"/>
            <w:shd w:val="clear" w:color="auto" w:fill="F7F1EC"/>
          </w:tcPr>
          <w:p>
            <w:pPr>
              <w:spacing w:after="0"/>
              <w:rPr>
                <w:sz w:val="18"/>
                <w:szCs w:val="18"/>
                <w:color w:val="auto"/>
              </w:rPr>
            </w:pPr>
          </w:p>
        </w:tc>
        <w:tc>
          <w:tcPr>
            <w:tcW w:w="640" w:type="dxa"/>
            <w:vAlign w:val="bottom"/>
            <w:shd w:val="clear" w:color="auto" w:fill="F7F1EC"/>
          </w:tcPr>
          <w:p>
            <w:pPr>
              <w:jc w:val="right"/>
              <w:ind w:right="152"/>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F7F1EC"/>
          </w:tcPr>
          <w:p>
            <w:pPr>
              <w:jc w:val="right"/>
              <w:ind w:right="380"/>
              <w:spacing w:after="0"/>
              <w:rPr>
                <w:sz w:val="20"/>
                <w:szCs w:val="20"/>
                <w:color w:val="auto"/>
              </w:rPr>
            </w:pPr>
            <w:r>
              <w:rPr>
                <w:rFonts w:ascii="Arial" w:cs="Arial" w:eastAsia="Arial" w:hAnsi="Arial"/>
                <w:sz w:val="14"/>
                <w:szCs w:val="14"/>
                <w:color w:val="auto"/>
              </w:rPr>
              <w:t>—</w:t>
            </w:r>
          </w:p>
        </w:tc>
        <w:tc>
          <w:tcPr>
            <w:tcW w:w="1160" w:type="dxa"/>
            <w:vAlign w:val="bottom"/>
            <w:shd w:val="clear" w:color="auto" w:fill="F7F1EC"/>
          </w:tcPr>
          <w:p>
            <w:pPr>
              <w:jc w:val="right"/>
              <w:ind w:right="232"/>
              <w:spacing w:after="0"/>
              <w:rPr>
                <w:sz w:val="20"/>
                <w:szCs w:val="20"/>
                <w:color w:val="auto"/>
              </w:rPr>
            </w:pPr>
            <w:r>
              <w:rPr>
                <w:rFonts w:ascii="Arial" w:cs="Arial" w:eastAsia="Arial" w:hAnsi="Arial"/>
                <w:sz w:val="14"/>
                <w:szCs w:val="14"/>
                <w:color w:val="auto"/>
              </w:rPr>
              <w:t>7,836</w:t>
            </w:r>
          </w:p>
        </w:tc>
        <w:tc>
          <w:tcPr>
            <w:tcW w:w="920" w:type="dxa"/>
            <w:vAlign w:val="bottom"/>
            <w:shd w:val="clear" w:color="auto" w:fill="F7F1EC"/>
          </w:tcPr>
          <w:p>
            <w:pPr>
              <w:jc w:val="right"/>
              <w:ind w:right="33"/>
              <w:spacing w:after="0" w:line="217" w:lineRule="exact"/>
              <w:rPr>
                <w:sz w:val="20"/>
                <w:szCs w:val="20"/>
                <w:color w:val="auto"/>
              </w:rPr>
            </w:pPr>
            <w:r>
              <w:rPr>
                <w:rFonts w:ascii="Arial" w:cs="Arial" w:eastAsia="Arial" w:hAnsi="Arial"/>
                <w:sz w:val="14"/>
                <w:szCs w:val="14"/>
                <w:color w:val="auto"/>
              </w:rPr>
              <w:t>2,800,273</w:t>
            </w:r>
            <w:r>
              <w:rPr>
                <w:rFonts w:ascii="Arial" w:cs="Arial" w:eastAsia="Arial" w:hAnsi="Arial"/>
                <w:sz w:val="20"/>
                <w:szCs w:val="20"/>
                <w:color w:val="auto"/>
                <w:vertAlign w:val="superscript"/>
              </w:rPr>
              <w:t>(4)</w:t>
            </w:r>
          </w:p>
        </w:tc>
        <w:tc>
          <w:tcPr>
            <w:tcW w:w="0" w:type="dxa"/>
            <w:vAlign w:val="bottom"/>
          </w:tcPr>
          <w:p>
            <w:pPr>
              <w:spacing w:after="0"/>
              <w:rPr>
                <w:sz w:val="1"/>
                <w:szCs w:val="1"/>
                <w:color w:val="auto"/>
              </w:rPr>
            </w:pPr>
          </w:p>
        </w:tc>
      </w:tr>
      <w:tr>
        <w:trPr>
          <w:trHeight w:val="268"/>
        </w:trPr>
        <w:tc>
          <w:tcPr>
            <w:tcW w:w="3580" w:type="dxa"/>
            <w:vAlign w:val="bottom"/>
          </w:tcPr>
          <w:p>
            <w:pPr>
              <w:spacing w:after="0"/>
              <w:rPr>
                <w:sz w:val="23"/>
                <w:szCs w:val="23"/>
                <w:color w:val="auto"/>
              </w:rPr>
            </w:pPr>
          </w:p>
        </w:tc>
        <w:tc>
          <w:tcPr>
            <w:tcW w:w="1220" w:type="dxa"/>
            <w:vAlign w:val="bottom"/>
            <w:gridSpan w:val="3"/>
          </w:tcPr>
          <w:p>
            <w:pPr>
              <w:jc w:val="right"/>
              <w:ind w:right="152"/>
              <w:spacing w:after="0"/>
              <w:rPr>
                <w:sz w:val="20"/>
                <w:szCs w:val="20"/>
                <w:color w:val="auto"/>
              </w:rPr>
            </w:pPr>
            <w:r>
              <w:rPr>
                <w:rFonts w:ascii="Arial" w:cs="Arial" w:eastAsia="Arial" w:hAnsi="Arial"/>
                <w:sz w:val="14"/>
                <w:szCs w:val="14"/>
                <w:color w:val="auto"/>
              </w:rPr>
              <w:t>6,000</w:t>
            </w:r>
          </w:p>
        </w:tc>
        <w:tc>
          <w:tcPr>
            <w:tcW w:w="880" w:type="dxa"/>
            <w:vAlign w:val="bottom"/>
          </w:tcPr>
          <w:p>
            <w:pPr>
              <w:jc w:val="right"/>
              <w:spacing w:after="0"/>
              <w:rPr>
                <w:sz w:val="20"/>
                <w:szCs w:val="20"/>
                <w:color w:val="auto"/>
              </w:rPr>
            </w:pPr>
            <w:r>
              <w:rPr>
                <w:rFonts w:ascii="Arial" w:cs="Arial" w:eastAsia="Arial" w:hAnsi="Arial"/>
                <w:sz w:val="14"/>
                <w:szCs w:val="14"/>
                <w:color w:val="auto"/>
              </w:rPr>
              <w:t>1,797,278</w:t>
            </w:r>
            <w:r>
              <w:rPr>
                <w:rFonts w:ascii="Arial" w:cs="Arial" w:eastAsia="Arial" w:hAnsi="Arial"/>
                <w:sz w:val="20"/>
                <w:szCs w:val="20"/>
                <w:color w:val="auto"/>
                <w:vertAlign w:val="superscript"/>
              </w:rPr>
              <w:t>(5)</w:t>
            </w:r>
          </w:p>
        </w:tc>
        <w:tc>
          <w:tcPr>
            <w:tcW w:w="200" w:type="dxa"/>
            <w:vAlign w:val="bottom"/>
          </w:tcPr>
          <w:p>
            <w:pPr>
              <w:spacing w:after="0"/>
              <w:rPr>
                <w:sz w:val="23"/>
                <w:szCs w:val="23"/>
                <w:color w:val="auto"/>
              </w:rPr>
            </w:pPr>
          </w:p>
        </w:tc>
        <w:tc>
          <w:tcPr>
            <w:tcW w:w="1160" w:type="dxa"/>
            <w:vAlign w:val="bottom"/>
          </w:tcPr>
          <w:p>
            <w:pPr>
              <w:jc w:val="right"/>
              <w:ind w:right="232"/>
              <w:spacing w:after="0"/>
              <w:rPr>
                <w:sz w:val="20"/>
                <w:szCs w:val="20"/>
                <w:color w:val="auto"/>
              </w:rPr>
            </w:pPr>
            <w:r>
              <w:rPr>
                <w:rFonts w:ascii="Arial" w:cs="Arial" w:eastAsia="Arial" w:hAnsi="Arial"/>
                <w:sz w:val="14"/>
                <w:szCs w:val="14"/>
                <w:color w:val="auto"/>
              </w:rPr>
              <w:t>795</w:t>
            </w:r>
          </w:p>
        </w:tc>
        <w:tc>
          <w:tcPr>
            <w:tcW w:w="920" w:type="dxa"/>
            <w:vAlign w:val="bottom"/>
          </w:tcPr>
          <w:p>
            <w:pPr>
              <w:jc w:val="right"/>
              <w:ind w:right="33"/>
              <w:spacing w:after="0"/>
              <w:rPr>
                <w:sz w:val="20"/>
                <w:szCs w:val="20"/>
                <w:color w:val="auto"/>
              </w:rPr>
            </w:pPr>
            <w:r>
              <w:rPr>
                <w:rFonts w:ascii="Arial" w:cs="Arial" w:eastAsia="Arial" w:hAnsi="Arial"/>
                <w:sz w:val="14"/>
                <w:szCs w:val="14"/>
                <w:color w:val="auto"/>
              </w:rPr>
              <w:t>284,101</w:t>
            </w:r>
            <w:r>
              <w:rPr>
                <w:rFonts w:ascii="Arial" w:cs="Arial" w:eastAsia="Arial" w:hAnsi="Arial"/>
                <w:sz w:val="20"/>
                <w:szCs w:val="20"/>
                <w:color w:val="auto"/>
                <w:vertAlign w:val="superscript"/>
              </w:rPr>
              <w:t>(3)</w:t>
            </w:r>
          </w:p>
        </w:tc>
        <w:tc>
          <w:tcPr>
            <w:tcW w:w="0" w:type="dxa"/>
            <w:vAlign w:val="bottom"/>
          </w:tcPr>
          <w:p>
            <w:pPr>
              <w:spacing w:after="0"/>
              <w:rPr>
                <w:sz w:val="1"/>
                <w:szCs w:val="1"/>
                <w:color w:val="auto"/>
              </w:rPr>
            </w:pPr>
          </w:p>
        </w:tc>
      </w:tr>
      <w:tr>
        <w:trPr>
          <w:trHeight w:val="204"/>
        </w:trPr>
        <w:tc>
          <w:tcPr>
            <w:tcW w:w="3580" w:type="dxa"/>
            <w:vAlign w:val="bottom"/>
            <w:vMerge w:val="restart"/>
          </w:tcPr>
          <w:p>
            <w:pPr>
              <w:ind w:left="60"/>
              <w:spacing w:after="0"/>
              <w:rPr>
                <w:sz w:val="20"/>
                <w:szCs w:val="20"/>
                <w:color w:val="auto"/>
              </w:rPr>
            </w:pPr>
            <w:r>
              <w:rPr>
                <w:rFonts w:ascii="Arial" w:cs="Arial" w:eastAsia="Arial" w:hAnsi="Arial"/>
                <w:sz w:val="14"/>
                <w:szCs w:val="14"/>
                <w:b w:val="1"/>
                <w:bCs w:val="1"/>
                <w:color w:val="B95827"/>
              </w:rPr>
              <w:t>Matthew Audette</w:t>
            </w:r>
          </w:p>
        </w:tc>
        <w:tc>
          <w:tcPr>
            <w:tcW w:w="1220" w:type="dxa"/>
            <w:vAlign w:val="bottom"/>
            <w:gridSpan w:val="3"/>
          </w:tcPr>
          <w:p>
            <w:pPr>
              <w:jc w:val="right"/>
              <w:ind w:right="152"/>
              <w:spacing w:after="0"/>
              <w:rPr>
                <w:sz w:val="20"/>
                <w:szCs w:val="20"/>
                <w:color w:val="auto"/>
              </w:rPr>
            </w:pPr>
            <w:r>
              <w:rPr>
                <w:rFonts w:ascii="Arial" w:cs="Arial" w:eastAsia="Arial" w:hAnsi="Arial"/>
                <w:sz w:val="14"/>
                <w:szCs w:val="14"/>
                <w:color w:val="auto"/>
              </w:rPr>
              <w:t>5,000</w:t>
            </w:r>
          </w:p>
        </w:tc>
        <w:tc>
          <w:tcPr>
            <w:tcW w:w="880" w:type="dxa"/>
            <w:vAlign w:val="bottom"/>
          </w:tcPr>
          <w:p>
            <w:pPr>
              <w:jc w:val="right"/>
              <w:spacing w:after="0" w:line="205" w:lineRule="exact"/>
              <w:rPr>
                <w:sz w:val="20"/>
                <w:szCs w:val="20"/>
                <w:color w:val="auto"/>
              </w:rPr>
            </w:pPr>
            <w:r>
              <w:rPr>
                <w:rFonts w:ascii="Arial" w:cs="Arial" w:eastAsia="Arial" w:hAnsi="Arial"/>
                <w:sz w:val="14"/>
                <w:szCs w:val="14"/>
                <w:color w:val="auto"/>
              </w:rPr>
              <w:t>1,497,754</w:t>
            </w:r>
            <w:r>
              <w:rPr>
                <w:rFonts w:ascii="Arial" w:cs="Arial" w:eastAsia="Arial" w:hAnsi="Arial"/>
                <w:sz w:val="20"/>
                <w:szCs w:val="20"/>
                <w:color w:val="auto"/>
                <w:vertAlign w:val="superscript"/>
              </w:rPr>
              <w:t>(6)</w:t>
            </w:r>
          </w:p>
        </w:tc>
        <w:tc>
          <w:tcPr>
            <w:tcW w:w="200" w:type="dxa"/>
            <w:vAlign w:val="bottom"/>
          </w:tcPr>
          <w:p>
            <w:pPr>
              <w:spacing w:after="0"/>
              <w:rPr>
                <w:sz w:val="17"/>
                <w:szCs w:val="17"/>
                <w:color w:val="auto"/>
              </w:rPr>
            </w:pPr>
          </w:p>
        </w:tc>
        <w:tc>
          <w:tcPr>
            <w:tcW w:w="1160" w:type="dxa"/>
            <w:vAlign w:val="bottom"/>
          </w:tcPr>
          <w:p>
            <w:pPr>
              <w:jc w:val="right"/>
              <w:ind w:right="232"/>
              <w:spacing w:after="0"/>
              <w:rPr>
                <w:sz w:val="20"/>
                <w:szCs w:val="20"/>
                <w:color w:val="auto"/>
              </w:rPr>
            </w:pPr>
            <w:r>
              <w:rPr>
                <w:rFonts w:ascii="Arial" w:cs="Arial" w:eastAsia="Arial" w:hAnsi="Arial"/>
                <w:sz w:val="14"/>
                <w:szCs w:val="14"/>
                <w:color w:val="auto"/>
              </w:rPr>
              <w:t>591</w:t>
            </w:r>
          </w:p>
        </w:tc>
        <w:tc>
          <w:tcPr>
            <w:tcW w:w="920" w:type="dxa"/>
            <w:vAlign w:val="bottom"/>
          </w:tcPr>
          <w:p>
            <w:pPr>
              <w:jc w:val="right"/>
              <w:ind w:right="33"/>
              <w:spacing w:after="0" w:line="205" w:lineRule="exact"/>
              <w:rPr>
                <w:sz w:val="20"/>
                <w:szCs w:val="20"/>
                <w:color w:val="auto"/>
              </w:rPr>
            </w:pPr>
            <w:r>
              <w:rPr>
                <w:rFonts w:ascii="Arial" w:cs="Arial" w:eastAsia="Arial" w:hAnsi="Arial"/>
                <w:sz w:val="14"/>
                <w:szCs w:val="14"/>
                <w:color w:val="auto"/>
              </w:rPr>
              <w:t>211,200</w:t>
            </w:r>
            <w:r>
              <w:rPr>
                <w:rFonts w:ascii="Arial" w:cs="Arial" w:eastAsia="Arial" w:hAnsi="Arial"/>
                <w:sz w:val="20"/>
                <w:szCs w:val="20"/>
                <w:color w:val="auto"/>
                <w:vertAlign w:val="superscript"/>
              </w:rPr>
              <w:t>(3)</w:t>
            </w:r>
          </w:p>
        </w:tc>
        <w:tc>
          <w:tcPr>
            <w:tcW w:w="0" w:type="dxa"/>
            <w:vAlign w:val="bottom"/>
          </w:tcPr>
          <w:p>
            <w:pPr>
              <w:spacing w:after="0"/>
              <w:rPr>
                <w:sz w:val="1"/>
                <w:szCs w:val="1"/>
                <w:color w:val="auto"/>
              </w:rPr>
            </w:pPr>
          </w:p>
        </w:tc>
      </w:tr>
      <w:tr>
        <w:trPr>
          <w:trHeight w:val="89"/>
        </w:trPr>
        <w:tc>
          <w:tcPr>
            <w:tcW w:w="3580" w:type="dxa"/>
            <w:vAlign w:val="bottom"/>
            <w:vMerge w:val="continue"/>
          </w:tcPr>
          <w:p>
            <w:pPr>
              <w:spacing w:after="0"/>
              <w:rPr>
                <w:sz w:val="7"/>
                <w:szCs w:val="7"/>
                <w:color w:val="auto"/>
              </w:rPr>
            </w:pPr>
          </w:p>
        </w:tc>
        <w:tc>
          <w:tcPr>
            <w:tcW w:w="1220" w:type="dxa"/>
            <w:vAlign w:val="bottom"/>
            <w:gridSpan w:val="3"/>
            <w:vMerge w:val="restart"/>
          </w:tcPr>
          <w:p>
            <w:pPr>
              <w:jc w:val="right"/>
              <w:ind w:right="152"/>
              <w:spacing w:after="0"/>
              <w:rPr>
                <w:sz w:val="20"/>
                <w:szCs w:val="20"/>
                <w:color w:val="auto"/>
              </w:rPr>
            </w:pPr>
            <w:r>
              <w:rPr>
                <w:rFonts w:ascii="Arial" w:cs="Arial" w:eastAsia="Arial" w:hAnsi="Arial"/>
                <w:sz w:val="14"/>
                <w:szCs w:val="14"/>
                <w:color w:val="auto"/>
              </w:rPr>
              <w:t>4,874</w:t>
            </w:r>
          </w:p>
        </w:tc>
        <w:tc>
          <w:tcPr>
            <w:tcW w:w="880" w:type="dxa"/>
            <w:vAlign w:val="bottom"/>
            <w:vMerge w:val="restart"/>
          </w:tcPr>
          <w:p>
            <w:pPr>
              <w:jc w:val="right"/>
              <w:spacing w:after="0" w:line="205" w:lineRule="exact"/>
              <w:rPr>
                <w:sz w:val="20"/>
                <w:szCs w:val="20"/>
                <w:color w:val="auto"/>
              </w:rPr>
            </w:pPr>
            <w:r>
              <w:rPr>
                <w:rFonts w:ascii="Arial" w:cs="Arial" w:eastAsia="Arial" w:hAnsi="Arial"/>
                <w:sz w:val="14"/>
                <w:szCs w:val="14"/>
                <w:color w:val="auto"/>
              </w:rPr>
              <w:t>1,460,531</w:t>
            </w:r>
            <w:r>
              <w:rPr>
                <w:rFonts w:ascii="Arial" w:cs="Arial" w:eastAsia="Arial" w:hAnsi="Arial"/>
                <w:sz w:val="20"/>
                <w:szCs w:val="20"/>
                <w:color w:val="auto"/>
                <w:vertAlign w:val="superscript"/>
              </w:rPr>
              <w:t>(7)</w:t>
            </w:r>
          </w:p>
        </w:tc>
        <w:tc>
          <w:tcPr>
            <w:tcW w:w="200" w:type="dxa"/>
            <w:vAlign w:val="bottom"/>
          </w:tcPr>
          <w:p>
            <w:pPr>
              <w:spacing w:after="0"/>
              <w:rPr>
                <w:sz w:val="7"/>
                <w:szCs w:val="7"/>
                <w:color w:val="auto"/>
              </w:rPr>
            </w:pPr>
          </w:p>
        </w:tc>
        <w:tc>
          <w:tcPr>
            <w:tcW w:w="1160" w:type="dxa"/>
            <w:vAlign w:val="bottom"/>
            <w:vMerge w:val="restart"/>
          </w:tcPr>
          <w:p>
            <w:pPr>
              <w:jc w:val="right"/>
              <w:ind w:right="232"/>
              <w:spacing w:after="0"/>
              <w:rPr>
                <w:sz w:val="20"/>
                <w:szCs w:val="20"/>
                <w:color w:val="auto"/>
              </w:rPr>
            </w:pPr>
            <w:r>
              <w:rPr>
                <w:rFonts w:ascii="Arial" w:cs="Arial" w:eastAsia="Arial" w:hAnsi="Arial"/>
                <w:sz w:val="14"/>
                <w:szCs w:val="14"/>
                <w:color w:val="auto"/>
              </w:rPr>
              <w:t>786</w:t>
            </w:r>
          </w:p>
        </w:tc>
        <w:tc>
          <w:tcPr>
            <w:tcW w:w="920" w:type="dxa"/>
            <w:vAlign w:val="bottom"/>
            <w:vMerge w:val="restart"/>
          </w:tcPr>
          <w:p>
            <w:pPr>
              <w:jc w:val="right"/>
              <w:ind w:right="33"/>
              <w:spacing w:after="0" w:line="205" w:lineRule="exact"/>
              <w:rPr>
                <w:sz w:val="20"/>
                <w:szCs w:val="20"/>
                <w:color w:val="auto"/>
              </w:rPr>
            </w:pPr>
            <w:r>
              <w:rPr>
                <w:rFonts w:ascii="Arial" w:cs="Arial" w:eastAsia="Arial" w:hAnsi="Arial"/>
                <w:sz w:val="14"/>
                <w:szCs w:val="14"/>
                <w:color w:val="auto"/>
              </w:rPr>
              <w:t>280,885</w:t>
            </w:r>
            <w:r>
              <w:rPr>
                <w:rFonts w:ascii="Arial" w:cs="Arial" w:eastAsia="Arial" w:hAnsi="Arial"/>
                <w:sz w:val="20"/>
                <w:szCs w:val="20"/>
                <w:color w:val="auto"/>
                <w:vertAlign w:val="superscript"/>
              </w:rPr>
              <w:t>(3)</w:t>
            </w:r>
          </w:p>
        </w:tc>
        <w:tc>
          <w:tcPr>
            <w:tcW w:w="0" w:type="dxa"/>
            <w:vAlign w:val="bottom"/>
          </w:tcPr>
          <w:p>
            <w:pPr>
              <w:spacing w:after="0"/>
              <w:rPr>
                <w:sz w:val="1"/>
                <w:szCs w:val="1"/>
                <w:color w:val="auto"/>
              </w:rPr>
            </w:pPr>
          </w:p>
        </w:tc>
      </w:tr>
      <w:tr>
        <w:trPr>
          <w:trHeight w:val="116"/>
        </w:trPr>
        <w:tc>
          <w:tcPr>
            <w:tcW w:w="3580" w:type="dxa"/>
            <w:vAlign w:val="bottom"/>
          </w:tcPr>
          <w:p>
            <w:pPr>
              <w:spacing w:after="0"/>
              <w:rPr>
                <w:sz w:val="10"/>
                <w:szCs w:val="10"/>
                <w:color w:val="auto"/>
              </w:rPr>
            </w:pPr>
          </w:p>
        </w:tc>
        <w:tc>
          <w:tcPr>
            <w:tcW w:w="1220" w:type="dxa"/>
            <w:vAlign w:val="bottom"/>
            <w:gridSpan w:val="3"/>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116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7"/>
        </w:trPr>
        <w:tc>
          <w:tcPr>
            <w:tcW w:w="3580" w:type="dxa"/>
            <w:vAlign w:val="bottom"/>
          </w:tcPr>
          <w:p>
            <w:pPr>
              <w:spacing w:after="0"/>
              <w:rPr>
                <w:sz w:val="18"/>
                <w:szCs w:val="18"/>
                <w:color w:val="auto"/>
              </w:rPr>
            </w:pPr>
          </w:p>
        </w:tc>
        <w:tc>
          <w:tcPr>
            <w:tcW w:w="1220" w:type="dxa"/>
            <w:vAlign w:val="bottom"/>
            <w:gridSpan w:val="3"/>
          </w:tcPr>
          <w:p>
            <w:pPr>
              <w:jc w:val="right"/>
              <w:ind w:right="152"/>
              <w:spacing w:after="0"/>
              <w:rPr>
                <w:sz w:val="20"/>
                <w:szCs w:val="20"/>
                <w:color w:val="auto"/>
              </w:rPr>
            </w:pPr>
            <w:r>
              <w:rPr>
                <w:rFonts w:ascii="Arial" w:cs="Arial" w:eastAsia="Arial" w:hAnsi="Arial"/>
                <w:sz w:val="14"/>
                <w:szCs w:val="14"/>
                <w:color w:val="auto"/>
              </w:rPr>
              <w:t>12,903</w:t>
            </w:r>
          </w:p>
        </w:tc>
        <w:tc>
          <w:tcPr>
            <w:tcW w:w="880" w:type="dxa"/>
            <w:vAlign w:val="bottom"/>
          </w:tcPr>
          <w:p>
            <w:pPr>
              <w:jc w:val="right"/>
              <w:spacing w:after="0" w:line="217" w:lineRule="exact"/>
              <w:rPr>
                <w:sz w:val="20"/>
                <w:szCs w:val="20"/>
                <w:color w:val="auto"/>
              </w:rPr>
            </w:pPr>
            <w:r>
              <w:rPr>
                <w:rFonts w:ascii="Arial" w:cs="Arial" w:eastAsia="Arial" w:hAnsi="Arial"/>
                <w:sz w:val="14"/>
                <w:szCs w:val="14"/>
                <w:color w:val="auto"/>
              </w:rPr>
              <w:t>3,711,997</w:t>
            </w:r>
            <w:r>
              <w:rPr>
                <w:rFonts w:ascii="Arial" w:cs="Arial" w:eastAsia="Arial" w:hAnsi="Arial"/>
                <w:sz w:val="20"/>
                <w:szCs w:val="20"/>
                <w:color w:val="auto"/>
                <w:vertAlign w:val="superscript"/>
              </w:rPr>
              <w:t>(8)</w:t>
            </w:r>
          </w:p>
        </w:tc>
        <w:tc>
          <w:tcPr>
            <w:tcW w:w="200" w:type="dxa"/>
            <w:vAlign w:val="bottom"/>
          </w:tcPr>
          <w:p>
            <w:pPr>
              <w:spacing w:after="0"/>
              <w:rPr>
                <w:sz w:val="18"/>
                <w:szCs w:val="18"/>
                <w:color w:val="auto"/>
              </w:rPr>
            </w:pPr>
          </w:p>
        </w:tc>
        <w:tc>
          <w:tcPr>
            <w:tcW w:w="1160" w:type="dxa"/>
            <w:vAlign w:val="bottom"/>
          </w:tcPr>
          <w:p>
            <w:pPr>
              <w:jc w:val="right"/>
              <w:ind w:right="232"/>
              <w:spacing w:after="0"/>
              <w:rPr>
                <w:sz w:val="20"/>
                <w:szCs w:val="20"/>
                <w:color w:val="auto"/>
              </w:rPr>
            </w:pPr>
            <w:r>
              <w:rPr>
                <w:rFonts w:ascii="Arial" w:cs="Arial" w:eastAsia="Arial" w:hAnsi="Arial"/>
                <w:sz w:val="14"/>
                <w:szCs w:val="14"/>
                <w:color w:val="auto"/>
              </w:rPr>
              <w:t>7,154</w:t>
            </w:r>
          </w:p>
        </w:tc>
        <w:tc>
          <w:tcPr>
            <w:tcW w:w="920" w:type="dxa"/>
            <w:vAlign w:val="bottom"/>
          </w:tcPr>
          <w:p>
            <w:pPr>
              <w:jc w:val="right"/>
              <w:ind w:right="33"/>
              <w:spacing w:after="0" w:line="217" w:lineRule="exact"/>
              <w:rPr>
                <w:sz w:val="20"/>
                <w:szCs w:val="20"/>
                <w:color w:val="auto"/>
              </w:rPr>
            </w:pPr>
            <w:r>
              <w:rPr>
                <w:rFonts w:ascii="Arial" w:cs="Arial" w:eastAsia="Arial" w:hAnsi="Arial"/>
                <w:sz w:val="14"/>
                <w:szCs w:val="14"/>
                <w:color w:val="auto"/>
              </w:rPr>
              <w:t>2,556,553</w:t>
            </w:r>
            <w:r>
              <w:rPr>
                <w:rFonts w:ascii="Arial" w:cs="Arial" w:eastAsia="Arial" w:hAnsi="Arial"/>
                <w:sz w:val="20"/>
                <w:szCs w:val="20"/>
                <w:color w:val="auto"/>
                <w:vertAlign w:val="superscript"/>
              </w:rPr>
              <w:t>(4)</w:t>
            </w:r>
          </w:p>
        </w:tc>
        <w:tc>
          <w:tcPr>
            <w:tcW w:w="0" w:type="dxa"/>
            <w:vAlign w:val="bottom"/>
          </w:tcPr>
          <w:p>
            <w:pPr>
              <w:spacing w:after="0"/>
              <w:rPr>
                <w:sz w:val="1"/>
                <w:szCs w:val="1"/>
                <w:color w:val="auto"/>
              </w:rPr>
            </w:pPr>
          </w:p>
        </w:tc>
      </w:tr>
      <w:tr>
        <w:trPr>
          <w:trHeight w:val="268"/>
        </w:trPr>
        <w:tc>
          <w:tcPr>
            <w:tcW w:w="3580" w:type="dxa"/>
            <w:vAlign w:val="bottom"/>
            <w:shd w:val="clear" w:color="auto" w:fill="F7F1EC"/>
          </w:tcPr>
          <w:p>
            <w:pPr>
              <w:spacing w:after="0"/>
              <w:rPr>
                <w:sz w:val="23"/>
                <w:szCs w:val="23"/>
                <w:color w:val="auto"/>
              </w:rPr>
            </w:pPr>
          </w:p>
        </w:tc>
        <w:tc>
          <w:tcPr>
            <w:tcW w:w="80" w:type="dxa"/>
            <w:vAlign w:val="bottom"/>
            <w:shd w:val="clear" w:color="auto" w:fill="F7F1EC"/>
          </w:tcPr>
          <w:p>
            <w:pPr>
              <w:spacing w:after="0"/>
              <w:rPr>
                <w:sz w:val="23"/>
                <w:szCs w:val="23"/>
                <w:color w:val="auto"/>
              </w:rPr>
            </w:pPr>
          </w:p>
        </w:tc>
        <w:tc>
          <w:tcPr>
            <w:tcW w:w="1140" w:type="dxa"/>
            <w:vAlign w:val="bottom"/>
            <w:gridSpan w:val="2"/>
            <w:shd w:val="clear" w:color="auto" w:fill="F7F1EC"/>
          </w:tcPr>
          <w:p>
            <w:pPr>
              <w:jc w:val="right"/>
              <w:ind w:right="152"/>
              <w:spacing w:after="0"/>
              <w:rPr>
                <w:sz w:val="20"/>
                <w:szCs w:val="20"/>
                <w:color w:val="auto"/>
              </w:rPr>
            </w:pPr>
            <w:r>
              <w:rPr>
                <w:rFonts w:ascii="Arial" w:cs="Arial" w:eastAsia="Arial" w:hAnsi="Arial"/>
                <w:sz w:val="14"/>
                <w:szCs w:val="14"/>
                <w:color w:val="auto"/>
              </w:rPr>
              <w:t>5,154</w:t>
            </w:r>
          </w:p>
        </w:tc>
        <w:tc>
          <w:tcPr>
            <w:tcW w:w="880" w:type="dxa"/>
            <w:vAlign w:val="bottom"/>
            <w:shd w:val="clear" w:color="auto" w:fill="F7F1EC"/>
          </w:tcPr>
          <w:p>
            <w:pPr>
              <w:jc w:val="right"/>
              <w:spacing w:after="0"/>
              <w:rPr>
                <w:sz w:val="20"/>
                <w:szCs w:val="20"/>
                <w:color w:val="auto"/>
              </w:rPr>
            </w:pPr>
            <w:r>
              <w:rPr>
                <w:rFonts w:ascii="Arial" w:cs="Arial" w:eastAsia="Arial" w:hAnsi="Arial"/>
                <w:sz w:val="14"/>
                <w:szCs w:val="14"/>
                <w:color w:val="auto"/>
              </w:rPr>
              <w:t>1,700,047</w:t>
            </w:r>
            <w:r>
              <w:rPr>
                <w:rFonts w:ascii="Arial" w:cs="Arial" w:eastAsia="Arial" w:hAnsi="Arial"/>
                <w:sz w:val="20"/>
                <w:szCs w:val="20"/>
                <w:color w:val="auto"/>
                <w:vertAlign w:val="superscript"/>
              </w:rPr>
              <w:t>(9)</w:t>
            </w:r>
          </w:p>
        </w:tc>
        <w:tc>
          <w:tcPr>
            <w:tcW w:w="200" w:type="dxa"/>
            <w:vAlign w:val="bottom"/>
            <w:shd w:val="clear" w:color="auto" w:fill="F7F1EC"/>
          </w:tcPr>
          <w:p>
            <w:pPr>
              <w:spacing w:after="0"/>
              <w:rPr>
                <w:sz w:val="23"/>
                <w:szCs w:val="23"/>
                <w:color w:val="auto"/>
              </w:rPr>
            </w:pPr>
          </w:p>
        </w:tc>
        <w:tc>
          <w:tcPr>
            <w:tcW w:w="1160" w:type="dxa"/>
            <w:vAlign w:val="bottom"/>
            <w:shd w:val="clear" w:color="auto" w:fill="F7F1EC"/>
          </w:tcPr>
          <w:p>
            <w:pPr>
              <w:jc w:val="right"/>
              <w:ind w:right="232"/>
              <w:spacing w:after="0"/>
              <w:rPr>
                <w:sz w:val="20"/>
                <w:szCs w:val="20"/>
                <w:color w:val="auto"/>
              </w:rPr>
            </w:pPr>
            <w:r>
              <w:rPr>
                <w:rFonts w:ascii="Arial" w:cs="Arial" w:eastAsia="Arial" w:hAnsi="Arial"/>
                <w:sz w:val="14"/>
                <w:szCs w:val="14"/>
                <w:color w:val="auto"/>
              </w:rPr>
              <w:t>507</w:t>
            </w:r>
          </w:p>
        </w:tc>
        <w:tc>
          <w:tcPr>
            <w:tcW w:w="920" w:type="dxa"/>
            <w:vAlign w:val="bottom"/>
            <w:shd w:val="clear" w:color="auto" w:fill="F7F1EC"/>
          </w:tcPr>
          <w:p>
            <w:pPr>
              <w:jc w:val="right"/>
              <w:ind w:right="33"/>
              <w:spacing w:after="0"/>
              <w:rPr>
                <w:sz w:val="20"/>
                <w:szCs w:val="20"/>
                <w:color w:val="auto"/>
              </w:rPr>
            </w:pPr>
            <w:r>
              <w:rPr>
                <w:rFonts w:ascii="Arial" w:cs="Arial" w:eastAsia="Arial" w:hAnsi="Arial"/>
                <w:sz w:val="14"/>
                <w:szCs w:val="14"/>
                <w:color w:val="auto"/>
              </w:rPr>
              <w:t>181,182</w:t>
            </w:r>
            <w:r>
              <w:rPr>
                <w:rFonts w:ascii="Arial" w:cs="Arial" w:eastAsia="Arial" w:hAnsi="Arial"/>
                <w:sz w:val="20"/>
                <w:szCs w:val="20"/>
                <w:color w:val="auto"/>
                <w:vertAlign w:val="superscript"/>
              </w:rPr>
              <w:t>(3)</w:t>
            </w:r>
          </w:p>
        </w:tc>
        <w:tc>
          <w:tcPr>
            <w:tcW w:w="0" w:type="dxa"/>
            <w:vAlign w:val="bottom"/>
          </w:tcPr>
          <w:p>
            <w:pPr>
              <w:spacing w:after="0"/>
              <w:rPr>
                <w:sz w:val="1"/>
                <w:szCs w:val="1"/>
                <w:color w:val="auto"/>
              </w:rPr>
            </w:pPr>
          </w:p>
        </w:tc>
      </w:tr>
      <w:tr>
        <w:trPr>
          <w:trHeight w:val="204"/>
        </w:trPr>
        <w:tc>
          <w:tcPr>
            <w:tcW w:w="3580" w:type="dxa"/>
            <w:vAlign w:val="bottom"/>
            <w:vMerge w:val="restart"/>
            <w:shd w:val="clear" w:color="auto" w:fill="F7F1EC"/>
          </w:tcPr>
          <w:p>
            <w:pPr>
              <w:ind w:left="60"/>
              <w:spacing w:after="0"/>
              <w:rPr>
                <w:sz w:val="20"/>
                <w:szCs w:val="20"/>
                <w:color w:val="auto"/>
              </w:rPr>
            </w:pPr>
            <w:r>
              <w:rPr>
                <w:rFonts w:ascii="Arial" w:cs="Arial" w:eastAsia="Arial" w:hAnsi="Arial"/>
                <w:sz w:val="14"/>
                <w:szCs w:val="14"/>
                <w:b w:val="1"/>
                <w:bCs w:val="1"/>
                <w:color w:val="B95827"/>
              </w:rPr>
              <w:t>Matthew Enyedi</w:t>
            </w:r>
          </w:p>
        </w:tc>
        <w:tc>
          <w:tcPr>
            <w:tcW w:w="80" w:type="dxa"/>
            <w:vAlign w:val="bottom"/>
            <w:shd w:val="clear" w:color="auto" w:fill="F7F1EC"/>
          </w:tcPr>
          <w:p>
            <w:pPr>
              <w:spacing w:after="0"/>
              <w:rPr>
                <w:sz w:val="17"/>
                <w:szCs w:val="17"/>
                <w:color w:val="auto"/>
              </w:rPr>
            </w:pPr>
          </w:p>
        </w:tc>
        <w:tc>
          <w:tcPr>
            <w:tcW w:w="500" w:type="dxa"/>
            <w:vAlign w:val="bottom"/>
            <w:shd w:val="clear" w:color="auto" w:fill="F7F1EC"/>
          </w:tcPr>
          <w:p>
            <w:pPr>
              <w:spacing w:after="0"/>
              <w:rPr>
                <w:sz w:val="17"/>
                <w:szCs w:val="17"/>
                <w:color w:val="auto"/>
              </w:rPr>
            </w:pPr>
          </w:p>
        </w:tc>
        <w:tc>
          <w:tcPr>
            <w:tcW w:w="640" w:type="dxa"/>
            <w:vAlign w:val="bottom"/>
            <w:shd w:val="clear" w:color="auto" w:fill="F7F1EC"/>
          </w:tcPr>
          <w:p>
            <w:pPr>
              <w:jc w:val="right"/>
              <w:ind w:right="152"/>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F7F1EC"/>
          </w:tcPr>
          <w:p>
            <w:pPr>
              <w:jc w:val="right"/>
              <w:ind w:right="380"/>
              <w:spacing w:after="0"/>
              <w:rPr>
                <w:sz w:val="20"/>
                <w:szCs w:val="20"/>
                <w:color w:val="auto"/>
              </w:rPr>
            </w:pPr>
            <w:r>
              <w:rPr>
                <w:rFonts w:ascii="Arial" w:cs="Arial" w:eastAsia="Arial" w:hAnsi="Arial"/>
                <w:sz w:val="14"/>
                <w:szCs w:val="14"/>
                <w:color w:val="auto"/>
              </w:rPr>
              <w:t>—</w:t>
            </w:r>
          </w:p>
        </w:tc>
        <w:tc>
          <w:tcPr>
            <w:tcW w:w="1160" w:type="dxa"/>
            <w:vAlign w:val="bottom"/>
            <w:shd w:val="clear" w:color="auto" w:fill="F7F1EC"/>
          </w:tcPr>
          <w:p>
            <w:pPr>
              <w:jc w:val="right"/>
              <w:ind w:right="232"/>
              <w:spacing w:after="0"/>
              <w:rPr>
                <w:sz w:val="20"/>
                <w:szCs w:val="20"/>
                <w:color w:val="auto"/>
              </w:rPr>
            </w:pPr>
            <w:r>
              <w:rPr>
                <w:rFonts w:ascii="Arial" w:cs="Arial" w:eastAsia="Arial" w:hAnsi="Arial"/>
                <w:sz w:val="14"/>
                <w:szCs w:val="14"/>
                <w:color w:val="auto"/>
              </w:rPr>
              <w:t>494</w:t>
            </w:r>
          </w:p>
        </w:tc>
        <w:tc>
          <w:tcPr>
            <w:tcW w:w="920" w:type="dxa"/>
            <w:vAlign w:val="bottom"/>
            <w:shd w:val="clear" w:color="auto" w:fill="F7F1EC"/>
          </w:tcPr>
          <w:p>
            <w:pPr>
              <w:jc w:val="right"/>
              <w:ind w:right="33"/>
              <w:spacing w:after="0" w:line="205" w:lineRule="exact"/>
              <w:rPr>
                <w:sz w:val="20"/>
                <w:szCs w:val="20"/>
                <w:color w:val="auto"/>
              </w:rPr>
            </w:pPr>
            <w:r>
              <w:rPr>
                <w:rFonts w:ascii="Arial" w:cs="Arial" w:eastAsia="Arial" w:hAnsi="Arial"/>
                <w:sz w:val="14"/>
                <w:szCs w:val="14"/>
                <w:color w:val="auto"/>
              </w:rPr>
              <w:t>176,536</w:t>
            </w:r>
            <w:r>
              <w:rPr>
                <w:rFonts w:ascii="Arial" w:cs="Arial" w:eastAsia="Arial" w:hAnsi="Arial"/>
                <w:sz w:val="20"/>
                <w:szCs w:val="20"/>
                <w:color w:val="auto"/>
                <w:vertAlign w:val="superscript"/>
              </w:rPr>
              <w:t>(3)</w:t>
            </w:r>
          </w:p>
        </w:tc>
        <w:tc>
          <w:tcPr>
            <w:tcW w:w="0" w:type="dxa"/>
            <w:vAlign w:val="bottom"/>
          </w:tcPr>
          <w:p>
            <w:pPr>
              <w:spacing w:after="0"/>
              <w:rPr>
                <w:sz w:val="1"/>
                <w:szCs w:val="1"/>
                <w:color w:val="auto"/>
              </w:rPr>
            </w:pPr>
          </w:p>
        </w:tc>
      </w:tr>
      <w:tr>
        <w:trPr>
          <w:trHeight w:val="89"/>
        </w:trPr>
        <w:tc>
          <w:tcPr>
            <w:tcW w:w="3580" w:type="dxa"/>
            <w:vAlign w:val="bottom"/>
            <w:vMerge w:val="continue"/>
            <w:shd w:val="clear" w:color="auto" w:fill="F7F1EC"/>
          </w:tcPr>
          <w:p>
            <w:pPr>
              <w:spacing w:after="0"/>
              <w:rPr>
                <w:sz w:val="7"/>
                <w:szCs w:val="7"/>
                <w:color w:val="auto"/>
              </w:rPr>
            </w:pPr>
          </w:p>
        </w:tc>
        <w:tc>
          <w:tcPr>
            <w:tcW w:w="80" w:type="dxa"/>
            <w:vAlign w:val="bottom"/>
            <w:shd w:val="clear" w:color="auto" w:fill="F7F1EC"/>
          </w:tcPr>
          <w:p>
            <w:pPr>
              <w:spacing w:after="0"/>
              <w:rPr>
                <w:sz w:val="7"/>
                <w:szCs w:val="7"/>
                <w:color w:val="auto"/>
              </w:rPr>
            </w:pPr>
          </w:p>
        </w:tc>
        <w:tc>
          <w:tcPr>
            <w:tcW w:w="500" w:type="dxa"/>
            <w:vAlign w:val="bottom"/>
            <w:shd w:val="clear" w:color="auto" w:fill="F7F1EC"/>
          </w:tcPr>
          <w:p>
            <w:pPr>
              <w:spacing w:after="0"/>
              <w:rPr>
                <w:sz w:val="7"/>
                <w:szCs w:val="7"/>
                <w:color w:val="auto"/>
              </w:rPr>
            </w:pPr>
          </w:p>
        </w:tc>
        <w:tc>
          <w:tcPr>
            <w:tcW w:w="640" w:type="dxa"/>
            <w:vAlign w:val="bottom"/>
            <w:vMerge w:val="restart"/>
            <w:shd w:val="clear" w:color="auto" w:fill="F7F1EC"/>
          </w:tcPr>
          <w:p>
            <w:pPr>
              <w:jc w:val="right"/>
              <w:ind w:right="152"/>
              <w:spacing w:after="0"/>
              <w:rPr>
                <w:sz w:val="20"/>
                <w:szCs w:val="20"/>
                <w:color w:val="auto"/>
              </w:rPr>
            </w:pPr>
            <w:r>
              <w:rPr>
                <w:rFonts w:ascii="Arial" w:cs="Arial" w:eastAsia="Arial" w:hAnsi="Arial"/>
                <w:sz w:val="14"/>
                <w:szCs w:val="14"/>
                <w:color w:val="auto"/>
              </w:rPr>
              <w:t>—</w:t>
            </w:r>
          </w:p>
        </w:tc>
        <w:tc>
          <w:tcPr>
            <w:tcW w:w="1080" w:type="dxa"/>
            <w:vAlign w:val="bottom"/>
            <w:gridSpan w:val="2"/>
            <w:vMerge w:val="restart"/>
            <w:shd w:val="clear" w:color="auto" w:fill="F7F1EC"/>
          </w:tcPr>
          <w:p>
            <w:pPr>
              <w:jc w:val="right"/>
              <w:ind w:right="380"/>
              <w:spacing w:after="0"/>
              <w:rPr>
                <w:sz w:val="20"/>
                <w:szCs w:val="20"/>
                <w:color w:val="auto"/>
              </w:rPr>
            </w:pPr>
            <w:r>
              <w:rPr>
                <w:rFonts w:ascii="Arial" w:cs="Arial" w:eastAsia="Arial" w:hAnsi="Arial"/>
                <w:sz w:val="14"/>
                <w:szCs w:val="14"/>
                <w:color w:val="auto"/>
              </w:rPr>
              <w:t>—</w:t>
            </w:r>
          </w:p>
        </w:tc>
        <w:tc>
          <w:tcPr>
            <w:tcW w:w="1160" w:type="dxa"/>
            <w:vAlign w:val="bottom"/>
            <w:vMerge w:val="restart"/>
            <w:shd w:val="clear" w:color="auto" w:fill="F7F1EC"/>
          </w:tcPr>
          <w:p>
            <w:pPr>
              <w:jc w:val="right"/>
              <w:ind w:right="232"/>
              <w:spacing w:after="0"/>
              <w:rPr>
                <w:sz w:val="20"/>
                <w:szCs w:val="20"/>
                <w:color w:val="auto"/>
              </w:rPr>
            </w:pPr>
            <w:r>
              <w:rPr>
                <w:rFonts w:ascii="Arial" w:cs="Arial" w:eastAsia="Arial" w:hAnsi="Arial"/>
                <w:sz w:val="14"/>
                <w:szCs w:val="14"/>
                <w:color w:val="auto"/>
              </w:rPr>
              <w:t>596</w:t>
            </w:r>
          </w:p>
        </w:tc>
        <w:tc>
          <w:tcPr>
            <w:tcW w:w="920" w:type="dxa"/>
            <w:vAlign w:val="bottom"/>
            <w:vMerge w:val="restart"/>
            <w:shd w:val="clear" w:color="auto" w:fill="F7F1EC"/>
          </w:tcPr>
          <w:p>
            <w:pPr>
              <w:jc w:val="right"/>
              <w:ind w:right="33"/>
              <w:spacing w:after="0" w:line="205" w:lineRule="exact"/>
              <w:rPr>
                <w:sz w:val="20"/>
                <w:szCs w:val="20"/>
                <w:color w:val="auto"/>
              </w:rPr>
            </w:pPr>
            <w:r>
              <w:rPr>
                <w:rFonts w:ascii="Arial" w:cs="Arial" w:eastAsia="Arial" w:hAnsi="Arial"/>
                <w:sz w:val="14"/>
                <w:szCs w:val="14"/>
                <w:color w:val="auto"/>
              </w:rPr>
              <w:t>212,987</w:t>
            </w:r>
            <w:r>
              <w:rPr>
                <w:rFonts w:ascii="Arial" w:cs="Arial" w:eastAsia="Arial" w:hAnsi="Arial"/>
                <w:sz w:val="20"/>
                <w:szCs w:val="20"/>
                <w:color w:val="auto"/>
                <w:vertAlign w:val="superscript"/>
              </w:rPr>
              <w:t>(3)</w:t>
            </w:r>
          </w:p>
        </w:tc>
        <w:tc>
          <w:tcPr>
            <w:tcW w:w="0" w:type="dxa"/>
            <w:vAlign w:val="bottom"/>
          </w:tcPr>
          <w:p>
            <w:pPr>
              <w:spacing w:after="0"/>
              <w:rPr>
                <w:sz w:val="1"/>
                <w:szCs w:val="1"/>
                <w:color w:val="auto"/>
              </w:rPr>
            </w:pPr>
          </w:p>
        </w:tc>
      </w:tr>
      <w:tr>
        <w:trPr>
          <w:trHeight w:val="116"/>
        </w:trPr>
        <w:tc>
          <w:tcPr>
            <w:tcW w:w="3580" w:type="dxa"/>
            <w:vAlign w:val="bottom"/>
            <w:shd w:val="clear" w:color="auto" w:fill="F7F1EC"/>
          </w:tcPr>
          <w:p>
            <w:pPr>
              <w:spacing w:after="0"/>
              <w:rPr>
                <w:sz w:val="10"/>
                <w:szCs w:val="10"/>
                <w:color w:val="auto"/>
              </w:rPr>
            </w:pPr>
          </w:p>
        </w:tc>
        <w:tc>
          <w:tcPr>
            <w:tcW w:w="80" w:type="dxa"/>
            <w:vAlign w:val="bottom"/>
            <w:shd w:val="clear" w:color="auto" w:fill="F7F1EC"/>
          </w:tcPr>
          <w:p>
            <w:pPr>
              <w:spacing w:after="0"/>
              <w:rPr>
                <w:sz w:val="10"/>
                <w:szCs w:val="10"/>
                <w:color w:val="auto"/>
              </w:rPr>
            </w:pPr>
          </w:p>
        </w:tc>
        <w:tc>
          <w:tcPr>
            <w:tcW w:w="500" w:type="dxa"/>
            <w:vAlign w:val="bottom"/>
            <w:shd w:val="clear" w:color="auto" w:fill="F7F1EC"/>
          </w:tcPr>
          <w:p>
            <w:pPr>
              <w:spacing w:after="0"/>
              <w:rPr>
                <w:sz w:val="10"/>
                <w:szCs w:val="10"/>
                <w:color w:val="auto"/>
              </w:rPr>
            </w:pPr>
          </w:p>
        </w:tc>
        <w:tc>
          <w:tcPr>
            <w:tcW w:w="640" w:type="dxa"/>
            <w:vAlign w:val="bottom"/>
            <w:vMerge w:val="continue"/>
            <w:shd w:val="clear" w:color="auto" w:fill="F7F1EC"/>
          </w:tcPr>
          <w:p>
            <w:pPr>
              <w:spacing w:after="0"/>
              <w:rPr>
                <w:sz w:val="10"/>
                <w:szCs w:val="10"/>
                <w:color w:val="auto"/>
              </w:rPr>
            </w:pPr>
          </w:p>
        </w:tc>
        <w:tc>
          <w:tcPr>
            <w:tcW w:w="1080" w:type="dxa"/>
            <w:vAlign w:val="bottom"/>
            <w:gridSpan w:val="2"/>
            <w:vMerge w:val="continue"/>
            <w:shd w:val="clear" w:color="auto" w:fill="F7F1EC"/>
          </w:tcPr>
          <w:p>
            <w:pPr>
              <w:spacing w:after="0"/>
              <w:rPr>
                <w:sz w:val="10"/>
                <w:szCs w:val="10"/>
                <w:color w:val="auto"/>
              </w:rPr>
            </w:pPr>
          </w:p>
        </w:tc>
        <w:tc>
          <w:tcPr>
            <w:tcW w:w="1160" w:type="dxa"/>
            <w:vAlign w:val="bottom"/>
            <w:vMerge w:val="continue"/>
            <w:shd w:val="clear" w:color="auto" w:fill="F7F1EC"/>
          </w:tcPr>
          <w:p>
            <w:pPr>
              <w:spacing w:after="0"/>
              <w:rPr>
                <w:sz w:val="10"/>
                <w:szCs w:val="10"/>
                <w:color w:val="auto"/>
              </w:rPr>
            </w:pPr>
          </w:p>
        </w:tc>
        <w:tc>
          <w:tcPr>
            <w:tcW w:w="920" w:type="dxa"/>
            <w:vAlign w:val="bottom"/>
            <w:vMerge w:val="continue"/>
            <w:shd w:val="clear" w:color="auto" w:fill="F7F1EC"/>
          </w:tcPr>
          <w:p>
            <w:pPr>
              <w:spacing w:after="0"/>
              <w:rPr>
                <w:sz w:val="10"/>
                <w:szCs w:val="10"/>
                <w:color w:val="auto"/>
              </w:rPr>
            </w:pPr>
          </w:p>
        </w:tc>
        <w:tc>
          <w:tcPr>
            <w:tcW w:w="0" w:type="dxa"/>
            <w:vAlign w:val="bottom"/>
          </w:tcPr>
          <w:p>
            <w:pPr>
              <w:spacing w:after="0"/>
              <w:rPr>
                <w:sz w:val="1"/>
                <w:szCs w:val="1"/>
                <w:color w:val="auto"/>
              </w:rPr>
            </w:pPr>
          </w:p>
        </w:tc>
      </w:tr>
      <w:tr>
        <w:trPr>
          <w:trHeight w:val="217"/>
        </w:trPr>
        <w:tc>
          <w:tcPr>
            <w:tcW w:w="3580" w:type="dxa"/>
            <w:vAlign w:val="bottom"/>
            <w:shd w:val="clear" w:color="auto" w:fill="F7F1EC"/>
          </w:tcPr>
          <w:p>
            <w:pPr>
              <w:spacing w:after="0"/>
              <w:rPr>
                <w:sz w:val="18"/>
                <w:szCs w:val="18"/>
                <w:color w:val="auto"/>
              </w:rPr>
            </w:pPr>
          </w:p>
        </w:tc>
        <w:tc>
          <w:tcPr>
            <w:tcW w:w="80" w:type="dxa"/>
            <w:vAlign w:val="bottom"/>
            <w:shd w:val="clear" w:color="auto" w:fill="F7F1EC"/>
          </w:tcPr>
          <w:p>
            <w:pPr>
              <w:spacing w:after="0"/>
              <w:rPr>
                <w:sz w:val="18"/>
                <w:szCs w:val="18"/>
                <w:color w:val="auto"/>
              </w:rPr>
            </w:pPr>
          </w:p>
        </w:tc>
        <w:tc>
          <w:tcPr>
            <w:tcW w:w="500" w:type="dxa"/>
            <w:vAlign w:val="bottom"/>
            <w:shd w:val="clear" w:color="auto" w:fill="F7F1EC"/>
          </w:tcPr>
          <w:p>
            <w:pPr>
              <w:spacing w:after="0"/>
              <w:rPr>
                <w:sz w:val="18"/>
                <w:szCs w:val="18"/>
                <w:color w:val="auto"/>
              </w:rPr>
            </w:pPr>
          </w:p>
        </w:tc>
        <w:tc>
          <w:tcPr>
            <w:tcW w:w="640" w:type="dxa"/>
            <w:vAlign w:val="bottom"/>
            <w:shd w:val="clear" w:color="auto" w:fill="F7F1EC"/>
          </w:tcPr>
          <w:p>
            <w:pPr>
              <w:jc w:val="right"/>
              <w:ind w:right="152"/>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F7F1EC"/>
          </w:tcPr>
          <w:p>
            <w:pPr>
              <w:jc w:val="right"/>
              <w:ind w:right="380"/>
              <w:spacing w:after="0"/>
              <w:rPr>
                <w:sz w:val="20"/>
                <w:szCs w:val="20"/>
                <w:color w:val="auto"/>
              </w:rPr>
            </w:pPr>
            <w:r>
              <w:rPr>
                <w:rFonts w:ascii="Arial" w:cs="Arial" w:eastAsia="Arial" w:hAnsi="Arial"/>
                <w:sz w:val="14"/>
                <w:szCs w:val="14"/>
                <w:color w:val="auto"/>
              </w:rPr>
              <w:t>—</w:t>
            </w:r>
          </w:p>
        </w:tc>
        <w:tc>
          <w:tcPr>
            <w:tcW w:w="1160" w:type="dxa"/>
            <w:vAlign w:val="bottom"/>
            <w:shd w:val="clear" w:color="auto" w:fill="F7F1EC"/>
          </w:tcPr>
          <w:p>
            <w:pPr>
              <w:jc w:val="right"/>
              <w:ind w:right="232"/>
              <w:spacing w:after="0"/>
              <w:rPr>
                <w:sz w:val="20"/>
                <w:szCs w:val="20"/>
                <w:color w:val="auto"/>
              </w:rPr>
            </w:pPr>
            <w:r>
              <w:rPr>
                <w:rFonts w:ascii="Arial" w:cs="Arial" w:eastAsia="Arial" w:hAnsi="Arial"/>
                <w:sz w:val="14"/>
                <w:szCs w:val="14"/>
                <w:color w:val="auto"/>
              </w:rPr>
              <w:t>4,564</w:t>
            </w:r>
          </w:p>
        </w:tc>
        <w:tc>
          <w:tcPr>
            <w:tcW w:w="920" w:type="dxa"/>
            <w:vAlign w:val="bottom"/>
            <w:shd w:val="clear" w:color="auto" w:fill="F7F1EC"/>
          </w:tcPr>
          <w:p>
            <w:pPr>
              <w:jc w:val="right"/>
              <w:ind w:right="33"/>
              <w:spacing w:after="0" w:line="217" w:lineRule="exact"/>
              <w:rPr>
                <w:sz w:val="20"/>
                <w:szCs w:val="20"/>
                <w:color w:val="auto"/>
              </w:rPr>
            </w:pPr>
            <w:r>
              <w:rPr>
                <w:rFonts w:ascii="Arial" w:cs="Arial" w:eastAsia="Arial" w:hAnsi="Arial"/>
                <w:sz w:val="14"/>
                <w:szCs w:val="14"/>
                <w:color w:val="auto"/>
              </w:rPr>
              <w:t>1,630,991</w:t>
            </w:r>
            <w:r>
              <w:rPr>
                <w:rFonts w:ascii="Arial" w:cs="Arial" w:eastAsia="Arial" w:hAnsi="Arial"/>
                <w:sz w:val="20"/>
                <w:szCs w:val="20"/>
                <w:color w:val="auto"/>
                <w:vertAlign w:val="superscript"/>
              </w:rPr>
              <w:t>(4)</w:t>
            </w:r>
          </w:p>
        </w:tc>
        <w:tc>
          <w:tcPr>
            <w:tcW w:w="0" w:type="dxa"/>
            <w:vAlign w:val="bottom"/>
          </w:tcPr>
          <w:p>
            <w:pPr>
              <w:spacing w:after="0"/>
              <w:rPr>
                <w:sz w:val="1"/>
                <w:szCs w:val="1"/>
                <w:color w:val="auto"/>
              </w:rPr>
            </w:pPr>
          </w:p>
        </w:tc>
      </w:tr>
      <w:tr>
        <w:trPr>
          <w:trHeight w:val="268"/>
        </w:trPr>
        <w:tc>
          <w:tcPr>
            <w:tcW w:w="35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40" w:type="dxa"/>
            <w:vAlign w:val="bottom"/>
          </w:tcPr>
          <w:p>
            <w:pPr>
              <w:jc w:val="right"/>
              <w:ind w:right="152"/>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232"/>
              <w:spacing w:after="0"/>
              <w:rPr>
                <w:sz w:val="20"/>
                <w:szCs w:val="20"/>
                <w:color w:val="auto"/>
              </w:rPr>
            </w:pPr>
            <w:r>
              <w:rPr>
                <w:rFonts w:ascii="Arial" w:cs="Arial" w:eastAsia="Arial" w:hAnsi="Arial"/>
                <w:sz w:val="14"/>
                <w:szCs w:val="14"/>
                <w:color w:val="auto"/>
              </w:rPr>
              <w:t>686</w:t>
            </w:r>
          </w:p>
        </w:tc>
        <w:tc>
          <w:tcPr>
            <w:tcW w:w="920" w:type="dxa"/>
            <w:vAlign w:val="bottom"/>
          </w:tcPr>
          <w:p>
            <w:pPr>
              <w:jc w:val="right"/>
              <w:ind w:right="33"/>
              <w:spacing w:after="0"/>
              <w:rPr>
                <w:sz w:val="20"/>
                <w:szCs w:val="20"/>
                <w:color w:val="auto"/>
              </w:rPr>
            </w:pPr>
            <w:r>
              <w:rPr>
                <w:rFonts w:ascii="Arial" w:cs="Arial" w:eastAsia="Arial" w:hAnsi="Arial"/>
                <w:sz w:val="14"/>
                <w:szCs w:val="14"/>
                <w:color w:val="auto"/>
              </w:rPr>
              <w:t>245,149</w:t>
            </w:r>
            <w:r>
              <w:rPr>
                <w:rFonts w:ascii="Arial" w:cs="Arial" w:eastAsia="Arial" w:hAnsi="Arial"/>
                <w:sz w:val="20"/>
                <w:szCs w:val="20"/>
                <w:color w:val="auto"/>
                <w:vertAlign w:val="superscript"/>
              </w:rPr>
              <w:t>(3)</w:t>
            </w:r>
          </w:p>
        </w:tc>
        <w:tc>
          <w:tcPr>
            <w:tcW w:w="0" w:type="dxa"/>
            <w:vAlign w:val="bottom"/>
          </w:tcPr>
          <w:p>
            <w:pPr>
              <w:spacing w:after="0"/>
              <w:rPr>
                <w:sz w:val="1"/>
                <w:szCs w:val="1"/>
                <w:color w:val="auto"/>
              </w:rPr>
            </w:pPr>
          </w:p>
        </w:tc>
      </w:tr>
      <w:tr>
        <w:trPr>
          <w:trHeight w:val="204"/>
        </w:trPr>
        <w:tc>
          <w:tcPr>
            <w:tcW w:w="3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40" w:type="dxa"/>
            <w:vAlign w:val="bottom"/>
          </w:tcPr>
          <w:p>
            <w:pPr>
              <w:jc w:val="right"/>
              <w:ind w:right="152"/>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232"/>
              <w:spacing w:after="0"/>
              <w:rPr>
                <w:sz w:val="20"/>
                <w:szCs w:val="20"/>
                <w:color w:val="auto"/>
              </w:rPr>
            </w:pPr>
            <w:r>
              <w:rPr>
                <w:rFonts w:ascii="Arial" w:cs="Arial" w:eastAsia="Arial" w:hAnsi="Arial"/>
                <w:sz w:val="14"/>
                <w:szCs w:val="14"/>
                <w:color w:val="auto"/>
              </w:rPr>
              <w:t>509</w:t>
            </w:r>
          </w:p>
        </w:tc>
        <w:tc>
          <w:tcPr>
            <w:tcW w:w="920" w:type="dxa"/>
            <w:vAlign w:val="bottom"/>
          </w:tcPr>
          <w:p>
            <w:pPr>
              <w:jc w:val="right"/>
              <w:ind w:right="33"/>
              <w:spacing w:after="0" w:line="205" w:lineRule="exact"/>
              <w:rPr>
                <w:sz w:val="20"/>
                <w:szCs w:val="20"/>
                <w:color w:val="auto"/>
              </w:rPr>
            </w:pPr>
            <w:r>
              <w:rPr>
                <w:rFonts w:ascii="Arial" w:cs="Arial" w:eastAsia="Arial" w:hAnsi="Arial"/>
                <w:sz w:val="14"/>
                <w:szCs w:val="14"/>
                <w:color w:val="auto"/>
              </w:rPr>
              <w:t>181,896</w:t>
            </w:r>
            <w:r>
              <w:rPr>
                <w:rFonts w:ascii="Arial" w:cs="Arial" w:eastAsia="Arial" w:hAnsi="Arial"/>
                <w:sz w:val="20"/>
                <w:szCs w:val="20"/>
                <w:color w:val="auto"/>
                <w:vertAlign w:val="superscript"/>
              </w:rPr>
              <w:t>(3)</w:t>
            </w:r>
          </w:p>
        </w:tc>
        <w:tc>
          <w:tcPr>
            <w:tcW w:w="0" w:type="dxa"/>
            <w:vAlign w:val="bottom"/>
          </w:tcPr>
          <w:p>
            <w:pPr>
              <w:spacing w:after="0"/>
              <w:rPr>
                <w:sz w:val="1"/>
                <w:szCs w:val="1"/>
                <w:color w:val="auto"/>
              </w:rPr>
            </w:pPr>
          </w:p>
        </w:tc>
      </w:tr>
      <w:tr>
        <w:trPr>
          <w:trHeight w:val="204"/>
        </w:trPr>
        <w:tc>
          <w:tcPr>
            <w:tcW w:w="3580" w:type="dxa"/>
            <w:vAlign w:val="bottom"/>
          </w:tcPr>
          <w:p>
            <w:pPr>
              <w:ind w:left="60"/>
              <w:spacing w:after="0"/>
              <w:rPr>
                <w:sz w:val="20"/>
                <w:szCs w:val="20"/>
                <w:color w:val="auto"/>
              </w:rPr>
            </w:pPr>
            <w:r>
              <w:rPr>
                <w:rFonts w:ascii="Arial" w:cs="Arial" w:eastAsia="Arial" w:hAnsi="Arial"/>
                <w:sz w:val="14"/>
                <w:szCs w:val="14"/>
                <w:b w:val="1"/>
                <w:bCs w:val="1"/>
                <w:color w:val="B95827"/>
              </w:rPr>
              <w:t>Greg Gates</w:t>
            </w: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40" w:type="dxa"/>
            <w:vAlign w:val="bottom"/>
          </w:tcPr>
          <w:p>
            <w:pPr>
              <w:jc w:val="right"/>
              <w:ind w:right="152"/>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232"/>
              <w:spacing w:after="0"/>
              <w:rPr>
                <w:sz w:val="20"/>
                <w:szCs w:val="20"/>
                <w:color w:val="auto"/>
              </w:rPr>
            </w:pPr>
            <w:r>
              <w:rPr>
                <w:rFonts w:ascii="Arial" w:cs="Arial" w:eastAsia="Arial" w:hAnsi="Arial"/>
                <w:sz w:val="14"/>
                <w:szCs w:val="14"/>
                <w:color w:val="auto"/>
              </w:rPr>
              <w:t>775</w:t>
            </w:r>
          </w:p>
        </w:tc>
        <w:tc>
          <w:tcPr>
            <w:tcW w:w="920" w:type="dxa"/>
            <w:vAlign w:val="bottom"/>
          </w:tcPr>
          <w:p>
            <w:pPr>
              <w:jc w:val="right"/>
              <w:ind w:right="33"/>
              <w:spacing w:after="0" w:line="205" w:lineRule="exact"/>
              <w:rPr>
                <w:sz w:val="20"/>
                <w:szCs w:val="20"/>
                <w:color w:val="auto"/>
              </w:rPr>
            </w:pPr>
            <w:r>
              <w:rPr>
                <w:rFonts w:ascii="Arial" w:cs="Arial" w:eastAsia="Arial" w:hAnsi="Arial"/>
                <w:sz w:val="14"/>
                <w:szCs w:val="14"/>
                <w:color w:val="auto"/>
              </w:rPr>
              <w:t>276,954</w:t>
            </w:r>
            <w:r>
              <w:rPr>
                <w:rFonts w:ascii="Arial" w:cs="Arial" w:eastAsia="Arial" w:hAnsi="Arial"/>
                <w:sz w:val="20"/>
                <w:szCs w:val="20"/>
                <w:color w:val="auto"/>
                <w:vertAlign w:val="superscript"/>
              </w:rPr>
              <w:t>(3)</w:t>
            </w:r>
          </w:p>
        </w:tc>
        <w:tc>
          <w:tcPr>
            <w:tcW w:w="0" w:type="dxa"/>
            <w:vAlign w:val="bottom"/>
          </w:tcPr>
          <w:p>
            <w:pPr>
              <w:spacing w:after="0"/>
              <w:rPr>
                <w:sz w:val="1"/>
                <w:szCs w:val="1"/>
                <w:color w:val="auto"/>
              </w:rPr>
            </w:pPr>
          </w:p>
        </w:tc>
      </w:tr>
      <w:tr>
        <w:trPr>
          <w:trHeight w:val="204"/>
        </w:trPr>
        <w:tc>
          <w:tcPr>
            <w:tcW w:w="3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40" w:type="dxa"/>
            <w:vAlign w:val="bottom"/>
          </w:tcPr>
          <w:p>
            <w:pPr>
              <w:jc w:val="right"/>
              <w:ind w:right="152"/>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232"/>
              <w:spacing w:after="0"/>
              <w:rPr>
                <w:sz w:val="20"/>
                <w:szCs w:val="20"/>
                <w:color w:val="auto"/>
              </w:rPr>
            </w:pPr>
            <w:r>
              <w:rPr>
                <w:rFonts w:ascii="Arial" w:cs="Arial" w:eastAsia="Arial" w:hAnsi="Arial"/>
                <w:sz w:val="14"/>
                <w:szCs w:val="14"/>
                <w:color w:val="auto"/>
              </w:rPr>
              <w:t>511</w:t>
            </w:r>
          </w:p>
        </w:tc>
        <w:tc>
          <w:tcPr>
            <w:tcW w:w="920" w:type="dxa"/>
            <w:vAlign w:val="bottom"/>
          </w:tcPr>
          <w:p>
            <w:pPr>
              <w:jc w:val="right"/>
              <w:spacing w:after="0" w:line="205" w:lineRule="exact"/>
              <w:rPr>
                <w:sz w:val="20"/>
                <w:szCs w:val="20"/>
                <w:color w:val="auto"/>
              </w:rPr>
            </w:pPr>
            <w:r>
              <w:rPr>
                <w:rFonts w:ascii="Arial" w:cs="Arial" w:eastAsia="Arial" w:hAnsi="Arial"/>
                <w:sz w:val="14"/>
                <w:szCs w:val="14"/>
                <w:color w:val="auto"/>
              </w:rPr>
              <w:t>193,868</w:t>
            </w:r>
            <w:r>
              <w:rPr>
                <w:rFonts w:ascii="Arial" w:cs="Arial" w:eastAsia="Arial" w:hAnsi="Arial"/>
                <w:sz w:val="20"/>
                <w:szCs w:val="20"/>
                <w:color w:val="auto"/>
                <w:vertAlign w:val="superscript"/>
              </w:rPr>
              <w:t>(10)</w:t>
            </w:r>
          </w:p>
        </w:tc>
        <w:tc>
          <w:tcPr>
            <w:tcW w:w="0" w:type="dxa"/>
            <w:vAlign w:val="bottom"/>
          </w:tcPr>
          <w:p>
            <w:pPr>
              <w:spacing w:after="0"/>
              <w:rPr>
                <w:sz w:val="1"/>
                <w:szCs w:val="1"/>
                <w:color w:val="auto"/>
              </w:rPr>
            </w:pPr>
          </w:p>
        </w:tc>
      </w:tr>
      <w:tr>
        <w:trPr>
          <w:trHeight w:val="217"/>
        </w:trPr>
        <w:tc>
          <w:tcPr>
            <w:tcW w:w="3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jc w:val="right"/>
              <w:ind w:right="152"/>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232"/>
              <w:spacing w:after="0"/>
              <w:rPr>
                <w:sz w:val="20"/>
                <w:szCs w:val="20"/>
                <w:color w:val="auto"/>
              </w:rPr>
            </w:pPr>
            <w:r>
              <w:rPr>
                <w:rFonts w:ascii="Arial" w:cs="Arial" w:eastAsia="Arial" w:hAnsi="Arial"/>
                <w:sz w:val="14"/>
                <w:szCs w:val="14"/>
                <w:color w:val="auto"/>
              </w:rPr>
              <w:t>6,170</w:t>
            </w:r>
          </w:p>
        </w:tc>
        <w:tc>
          <w:tcPr>
            <w:tcW w:w="920" w:type="dxa"/>
            <w:vAlign w:val="bottom"/>
          </w:tcPr>
          <w:p>
            <w:pPr>
              <w:jc w:val="right"/>
              <w:ind w:right="33"/>
              <w:spacing w:after="0" w:line="217" w:lineRule="exact"/>
              <w:rPr>
                <w:sz w:val="20"/>
                <w:szCs w:val="20"/>
                <w:color w:val="auto"/>
              </w:rPr>
            </w:pPr>
            <w:r>
              <w:rPr>
                <w:rFonts w:ascii="Arial" w:cs="Arial" w:eastAsia="Arial" w:hAnsi="Arial"/>
                <w:sz w:val="14"/>
                <w:szCs w:val="14"/>
                <w:color w:val="auto"/>
              </w:rPr>
              <w:t>2,204,911</w:t>
            </w:r>
            <w:r>
              <w:rPr>
                <w:rFonts w:ascii="Arial" w:cs="Arial" w:eastAsia="Arial" w:hAnsi="Arial"/>
                <w:sz w:val="20"/>
                <w:szCs w:val="20"/>
                <w:color w:val="auto"/>
                <w:vertAlign w:val="superscript"/>
              </w:rPr>
              <w:t>(4)</w:t>
            </w:r>
          </w:p>
        </w:tc>
        <w:tc>
          <w:tcPr>
            <w:tcW w:w="0" w:type="dxa"/>
            <w:vAlign w:val="bottom"/>
          </w:tcPr>
          <w:p>
            <w:pPr>
              <w:spacing w:after="0"/>
              <w:rPr>
                <w:sz w:val="1"/>
                <w:szCs w:val="1"/>
                <w:color w:val="auto"/>
              </w:rPr>
            </w:pPr>
          </w:p>
        </w:tc>
      </w:tr>
      <w:tr>
        <w:trPr>
          <w:trHeight w:val="268"/>
        </w:trPr>
        <w:tc>
          <w:tcPr>
            <w:tcW w:w="3580" w:type="dxa"/>
            <w:vAlign w:val="bottom"/>
            <w:shd w:val="clear" w:color="auto" w:fill="F7F1EC"/>
          </w:tcPr>
          <w:p>
            <w:pPr>
              <w:spacing w:after="0"/>
              <w:rPr>
                <w:sz w:val="23"/>
                <w:szCs w:val="23"/>
                <w:color w:val="auto"/>
              </w:rPr>
            </w:pPr>
          </w:p>
        </w:tc>
        <w:tc>
          <w:tcPr>
            <w:tcW w:w="80" w:type="dxa"/>
            <w:vAlign w:val="bottom"/>
            <w:shd w:val="clear" w:color="auto" w:fill="F7F1EC"/>
          </w:tcPr>
          <w:p>
            <w:pPr>
              <w:spacing w:after="0"/>
              <w:rPr>
                <w:sz w:val="23"/>
                <w:szCs w:val="23"/>
                <w:color w:val="auto"/>
              </w:rPr>
            </w:pPr>
          </w:p>
        </w:tc>
        <w:tc>
          <w:tcPr>
            <w:tcW w:w="500" w:type="dxa"/>
            <w:vAlign w:val="bottom"/>
            <w:shd w:val="clear" w:color="auto" w:fill="F7F1EC"/>
          </w:tcPr>
          <w:p>
            <w:pPr>
              <w:spacing w:after="0"/>
              <w:rPr>
                <w:sz w:val="23"/>
                <w:szCs w:val="23"/>
                <w:color w:val="auto"/>
              </w:rPr>
            </w:pPr>
          </w:p>
        </w:tc>
        <w:tc>
          <w:tcPr>
            <w:tcW w:w="640" w:type="dxa"/>
            <w:vAlign w:val="bottom"/>
            <w:shd w:val="clear" w:color="auto" w:fill="F7F1EC"/>
          </w:tcPr>
          <w:p>
            <w:pPr>
              <w:jc w:val="right"/>
              <w:ind w:right="152"/>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F7F1EC"/>
          </w:tcPr>
          <w:p>
            <w:pPr>
              <w:jc w:val="right"/>
              <w:ind w:right="380"/>
              <w:spacing w:after="0"/>
              <w:rPr>
                <w:sz w:val="20"/>
                <w:szCs w:val="20"/>
                <w:color w:val="auto"/>
              </w:rPr>
            </w:pPr>
            <w:r>
              <w:rPr>
                <w:rFonts w:ascii="Arial" w:cs="Arial" w:eastAsia="Arial" w:hAnsi="Arial"/>
                <w:sz w:val="14"/>
                <w:szCs w:val="14"/>
                <w:color w:val="auto"/>
              </w:rPr>
              <w:t>—</w:t>
            </w:r>
          </w:p>
        </w:tc>
        <w:tc>
          <w:tcPr>
            <w:tcW w:w="1160" w:type="dxa"/>
            <w:vAlign w:val="bottom"/>
            <w:shd w:val="clear" w:color="auto" w:fill="F7F1EC"/>
          </w:tcPr>
          <w:p>
            <w:pPr>
              <w:jc w:val="right"/>
              <w:ind w:right="232"/>
              <w:spacing w:after="0"/>
              <w:rPr>
                <w:sz w:val="20"/>
                <w:szCs w:val="20"/>
                <w:color w:val="auto"/>
              </w:rPr>
            </w:pPr>
            <w:r>
              <w:rPr>
                <w:rFonts w:ascii="Arial" w:cs="Arial" w:eastAsia="Arial" w:hAnsi="Arial"/>
                <w:sz w:val="14"/>
                <w:szCs w:val="14"/>
                <w:color w:val="auto"/>
              </w:rPr>
              <w:t>298</w:t>
            </w:r>
          </w:p>
        </w:tc>
        <w:tc>
          <w:tcPr>
            <w:tcW w:w="920" w:type="dxa"/>
            <w:vAlign w:val="bottom"/>
            <w:shd w:val="clear" w:color="auto" w:fill="F7F1EC"/>
          </w:tcPr>
          <w:p>
            <w:pPr>
              <w:jc w:val="right"/>
              <w:ind w:right="33"/>
              <w:spacing w:after="0"/>
              <w:rPr>
                <w:sz w:val="20"/>
                <w:szCs w:val="20"/>
                <w:color w:val="auto"/>
              </w:rPr>
            </w:pPr>
            <w:r>
              <w:rPr>
                <w:rFonts w:ascii="Arial" w:cs="Arial" w:eastAsia="Arial" w:hAnsi="Arial"/>
                <w:sz w:val="14"/>
                <w:szCs w:val="14"/>
                <w:color w:val="auto"/>
              </w:rPr>
              <w:t>106,493</w:t>
            </w:r>
            <w:r>
              <w:rPr>
                <w:rFonts w:ascii="Arial" w:cs="Arial" w:eastAsia="Arial" w:hAnsi="Arial"/>
                <w:sz w:val="20"/>
                <w:szCs w:val="20"/>
                <w:color w:val="auto"/>
                <w:vertAlign w:val="superscript"/>
              </w:rPr>
              <w:t>(3)</w:t>
            </w:r>
          </w:p>
        </w:tc>
        <w:tc>
          <w:tcPr>
            <w:tcW w:w="0" w:type="dxa"/>
            <w:vAlign w:val="bottom"/>
          </w:tcPr>
          <w:p>
            <w:pPr>
              <w:spacing w:after="0"/>
              <w:rPr>
                <w:sz w:val="1"/>
                <w:szCs w:val="1"/>
                <w:color w:val="auto"/>
              </w:rPr>
            </w:pPr>
          </w:p>
        </w:tc>
      </w:tr>
      <w:tr>
        <w:trPr>
          <w:trHeight w:val="204"/>
        </w:trPr>
        <w:tc>
          <w:tcPr>
            <w:tcW w:w="3580" w:type="dxa"/>
            <w:vAlign w:val="bottom"/>
            <w:vMerge w:val="restart"/>
            <w:shd w:val="clear" w:color="auto" w:fill="F7F1EC"/>
          </w:tcPr>
          <w:p>
            <w:pPr>
              <w:ind w:left="60"/>
              <w:spacing w:after="0"/>
              <w:rPr>
                <w:sz w:val="20"/>
                <w:szCs w:val="20"/>
                <w:color w:val="auto"/>
              </w:rPr>
            </w:pPr>
            <w:r>
              <w:rPr>
                <w:rFonts w:ascii="Arial" w:cs="Arial" w:eastAsia="Arial" w:hAnsi="Arial"/>
                <w:sz w:val="14"/>
                <w:szCs w:val="14"/>
                <w:b w:val="1"/>
                <w:bCs w:val="1"/>
                <w:color w:val="B95827"/>
              </w:rPr>
              <w:t>Aneri Jambusaria</w:t>
            </w:r>
          </w:p>
        </w:tc>
        <w:tc>
          <w:tcPr>
            <w:tcW w:w="80" w:type="dxa"/>
            <w:vAlign w:val="bottom"/>
            <w:shd w:val="clear" w:color="auto" w:fill="F7F1EC"/>
          </w:tcPr>
          <w:p>
            <w:pPr>
              <w:spacing w:after="0"/>
              <w:rPr>
                <w:sz w:val="17"/>
                <w:szCs w:val="17"/>
                <w:color w:val="auto"/>
              </w:rPr>
            </w:pPr>
          </w:p>
        </w:tc>
        <w:tc>
          <w:tcPr>
            <w:tcW w:w="500" w:type="dxa"/>
            <w:vAlign w:val="bottom"/>
            <w:shd w:val="clear" w:color="auto" w:fill="F7F1EC"/>
          </w:tcPr>
          <w:p>
            <w:pPr>
              <w:spacing w:after="0"/>
              <w:rPr>
                <w:sz w:val="17"/>
                <w:szCs w:val="17"/>
                <w:color w:val="auto"/>
              </w:rPr>
            </w:pPr>
          </w:p>
        </w:tc>
        <w:tc>
          <w:tcPr>
            <w:tcW w:w="640" w:type="dxa"/>
            <w:vAlign w:val="bottom"/>
            <w:shd w:val="clear" w:color="auto" w:fill="F7F1EC"/>
          </w:tcPr>
          <w:p>
            <w:pPr>
              <w:jc w:val="right"/>
              <w:ind w:right="152"/>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F7F1EC"/>
          </w:tcPr>
          <w:p>
            <w:pPr>
              <w:jc w:val="right"/>
              <w:ind w:right="380"/>
              <w:spacing w:after="0"/>
              <w:rPr>
                <w:sz w:val="20"/>
                <w:szCs w:val="20"/>
                <w:color w:val="auto"/>
              </w:rPr>
            </w:pPr>
            <w:r>
              <w:rPr>
                <w:rFonts w:ascii="Arial" w:cs="Arial" w:eastAsia="Arial" w:hAnsi="Arial"/>
                <w:sz w:val="14"/>
                <w:szCs w:val="14"/>
                <w:color w:val="auto"/>
              </w:rPr>
              <w:t>—</w:t>
            </w:r>
          </w:p>
        </w:tc>
        <w:tc>
          <w:tcPr>
            <w:tcW w:w="1160" w:type="dxa"/>
            <w:vAlign w:val="bottom"/>
            <w:shd w:val="clear" w:color="auto" w:fill="F7F1EC"/>
          </w:tcPr>
          <w:p>
            <w:pPr>
              <w:jc w:val="right"/>
              <w:ind w:right="232"/>
              <w:spacing w:after="0"/>
              <w:rPr>
                <w:sz w:val="20"/>
                <w:szCs w:val="20"/>
                <w:color w:val="auto"/>
              </w:rPr>
            </w:pPr>
            <w:r>
              <w:rPr>
                <w:rFonts w:ascii="Arial" w:cs="Arial" w:eastAsia="Arial" w:hAnsi="Arial"/>
                <w:sz w:val="14"/>
                <w:szCs w:val="14"/>
                <w:color w:val="auto"/>
              </w:rPr>
              <w:t>259</w:t>
            </w:r>
          </w:p>
        </w:tc>
        <w:tc>
          <w:tcPr>
            <w:tcW w:w="920" w:type="dxa"/>
            <w:vAlign w:val="bottom"/>
            <w:shd w:val="clear" w:color="auto" w:fill="F7F1EC"/>
          </w:tcPr>
          <w:p>
            <w:pPr>
              <w:jc w:val="right"/>
              <w:ind w:right="33"/>
              <w:spacing w:after="0" w:line="205" w:lineRule="exact"/>
              <w:rPr>
                <w:sz w:val="20"/>
                <w:szCs w:val="20"/>
                <w:color w:val="auto"/>
              </w:rPr>
            </w:pPr>
            <w:r>
              <w:rPr>
                <w:rFonts w:ascii="Arial" w:cs="Arial" w:eastAsia="Arial" w:hAnsi="Arial"/>
                <w:sz w:val="14"/>
                <w:szCs w:val="14"/>
                <w:color w:val="auto"/>
              </w:rPr>
              <w:t>92,556</w:t>
            </w:r>
            <w:r>
              <w:rPr>
                <w:rFonts w:ascii="Arial" w:cs="Arial" w:eastAsia="Arial" w:hAnsi="Arial"/>
                <w:sz w:val="20"/>
                <w:szCs w:val="20"/>
                <w:color w:val="auto"/>
                <w:vertAlign w:val="superscript"/>
              </w:rPr>
              <w:t>(3)</w:t>
            </w:r>
          </w:p>
        </w:tc>
        <w:tc>
          <w:tcPr>
            <w:tcW w:w="0" w:type="dxa"/>
            <w:vAlign w:val="bottom"/>
          </w:tcPr>
          <w:p>
            <w:pPr>
              <w:spacing w:after="0"/>
              <w:rPr>
                <w:sz w:val="1"/>
                <w:szCs w:val="1"/>
                <w:color w:val="auto"/>
              </w:rPr>
            </w:pPr>
          </w:p>
        </w:tc>
      </w:tr>
      <w:tr>
        <w:trPr>
          <w:trHeight w:val="89"/>
        </w:trPr>
        <w:tc>
          <w:tcPr>
            <w:tcW w:w="3580" w:type="dxa"/>
            <w:vAlign w:val="bottom"/>
            <w:vMerge w:val="continue"/>
            <w:shd w:val="clear" w:color="auto" w:fill="F7F1EC"/>
          </w:tcPr>
          <w:p>
            <w:pPr>
              <w:spacing w:after="0"/>
              <w:rPr>
                <w:sz w:val="7"/>
                <w:szCs w:val="7"/>
                <w:color w:val="auto"/>
              </w:rPr>
            </w:pPr>
          </w:p>
        </w:tc>
        <w:tc>
          <w:tcPr>
            <w:tcW w:w="80" w:type="dxa"/>
            <w:vAlign w:val="bottom"/>
            <w:shd w:val="clear" w:color="auto" w:fill="F7F1EC"/>
          </w:tcPr>
          <w:p>
            <w:pPr>
              <w:spacing w:after="0"/>
              <w:rPr>
                <w:sz w:val="7"/>
                <w:szCs w:val="7"/>
                <w:color w:val="auto"/>
              </w:rPr>
            </w:pPr>
          </w:p>
        </w:tc>
        <w:tc>
          <w:tcPr>
            <w:tcW w:w="500" w:type="dxa"/>
            <w:vAlign w:val="bottom"/>
            <w:shd w:val="clear" w:color="auto" w:fill="F7F1EC"/>
          </w:tcPr>
          <w:p>
            <w:pPr>
              <w:spacing w:after="0"/>
              <w:rPr>
                <w:sz w:val="7"/>
                <w:szCs w:val="7"/>
                <w:color w:val="auto"/>
              </w:rPr>
            </w:pPr>
          </w:p>
        </w:tc>
        <w:tc>
          <w:tcPr>
            <w:tcW w:w="640" w:type="dxa"/>
            <w:vAlign w:val="bottom"/>
            <w:vMerge w:val="restart"/>
            <w:shd w:val="clear" w:color="auto" w:fill="F7F1EC"/>
          </w:tcPr>
          <w:p>
            <w:pPr>
              <w:jc w:val="right"/>
              <w:ind w:right="152"/>
              <w:spacing w:after="0"/>
              <w:rPr>
                <w:sz w:val="20"/>
                <w:szCs w:val="20"/>
                <w:color w:val="auto"/>
              </w:rPr>
            </w:pPr>
            <w:r>
              <w:rPr>
                <w:rFonts w:ascii="Arial" w:cs="Arial" w:eastAsia="Arial" w:hAnsi="Arial"/>
                <w:sz w:val="14"/>
                <w:szCs w:val="14"/>
                <w:color w:val="auto"/>
              </w:rPr>
              <w:t>—</w:t>
            </w:r>
          </w:p>
        </w:tc>
        <w:tc>
          <w:tcPr>
            <w:tcW w:w="1080" w:type="dxa"/>
            <w:vAlign w:val="bottom"/>
            <w:gridSpan w:val="2"/>
            <w:vMerge w:val="restart"/>
            <w:shd w:val="clear" w:color="auto" w:fill="F7F1EC"/>
          </w:tcPr>
          <w:p>
            <w:pPr>
              <w:jc w:val="right"/>
              <w:ind w:right="380"/>
              <w:spacing w:after="0"/>
              <w:rPr>
                <w:sz w:val="20"/>
                <w:szCs w:val="20"/>
                <w:color w:val="auto"/>
              </w:rPr>
            </w:pPr>
            <w:r>
              <w:rPr>
                <w:rFonts w:ascii="Arial" w:cs="Arial" w:eastAsia="Arial" w:hAnsi="Arial"/>
                <w:sz w:val="14"/>
                <w:szCs w:val="14"/>
                <w:color w:val="auto"/>
              </w:rPr>
              <w:t>—</w:t>
            </w:r>
          </w:p>
        </w:tc>
        <w:tc>
          <w:tcPr>
            <w:tcW w:w="1160" w:type="dxa"/>
            <w:vAlign w:val="bottom"/>
            <w:vMerge w:val="restart"/>
            <w:shd w:val="clear" w:color="auto" w:fill="F7F1EC"/>
          </w:tcPr>
          <w:p>
            <w:pPr>
              <w:jc w:val="right"/>
              <w:ind w:right="232"/>
              <w:spacing w:after="0"/>
              <w:rPr>
                <w:sz w:val="20"/>
                <w:szCs w:val="20"/>
                <w:color w:val="auto"/>
              </w:rPr>
            </w:pPr>
            <w:r>
              <w:rPr>
                <w:rFonts w:ascii="Arial" w:cs="Arial" w:eastAsia="Arial" w:hAnsi="Arial"/>
                <w:sz w:val="14"/>
                <w:szCs w:val="14"/>
                <w:color w:val="auto"/>
              </w:rPr>
              <w:t>379</w:t>
            </w:r>
          </w:p>
        </w:tc>
        <w:tc>
          <w:tcPr>
            <w:tcW w:w="920" w:type="dxa"/>
            <w:vAlign w:val="bottom"/>
            <w:vMerge w:val="restart"/>
            <w:shd w:val="clear" w:color="auto" w:fill="F7F1EC"/>
          </w:tcPr>
          <w:p>
            <w:pPr>
              <w:jc w:val="right"/>
              <w:ind w:right="33"/>
              <w:spacing w:after="0" w:line="205" w:lineRule="exact"/>
              <w:rPr>
                <w:sz w:val="20"/>
                <w:szCs w:val="20"/>
                <w:color w:val="auto"/>
              </w:rPr>
            </w:pPr>
            <w:r>
              <w:rPr>
                <w:rFonts w:ascii="Arial" w:cs="Arial" w:eastAsia="Arial" w:hAnsi="Arial"/>
                <w:sz w:val="14"/>
                <w:szCs w:val="14"/>
                <w:color w:val="auto"/>
              </w:rPr>
              <w:t>135,439</w:t>
            </w:r>
            <w:r>
              <w:rPr>
                <w:rFonts w:ascii="Arial" w:cs="Arial" w:eastAsia="Arial" w:hAnsi="Arial"/>
                <w:sz w:val="20"/>
                <w:szCs w:val="20"/>
                <w:color w:val="auto"/>
                <w:vertAlign w:val="superscript"/>
              </w:rPr>
              <w:t>(3)</w:t>
            </w:r>
          </w:p>
        </w:tc>
        <w:tc>
          <w:tcPr>
            <w:tcW w:w="0" w:type="dxa"/>
            <w:vAlign w:val="bottom"/>
          </w:tcPr>
          <w:p>
            <w:pPr>
              <w:spacing w:after="0"/>
              <w:rPr>
                <w:sz w:val="1"/>
                <w:szCs w:val="1"/>
                <w:color w:val="auto"/>
              </w:rPr>
            </w:pPr>
          </w:p>
        </w:tc>
      </w:tr>
      <w:tr>
        <w:trPr>
          <w:trHeight w:val="116"/>
        </w:trPr>
        <w:tc>
          <w:tcPr>
            <w:tcW w:w="3580" w:type="dxa"/>
            <w:vAlign w:val="bottom"/>
            <w:shd w:val="clear" w:color="auto" w:fill="F7F1EC"/>
          </w:tcPr>
          <w:p>
            <w:pPr>
              <w:spacing w:after="0"/>
              <w:rPr>
                <w:sz w:val="10"/>
                <w:szCs w:val="10"/>
                <w:color w:val="auto"/>
              </w:rPr>
            </w:pPr>
          </w:p>
        </w:tc>
        <w:tc>
          <w:tcPr>
            <w:tcW w:w="80" w:type="dxa"/>
            <w:vAlign w:val="bottom"/>
            <w:shd w:val="clear" w:color="auto" w:fill="F7F1EC"/>
          </w:tcPr>
          <w:p>
            <w:pPr>
              <w:spacing w:after="0"/>
              <w:rPr>
                <w:sz w:val="10"/>
                <w:szCs w:val="10"/>
                <w:color w:val="auto"/>
              </w:rPr>
            </w:pPr>
          </w:p>
        </w:tc>
        <w:tc>
          <w:tcPr>
            <w:tcW w:w="500" w:type="dxa"/>
            <w:vAlign w:val="bottom"/>
            <w:shd w:val="clear" w:color="auto" w:fill="F7F1EC"/>
          </w:tcPr>
          <w:p>
            <w:pPr>
              <w:spacing w:after="0"/>
              <w:rPr>
                <w:sz w:val="10"/>
                <w:szCs w:val="10"/>
                <w:color w:val="auto"/>
              </w:rPr>
            </w:pPr>
          </w:p>
        </w:tc>
        <w:tc>
          <w:tcPr>
            <w:tcW w:w="640" w:type="dxa"/>
            <w:vAlign w:val="bottom"/>
            <w:vMerge w:val="continue"/>
            <w:shd w:val="clear" w:color="auto" w:fill="F7F1EC"/>
          </w:tcPr>
          <w:p>
            <w:pPr>
              <w:spacing w:after="0"/>
              <w:rPr>
                <w:sz w:val="10"/>
                <w:szCs w:val="10"/>
                <w:color w:val="auto"/>
              </w:rPr>
            </w:pPr>
          </w:p>
        </w:tc>
        <w:tc>
          <w:tcPr>
            <w:tcW w:w="1080" w:type="dxa"/>
            <w:vAlign w:val="bottom"/>
            <w:gridSpan w:val="2"/>
            <w:vMerge w:val="continue"/>
            <w:shd w:val="clear" w:color="auto" w:fill="F7F1EC"/>
          </w:tcPr>
          <w:p>
            <w:pPr>
              <w:spacing w:after="0"/>
              <w:rPr>
                <w:sz w:val="10"/>
                <w:szCs w:val="10"/>
                <w:color w:val="auto"/>
              </w:rPr>
            </w:pPr>
          </w:p>
        </w:tc>
        <w:tc>
          <w:tcPr>
            <w:tcW w:w="1160" w:type="dxa"/>
            <w:vAlign w:val="bottom"/>
            <w:vMerge w:val="continue"/>
            <w:shd w:val="clear" w:color="auto" w:fill="F7F1EC"/>
          </w:tcPr>
          <w:p>
            <w:pPr>
              <w:spacing w:after="0"/>
              <w:rPr>
                <w:sz w:val="10"/>
                <w:szCs w:val="10"/>
                <w:color w:val="auto"/>
              </w:rPr>
            </w:pPr>
          </w:p>
        </w:tc>
        <w:tc>
          <w:tcPr>
            <w:tcW w:w="920" w:type="dxa"/>
            <w:vAlign w:val="bottom"/>
            <w:vMerge w:val="continue"/>
            <w:shd w:val="clear" w:color="auto" w:fill="F7F1EC"/>
          </w:tcPr>
          <w:p>
            <w:pPr>
              <w:spacing w:after="0"/>
              <w:rPr>
                <w:sz w:val="10"/>
                <w:szCs w:val="10"/>
                <w:color w:val="auto"/>
              </w:rPr>
            </w:pPr>
          </w:p>
        </w:tc>
        <w:tc>
          <w:tcPr>
            <w:tcW w:w="0" w:type="dxa"/>
            <w:vAlign w:val="bottom"/>
          </w:tcPr>
          <w:p>
            <w:pPr>
              <w:spacing w:after="0"/>
              <w:rPr>
                <w:sz w:val="1"/>
                <w:szCs w:val="1"/>
                <w:color w:val="auto"/>
              </w:rPr>
            </w:pPr>
          </w:p>
        </w:tc>
      </w:tr>
      <w:tr>
        <w:trPr>
          <w:trHeight w:val="217"/>
        </w:trPr>
        <w:tc>
          <w:tcPr>
            <w:tcW w:w="3580" w:type="dxa"/>
            <w:vAlign w:val="bottom"/>
            <w:shd w:val="clear" w:color="auto" w:fill="F7F1EC"/>
          </w:tcPr>
          <w:p>
            <w:pPr>
              <w:spacing w:after="0"/>
              <w:rPr>
                <w:sz w:val="18"/>
                <w:szCs w:val="18"/>
                <w:color w:val="auto"/>
              </w:rPr>
            </w:pPr>
          </w:p>
        </w:tc>
        <w:tc>
          <w:tcPr>
            <w:tcW w:w="80" w:type="dxa"/>
            <w:vAlign w:val="bottom"/>
            <w:shd w:val="clear" w:color="auto" w:fill="F7F1EC"/>
          </w:tcPr>
          <w:p>
            <w:pPr>
              <w:spacing w:after="0"/>
              <w:rPr>
                <w:sz w:val="18"/>
                <w:szCs w:val="18"/>
                <w:color w:val="auto"/>
              </w:rPr>
            </w:pPr>
          </w:p>
        </w:tc>
        <w:tc>
          <w:tcPr>
            <w:tcW w:w="500" w:type="dxa"/>
            <w:vAlign w:val="bottom"/>
            <w:shd w:val="clear" w:color="auto" w:fill="F7F1EC"/>
          </w:tcPr>
          <w:p>
            <w:pPr>
              <w:spacing w:after="0"/>
              <w:rPr>
                <w:sz w:val="18"/>
                <w:szCs w:val="18"/>
                <w:color w:val="auto"/>
              </w:rPr>
            </w:pPr>
          </w:p>
        </w:tc>
        <w:tc>
          <w:tcPr>
            <w:tcW w:w="640" w:type="dxa"/>
            <w:vAlign w:val="bottom"/>
            <w:shd w:val="clear" w:color="auto" w:fill="F7F1EC"/>
          </w:tcPr>
          <w:p>
            <w:pPr>
              <w:jc w:val="right"/>
              <w:ind w:right="152"/>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F7F1EC"/>
          </w:tcPr>
          <w:p>
            <w:pPr>
              <w:jc w:val="right"/>
              <w:ind w:right="380"/>
              <w:spacing w:after="0"/>
              <w:rPr>
                <w:sz w:val="20"/>
                <w:szCs w:val="20"/>
                <w:color w:val="auto"/>
              </w:rPr>
            </w:pPr>
            <w:r>
              <w:rPr>
                <w:rFonts w:ascii="Arial" w:cs="Arial" w:eastAsia="Arial" w:hAnsi="Arial"/>
                <w:sz w:val="14"/>
                <w:szCs w:val="14"/>
                <w:color w:val="auto"/>
              </w:rPr>
              <w:t>—</w:t>
            </w:r>
          </w:p>
        </w:tc>
        <w:tc>
          <w:tcPr>
            <w:tcW w:w="1160" w:type="dxa"/>
            <w:vAlign w:val="bottom"/>
            <w:shd w:val="clear" w:color="auto" w:fill="F7F1EC"/>
          </w:tcPr>
          <w:p>
            <w:pPr>
              <w:jc w:val="right"/>
              <w:ind w:right="232"/>
              <w:spacing w:after="0"/>
              <w:rPr>
                <w:sz w:val="20"/>
                <w:szCs w:val="20"/>
                <w:color w:val="auto"/>
              </w:rPr>
            </w:pPr>
            <w:r>
              <w:rPr>
                <w:rFonts w:ascii="Arial" w:cs="Arial" w:eastAsia="Arial" w:hAnsi="Arial"/>
                <w:sz w:val="14"/>
                <w:szCs w:val="14"/>
                <w:color w:val="auto"/>
              </w:rPr>
              <w:t>1,788</w:t>
            </w:r>
          </w:p>
        </w:tc>
        <w:tc>
          <w:tcPr>
            <w:tcW w:w="920" w:type="dxa"/>
            <w:vAlign w:val="bottom"/>
            <w:shd w:val="clear" w:color="auto" w:fill="F7F1EC"/>
          </w:tcPr>
          <w:p>
            <w:pPr>
              <w:jc w:val="right"/>
              <w:ind w:right="33"/>
              <w:spacing w:after="0" w:line="217" w:lineRule="exact"/>
              <w:rPr>
                <w:sz w:val="20"/>
                <w:szCs w:val="20"/>
                <w:color w:val="auto"/>
              </w:rPr>
            </w:pPr>
            <w:r>
              <w:rPr>
                <w:rFonts w:ascii="Arial" w:cs="Arial" w:eastAsia="Arial" w:hAnsi="Arial"/>
                <w:sz w:val="14"/>
                <w:szCs w:val="14"/>
                <w:color w:val="auto"/>
              </w:rPr>
              <w:t>638,960</w:t>
            </w:r>
            <w:r>
              <w:rPr>
                <w:rFonts w:ascii="Arial" w:cs="Arial" w:eastAsia="Arial" w:hAnsi="Arial"/>
                <w:sz w:val="20"/>
                <w:szCs w:val="20"/>
                <w:color w:val="auto"/>
                <w:vertAlign w:val="superscript"/>
              </w:rPr>
              <w:t>(4)</w:t>
            </w:r>
          </w:p>
        </w:tc>
        <w:tc>
          <w:tcPr>
            <w:tcW w:w="0" w:type="dxa"/>
            <w:vAlign w:val="bottom"/>
          </w:tcPr>
          <w:p>
            <w:pPr>
              <w:spacing w:after="0"/>
              <w:rPr>
                <w:sz w:val="1"/>
                <w:szCs w:val="1"/>
                <w:color w:val="auto"/>
              </w:rPr>
            </w:pPr>
          </w:p>
        </w:tc>
      </w:tr>
    </w:tbl>
    <w:p>
      <w:pPr>
        <w:spacing w:after="0" w:line="97" w:lineRule="exact"/>
        <w:rPr>
          <w:sz w:val="20"/>
          <w:szCs w:val="20"/>
          <w:color w:val="auto"/>
        </w:rPr>
      </w:pPr>
    </w:p>
    <w:p>
      <w:pPr>
        <w:ind w:left="240" w:right="100" w:hanging="233"/>
        <w:spacing w:after="0" w:line="256" w:lineRule="auto"/>
        <w:tabs>
          <w:tab w:leader="none" w:pos="240" w:val="left"/>
        </w:tabs>
        <w:numPr>
          <w:ilvl w:val="0"/>
          <w:numId w:val="100"/>
        </w:numPr>
        <w:rPr>
          <w:rFonts w:ascii="Arial" w:cs="Arial" w:eastAsia="Arial" w:hAnsi="Arial"/>
          <w:sz w:val="12"/>
          <w:szCs w:val="12"/>
          <w:color w:val="auto"/>
        </w:rPr>
      </w:pPr>
      <w:r>
        <w:rPr>
          <w:rFonts w:ascii="Arial" w:cs="Arial" w:eastAsia="Arial" w:hAnsi="Arial"/>
          <w:sz w:val="12"/>
          <w:szCs w:val="12"/>
          <w:color w:val="auto"/>
        </w:rPr>
        <w:t>For purposes of calculating the value realized on the exercise of option awards, the market price of our Common Stock at the time the option was exercised was used.</w:t>
      </w:r>
    </w:p>
    <w:p>
      <w:pPr>
        <w:spacing w:after="0" w:line="24" w:lineRule="exact"/>
        <w:rPr>
          <w:rFonts w:ascii="Arial" w:cs="Arial" w:eastAsia="Arial" w:hAnsi="Arial"/>
          <w:sz w:val="12"/>
          <w:szCs w:val="12"/>
          <w:color w:val="auto"/>
        </w:rPr>
      </w:pPr>
    </w:p>
    <w:p>
      <w:pPr>
        <w:ind w:left="240" w:right="300" w:hanging="233"/>
        <w:spacing w:after="0" w:line="256" w:lineRule="auto"/>
        <w:tabs>
          <w:tab w:leader="none" w:pos="240" w:val="left"/>
        </w:tabs>
        <w:numPr>
          <w:ilvl w:val="0"/>
          <w:numId w:val="100"/>
        </w:numPr>
        <w:rPr>
          <w:rFonts w:ascii="Arial" w:cs="Arial" w:eastAsia="Arial" w:hAnsi="Arial"/>
          <w:sz w:val="12"/>
          <w:szCs w:val="12"/>
          <w:color w:val="auto"/>
        </w:rPr>
      </w:pPr>
      <w:r>
        <w:rPr>
          <w:rFonts w:ascii="Arial" w:cs="Arial" w:eastAsia="Arial" w:hAnsi="Arial"/>
          <w:sz w:val="12"/>
          <w:szCs w:val="12"/>
          <w:color w:val="auto"/>
        </w:rPr>
        <w:t>For purposes of calculating the value realized on the vesting of stock awards, the closing price of our Common Stock on the vesting date was used.</w:t>
      </w:r>
    </w:p>
    <w:p>
      <w:pPr>
        <w:spacing w:after="0" w:line="24" w:lineRule="exact"/>
        <w:rPr>
          <w:rFonts w:ascii="Arial" w:cs="Arial" w:eastAsia="Arial" w:hAnsi="Arial"/>
          <w:sz w:val="12"/>
          <w:szCs w:val="12"/>
          <w:color w:val="auto"/>
        </w:rPr>
      </w:pPr>
    </w:p>
    <w:p>
      <w:pPr>
        <w:ind w:left="240" w:hanging="233"/>
        <w:spacing w:after="0"/>
        <w:tabs>
          <w:tab w:leader="none" w:pos="240" w:val="left"/>
        </w:tabs>
        <w:numPr>
          <w:ilvl w:val="0"/>
          <w:numId w:val="100"/>
        </w:numPr>
        <w:rPr>
          <w:rFonts w:ascii="Arial" w:cs="Arial" w:eastAsia="Arial" w:hAnsi="Arial"/>
          <w:sz w:val="12"/>
          <w:szCs w:val="12"/>
          <w:color w:val="auto"/>
        </w:rPr>
      </w:pPr>
      <w:r>
        <w:rPr>
          <w:rFonts w:ascii="Arial" w:cs="Arial" w:eastAsia="Arial" w:hAnsi="Arial"/>
          <w:sz w:val="12"/>
          <w:szCs w:val="12"/>
          <w:color w:val="auto"/>
        </w:rPr>
        <w:t>These RSUs vested on February 25, 2025, on which date the closing price of our Common Stock was $357.36 per share.</w:t>
      </w:r>
    </w:p>
    <w:p>
      <w:pPr>
        <w:spacing w:after="0" w:line="53" w:lineRule="exact"/>
        <w:rPr>
          <w:rFonts w:ascii="Arial" w:cs="Arial" w:eastAsia="Arial" w:hAnsi="Arial"/>
          <w:sz w:val="12"/>
          <w:szCs w:val="12"/>
          <w:color w:val="auto"/>
        </w:rPr>
      </w:pPr>
    </w:p>
    <w:p>
      <w:pPr>
        <w:ind w:left="240" w:hanging="233"/>
        <w:spacing w:after="0"/>
        <w:tabs>
          <w:tab w:leader="none" w:pos="240" w:val="left"/>
        </w:tabs>
        <w:numPr>
          <w:ilvl w:val="0"/>
          <w:numId w:val="100"/>
        </w:numPr>
        <w:rPr>
          <w:rFonts w:ascii="Arial" w:cs="Arial" w:eastAsia="Arial" w:hAnsi="Arial"/>
          <w:sz w:val="12"/>
          <w:szCs w:val="12"/>
          <w:color w:val="auto"/>
        </w:rPr>
      </w:pPr>
      <w:r>
        <w:rPr>
          <w:rFonts w:ascii="Arial" w:cs="Arial" w:eastAsia="Arial" w:hAnsi="Arial"/>
          <w:sz w:val="12"/>
          <w:szCs w:val="12"/>
          <w:color w:val="auto"/>
        </w:rPr>
        <w:t>These PSUs vested on February 25, 2025, on which date the closing price of our Common Stock was $357.36 per share.</w:t>
      </w:r>
    </w:p>
    <w:p>
      <w:pPr>
        <w:spacing w:after="0" w:line="53" w:lineRule="exact"/>
        <w:rPr>
          <w:rFonts w:ascii="Arial" w:cs="Arial" w:eastAsia="Arial" w:hAnsi="Arial"/>
          <w:sz w:val="12"/>
          <w:szCs w:val="12"/>
          <w:color w:val="auto"/>
        </w:rPr>
      </w:pPr>
    </w:p>
    <w:p>
      <w:pPr>
        <w:ind w:left="240" w:right="160" w:hanging="233"/>
        <w:spacing w:after="0" w:line="256" w:lineRule="auto"/>
        <w:tabs>
          <w:tab w:leader="none" w:pos="240" w:val="left"/>
        </w:tabs>
        <w:numPr>
          <w:ilvl w:val="0"/>
          <w:numId w:val="100"/>
        </w:numPr>
        <w:rPr>
          <w:rFonts w:ascii="Arial" w:cs="Arial" w:eastAsia="Arial" w:hAnsi="Arial"/>
          <w:sz w:val="12"/>
          <w:szCs w:val="12"/>
          <w:color w:val="auto"/>
        </w:rPr>
      </w:pPr>
      <w:r>
        <w:rPr>
          <w:rFonts w:ascii="Arial" w:cs="Arial" w:eastAsia="Arial" w:hAnsi="Arial"/>
          <w:sz w:val="12"/>
          <w:szCs w:val="12"/>
          <w:color w:val="auto"/>
        </w:rPr>
        <w:t>These options were granted on February 23, 2018 with an exercise price of $65.50 per share and were exercised on February 5, 2025, at which time our Common Stock was trading at $365.05 per share.</w:t>
      </w:r>
    </w:p>
    <w:p>
      <w:pPr>
        <w:spacing w:after="0" w:line="24" w:lineRule="exact"/>
        <w:rPr>
          <w:rFonts w:ascii="Arial" w:cs="Arial" w:eastAsia="Arial" w:hAnsi="Arial"/>
          <w:sz w:val="12"/>
          <w:szCs w:val="12"/>
          <w:color w:val="auto"/>
        </w:rPr>
      </w:pPr>
    </w:p>
    <w:p>
      <w:pPr>
        <w:ind w:left="240" w:right="160" w:hanging="233"/>
        <w:spacing w:after="0" w:line="256" w:lineRule="auto"/>
        <w:tabs>
          <w:tab w:leader="none" w:pos="240" w:val="left"/>
        </w:tabs>
        <w:numPr>
          <w:ilvl w:val="0"/>
          <w:numId w:val="100"/>
        </w:numPr>
        <w:rPr>
          <w:rFonts w:ascii="Arial" w:cs="Arial" w:eastAsia="Arial" w:hAnsi="Arial"/>
          <w:sz w:val="12"/>
          <w:szCs w:val="12"/>
          <w:color w:val="auto"/>
        </w:rPr>
      </w:pPr>
      <w:r>
        <w:rPr>
          <w:rFonts w:ascii="Arial" w:cs="Arial" w:eastAsia="Arial" w:hAnsi="Arial"/>
          <w:sz w:val="12"/>
          <w:szCs w:val="12"/>
          <w:color w:val="auto"/>
        </w:rPr>
        <w:t>These options were granted on February 23, 2018 with an exercise price of $65.50 per share and were exercised on February 5, 2025, at which time our Common Stock was trading at $365.05 per share.</w:t>
      </w:r>
    </w:p>
    <w:p>
      <w:pPr>
        <w:spacing w:after="0" w:line="24" w:lineRule="exact"/>
        <w:rPr>
          <w:rFonts w:ascii="Arial" w:cs="Arial" w:eastAsia="Arial" w:hAnsi="Arial"/>
          <w:sz w:val="12"/>
          <w:szCs w:val="12"/>
          <w:color w:val="auto"/>
        </w:rPr>
      </w:pPr>
    </w:p>
    <w:p>
      <w:pPr>
        <w:ind w:left="240" w:right="160" w:hanging="233"/>
        <w:spacing w:after="0" w:line="256" w:lineRule="auto"/>
        <w:tabs>
          <w:tab w:leader="none" w:pos="240" w:val="left"/>
        </w:tabs>
        <w:numPr>
          <w:ilvl w:val="0"/>
          <w:numId w:val="100"/>
        </w:numPr>
        <w:rPr>
          <w:rFonts w:ascii="Arial" w:cs="Arial" w:eastAsia="Arial" w:hAnsi="Arial"/>
          <w:sz w:val="12"/>
          <w:szCs w:val="12"/>
          <w:color w:val="auto"/>
        </w:rPr>
      </w:pPr>
      <w:r>
        <w:rPr>
          <w:rFonts w:ascii="Arial" w:cs="Arial" w:eastAsia="Arial" w:hAnsi="Arial"/>
          <w:sz w:val="12"/>
          <w:szCs w:val="12"/>
          <w:color w:val="auto"/>
        </w:rPr>
        <w:t>These options were granted on February 23, 2018 with an exercise price of $65.50 per share and were exercised on February 5, 2025, at which time our Common Stock was trading at $365.16 per share.</w:t>
      </w:r>
    </w:p>
    <w:p>
      <w:pPr>
        <w:spacing w:after="0" w:line="24" w:lineRule="exact"/>
        <w:rPr>
          <w:rFonts w:ascii="Arial" w:cs="Arial" w:eastAsia="Arial" w:hAnsi="Arial"/>
          <w:sz w:val="12"/>
          <w:szCs w:val="12"/>
          <w:color w:val="auto"/>
        </w:rPr>
      </w:pPr>
    </w:p>
    <w:p>
      <w:pPr>
        <w:ind w:left="240" w:right="200" w:hanging="233"/>
        <w:spacing w:after="0" w:line="256" w:lineRule="auto"/>
        <w:tabs>
          <w:tab w:leader="none" w:pos="240" w:val="left"/>
        </w:tabs>
        <w:numPr>
          <w:ilvl w:val="0"/>
          <w:numId w:val="100"/>
        </w:numPr>
        <w:rPr>
          <w:rFonts w:ascii="Arial" w:cs="Arial" w:eastAsia="Arial" w:hAnsi="Arial"/>
          <w:sz w:val="12"/>
          <w:szCs w:val="12"/>
          <w:color w:val="auto"/>
        </w:rPr>
      </w:pPr>
      <w:r>
        <w:rPr>
          <w:rFonts w:ascii="Arial" w:cs="Arial" w:eastAsia="Arial" w:hAnsi="Arial"/>
          <w:sz w:val="12"/>
          <w:szCs w:val="12"/>
          <w:color w:val="auto"/>
        </w:rPr>
        <w:t>These options were granted on February 25, 2019 with an exercise price of $77.53 per share and were exercised on February 5, 2025 at which time our Common Stock was trading at $365.22 per share.</w:t>
      </w:r>
    </w:p>
    <w:p>
      <w:pPr>
        <w:spacing w:after="0" w:line="24" w:lineRule="exact"/>
        <w:rPr>
          <w:rFonts w:ascii="Arial" w:cs="Arial" w:eastAsia="Arial" w:hAnsi="Arial"/>
          <w:sz w:val="12"/>
          <w:szCs w:val="12"/>
          <w:color w:val="auto"/>
        </w:rPr>
      </w:pPr>
    </w:p>
    <w:p>
      <w:pPr>
        <w:ind w:left="240" w:right="240" w:hanging="233"/>
        <w:spacing w:after="0" w:line="256" w:lineRule="auto"/>
        <w:tabs>
          <w:tab w:leader="none" w:pos="240" w:val="left"/>
        </w:tabs>
        <w:numPr>
          <w:ilvl w:val="0"/>
          <w:numId w:val="100"/>
        </w:numPr>
        <w:rPr>
          <w:rFonts w:ascii="Arial" w:cs="Arial" w:eastAsia="Arial" w:hAnsi="Arial"/>
          <w:sz w:val="12"/>
          <w:szCs w:val="12"/>
          <w:color w:val="auto"/>
        </w:rPr>
      </w:pPr>
      <w:r>
        <w:rPr>
          <w:rFonts w:ascii="Arial" w:cs="Arial" w:eastAsia="Arial" w:hAnsi="Arial"/>
          <w:sz w:val="12"/>
          <w:szCs w:val="12"/>
          <w:color w:val="auto"/>
        </w:rPr>
        <w:t>These options were granted on March 13, 2017 with an exercise price of $39.48 per share and were exercised on February 10, 2025, at which time our Common Stock was trading at $369.33 per share.</w:t>
      </w:r>
    </w:p>
    <w:p>
      <w:pPr>
        <w:spacing w:after="0" w:line="24" w:lineRule="exact"/>
        <w:rPr>
          <w:rFonts w:ascii="Arial" w:cs="Arial" w:eastAsia="Arial" w:hAnsi="Arial"/>
          <w:sz w:val="12"/>
          <w:szCs w:val="12"/>
          <w:color w:val="auto"/>
        </w:rPr>
      </w:pPr>
    </w:p>
    <w:p>
      <w:pPr>
        <w:ind w:left="240" w:hanging="233"/>
        <w:spacing w:after="0"/>
        <w:tabs>
          <w:tab w:leader="none" w:pos="240" w:val="left"/>
        </w:tabs>
        <w:numPr>
          <w:ilvl w:val="0"/>
          <w:numId w:val="100"/>
        </w:numPr>
        <w:rPr>
          <w:rFonts w:ascii="Arial" w:cs="Arial" w:eastAsia="Arial" w:hAnsi="Arial"/>
          <w:sz w:val="12"/>
          <w:szCs w:val="12"/>
          <w:color w:val="auto"/>
        </w:rPr>
      </w:pPr>
      <w:r>
        <w:rPr>
          <w:rFonts w:ascii="Arial" w:cs="Arial" w:eastAsia="Arial" w:hAnsi="Arial"/>
          <w:sz w:val="12"/>
          <w:szCs w:val="12"/>
          <w:color w:val="auto"/>
        </w:rPr>
        <w:t>These RSUs vested on June 12, 2025, on which date the closing price of our Common Stock was $379.39 per share.</w:t>
      </w:r>
    </w:p>
    <w:p>
      <w:pPr>
        <w:spacing w:after="0" w:line="2050" w:lineRule="exact"/>
        <w:rPr>
          <w:sz w:val="20"/>
          <w:szCs w:val="20"/>
          <w:color w:val="auto"/>
        </w:rPr>
      </w:pPr>
    </w:p>
    <w:p>
      <w:pPr>
        <w:sectPr>
          <w:pgSz w:w="11900" w:h="16838" w:orient="portrait"/>
          <w:cols w:equalWidth="0" w:num="2">
            <w:col w:w="2160" w:space="560"/>
            <w:col w:w="7980"/>
          </w:cols>
          <w:pgMar w:left="320" w:top="464" w:right="879" w:bottom="1440" w:gutter="0" w:footer="0" w:header="0"/>
        </w:sectPr>
      </w:pPr>
    </w:p>
    <w:p>
      <w:pPr>
        <w:spacing w:after="0" w:line="200" w:lineRule="exact"/>
        <w:rPr>
          <w:sz w:val="20"/>
          <w:szCs w:val="20"/>
          <w:color w:val="auto"/>
        </w:rPr>
      </w:pPr>
    </w:p>
    <w:p>
      <w:pPr>
        <w:spacing w:after="0" w:line="385" w:lineRule="exact"/>
        <w:rPr>
          <w:sz w:val="20"/>
          <w:szCs w:val="20"/>
          <w:color w:val="auto"/>
        </w:rPr>
      </w:pPr>
    </w:p>
    <w:p>
      <w:pPr>
        <w:ind w:left="420"/>
        <w:spacing w:after="0"/>
        <w:tabs>
          <w:tab w:leader="none" w:pos="2380" w:val="left"/>
          <w:tab w:leader="none" w:pos="2800" w:val="left"/>
        </w:tabs>
        <w:rPr>
          <w:sz w:val="20"/>
          <w:szCs w:val="20"/>
          <w:color w:val="auto"/>
        </w:rPr>
      </w:pPr>
      <w:r>
        <w:rPr>
          <w:rFonts w:ascii="Arial" w:cs="Arial" w:eastAsia="Arial" w:hAnsi="Arial"/>
          <w:sz w:val="30"/>
          <w:szCs w:val="30"/>
          <w:color w:val="000000"/>
          <w:vertAlign w:val="superscript"/>
        </w:rPr>
        <w:t xml:space="preserve">             </w:t>
      </w:r>
      <w:r>
        <w:rPr>
          <w:sz w:val="20"/>
          <w:szCs w:val="20"/>
          <w:color w:val="auto"/>
        </w:rPr>
        <w:tab/>
      </w:r>
      <w:r>
        <w:rPr>
          <w:rFonts w:ascii="Arial" w:cs="Arial" w:eastAsia="Arial" w:hAnsi="Arial"/>
          <w:sz w:val="31"/>
          <w:szCs w:val="31"/>
          <w:color w:val="auto"/>
          <w:vertAlign w:val="superscript"/>
        </w:rPr>
        <w:t xml:space="preserve">    </w:t>
      </w:r>
      <w:r>
        <w:rPr>
          <w:sz w:val="20"/>
          <w:szCs w:val="20"/>
          <w:color w:val="auto"/>
        </w:rPr>
        <w:tab/>
      </w:r>
      <w:r>
        <w:rPr>
          <w:rFonts w:ascii="Arial" w:cs="Arial" w:eastAsia="Arial" w:hAnsi="Arial"/>
          <w:sz w:val="15"/>
          <w:szCs w:val="15"/>
          <w:b w:val="1"/>
          <w:bCs w:val="1"/>
          <w:color w:val="002B5F"/>
        </w:rPr>
        <w:t xml:space="preserve">66  </w:t>
      </w:r>
      <w:r>
        <w:rPr>
          <w:rFonts w:ascii="Arial" w:cs="Arial" w:eastAsia="Arial" w:hAnsi="Arial"/>
          <w:sz w:val="20"/>
          <w:szCs w:val="20"/>
          <w:color w:val="002B5F"/>
        </w:rPr>
        <w:t>|</w:t>
      </w:r>
      <w:r>
        <w:rPr>
          <w:rFonts w:ascii="Arial" w:cs="Arial" w:eastAsia="Arial" w:hAnsi="Arial"/>
          <w:sz w:val="15"/>
          <w:szCs w:val="15"/>
          <w:b w:val="1"/>
          <w:bCs w:val="1"/>
          <w:color w:val="002B5F"/>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6111875</wp:posOffset>
            </wp:positionH>
            <wp:positionV relativeFrom="paragraph">
              <wp:posOffset>-208915</wp:posOffset>
            </wp:positionV>
            <wp:extent cx="769620" cy="971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69620" cy="97155"/>
                    </a:xfrm>
                    <a:prstGeom prst="rect">
                      <a:avLst/>
                    </a:prstGeom>
                    <a:noFill/>
                  </pic:spPr>
                </pic:pic>
              </a:graphicData>
            </a:graphic>
          </wp:anchor>
        </w:drawing>
      </w:r>
    </w:p>
    <w:p>
      <w:pPr>
        <w:sectPr>
          <w:pgSz w:w="11900" w:h="16838" w:orient="portrait"/>
          <w:cols w:equalWidth="0" w:num="1">
            <w:col w:w="10700"/>
          </w:cols>
          <w:pgMar w:left="320" w:top="464" w:right="879" w:bottom="1440" w:gutter="0" w:footer="0" w:header="0"/>
          <w:type w:val="continuous"/>
        </w:sectPr>
      </w:pPr>
    </w:p>
    <w:bookmarkStart w:id="78" w:name="page79"/>
    <w:bookmarkEnd w:id="7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5334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81215" cy="5334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5617845</wp:posOffset>
            </wp:positionH>
            <wp:positionV relativeFrom="paragraph">
              <wp:posOffset>253365</wp:posOffset>
            </wp:positionV>
            <wp:extent cx="1256030" cy="74720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1256030" cy="7472045"/>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ind w:left="540"/>
        <w:spacing w:after="0"/>
        <w:rPr>
          <w:sz w:val="20"/>
          <w:szCs w:val="20"/>
          <w:color w:val="auto"/>
        </w:rPr>
      </w:pPr>
      <w:r>
        <w:rPr>
          <w:rFonts w:ascii="Arial" w:cs="Arial" w:eastAsia="Arial" w:hAnsi="Arial"/>
          <w:sz w:val="24"/>
          <w:szCs w:val="24"/>
          <w:color w:val="B95827"/>
        </w:rPr>
        <w:t>Nonqualified Deferred Compensation for the Year Ended December 31,</w:t>
      </w:r>
    </w:p>
    <w:tbl>
      <w:tblPr>
        <w:tblLayout w:type="fixed"/>
        <w:tblInd w:w="540" w:type="dxa"/>
        <w:tblCellMar>
          <w:top w:w="0" w:type="dxa"/>
          <w:left w:w="0" w:type="dxa"/>
          <w:bottom w:w="0" w:type="dxa"/>
          <w:right w:w="0" w:type="dxa"/>
        </w:tblCellMar>
      </w:tblPr>
      <w:tr>
        <w:trPr>
          <w:trHeight w:val="146"/>
        </w:trPr>
        <w:tc>
          <w:tcPr>
            <w:tcW w:w="1940" w:type="dxa"/>
            <w:vAlign w:val="bottom"/>
            <w:vMerge w:val="restart"/>
          </w:tcPr>
          <w:p>
            <w:pPr>
              <w:spacing w:after="0"/>
              <w:rPr>
                <w:sz w:val="20"/>
                <w:szCs w:val="20"/>
                <w:color w:val="auto"/>
              </w:rPr>
            </w:pPr>
            <w:r>
              <w:rPr>
                <w:rFonts w:ascii="Arial" w:cs="Arial" w:eastAsia="Arial" w:hAnsi="Arial"/>
                <w:sz w:val="24"/>
                <w:szCs w:val="24"/>
                <w:color w:val="B95827"/>
              </w:rPr>
              <w:t>2025</w:t>
            </w:r>
          </w:p>
        </w:tc>
        <w:tc>
          <w:tcPr>
            <w:tcW w:w="13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660" w:type="dxa"/>
            <w:vAlign w:val="bottom"/>
          </w:tcPr>
          <w:p>
            <w:pPr>
              <w:ind w:left="460"/>
              <w:spacing w:after="0" w:line="146" w:lineRule="exact"/>
              <w:rPr>
                <w:sz w:val="20"/>
                <w:szCs w:val="20"/>
                <w:color w:val="auto"/>
              </w:rPr>
            </w:pPr>
            <w:r>
              <w:rPr>
                <w:rFonts w:ascii="Arial" w:cs="Arial" w:eastAsia="Arial" w:hAnsi="Arial"/>
                <w:sz w:val="15"/>
                <w:szCs w:val="15"/>
                <w:color w:val="auto"/>
              </w:rPr>
              <w:t> </w:t>
            </w:r>
          </w:p>
        </w:tc>
        <w:tc>
          <w:tcPr>
            <w:tcW w:w="1280" w:type="dxa"/>
            <w:vAlign w:val="bottom"/>
          </w:tcPr>
          <w:p>
            <w:pPr>
              <w:ind w:left="140"/>
              <w:spacing w:after="0"/>
              <w:rPr>
                <w:sz w:val="20"/>
                <w:szCs w:val="20"/>
                <w:color w:val="auto"/>
              </w:rPr>
            </w:pPr>
            <w:r>
              <w:rPr>
                <w:rFonts w:ascii="Arial" w:cs="Arial" w:eastAsia="Arial" w:hAnsi="Arial"/>
                <w:sz w:val="12"/>
                <w:szCs w:val="12"/>
                <w:color w:val="FFFFFF"/>
              </w:rPr>
              <w:t>General</w:t>
            </w:r>
          </w:p>
        </w:tc>
        <w:tc>
          <w:tcPr>
            <w:tcW w:w="440" w:type="dxa"/>
            <w:vAlign w:val="bottom"/>
          </w:tcPr>
          <w:p>
            <w:pPr>
              <w:ind w:left="80"/>
              <w:spacing w:after="0" w:line="146" w:lineRule="exact"/>
              <w:rPr>
                <w:sz w:val="20"/>
                <w:szCs w:val="20"/>
                <w:color w:val="auto"/>
              </w:rPr>
            </w:pPr>
            <w:r>
              <w:rPr>
                <w:rFonts w:ascii="Arial" w:cs="Arial" w:eastAsia="Arial" w:hAnsi="Arial"/>
                <w:sz w:val="15"/>
                <w:szCs w:val="15"/>
                <w:color w:val="auto"/>
              </w:rPr>
              <w:t xml:space="preserve">       </w:t>
            </w:r>
          </w:p>
        </w:tc>
        <w:tc>
          <w:tcPr>
            <w:tcW w:w="0" w:type="dxa"/>
            <w:vAlign w:val="bottom"/>
          </w:tcPr>
          <w:p>
            <w:pPr>
              <w:spacing w:after="0"/>
              <w:rPr>
                <w:sz w:val="1"/>
                <w:szCs w:val="1"/>
                <w:color w:val="auto"/>
              </w:rPr>
            </w:pPr>
          </w:p>
        </w:tc>
      </w:tr>
      <w:tr>
        <w:trPr>
          <w:trHeight w:val="178"/>
        </w:trPr>
        <w:tc>
          <w:tcPr>
            <w:tcW w:w="1940" w:type="dxa"/>
            <w:vAlign w:val="bottom"/>
            <w:vMerge w:val="continue"/>
          </w:tcPr>
          <w:p>
            <w:pPr>
              <w:spacing w:after="0"/>
              <w:rPr>
                <w:sz w:val="15"/>
                <w:szCs w:val="15"/>
                <w:color w:val="auto"/>
              </w:rPr>
            </w:pPr>
          </w:p>
        </w:tc>
        <w:tc>
          <w:tcPr>
            <w:tcW w:w="13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Information</w:t>
            </w: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540" w:type="dxa"/>
            <w:vAlign w:val="bottom"/>
            <w:gridSpan w:val="7"/>
          </w:tcPr>
          <w:p>
            <w:pPr>
              <w:spacing w:after="0"/>
              <w:rPr>
                <w:sz w:val="20"/>
                <w:szCs w:val="20"/>
                <w:color w:val="auto"/>
              </w:rPr>
            </w:pPr>
            <w:r>
              <w:rPr>
                <w:rFonts w:ascii="Arial" w:cs="Arial" w:eastAsia="Arial" w:hAnsi="Arial"/>
                <w:sz w:val="15"/>
                <w:szCs w:val="15"/>
                <w:color w:val="auto"/>
              </w:rPr>
              <w:t>The Deferred Compensation Plan allows a select group of highly compensated or management employees to defer</w:t>
            </w:r>
          </w:p>
        </w:tc>
        <w:tc>
          <w:tcPr>
            <w:tcW w:w="1280" w:type="dxa"/>
            <w:vAlign w:val="bottom"/>
          </w:tcPr>
          <w:p>
            <w:pPr>
              <w:ind w:left="140"/>
              <w:spacing w:after="0"/>
              <w:rPr>
                <w:sz w:val="20"/>
                <w:szCs w:val="20"/>
                <w:color w:val="auto"/>
              </w:rPr>
            </w:pPr>
            <w:r>
              <w:rPr>
                <w:rFonts w:ascii="Arial" w:cs="Arial" w:eastAsia="Arial" w:hAnsi="Arial"/>
                <w:sz w:val="12"/>
                <w:szCs w:val="12"/>
                <w:color w:val="FFFFFF"/>
              </w:rPr>
              <w:t>General Information</w:t>
            </w: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0"/>
        </w:trPr>
        <w:tc>
          <w:tcPr>
            <w:tcW w:w="8540" w:type="dxa"/>
            <w:vAlign w:val="bottom"/>
            <w:gridSpan w:val="7"/>
            <w:vMerge w:val="restart"/>
          </w:tcPr>
          <w:p>
            <w:pPr>
              <w:spacing w:after="0"/>
              <w:rPr>
                <w:sz w:val="20"/>
                <w:szCs w:val="20"/>
                <w:color w:val="auto"/>
              </w:rPr>
            </w:pPr>
            <w:r>
              <w:rPr>
                <w:rFonts w:ascii="Arial" w:cs="Arial" w:eastAsia="Arial" w:hAnsi="Arial"/>
                <w:sz w:val="15"/>
                <w:szCs w:val="15"/>
                <w:color w:val="auto"/>
              </w:rPr>
              <w:t>up to 100% of their current compensation, which includes for this purpose base salary, service bonus, performance-</w:t>
            </w:r>
          </w:p>
        </w:tc>
        <w:tc>
          <w:tcPr>
            <w:tcW w:w="1280" w:type="dxa"/>
            <w:vAlign w:val="bottom"/>
          </w:tcPr>
          <w:p>
            <w:pPr>
              <w:ind w:left="140"/>
              <w:spacing w:after="0" w:line="110" w:lineRule="exact"/>
              <w:rPr>
                <w:sz w:val="20"/>
                <w:szCs w:val="20"/>
                <w:color w:val="auto"/>
              </w:rPr>
            </w:pPr>
            <w:r>
              <w:rPr>
                <w:rFonts w:ascii="Arial" w:cs="Arial" w:eastAsia="Arial" w:hAnsi="Arial"/>
                <w:sz w:val="12"/>
                <w:szCs w:val="12"/>
                <w:color w:val="FFFFFF"/>
              </w:rPr>
              <w:t>About Corporate</w:t>
            </w: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8540" w:type="dxa"/>
            <w:vAlign w:val="bottom"/>
            <w:gridSpan w:val="7"/>
            <w:vMerge w:val="continue"/>
          </w:tcPr>
          <w:p>
            <w:pPr>
              <w:spacing w:after="0"/>
              <w:rPr>
                <w:sz w:val="10"/>
                <w:szCs w:val="10"/>
                <w:color w:val="auto"/>
              </w:rPr>
            </w:pPr>
          </w:p>
        </w:tc>
        <w:tc>
          <w:tcPr>
            <w:tcW w:w="1280" w:type="dxa"/>
            <w:vAlign w:val="bottom"/>
          </w:tcPr>
          <w:p>
            <w:pPr>
              <w:ind w:left="140"/>
              <w:spacing w:after="0" w:line="120" w:lineRule="exact"/>
              <w:rPr>
                <w:sz w:val="20"/>
                <w:szCs w:val="20"/>
                <w:color w:val="auto"/>
              </w:rPr>
            </w:pPr>
            <w:r>
              <w:rPr>
                <w:rFonts w:ascii="Arial" w:cs="Arial" w:eastAsia="Arial" w:hAnsi="Arial"/>
                <w:sz w:val="12"/>
                <w:szCs w:val="12"/>
                <w:color w:val="FFFFFF"/>
              </w:rPr>
              <w:t>Governance</w:t>
            </w: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8540" w:type="dxa"/>
            <w:vAlign w:val="bottom"/>
            <w:gridSpan w:val="7"/>
          </w:tcPr>
          <w:p>
            <w:pPr>
              <w:spacing w:after="0" w:line="136" w:lineRule="exact"/>
              <w:rPr>
                <w:sz w:val="20"/>
                <w:szCs w:val="20"/>
                <w:color w:val="auto"/>
              </w:rPr>
            </w:pPr>
            <w:r>
              <w:rPr>
                <w:rFonts w:ascii="Arial" w:cs="Arial" w:eastAsia="Arial" w:hAnsi="Arial"/>
                <w:sz w:val="15"/>
                <w:szCs w:val="15"/>
                <w:color w:val="auto"/>
              </w:rPr>
              <w:t>based compensation and commissions. Distributions of deferred amounts may be made only upon a qualifying</w:t>
            </w:r>
          </w:p>
        </w:tc>
        <w:tc>
          <w:tcPr>
            <w:tcW w:w="1280" w:type="dxa"/>
            <w:vAlign w:val="bottom"/>
          </w:tcPr>
          <w:p>
            <w:pPr>
              <w:ind w:left="140"/>
              <w:spacing w:after="0" w:line="136" w:lineRule="exact"/>
              <w:rPr>
                <w:sz w:val="20"/>
                <w:szCs w:val="20"/>
                <w:color w:val="auto"/>
              </w:rPr>
            </w:pPr>
            <w:r>
              <w:rPr>
                <w:rFonts w:ascii="Arial" w:cs="Arial" w:eastAsia="Arial" w:hAnsi="Arial"/>
                <w:sz w:val="12"/>
                <w:szCs w:val="12"/>
                <w:color w:val="FFFFFF"/>
              </w:rPr>
              <w:t>and the Board of</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7"/>
        </w:trPr>
        <w:tc>
          <w:tcPr>
            <w:tcW w:w="8540" w:type="dxa"/>
            <w:vAlign w:val="bottom"/>
            <w:gridSpan w:val="7"/>
          </w:tcPr>
          <w:p>
            <w:pPr>
              <w:spacing w:after="0"/>
              <w:rPr>
                <w:sz w:val="20"/>
                <w:szCs w:val="20"/>
                <w:color w:val="auto"/>
              </w:rPr>
            </w:pPr>
            <w:r>
              <w:rPr>
                <w:rFonts w:ascii="Arial" w:cs="Arial" w:eastAsia="Arial" w:hAnsi="Arial"/>
                <w:sz w:val="15"/>
                <w:szCs w:val="15"/>
                <w:color w:val="auto"/>
              </w:rPr>
              <w:t>distribution event (consistent with Section 409A of the Internal Revenue Code), which, depending on the individual’s</w:t>
            </w:r>
          </w:p>
        </w:tc>
        <w:tc>
          <w:tcPr>
            <w:tcW w:w="1280" w:type="dxa"/>
            <w:vAlign w:val="bottom"/>
          </w:tcPr>
          <w:p>
            <w:pPr>
              <w:ind w:left="140"/>
              <w:spacing w:after="0"/>
              <w:rPr>
                <w:sz w:val="20"/>
                <w:szCs w:val="20"/>
                <w:color w:val="auto"/>
              </w:rPr>
            </w:pPr>
            <w:r>
              <w:rPr>
                <w:rFonts w:ascii="Arial" w:cs="Arial" w:eastAsia="Arial" w:hAnsi="Arial"/>
                <w:sz w:val="12"/>
                <w:szCs w:val="12"/>
                <w:color w:val="FFFFFF"/>
              </w:rPr>
              <w:t>Directors</w:t>
            </w: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9"/>
        </w:trPr>
        <w:tc>
          <w:tcPr>
            <w:tcW w:w="8540" w:type="dxa"/>
            <w:vAlign w:val="bottom"/>
            <w:gridSpan w:val="7"/>
          </w:tcPr>
          <w:p>
            <w:pPr>
              <w:spacing w:after="0"/>
              <w:rPr>
                <w:sz w:val="20"/>
                <w:szCs w:val="20"/>
                <w:color w:val="auto"/>
              </w:rPr>
            </w:pPr>
            <w:r>
              <w:rPr>
                <w:rFonts w:ascii="Arial" w:cs="Arial" w:eastAsia="Arial" w:hAnsi="Arial"/>
                <w:sz w:val="15"/>
                <w:szCs w:val="15"/>
                <w:color w:val="auto"/>
              </w:rPr>
              <w:t>election, may be a separation from service, death, or a specified date, or may be the earliest of one or more of these</w:t>
            </w:r>
          </w:p>
        </w:tc>
        <w:tc>
          <w:tcPr>
            <w:tcW w:w="1280" w:type="dxa"/>
            <w:vAlign w:val="bottom"/>
            <w:vMerge w:val="restart"/>
          </w:tcPr>
          <w:p>
            <w:pPr>
              <w:ind w:left="140"/>
              <w:spacing w:after="0"/>
              <w:rPr>
                <w:sz w:val="20"/>
                <w:szCs w:val="20"/>
                <w:color w:val="auto"/>
              </w:rPr>
            </w:pPr>
            <w:r>
              <w:rPr>
                <w:rFonts w:ascii="Arial" w:cs="Arial" w:eastAsia="Arial" w:hAnsi="Arial"/>
                <w:sz w:val="12"/>
                <w:szCs w:val="12"/>
                <w:color w:val="FFFFFF"/>
              </w:rPr>
              <w:t>Proposal 1</w:t>
            </w: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6"/>
        </w:trPr>
        <w:tc>
          <w:tcPr>
            <w:tcW w:w="8540" w:type="dxa"/>
            <w:vAlign w:val="bottom"/>
            <w:gridSpan w:val="7"/>
            <w:vMerge w:val="restart"/>
          </w:tcPr>
          <w:p>
            <w:pPr>
              <w:spacing w:after="0"/>
              <w:rPr>
                <w:sz w:val="20"/>
                <w:szCs w:val="20"/>
                <w:color w:val="auto"/>
              </w:rPr>
            </w:pPr>
            <w:r>
              <w:rPr>
                <w:rFonts w:ascii="Arial" w:cs="Arial" w:eastAsia="Arial" w:hAnsi="Arial"/>
                <w:sz w:val="15"/>
                <w:szCs w:val="15"/>
                <w:color w:val="auto"/>
              </w:rPr>
              <w:t>events. At the time a participant makes an election to defer compensation under the Deferred Compensation Plan,</w:t>
            </w:r>
          </w:p>
        </w:tc>
        <w:tc>
          <w:tcPr>
            <w:tcW w:w="1280" w:type="dxa"/>
            <w:vAlign w:val="bottom"/>
            <w:vMerge w:val="continue"/>
          </w:tcPr>
          <w:p>
            <w:pPr>
              <w:spacing w:after="0"/>
              <w:rPr>
                <w:sz w:val="6"/>
                <w:szCs w:val="6"/>
                <w:color w:val="auto"/>
              </w:rPr>
            </w:pPr>
          </w:p>
        </w:tc>
        <w:tc>
          <w:tcPr>
            <w:tcW w:w="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3"/>
        </w:trPr>
        <w:tc>
          <w:tcPr>
            <w:tcW w:w="8540" w:type="dxa"/>
            <w:vAlign w:val="bottom"/>
            <w:gridSpan w:val="7"/>
            <w:vMerge w:val="continue"/>
          </w:tcPr>
          <w:p>
            <w:pPr>
              <w:spacing w:after="0"/>
              <w:rPr>
                <w:sz w:val="8"/>
                <w:szCs w:val="8"/>
                <w:color w:val="auto"/>
              </w:rPr>
            </w:pPr>
          </w:p>
        </w:tc>
        <w:tc>
          <w:tcPr>
            <w:tcW w:w="1280" w:type="dxa"/>
            <w:vAlign w:val="bottom"/>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0"/>
        </w:trPr>
        <w:tc>
          <w:tcPr>
            <w:tcW w:w="8540" w:type="dxa"/>
            <w:vAlign w:val="bottom"/>
            <w:gridSpan w:val="7"/>
          </w:tcPr>
          <w:p>
            <w:pPr>
              <w:spacing w:after="0" w:line="161" w:lineRule="exact"/>
              <w:rPr>
                <w:sz w:val="20"/>
                <w:szCs w:val="20"/>
                <w:color w:val="auto"/>
              </w:rPr>
            </w:pPr>
            <w:r>
              <w:rPr>
                <w:rFonts w:ascii="Arial" w:cs="Arial" w:eastAsia="Arial" w:hAnsi="Arial"/>
                <w:sz w:val="15"/>
                <w:szCs w:val="15"/>
                <w:color w:val="auto"/>
              </w:rPr>
              <w:t>the participant may choose, with respect to each potential qualifying distribution event, to receive amounts in either</w:t>
            </w:r>
          </w:p>
        </w:tc>
        <w:tc>
          <w:tcPr>
            <w:tcW w:w="1280" w:type="dxa"/>
            <w:vAlign w:val="bottom"/>
          </w:tcPr>
          <w:p>
            <w:pPr>
              <w:ind w:left="140"/>
              <w:spacing w:after="0"/>
              <w:rPr>
                <w:sz w:val="20"/>
                <w:szCs w:val="20"/>
                <w:color w:val="auto"/>
              </w:rPr>
            </w:pPr>
            <w:r>
              <w:rPr>
                <w:rFonts w:ascii="Arial" w:cs="Arial" w:eastAsia="Arial" w:hAnsi="Arial"/>
                <w:sz w:val="12"/>
                <w:szCs w:val="12"/>
                <w:color w:val="FFFFFF"/>
              </w:rPr>
              <w:t>Information</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8540" w:type="dxa"/>
            <w:vAlign w:val="bottom"/>
            <w:gridSpan w:val="7"/>
          </w:tcPr>
          <w:p>
            <w:pPr>
              <w:spacing w:after="0" w:line="171" w:lineRule="exact"/>
              <w:rPr>
                <w:sz w:val="20"/>
                <w:szCs w:val="20"/>
                <w:color w:val="auto"/>
              </w:rPr>
            </w:pPr>
            <w:r>
              <w:rPr>
                <w:rFonts w:ascii="Arial" w:cs="Arial" w:eastAsia="Arial" w:hAnsi="Arial"/>
                <w:sz w:val="15"/>
                <w:szCs w:val="15"/>
                <w:color w:val="auto"/>
              </w:rPr>
              <w:t>a lump sum or in equal annual installments over a number of years (but not to exceed five years for specified date</w:t>
            </w:r>
          </w:p>
        </w:tc>
        <w:tc>
          <w:tcPr>
            <w:tcW w:w="1280" w:type="dxa"/>
            <w:vAlign w:val="bottom"/>
          </w:tcPr>
          <w:p>
            <w:pPr>
              <w:ind w:left="140"/>
              <w:spacing w:after="0"/>
              <w:rPr>
                <w:sz w:val="20"/>
                <w:szCs w:val="20"/>
                <w:color w:val="auto"/>
              </w:rPr>
            </w:pPr>
            <w:r>
              <w:rPr>
                <w:rFonts w:ascii="Arial" w:cs="Arial" w:eastAsia="Arial" w:hAnsi="Arial"/>
                <w:sz w:val="12"/>
                <w:szCs w:val="12"/>
                <w:color w:val="FFFFFF"/>
              </w:rPr>
              <w:t>Regarding Board</w:t>
            </w: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8540" w:type="dxa"/>
            <w:vAlign w:val="bottom"/>
            <w:gridSpan w:val="7"/>
            <w:vMerge w:val="restart"/>
          </w:tcPr>
          <w:p>
            <w:pPr>
              <w:spacing w:after="0"/>
              <w:rPr>
                <w:sz w:val="20"/>
                <w:szCs w:val="20"/>
                <w:color w:val="auto"/>
              </w:rPr>
            </w:pPr>
            <w:r>
              <w:rPr>
                <w:rFonts w:ascii="Arial" w:cs="Arial" w:eastAsia="Arial" w:hAnsi="Arial"/>
                <w:sz w:val="15"/>
                <w:szCs w:val="15"/>
                <w:color w:val="auto"/>
              </w:rPr>
              <w:t>elections and not to exceed ten years for separation from service elections). Deferred amounts are credited with an</w:t>
            </w:r>
          </w:p>
        </w:tc>
        <w:tc>
          <w:tcPr>
            <w:tcW w:w="1280" w:type="dxa"/>
            <w:vAlign w:val="bottom"/>
          </w:tcPr>
          <w:p>
            <w:pPr>
              <w:ind w:left="140"/>
              <w:spacing w:after="0" w:line="85" w:lineRule="exact"/>
              <w:rPr>
                <w:sz w:val="20"/>
                <w:szCs w:val="20"/>
                <w:color w:val="auto"/>
              </w:rPr>
            </w:pPr>
            <w:r>
              <w:rPr>
                <w:rFonts w:ascii="Arial" w:cs="Arial" w:eastAsia="Arial" w:hAnsi="Arial"/>
                <w:sz w:val="8"/>
                <w:szCs w:val="8"/>
                <w:color w:val="FFFFFF"/>
              </w:rPr>
              <w:t>and Committee</w:t>
            </w:r>
          </w:p>
        </w:tc>
        <w:tc>
          <w:tcPr>
            <w:tcW w:w="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0"/>
        </w:trPr>
        <w:tc>
          <w:tcPr>
            <w:tcW w:w="8540" w:type="dxa"/>
            <w:vAlign w:val="bottom"/>
            <w:gridSpan w:val="7"/>
            <w:vMerge w:val="continue"/>
          </w:tcPr>
          <w:p>
            <w:pPr>
              <w:spacing w:after="0"/>
              <w:rPr>
                <w:sz w:val="10"/>
                <w:szCs w:val="10"/>
                <w:color w:val="auto"/>
              </w:rPr>
            </w:pPr>
          </w:p>
        </w:tc>
        <w:tc>
          <w:tcPr>
            <w:tcW w:w="1280" w:type="dxa"/>
            <w:vAlign w:val="bottom"/>
          </w:tcPr>
          <w:p>
            <w:pPr>
              <w:ind w:left="140"/>
              <w:spacing w:after="0" w:line="121" w:lineRule="exact"/>
              <w:rPr>
                <w:sz w:val="20"/>
                <w:szCs w:val="20"/>
                <w:color w:val="auto"/>
              </w:rPr>
            </w:pPr>
            <w:r>
              <w:rPr>
                <w:rFonts w:ascii="Arial" w:cs="Arial" w:eastAsia="Arial" w:hAnsi="Arial"/>
                <w:sz w:val="12"/>
                <w:szCs w:val="12"/>
                <w:color w:val="FFFFFF"/>
              </w:rPr>
              <w:t>Structure</w:t>
            </w: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9"/>
        </w:trPr>
        <w:tc>
          <w:tcPr>
            <w:tcW w:w="8540" w:type="dxa"/>
            <w:vAlign w:val="bottom"/>
            <w:gridSpan w:val="7"/>
          </w:tcPr>
          <w:p>
            <w:pPr>
              <w:spacing w:after="0"/>
              <w:rPr>
                <w:sz w:val="20"/>
                <w:szCs w:val="20"/>
                <w:color w:val="auto"/>
              </w:rPr>
            </w:pPr>
            <w:r>
              <w:rPr>
                <w:rFonts w:ascii="Arial" w:cs="Arial" w:eastAsia="Arial" w:hAnsi="Arial"/>
                <w:sz w:val="15"/>
                <w:szCs w:val="15"/>
                <w:color w:val="auto"/>
              </w:rPr>
              <w:t>investment return determined as if the amounts were invested in one or more investment funds made available</w:t>
            </w:r>
          </w:p>
        </w:tc>
        <w:tc>
          <w:tcPr>
            <w:tcW w:w="1280" w:type="dxa"/>
            <w:vAlign w:val="bottom"/>
            <w:vMerge w:val="restart"/>
          </w:tcPr>
          <w:p>
            <w:pPr>
              <w:ind w:left="140"/>
              <w:spacing w:after="0"/>
              <w:rPr>
                <w:sz w:val="20"/>
                <w:szCs w:val="20"/>
                <w:color w:val="auto"/>
              </w:rPr>
            </w:pPr>
            <w:r>
              <w:rPr>
                <w:rFonts w:ascii="Arial" w:cs="Arial" w:eastAsia="Arial" w:hAnsi="Arial"/>
                <w:sz w:val="12"/>
                <w:szCs w:val="12"/>
                <w:color w:val="FFFFFF"/>
              </w:rPr>
              <w:t>Board of Directors</w:t>
            </w: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5540" w:type="dxa"/>
            <w:vAlign w:val="bottom"/>
            <w:gridSpan w:val="4"/>
          </w:tcPr>
          <w:p>
            <w:pPr>
              <w:spacing w:after="0" w:line="153" w:lineRule="exact"/>
              <w:rPr>
                <w:sz w:val="20"/>
                <w:szCs w:val="20"/>
                <w:color w:val="auto"/>
              </w:rPr>
            </w:pPr>
            <w:r>
              <w:rPr>
                <w:rFonts w:ascii="Arial" w:cs="Arial" w:eastAsia="Arial" w:hAnsi="Arial"/>
                <w:sz w:val="15"/>
                <w:szCs w:val="15"/>
                <w:color w:val="auto"/>
              </w:rPr>
              <w:t>under the Deferred Compensation Plan and selected by a participant.</w:t>
            </w:r>
          </w:p>
        </w:tc>
        <w:tc>
          <w:tcPr>
            <w:tcW w:w="11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80" w:type="dxa"/>
            <w:vAlign w:val="bottom"/>
            <w:vMerge w:val="continue"/>
          </w:tcPr>
          <w:p>
            <w:pPr>
              <w:spacing w:after="0"/>
              <w:rPr>
                <w:sz w:val="13"/>
                <w:szCs w:val="13"/>
                <w:color w:val="auto"/>
              </w:rPr>
            </w:pP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19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80" w:type="dxa"/>
            <w:vAlign w:val="bottom"/>
          </w:tcPr>
          <w:p>
            <w:pPr>
              <w:ind w:left="140"/>
              <w:spacing w:after="0" w:line="128" w:lineRule="exact"/>
              <w:rPr>
                <w:sz w:val="20"/>
                <w:szCs w:val="20"/>
                <w:color w:val="auto"/>
              </w:rPr>
            </w:pPr>
            <w:r>
              <w:rPr>
                <w:rFonts w:ascii="Arial" w:cs="Arial" w:eastAsia="Arial" w:hAnsi="Arial"/>
                <w:sz w:val="12"/>
                <w:szCs w:val="12"/>
                <w:color w:val="FFFFFF"/>
              </w:rPr>
              <w:t>Compensation</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9"/>
        </w:trPr>
        <w:tc>
          <w:tcPr>
            <w:tcW w:w="8540" w:type="dxa"/>
            <w:vAlign w:val="bottom"/>
            <w:gridSpan w:val="7"/>
          </w:tcPr>
          <w:p>
            <w:pPr>
              <w:spacing w:after="0"/>
              <w:rPr>
                <w:sz w:val="20"/>
                <w:szCs w:val="20"/>
                <w:color w:val="auto"/>
              </w:rPr>
            </w:pPr>
            <w:r>
              <w:rPr>
                <w:rFonts w:ascii="Arial" w:cs="Arial" w:eastAsia="Arial" w:hAnsi="Arial"/>
                <w:sz w:val="15"/>
                <w:szCs w:val="15"/>
                <w:color w:val="auto"/>
              </w:rPr>
              <w:t>The following table sets forth information relating to nonqualified deferred compensation for each NEO for the year</w:t>
            </w:r>
          </w:p>
        </w:tc>
        <w:tc>
          <w:tcPr>
            <w:tcW w:w="1280" w:type="dxa"/>
            <w:vAlign w:val="bottom"/>
            <w:vMerge w:val="restart"/>
          </w:tcPr>
          <w:p>
            <w:pPr>
              <w:ind w:left="140"/>
              <w:spacing w:after="0"/>
              <w:rPr>
                <w:sz w:val="20"/>
                <w:szCs w:val="20"/>
                <w:color w:val="auto"/>
              </w:rPr>
            </w:pPr>
            <w:r>
              <w:rPr>
                <w:rFonts w:ascii="Arial" w:cs="Arial" w:eastAsia="Arial" w:hAnsi="Arial"/>
                <w:sz w:val="12"/>
                <w:szCs w:val="12"/>
                <w:color w:val="FFFFFF"/>
              </w:rPr>
              <w:t>Compensation</w:t>
            </w: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4"/>
        </w:trPr>
        <w:tc>
          <w:tcPr>
            <w:tcW w:w="1940" w:type="dxa"/>
            <w:vAlign w:val="bottom"/>
            <w:vMerge w:val="restart"/>
          </w:tcPr>
          <w:p>
            <w:pPr>
              <w:spacing w:after="0"/>
              <w:rPr>
                <w:sz w:val="20"/>
                <w:szCs w:val="20"/>
                <w:color w:val="auto"/>
              </w:rPr>
            </w:pPr>
            <w:r>
              <w:rPr>
                <w:rFonts w:ascii="Arial" w:cs="Arial" w:eastAsia="Arial" w:hAnsi="Arial"/>
                <w:sz w:val="15"/>
                <w:szCs w:val="15"/>
                <w:color w:val="auto"/>
              </w:rPr>
              <w:t>ended December 31, 2025:</w:t>
            </w:r>
          </w:p>
        </w:tc>
        <w:tc>
          <w:tcPr>
            <w:tcW w:w="1360" w:type="dxa"/>
            <w:vAlign w:val="bottom"/>
          </w:tcPr>
          <w:p>
            <w:pPr>
              <w:spacing w:after="0"/>
              <w:rPr>
                <w:sz w:val="7"/>
                <w:szCs w:val="7"/>
                <w:color w:val="auto"/>
              </w:rPr>
            </w:pPr>
          </w:p>
        </w:tc>
        <w:tc>
          <w:tcPr>
            <w:tcW w:w="12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180" w:type="dxa"/>
            <w:vAlign w:val="bottom"/>
          </w:tcPr>
          <w:p>
            <w:pPr>
              <w:spacing w:after="0"/>
              <w:rPr>
                <w:sz w:val="7"/>
                <w:szCs w:val="7"/>
                <w:color w:val="auto"/>
              </w:rPr>
            </w:pPr>
          </w:p>
        </w:tc>
        <w:tc>
          <w:tcPr>
            <w:tcW w:w="660" w:type="dxa"/>
            <w:vAlign w:val="bottom"/>
          </w:tcPr>
          <w:p>
            <w:pPr>
              <w:spacing w:after="0"/>
              <w:rPr>
                <w:sz w:val="7"/>
                <w:szCs w:val="7"/>
                <w:color w:val="auto"/>
              </w:rPr>
            </w:pPr>
          </w:p>
        </w:tc>
        <w:tc>
          <w:tcPr>
            <w:tcW w:w="1280" w:type="dxa"/>
            <w:vAlign w:val="bottom"/>
            <w:vMerge w:val="continue"/>
          </w:tcPr>
          <w:p>
            <w:pPr>
              <w:spacing w:after="0"/>
              <w:rPr>
                <w:sz w:val="7"/>
                <w:szCs w:val="7"/>
                <w:color w:val="auto"/>
              </w:rPr>
            </w:pPr>
          </w:p>
        </w:tc>
        <w:tc>
          <w:tcPr>
            <w:tcW w:w="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8"/>
        </w:trPr>
        <w:tc>
          <w:tcPr>
            <w:tcW w:w="1940" w:type="dxa"/>
            <w:vAlign w:val="bottom"/>
            <w:vMerge w:val="continue"/>
          </w:tcPr>
          <w:p>
            <w:pPr>
              <w:spacing w:after="0"/>
              <w:rPr>
                <w:sz w:val="11"/>
                <w:szCs w:val="11"/>
                <w:color w:val="auto"/>
              </w:rPr>
            </w:pPr>
          </w:p>
        </w:tc>
        <w:tc>
          <w:tcPr>
            <w:tcW w:w="13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80" w:type="dxa"/>
            <w:vAlign w:val="bottom"/>
          </w:tcPr>
          <w:p>
            <w:pPr>
              <w:ind w:left="140"/>
              <w:spacing w:after="0" w:line="128" w:lineRule="exact"/>
              <w:rPr>
                <w:sz w:val="20"/>
                <w:szCs w:val="20"/>
                <w:color w:val="auto"/>
              </w:rPr>
            </w:pPr>
            <w:r>
              <w:rPr>
                <w:rFonts w:ascii="Arial" w:cs="Arial" w:eastAsia="Arial" w:hAnsi="Arial"/>
                <w:sz w:val="12"/>
                <w:szCs w:val="12"/>
                <w:color w:val="FFFFFF"/>
              </w:rPr>
              <w:t>Discussion and</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19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Analysis</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19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002B5F"/>
                <w:w w:val="95"/>
              </w:rPr>
              <w:t>Aggregate</w:t>
            </w:r>
          </w:p>
        </w:tc>
        <w:tc>
          <w:tcPr>
            <w:tcW w:w="1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80" w:type="dxa"/>
            <w:vAlign w:val="bottom"/>
            <w:vMerge w:val="restart"/>
          </w:tcPr>
          <w:p>
            <w:pPr>
              <w:ind w:left="140"/>
              <w:spacing w:after="0"/>
              <w:rPr>
                <w:sz w:val="20"/>
                <w:szCs w:val="20"/>
                <w:color w:val="auto"/>
              </w:rPr>
            </w:pPr>
            <w:r>
              <w:rPr>
                <w:rFonts w:ascii="Arial" w:cs="Arial" w:eastAsia="Arial" w:hAnsi="Arial"/>
                <w:sz w:val="12"/>
                <w:szCs w:val="12"/>
                <w:color w:val="FFFFFF"/>
              </w:rPr>
              <w:t>Report of the</w:t>
            </w: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1940" w:type="dxa"/>
            <w:vAlign w:val="bottom"/>
          </w:tcPr>
          <w:p>
            <w:pPr>
              <w:spacing w:after="0"/>
              <w:rPr>
                <w:sz w:val="5"/>
                <w:szCs w:val="5"/>
                <w:color w:val="auto"/>
              </w:rPr>
            </w:pPr>
          </w:p>
        </w:tc>
        <w:tc>
          <w:tcPr>
            <w:tcW w:w="1360" w:type="dxa"/>
            <w:vAlign w:val="bottom"/>
            <w:vMerge w:val="restart"/>
          </w:tcPr>
          <w:p>
            <w:pPr>
              <w:jc w:val="center"/>
              <w:ind w:left="92"/>
              <w:spacing w:after="0"/>
              <w:rPr>
                <w:sz w:val="20"/>
                <w:szCs w:val="20"/>
                <w:color w:val="auto"/>
              </w:rPr>
            </w:pPr>
            <w:r>
              <w:rPr>
                <w:rFonts w:ascii="Arial" w:cs="Arial" w:eastAsia="Arial" w:hAnsi="Arial"/>
                <w:sz w:val="14"/>
                <w:szCs w:val="14"/>
                <w:b w:val="1"/>
                <w:bCs w:val="1"/>
                <w:color w:val="002B5F"/>
                <w:w w:val="97"/>
              </w:rPr>
              <w:t>Executive</w:t>
            </w:r>
          </w:p>
        </w:tc>
        <w:tc>
          <w:tcPr>
            <w:tcW w:w="1220" w:type="dxa"/>
            <w:vAlign w:val="bottom"/>
            <w:vMerge w:val="restart"/>
          </w:tcPr>
          <w:p>
            <w:pPr>
              <w:jc w:val="center"/>
              <w:spacing w:after="0"/>
              <w:rPr>
                <w:sz w:val="20"/>
                <w:szCs w:val="20"/>
                <w:color w:val="auto"/>
              </w:rPr>
            </w:pPr>
            <w:r>
              <w:rPr>
                <w:rFonts w:ascii="Arial" w:cs="Arial" w:eastAsia="Arial" w:hAnsi="Arial"/>
                <w:sz w:val="14"/>
                <w:szCs w:val="14"/>
                <w:b w:val="1"/>
                <w:bCs w:val="1"/>
                <w:color w:val="002B5F"/>
                <w:w w:val="95"/>
              </w:rPr>
              <w:t>Registrant</w:t>
            </w:r>
          </w:p>
        </w:tc>
        <w:tc>
          <w:tcPr>
            <w:tcW w:w="1020" w:type="dxa"/>
            <w:vAlign w:val="bottom"/>
            <w:vMerge w:val="restart"/>
          </w:tcPr>
          <w:p>
            <w:pPr>
              <w:jc w:val="center"/>
              <w:spacing w:after="0"/>
              <w:rPr>
                <w:sz w:val="20"/>
                <w:szCs w:val="20"/>
                <w:color w:val="auto"/>
              </w:rPr>
            </w:pPr>
            <w:r>
              <w:rPr>
                <w:rFonts w:ascii="Arial" w:cs="Arial" w:eastAsia="Arial" w:hAnsi="Arial"/>
                <w:sz w:val="14"/>
                <w:szCs w:val="14"/>
                <w:b w:val="1"/>
                <w:bCs w:val="1"/>
                <w:color w:val="002B5F"/>
                <w:w w:val="96"/>
              </w:rPr>
              <w:t>Earnings</w:t>
            </w:r>
          </w:p>
        </w:tc>
        <w:tc>
          <w:tcPr>
            <w:tcW w:w="1160" w:type="dxa"/>
            <w:vAlign w:val="bottom"/>
          </w:tcPr>
          <w:p>
            <w:pPr>
              <w:spacing w:after="0"/>
              <w:rPr>
                <w:sz w:val="5"/>
                <w:szCs w:val="5"/>
                <w:color w:val="auto"/>
              </w:rPr>
            </w:pPr>
          </w:p>
        </w:tc>
        <w:tc>
          <w:tcPr>
            <w:tcW w:w="1840" w:type="dxa"/>
            <w:vAlign w:val="bottom"/>
            <w:gridSpan w:val="2"/>
            <w:vMerge w:val="restart"/>
          </w:tcPr>
          <w:p>
            <w:pPr>
              <w:jc w:val="center"/>
              <w:ind w:right="423"/>
              <w:spacing w:after="0"/>
              <w:rPr>
                <w:sz w:val="20"/>
                <w:szCs w:val="20"/>
                <w:color w:val="auto"/>
              </w:rPr>
            </w:pPr>
            <w:r>
              <w:rPr>
                <w:rFonts w:ascii="Arial" w:cs="Arial" w:eastAsia="Arial" w:hAnsi="Arial"/>
                <w:sz w:val="14"/>
                <w:szCs w:val="14"/>
                <w:b w:val="1"/>
                <w:bCs w:val="1"/>
                <w:color w:val="002B5F"/>
                <w:w w:val="95"/>
              </w:rPr>
              <w:t>Aggregate</w:t>
            </w:r>
          </w:p>
        </w:tc>
        <w:tc>
          <w:tcPr>
            <w:tcW w:w="128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0"/>
        </w:trPr>
        <w:tc>
          <w:tcPr>
            <w:tcW w:w="194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1160" w:type="dxa"/>
            <w:vAlign w:val="bottom"/>
            <w:vMerge w:val="restart"/>
          </w:tcPr>
          <w:p>
            <w:pPr>
              <w:jc w:val="center"/>
              <w:spacing w:after="0"/>
              <w:rPr>
                <w:sz w:val="20"/>
                <w:szCs w:val="20"/>
                <w:color w:val="auto"/>
              </w:rPr>
            </w:pPr>
            <w:r>
              <w:rPr>
                <w:rFonts w:ascii="Arial" w:cs="Arial" w:eastAsia="Arial" w:hAnsi="Arial"/>
                <w:sz w:val="14"/>
                <w:szCs w:val="14"/>
                <w:b w:val="1"/>
                <w:bCs w:val="1"/>
                <w:color w:val="002B5F"/>
                <w:w w:val="95"/>
              </w:rPr>
              <w:t>Aggregate</w:t>
            </w:r>
          </w:p>
        </w:tc>
        <w:tc>
          <w:tcPr>
            <w:tcW w:w="1840" w:type="dxa"/>
            <w:vAlign w:val="bottom"/>
            <w:gridSpan w:val="2"/>
            <w:vMerge w:val="continue"/>
          </w:tcPr>
          <w:p>
            <w:pPr>
              <w:spacing w:after="0"/>
              <w:rPr>
                <w:sz w:val="10"/>
                <w:szCs w:val="10"/>
                <w:color w:val="auto"/>
              </w:rPr>
            </w:pPr>
          </w:p>
        </w:tc>
        <w:tc>
          <w:tcPr>
            <w:tcW w:w="1280" w:type="dxa"/>
            <w:vAlign w:val="bottom"/>
          </w:tcPr>
          <w:p>
            <w:pPr>
              <w:ind w:left="140"/>
              <w:spacing w:after="0" w:line="120" w:lineRule="exact"/>
              <w:rPr>
                <w:sz w:val="20"/>
                <w:szCs w:val="20"/>
                <w:color w:val="auto"/>
              </w:rPr>
            </w:pPr>
            <w:r>
              <w:rPr>
                <w:rFonts w:ascii="Arial" w:cs="Arial" w:eastAsia="Arial" w:hAnsi="Arial"/>
                <w:sz w:val="12"/>
                <w:szCs w:val="12"/>
                <w:color w:val="FFFFFF"/>
              </w:rPr>
              <w:t>Compensation</w:t>
            </w: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1940" w:type="dxa"/>
            <w:vAlign w:val="bottom"/>
          </w:tcPr>
          <w:p>
            <w:pPr>
              <w:spacing w:after="0"/>
              <w:rPr>
                <w:sz w:val="11"/>
                <w:szCs w:val="11"/>
                <w:color w:val="auto"/>
              </w:rPr>
            </w:pPr>
          </w:p>
        </w:tc>
        <w:tc>
          <w:tcPr>
            <w:tcW w:w="1360" w:type="dxa"/>
            <w:vAlign w:val="bottom"/>
          </w:tcPr>
          <w:p>
            <w:pPr>
              <w:jc w:val="center"/>
              <w:ind w:left="72"/>
              <w:spacing w:after="0" w:line="128" w:lineRule="exact"/>
              <w:rPr>
                <w:sz w:val="20"/>
                <w:szCs w:val="20"/>
                <w:color w:val="auto"/>
              </w:rPr>
            </w:pPr>
            <w:r>
              <w:rPr>
                <w:rFonts w:ascii="Arial" w:cs="Arial" w:eastAsia="Arial" w:hAnsi="Arial"/>
                <w:sz w:val="14"/>
                <w:szCs w:val="14"/>
                <w:b w:val="1"/>
                <w:bCs w:val="1"/>
                <w:color w:val="002B5F"/>
                <w:w w:val="98"/>
              </w:rPr>
              <w:t>Contributions</w:t>
            </w:r>
          </w:p>
        </w:tc>
        <w:tc>
          <w:tcPr>
            <w:tcW w:w="1220" w:type="dxa"/>
            <w:vAlign w:val="bottom"/>
          </w:tcPr>
          <w:p>
            <w:pPr>
              <w:jc w:val="center"/>
              <w:spacing w:after="0" w:line="128" w:lineRule="exact"/>
              <w:rPr>
                <w:sz w:val="20"/>
                <w:szCs w:val="20"/>
                <w:color w:val="auto"/>
              </w:rPr>
            </w:pPr>
            <w:r>
              <w:rPr>
                <w:rFonts w:ascii="Arial" w:cs="Arial" w:eastAsia="Arial" w:hAnsi="Arial"/>
                <w:sz w:val="14"/>
                <w:szCs w:val="14"/>
                <w:b w:val="1"/>
                <w:bCs w:val="1"/>
                <w:color w:val="002B5F"/>
                <w:w w:val="98"/>
              </w:rPr>
              <w:t>Contributions</w:t>
            </w:r>
          </w:p>
        </w:tc>
        <w:tc>
          <w:tcPr>
            <w:tcW w:w="1020" w:type="dxa"/>
            <w:vAlign w:val="bottom"/>
          </w:tcPr>
          <w:p>
            <w:pPr>
              <w:jc w:val="center"/>
              <w:spacing w:after="0" w:line="128" w:lineRule="exact"/>
              <w:rPr>
                <w:sz w:val="20"/>
                <w:szCs w:val="20"/>
                <w:color w:val="auto"/>
              </w:rPr>
            </w:pPr>
            <w:r>
              <w:rPr>
                <w:rFonts w:ascii="Arial" w:cs="Arial" w:eastAsia="Arial" w:hAnsi="Arial"/>
                <w:sz w:val="14"/>
                <w:szCs w:val="14"/>
                <w:b w:val="1"/>
                <w:bCs w:val="1"/>
                <w:color w:val="002B5F"/>
                <w:w w:val="96"/>
              </w:rPr>
              <w:t>in</w:t>
            </w:r>
          </w:p>
        </w:tc>
        <w:tc>
          <w:tcPr>
            <w:tcW w:w="1160" w:type="dxa"/>
            <w:vAlign w:val="bottom"/>
            <w:vMerge w:val="continue"/>
          </w:tcPr>
          <w:p>
            <w:pPr>
              <w:spacing w:after="0"/>
              <w:rPr>
                <w:sz w:val="11"/>
                <w:szCs w:val="11"/>
                <w:color w:val="auto"/>
              </w:rPr>
            </w:pPr>
          </w:p>
        </w:tc>
        <w:tc>
          <w:tcPr>
            <w:tcW w:w="1840" w:type="dxa"/>
            <w:vAlign w:val="bottom"/>
            <w:gridSpan w:val="2"/>
          </w:tcPr>
          <w:p>
            <w:pPr>
              <w:jc w:val="center"/>
              <w:ind w:right="403"/>
              <w:spacing w:after="0" w:line="128" w:lineRule="exact"/>
              <w:rPr>
                <w:sz w:val="20"/>
                <w:szCs w:val="20"/>
                <w:color w:val="auto"/>
              </w:rPr>
            </w:pPr>
            <w:r>
              <w:rPr>
                <w:rFonts w:ascii="Arial" w:cs="Arial" w:eastAsia="Arial" w:hAnsi="Arial"/>
                <w:sz w:val="14"/>
                <w:szCs w:val="14"/>
                <w:b w:val="1"/>
                <w:bCs w:val="1"/>
                <w:color w:val="002B5F"/>
                <w:w w:val="97"/>
              </w:rPr>
              <w:t>Balance at Last</w:t>
            </w:r>
          </w:p>
        </w:tc>
        <w:tc>
          <w:tcPr>
            <w:tcW w:w="1280" w:type="dxa"/>
            <w:vAlign w:val="bottom"/>
          </w:tcPr>
          <w:p>
            <w:pPr>
              <w:ind w:left="140"/>
              <w:spacing w:after="0" w:line="128" w:lineRule="exact"/>
              <w:rPr>
                <w:sz w:val="20"/>
                <w:szCs w:val="20"/>
                <w:color w:val="auto"/>
              </w:rPr>
            </w:pPr>
            <w:r>
              <w:rPr>
                <w:rFonts w:ascii="Arial" w:cs="Arial" w:eastAsia="Arial" w:hAnsi="Arial"/>
                <w:sz w:val="12"/>
                <w:szCs w:val="12"/>
                <w:color w:val="FFFFFF"/>
              </w:rPr>
              <w:t>and Human</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40" w:type="dxa"/>
            <w:vAlign w:val="bottom"/>
          </w:tcPr>
          <w:p>
            <w:pPr>
              <w:spacing w:after="0"/>
              <w:rPr>
                <w:sz w:val="11"/>
                <w:szCs w:val="11"/>
                <w:color w:val="auto"/>
              </w:rPr>
            </w:pPr>
          </w:p>
        </w:tc>
        <w:tc>
          <w:tcPr>
            <w:tcW w:w="1360" w:type="dxa"/>
            <w:vAlign w:val="bottom"/>
          </w:tcPr>
          <w:p>
            <w:pPr>
              <w:jc w:val="center"/>
              <w:ind w:left="92"/>
              <w:spacing w:after="0" w:line="135" w:lineRule="exact"/>
              <w:rPr>
                <w:sz w:val="20"/>
                <w:szCs w:val="20"/>
                <w:color w:val="auto"/>
              </w:rPr>
            </w:pPr>
            <w:r>
              <w:rPr>
                <w:rFonts w:ascii="Arial" w:cs="Arial" w:eastAsia="Arial" w:hAnsi="Arial"/>
                <w:sz w:val="14"/>
                <w:szCs w:val="14"/>
                <w:b w:val="1"/>
                <w:bCs w:val="1"/>
                <w:color w:val="002B5F"/>
                <w:w w:val="97"/>
              </w:rPr>
              <w:t>in Last</w:t>
            </w:r>
          </w:p>
        </w:tc>
        <w:tc>
          <w:tcPr>
            <w:tcW w:w="1220" w:type="dxa"/>
            <w:vAlign w:val="bottom"/>
          </w:tcPr>
          <w:p>
            <w:pPr>
              <w:jc w:val="center"/>
              <w:spacing w:after="0" w:line="135" w:lineRule="exact"/>
              <w:rPr>
                <w:sz w:val="20"/>
                <w:szCs w:val="20"/>
                <w:color w:val="auto"/>
              </w:rPr>
            </w:pPr>
            <w:r>
              <w:rPr>
                <w:rFonts w:ascii="Arial" w:cs="Arial" w:eastAsia="Arial" w:hAnsi="Arial"/>
                <w:sz w:val="14"/>
                <w:szCs w:val="14"/>
                <w:b w:val="1"/>
                <w:bCs w:val="1"/>
                <w:color w:val="002B5F"/>
                <w:w w:val="97"/>
              </w:rPr>
              <w:t>in Last</w:t>
            </w:r>
          </w:p>
        </w:tc>
        <w:tc>
          <w:tcPr>
            <w:tcW w:w="1020" w:type="dxa"/>
            <w:vAlign w:val="bottom"/>
          </w:tcPr>
          <w:p>
            <w:pPr>
              <w:jc w:val="center"/>
              <w:spacing w:after="0" w:line="135" w:lineRule="exact"/>
              <w:rPr>
                <w:sz w:val="20"/>
                <w:szCs w:val="20"/>
                <w:color w:val="auto"/>
              </w:rPr>
            </w:pPr>
            <w:r>
              <w:rPr>
                <w:rFonts w:ascii="Arial" w:cs="Arial" w:eastAsia="Arial" w:hAnsi="Arial"/>
                <w:sz w:val="14"/>
                <w:szCs w:val="14"/>
                <w:b w:val="1"/>
                <w:bCs w:val="1"/>
                <w:color w:val="002B5F"/>
                <w:w w:val="97"/>
              </w:rPr>
              <w:t>Last</w:t>
            </w:r>
          </w:p>
        </w:tc>
        <w:tc>
          <w:tcPr>
            <w:tcW w:w="1160" w:type="dxa"/>
            <w:vAlign w:val="bottom"/>
          </w:tcPr>
          <w:p>
            <w:pPr>
              <w:jc w:val="center"/>
              <w:spacing w:after="0" w:line="135" w:lineRule="exact"/>
              <w:rPr>
                <w:sz w:val="20"/>
                <w:szCs w:val="20"/>
                <w:color w:val="auto"/>
              </w:rPr>
            </w:pPr>
            <w:r>
              <w:rPr>
                <w:rFonts w:ascii="Arial" w:cs="Arial" w:eastAsia="Arial" w:hAnsi="Arial"/>
                <w:sz w:val="14"/>
                <w:szCs w:val="14"/>
                <w:b w:val="1"/>
                <w:bCs w:val="1"/>
                <w:color w:val="002B5F"/>
                <w:w w:val="97"/>
              </w:rPr>
              <w:t>Withdrawals/</w:t>
            </w:r>
          </w:p>
        </w:tc>
        <w:tc>
          <w:tcPr>
            <w:tcW w:w="1840" w:type="dxa"/>
            <w:vAlign w:val="bottom"/>
            <w:gridSpan w:val="2"/>
          </w:tcPr>
          <w:p>
            <w:pPr>
              <w:jc w:val="center"/>
              <w:ind w:right="423"/>
              <w:spacing w:after="0" w:line="135" w:lineRule="exact"/>
              <w:rPr>
                <w:sz w:val="20"/>
                <w:szCs w:val="20"/>
                <w:color w:val="auto"/>
              </w:rPr>
            </w:pPr>
            <w:r>
              <w:rPr>
                <w:rFonts w:ascii="Arial" w:cs="Arial" w:eastAsia="Arial" w:hAnsi="Arial"/>
                <w:sz w:val="14"/>
                <w:szCs w:val="14"/>
                <w:b w:val="1"/>
                <w:bCs w:val="1"/>
                <w:color w:val="002B5F"/>
                <w:w w:val="94"/>
              </w:rPr>
              <w:t>Fiscal Year</w:t>
            </w:r>
          </w:p>
        </w:tc>
        <w:tc>
          <w:tcPr>
            <w:tcW w:w="1280" w:type="dxa"/>
            <w:vAlign w:val="bottom"/>
          </w:tcPr>
          <w:p>
            <w:pPr>
              <w:ind w:left="140"/>
              <w:spacing w:after="0" w:line="136" w:lineRule="exact"/>
              <w:rPr>
                <w:sz w:val="20"/>
                <w:szCs w:val="20"/>
                <w:color w:val="auto"/>
              </w:rPr>
            </w:pPr>
            <w:r>
              <w:rPr>
                <w:rFonts w:ascii="Arial" w:cs="Arial" w:eastAsia="Arial" w:hAnsi="Arial"/>
                <w:sz w:val="12"/>
                <w:szCs w:val="12"/>
                <w:color w:val="FFFFFF"/>
              </w:rPr>
              <w:t>Resources</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1940" w:type="dxa"/>
            <w:vAlign w:val="bottom"/>
          </w:tcPr>
          <w:p>
            <w:pPr>
              <w:ind w:left="60"/>
              <w:spacing w:after="0" w:line="145" w:lineRule="exact"/>
              <w:rPr>
                <w:sz w:val="20"/>
                <w:szCs w:val="20"/>
                <w:color w:val="auto"/>
              </w:rPr>
            </w:pPr>
            <w:r>
              <w:rPr>
                <w:rFonts w:ascii="Arial" w:cs="Arial" w:eastAsia="Arial" w:hAnsi="Arial"/>
                <w:sz w:val="14"/>
                <w:szCs w:val="14"/>
                <w:b w:val="1"/>
                <w:bCs w:val="1"/>
                <w:color w:val="002B5F"/>
              </w:rPr>
              <w:t>Named</w:t>
            </w:r>
          </w:p>
        </w:tc>
        <w:tc>
          <w:tcPr>
            <w:tcW w:w="1360" w:type="dxa"/>
            <w:vAlign w:val="bottom"/>
          </w:tcPr>
          <w:p>
            <w:pPr>
              <w:jc w:val="center"/>
              <w:ind w:left="72"/>
              <w:spacing w:after="0" w:line="145" w:lineRule="exact"/>
              <w:rPr>
                <w:sz w:val="20"/>
                <w:szCs w:val="20"/>
                <w:color w:val="auto"/>
              </w:rPr>
            </w:pPr>
            <w:r>
              <w:rPr>
                <w:rFonts w:ascii="Arial" w:cs="Arial" w:eastAsia="Arial" w:hAnsi="Arial"/>
                <w:sz w:val="14"/>
                <w:szCs w:val="14"/>
                <w:b w:val="1"/>
                <w:bCs w:val="1"/>
                <w:color w:val="002B5F"/>
                <w:w w:val="94"/>
              </w:rPr>
              <w:t>Fiscal Year</w:t>
            </w:r>
          </w:p>
        </w:tc>
        <w:tc>
          <w:tcPr>
            <w:tcW w:w="1220" w:type="dxa"/>
            <w:vAlign w:val="bottom"/>
          </w:tcPr>
          <w:p>
            <w:pPr>
              <w:jc w:val="center"/>
              <w:spacing w:after="0" w:line="145" w:lineRule="exact"/>
              <w:rPr>
                <w:sz w:val="20"/>
                <w:szCs w:val="20"/>
                <w:color w:val="auto"/>
              </w:rPr>
            </w:pPr>
            <w:r>
              <w:rPr>
                <w:rFonts w:ascii="Arial" w:cs="Arial" w:eastAsia="Arial" w:hAnsi="Arial"/>
                <w:sz w:val="14"/>
                <w:szCs w:val="14"/>
                <w:b w:val="1"/>
                <w:bCs w:val="1"/>
                <w:color w:val="002B5F"/>
                <w:w w:val="94"/>
              </w:rPr>
              <w:t>Fiscal Year</w:t>
            </w:r>
          </w:p>
        </w:tc>
        <w:tc>
          <w:tcPr>
            <w:tcW w:w="1020" w:type="dxa"/>
            <w:vAlign w:val="bottom"/>
          </w:tcPr>
          <w:p>
            <w:pPr>
              <w:jc w:val="center"/>
              <w:spacing w:after="0" w:line="145" w:lineRule="exact"/>
              <w:rPr>
                <w:sz w:val="20"/>
                <w:szCs w:val="20"/>
                <w:color w:val="auto"/>
              </w:rPr>
            </w:pPr>
            <w:r>
              <w:rPr>
                <w:rFonts w:ascii="Arial" w:cs="Arial" w:eastAsia="Arial" w:hAnsi="Arial"/>
                <w:sz w:val="14"/>
                <w:szCs w:val="14"/>
                <w:b w:val="1"/>
                <w:bCs w:val="1"/>
                <w:color w:val="002B5F"/>
                <w:w w:val="94"/>
              </w:rPr>
              <w:t>Fiscal Year</w:t>
            </w:r>
          </w:p>
        </w:tc>
        <w:tc>
          <w:tcPr>
            <w:tcW w:w="1160" w:type="dxa"/>
            <w:vAlign w:val="bottom"/>
          </w:tcPr>
          <w:p>
            <w:pPr>
              <w:jc w:val="center"/>
              <w:spacing w:after="0" w:line="145" w:lineRule="exact"/>
              <w:rPr>
                <w:sz w:val="20"/>
                <w:szCs w:val="20"/>
                <w:color w:val="auto"/>
              </w:rPr>
            </w:pPr>
            <w:r>
              <w:rPr>
                <w:rFonts w:ascii="Arial" w:cs="Arial" w:eastAsia="Arial" w:hAnsi="Arial"/>
                <w:sz w:val="14"/>
                <w:szCs w:val="14"/>
                <w:b w:val="1"/>
                <w:bCs w:val="1"/>
                <w:color w:val="002B5F"/>
                <w:w w:val="97"/>
              </w:rPr>
              <w:t>Distributions</w:t>
            </w:r>
          </w:p>
        </w:tc>
        <w:tc>
          <w:tcPr>
            <w:tcW w:w="1840" w:type="dxa"/>
            <w:vAlign w:val="bottom"/>
            <w:gridSpan w:val="2"/>
          </w:tcPr>
          <w:p>
            <w:pPr>
              <w:jc w:val="center"/>
              <w:ind w:right="423"/>
              <w:spacing w:after="0" w:line="145" w:lineRule="exact"/>
              <w:rPr>
                <w:sz w:val="20"/>
                <w:szCs w:val="20"/>
                <w:color w:val="auto"/>
              </w:rPr>
            </w:pPr>
            <w:r>
              <w:rPr>
                <w:rFonts w:ascii="Arial" w:cs="Arial" w:eastAsia="Arial" w:hAnsi="Arial"/>
                <w:sz w:val="14"/>
                <w:szCs w:val="14"/>
                <w:b w:val="1"/>
                <w:bCs w:val="1"/>
                <w:color w:val="002B5F"/>
                <w:w w:val="98"/>
              </w:rPr>
              <w:t>End</w:t>
            </w:r>
          </w:p>
        </w:tc>
        <w:tc>
          <w:tcPr>
            <w:tcW w:w="1280" w:type="dxa"/>
            <w:vAlign w:val="bottom"/>
          </w:tcPr>
          <w:p>
            <w:pPr>
              <w:ind w:left="140"/>
              <w:spacing w:after="0"/>
              <w:rPr>
                <w:sz w:val="20"/>
                <w:szCs w:val="20"/>
                <w:color w:val="auto"/>
              </w:rPr>
            </w:pPr>
            <w:r>
              <w:rPr>
                <w:rFonts w:ascii="Arial" w:cs="Arial" w:eastAsia="Arial" w:hAnsi="Arial"/>
                <w:sz w:val="12"/>
                <w:szCs w:val="12"/>
                <w:color w:val="FFFFFF"/>
              </w:rPr>
              <w:t>Committee of the</w:t>
            </w: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2"/>
        </w:trPr>
        <w:tc>
          <w:tcPr>
            <w:tcW w:w="1940" w:type="dxa"/>
            <w:vAlign w:val="bottom"/>
            <w:tcBorders>
              <w:bottom w:val="single" w:sz="8" w:color="002B5F"/>
            </w:tcBorders>
          </w:tcPr>
          <w:p>
            <w:pPr>
              <w:ind w:left="60"/>
              <w:spacing w:after="0"/>
              <w:rPr>
                <w:sz w:val="20"/>
                <w:szCs w:val="20"/>
                <w:color w:val="auto"/>
              </w:rPr>
            </w:pPr>
            <w:r>
              <w:rPr>
                <w:rFonts w:ascii="Arial" w:cs="Arial" w:eastAsia="Arial" w:hAnsi="Arial"/>
                <w:sz w:val="14"/>
                <w:szCs w:val="14"/>
                <w:b w:val="1"/>
                <w:bCs w:val="1"/>
                <w:color w:val="002B5F"/>
              </w:rPr>
              <w:t>Executive Officer</w:t>
            </w:r>
          </w:p>
        </w:tc>
        <w:tc>
          <w:tcPr>
            <w:tcW w:w="1360" w:type="dxa"/>
            <w:vAlign w:val="bottom"/>
            <w:tcBorders>
              <w:bottom w:val="single" w:sz="8" w:color="002B5F"/>
            </w:tcBorders>
          </w:tcPr>
          <w:p>
            <w:pPr>
              <w:jc w:val="center"/>
              <w:ind w:left="72"/>
              <w:spacing w:after="0" w:line="217" w:lineRule="exact"/>
              <w:rPr>
                <w:sz w:val="20"/>
                <w:szCs w:val="20"/>
                <w:color w:val="auto"/>
              </w:rPr>
            </w:pPr>
            <w:r>
              <w:rPr>
                <w:rFonts w:ascii="Arial" w:cs="Arial" w:eastAsia="Arial" w:hAnsi="Arial"/>
                <w:sz w:val="14"/>
                <w:szCs w:val="14"/>
                <w:b w:val="1"/>
                <w:bCs w:val="1"/>
                <w:color w:val="002B5F"/>
                <w:w w:val="89"/>
              </w:rPr>
              <w:t>($)</w:t>
            </w:r>
            <w:r>
              <w:rPr>
                <w:rFonts w:ascii="Arial" w:cs="Arial" w:eastAsia="Arial" w:hAnsi="Arial"/>
                <w:sz w:val="20"/>
                <w:szCs w:val="20"/>
                <w:b w:val="1"/>
                <w:bCs w:val="1"/>
                <w:color w:val="002B5F"/>
                <w:w w:val="89"/>
                <w:vertAlign w:val="superscript"/>
              </w:rPr>
              <w:t>(1)</w:t>
            </w:r>
          </w:p>
        </w:tc>
        <w:tc>
          <w:tcPr>
            <w:tcW w:w="1220" w:type="dxa"/>
            <w:vAlign w:val="bottom"/>
            <w:tcBorders>
              <w:bottom w:val="single" w:sz="8" w:color="002B5F"/>
            </w:tcBorders>
          </w:tcPr>
          <w:p>
            <w:pPr>
              <w:jc w:val="center"/>
              <w:spacing w:after="0"/>
              <w:rPr>
                <w:sz w:val="20"/>
                <w:szCs w:val="20"/>
                <w:color w:val="auto"/>
              </w:rPr>
            </w:pPr>
            <w:r>
              <w:rPr>
                <w:rFonts w:ascii="Arial" w:cs="Arial" w:eastAsia="Arial" w:hAnsi="Arial"/>
                <w:sz w:val="14"/>
                <w:szCs w:val="14"/>
                <w:b w:val="1"/>
                <w:bCs w:val="1"/>
                <w:color w:val="002B5F"/>
                <w:w w:val="93"/>
              </w:rPr>
              <w:t>($)</w:t>
            </w:r>
          </w:p>
        </w:tc>
        <w:tc>
          <w:tcPr>
            <w:tcW w:w="1020" w:type="dxa"/>
            <w:vAlign w:val="bottom"/>
            <w:tcBorders>
              <w:bottom w:val="single" w:sz="8" w:color="002B5F"/>
            </w:tcBorders>
          </w:tcPr>
          <w:p>
            <w:pPr>
              <w:jc w:val="center"/>
              <w:spacing w:after="0" w:line="217" w:lineRule="exact"/>
              <w:rPr>
                <w:sz w:val="20"/>
                <w:szCs w:val="20"/>
                <w:color w:val="auto"/>
              </w:rPr>
            </w:pPr>
            <w:r>
              <w:rPr>
                <w:rFonts w:ascii="Arial" w:cs="Arial" w:eastAsia="Arial" w:hAnsi="Arial"/>
                <w:sz w:val="14"/>
                <w:szCs w:val="14"/>
                <w:b w:val="1"/>
                <w:bCs w:val="1"/>
                <w:color w:val="002B5F"/>
                <w:w w:val="89"/>
              </w:rPr>
              <w:t>($)</w:t>
            </w:r>
            <w:r>
              <w:rPr>
                <w:rFonts w:ascii="Arial" w:cs="Arial" w:eastAsia="Arial" w:hAnsi="Arial"/>
                <w:sz w:val="20"/>
                <w:szCs w:val="20"/>
                <w:b w:val="1"/>
                <w:bCs w:val="1"/>
                <w:color w:val="002B5F"/>
                <w:w w:val="89"/>
                <w:vertAlign w:val="superscript"/>
              </w:rPr>
              <w:t>(2)</w:t>
            </w:r>
          </w:p>
        </w:tc>
        <w:tc>
          <w:tcPr>
            <w:tcW w:w="1160" w:type="dxa"/>
            <w:vAlign w:val="bottom"/>
            <w:tcBorders>
              <w:bottom w:val="single" w:sz="8" w:color="002B5F"/>
            </w:tcBorders>
          </w:tcPr>
          <w:p>
            <w:pPr>
              <w:jc w:val="center"/>
              <w:spacing w:after="0"/>
              <w:rPr>
                <w:sz w:val="20"/>
                <w:szCs w:val="20"/>
                <w:color w:val="auto"/>
              </w:rPr>
            </w:pPr>
            <w:r>
              <w:rPr>
                <w:rFonts w:ascii="Arial" w:cs="Arial" w:eastAsia="Arial" w:hAnsi="Arial"/>
                <w:sz w:val="14"/>
                <w:szCs w:val="14"/>
                <w:b w:val="1"/>
                <w:bCs w:val="1"/>
                <w:color w:val="002B5F"/>
              </w:rPr>
              <w:t>($)</w:t>
            </w:r>
          </w:p>
        </w:tc>
        <w:tc>
          <w:tcPr>
            <w:tcW w:w="1180" w:type="dxa"/>
            <w:vAlign w:val="bottom"/>
            <w:tcBorders>
              <w:bottom w:val="single" w:sz="8" w:color="002B5F"/>
            </w:tcBorders>
          </w:tcPr>
          <w:p>
            <w:pPr>
              <w:jc w:val="center"/>
              <w:ind w:left="92"/>
              <w:spacing w:after="0"/>
              <w:rPr>
                <w:sz w:val="20"/>
                <w:szCs w:val="20"/>
                <w:color w:val="auto"/>
              </w:rPr>
            </w:pPr>
            <w:r>
              <w:rPr>
                <w:rFonts w:ascii="Arial" w:cs="Arial" w:eastAsia="Arial" w:hAnsi="Arial"/>
                <w:sz w:val="14"/>
                <w:szCs w:val="14"/>
                <w:b w:val="1"/>
                <w:bCs w:val="1"/>
                <w:color w:val="002B5F"/>
              </w:rPr>
              <w:t>($)</w:t>
            </w:r>
          </w:p>
        </w:tc>
        <w:tc>
          <w:tcPr>
            <w:tcW w:w="660" w:type="dxa"/>
            <w:vAlign w:val="bottom"/>
          </w:tcPr>
          <w:p>
            <w:pPr>
              <w:spacing w:after="0"/>
              <w:rPr>
                <w:sz w:val="19"/>
                <w:szCs w:val="19"/>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Board of Directors</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1940" w:type="dxa"/>
            <w:vAlign w:val="bottom"/>
            <w:shd w:val="clear" w:color="auto" w:fill="F7F1EC"/>
          </w:tcPr>
          <w:p>
            <w:pPr>
              <w:ind w:left="60"/>
              <w:spacing w:after="0"/>
              <w:rPr>
                <w:sz w:val="20"/>
                <w:szCs w:val="20"/>
                <w:color w:val="auto"/>
              </w:rPr>
            </w:pPr>
            <w:r>
              <w:rPr>
                <w:rFonts w:ascii="Arial" w:cs="Arial" w:eastAsia="Arial" w:hAnsi="Arial"/>
                <w:sz w:val="14"/>
                <w:szCs w:val="14"/>
                <w:b w:val="1"/>
                <w:bCs w:val="1"/>
                <w:color w:val="B95827"/>
              </w:rPr>
              <w:t>Richard Steinmeier</w:t>
            </w:r>
          </w:p>
        </w:tc>
        <w:tc>
          <w:tcPr>
            <w:tcW w:w="1360" w:type="dxa"/>
            <w:vAlign w:val="bottom"/>
            <w:shd w:val="clear" w:color="auto" w:fill="F7F1EC"/>
          </w:tcPr>
          <w:p>
            <w:pPr>
              <w:jc w:val="right"/>
              <w:ind w:right="132"/>
              <w:spacing w:after="0"/>
              <w:rPr>
                <w:sz w:val="20"/>
                <w:szCs w:val="20"/>
                <w:color w:val="auto"/>
              </w:rPr>
            </w:pPr>
            <w:r>
              <w:rPr>
                <w:rFonts w:ascii="Arial" w:cs="Arial" w:eastAsia="Arial" w:hAnsi="Arial"/>
                <w:sz w:val="14"/>
                <w:szCs w:val="14"/>
                <w:color w:val="auto"/>
              </w:rPr>
              <w:t>—</w:t>
            </w:r>
          </w:p>
        </w:tc>
        <w:tc>
          <w:tcPr>
            <w:tcW w:w="1220" w:type="dxa"/>
            <w:vAlign w:val="bottom"/>
            <w:shd w:val="clear" w:color="auto" w:fill="F7F1EC"/>
          </w:tcPr>
          <w:p>
            <w:pPr>
              <w:ind w:left="620"/>
              <w:spacing w:after="0"/>
              <w:rPr>
                <w:sz w:val="20"/>
                <w:szCs w:val="20"/>
                <w:color w:val="auto"/>
              </w:rPr>
            </w:pPr>
            <w:r>
              <w:rPr>
                <w:rFonts w:ascii="Arial" w:cs="Arial" w:eastAsia="Arial" w:hAnsi="Arial"/>
                <w:sz w:val="14"/>
                <w:szCs w:val="14"/>
                <w:color w:val="auto"/>
              </w:rPr>
              <w:t>—</w:t>
            </w:r>
          </w:p>
        </w:tc>
        <w:tc>
          <w:tcPr>
            <w:tcW w:w="1020" w:type="dxa"/>
            <w:vAlign w:val="bottom"/>
            <w:shd w:val="clear" w:color="auto" w:fill="F7F1EC"/>
          </w:tcPr>
          <w:p>
            <w:pPr>
              <w:jc w:val="right"/>
              <w:ind w:right="92"/>
              <w:spacing w:after="0"/>
              <w:rPr>
                <w:sz w:val="20"/>
                <w:szCs w:val="20"/>
                <w:color w:val="auto"/>
              </w:rPr>
            </w:pPr>
            <w:r>
              <w:rPr>
                <w:rFonts w:ascii="Arial" w:cs="Arial" w:eastAsia="Arial" w:hAnsi="Arial"/>
                <w:sz w:val="14"/>
                <w:szCs w:val="14"/>
                <w:color w:val="auto"/>
              </w:rPr>
              <w:t>—</w:t>
            </w:r>
          </w:p>
        </w:tc>
        <w:tc>
          <w:tcPr>
            <w:tcW w:w="1160" w:type="dxa"/>
            <w:vAlign w:val="bottom"/>
            <w:shd w:val="clear" w:color="auto" w:fill="F7F1EC"/>
          </w:tcPr>
          <w:p>
            <w:pPr>
              <w:jc w:val="right"/>
              <w:ind w:right="192"/>
              <w:spacing w:after="0"/>
              <w:rPr>
                <w:sz w:val="20"/>
                <w:szCs w:val="20"/>
                <w:color w:val="auto"/>
              </w:rPr>
            </w:pPr>
            <w:r>
              <w:rPr>
                <w:rFonts w:ascii="Arial" w:cs="Arial" w:eastAsia="Arial" w:hAnsi="Arial"/>
                <w:sz w:val="14"/>
                <w:szCs w:val="14"/>
                <w:color w:val="auto"/>
              </w:rPr>
              <w:t>—</w:t>
            </w:r>
          </w:p>
        </w:tc>
        <w:tc>
          <w:tcPr>
            <w:tcW w:w="1180" w:type="dxa"/>
            <w:vAlign w:val="bottom"/>
            <w:shd w:val="clear" w:color="auto" w:fill="F7F1EC"/>
          </w:tcPr>
          <w:p>
            <w:pPr>
              <w:jc w:val="right"/>
              <w:ind w:right="112"/>
              <w:spacing w:after="0"/>
              <w:rPr>
                <w:sz w:val="20"/>
                <w:szCs w:val="20"/>
                <w:color w:val="auto"/>
              </w:rPr>
            </w:pPr>
            <w:r>
              <w:rPr>
                <w:rFonts w:ascii="Arial" w:cs="Arial" w:eastAsia="Arial" w:hAnsi="Arial"/>
                <w:sz w:val="14"/>
                <w:szCs w:val="14"/>
                <w:color w:val="auto"/>
              </w:rPr>
              <w:t>—</w:t>
            </w:r>
          </w:p>
        </w:tc>
        <w:tc>
          <w:tcPr>
            <w:tcW w:w="660" w:type="dxa"/>
            <w:vAlign w:val="bottom"/>
          </w:tcPr>
          <w:p>
            <w:pPr>
              <w:spacing w:after="0"/>
              <w:rPr>
                <w:sz w:val="16"/>
                <w:szCs w:val="16"/>
                <w:color w:val="auto"/>
              </w:rPr>
            </w:pPr>
          </w:p>
        </w:tc>
        <w:tc>
          <w:tcPr>
            <w:tcW w:w="1280" w:type="dxa"/>
            <w:vAlign w:val="bottom"/>
          </w:tcPr>
          <w:p>
            <w:pPr>
              <w:ind w:left="140"/>
              <w:spacing w:after="0"/>
              <w:rPr>
                <w:sz w:val="20"/>
                <w:szCs w:val="20"/>
                <w:color w:val="auto"/>
              </w:rPr>
            </w:pPr>
            <w:r>
              <w:rPr>
                <w:rFonts w:ascii="Arial" w:cs="Arial" w:eastAsia="Arial" w:hAnsi="Arial"/>
                <w:sz w:val="12"/>
                <w:szCs w:val="12"/>
                <w:b w:val="1"/>
                <w:bCs w:val="1"/>
                <w:color w:val="FFFFFF"/>
              </w:rPr>
              <w:t>Compensation of</w:t>
            </w: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7"/>
        </w:trPr>
        <w:tc>
          <w:tcPr>
            <w:tcW w:w="1940" w:type="dxa"/>
            <w:vAlign w:val="bottom"/>
            <w:shd w:val="clear" w:color="auto" w:fill="F7F1EC"/>
          </w:tcPr>
          <w:p>
            <w:pPr>
              <w:spacing w:after="0"/>
              <w:rPr>
                <w:sz w:val="6"/>
                <w:szCs w:val="6"/>
                <w:color w:val="auto"/>
              </w:rPr>
            </w:pPr>
          </w:p>
        </w:tc>
        <w:tc>
          <w:tcPr>
            <w:tcW w:w="1360" w:type="dxa"/>
            <w:vAlign w:val="bottom"/>
            <w:shd w:val="clear" w:color="auto" w:fill="F7F1EC"/>
          </w:tcPr>
          <w:p>
            <w:pPr>
              <w:spacing w:after="0"/>
              <w:rPr>
                <w:sz w:val="6"/>
                <w:szCs w:val="6"/>
                <w:color w:val="auto"/>
              </w:rPr>
            </w:pPr>
          </w:p>
        </w:tc>
        <w:tc>
          <w:tcPr>
            <w:tcW w:w="1220" w:type="dxa"/>
            <w:vAlign w:val="bottom"/>
            <w:shd w:val="clear" w:color="auto" w:fill="F7F1EC"/>
          </w:tcPr>
          <w:p>
            <w:pPr>
              <w:spacing w:after="0"/>
              <w:rPr>
                <w:sz w:val="6"/>
                <w:szCs w:val="6"/>
                <w:color w:val="auto"/>
              </w:rPr>
            </w:pPr>
          </w:p>
        </w:tc>
        <w:tc>
          <w:tcPr>
            <w:tcW w:w="1020" w:type="dxa"/>
            <w:vAlign w:val="bottom"/>
            <w:shd w:val="clear" w:color="auto" w:fill="F7F1EC"/>
          </w:tcPr>
          <w:p>
            <w:pPr>
              <w:spacing w:after="0"/>
              <w:rPr>
                <w:sz w:val="6"/>
                <w:szCs w:val="6"/>
                <w:color w:val="auto"/>
              </w:rPr>
            </w:pPr>
          </w:p>
        </w:tc>
        <w:tc>
          <w:tcPr>
            <w:tcW w:w="1160" w:type="dxa"/>
            <w:vAlign w:val="bottom"/>
            <w:shd w:val="clear" w:color="auto" w:fill="F7F1EC"/>
          </w:tcPr>
          <w:p>
            <w:pPr>
              <w:spacing w:after="0"/>
              <w:rPr>
                <w:sz w:val="6"/>
                <w:szCs w:val="6"/>
                <w:color w:val="auto"/>
              </w:rPr>
            </w:pPr>
          </w:p>
        </w:tc>
        <w:tc>
          <w:tcPr>
            <w:tcW w:w="1180" w:type="dxa"/>
            <w:vAlign w:val="bottom"/>
            <w:shd w:val="clear" w:color="auto" w:fill="F7F1EC"/>
          </w:tcPr>
          <w:p>
            <w:pPr>
              <w:spacing w:after="0"/>
              <w:rPr>
                <w:sz w:val="6"/>
                <w:szCs w:val="6"/>
                <w:color w:val="auto"/>
              </w:rPr>
            </w:pPr>
          </w:p>
        </w:tc>
        <w:tc>
          <w:tcPr>
            <w:tcW w:w="660" w:type="dxa"/>
            <w:vAlign w:val="bottom"/>
          </w:tcPr>
          <w:p>
            <w:pPr>
              <w:spacing w:after="0"/>
              <w:rPr>
                <w:sz w:val="6"/>
                <w:szCs w:val="6"/>
                <w:color w:val="auto"/>
              </w:rPr>
            </w:pPr>
          </w:p>
        </w:tc>
        <w:tc>
          <w:tcPr>
            <w:tcW w:w="1280" w:type="dxa"/>
            <w:vAlign w:val="bottom"/>
            <w:vMerge w:val="restart"/>
          </w:tcPr>
          <w:p>
            <w:pPr>
              <w:ind w:left="140"/>
              <w:spacing w:after="0" w:line="97" w:lineRule="exact"/>
              <w:rPr>
                <w:sz w:val="20"/>
                <w:szCs w:val="20"/>
                <w:color w:val="auto"/>
              </w:rPr>
            </w:pPr>
            <w:r>
              <w:rPr>
                <w:rFonts w:ascii="Arial" w:cs="Arial" w:eastAsia="Arial" w:hAnsi="Arial"/>
                <w:sz w:val="11"/>
                <w:szCs w:val="11"/>
                <w:b w:val="1"/>
                <w:bCs w:val="1"/>
                <w:color w:val="FFFFFF"/>
              </w:rPr>
              <w:t>Named Executive</w:t>
            </w:r>
          </w:p>
        </w:tc>
        <w:tc>
          <w:tcPr>
            <w:tcW w:w="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
        </w:trPr>
        <w:tc>
          <w:tcPr>
            <w:tcW w:w="19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80" w:type="dxa"/>
            <w:vAlign w:val="bottom"/>
            <w:vMerge w:val="continu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1940" w:type="dxa"/>
            <w:vAlign w:val="bottom"/>
            <w:vMerge w:val="restart"/>
          </w:tcPr>
          <w:p>
            <w:pPr>
              <w:ind w:left="60"/>
              <w:spacing w:after="0"/>
              <w:rPr>
                <w:sz w:val="20"/>
                <w:szCs w:val="20"/>
                <w:color w:val="auto"/>
              </w:rPr>
            </w:pPr>
            <w:r>
              <w:rPr>
                <w:rFonts w:ascii="Arial" w:cs="Arial" w:eastAsia="Arial" w:hAnsi="Arial"/>
                <w:sz w:val="14"/>
                <w:szCs w:val="14"/>
                <w:b w:val="1"/>
                <w:bCs w:val="1"/>
                <w:color w:val="B95827"/>
              </w:rPr>
              <w:t>Matthew Audette</w:t>
            </w:r>
          </w:p>
        </w:tc>
        <w:tc>
          <w:tcPr>
            <w:tcW w:w="1360" w:type="dxa"/>
            <w:vAlign w:val="bottom"/>
            <w:vMerge w:val="restart"/>
          </w:tcPr>
          <w:p>
            <w:pPr>
              <w:jc w:val="right"/>
              <w:ind w:right="132"/>
              <w:spacing w:after="0"/>
              <w:rPr>
                <w:sz w:val="20"/>
                <w:szCs w:val="20"/>
                <w:color w:val="auto"/>
              </w:rPr>
            </w:pPr>
            <w:r>
              <w:rPr>
                <w:rFonts w:ascii="Arial" w:cs="Arial" w:eastAsia="Arial" w:hAnsi="Arial"/>
                <w:sz w:val="14"/>
                <w:szCs w:val="14"/>
                <w:color w:val="auto"/>
              </w:rPr>
              <w:t>300,000</w:t>
            </w:r>
          </w:p>
        </w:tc>
        <w:tc>
          <w:tcPr>
            <w:tcW w:w="1220" w:type="dxa"/>
            <w:vAlign w:val="bottom"/>
            <w:vMerge w:val="restart"/>
          </w:tcPr>
          <w:p>
            <w:pPr>
              <w:ind w:left="620"/>
              <w:spacing w:after="0"/>
              <w:rPr>
                <w:sz w:val="20"/>
                <w:szCs w:val="20"/>
                <w:color w:val="auto"/>
              </w:rPr>
            </w:pPr>
            <w:r>
              <w:rPr>
                <w:rFonts w:ascii="Arial" w:cs="Arial" w:eastAsia="Arial" w:hAnsi="Arial"/>
                <w:sz w:val="14"/>
                <w:szCs w:val="14"/>
                <w:color w:val="auto"/>
              </w:rPr>
              <w:t>—</w:t>
            </w:r>
          </w:p>
        </w:tc>
        <w:tc>
          <w:tcPr>
            <w:tcW w:w="1020" w:type="dxa"/>
            <w:vAlign w:val="bottom"/>
            <w:vMerge w:val="restart"/>
          </w:tcPr>
          <w:p>
            <w:pPr>
              <w:jc w:val="right"/>
              <w:ind w:right="92"/>
              <w:spacing w:after="0"/>
              <w:rPr>
                <w:sz w:val="20"/>
                <w:szCs w:val="20"/>
                <w:color w:val="auto"/>
              </w:rPr>
            </w:pPr>
            <w:r>
              <w:rPr>
                <w:rFonts w:ascii="Arial" w:cs="Arial" w:eastAsia="Arial" w:hAnsi="Arial"/>
                <w:sz w:val="14"/>
                <w:szCs w:val="14"/>
                <w:color w:val="auto"/>
              </w:rPr>
              <w:t>258,436</w:t>
            </w:r>
          </w:p>
        </w:tc>
        <w:tc>
          <w:tcPr>
            <w:tcW w:w="1160" w:type="dxa"/>
            <w:vAlign w:val="bottom"/>
            <w:vMerge w:val="restart"/>
          </w:tcPr>
          <w:p>
            <w:pPr>
              <w:jc w:val="right"/>
              <w:ind w:right="192"/>
              <w:spacing w:after="0"/>
              <w:rPr>
                <w:sz w:val="20"/>
                <w:szCs w:val="20"/>
                <w:color w:val="auto"/>
              </w:rPr>
            </w:pPr>
            <w:r>
              <w:rPr>
                <w:rFonts w:ascii="Arial" w:cs="Arial" w:eastAsia="Arial" w:hAnsi="Arial"/>
                <w:sz w:val="14"/>
                <w:szCs w:val="14"/>
                <w:color w:val="auto"/>
              </w:rPr>
              <w:t>—</w:t>
            </w:r>
          </w:p>
        </w:tc>
        <w:tc>
          <w:tcPr>
            <w:tcW w:w="1180" w:type="dxa"/>
            <w:vAlign w:val="bottom"/>
            <w:vMerge w:val="restart"/>
          </w:tcPr>
          <w:p>
            <w:pPr>
              <w:jc w:val="right"/>
              <w:ind w:right="112"/>
              <w:spacing w:after="0"/>
              <w:rPr>
                <w:sz w:val="20"/>
                <w:szCs w:val="20"/>
                <w:color w:val="auto"/>
              </w:rPr>
            </w:pPr>
            <w:r>
              <w:rPr>
                <w:rFonts w:ascii="Arial" w:cs="Arial" w:eastAsia="Arial" w:hAnsi="Arial"/>
                <w:sz w:val="14"/>
                <w:szCs w:val="14"/>
                <w:color w:val="auto"/>
              </w:rPr>
              <w:t>1,675,499</w:t>
            </w:r>
          </w:p>
        </w:tc>
        <w:tc>
          <w:tcPr>
            <w:tcW w:w="660" w:type="dxa"/>
            <w:vAlign w:val="bottom"/>
          </w:tcPr>
          <w:p>
            <w:pPr>
              <w:spacing w:after="0"/>
              <w:rPr>
                <w:sz w:val="14"/>
                <w:szCs w:val="14"/>
                <w:color w:val="auto"/>
              </w:rPr>
            </w:pPr>
          </w:p>
        </w:tc>
        <w:tc>
          <w:tcPr>
            <w:tcW w:w="1280" w:type="dxa"/>
            <w:vAlign w:val="bottom"/>
          </w:tcPr>
          <w:p>
            <w:pPr>
              <w:ind w:left="140"/>
              <w:spacing w:after="0"/>
              <w:rPr>
                <w:sz w:val="20"/>
                <w:szCs w:val="20"/>
                <w:color w:val="auto"/>
              </w:rPr>
            </w:pPr>
            <w:r>
              <w:rPr>
                <w:rFonts w:ascii="Arial" w:cs="Arial" w:eastAsia="Arial" w:hAnsi="Arial"/>
                <w:sz w:val="12"/>
                <w:szCs w:val="12"/>
                <w:b w:val="1"/>
                <w:bCs w:val="1"/>
                <w:color w:val="FFFFFF"/>
              </w:rPr>
              <w:t>Officers</w:t>
            </w: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0"/>
        </w:trPr>
        <w:tc>
          <w:tcPr>
            <w:tcW w:w="1940" w:type="dxa"/>
            <w:vAlign w:val="bottom"/>
            <w:vMerge w:val="continue"/>
          </w:tcPr>
          <w:p>
            <w:pPr>
              <w:spacing w:after="0"/>
              <w:rPr>
                <w:sz w:val="6"/>
                <w:szCs w:val="6"/>
                <w:color w:val="auto"/>
              </w:rPr>
            </w:pPr>
          </w:p>
        </w:tc>
        <w:tc>
          <w:tcPr>
            <w:tcW w:w="1360" w:type="dxa"/>
            <w:vAlign w:val="bottom"/>
            <w:vMerge w:val="continue"/>
          </w:tcPr>
          <w:p>
            <w:pPr>
              <w:spacing w:after="0"/>
              <w:rPr>
                <w:sz w:val="6"/>
                <w:szCs w:val="6"/>
                <w:color w:val="auto"/>
              </w:rPr>
            </w:pPr>
          </w:p>
        </w:tc>
        <w:tc>
          <w:tcPr>
            <w:tcW w:w="1220" w:type="dxa"/>
            <w:vAlign w:val="bottom"/>
            <w:vMerge w:val="continue"/>
          </w:tcPr>
          <w:p>
            <w:pPr>
              <w:spacing w:after="0"/>
              <w:rPr>
                <w:sz w:val="6"/>
                <w:szCs w:val="6"/>
                <w:color w:val="auto"/>
              </w:rPr>
            </w:pPr>
          </w:p>
        </w:tc>
        <w:tc>
          <w:tcPr>
            <w:tcW w:w="1020" w:type="dxa"/>
            <w:vAlign w:val="bottom"/>
            <w:vMerge w:val="continue"/>
          </w:tcPr>
          <w:p>
            <w:pPr>
              <w:spacing w:after="0"/>
              <w:rPr>
                <w:sz w:val="6"/>
                <w:szCs w:val="6"/>
                <w:color w:val="auto"/>
              </w:rPr>
            </w:pPr>
          </w:p>
        </w:tc>
        <w:tc>
          <w:tcPr>
            <w:tcW w:w="1160" w:type="dxa"/>
            <w:vAlign w:val="bottom"/>
            <w:vMerge w:val="continue"/>
          </w:tcPr>
          <w:p>
            <w:pPr>
              <w:spacing w:after="0"/>
              <w:rPr>
                <w:sz w:val="6"/>
                <w:szCs w:val="6"/>
                <w:color w:val="auto"/>
              </w:rPr>
            </w:pPr>
          </w:p>
        </w:tc>
        <w:tc>
          <w:tcPr>
            <w:tcW w:w="1180" w:type="dxa"/>
            <w:vAlign w:val="bottom"/>
            <w:vMerge w:val="continue"/>
          </w:tcPr>
          <w:p>
            <w:pPr>
              <w:spacing w:after="0"/>
              <w:rPr>
                <w:sz w:val="6"/>
                <w:szCs w:val="6"/>
                <w:color w:val="auto"/>
              </w:rPr>
            </w:pPr>
          </w:p>
        </w:tc>
        <w:tc>
          <w:tcPr>
            <w:tcW w:w="660" w:type="dxa"/>
            <w:vAlign w:val="bottom"/>
          </w:tcPr>
          <w:p>
            <w:pPr>
              <w:spacing w:after="0"/>
              <w:rPr>
                <w:sz w:val="6"/>
                <w:szCs w:val="6"/>
                <w:color w:val="auto"/>
              </w:rPr>
            </w:pPr>
          </w:p>
        </w:tc>
        <w:tc>
          <w:tcPr>
            <w:tcW w:w="1280" w:type="dxa"/>
            <w:vAlign w:val="bottom"/>
          </w:tcPr>
          <w:p>
            <w:pPr>
              <w:spacing w:after="0"/>
              <w:rPr>
                <w:sz w:val="6"/>
                <w:szCs w:val="6"/>
                <w:color w:val="auto"/>
              </w:rPr>
            </w:pPr>
          </w:p>
        </w:tc>
        <w:tc>
          <w:tcPr>
            <w:tcW w:w="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
        </w:trPr>
        <w:tc>
          <w:tcPr>
            <w:tcW w:w="19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80" w:type="dxa"/>
            <w:vAlign w:val="bottom"/>
            <w:vMerge w:val="restart"/>
          </w:tcPr>
          <w:p>
            <w:pPr>
              <w:ind w:left="140"/>
              <w:spacing w:after="0"/>
              <w:rPr>
                <w:sz w:val="20"/>
                <w:szCs w:val="20"/>
                <w:color w:val="auto"/>
              </w:rPr>
            </w:pPr>
            <w:r>
              <w:rPr>
                <w:rFonts w:ascii="Arial" w:cs="Arial" w:eastAsia="Arial" w:hAnsi="Arial"/>
                <w:sz w:val="12"/>
                <w:szCs w:val="12"/>
                <w:color w:val="FFFFFF"/>
              </w:rPr>
              <w:t>Pay Versus</w:t>
            </w: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4"/>
        </w:trPr>
        <w:tc>
          <w:tcPr>
            <w:tcW w:w="1940" w:type="dxa"/>
            <w:vAlign w:val="bottom"/>
            <w:shd w:val="clear" w:color="auto" w:fill="F7F1EC"/>
          </w:tcPr>
          <w:p>
            <w:pPr>
              <w:ind w:left="60"/>
              <w:spacing w:after="0"/>
              <w:rPr>
                <w:sz w:val="20"/>
                <w:szCs w:val="20"/>
                <w:color w:val="auto"/>
              </w:rPr>
            </w:pPr>
            <w:r>
              <w:rPr>
                <w:rFonts w:ascii="Arial" w:cs="Arial" w:eastAsia="Arial" w:hAnsi="Arial"/>
                <w:sz w:val="14"/>
                <w:szCs w:val="14"/>
                <w:b w:val="1"/>
                <w:bCs w:val="1"/>
                <w:color w:val="B95827"/>
              </w:rPr>
              <w:t>Matthew Enyedi</w:t>
            </w:r>
          </w:p>
        </w:tc>
        <w:tc>
          <w:tcPr>
            <w:tcW w:w="1360" w:type="dxa"/>
            <w:vAlign w:val="bottom"/>
            <w:shd w:val="clear" w:color="auto" w:fill="F7F1EC"/>
          </w:tcPr>
          <w:p>
            <w:pPr>
              <w:jc w:val="right"/>
              <w:ind w:right="132"/>
              <w:spacing w:after="0"/>
              <w:rPr>
                <w:sz w:val="20"/>
                <w:szCs w:val="20"/>
                <w:color w:val="auto"/>
              </w:rPr>
            </w:pPr>
            <w:r>
              <w:rPr>
                <w:rFonts w:ascii="Arial" w:cs="Arial" w:eastAsia="Arial" w:hAnsi="Arial"/>
                <w:sz w:val="14"/>
                <w:szCs w:val="14"/>
                <w:color w:val="auto"/>
              </w:rPr>
              <w:t>213,654</w:t>
            </w:r>
          </w:p>
        </w:tc>
        <w:tc>
          <w:tcPr>
            <w:tcW w:w="1220" w:type="dxa"/>
            <w:vAlign w:val="bottom"/>
            <w:shd w:val="clear" w:color="auto" w:fill="F7F1EC"/>
          </w:tcPr>
          <w:p>
            <w:pPr>
              <w:ind w:left="620"/>
              <w:spacing w:after="0"/>
              <w:rPr>
                <w:sz w:val="20"/>
                <w:szCs w:val="20"/>
                <w:color w:val="auto"/>
              </w:rPr>
            </w:pPr>
            <w:r>
              <w:rPr>
                <w:rFonts w:ascii="Arial" w:cs="Arial" w:eastAsia="Arial" w:hAnsi="Arial"/>
                <w:sz w:val="14"/>
                <w:szCs w:val="14"/>
                <w:color w:val="auto"/>
              </w:rPr>
              <w:t>—</w:t>
            </w:r>
          </w:p>
        </w:tc>
        <w:tc>
          <w:tcPr>
            <w:tcW w:w="1020" w:type="dxa"/>
            <w:vAlign w:val="bottom"/>
            <w:shd w:val="clear" w:color="auto" w:fill="F7F1EC"/>
          </w:tcPr>
          <w:p>
            <w:pPr>
              <w:jc w:val="right"/>
              <w:ind w:right="92"/>
              <w:spacing w:after="0"/>
              <w:rPr>
                <w:sz w:val="20"/>
                <w:szCs w:val="20"/>
                <w:color w:val="auto"/>
              </w:rPr>
            </w:pPr>
            <w:r>
              <w:rPr>
                <w:rFonts w:ascii="Arial" w:cs="Arial" w:eastAsia="Arial" w:hAnsi="Arial"/>
                <w:sz w:val="14"/>
                <w:szCs w:val="14"/>
                <w:color w:val="auto"/>
              </w:rPr>
              <w:t>119,807</w:t>
            </w:r>
          </w:p>
        </w:tc>
        <w:tc>
          <w:tcPr>
            <w:tcW w:w="1160" w:type="dxa"/>
            <w:vAlign w:val="bottom"/>
            <w:shd w:val="clear" w:color="auto" w:fill="F7F1EC"/>
          </w:tcPr>
          <w:p>
            <w:pPr>
              <w:jc w:val="right"/>
              <w:ind w:right="192"/>
              <w:spacing w:after="0"/>
              <w:rPr>
                <w:sz w:val="20"/>
                <w:szCs w:val="20"/>
                <w:color w:val="auto"/>
              </w:rPr>
            </w:pPr>
            <w:r>
              <w:rPr>
                <w:rFonts w:ascii="Arial" w:cs="Arial" w:eastAsia="Arial" w:hAnsi="Arial"/>
                <w:sz w:val="14"/>
                <w:szCs w:val="14"/>
                <w:color w:val="auto"/>
              </w:rPr>
              <w:t>59,568</w:t>
            </w:r>
          </w:p>
        </w:tc>
        <w:tc>
          <w:tcPr>
            <w:tcW w:w="1180" w:type="dxa"/>
            <w:vAlign w:val="bottom"/>
            <w:shd w:val="clear" w:color="auto" w:fill="F7F1EC"/>
          </w:tcPr>
          <w:p>
            <w:pPr>
              <w:jc w:val="right"/>
              <w:spacing w:after="0" w:line="205" w:lineRule="exact"/>
              <w:rPr>
                <w:sz w:val="20"/>
                <w:szCs w:val="20"/>
                <w:color w:val="auto"/>
              </w:rPr>
            </w:pPr>
            <w:r>
              <w:rPr>
                <w:rFonts w:ascii="Arial" w:cs="Arial" w:eastAsia="Arial" w:hAnsi="Arial"/>
                <w:sz w:val="14"/>
                <w:szCs w:val="14"/>
                <w:color w:val="auto"/>
              </w:rPr>
              <w:t>707,312</w:t>
            </w:r>
            <w:r>
              <w:rPr>
                <w:rFonts w:ascii="Arial" w:cs="Arial" w:eastAsia="Arial" w:hAnsi="Arial"/>
                <w:sz w:val="20"/>
                <w:szCs w:val="20"/>
                <w:color w:val="auto"/>
                <w:vertAlign w:val="superscript"/>
              </w:rPr>
              <w:t>(3)</w:t>
            </w:r>
          </w:p>
        </w:tc>
        <w:tc>
          <w:tcPr>
            <w:tcW w:w="660" w:type="dxa"/>
            <w:vAlign w:val="bottom"/>
          </w:tcPr>
          <w:p>
            <w:pPr>
              <w:spacing w:after="0"/>
              <w:rPr>
                <w:sz w:val="17"/>
                <w:szCs w:val="17"/>
                <w:color w:val="auto"/>
              </w:rPr>
            </w:pPr>
          </w:p>
        </w:tc>
        <w:tc>
          <w:tcPr>
            <w:tcW w:w="1280" w:type="dxa"/>
            <w:vAlign w:val="bottom"/>
            <w:vMerge w:val="continue"/>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
        </w:trPr>
        <w:tc>
          <w:tcPr>
            <w:tcW w:w="1940" w:type="dxa"/>
            <w:vAlign w:val="bottom"/>
            <w:shd w:val="clear" w:color="auto" w:fill="F7F1EC"/>
          </w:tcPr>
          <w:p>
            <w:pPr>
              <w:spacing w:after="0"/>
              <w:rPr>
                <w:sz w:val="6"/>
                <w:szCs w:val="6"/>
                <w:color w:val="auto"/>
              </w:rPr>
            </w:pPr>
          </w:p>
        </w:tc>
        <w:tc>
          <w:tcPr>
            <w:tcW w:w="1360" w:type="dxa"/>
            <w:vAlign w:val="bottom"/>
            <w:shd w:val="clear" w:color="auto" w:fill="F7F1EC"/>
          </w:tcPr>
          <w:p>
            <w:pPr>
              <w:spacing w:after="0"/>
              <w:rPr>
                <w:sz w:val="6"/>
                <w:szCs w:val="6"/>
                <w:color w:val="auto"/>
              </w:rPr>
            </w:pPr>
          </w:p>
        </w:tc>
        <w:tc>
          <w:tcPr>
            <w:tcW w:w="1220" w:type="dxa"/>
            <w:vAlign w:val="bottom"/>
            <w:shd w:val="clear" w:color="auto" w:fill="F7F1EC"/>
          </w:tcPr>
          <w:p>
            <w:pPr>
              <w:spacing w:after="0"/>
              <w:rPr>
                <w:sz w:val="6"/>
                <w:szCs w:val="6"/>
                <w:color w:val="auto"/>
              </w:rPr>
            </w:pPr>
          </w:p>
        </w:tc>
        <w:tc>
          <w:tcPr>
            <w:tcW w:w="1020" w:type="dxa"/>
            <w:vAlign w:val="bottom"/>
            <w:shd w:val="clear" w:color="auto" w:fill="F7F1EC"/>
          </w:tcPr>
          <w:p>
            <w:pPr>
              <w:spacing w:after="0"/>
              <w:rPr>
                <w:sz w:val="6"/>
                <w:szCs w:val="6"/>
                <w:color w:val="auto"/>
              </w:rPr>
            </w:pPr>
          </w:p>
        </w:tc>
        <w:tc>
          <w:tcPr>
            <w:tcW w:w="1160" w:type="dxa"/>
            <w:vAlign w:val="bottom"/>
            <w:shd w:val="clear" w:color="auto" w:fill="F7F1EC"/>
          </w:tcPr>
          <w:p>
            <w:pPr>
              <w:spacing w:after="0"/>
              <w:rPr>
                <w:sz w:val="6"/>
                <w:szCs w:val="6"/>
                <w:color w:val="auto"/>
              </w:rPr>
            </w:pPr>
          </w:p>
        </w:tc>
        <w:tc>
          <w:tcPr>
            <w:tcW w:w="1180" w:type="dxa"/>
            <w:vAlign w:val="bottom"/>
            <w:shd w:val="clear" w:color="auto" w:fill="F7F1EC"/>
          </w:tcPr>
          <w:p>
            <w:pPr>
              <w:spacing w:after="0"/>
              <w:rPr>
                <w:sz w:val="6"/>
                <w:szCs w:val="6"/>
                <w:color w:val="auto"/>
              </w:rPr>
            </w:pPr>
          </w:p>
        </w:tc>
        <w:tc>
          <w:tcPr>
            <w:tcW w:w="660" w:type="dxa"/>
            <w:vAlign w:val="bottom"/>
          </w:tcPr>
          <w:p>
            <w:pPr>
              <w:spacing w:after="0"/>
              <w:rPr>
                <w:sz w:val="6"/>
                <w:szCs w:val="6"/>
                <w:color w:val="auto"/>
              </w:rPr>
            </w:pPr>
          </w:p>
        </w:tc>
        <w:tc>
          <w:tcPr>
            <w:tcW w:w="1280" w:type="dxa"/>
            <w:vAlign w:val="bottom"/>
          </w:tcPr>
          <w:p>
            <w:pPr>
              <w:ind w:left="140"/>
              <w:spacing w:after="0" w:line="57" w:lineRule="exact"/>
              <w:rPr>
                <w:sz w:val="20"/>
                <w:szCs w:val="20"/>
                <w:color w:val="auto"/>
              </w:rPr>
            </w:pPr>
            <w:r>
              <w:rPr>
                <w:rFonts w:ascii="Arial" w:cs="Arial" w:eastAsia="Arial" w:hAnsi="Arial"/>
                <w:sz w:val="6"/>
                <w:szCs w:val="6"/>
                <w:color w:val="FFFFFF"/>
              </w:rPr>
              <w:t>Performance</w:t>
            </w:r>
          </w:p>
        </w:tc>
        <w:tc>
          <w:tcPr>
            <w:tcW w:w="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6"/>
        </w:trPr>
        <w:tc>
          <w:tcPr>
            <w:tcW w:w="1940" w:type="dxa"/>
            <w:vAlign w:val="bottom"/>
            <w:vMerge w:val="restart"/>
          </w:tcPr>
          <w:p>
            <w:pPr>
              <w:ind w:left="60"/>
              <w:spacing w:after="0"/>
              <w:rPr>
                <w:sz w:val="20"/>
                <w:szCs w:val="20"/>
                <w:color w:val="auto"/>
              </w:rPr>
            </w:pPr>
            <w:r>
              <w:rPr>
                <w:rFonts w:ascii="Arial" w:cs="Arial" w:eastAsia="Arial" w:hAnsi="Arial"/>
                <w:sz w:val="14"/>
                <w:szCs w:val="14"/>
                <w:b w:val="1"/>
                <w:bCs w:val="1"/>
                <w:color w:val="B95827"/>
              </w:rPr>
              <w:t>Greg Gates</w:t>
            </w:r>
          </w:p>
        </w:tc>
        <w:tc>
          <w:tcPr>
            <w:tcW w:w="1360" w:type="dxa"/>
            <w:vAlign w:val="bottom"/>
            <w:vMerge w:val="restart"/>
          </w:tcPr>
          <w:p>
            <w:pPr>
              <w:jc w:val="right"/>
              <w:ind w:right="132"/>
              <w:spacing w:after="0"/>
              <w:rPr>
                <w:sz w:val="20"/>
                <w:szCs w:val="20"/>
                <w:color w:val="auto"/>
              </w:rPr>
            </w:pPr>
            <w:r>
              <w:rPr>
                <w:rFonts w:ascii="Arial" w:cs="Arial" w:eastAsia="Arial" w:hAnsi="Arial"/>
                <w:sz w:val="14"/>
                <w:szCs w:val="14"/>
                <w:color w:val="auto"/>
              </w:rPr>
              <w:t>—</w:t>
            </w:r>
          </w:p>
        </w:tc>
        <w:tc>
          <w:tcPr>
            <w:tcW w:w="1220" w:type="dxa"/>
            <w:vAlign w:val="bottom"/>
            <w:vMerge w:val="restart"/>
          </w:tcPr>
          <w:p>
            <w:pPr>
              <w:ind w:left="620"/>
              <w:spacing w:after="0"/>
              <w:rPr>
                <w:sz w:val="20"/>
                <w:szCs w:val="20"/>
                <w:color w:val="auto"/>
              </w:rPr>
            </w:pPr>
            <w:r>
              <w:rPr>
                <w:rFonts w:ascii="Arial" w:cs="Arial" w:eastAsia="Arial" w:hAnsi="Arial"/>
                <w:sz w:val="14"/>
                <w:szCs w:val="14"/>
                <w:color w:val="auto"/>
              </w:rPr>
              <w:t>—</w:t>
            </w:r>
          </w:p>
        </w:tc>
        <w:tc>
          <w:tcPr>
            <w:tcW w:w="1020" w:type="dxa"/>
            <w:vAlign w:val="bottom"/>
            <w:vMerge w:val="restart"/>
          </w:tcPr>
          <w:p>
            <w:pPr>
              <w:jc w:val="right"/>
              <w:ind w:right="92"/>
              <w:spacing w:after="0"/>
              <w:rPr>
                <w:sz w:val="20"/>
                <w:szCs w:val="20"/>
                <w:color w:val="auto"/>
              </w:rPr>
            </w:pPr>
            <w:r>
              <w:rPr>
                <w:rFonts w:ascii="Arial" w:cs="Arial" w:eastAsia="Arial" w:hAnsi="Arial"/>
                <w:sz w:val="14"/>
                <w:szCs w:val="14"/>
                <w:color w:val="auto"/>
              </w:rPr>
              <w:t>—</w:t>
            </w:r>
          </w:p>
        </w:tc>
        <w:tc>
          <w:tcPr>
            <w:tcW w:w="1160" w:type="dxa"/>
            <w:vAlign w:val="bottom"/>
            <w:vMerge w:val="restart"/>
          </w:tcPr>
          <w:p>
            <w:pPr>
              <w:jc w:val="right"/>
              <w:ind w:right="192"/>
              <w:spacing w:after="0"/>
              <w:rPr>
                <w:sz w:val="20"/>
                <w:szCs w:val="20"/>
                <w:color w:val="auto"/>
              </w:rPr>
            </w:pPr>
            <w:r>
              <w:rPr>
                <w:rFonts w:ascii="Arial" w:cs="Arial" w:eastAsia="Arial" w:hAnsi="Arial"/>
                <w:sz w:val="14"/>
                <w:szCs w:val="14"/>
                <w:color w:val="auto"/>
              </w:rPr>
              <w:t>—</w:t>
            </w:r>
          </w:p>
        </w:tc>
        <w:tc>
          <w:tcPr>
            <w:tcW w:w="1840" w:type="dxa"/>
            <w:vAlign w:val="bottom"/>
            <w:gridSpan w:val="2"/>
            <w:vMerge w:val="restart"/>
          </w:tcPr>
          <w:p>
            <w:pPr>
              <w:jc w:val="right"/>
              <w:ind w:right="763"/>
              <w:spacing w:after="0"/>
              <w:rPr>
                <w:sz w:val="20"/>
                <w:szCs w:val="20"/>
                <w:color w:val="auto"/>
              </w:rPr>
            </w:pPr>
            <w:r>
              <w:rPr>
                <w:rFonts w:ascii="Arial" w:cs="Arial" w:eastAsia="Arial" w:hAnsi="Arial"/>
                <w:sz w:val="14"/>
                <w:szCs w:val="14"/>
                <w:color w:val="auto"/>
              </w:rPr>
              <w:t>—</w:t>
            </w:r>
          </w:p>
        </w:tc>
        <w:tc>
          <w:tcPr>
            <w:tcW w:w="1280" w:type="dxa"/>
            <w:vAlign w:val="bottom"/>
          </w:tcPr>
          <w:p>
            <w:pPr>
              <w:ind w:left="140"/>
              <w:spacing w:after="0"/>
              <w:rPr>
                <w:sz w:val="20"/>
                <w:szCs w:val="20"/>
                <w:color w:val="auto"/>
              </w:rPr>
            </w:pPr>
            <w:r>
              <w:rPr>
                <w:rFonts w:ascii="Arial" w:cs="Arial" w:eastAsia="Arial" w:hAnsi="Arial"/>
                <w:sz w:val="12"/>
                <w:szCs w:val="12"/>
                <w:color w:val="FFFFFF"/>
              </w:rPr>
              <w:t>Disclosure</w:t>
            </w: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9"/>
        </w:trPr>
        <w:tc>
          <w:tcPr>
            <w:tcW w:w="1940" w:type="dxa"/>
            <w:vAlign w:val="bottom"/>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1220" w:type="dxa"/>
            <w:vAlign w:val="bottom"/>
            <w:vMerge w:val="continue"/>
          </w:tcPr>
          <w:p>
            <w:pPr>
              <w:spacing w:after="0"/>
              <w:rPr>
                <w:sz w:val="7"/>
                <w:szCs w:val="7"/>
                <w:color w:val="auto"/>
              </w:rPr>
            </w:pPr>
          </w:p>
        </w:tc>
        <w:tc>
          <w:tcPr>
            <w:tcW w:w="1020" w:type="dxa"/>
            <w:vAlign w:val="bottom"/>
            <w:vMerge w:val="continue"/>
          </w:tcPr>
          <w:p>
            <w:pPr>
              <w:spacing w:after="0"/>
              <w:rPr>
                <w:sz w:val="7"/>
                <w:szCs w:val="7"/>
                <w:color w:val="auto"/>
              </w:rPr>
            </w:pPr>
          </w:p>
        </w:tc>
        <w:tc>
          <w:tcPr>
            <w:tcW w:w="1160" w:type="dxa"/>
            <w:vAlign w:val="bottom"/>
            <w:vMerge w:val="continue"/>
          </w:tcPr>
          <w:p>
            <w:pPr>
              <w:spacing w:after="0"/>
              <w:rPr>
                <w:sz w:val="7"/>
                <w:szCs w:val="7"/>
                <w:color w:val="auto"/>
              </w:rPr>
            </w:pPr>
          </w:p>
        </w:tc>
        <w:tc>
          <w:tcPr>
            <w:tcW w:w="1840" w:type="dxa"/>
            <w:vAlign w:val="bottom"/>
            <w:gridSpan w:val="2"/>
            <w:vMerge w:val="continue"/>
          </w:tcPr>
          <w:p>
            <w:pPr>
              <w:spacing w:after="0"/>
              <w:rPr>
                <w:sz w:val="7"/>
                <w:szCs w:val="7"/>
                <w:color w:val="auto"/>
              </w:rPr>
            </w:pPr>
          </w:p>
        </w:tc>
        <w:tc>
          <w:tcPr>
            <w:tcW w:w="1280" w:type="dxa"/>
            <w:vAlign w:val="bottom"/>
          </w:tcPr>
          <w:p>
            <w:pPr>
              <w:spacing w:after="0"/>
              <w:rPr>
                <w:sz w:val="7"/>
                <w:szCs w:val="7"/>
                <w:color w:val="auto"/>
              </w:rPr>
            </w:pPr>
          </w:p>
        </w:tc>
        <w:tc>
          <w:tcPr>
            <w:tcW w:w="4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7" w:lineRule="exact"/>
        <w:rPr>
          <w:sz w:val="20"/>
          <w:szCs w:val="20"/>
          <w:color w:val="auto"/>
        </w:rPr>
      </w:pPr>
    </w:p>
    <w:p>
      <w:pPr>
        <w:sectPr>
          <w:pgSz w:w="11900" w:h="16838" w:orient="portrait"/>
          <w:cols w:equalWidth="0" w:num="1">
            <w:col w:w="10800"/>
          </w:cols>
          <w:pgMar w:left="320" w:top="464" w:right="779" w:bottom="1440" w:gutter="0" w:footer="0" w:header="0"/>
        </w:sectPr>
      </w:pPr>
    </w:p>
    <w:tbl>
      <w:tblPr>
        <w:tblLayout w:type="fixed"/>
        <w:tblInd w:w="540" w:type="dxa"/>
        <w:tblCellMar>
          <w:top w:w="0" w:type="dxa"/>
          <w:left w:w="0" w:type="dxa"/>
          <w:bottom w:w="0" w:type="dxa"/>
          <w:right w:w="0" w:type="dxa"/>
        </w:tblCellMar>
      </w:tblPr>
      <w:tr>
        <w:trPr>
          <w:trHeight w:val="281"/>
        </w:trPr>
        <w:tc>
          <w:tcPr>
            <w:tcW w:w="1940" w:type="dxa"/>
            <w:vAlign w:val="bottom"/>
            <w:shd w:val="clear" w:color="auto" w:fill="F7F1EC"/>
          </w:tcPr>
          <w:p>
            <w:pPr>
              <w:ind w:left="60"/>
              <w:spacing w:after="0"/>
              <w:rPr>
                <w:sz w:val="20"/>
                <w:szCs w:val="20"/>
                <w:color w:val="auto"/>
              </w:rPr>
            </w:pPr>
            <w:r>
              <w:rPr>
                <w:rFonts w:ascii="Arial" w:cs="Arial" w:eastAsia="Arial" w:hAnsi="Arial"/>
                <w:sz w:val="14"/>
                <w:szCs w:val="14"/>
                <w:b w:val="1"/>
                <w:bCs w:val="1"/>
                <w:color w:val="B95827"/>
              </w:rPr>
              <w:t>Aneri Jambusaria</w:t>
            </w:r>
          </w:p>
        </w:tc>
        <w:tc>
          <w:tcPr>
            <w:tcW w:w="1560" w:type="dxa"/>
            <w:vAlign w:val="bottom"/>
            <w:shd w:val="clear" w:color="auto" w:fill="F7F1EC"/>
          </w:tcPr>
          <w:p>
            <w:pPr>
              <w:jc w:val="right"/>
              <w:ind w:right="332"/>
              <w:spacing w:after="0"/>
              <w:rPr>
                <w:sz w:val="20"/>
                <w:szCs w:val="20"/>
                <w:color w:val="auto"/>
              </w:rPr>
            </w:pPr>
            <w:r>
              <w:rPr>
                <w:rFonts w:ascii="Arial" w:cs="Arial" w:eastAsia="Arial" w:hAnsi="Arial"/>
                <w:sz w:val="14"/>
                <w:szCs w:val="14"/>
                <w:color w:val="auto"/>
              </w:rPr>
              <w:t>47,212</w:t>
            </w:r>
          </w:p>
        </w:tc>
        <w:tc>
          <w:tcPr>
            <w:tcW w:w="980" w:type="dxa"/>
            <w:vAlign w:val="bottom"/>
            <w:shd w:val="clear" w:color="auto" w:fill="F7F1EC"/>
          </w:tcPr>
          <w:p>
            <w:pPr>
              <w:ind w:left="420"/>
              <w:spacing w:after="0"/>
              <w:rPr>
                <w:sz w:val="20"/>
                <w:szCs w:val="20"/>
                <w:color w:val="auto"/>
              </w:rPr>
            </w:pPr>
            <w:r>
              <w:rPr>
                <w:rFonts w:ascii="Arial" w:cs="Arial" w:eastAsia="Arial" w:hAnsi="Arial"/>
                <w:sz w:val="14"/>
                <w:szCs w:val="14"/>
                <w:color w:val="auto"/>
              </w:rPr>
              <w:t>—</w:t>
            </w:r>
          </w:p>
        </w:tc>
        <w:tc>
          <w:tcPr>
            <w:tcW w:w="1360" w:type="dxa"/>
            <w:vAlign w:val="bottom"/>
            <w:shd w:val="clear" w:color="auto" w:fill="F7F1EC"/>
          </w:tcPr>
          <w:p>
            <w:pPr>
              <w:jc w:val="right"/>
              <w:ind w:right="392"/>
              <w:spacing w:after="0"/>
              <w:rPr>
                <w:sz w:val="20"/>
                <w:szCs w:val="20"/>
                <w:color w:val="auto"/>
              </w:rPr>
            </w:pPr>
            <w:r>
              <w:rPr>
                <w:rFonts w:ascii="Arial" w:cs="Arial" w:eastAsia="Arial" w:hAnsi="Arial"/>
                <w:sz w:val="14"/>
                <w:szCs w:val="14"/>
                <w:color w:val="auto"/>
              </w:rPr>
              <w:t>234,706</w:t>
            </w:r>
          </w:p>
        </w:tc>
        <w:tc>
          <w:tcPr>
            <w:tcW w:w="940" w:type="dxa"/>
            <w:vAlign w:val="bottom"/>
            <w:shd w:val="clear" w:color="auto" w:fill="F7F1EC"/>
          </w:tcPr>
          <w:p>
            <w:pPr>
              <w:ind w:left="480"/>
              <w:spacing w:after="0"/>
              <w:rPr>
                <w:sz w:val="20"/>
                <w:szCs w:val="20"/>
                <w:color w:val="auto"/>
              </w:rPr>
            </w:pPr>
            <w:r>
              <w:rPr>
                <w:rFonts w:ascii="Arial" w:cs="Arial" w:eastAsia="Arial" w:hAnsi="Arial"/>
                <w:sz w:val="14"/>
                <w:szCs w:val="14"/>
                <w:color w:val="auto"/>
              </w:rPr>
              <w:t>—</w:t>
            </w:r>
          </w:p>
        </w:tc>
        <w:tc>
          <w:tcPr>
            <w:tcW w:w="1100" w:type="dxa"/>
            <w:vAlign w:val="bottom"/>
            <w:shd w:val="clear" w:color="auto" w:fill="F7F1EC"/>
          </w:tcPr>
          <w:p>
            <w:pPr>
              <w:jc w:val="right"/>
              <w:spacing w:after="0"/>
              <w:rPr>
                <w:sz w:val="20"/>
                <w:szCs w:val="20"/>
                <w:color w:val="auto"/>
              </w:rPr>
            </w:pPr>
            <w:r>
              <w:rPr>
                <w:rFonts w:ascii="Arial" w:cs="Arial" w:eastAsia="Arial" w:hAnsi="Arial"/>
                <w:sz w:val="14"/>
                <w:szCs w:val="14"/>
                <w:color w:val="auto"/>
              </w:rPr>
              <w:t>1,269,930</w:t>
            </w:r>
            <w:r>
              <w:rPr>
                <w:rFonts w:ascii="Arial" w:cs="Arial" w:eastAsia="Arial" w:hAnsi="Arial"/>
                <w:sz w:val="20"/>
                <w:szCs w:val="20"/>
                <w:color w:val="auto"/>
                <w:vertAlign w:val="superscript"/>
              </w:rPr>
              <w:t>(3)</w:t>
            </w:r>
          </w:p>
        </w:tc>
      </w:tr>
    </w:tbl>
    <w:p>
      <w:pPr>
        <w:spacing w:after="0" w:line="97" w:lineRule="exact"/>
        <w:rPr>
          <w:sz w:val="20"/>
          <w:szCs w:val="20"/>
          <w:color w:val="auto"/>
        </w:rPr>
      </w:pPr>
    </w:p>
    <w:p>
      <w:pPr>
        <w:ind w:left="780" w:right="120" w:hanging="241"/>
        <w:spacing w:after="0" w:line="256" w:lineRule="auto"/>
        <w:tabs>
          <w:tab w:leader="none" w:pos="780" w:val="left"/>
        </w:tabs>
        <w:numPr>
          <w:ilvl w:val="0"/>
          <w:numId w:val="101"/>
        </w:numPr>
        <w:rPr>
          <w:rFonts w:ascii="Arial" w:cs="Arial" w:eastAsia="Arial" w:hAnsi="Arial"/>
          <w:sz w:val="12"/>
          <w:szCs w:val="12"/>
          <w:color w:val="auto"/>
        </w:rPr>
      </w:pPr>
      <w:r>
        <w:rPr>
          <w:rFonts w:ascii="Arial" w:cs="Arial" w:eastAsia="Arial" w:hAnsi="Arial"/>
          <w:sz w:val="12"/>
          <w:szCs w:val="12"/>
          <w:color w:val="auto"/>
        </w:rPr>
        <w:t>Amounts in this column are also reported in the Summary Compensation Table above for 2025 under “Non-Equity Incentive Plan Compensation” for Messrs. Audette and Enyedi and Ms. Jambusaria.</w:t>
      </w:r>
    </w:p>
    <w:p>
      <w:pPr>
        <w:spacing w:after="0" w:line="24" w:lineRule="exact"/>
        <w:rPr>
          <w:rFonts w:ascii="Arial" w:cs="Arial" w:eastAsia="Arial" w:hAnsi="Arial"/>
          <w:sz w:val="12"/>
          <w:szCs w:val="12"/>
          <w:color w:val="auto"/>
        </w:rPr>
      </w:pPr>
    </w:p>
    <w:p>
      <w:pPr>
        <w:ind w:left="780" w:right="140" w:hanging="241"/>
        <w:spacing w:after="0" w:line="256" w:lineRule="auto"/>
        <w:tabs>
          <w:tab w:leader="none" w:pos="780" w:val="left"/>
        </w:tabs>
        <w:numPr>
          <w:ilvl w:val="0"/>
          <w:numId w:val="101"/>
        </w:numPr>
        <w:rPr>
          <w:rFonts w:ascii="Arial" w:cs="Arial" w:eastAsia="Arial" w:hAnsi="Arial"/>
          <w:sz w:val="12"/>
          <w:szCs w:val="12"/>
          <w:color w:val="auto"/>
        </w:rPr>
      </w:pPr>
      <w:r>
        <w:rPr>
          <w:rFonts w:ascii="Arial" w:cs="Arial" w:eastAsia="Arial" w:hAnsi="Arial"/>
          <w:sz w:val="12"/>
          <w:szCs w:val="12"/>
          <w:color w:val="auto"/>
        </w:rPr>
        <w:t>Amounts in this column do not constitute above-market or preferential earnings and therefore are not reported as compensation in the Summary Compensation Table above.</w:t>
      </w:r>
    </w:p>
    <w:p>
      <w:pPr>
        <w:spacing w:after="0" w:line="24" w:lineRule="exact"/>
        <w:rPr>
          <w:rFonts w:ascii="Arial" w:cs="Arial" w:eastAsia="Arial" w:hAnsi="Arial"/>
          <w:sz w:val="12"/>
          <w:szCs w:val="12"/>
          <w:color w:val="auto"/>
        </w:rPr>
      </w:pPr>
    </w:p>
    <w:p>
      <w:pPr>
        <w:ind w:left="780" w:right="140" w:hanging="241"/>
        <w:spacing w:after="0" w:line="256" w:lineRule="auto"/>
        <w:tabs>
          <w:tab w:leader="none" w:pos="780" w:val="left"/>
        </w:tabs>
        <w:numPr>
          <w:ilvl w:val="0"/>
          <w:numId w:val="101"/>
        </w:numPr>
        <w:rPr>
          <w:rFonts w:ascii="Arial" w:cs="Arial" w:eastAsia="Arial" w:hAnsi="Arial"/>
          <w:sz w:val="12"/>
          <w:szCs w:val="12"/>
          <w:color w:val="auto"/>
        </w:rPr>
      </w:pPr>
      <w:r>
        <w:rPr>
          <w:rFonts w:ascii="Arial" w:cs="Arial" w:eastAsia="Arial" w:hAnsi="Arial"/>
          <w:sz w:val="12"/>
          <w:szCs w:val="12"/>
          <w:color w:val="auto"/>
        </w:rPr>
        <w:t>Amount includes contributions that were made prior to Mr. Enyedi and Ms. Jambusaria becoming NEOs, and that therefore were not recorded in prior summary compensation tables.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FFFFFF"/>
        </w:rPr>
        <w:t>Security</w:t>
      </w:r>
    </w:p>
    <w:p>
      <w:pPr>
        <w:spacing w:after="0" w:line="224" w:lineRule="auto"/>
        <w:rPr>
          <w:sz w:val="20"/>
          <w:szCs w:val="20"/>
          <w:color w:val="auto"/>
        </w:rPr>
      </w:pPr>
      <w:r>
        <w:rPr>
          <w:rFonts w:ascii="Arial" w:cs="Arial" w:eastAsia="Arial" w:hAnsi="Arial"/>
          <w:sz w:val="12"/>
          <w:szCs w:val="12"/>
          <w:color w:val="FFFFFF"/>
        </w:rPr>
        <w:t>Ownership of</w:t>
      </w:r>
    </w:p>
    <w:p>
      <w:pPr>
        <w:spacing w:after="0" w:line="222" w:lineRule="auto"/>
        <w:rPr>
          <w:sz w:val="20"/>
          <w:szCs w:val="20"/>
          <w:color w:val="auto"/>
        </w:rPr>
      </w:pPr>
      <w:r>
        <w:rPr>
          <w:rFonts w:ascii="Arial" w:cs="Arial" w:eastAsia="Arial" w:hAnsi="Arial"/>
          <w:sz w:val="12"/>
          <w:szCs w:val="12"/>
          <w:color w:val="FFFFFF"/>
        </w:rPr>
        <w:t>Certain Beneficial</w:t>
      </w:r>
    </w:p>
    <w:p>
      <w:pPr>
        <w:spacing w:after="0" w:line="222" w:lineRule="auto"/>
        <w:rPr>
          <w:sz w:val="20"/>
          <w:szCs w:val="20"/>
          <w:color w:val="auto"/>
        </w:rPr>
      </w:pPr>
      <w:r>
        <w:rPr>
          <w:rFonts w:ascii="Arial" w:cs="Arial" w:eastAsia="Arial" w:hAnsi="Arial"/>
          <w:sz w:val="12"/>
          <w:szCs w:val="12"/>
          <w:color w:val="FFFFFF"/>
        </w:rPr>
        <w:t>Owners and</w:t>
      </w:r>
    </w:p>
    <w:p>
      <w:pPr>
        <w:spacing w:after="0"/>
        <w:rPr>
          <w:sz w:val="20"/>
          <w:szCs w:val="20"/>
          <w:color w:val="auto"/>
        </w:rPr>
      </w:pPr>
      <w:r>
        <w:rPr>
          <w:rFonts w:ascii="Arial" w:cs="Arial" w:eastAsia="Arial" w:hAnsi="Arial"/>
          <w:sz w:val="12"/>
          <w:szCs w:val="12"/>
          <w:color w:val="FFFFFF"/>
        </w:rPr>
        <w:t>Management</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Certain</w:t>
      </w:r>
    </w:p>
    <w:p>
      <w:pPr>
        <w:spacing w:after="0" w:line="224" w:lineRule="auto"/>
        <w:rPr>
          <w:sz w:val="20"/>
          <w:szCs w:val="20"/>
          <w:color w:val="auto"/>
        </w:rPr>
      </w:pPr>
      <w:r>
        <w:rPr>
          <w:rFonts w:ascii="Arial" w:cs="Arial" w:eastAsia="Arial" w:hAnsi="Arial"/>
          <w:sz w:val="12"/>
          <w:szCs w:val="12"/>
          <w:color w:val="FFFFFF"/>
        </w:rPr>
        <w:t>Relationships and</w:t>
      </w:r>
    </w:p>
    <w:p>
      <w:pPr>
        <w:spacing w:after="0" w:line="222" w:lineRule="auto"/>
        <w:rPr>
          <w:sz w:val="20"/>
          <w:szCs w:val="20"/>
          <w:color w:val="auto"/>
        </w:rPr>
      </w:pPr>
      <w:r>
        <w:rPr>
          <w:rFonts w:ascii="Arial" w:cs="Arial" w:eastAsia="Arial" w:hAnsi="Arial"/>
          <w:sz w:val="12"/>
          <w:szCs w:val="12"/>
          <w:color w:val="FFFFFF"/>
        </w:rPr>
        <w:t>Related Party</w:t>
      </w:r>
    </w:p>
    <w:p>
      <w:pPr>
        <w:spacing w:after="0"/>
        <w:rPr>
          <w:sz w:val="20"/>
          <w:szCs w:val="20"/>
          <w:color w:val="auto"/>
        </w:rPr>
      </w:pPr>
      <w:r>
        <w:rPr>
          <w:rFonts w:ascii="Arial" w:cs="Arial" w:eastAsia="Arial" w:hAnsi="Arial"/>
          <w:sz w:val="12"/>
          <w:szCs w:val="12"/>
          <w:color w:val="FFFFFF"/>
        </w:rPr>
        <w:t>Transactions</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Proposal 2</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FFFFFF"/>
        </w:rPr>
        <w:t>Report of the</w:t>
      </w:r>
    </w:p>
    <w:p>
      <w:pPr>
        <w:spacing w:after="0" w:line="224" w:lineRule="auto"/>
        <w:rPr>
          <w:sz w:val="20"/>
          <w:szCs w:val="20"/>
          <w:color w:val="auto"/>
        </w:rPr>
      </w:pPr>
      <w:r>
        <w:rPr>
          <w:rFonts w:ascii="Arial" w:cs="Arial" w:eastAsia="Arial" w:hAnsi="Arial"/>
          <w:sz w:val="12"/>
          <w:szCs w:val="12"/>
          <w:color w:val="FFFFFF"/>
        </w:rPr>
        <w:t>Audit and Risk</w:t>
      </w:r>
    </w:p>
    <w:p>
      <w:pPr>
        <w:spacing w:after="0" w:line="222" w:lineRule="auto"/>
        <w:rPr>
          <w:sz w:val="20"/>
          <w:szCs w:val="20"/>
          <w:color w:val="auto"/>
        </w:rPr>
      </w:pPr>
      <w:r>
        <w:rPr>
          <w:rFonts w:ascii="Arial" w:cs="Arial" w:eastAsia="Arial" w:hAnsi="Arial"/>
          <w:sz w:val="12"/>
          <w:szCs w:val="12"/>
          <w:color w:val="FFFFFF"/>
        </w:rPr>
        <w:t>Committee of the</w:t>
      </w:r>
    </w:p>
    <w:p>
      <w:pPr>
        <w:spacing w:after="0"/>
        <w:rPr>
          <w:sz w:val="20"/>
          <w:szCs w:val="20"/>
          <w:color w:val="auto"/>
        </w:rPr>
      </w:pPr>
      <w:r>
        <w:rPr>
          <w:rFonts w:ascii="Arial" w:cs="Arial" w:eastAsia="Arial" w:hAnsi="Arial"/>
          <w:sz w:val="11"/>
          <w:szCs w:val="11"/>
          <w:color w:val="FFFFFF"/>
        </w:rPr>
        <w:t>Board of Directors</w:t>
      </w:r>
    </w:p>
    <w:p>
      <w:pPr>
        <w:spacing w:after="0" w:line="155" w:lineRule="exact"/>
        <w:rPr>
          <w:sz w:val="20"/>
          <w:szCs w:val="20"/>
          <w:color w:val="auto"/>
        </w:rPr>
      </w:pPr>
    </w:p>
    <w:p>
      <w:pPr>
        <w:spacing w:after="0"/>
        <w:rPr>
          <w:sz w:val="20"/>
          <w:szCs w:val="20"/>
          <w:color w:val="auto"/>
        </w:rPr>
      </w:pPr>
      <w:r>
        <w:rPr>
          <w:rFonts w:ascii="Arial" w:cs="Arial" w:eastAsia="Arial" w:hAnsi="Arial"/>
          <w:sz w:val="12"/>
          <w:szCs w:val="12"/>
          <w:color w:val="FFFFFF"/>
        </w:rPr>
        <w:t>Proposal 3</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FFFFFF"/>
        </w:rPr>
        <w:t>Proposal 4</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FFFFFF"/>
        </w:rPr>
        <w:t>Proposal 5</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FFFFFF"/>
        </w:rPr>
        <w:t>Proposal 6</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FFFFFF"/>
        </w:rPr>
        <w:t>Stockholder</w:t>
      </w:r>
    </w:p>
    <w:p>
      <w:pPr>
        <w:spacing w:after="0" w:line="224" w:lineRule="auto"/>
        <w:rPr>
          <w:sz w:val="20"/>
          <w:szCs w:val="20"/>
          <w:color w:val="auto"/>
        </w:rPr>
      </w:pPr>
      <w:r>
        <w:rPr>
          <w:rFonts w:ascii="Arial" w:cs="Arial" w:eastAsia="Arial" w:hAnsi="Arial"/>
          <w:sz w:val="12"/>
          <w:szCs w:val="12"/>
          <w:color w:val="FFFFFF"/>
        </w:rPr>
        <w:t>Proposals and</w:t>
      </w:r>
    </w:p>
    <w:p>
      <w:pPr>
        <w:spacing w:after="0"/>
        <w:rPr>
          <w:sz w:val="20"/>
          <w:szCs w:val="20"/>
          <w:color w:val="auto"/>
        </w:rPr>
      </w:pPr>
      <w:r>
        <w:rPr>
          <w:rFonts w:ascii="Arial" w:cs="Arial" w:eastAsia="Arial" w:hAnsi="Arial"/>
          <w:sz w:val="12"/>
          <w:szCs w:val="12"/>
          <w:color w:val="FFFFFF"/>
        </w:rPr>
        <w:t>Other Matters</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Delinquent</w:t>
      </w:r>
    </w:p>
    <w:p>
      <w:pPr>
        <w:spacing w:after="0" w:line="224" w:lineRule="auto"/>
        <w:rPr>
          <w:sz w:val="20"/>
          <w:szCs w:val="20"/>
          <w:color w:val="auto"/>
        </w:rPr>
      </w:pPr>
      <w:r>
        <w:rPr>
          <w:rFonts w:ascii="Arial" w:cs="Arial" w:eastAsia="Arial" w:hAnsi="Arial"/>
          <w:sz w:val="12"/>
          <w:szCs w:val="12"/>
          <w:color w:val="FFFFFF"/>
        </w:rPr>
        <w:t>Section 16(a)</w:t>
      </w:r>
    </w:p>
    <w:p>
      <w:pPr>
        <w:spacing w:after="0"/>
        <w:rPr>
          <w:sz w:val="20"/>
          <w:szCs w:val="20"/>
          <w:color w:val="auto"/>
        </w:rPr>
      </w:pPr>
      <w:r>
        <w:rPr>
          <w:rFonts w:ascii="Arial" w:cs="Arial" w:eastAsia="Arial" w:hAnsi="Arial"/>
          <w:sz w:val="12"/>
          <w:szCs w:val="12"/>
          <w:color w:val="FFFFFF"/>
        </w:rPr>
        <w:t>Reports</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Other</w:t>
      </w:r>
    </w:p>
    <w:p>
      <w:pPr>
        <w:spacing w:after="0" w:line="2" w:lineRule="exact"/>
        <w:rPr>
          <w:sz w:val="20"/>
          <w:szCs w:val="20"/>
          <w:color w:val="auto"/>
        </w:rPr>
      </w:pPr>
    </w:p>
    <w:p>
      <w:pPr>
        <w:spacing w:after="0"/>
        <w:rPr>
          <w:sz w:val="20"/>
          <w:szCs w:val="20"/>
          <w:color w:val="auto"/>
        </w:rPr>
      </w:pPr>
      <w:r>
        <w:rPr>
          <w:rFonts w:ascii="Arial" w:cs="Arial" w:eastAsia="Arial" w:hAnsi="Arial"/>
          <w:sz w:val="12"/>
          <w:szCs w:val="12"/>
          <w:color w:val="FFFFFF"/>
        </w:rPr>
        <w:t>Information</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Appendix A</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FFFFFF"/>
        </w:rPr>
        <w:t>Appendix B</w:t>
      </w:r>
    </w:p>
    <w:p>
      <w:pPr>
        <w:spacing w:after="0" w:line="200" w:lineRule="exact"/>
        <w:rPr>
          <w:sz w:val="20"/>
          <w:szCs w:val="20"/>
          <w:color w:val="auto"/>
        </w:rPr>
      </w:pPr>
    </w:p>
    <w:p>
      <w:pPr>
        <w:sectPr>
          <w:pgSz w:w="11900" w:h="16838" w:orient="portrait"/>
          <w:cols w:equalWidth="0" w:num="2">
            <w:col w:w="8500" w:space="720"/>
            <w:col w:w="1580"/>
          </w:cols>
          <w:pgMar w:left="320" w:top="464" w:right="7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6380"/>
        <w:spacing w:after="0"/>
        <w:tabs>
          <w:tab w:leader="none" w:pos="8500" w:val="left"/>
          <w:tab w:leader="none" w:pos="9960" w:val="left"/>
        </w:tabs>
        <w:rPr>
          <w:sz w:val="20"/>
          <w:szCs w:val="20"/>
          <w:color w:val="auto"/>
        </w:rPr>
      </w:pPr>
      <w:r>
        <w:rPr>
          <w:rFonts w:ascii="Arial" w:cs="Arial" w:eastAsia="Arial" w:hAnsi="Arial"/>
          <w:sz w:val="15"/>
          <w:szCs w:val="15"/>
          <w:b w:val="1"/>
          <w:bCs w:val="1"/>
          <w:color w:val="002B5F"/>
        </w:rPr>
        <w:t xml:space="preserve">2026 Proxy Statement  </w:t>
      </w:r>
      <w:r>
        <w:rPr>
          <w:rFonts w:ascii="Arial" w:cs="Arial" w:eastAsia="Arial" w:hAnsi="Arial"/>
          <w:sz w:val="20"/>
          <w:szCs w:val="20"/>
          <w:color w:val="002B5F"/>
        </w:rPr>
        <w:t>|</w:t>
      </w:r>
      <w:r>
        <w:rPr>
          <w:rFonts w:ascii="Arial" w:cs="Arial" w:eastAsia="Arial" w:hAnsi="Arial"/>
          <w:sz w:val="15"/>
          <w:szCs w:val="15"/>
          <w:b w:val="1"/>
          <w:bCs w:val="1"/>
          <w:color w:val="002B5F"/>
        </w:rPr>
        <w:t xml:space="preserve">  67</w:t>
      </w:r>
      <w:r>
        <w:rPr>
          <w:sz w:val="20"/>
          <w:szCs w:val="20"/>
          <w:color w:val="auto"/>
        </w:rPr>
        <w:tab/>
      </w:r>
      <w:r>
        <w:rPr>
          <w:rFonts w:ascii="Arial" w:cs="Arial" w:eastAsia="Arial" w:hAnsi="Arial"/>
          <w:sz w:val="17"/>
          <w:szCs w:val="17"/>
          <w:color w:val="auto"/>
        </w:rPr>
        <w:t xml:space="preserve">    </w:t>
      </w:r>
      <w:r>
        <w:rPr>
          <w:sz w:val="20"/>
          <w:szCs w:val="20"/>
          <w:color w:val="auto"/>
        </w:rPr>
        <w:tab/>
      </w:r>
      <w:r>
        <w:rPr>
          <w:rFonts w:ascii="Arial" w:cs="Arial" w:eastAsia="Arial" w:hAnsi="Arial"/>
          <w:sz w:val="17"/>
          <w:szCs w:val="17"/>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268605</wp:posOffset>
            </wp:positionH>
            <wp:positionV relativeFrom="paragraph">
              <wp:posOffset>-128905</wp:posOffset>
            </wp:positionV>
            <wp:extent cx="762000" cy="971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62000" cy="97155"/>
                    </a:xfrm>
                    <a:prstGeom prst="rect">
                      <a:avLst/>
                    </a:prstGeom>
                    <a:noFill/>
                  </pic:spPr>
                </pic:pic>
              </a:graphicData>
            </a:graphic>
          </wp:anchor>
        </w:drawing>
      </w:r>
    </w:p>
    <w:p>
      <w:pPr>
        <w:sectPr>
          <w:pgSz w:w="11900" w:h="16838" w:orient="portrait"/>
          <w:cols w:equalWidth="0" w:num="1">
            <w:col w:w="10800"/>
          </w:cols>
          <w:pgMar w:left="320" w:top="464" w:right="779" w:bottom="1440" w:gutter="0" w:footer="0" w:header="0"/>
          <w:type w:val="continuous"/>
        </w:sectPr>
      </w:pPr>
    </w:p>
    <w:bookmarkStart w:id="79" w:name="page80"/>
    <w:bookmarkEnd w:id="79"/>
    <w:p>
      <w:pPr>
        <w:spacing w:after="0"/>
        <w:rPr>
          <w:sz w:val="20"/>
          <w:szCs w:val="20"/>
          <w:color w:val="auto"/>
        </w:rPr>
      </w:pPr>
      <w:r>
        <w:rPr>
          <w:rFonts w:ascii="Times New Roman" w:cs="Times New Roman" w:eastAsia="Times New Roman" w:hAnsi="Times New Roman"/>
          <w:sz w:val="17"/>
          <w:szCs w:val="17"/>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268605</wp:posOffset>
            </wp:positionH>
            <wp:positionV relativeFrom="paragraph">
              <wp:posOffset>253365</wp:posOffset>
            </wp:positionV>
            <wp:extent cx="1183005" cy="745617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1183005" cy="7456170"/>
                    </a:xfrm>
                    <a:prstGeom prst="rect">
                      <a:avLst/>
                    </a:prstGeom>
                    <a:noFill/>
                  </pic:spPr>
                </pic:pic>
              </a:graphicData>
            </a:graphic>
          </wp:anchor>
        </w:drawing>
      </w:r>
    </w:p>
    <w:p>
      <w:pPr>
        <w:spacing w:after="0" w:line="200" w:lineRule="exact"/>
        <w:rPr>
          <w:sz w:val="20"/>
          <w:szCs w:val="20"/>
          <w:color w:val="auto"/>
        </w:rPr>
      </w:pPr>
    </w:p>
    <w:p>
      <w:pPr>
        <w:spacing w:after="0" w:line="304" w:lineRule="exact"/>
        <w:rPr>
          <w:sz w:val="20"/>
          <w:szCs w:val="20"/>
          <w:color w:val="auto"/>
        </w:rPr>
      </w:pPr>
    </w:p>
    <w:p>
      <w:pPr>
        <w:ind w:left="1120" w:right="460" w:hanging="672"/>
        <w:spacing w:after="0" w:line="382" w:lineRule="auto"/>
        <w:tabs>
          <w:tab w:leader="none" w:pos="610" w:val="left"/>
        </w:tabs>
        <w:numPr>
          <w:ilvl w:val="0"/>
          <w:numId w:val="102"/>
        </w:numPr>
        <w:rPr>
          <w:rFonts w:ascii="Arial" w:cs="Arial" w:eastAsia="Arial" w:hAnsi="Arial"/>
          <w:sz w:val="24"/>
          <w:szCs w:val="24"/>
          <w:color w:val="auto"/>
          <w:vertAlign w:val="subscript"/>
        </w:rPr>
      </w:pPr>
      <w:r>
        <w:rPr>
          <w:rFonts w:ascii="Arial" w:cs="Arial" w:eastAsia="Arial" w:hAnsi="Arial"/>
          <w:sz w:val="24"/>
          <w:szCs w:val="24"/>
          <w:color w:val="000000"/>
          <w:vertAlign w:val="subscript"/>
        </w:rPr>
        <w:t xml:space="preserve">     </w:t>
      </w:r>
      <w:r>
        <w:rPr>
          <w:rFonts w:ascii="Arial" w:cs="Arial" w:eastAsia="Arial" w:hAnsi="Arial"/>
          <w:sz w:val="10"/>
          <w:szCs w:val="10"/>
          <w:color w:val="FFFFFF"/>
        </w:rPr>
        <w:t xml:space="preserve"> General Information</w:t>
      </w:r>
    </w:p>
    <w:p>
      <w:pPr>
        <w:spacing w:after="0" w:line="1" w:lineRule="exact"/>
        <w:rPr>
          <w:sz w:val="20"/>
          <w:szCs w:val="20"/>
          <w:color w:val="auto"/>
        </w:rPr>
      </w:pPr>
    </w:p>
    <w:p>
      <w:pPr>
        <w:ind w:left="1120"/>
        <w:spacing w:after="0"/>
        <w:rPr>
          <w:sz w:val="20"/>
          <w:szCs w:val="20"/>
          <w:color w:val="auto"/>
        </w:rPr>
      </w:pPr>
      <w:r>
        <w:rPr>
          <w:rFonts w:ascii="Arial" w:cs="Arial" w:eastAsia="Arial" w:hAnsi="Arial"/>
          <w:sz w:val="11"/>
          <w:szCs w:val="11"/>
          <w:color w:val="FFFFFF"/>
        </w:rPr>
        <w:t>General Information</w:t>
      </w:r>
    </w:p>
    <w:p>
      <w:pPr>
        <w:spacing w:after="0" w:line="3"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About Corporate</w:t>
      </w:r>
    </w:p>
    <w:p>
      <w:pPr>
        <w:ind w:left="1120"/>
        <w:spacing w:after="0" w:line="221" w:lineRule="auto"/>
        <w:rPr>
          <w:sz w:val="20"/>
          <w:szCs w:val="20"/>
          <w:color w:val="auto"/>
        </w:rPr>
      </w:pPr>
      <w:r>
        <w:rPr>
          <w:rFonts w:ascii="Arial" w:cs="Arial" w:eastAsia="Arial" w:hAnsi="Arial"/>
          <w:sz w:val="12"/>
          <w:szCs w:val="12"/>
          <w:color w:val="FFFFFF"/>
        </w:rPr>
        <w:t>Governance</w:t>
      </w:r>
    </w:p>
    <w:p>
      <w:pPr>
        <w:ind w:left="1120"/>
        <w:spacing w:after="0" w:line="222" w:lineRule="auto"/>
        <w:rPr>
          <w:sz w:val="20"/>
          <w:szCs w:val="20"/>
          <w:color w:val="auto"/>
        </w:rPr>
      </w:pPr>
      <w:r>
        <w:rPr>
          <w:rFonts w:ascii="Arial" w:cs="Arial" w:eastAsia="Arial" w:hAnsi="Arial"/>
          <w:sz w:val="12"/>
          <w:szCs w:val="12"/>
          <w:color w:val="FFFFFF"/>
        </w:rPr>
        <w:t>and the Board of</w:t>
      </w:r>
    </w:p>
    <w:p>
      <w:pPr>
        <w:spacing w:after="0" w:line="1"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Directors</w:t>
      </w:r>
    </w:p>
    <w:p>
      <w:pPr>
        <w:spacing w:after="0" w:line="144" w:lineRule="exact"/>
        <w:rPr>
          <w:sz w:val="20"/>
          <w:szCs w:val="20"/>
          <w:color w:val="auto"/>
        </w:rPr>
      </w:pPr>
    </w:p>
    <w:p>
      <w:pPr>
        <w:jc w:val="center"/>
        <w:ind w:left="620"/>
        <w:spacing w:after="0"/>
        <w:rPr>
          <w:sz w:val="20"/>
          <w:szCs w:val="20"/>
          <w:color w:val="auto"/>
        </w:rPr>
      </w:pPr>
      <w:r>
        <w:rPr>
          <w:rFonts w:ascii="Arial" w:cs="Arial" w:eastAsia="Arial" w:hAnsi="Arial"/>
          <w:sz w:val="12"/>
          <w:szCs w:val="12"/>
          <w:color w:val="FFFFFF"/>
        </w:rPr>
        <w:t>Proposal 1</w:t>
      </w:r>
    </w:p>
    <w:p>
      <w:pPr>
        <w:spacing w:after="0" w:line="156"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Information</w:t>
      </w:r>
    </w:p>
    <w:p>
      <w:pPr>
        <w:ind w:left="1120"/>
        <w:spacing w:after="0" w:line="224" w:lineRule="auto"/>
        <w:rPr>
          <w:sz w:val="20"/>
          <w:szCs w:val="20"/>
          <w:color w:val="auto"/>
        </w:rPr>
      </w:pPr>
      <w:r>
        <w:rPr>
          <w:rFonts w:ascii="Arial" w:cs="Arial" w:eastAsia="Arial" w:hAnsi="Arial"/>
          <w:sz w:val="12"/>
          <w:szCs w:val="12"/>
          <w:color w:val="FFFFFF"/>
        </w:rPr>
        <w:t>Regarding Board</w:t>
      </w:r>
    </w:p>
    <w:p>
      <w:pPr>
        <w:ind w:left="1120"/>
        <w:spacing w:after="0" w:line="222" w:lineRule="auto"/>
        <w:rPr>
          <w:sz w:val="20"/>
          <w:szCs w:val="20"/>
          <w:color w:val="auto"/>
        </w:rPr>
      </w:pPr>
      <w:r>
        <w:rPr>
          <w:rFonts w:ascii="Arial" w:cs="Arial" w:eastAsia="Arial" w:hAnsi="Arial"/>
          <w:sz w:val="12"/>
          <w:szCs w:val="12"/>
          <w:color w:val="FFFFFF"/>
        </w:rPr>
        <w:t>and Committee</w:t>
      </w:r>
    </w:p>
    <w:p>
      <w:pPr>
        <w:ind w:left="1120"/>
        <w:spacing w:after="0"/>
        <w:rPr>
          <w:sz w:val="20"/>
          <w:szCs w:val="20"/>
          <w:color w:val="auto"/>
        </w:rPr>
      </w:pPr>
      <w:r>
        <w:rPr>
          <w:rFonts w:ascii="Arial" w:cs="Arial" w:eastAsia="Arial" w:hAnsi="Arial"/>
          <w:sz w:val="12"/>
          <w:szCs w:val="12"/>
          <w:color w:val="FFFFFF"/>
        </w:rPr>
        <w:t>Structure</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Board of Directors</w:t>
      </w:r>
    </w:p>
    <w:p>
      <w:pPr>
        <w:spacing w:after="0" w:line="2"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Compensation</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Compensation</w:t>
      </w:r>
    </w:p>
    <w:p>
      <w:pPr>
        <w:ind w:left="1120"/>
        <w:spacing w:after="0" w:line="224" w:lineRule="auto"/>
        <w:rPr>
          <w:sz w:val="20"/>
          <w:szCs w:val="20"/>
          <w:color w:val="auto"/>
        </w:rPr>
      </w:pPr>
      <w:r>
        <w:rPr>
          <w:rFonts w:ascii="Arial" w:cs="Arial" w:eastAsia="Arial" w:hAnsi="Arial"/>
          <w:sz w:val="12"/>
          <w:szCs w:val="12"/>
          <w:color w:val="FFFFFF"/>
        </w:rPr>
        <w:t>Discussion and</w:t>
      </w:r>
    </w:p>
    <w:p>
      <w:pPr>
        <w:ind w:left="1120"/>
        <w:spacing w:after="0"/>
        <w:rPr>
          <w:sz w:val="20"/>
          <w:szCs w:val="20"/>
          <w:color w:val="auto"/>
        </w:rPr>
      </w:pPr>
      <w:r>
        <w:rPr>
          <w:rFonts w:ascii="Arial" w:cs="Arial" w:eastAsia="Arial" w:hAnsi="Arial"/>
          <w:sz w:val="12"/>
          <w:szCs w:val="12"/>
          <w:color w:val="FFFFFF"/>
        </w:rPr>
        <w:t>Analysis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Report of the</w:t>
      </w:r>
    </w:p>
    <w:p>
      <w:pPr>
        <w:ind w:left="1120"/>
        <w:spacing w:after="0" w:line="224" w:lineRule="auto"/>
        <w:rPr>
          <w:sz w:val="20"/>
          <w:szCs w:val="20"/>
          <w:color w:val="auto"/>
        </w:rPr>
      </w:pPr>
      <w:r>
        <w:rPr>
          <w:rFonts w:ascii="Arial" w:cs="Arial" w:eastAsia="Arial" w:hAnsi="Arial"/>
          <w:sz w:val="12"/>
          <w:szCs w:val="12"/>
          <w:color w:val="FFFFFF"/>
        </w:rPr>
        <w:t>Compensation</w:t>
      </w:r>
    </w:p>
    <w:p>
      <w:pPr>
        <w:ind w:left="1120"/>
        <w:spacing w:after="0" w:line="222" w:lineRule="auto"/>
        <w:rPr>
          <w:sz w:val="20"/>
          <w:szCs w:val="20"/>
          <w:color w:val="auto"/>
        </w:rPr>
      </w:pPr>
      <w:r>
        <w:rPr>
          <w:rFonts w:ascii="Arial" w:cs="Arial" w:eastAsia="Arial" w:hAnsi="Arial"/>
          <w:sz w:val="12"/>
          <w:szCs w:val="12"/>
          <w:color w:val="FFFFFF"/>
        </w:rPr>
        <w:t>and Human</w:t>
      </w:r>
    </w:p>
    <w:p>
      <w:pPr>
        <w:ind w:left="1120"/>
        <w:spacing w:after="0" w:line="222" w:lineRule="auto"/>
        <w:rPr>
          <w:sz w:val="20"/>
          <w:szCs w:val="20"/>
          <w:color w:val="auto"/>
        </w:rPr>
      </w:pPr>
      <w:r>
        <w:rPr>
          <w:rFonts w:ascii="Arial" w:cs="Arial" w:eastAsia="Arial" w:hAnsi="Arial"/>
          <w:sz w:val="12"/>
          <w:szCs w:val="12"/>
          <w:color w:val="FFFFFF"/>
        </w:rPr>
        <w:t>Resources</w:t>
      </w:r>
    </w:p>
    <w:p>
      <w:pPr>
        <w:ind w:left="1120"/>
        <w:spacing w:after="0" w:line="222" w:lineRule="auto"/>
        <w:rPr>
          <w:sz w:val="20"/>
          <w:szCs w:val="20"/>
          <w:color w:val="auto"/>
        </w:rPr>
      </w:pPr>
      <w:r>
        <w:rPr>
          <w:rFonts w:ascii="Arial" w:cs="Arial" w:eastAsia="Arial" w:hAnsi="Arial"/>
          <w:sz w:val="12"/>
          <w:szCs w:val="12"/>
          <w:color w:val="FFFFFF"/>
        </w:rPr>
        <w:t>Committee of the</w:t>
      </w:r>
    </w:p>
    <w:p>
      <w:pPr>
        <w:ind w:left="1120"/>
        <w:spacing w:after="0"/>
        <w:rPr>
          <w:sz w:val="20"/>
          <w:szCs w:val="20"/>
          <w:color w:val="auto"/>
        </w:rPr>
      </w:pPr>
      <w:r>
        <w:rPr>
          <w:rFonts w:ascii="Arial" w:cs="Arial" w:eastAsia="Arial" w:hAnsi="Arial"/>
          <w:sz w:val="12"/>
          <w:szCs w:val="12"/>
          <w:color w:val="FFFFFF"/>
        </w:rPr>
        <w:t>Board of Directors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b w:val="1"/>
          <w:bCs w:val="1"/>
          <w:color w:val="FFFFFF"/>
        </w:rPr>
        <w:t>Compensation of</w:t>
      </w:r>
    </w:p>
    <w:p>
      <w:pPr>
        <w:ind w:left="1120"/>
        <w:spacing w:after="0" w:line="224" w:lineRule="auto"/>
        <w:rPr>
          <w:sz w:val="20"/>
          <w:szCs w:val="20"/>
          <w:color w:val="auto"/>
        </w:rPr>
      </w:pPr>
      <w:r>
        <w:rPr>
          <w:rFonts w:ascii="Arial" w:cs="Arial" w:eastAsia="Arial" w:hAnsi="Arial"/>
          <w:sz w:val="12"/>
          <w:szCs w:val="12"/>
          <w:b w:val="1"/>
          <w:bCs w:val="1"/>
          <w:color w:val="FFFFFF"/>
        </w:rPr>
        <w:t>Named Executive</w:t>
      </w:r>
    </w:p>
    <w:p>
      <w:pPr>
        <w:ind w:left="1120"/>
        <w:spacing w:after="0"/>
        <w:rPr>
          <w:sz w:val="20"/>
          <w:szCs w:val="20"/>
          <w:color w:val="auto"/>
        </w:rPr>
      </w:pPr>
      <w:r>
        <w:rPr>
          <w:rFonts w:ascii="Arial" w:cs="Arial" w:eastAsia="Arial" w:hAnsi="Arial"/>
          <w:sz w:val="12"/>
          <w:szCs w:val="12"/>
          <w:b w:val="1"/>
          <w:bCs w:val="1"/>
          <w:color w:val="FFFFFF"/>
        </w:rPr>
        <w:t>Officers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Pay Versus</w:t>
      </w:r>
    </w:p>
    <w:p>
      <w:pPr>
        <w:ind w:left="1120"/>
        <w:spacing w:after="0" w:line="224" w:lineRule="auto"/>
        <w:rPr>
          <w:sz w:val="20"/>
          <w:szCs w:val="20"/>
          <w:color w:val="auto"/>
        </w:rPr>
      </w:pPr>
      <w:r>
        <w:rPr>
          <w:rFonts w:ascii="Arial" w:cs="Arial" w:eastAsia="Arial" w:hAnsi="Arial"/>
          <w:sz w:val="12"/>
          <w:szCs w:val="12"/>
          <w:color w:val="FFFFFF"/>
        </w:rPr>
        <w:t>Performance</w:t>
      </w:r>
    </w:p>
    <w:p>
      <w:pPr>
        <w:ind w:left="1120"/>
        <w:spacing w:after="0"/>
        <w:rPr>
          <w:sz w:val="20"/>
          <w:szCs w:val="20"/>
          <w:color w:val="auto"/>
        </w:rPr>
      </w:pPr>
      <w:r>
        <w:rPr>
          <w:rFonts w:ascii="Arial" w:cs="Arial" w:eastAsia="Arial" w:hAnsi="Arial"/>
          <w:sz w:val="12"/>
          <w:szCs w:val="12"/>
          <w:color w:val="FFFFFF"/>
        </w:rPr>
        <w:t>Disclosure</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Security</w:t>
      </w:r>
    </w:p>
    <w:p>
      <w:pPr>
        <w:ind w:left="1120"/>
        <w:spacing w:after="0" w:line="224" w:lineRule="auto"/>
        <w:rPr>
          <w:sz w:val="20"/>
          <w:szCs w:val="20"/>
          <w:color w:val="auto"/>
        </w:rPr>
      </w:pPr>
      <w:r>
        <w:rPr>
          <w:rFonts w:ascii="Arial" w:cs="Arial" w:eastAsia="Arial" w:hAnsi="Arial"/>
          <w:sz w:val="12"/>
          <w:szCs w:val="12"/>
          <w:color w:val="FFFFFF"/>
        </w:rPr>
        <w:t>Ownership of</w:t>
      </w:r>
    </w:p>
    <w:p>
      <w:pPr>
        <w:ind w:left="1120"/>
        <w:spacing w:after="0" w:line="222" w:lineRule="auto"/>
        <w:rPr>
          <w:sz w:val="20"/>
          <w:szCs w:val="20"/>
          <w:color w:val="auto"/>
        </w:rPr>
      </w:pPr>
      <w:r>
        <w:rPr>
          <w:rFonts w:ascii="Arial" w:cs="Arial" w:eastAsia="Arial" w:hAnsi="Arial"/>
          <w:sz w:val="12"/>
          <w:szCs w:val="12"/>
          <w:color w:val="FFFFFF"/>
        </w:rPr>
        <w:t>Certain Beneficial</w:t>
      </w:r>
    </w:p>
    <w:p>
      <w:pPr>
        <w:ind w:left="1120"/>
        <w:spacing w:after="0" w:line="222" w:lineRule="auto"/>
        <w:rPr>
          <w:sz w:val="20"/>
          <w:szCs w:val="20"/>
          <w:color w:val="auto"/>
        </w:rPr>
      </w:pPr>
      <w:r>
        <w:rPr>
          <w:rFonts w:ascii="Arial" w:cs="Arial" w:eastAsia="Arial" w:hAnsi="Arial"/>
          <w:sz w:val="12"/>
          <w:szCs w:val="12"/>
          <w:color w:val="FFFFFF"/>
        </w:rPr>
        <w:t>Owners and</w:t>
      </w:r>
    </w:p>
    <w:p>
      <w:pPr>
        <w:ind w:left="1120"/>
        <w:spacing w:after="0"/>
        <w:rPr>
          <w:sz w:val="20"/>
          <w:szCs w:val="20"/>
          <w:color w:val="auto"/>
        </w:rPr>
      </w:pPr>
      <w:r>
        <w:rPr>
          <w:rFonts w:ascii="Arial" w:cs="Arial" w:eastAsia="Arial" w:hAnsi="Arial"/>
          <w:sz w:val="12"/>
          <w:szCs w:val="12"/>
          <w:color w:val="FFFFFF"/>
        </w:rPr>
        <w:t>Management</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Certain</w:t>
      </w:r>
    </w:p>
    <w:p>
      <w:pPr>
        <w:ind w:left="1120"/>
        <w:spacing w:after="0" w:line="224" w:lineRule="auto"/>
        <w:rPr>
          <w:sz w:val="20"/>
          <w:szCs w:val="20"/>
          <w:color w:val="auto"/>
        </w:rPr>
      </w:pPr>
      <w:r>
        <w:rPr>
          <w:rFonts w:ascii="Arial" w:cs="Arial" w:eastAsia="Arial" w:hAnsi="Arial"/>
          <w:sz w:val="12"/>
          <w:szCs w:val="12"/>
          <w:color w:val="FFFFFF"/>
        </w:rPr>
        <w:t>Relationships and</w:t>
      </w:r>
    </w:p>
    <w:p>
      <w:pPr>
        <w:ind w:left="1120"/>
        <w:spacing w:after="0" w:line="222" w:lineRule="auto"/>
        <w:rPr>
          <w:sz w:val="20"/>
          <w:szCs w:val="20"/>
          <w:color w:val="auto"/>
        </w:rPr>
      </w:pPr>
      <w:r>
        <w:rPr>
          <w:rFonts w:ascii="Arial" w:cs="Arial" w:eastAsia="Arial" w:hAnsi="Arial"/>
          <w:sz w:val="12"/>
          <w:szCs w:val="12"/>
          <w:color w:val="FFFFFF"/>
        </w:rPr>
        <w:t>Related Party</w:t>
      </w:r>
    </w:p>
    <w:p>
      <w:pPr>
        <w:ind w:left="1120"/>
        <w:spacing w:after="0"/>
        <w:rPr>
          <w:sz w:val="20"/>
          <w:szCs w:val="20"/>
          <w:color w:val="auto"/>
        </w:rPr>
      </w:pPr>
      <w:r>
        <w:rPr>
          <w:rFonts w:ascii="Arial" w:cs="Arial" w:eastAsia="Arial" w:hAnsi="Arial"/>
          <w:sz w:val="12"/>
          <w:szCs w:val="12"/>
          <w:color w:val="FFFFFF"/>
        </w:rPr>
        <w:t>Transactions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Proposal 2</w:t>
      </w:r>
    </w:p>
    <w:p>
      <w:pPr>
        <w:spacing w:after="0" w:line="156"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Report of the</w:t>
      </w:r>
    </w:p>
    <w:p>
      <w:pPr>
        <w:ind w:left="1120"/>
        <w:spacing w:after="0" w:line="224" w:lineRule="auto"/>
        <w:rPr>
          <w:sz w:val="20"/>
          <w:szCs w:val="20"/>
          <w:color w:val="auto"/>
        </w:rPr>
      </w:pPr>
      <w:r>
        <w:rPr>
          <w:rFonts w:ascii="Arial" w:cs="Arial" w:eastAsia="Arial" w:hAnsi="Arial"/>
          <w:sz w:val="12"/>
          <w:szCs w:val="12"/>
          <w:color w:val="FFFFFF"/>
        </w:rPr>
        <w:t>Audit and Risk</w:t>
      </w:r>
    </w:p>
    <w:p>
      <w:pPr>
        <w:ind w:left="1120"/>
        <w:spacing w:after="0" w:line="222" w:lineRule="auto"/>
        <w:rPr>
          <w:sz w:val="20"/>
          <w:szCs w:val="20"/>
          <w:color w:val="auto"/>
        </w:rPr>
      </w:pPr>
      <w:r>
        <w:rPr>
          <w:rFonts w:ascii="Arial" w:cs="Arial" w:eastAsia="Arial" w:hAnsi="Arial"/>
          <w:sz w:val="12"/>
          <w:szCs w:val="12"/>
          <w:color w:val="FFFFFF"/>
        </w:rPr>
        <w:t>Committee of the</w:t>
      </w:r>
    </w:p>
    <w:p>
      <w:pPr>
        <w:ind w:left="1120"/>
        <w:spacing w:after="0"/>
        <w:rPr>
          <w:sz w:val="20"/>
          <w:szCs w:val="20"/>
          <w:color w:val="auto"/>
        </w:rPr>
      </w:pPr>
      <w:r>
        <w:rPr>
          <w:rFonts w:ascii="Arial" w:cs="Arial" w:eastAsia="Arial" w:hAnsi="Arial"/>
          <w:sz w:val="12"/>
          <w:szCs w:val="12"/>
          <w:color w:val="FFFFFF"/>
        </w:rPr>
        <w:t>Board of Directors</w:t>
      </w:r>
    </w:p>
    <w:p>
      <w:pPr>
        <w:spacing w:after="0" w:line="144" w:lineRule="exact"/>
        <w:rPr>
          <w:sz w:val="20"/>
          <w:szCs w:val="20"/>
          <w:color w:val="auto"/>
        </w:rPr>
      </w:pPr>
    </w:p>
    <w:p>
      <w:pPr>
        <w:jc w:val="center"/>
        <w:ind w:left="620"/>
        <w:spacing w:after="0"/>
        <w:rPr>
          <w:sz w:val="20"/>
          <w:szCs w:val="20"/>
          <w:color w:val="auto"/>
        </w:rPr>
      </w:pPr>
      <w:r>
        <w:rPr>
          <w:rFonts w:ascii="Arial" w:cs="Arial" w:eastAsia="Arial" w:hAnsi="Arial"/>
          <w:sz w:val="12"/>
          <w:szCs w:val="12"/>
          <w:color w:val="FFFFFF"/>
        </w:rPr>
        <w:t>Proposal 3</w:t>
      </w:r>
    </w:p>
    <w:p>
      <w:pPr>
        <w:spacing w:after="0" w:line="156" w:lineRule="exact"/>
        <w:rPr>
          <w:sz w:val="20"/>
          <w:szCs w:val="20"/>
          <w:color w:val="auto"/>
        </w:rPr>
      </w:pPr>
    </w:p>
    <w:p>
      <w:pPr>
        <w:jc w:val="center"/>
        <w:ind w:left="620"/>
        <w:spacing w:after="0"/>
        <w:rPr>
          <w:sz w:val="20"/>
          <w:szCs w:val="20"/>
          <w:color w:val="auto"/>
        </w:rPr>
      </w:pPr>
      <w:r>
        <w:rPr>
          <w:rFonts w:ascii="Arial" w:cs="Arial" w:eastAsia="Arial" w:hAnsi="Arial"/>
          <w:sz w:val="12"/>
          <w:szCs w:val="12"/>
          <w:color w:val="FFFFFF"/>
        </w:rPr>
        <w:t>Proposal 4</w:t>
      </w:r>
    </w:p>
    <w:p>
      <w:pPr>
        <w:spacing w:after="0" w:line="156" w:lineRule="exact"/>
        <w:rPr>
          <w:sz w:val="20"/>
          <w:szCs w:val="20"/>
          <w:color w:val="auto"/>
        </w:rPr>
      </w:pPr>
    </w:p>
    <w:p>
      <w:pPr>
        <w:jc w:val="center"/>
        <w:ind w:left="620"/>
        <w:spacing w:after="0"/>
        <w:rPr>
          <w:sz w:val="20"/>
          <w:szCs w:val="20"/>
          <w:color w:val="auto"/>
        </w:rPr>
      </w:pPr>
      <w:r>
        <w:rPr>
          <w:rFonts w:ascii="Arial" w:cs="Arial" w:eastAsia="Arial" w:hAnsi="Arial"/>
          <w:sz w:val="12"/>
          <w:szCs w:val="12"/>
          <w:color w:val="FFFFFF"/>
        </w:rPr>
        <w:t>Proposal 5</w:t>
      </w:r>
    </w:p>
    <w:p>
      <w:pPr>
        <w:spacing w:after="0" w:line="156"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Proposal 6</w:t>
      </w:r>
    </w:p>
    <w:p>
      <w:pPr>
        <w:spacing w:after="0" w:line="156"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Stockholder</w:t>
      </w:r>
    </w:p>
    <w:p>
      <w:pPr>
        <w:ind w:left="1120"/>
        <w:spacing w:after="0" w:line="224" w:lineRule="auto"/>
        <w:rPr>
          <w:sz w:val="20"/>
          <w:szCs w:val="20"/>
          <w:color w:val="auto"/>
        </w:rPr>
      </w:pPr>
      <w:r>
        <w:rPr>
          <w:rFonts w:ascii="Arial" w:cs="Arial" w:eastAsia="Arial" w:hAnsi="Arial"/>
          <w:sz w:val="12"/>
          <w:szCs w:val="12"/>
          <w:color w:val="FFFFFF"/>
        </w:rPr>
        <w:t>Proposals and</w:t>
      </w:r>
    </w:p>
    <w:p>
      <w:pPr>
        <w:ind w:left="1120"/>
        <w:spacing w:after="0"/>
        <w:rPr>
          <w:sz w:val="20"/>
          <w:szCs w:val="20"/>
          <w:color w:val="auto"/>
        </w:rPr>
      </w:pPr>
      <w:r>
        <w:rPr>
          <w:rFonts w:ascii="Arial" w:cs="Arial" w:eastAsia="Arial" w:hAnsi="Arial"/>
          <w:sz w:val="12"/>
          <w:szCs w:val="12"/>
          <w:color w:val="FFFFFF"/>
        </w:rPr>
        <w:t>Other Matters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Delinquent</w:t>
      </w:r>
    </w:p>
    <w:p>
      <w:pPr>
        <w:ind w:left="1120"/>
        <w:spacing w:after="0" w:line="224" w:lineRule="auto"/>
        <w:rPr>
          <w:sz w:val="20"/>
          <w:szCs w:val="20"/>
          <w:color w:val="auto"/>
        </w:rPr>
      </w:pPr>
      <w:r>
        <w:rPr>
          <w:rFonts w:ascii="Arial" w:cs="Arial" w:eastAsia="Arial" w:hAnsi="Arial"/>
          <w:sz w:val="12"/>
          <w:szCs w:val="12"/>
          <w:color w:val="FFFFFF"/>
        </w:rPr>
        <w:t>Section 16(a)</w:t>
      </w:r>
    </w:p>
    <w:p>
      <w:pPr>
        <w:ind w:left="1120"/>
        <w:spacing w:after="0"/>
        <w:rPr>
          <w:sz w:val="20"/>
          <w:szCs w:val="20"/>
          <w:color w:val="auto"/>
        </w:rPr>
      </w:pPr>
      <w:r>
        <w:rPr>
          <w:rFonts w:ascii="Arial" w:cs="Arial" w:eastAsia="Arial" w:hAnsi="Arial"/>
          <w:sz w:val="12"/>
          <w:szCs w:val="12"/>
          <w:color w:val="FFFFFF"/>
        </w:rPr>
        <w:t>Reports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Other</w:t>
      </w:r>
    </w:p>
    <w:p>
      <w:pPr>
        <w:spacing w:after="0" w:line="2"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Information</w:t>
      </w:r>
    </w:p>
    <w:p>
      <w:pPr>
        <w:spacing w:after="0" w:line="144" w:lineRule="exact"/>
        <w:rPr>
          <w:sz w:val="20"/>
          <w:szCs w:val="20"/>
          <w:color w:val="auto"/>
        </w:rPr>
      </w:pPr>
    </w:p>
    <w:p>
      <w:pPr>
        <w:jc w:val="center"/>
        <w:ind w:left="660"/>
        <w:spacing w:after="0"/>
        <w:rPr>
          <w:sz w:val="20"/>
          <w:szCs w:val="20"/>
          <w:color w:val="auto"/>
        </w:rPr>
      </w:pPr>
      <w:r>
        <w:rPr>
          <w:rFonts w:ascii="Arial" w:cs="Arial" w:eastAsia="Arial" w:hAnsi="Arial"/>
          <w:sz w:val="12"/>
          <w:szCs w:val="12"/>
          <w:color w:val="FFFFFF"/>
        </w:rPr>
        <w:t>Appendix A</w:t>
      </w:r>
    </w:p>
    <w:p>
      <w:pPr>
        <w:spacing w:after="0" w:line="156" w:lineRule="exact"/>
        <w:rPr>
          <w:sz w:val="20"/>
          <w:szCs w:val="20"/>
          <w:color w:val="auto"/>
        </w:rPr>
      </w:pPr>
    </w:p>
    <w:p>
      <w:pPr>
        <w:jc w:val="center"/>
        <w:ind w:left="660"/>
        <w:spacing w:after="0"/>
        <w:rPr>
          <w:sz w:val="20"/>
          <w:szCs w:val="20"/>
          <w:color w:val="auto"/>
        </w:rPr>
      </w:pPr>
      <w:r>
        <w:rPr>
          <w:rFonts w:ascii="Arial" w:cs="Arial" w:eastAsia="Arial" w:hAnsi="Arial"/>
          <w:sz w:val="12"/>
          <w:szCs w:val="12"/>
          <w:color w:val="FFFFFF"/>
        </w:rPr>
        <w:t>Appendix 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right="460"/>
        <w:spacing w:after="0" w:line="278" w:lineRule="auto"/>
        <w:rPr>
          <w:sz w:val="20"/>
          <w:szCs w:val="20"/>
          <w:color w:val="auto"/>
        </w:rPr>
      </w:pPr>
      <w:r>
        <w:rPr>
          <w:rFonts w:ascii="Arial" w:cs="Arial" w:eastAsia="Arial" w:hAnsi="Arial"/>
          <w:sz w:val="24"/>
          <w:szCs w:val="24"/>
          <w:color w:val="B95827"/>
        </w:rPr>
        <w:t>Potential Payments upon Termination or Change-in-Control for the Year Ended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-1737995</wp:posOffset>
            </wp:positionH>
            <wp:positionV relativeFrom="paragraph">
              <wp:posOffset>-1031240</wp:posOffset>
            </wp:positionV>
            <wp:extent cx="7181215" cy="5334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81215" cy="53340"/>
                    </a:xfrm>
                    <a:prstGeom prst="rect">
                      <a:avLst/>
                    </a:prstGeom>
                    <a:noFill/>
                  </pic:spPr>
                </pic:pic>
              </a:graphicData>
            </a:graphic>
          </wp:anchor>
        </w:drawing>
      </w:r>
    </w:p>
    <w:p>
      <w:pPr>
        <w:spacing w:after="0" w:line="15" w:lineRule="exact"/>
        <w:rPr>
          <w:sz w:val="20"/>
          <w:szCs w:val="20"/>
          <w:color w:val="auto"/>
        </w:rPr>
      </w:pPr>
    </w:p>
    <w:p>
      <w:pPr>
        <w:ind w:right="120"/>
        <w:spacing w:after="0" w:line="258" w:lineRule="auto"/>
        <w:rPr>
          <w:sz w:val="20"/>
          <w:szCs w:val="20"/>
          <w:color w:val="auto"/>
        </w:rPr>
      </w:pPr>
      <w:r>
        <w:rPr>
          <w:rFonts w:ascii="Arial" w:cs="Arial" w:eastAsia="Arial" w:hAnsi="Arial"/>
          <w:sz w:val="15"/>
          <w:szCs w:val="15"/>
          <w:color w:val="auto"/>
        </w:rPr>
        <w:t>The table below details post-employment arrangements with our NEOs, including severance benefits and change-in-control benefits to which they would have been entitled under the Executive Severance Plan as of December 31, 2025, if a termination of employment and/or a change-in-control had occurred on such date. Amounts reported for the accelerated vesting of RSUs and PSUs are based on a price per share of our Common Stock of $357.17, the closing price per share of our Common Stock on December 31, 2025, the last business day of 2025.</w:t>
      </w:r>
    </w:p>
    <w:p>
      <w:pPr>
        <w:spacing w:after="0" w:line="191"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1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002B5F"/>
                <w:w w:val="95"/>
              </w:rPr>
              <w:t>Without</w:t>
            </w: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1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002B5F"/>
                <w:w w:val="96"/>
              </w:rPr>
              <w:t>Cause or</w:t>
            </w:r>
          </w:p>
        </w:tc>
        <w:tc>
          <w:tcPr>
            <w:tcW w:w="94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002B5F"/>
                <w:w w:val="96"/>
              </w:rPr>
              <w:t>Disability,</w:t>
            </w:r>
          </w:p>
        </w:tc>
        <w:tc>
          <w:tcPr>
            <w:tcW w:w="1080" w:type="dxa"/>
            <w:vAlign w:val="bottom"/>
            <w:gridSpan w:val="3"/>
          </w:tcPr>
          <w:p>
            <w:pPr>
              <w:jc w:val="center"/>
              <w:ind w:left="32"/>
              <w:spacing w:after="0" w:line="153" w:lineRule="exact"/>
              <w:rPr>
                <w:sz w:val="20"/>
                <w:szCs w:val="20"/>
                <w:color w:val="auto"/>
              </w:rPr>
            </w:pPr>
            <w:r>
              <w:rPr>
                <w:rFonts w:ascii="Arial" w:cs="Arial" w:eastAsia="Arial" w:hAnsi="Arial"/>
                <w:sz w:val="14"/>
                <w:szCs w:val="14"/>
                <w:b w:val="1"/>
                <w:bCs w:val="1"/>
                <w:color w:val="002B5F"/>
                <w:w w:val="97"/>
              </w:rPr>
              <w:t>Double-Trigger</w:t>
            </w:r>
          </w:p>
        </w:tc>
        <w:tc>
          <w:tcPr>
            <w:tcW w:w="0" w:type="dxa"/>
            <w:vAlign w:val="bottom"/>
          </w:tcPr>
          <w:p>
            <w:pPr>
              <w:spacing w:after="0"/>
              <w:rPr>
                <w:sz w:val="1"/>
                <w:szCs w:val="1"/>
                <w:color w:val="auto"/>
              </w:rPr>
            </w:pPr>
          </w:p>
        </w:tc>
      </w:tr>
      <w:tr>
        <w:trPr>
          <w:trHeight w:val="153"/>
        </w:trPr>
        <w:tc>
          <w:tcPr>
            <w:tcW w:w="1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002B5F"/>
                <w:w w:val="98"/>
              </w:rPr>
              <w:t>For Good</w:t>
            </w:r>
          </w:p>
        </w:tc>
        <w:tc>
          <w:tcPr>
            <w:tcW w:w="94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002B5F"/>
                <w:w w:val="98"/>
              </w:rPr>
              <w:t>Death,</w:t>
            </w:r>
          </w:p>
        </w:tc>
        <w:tc>
          <w:tcPr>
            <w:tcW w:w="140" w:type="dxa"/>
            <w:vAlign w:val="bottom"/>
          </w:tcPr>
          <w:p>
            <w:pPr>
              <w:spacing w:after="0"/>
              <w:rPr>
                <w:sz w:val="13"/>
                <w:szCs w:val="13"/>
                <w:color w:val="auto"/>
              </w:rPr>
            </w:pPr>
          </w:p>
        </w:tc>
        <w:tc>
          <w:tcPr>
            <w:tcW w:w="940" w:type="dxa"/>
            <w:vAlign w:val="bottom"/>
            <w:gridSpan w:val="2"/>
          </w:tcPr>
          <w:p>
            <w:pPr>
              <w:jc w:val="center"/>
              <w:ind w:right="40"/>
              <w:spacing w:after="0" w:line="153" w:lineRule="exact"/>
              <w:rPr>
                <w:sz w:val="20"/>
                <w:szCs w:val="20"/>
                <w:color w:val="auto"/>
              </w:rPr>
            </w:pPr>
            <w:r>
              <w:rPr>
                <w:rFonts w:ascii="Arial" w:cs="Arial" w:eastAsia="Arial" w:hAnsi="Arial"/>
                <w:sz w:val="14"/>
                <w:szCs w:val="14"/>
                <w:b w:val="1"/>
                <w:bCs w:val="1"/>
                <w:color w:val="002B5F"/>
                <w:w w:val="95"/>
              </w:rPr>
              <w:t>Change-in-</w:t>
            </w:r>
          </w:p>
        </w:tc>
        <w:tc>
          <w:tcPr>
            <w:tcW w:w="0" w:type="dxa"/>
            <w:vAlign w:val="bottom"/>
          </w:tcPr>
          <w:p>
            <w:pPr>
              <w:spacing w:after="0"/>
              <w:rPr>
                <w:sz w:val="1"/>
                <w:szCs w:val="1"/>
                <w:color w:val="auto"/>
              </w:rPr>
            </w:pPr>
          </w:p>
        </w:tc>
      </w:tr>
      <w:tr>
        <w:trPr>
          <w:trHeight w:val="150"/>
        </w:trPr>
        <w:tc>
          <w:tcPr>
            <w:tcW w:w="1180" w:type="dxa"/>
            <w:vAlign w:val="bottom"/>
          </w:tcPr>
          <w:p>
            <w:pPr>
              <w:ind w:left="60"/>
              <w:spacing w:after="0" w:line="149" w:lineRule="exact"/>
              <w:rPr>
                <w:sz w:val="20"/>
                <w:szCs w:val="20"/>
                <w:color w:val="auto"/>
              </w:rPr>
            </w:pPr>
            <w:r>
              <w:rPr>
                <w:rFonts w:ascii="Arial" w:cs="Arial" w:eastAsia="Arial" w:hAnsi="Arial"/>
                <w:sz w:val="14"/>
                <w:szCs w:val="14"/>
                <w:b w:val="1"/>
                <w:bCs w:val="1"/>
                <w:color w:val="002B5F"/>
              </w:rPr>
              <w:t>Named</w:t>
            </w:r>
          </w:p>
        </w:tc>
        <w:tc>
          <w:tcPr>
            <w:tcW w:w="160" w:type="dxa"/>
            <w:vAlign w:val="bottom"/>
          </w:tcPr>
          <w:p>
            <w:pPr>
              <w:spacing w:after="0"/>
              <w:rPr>
                <w:sz w:val="13"/>
                <w:szCs w:val="13"/>
                <w:color w:val="auto"/>
              </w:rPr>
            </w:pPr>
          </w:p>
        </w:tc>
        <w:tc>
          <w:tcPr>
            <w:tcW w:w="3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002B5F"/>
                <w:w w:val="98"/>
              </w:rPr>
              <w:t>Reason</w:t>
            </w:r>
          </w:p>
        </w:tc>
        <w:tc>
          <w:tcPr>
            <w:tcW w:w="9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002B5F"/>
                <w:w w:val="98"/>
              </w:rPr>
              <w:t>Retirement</w:t>
            </w:r>
          </w:p>
        </w:tc>
        <w:tc>
          <w:tcPr>
            <w:tcW w:w="140" w:type="dxa"/>
            <w:vAlign w:val="bottom"/>
          </w:tcPr>
          <w:p>
            <w:pPr>
              <w:spacing w:after="0"/>
              <w:rPr>
                <w:sz w:val="13"/>
                <w:szCs w:val="13"/>
                <w:color w:val="auto"/>
              </w:rPr>
            </w:pPr>
          </w:p>
        </w:tc>
        <w:tc>
          <w:tcPr>
            <w:tcW w:w="9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002B5F"/>
                <w:w w:val="96"/>
              </w:rPr>
              <w:t>Control</w:t>
            </w:r>
          </w:p>
        </w:tc>
        <w:tc>
          <w:tcPr>
            <w:tcW w:w="0" w:type="dxa"/>
            <w:vAlign w:val="bottom"/>
          </w:tcPr>
          <w:p>
            <w:pPr>
              <w:spacing w:after="0"/>
              <w:rPr>
                <w:sz w:val="1"/>
                <w:szCs w:val="1"/>
                <w:color w:val="auto"/>
              </w:rPr>
            </w:pPr>
          </w:p>
        </w:tc>
      </w:tr>
      <w:tr>
        <w:trPr>
          <w:trHeight w:val="210"/>
        </w:trPr>
        <w:tc>
          <w:tcPr>
            <w:tcW w:w="1180" w:type="dxa"/>
            <w:vAlign w:val="bottom"/>
            <w:tcBorders>
              <w:bottom w:val="single" w:sz="8" w:color="002B5F"/>
            </w:tcBorders>
          </w:tcPr>
          <w:p>
            <w:pPr>
              <w:ind w:left="60"/>
              <w:spacing w:after="0"/>
              <w:rPr>
                <w:sz w:val="20"/>
                <w:szCs w:val="20"/>
                <w:color w:val="auto"/>
              </w:rPr>
            </w:pPr>
            <w:r>
              <w:rPr>
                <w:rFonts w:ascii="Arial" w:cs="Arial" w:eastAsia="Arial" w:hAnsi="Arial"/>
                <w:sz w:val="14"/>
                <w:szCs w:val="14"/>
                <w:b w:val="1"/>
                <w:bCs w:val="1"/>
                <w:color w:val="002B5F"/>
                <w:w w:val="96"/>
              </w:rPr>
              <w:t>Executive Officer</w:t>
            </w:r>
          </w:p>
        </w:tc>
        <w:tc>
          <w:tcPr>
            <w:tcW w:w="160" w:type="dxa"/>
            <w:vAlign w:val="bottom"/>
            <w:tcBorders>
              <w:bottom w:val="single" w:sz="8" w:color="002B5F"/>
            </w:tcBorders>
          </w:tcPr>
          <w:p>
            <w:pPr>
              <w:spacing w:after="0"/>
              <w:rPr>
                <w:sz w:val="18"/>
                <w:szCs w:val="18"/>
                <w:color w:val="auto"/>
              </w:rPr>
            </w:pPr>
          </w:p>
        </w:tc>
        <w:tc>
          <w:tcPr>
            <w:tcW w:w="3300" w:type="dxa"/>
            <w:vAlign w:val="bottom"/>
            <w:tcBorders>
              <w:bottom w:val="single" w:sz="8" w:color="002B5F"/>
            </w:tcBorders>
          </w:tcPr>
          <w:p>
            <w:pPr>
              <w:ind w:left="1420"/>
              <w:spacing w:after="0"/>
              <w:rPr>
                <w:sz w:val="20"/>
                <w:szCs w:val="20"/>
                <w:color w:val="auto"/>
              </w:rPr>
            </w:pPr>
            <w:r>
              <w:rPr>
                <w:rFonts w:ascii="Arial" w:cs="Arial" w:eastAsia="Arial" w:hAnsi="Arial"/>
                <w:sz w:val="14"/>
                <w:szCs w:val="14"/>
                <w:b w:val="1"/>
                <w:bCs w:val="1"/>
                <w:color w:val="002B5F"/>
              </w:rPr>
              <w:t>Benefit</w:t>
            </w:r>
          </w:p>
        </w:tc>
        <w:tc>
          <w:tcPr>
            <w:tcW w:w="880" w:type="dxa"/>
            <w:vAlign w:val="bottom"/>
            <w:tcBorders>
              <w:bottom w:val="single" w:sz="8" w:color="002B5F"/>
            </w:tcBorders>
            <w:gridSpan w:val="2"/>
          </w:tcPr>
          <w:p>
            <w:pPr>
              <w:jc w:val="center"/>
              <w:ind w:left="332"/>
              <w:spacing w:after="0"/>
              <w:rPr>
                <w:sz w:val="20"/>
                <w:szCs w:val="20"/>
                <w:color w:val="auto"/>
              </w:rPr>
            </w:pPr>
            <w:r>
              <w:rPr>
                <w:rFonts w:ascii="Arial" w:cs="Arial" w:eastAsia="Arial" w:hAnsi="Arial"/>
                <w:sz w:val="14"/>
                <w:szCs w:val="14"/>
                <w:b w:val="1"/>
                <w:bCs w:val="1"/>
                <w:color w:val="002B5F"/>
                <w:w w:val="93"/>
              </w:rPr>
              <w:t>($)</w:t>
            </w:r>
          </w:p>
        </w:tc>
        <w:tc>
          <w:tcPr>
            <w:tcW w:w="420" w:type="dxa"/>
            <w:vAlign w:val="bottom"/>
            <w:tcBorders>
              <w:bottom w:val="single" w:sz="8" w:color="002B5F"/>
            </w:tcBorders>
          </w:tcPr>
          <w:p>
            <w:pPr>
              <w:spacing w:after="0"/>
              <w:rPr>
                <w:sz w:val="18"/>
                <w:szCs w:val="18"/>
                <w:color w:val="auto"/>
              </w:rPr>
            </w:pPr>
          </w:p>
        </w:tc>
        <w:tc>
          <w:tcPr>
            <w:tcW w:w="660" w:type="dxa"/>
            <w:vAlign w:val="bottom"/>
            <w:tcBorders>
              <w:bottom w:val="single" w:sz="8" w:color="002B5F"/>
            </w:tcBorders>
          </w:tcPr>
          <w:p>
            <w:pPr>
              <w:jc w:val="center"/>
              <w:ind w:left="112"/>
              <w:spacing w:after="0"/>
              <w:rPr>
                <w:sz w:val="20"/>
                <w:szCs w:val="20"/>
                <w:color w:val="auto"/>
              </w:rPr>
            </w:pPr>
            <w:r>
              <w:rPr>
                <w:rFonts w:ascii="Arial" w:cs="Arial" w:eastAsia="Arial" w:hAnsi="Arial"/>
                <w:sz w:val="14"/>
                <w:szCs w:val="14"/>
                <w:b w:val="1"/>
                <w:bCs w:val="1"/>
                <w:color w:val="002B5F"/>
                <w:w w:val="93"/>
              </w:rPr>
              <w:t>($)</w:t>
            </w:r>
          </w:p>
        </w:tc>
        <w:tc>
          <w:tcPr>
            <w:tcW w:w="280" w:type="dxa"/>
            <w:vAlign w:val="bottom"/>
            <w:tcBorders>
              <w:bottom w:val="single" w:sz="8" w:color="002B5F"/>
            </w:tcBorders>
          </w:tcPr>
          <w:p>
            <w:pPr>
              <w:spacing w:after="0"/>
              <w:rPr>
                <w:sz w:val="18"/>
                <w:szCs w:val="18"/>
                <w:color w:val="auto"/>
              </w:rPr>
            </w:pPr>
          </w:p>
        </w:tc>
        <w:tc>
          <w:tcPr>
            <w:tcW w:w="860" w:type="dxa"/>
            <w:vAlign w:val="bottom"/>
            <w:tcBorders>
              <w:bottom w:val="single" w:sz="8" w:color="002B5F"/>
            </w:tcBorders>
            <w:gridSpan w:val="2"/>
          </w:tcPr>
          <w:p>
            <w:pPr>
              <w:jc w:val="center"/>
              <w:ind w:left="252"/>
              <w:spacing w:after="0" w:line="205" w:lineRule="exact"/>
              <w:rPr>
                <w:sz w:val="20"/>
                <w:szCs w:val="20"/>
                <w:color w:val="auto"/>
              </w:rPr>
            </w:pPr>
            <w:r>
              <w:rPr>
                <w:rFonts w:ascii="Arial" w:cs="Arial" w:eastAsia="Arial" w:hAnsi="Arial"/>
                <w:sz w:val="14"/>
                <w:szCs w:val="14"/>
                <w:b w:val="1"/>
                <w:bCs w:val="1"/>
                <w:color w:val="002B5F"/>
                <w:w w:val="89"/>
              </w:rPr>
              <w:t>($)</w:t>
            </w:r>
            <w:r>
              <w:rPr>
                <w:rFonts w:ascii="Arial" w:cs="Arial" w:eastAsia="Arial" w:hAnsi="Arial"/>
                <w:sz w:val="20"/>
                <w:szCs w:val="20"/>
                <w:b w:val="1"/>
                <w:bCs w:val="1"/>
                <w:color w:val="002B5F"/>
                <w:w w:val="89"/>
                <w:vertAlign w:val="superscript"/>
              </w:rPr>
              <w:t>(1)</w:t>
            </w:r>
          </w:p>
        </w:tc>
        <w:tc>
          <w:tcPr>
            <w:tcW w:w="220" w:type="dxa"/>
            <w:vAlign w:val="bottom"/>
            <w:tcBorders>
              <w:bottom w:val="single" w:sz="8" w:color="002B5F"/>
            </w:tcBorders>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1180" w:type="dxa"/>
            <w:vAlign w:val="bottom"/>
            <w:shd w:val="clear" w:color="auto" w:fill="F7F1EC"/>
          </w:tcPr>
          <w:p>
            <w:pPr>
              <w:spacing w:after="0"/>
              <w:rPr>
                <w:sz w:val="17"/>
                <w:szCs w:val="17"/>
                <w:color w:val="auto"/>
              </w:rPr>
            </w:pPr>
          </w:p>
        </w:tc>
        <w:tc>
          <w:tcPr>
            <w:tcW w:w="160" w:type="dxa"/>
            <w:vAlign w:val="bottom"/>
            <w:shd w:val="clear" w:color="auto" w:fill="F7F1EC"/>
          </w:tcPr>
          <w:p>
            <w:pPr>
              <w:spacing w:after="0"/>
              <w:rPr>
                <w:sz w:val="17"/>
                <w:szCs w:val="17"/>
                <w:color w:val="auto"/>
              </w:rPr>
            </w:pPr>
          </w:p>
        </w:tc>
        <w:tc>
          <w:tcPr>
            <w:tcW w:w="3300" w:type="dxa"/>
            <w:vAlign w:val="bottom"/>
            <w:shd w:val="clear" w:color="auto" w:fill="F7F1EC"/>
          </w:tcPr>
          <w:p>
            <w:pPr>
              <w:spacing w:after="0"/>
              <w:rPr>
                <w:sz w:val="20"/>
                <w:szCs w:val="20"/>
                <w:color w:val="auto"/>
              </w:rPr>
            </w:pPr>
            <w:r>
              <w:rPr>
                <w:rFonts w:ascii="Arial" w:cs="Arial" w:eastAsia="Arial" w:hAnsi="Arial"/>
                <w:sz w:val="14"/>
                <w:szCs w:val="14"/>
                <w:color w:val="auto"/>
              </w:rPr>
              <w:t>Severance</w:t>
            </w:r>
          </w:p>
        </w:tc>
        <w:tc>
          <w:tcPr>
            <w:tcW w:w="1300" w:type="dxa"/>
            <w:vAlign w:val="bottom"/>
            <w:gridSpan w:val="3"/>
            <w:shd w:val="clear" w:color="auto" w:fill="F7F1EC"/>
          </w:tcPr>
          <w:p>
            <w:pPr>
              <w:jc w:val="right"/>
              <w:ind w:right="300"/>
              <w:spacing w:after="0" w:line="204" w:lineRule="exact"/>
              <w:rPr>
                <w:sz w:val="20"/>
                <w:szCs w:val="20"/>
                <w:color w:val="auto"/>
              </w:rPr>
            </w:pPr>
            <w:r>
              <w:rPr>
                <w:rFonts w:ascii="Arial" w:cs="Arial" w:eastAsia="Arial" w:hAnsi="Arial"/>
                <w:sz w:val="14"/>
                <w:szCs w:val="14"/>
                <w:color w:val="auto"/>
              </w:rPr>
              <w:t>900,000</w:t>
            </w:r>
            <w:r>
              <w:rPr>
                <w:rFonts w:ascii="Arial" w:cs="Arial" w:eastAsia="Arial" w:hAnsi="Arial"/>
                <w:sz w:val="20"/>
                <w:szCs w:val="20"/>
                <w:color w:val="auto"/>
                <w:vertAlign w:val="superscript"/>
              </w:rPr>
              <w:t>(2)</w:t>
            </w:r>
          </w:p>
        </w:tc>
        <w:tc>
          <w:tcPr>
            <w:tcW w:w="940" w:type="dxa"/>
            <w:vAlign w:val="bottom"/>
            <w:gridSpan w:val="2"/>
            <w:shd w:val="clear" w:color="auto" w:fill="F7F1EC"/>
          </w:tcPr>
          <w:p>
            <w:pPr>
              <w:jc w:val="right"/>
              <w:ind w:right="300"/>
              <w:spacing w:after="0"/>
              <w:rPr>
                <w:sz w:val="20"/>
                <w:szCs w:val="20"/>
                <w:color w:val="auto"/>
              </w:rPr>
            </w:pPr>
            <w:r>
              <w:rPr>
                <w:rFonts w:ascii="Arial" w:cs="Arial" w:eastAsia="Arial" w:hAnsi="Arial"/>
                <w:sz w:val="14"/>
                <w:szCs w:val="14"/>
                <w:color w:val="auto"/>
              </w:rPr>
              <w:t>—</w:t>
            </w:r>
          </w:p>
        </w:tc>
        <w:tc>
          <w:tcPr>
            <w:tcW w:w="1080" w:type="dxa"/>
            <w:vAlign w:val="bottom"/>
            <w:gridSpan w:val="3"/>
            <w:shd w:val="clear" w:color="auto" w:fill="F7F1EC"/>
          </w:tcPr>
          <w:p>
            <w:pPr>
              <w:jc w:val="right"/>
              <w:ind w:right="100"/>
              <w:spacing w:after="0" w:line="204" w:lineRule="exact"/>
              <w:rPr>
                <w:sz w:val="20"/>
                <w:szCs w:val="20"/>
                <w:color w:val="auto"/>
              </w:rPr>
            </w:pPr>
            <w:r>
              <w:rPr>
                <w:rFonts w:ascii="Arial" w:cs="Arial" w:eastAsia="Arial" w:hAnsi="Arial"/>
                <w:sz w:val="14"/>
                <w:szCs w:val="14"/>
                <w:color w:val="auto"/>
              </w:rPr>
              <w:t>1,350,000</w:t>
            </w:r>
            <w:r>
              <w:rPr>
                <w:rFonts w:ascii="Arial" w:cs="Arial" w:eastAsia="Arial" w:hAnsi="Arial"/>
                <w:sz w:val="20"/>
                <w:szCs w:val="20"/>
                <w:color w:val="auto"/>
                <w:vertAlign w:val="superscript"/>
              </w:rPr>
              <w:t>(3)</w:t>
            </w:r>
          </w:p>
        </w:tc>
        <w:tc>
          <w:tcPr>
            <w:tcW w:w="0" w:type="dxa"/>
            <w:vAlign w:val="bottom"/>
          </w:tcPr>
          <w:p>
            <w:pPr>
              <w:spacing w:after="0"/>
              <w:rPr>
                <w:sz w:val="1"/>
                <w:szCs w:val="1"/>
                <w:color w:val="auto"/>
              </w:rPr>
            </w:pPr>
          </w:p>
        </w:tc>
      </w:tr>
      <w:tr>
        <w:trPr>
          <w:trHeight w:val="204"/>
        </w:trPr>
        <w:tc>
          <w:tcPr>
            <w:tcW w:w="1180" w:type="dxa"/>
            <w:vAlign w:val="bottom"/>
            <w:shd w:val="clear" w:color="auto" w:fill="F7F1EC"/>
          </w:tcPr>
          <w:p>
            <w:pPr>
              <w:spacing w:after="0"/>
              <w:rPr>
                <w:sz w:val="17"/>
                <w:szCs w:val="17"/>
                <w:color w:val="auto"/>
              </w:rPr>
            </w:pPr>
          </w:p>
        </w:tc>
        <w:tc>
          <w:tcPr>
            <w:tcW w:w="160" w:type="dxa"/>
            <w:vAlign w:val="bottom"/>
            <w:shd w:val="clear" w:color="auto" w:fill="F7F1EC"/>
          </w:tcPr>
          <w:p>
            <w:pPr>
              <w:spacing w:after="0"/>
              <w:rPr>
                <w:sz w:val="17"/>
                <w:szCs w:val="17"/>
                <w:color w:val="auto"/>
              </w:rPr>
            </w:pPr>
          </w:p>
        </w:tc>
        <w:tc>
          <w:tcPr>
            <w:tcW w:w="3300" w:type="dxa"/>
            <w:vAlign w:val="bottom"/>
            <w:shd w:val="clear" w:color="auto" w:fill="F7F1EC"/>
          </w:tcPr>
          <w:p>
            <w:pPr>
              <w:spacing w:after="0"/>
              <w:rPr>
                <w:sz w:val="20"/>
                <w:szCs w:val="20"/>
                <w:color w:val="auto"/>
              </w:rPr>
            </w:pPr>
            <w:r>
              <w:rPr>
                <w:rFonts w:ascii="Arial" w:cs="Arial" w:eastAsia="Arial" w:hAnsi="Arial"/>
                <w:sz w:val="14"/>
                <w:szCs w:val="14"/>
                <w:color w:val="auto"/>
              </w:rPr>
              <w:t>Bonus</w:t>
            </w:r>
          </w:p>
        </w:tc>
        <w:tc>
          <w:tcPr>
            <w:tcW w:w="1300" w:type="dxa"/>
            <w:vAlign w:val="bottom"/>
            <w:gridSpan w:val="3"/>
            <w:shd w:val="clear" w:color="auto" w:fill="F7F1EC"/>
          </w:tcPr>
          <w:p>
            <w:pPr>
              <w:jc w:val="right"/>
              <w:ind w:right="300"/>
              <w:spacing w:after="0" w:line="205" w:lineRule="exact"/>
              <w:rPr>
                <w:sz w:val="20"/>
                <w:szCs w:val="20"/>
                <w:color w:val="auto"/>
              </w:rPr>
            </w:pPr>
            <w:r>
              <w:rPr>
                <w:rFonts w:ascii="Arial" w:cs="Arial" w:eastAsia="Arial" w:hAnsi="Arial"/>
                <w:sz w:val="14"/>
                <w:szCs w:val="14"/>
                <w:color w:val="auto"/>
              </w:rPr>
              <w:t>3,591,000</w:t>
            </w:r>
            <w:r>
              <w:rPr>
                <w:rFonts w:ascii="Arial" w:cs="Arial" w:eastAsia="Arial" w:hAnsi="Arial"/>
                <w:sz w:val="20"/>
                <w:szCs w:val="20"/>
                <w:color w:val="auto"/>
                <w:vertAlign w:val="superscript"/>
              </w:rPr>
              <w:t>(4)</w:t>
            </w:r>
          </w:p>
        </w:tc>
        <w:tc>
          <w:tcPr>
            <w:tcW w:w="940" w:type="dxa"/>
            <w:vAlign w:val="bottom"/>
            <w:gridSpan w:val="2"/>
            <w:shd w:val="clear" w:color="auto" w:fill="F7F1EC"/>
          </w:tcPr>
          <w:p>
            <w:pPr>
              <w:jc w:val="right"/>
              <w:ind w:right="300"/>
              <w:spacing w:after="0"/>
              <w:rPr>
                <w:sz w:val="20"/>
                <w:szCs w:val="20"/>
                <w:color w:val="auto"/>
              </w:rPr>
            </w:pPr>
            <w:r>
              <w:rPr>
                <w:rFonts w:ascii="Arial" w:cs="Arial" w:eastAsia="Arial" w:hAnsi="Arial"/>
                <w:sz w:val="14"/>
                <w:szCs w:val="14"/>
                <w:color w:val="auto"/>
              </w:rPr>
              <w:t>—</w:t>
            </w:r>
          </w:p>
        </w:tc>
        <w:tc>
          <w:tcPr>
            <w:tcW w:w="1080" w:type="dxa"/>
            <w:vAlign w:val="bottom"/>
            <w:gridSpan w:val="3"/>
            <w:shd w:val="clear" w:color="auto" w:fill="F7F1EC"/>
          </w:tcPr>
          <w:p>
            <w:pPr>
              <w:jc w:val="right"/>
              <w:ind w:right="100"/>
              <w:spacing w:after="0" w:line="205" w:lineRule="exact"/>
              <w:rPr>
                <w:sz w:val="20"/>
                <w:szCs w:val="20"/>
                <w:color w:val="auto"/>
              </w:rPr>
            </w:pPr>
            <w:r>
              <w:rPr>
                <w:rFonts w:ascii="Arial" w:cs="Arial" w:eastAsia="Arial" w:hAnsi="Arial"/>
                <w:sz w:val="14"/>
                <w:szCs w:val="14"/>
                <w:color w:val="auto"/>
              </w:rPr>
              <w:t>4,050,000</w:t>
            </w:r>
            <w:r>
              <w:rPr>
                <w:rFonts w:ascii="Arial" w:cs="Arial" w:eastAsia="Arial" w:hAnsi="Arial"/>
                <w:sz w:val="20"/>
                <w:szCs w:val="20"/>
                <w:color w:val="auto"/>
                <w:vertAlign w:val="superscript"/>
              </w:rPr>
              <w:t>(5)</w:t>
            </w:r>
          </w:p>
        </w:tc>
        <w:tc>
          <w:tcPr>
            <w:tcW w:w="0" w:type="dxa"/>
            <w:vAlign w:val="bottom"/>
          </w:tcPr>
          <w:p>
            <w:pPr>
              <w:spacing w:after="0"/>
              <w:rPr>
                <w:sz w:val="1"/>
                <w:szCs w:val="1"/>
                <w:color w:val="auto"/>
              </w:rPr>
            </w:pPr>
          </w:p>
        </w:tc>
      </w:tr>
      <w:tr>
        <w:trPr>
          <w:trHeight w:val="195"/>
        </w:trPr>
        <w:tc>
          <w:tcPr>
            <w:tcW w:w="1180" w:type="dxa"/>
            <w:vAlign w:val="bottom"/>
            <w:shd w:val="clear" w:color="auto" w:fill="F7F1EC"/>
          </w:tcPr>
          <w:p>
            <w:pPr>
              <w:ind w:left="60"/>
              <w:spacing w:after="0"/>
              <w:rPr>
                <w:sz w:val="20"/>
                <w:szCs w:val="20"/>
                <w:color w:val="auto"/>
              </w:rPr>
            </w:pPr>
            <w:r>
              <w:rPr>
                <w:rFonts w:ascii="Arial" w:cs="Arial" w:eastAsia="Arial" w:hAnsi="Arial"/>
                <w:sz w:val="14"/>
                <w:szCs w:val="14"/>
                <w:b w:val="1"/>
                <w:bCs w:val="1"/>
                <w:color w:val="B95827"/>
              </w:rPr>
              <w:t>Richard</w:t>
            </w:r>
          </w:p>
        </w:tc>
        <w:tc>
          <w:tcPr>
            <w:tcW w:w="160" w:type="dxa"/>
            <w:vAlign w:val="bottom"/>
            <w:shd w:val="clear" w:color="auto" w:fill="F7F1EC"/>
          </w:tcPr>
          <w:p>
            <w:pPr>
              <w:spacing w:after="0"/>
              <w:rPr>
                <w:sz w:val="16"/>
                <w:szCs w:val="16"/>
                <w:color w:val="auto"/>
              </w:rPr>
            </w:pPr>
          </w:p>
        </w:tc>
        <w:tc>
          <w:tcPr>
            <w:tcW w:w="3300" w:type="dxa"/>
            <w:vAlign w:val="bottom"/>
            <w:shd w:val="clear" w:color="auto" w:fill="F7F1EC"/>
          </w:tcPr>
          <w:p>
            <w:pPr>
              <w:spacing w:after="0"/>
              <w:rPr>
                <w:sz w:val="20"/>
                <w:szCs w:val="20"/>
                <w:color w:val="auto"/>
              </w:rPr>
            </w:pPr>
            <w:r>
              <w:rPr>
                <w:rFonts w:ascii="Arial" w:cs="Arial" w:eastAsia="Arial" w:hAnsi="Arial"/>
                <w:sz w:val="14"/>
                <w:szCs w:val="14"/>
                <w:color w:val="auto"/>
              </w:rPr>
              <w:t>Accelerated/Continued Vesting of RSUs</w:t>
            </w:r>
          </w:p>
        </w:tc>
        <w:tc>
          <w:tcPr>
            <w:tcW w:w="1300" w:type="dxa"/>
            <w:vAlign w:val="bottom"/>
            <w:gridSpan w:val="3"/>
            <w:shd w:val="clear" w:color="auto" w:fill="F7F1EC"/>
          </w:tcPr>
          <w:p>
            <w:pPr>
              <w:jc w:val="right"/>
              <w:ind w:right="300"/>
              <w:spacing w:after="0" w:line="195" w:lineRule="exact"/>
              <w:rPr>
                <w:sz w:val="20"/>
                <w:szCs w:val="20"/>
                <w:color w:val="auto"/>
              </w:rPr>
            </w:pPr>
            <w:r>
              <w:rPr>
                <w:rFonts w:ascii="Arial" w:cs="Arial" w:eastAsia="Arial" w:hAnsi="Arial"/>
                <w:sz w:val="14"/>
                <w:szCs w:val="14"/>
                <w:color w:val="auto"/>
              </w:rPr>
              <w:t>1,360,818</w:t>
            </w:r>
            <w:r>
              <w:rPr>
                <w:rFonts w:ascii="Arial" w:cs="Arial" w:eastAsia="Arial" w:hAnsi="Arial"/>
                <w:sz w:val="20"/>
                <w:szCs w:val="20"/>
                <w:color w:val="auto"/>
                <w:vertAlign w:val="superscript"/>
              </w:rPr>
              <w:t>(6)</w:t>
            </w:r>
          </w:p>
        </w:tc>
        <w:tc>
          <w:tcPr>
            <w:tcW w:w="940" w:type="dxa"/>
            <w:vAlign w:val="bottom"/>
            <w:gridSpan w:val="2"/>
            <w:shd w:val="clear" w:color="auto" w:fill="F7F1EC"/>
          </w:tcPr>
          <w:p>
            <w:pPr>
              <w:jc w:val="right"/>
              <w:ind w:right="160"/>
              <w:spacing w:after="0" w:line="195" w:lineRule="exact"/>
              <w:rPr>
                <w:sz w:val="20"/>
                <w:szCs w:val="20"/>
                <w:color w:val="auto"/>
              </w:rPr>
            </w:pPr>
            <w:r>
              <w:rPr>
                <w:rFonts w:ascii="Arial" w:cs="Arial" w:eastAsia="Arial" w:hAnsi="Arial"/>
                <w:sz w:val="14"/>
                <w:szCs w:val="14"/>
                <w:color w:val="auto"/>
                <w:w w:val="96"/>
              </w:rPr>
              <w:t>3,330,967</w:t>
            </w:r>
            <w:r>
              <w:rPr>
                <w:rFonts w:ascii="Arial" w:cs="Arial" w:eastAsia="Arial" w:hAnsi="Arial"/>
                <w:sz w:val="20"/>
                <w:szCs w:val="20"/>
                <w:color w:val="auto"/>
                <w:w w:val="96"/>
                <w:vertAlign w:val="superscript"/>
              </w:rPr>
              <w:t>(7)</w:t>
            </w:r>
          </w:p>
        </w:tc>
        <w:tc>
          <w:tcPr>
            <w:tcW w:w="1080" w:type="dxa"/>
            <w:vAlign w:val="bottom"/>
            <w:gridSpan w:val="3"/>
            <w:shd w:val="clear" w:color="auto" w:fill="F7F1EC"/>
          </w:tcPr>
          <w:p>
            <w:pPr>
              <w:jc w:val="right"/>
              <w:ind w:right="100"/>
              <w:spacing w:after="0" w:line="195" w:lineRule="exact"/>
              <w:rPr>
                <w:sz w:val="20"/>
                <w:szCs w:val="20"/>
                <w:color w:val="auto"/>
              </w:rPr>
            </w:pPr>
            <w:r>
              <w:rPr>
                <w:rFonts w:ascii="Arial" w:cs="Arial" w:eastAsia="Arial" w:hAnsi="Arial"/>
                <w:sz w:val="14"/>
                <w:szCs w:val="14"/>
                <w:color w:val="auto"/>
              </w:rPr>
              <w:t>3,330,967</w:t>
            </w:r>
            <w:r>
              <w:rPr>
                <w:rFonts w:ascii="Arial" w:cs="Arial" w:eastAsia="Arial" w:hAnsi="Arial"/>
                <w:sz w:val="20"/>
                <w:szCs w:val="20"/>
                <w:color w:val="auto"/>
                <w:vertAlign w:val="superscript"/>
              </w:rPr>
              <w:t>(8)</w:t>
            </w:r>
          </w:p>
        </w:tc>
        <w:tc>
          <w:tcPr>
            <w:tcW w:w="0" w:type="dxa"/>
            <w:vAlign w:val="bottom"/>
          </w:tcPr>
          <w:p>
            <w:pPr>
              <w:spacing w:after="0"/>
              <w:rPr>
                <w:sz w:val="1"/>
                <w:szCs w:val="1"/>
                <w:color w:val="auto"/>
              </w:rPr>
            </w:pPr>
          </w:p>
        </w:tc>
      </w:tr>
      <w:tr>
        <w:trPr>
          <w:trHeight w:val="213"/>
        </w:trPr>
        <w:tc>
          <w:tcPr>
            <w:tcW w:w="1180" w:type="dxa"/>
            <w:vAlign w:val="bottom"/>
            <w:shd w:val="clear" w:color="auto" w:fill="F7F1EC"/>
          </w:tcPr>
          <w:p>
            <w:pPr>
              <w:ind w:left="60"/>
              <w:spacing w:after="0"/>
              <w:rPr>
                <w:sz w:val="20"/>
                <w:szCs w:val="20"/>
                <w:color w:val="auto"/>
              </w:rPr>
            </w:pPr>
            <w:r>
              <w:rPr>
                <w:rFonts w:ascii="Arial" w:cs="Arial" w:eastAsia="Arial" w:hAnsi="Arial"/>
                <w:sz w:val="14"/>
                <w:szCs w:val="14"/>
                <w:b w:val="1"/>
                <w:bCs w:val="1"/>
                <w:color w:val="B95827"/>
              </w:rPr>
              <w:t>Steinmeier</w:t>
            </w:r>
          </w:p>
        </w:tc>
        <w:tc>
          <w:tcPr>
            <w:tcW w:w="160" w:type="dxa"/>
            <w:vAlign w:val="bottom"/>
            <w:shd w:val="clear" w:color="auto" w:fill="F7F1EC"/>
          </w:tcPr>
          <w:p>
            <w:pPr>
              <w:spacing w:after="0"/>
              <w:rPr>
                <w:sz w:val="18"/>
                <w:szCs w:val="18"/>
                <w:color w:val="auto"/>
              </w:rPr>
            </w:pPr>
          </w:p>
        </w:tc>
        <w:tc>
          <w:tcPr>
            <w:tcW w:w="3300" w:type="dxa"/>
            <w:vAlign w:val="bottom"/>
            <w:shd w:val="clear" w:color="auto" w:fill="F7F1EC"/>
          </w:tcPr>
          <w:p>
            <w:pPr>
              <w:spacing w:after="0"/>
              <w:rPr>
                <w:sz w:val="20"/>
                <w:szCs w:val="20"/>
                <w:color w:val="auto"/>
              </w:rPr>
            </w:pPr>
            <w:r>
              <w:rPr>
                <w:rFonts w:ascii="Arial" w:cs="Arial" w:eastAsia="Arial" w:hAnsi="Arial"/>
                <w:sz w:val="14"/>
                <w:szCs w:val="14"/>
                <w:color w:val="auto"/>
              </w:rPr>
              <w:t>Accelerated Vesting of PSUs</w:t>
            </w:r>
          </w:p>
        </w:tc>
        <w:tc>
          <w:tcPr>
            <w:tcW w:w="220" w:type="dxa"/>
            <w:vAlign w:val="bottom"/>
            <w:shd w:val="clear" w:color="auto" w:fill="F7F1EC"/>
          </w:tcPr>
          <w:p>
            <w:pPr>
              <w:spacing w:after="0"/>
              <w:rPr>
                <w:sz w:val="18"/>
                <w:szCs w:val="18"/>
                <w:color w:val="auto"/>
              </w:rPr>
            </w:pPr>
          </w:p>
        </w:tc>
        <w:tc>
          <w:tcPr>
            <w:tcW w:w="1080" w:type="dxa"/>
            <w:vAlign w:val="bottom"/>
            <w:gridSpan w:val="2"/>
            <w:shd w:val="clear" w:color="auto" w:fill="F7F1EC"/>
          </w:tcPr>
          <w:p>
            <w:pPr>
              <w:jc w:val="right"/>
              <w:ind w:right="300"/>
              <w:spacing w:after="0" w:line="213" w:lineRule="exact"/>
              <w:rPr>
                <w:sz w:val="20"/>
                <w:szCs w:val="20"/>
                <w:color w:val="auto"/>
              </w:rPr>
            </w:pPr>
            <w:r>
              <w:rPr>
                <w:rFonts w:ascii="Arial" w:cs="Arial" w:eastAsia="Arial" w:hAnsi="Arial"/>
                <w:sz w:val="14"/>
                <w:szCs w:val="14"/>
                <w:color w:val="auto"/>
                <w:w w:val="96"/>
              </w:rPr>
              <w:t>3,524,911</w:t>
            </w:r>
            <w:r>
              <w:rPr>
                <w:rFonts w:ascii="Arial" w:cs="Arial" w:eastAsia="Arial" w:hAnsi="Arial"/>
                <w:sz w:val="20"/>
                <w:szCs w:val="20"/>
                <w:color w:val="auto"/>
                <w:w w:val="96"/>
                <w:vertAlign w:val="superscript"/>
              </w:rPr>
              <w:t>(9)</w:t>
            </w:r>
          </w:p>
        </w:tc>
        <w:tc>
          <w:tcPr>
            <w:tcW w:w="940" w:type="dxa"/>
            <w:vAlign w:val="bottom"/>
            <w:gridSpan w:val="2"/>
            <w:shd w:val="clear" w:color="auto" w:fill="F7F1EC"/>
          </w:tcPr>
          <w:p>
            <w:pPr>
              <w:jc w:val="right"/>
              <w:ind w:right="120"/>
              <w:spacing w:after="0" w:line="213" w:lineRule="exact"/>
              <w:rPr>
                <w:sz w:val="20"/>
                <w:szCs w:val="20"/>
                <w:color w:val="auto"/>
              </w:rPr>
            </w:pPr>
            <w:r>
              <w:rPr>
                <w:rFonts w:ascii="Arial" w:cs="Arial" w:eastAsia="Arial" w:hAnsi="Arial"/>
                <w:sz w:val="14"/>
                <w:szCs w:val="14"/>
                <w:color w:val="auto"/>
                <w:w w:val="92"/>
              </w:rPr>
              <w:t>3,524,911</w:t>
            </w:r>
            <w:r>
              <w:rPr>
                <w:rFonts w:ascii="Arial" w:cs="Arial" w:eastAsia="Arial" w:hAnsi="Arial"/>
                <w:sz w:val="20"/>
                <w:szCs w:val="20"/>
                <w:color w:val="auto"/>
                <w:w w:val="92"/>
                <w:vertAlign w:val="superscript"/>
              </w:rPr>
              <w:t>(10)</w:t>
            </w:r>
          </w:p>
        </w:tc>
        <w:tc>
          <w:tcPr>
            <w:tcW w:w="1080" w:type="dxa"/>
            <w:vAlign w:val="bottom"/>
            <w:gridSpan w:val="3"/>
            <w:shd w:val="clear" w:color="auto" w:fill="F7F1EC"/>
          </w:tcPr>
          <w:p>
            <w:pPr>
              <w:jc w:val="right"/>
              <w:ind w:right="60"/>
              <w:spacing w:after="0" w:line="213" w:lineRule="exact"/>
              <w:rPr>
                <w:sz w:val="20"/>
                <w:szCs w:val="20"/>
                <w:color w:val="auto"/>
              </w:rPr>
            </w:pPr>
            <w:r>
              <w:rPr>
                <w:rFonts w:ascii="Arial" w:cs="Arial" w:eastAsia="Arial" w:hAnsi="Arial"/>
                <w:sz w:val="14"/>
                <w:szCs w:val="14"/>
                <w:color w:val="auto"/>
              </w:rPr>
              <w:t>3,524,911</w:t>
            </w:r>
            <w:r>
              <w:rPr>
                <w:rFonts w:ascii="Arial" w:cs="Arial" w:eastAsia="Arial" w:hAnsi="Arial"/>
                <w:sz w:val="20"/>
                <w:szCs w:val="20"/>
                <w:color w:val="auto"/>
                <w:vertAlign w:val="superscript"/>
              </w:rPr>
              <w:t>(11)</w:t>
            </w:r>
          </w:p>
        </w:tc>
        <w:tc>
          <w:tcPr>
            <w:tcW w:w="0" w:type="dxa"/>
            <w:vAlign w:val="bottom"/>
          </w:tcPr>
          <w:p>
            <w:pPr>
              <w:spacing w:after="0"/>
              <w:rPr>
                <w:sz w:val="1"/>
                <w:szCs w:val="1"/>
                <w:color w:val="auto"/>
              </w:rPr>
            </w:pPr>
          </w:p>
        </w:tc>
      </w:tr>
      <w:tr>
        <w:trPr>
          <w:trHeight w:val="217"/>
        </w:trPr>
        <w:tc>
          <w:tcPr>
            <w:tcW w:w="1180" w:type="dxa"/>
            <w:vAlign w:val="bottom"/>
            <w:shd w:val="clear" w:color="auto" w:fill="F7F1EC"/>
          </w:tcPr>
          <w:p>
            <w:pPr>
              <w:spacing w:after="0"/>
              <w:rPr>
                <w:sz w:val="18"/>
                <w:szCs w:val="18"/>
                <w:color w:val="auto"/>
              </w:rPr>
            </w:pPr>
          </w:p>
        </w:tc>
        <w:tc>
          <w:tcPr>
            <w:tcW w:w="160" w:type="dxa"/>
            <w:vAlign w:val="bottom"/>
            <w:shd w:val="clear" w:color="auto" w:fill="F7F1EC"/>
          </w:tcPr>
          <w:p>
            <w:pPr>
              <w:spacing w:after="0"/>
              <w:rPr>
                <w:sz w:val="18"/>
                <w:szCs w:val="18"/>
                <w:color w:val="auto"/>
              </w:rPr>
            </w:pPr>
          </w:p>
        </w:tc>
        <w:tc>
          <w:tcPr>
            <w:tcW w:w="3300" w:type="dxa"/>
            <w:vAlign w:val="bottom"/>
            <w:shd w:val="clear" w:color="auto" w:fill="F7F1EC"/>
          </w:tcPr>
          <w:p>
            <w:pPr>
              <w:spacing w:after="0"/>
              <w:rPr>
                <w:sz w:val="20"/>
                <w:szCs w:val="20"/>
                <w:color w:val="auto"/>
              </w:rPr>
            </w:pPr>
            <w:r>
              <w:rPr>
                <w:rFonts w:ascii="Arial" w:cs="Arial" w:eastAsia="Arial" w:hAnsi="Arial"/>
                <w:sz w:val="14"/>
                <w:szCs w:val="14"/>
                <w:color w:val="auto"/>
              </w:rPr>
              <w:t>Group Benefit Continuation</w:t>
            </w:r>
          </w:p>
        </w:tc>
        <w:tc>
          <w:tcPr>
            <w:tcW w:w="220" w:type="dxa"/>
            <w:vAlign w:val="bottom"/>
            <w:shd w:val="clear" w:color="auto" w:fill="F7F1EC"/>
          </w:tcPr>
          <w:p>
            <w:pPr>
              <w:spacing w:after="0"/>
              <w:rPr>
                <w:sz w:val="18"/>
                <w:szCs w:val="18"/>
                <w:color w:val="auto"/>
              </w:rPr>
            </w:pPr>
          </w:p>
        </w:tc>
        <w:tc>
          <w:tcPr>
            <w:tcW w:w="1080" w:type="dxa"/>
            <w:vAlign w:val="bottom"/>
            <w:gridSpan w:val="2"/>
            <w:shd w:val="clear" w:color="auto" w:fill="F7F1EC"/>
          </w:tcPr>
          <w:p>
            <w:pPr>
              <w:jc w:val="right"/>
              <w:ind w:right="240"/>
              <w:spacing w:after="0" w:line="217" w:lineRule="exact"/>
              <w:rPr>
                <w:sz w:val="20"/>
                <w:szCs w:val="20"/>
                <w:color w:val="auto"/>
              </w:rPr>
            </w:pPr>
            <w:r>
              <w:rPr>
                <w:rFonts w:ascii="Arial" w:cs="Arial" w:eastAsia="Arial" w:hAnsi="Arial"/>
                <w:sz w:val="14"/>
                <w:szCs w:val="14"/>
                <w:color w:val="auto"/>
              </w:rPr>
              <w:t>18,903</w:t>
            </w:r>
            <w:r>
              <w:rPr>
                <w:rFonts w:ascii="Arial" w:cs="Arial" w:eastAsia="Arial" w:hAnsi="Arial"/>
                <w:sz w:val="20"/>
                <w:szCs w:val="20"/>
                <w:color w:val="auto"/>
                <w:vertAlign w:val="superscript"/>
              </w:rPr>
              <w:t>(12)</w:t>
            </w:r>
          </w:p>
        </w:tc>
        <w:tc>
          <w:tcPr>
            <w:tcW w:w="940" w:type="dxa"/>
            <w:vAlign w:val="bottom"/>
            <w:gridSpan w:val="2"/>
            <w:shd w:val="clear" w:color="auto" w:fill="F7F1EC"/>
          </w:tcPr>
          <w:p>
            <w:pPr>
              <w:jc w:val="right"/>
              <w:ind w:right="300"/>
              <w:spacing w:after="0"/>
              <w:rPr>
                <w:sz w:val="20"/>
                <w:szCs w:val="20"/>
                <w:color w:val="auto"/>
              </w:rPr>
            </w:pPr>
            <w:r>
              <w:rPr>
                <w:rFonts w:ascii="Arial" w:cs="Arial" w:eastAsia="Arial" w:hAnsi="Arial"/>
                <w:sz w:val="14"/>
                <w:szCs w:val="14"/>
                <w:color w:val="auto"/>
              </w:rPr>
              <w:t>—</w:t>
            </w:r>
          </w:p>
        </w:tc>
        <w:tc>
          <w:tcPr>
            <w:tcW w:w="1080" w:type="dxa"/>
            <w:vAlign w:val="bottom"/>
            <w:gridSpan w:val="3"/>
            <w:shd w:val="clear" w:color="auto" w:fill="F7F1EC"/>
          </w:tcPr>
          <w:p>
            <w:pPr>
              <w:jc w:val="right"/>
              <w:ind w:right="40"/>
              <w:spacing w:after="0" w:line="217" w:lineRule="exact"/>
              <w:rPr>
                <w:sz w:val="20"/>
                <w:szCs w:val="20"/>
                <w:color w:val="auto"/>
              </w:rPr>
            </w:pPr>
            <w:r>
              <w:rPr>
                <w:rFonts w:ascii="Arial" w:cs="Arial" w:eastAsia="Arial" w:hAnsi="Arial"/>
                <w:sz w:val="14"/>
                <w:szCs w:val="14"/>
                <w:color w:val="auto"/>
              </w:rPr>
              <w:t>28,355</w:t>
            </w:r>
            <w:r>
              <w:rPr>
                <w:rFonts w:ascii="Arial" w:cs="Arial" w:eastAsia="Arial" w:hAnsi="Arial"/>
                <w:sz w:val="20"/>
                <w:szCs w:val="20"/>
                <w:color w:val="auto"/>
                <w:vertAlign w:val="superscript"/>
              </w:rPr>
              <w:t>(13)</w:t>
            </w:r>
          </w:p>
        </w:tc>
        <w:tc>
          <w:tcPr>
            <w:tcW w:w="0" w:type="dxa"/>
            <w:vAlign w:val="bottom"/>
          </w:tcPr>
          <w:p>
            <w:pPr>
              <w:spacing w:after="0"/>
              <w:rPr>
                <w:sz w:val="1"/>
                <w:szCs w:val="1"/>
                <w:color w:val="auto"/>
              </w:rPr>
            </w:pPr>
          </w:p>
        </w:tc>
      </w:tr>
      <w:tr>
        <w:trPr>
          <w:trHeight w:val="190"/>
        </w:trPr>
        <w:tc>
          <w:tcPr>
            <w:tcW w:w="1180" w:type="dxa"/>
            <w:vAlign w:val="bottom"/>
            <w:tcBorders>
              <w:top w:val="single" w:sz="8" w:color="F7F1EC"/>
              <w:bottom w:val="single" w:sz="8" w:color="F7F1EC"/>
            </w:tcBorders>
            <w:shd w:val="clear" w:color="auto" w:fill="F7F1EC"/>
          </w:tcPr>
          <w:p>
            <w:pPr>
              <w:spacing w:after="0"/>
              <w:rPr>
                <w:sz w:val="16"/>
                <w:szCs w:val="16"/>
                <w:color w:val="auto"/>
              </w:rPr>
            </w:pPr>
          </w:p>
        </w:tc>
        <w:tc>
          <w:tcPr>
            <w:tcW w:w="160" w:type="dxa"/>
            <w:vAlign w:val="bottom"/>
            <w:tcBorders>
              <w:top w:val="single" w:sz="8" w:color="F7F1EC"/>
              <w:bottom w:val="single" w:sz="8" w:color="F7F1EC"/>
            </w:tcBorders>
            <w:shd w:val="clear" w:color="auto" w:fill="F7F1EC"/>
          </w:tcPr>
          <w:p>
            <w:pPr>
              <w:spacing w:after="0"/>
              <w:rPr>
                <w:sz w:val="16"/>
                <w:szCs w:val="16"/>
                <w:color w:val="auto"/>
              </w:rPr>
            </w:pPr>
          </w:p>
        </w:tc>
        <w:tc>
          <w:tcPr>
            <w:tcW w:w="3300" w:type="dxa"/>
            <w:vAlign w:val="bottom"/>
            <w:tcBorders>
              <w:top w:val="single" w:sz="8" w:color="F7F1EC"/>
              <w:bottom w:val="single" w:sz="8" w:color="F7F1EC"/>
            </w:tcBorders>
            <w:shd w:val="clear" w:color="auto" w:fill="F7F1EC"/>
          </w:tcPr>
          <w:p>
            <w:pPr>
              <w:spacing w:after="0"/>
              <w:rPr>
                <w:sz w:val="20"/>
                <w:szCs w:val="20"/>
                <w:color w:val="auto"/>
              </w:rPr>
            </w:pPr>
            <w:r>
              <w:rPr>
                <w:rFonts w:ascii="Arial" w:cs="Arial" w:eastAsia="Arial" w:hAnsi="Arial"/>
                <w:sz w:val="14"/>
                <w:szCs w:val="14"/>
                <w:color w:val="auto"/>
              </w:rPr>
              <w:t>Total</w:t>
            </w:r>
          </w:p>
        </w:tc>
        <w:tc>
          <w:tcPr>
            <w:tcW w:w="220" w:type="dxa"/>
            <w:vAlign w:val="bottom"/>
            <w:tcBorders>
              <w:top w:val="single" w:sz="8" w:color="F7F1EC"/>
              <w:bottom w:val="single" w:sz="8" w:color="F7F1EC"/>
            </w:tcBorders>
            <w:shd w:val="clear" w:color="auto" w:fill="F7F1EC"/>
          </w:tcPr>
          <w:p>
            <w:pPr>
              <w:spacing w:after="0"/>
              <w:rPr>
                <w:sz w:val="16"/>
                <w:szCs w:val="16"/>
                <w:color w:val="auto"/>
              </w:rPr>
            </w:pPr>
          </w:p>
        </w:tc>
        <w:tc>
          <w:tcPr>
            <w:tcW w:w="660" w:type="dxa"/>
            <w:vAlign w:val="bottom"/>
            <w:tcBorders>
              <w:top w:val="single" w:sz="8" w:color="002B5F"/>
              <w:bottom w:val="single" w:sz="8" w:color="F7F1EC"/>
            </w:tcBorders>
            <w:shd w:val="clear" w:color="auto" w:fill="F7F1EC"/>
          </w:tcPr>
          <w:p>
            <w:pPr>
              <w:jc w:val="right"/>
              <w:spacing w:after="0"/>
              <w:rPr>
                <w:sz w:val="20"/>
                <w:szCs w:val="20"/>
                <w:color w:val="auto"/>
              </w:rPr>
            </w:pPr>
            <w:r>
              <w:rPr>
                <w:rFonts w:ascii="Arial" w:cs="Arial" w:eastAsia="Arial" w:hAnsi="Arial"/>
                <w:sz w:val="14"/>
                <w:szCs w:val="14"/>
                <w:color w:val="auto"/>
                <w:shd w:val="clear" w:color="auto" w:fill="F7F1EC"/>
              </w:rPr>
              <w:t>9,395,632</w:t>
            </w:r>
          </w:p>
        </w:tc>
        <w:tc>
          <w:tcPr>
            <w:tcW w:w="420" w:type="dxa"/>
            <w:vAlign w:val="bottom"/>
            <w:tcBorders>
              <w:top w:val="single" w:sz="8" w:color="F7F1EC"/>
              <w:bottom w:val="single" w:sz="8" w:color="F7F1EC"/>
            </w:tcBorders>
            <w:shd w:val="clear" w:color="auto" w:fill="F7F1EC"/>
          </w:tcPr>
          <w:p>
            <w:pPr>
              <w:spacing w:after="0"/>
              <w:rPr>
                <w:sz w:val="16"/>
                <w:szCs w:val="16"/>
                <w:color w:val="auto"/>
              </w:rPr>
            </w:pPr>
          </w:p>
        </w:tc>
        <w:tc>
          <w:tcPr>
            <w:tcW w:w="660" w:type="dxa"/>
            <w:vAlign w:val="bottom"/>
            <w:tcBorders>
              <w:top w:val="single" w:sz="8" w:color="002B5F"/>
              <w:bottom w:val="single" w:sz="8" w:color="F7F1EC"/>
            </w:tcBorders>
            <w:shd w:val="clear" w:color="auto" w:fill="F7F1EC"/>
          </w:tcPr>
          <w:p>
            <w:pPr>
              <w:jc w:val="right"/>
              <w:spacing w:after="0"/>
              <w:rPr>
                <w:sz w:val="20"/>
                <w:szCs w:val="20"/>
                <w:color w:val="auto"/>
              </w:rPr>
            </w:pPr>
            <w:r>
              <w:rPr>
                <w:rFonts w:ascii="Arial" w:cs="Arial" w:eastAsia="Arial" w:hAnsi="Arial"/>
                <w:sz w:val="14"/>
                <w:szCs w:val="14"/>
                <w:color w:val="auto"/>
                <w:w w:val="99"/>
              </w:rPr>
              <w:t>6,855,878</w:t>
            </w:r>
          </w:p>
        </w:tc>
        <w:tc>
          <w:tcPr>
            <w:tcW w:w="280" w:type="dxa"/>
            <w:vAlign w:val="bottom"/>
            <w:tcBorders>
              <w:top w:val="single" w:sz="8" w:color="F7F1EC"/>
              <w:bottom w:val="single" w:sz="8" w:color="F7F1EC"/>
            </w:tcBorders>
            <w:shd w:val="clear" w:color="auto" w:fill="F7F1EC"/>
          </w:tcPr>
          <w:p>
            <w:pPr>
              <w:spacing w:after="0"/>
              <w:rPr>
                <w:sz w:val="16"/>
                <w:szCs w:val="16"/>
                <w:color w:val="auto"/>
              </w:rPr>
            </w:pPr>
          </w:p>
        </w:tc>
        <w:tc>
          <w:tcPr>
            <w:tcW w:w="140" w:type="dxa"/>
            <w:vAlign w:val="bottom"/>
            <w:tcBorders>
              <w:top w:val="single" w:sz="8" w:color="F7F1EC"/>
              <w:bottom w:val="single" w:sz="8" w:color="F7F1EC"/>
            </w:tcBorders>
            <w:shd w:val="clear" w:color="auto" w:fill="F7F1EC"/>
          </w:tcPr>
          <w:p>
            <w:pPr>
              <w:spacing w:after="0"/>
              <w:rPr>
                <w:sz w:val="16"/>
                <w:szCs w:val="16"/>
                <w:color w:val="auto"/>
              </w:rPr>
            </w:pPr>
          </w:p>
        </w:tc>
        <w:tc>
          <w:tcPr>
            <w:tcW w:w="720" w:type="dxa"/>
            <w:vAlign w:val="bottom"/>
            <w:tcBorders>
              <w:top w:val="single" w:sz="8" w:color="002B5F"/>
              <w:bottom w:val="single" w:sz="8" w:color="F7F1EC"/>
            </w:tcBorders>
            <w:shd w:val="clear" w:color="auto" w:fill="F7F1EC"/>
          </w:tcPr>
          <w:p>
            <w:pPr>
              <w:jc w:val="right"/>
              <w:spacing w:after="0"/>
              <w:rPr>
                <w:sz w:val="20"/>
                <w:szCs w:val="20"/>
                <w:color w:val="auto"/>
              </w:rPr>
            </w:pPr>
            <w:r>
              <w:rPr>
                <w:rFonts w:ascii="Arial" w:cs="Arial" w:eastAsia="Arial" w:hAnsi="Arial"/>
                <w:sz w:val="14"/>
                <w:szCs w:val="14"/>
                <w:color w:val="auto"/>
                <w:w w:val="99"/>
              </w:rPr>
              <w:t>12,284,233</w:t>
            </w:r>
          </w:p>
        </w:tc>
        <w:tc>
          <w:tcPr>
            <w:tcW w:w="220" w:type="dxa"/>
            <w:vAlign w:val="bottom"/>
            <w:tcBorders>
              <w:top w:val="single" w:sz="8" w:color="F7F1EC"/>
              <w:bottom w:val="single" w:sz="8" w:color="F7F1EC"/>
            </w:tcBorders>
            <w:shd w:val="clear" w:color="auto" w:fill="F7F1EC"/>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1180" w:type="dxa"/>
            <w:vAlign w:val="bottom"/>
          </w:tcPr>
          <w:p>
            <w:pPr>
              <w:spacing w:after="0"/>
              <w:rPr>
                <w:sz w:val="18"/>
                <w:szCs w:val="18"/>
                <w:color w:val="auto"/>
              </w:rPr>
            </w:pPr>
          </w:p>
        </w:tc>
        <w:tc>
          <w:tcPr>
            <w:tcW w:w="3460" w:type="dxa"/>
            <w:vAlign w:val="bottom"/>
            <w:gridSpan w:val="2"/>
          </w:tcPr>
          <w:p>
            <w:pPr>
              <w:ind w:left="160"/>
              <w:spacing w:after="0"/>
              <w:rPr>
                <w:sz w:val="20"/>
                <w:szCs w:val="20"/>
                <w:color w:val="auto"/>
              </w:rPr>
            </w:pPr>
            <w:r>
              <w:rPr>
                <w:rFonts w:ascii="Arial" w:cs="Arial" w:eastAsia="Arial" w:hAnsi="Arial"/>
                <w:sz w:val="14"/>
                <w:szCs w:val="14"/>
                <w:color w:val="auto"/>
              </w:rPr>
              <w:t>Severance</w:t>
            </w:r>
          </w:p>
        </w:tc>
        <w:tc>
          <w:tcPr>
            <w:tcW w:w="1300" w:type="dxa"/>
            <w:vAlign w:val="bottom"/>
            <w:gridSpan w:val="3"/>
          </w:tcPr>
          <w:p>
            <w:pPr>
              <w:jc w:val="right"/>
              <w:ind w:right="300"/>
              <w:spacing w:after="0" w:line="217" w:lineRule="exact"/>
              <w:rPr>
                <w:sz w:val="20"/>
                <w:szCs w:val="20"/>
                <w:color w:val="auto"/>
              </w:rPr>
            </w:pPr>
            <w:r>
              <w:rPr>
                <w:rFonts w:ascii="Arial" w:cs="Arial" w:eastAsia="Arial" w:hAnsi="Arial"/>
                <w:sz w:val="14"/>
                <w:szCs w:val="14"/>
                <w:color w:val="auto"/>
              </w:rPr>
              <w:t>750,000</w:t>
            </w:r>
            <w:r>
              <w:rPr>
                <w:rFonts w:ascii="Arial" w:cs="Arial" w:eastAsia="Arial" w:hAnsi="Arial"/>
                <w:sz w:val="20"/>
                <w:szCs w:val="20"/>
                <w:color w:val="auto"/>
                <w:vertAlign w:val="superscript"/>
              </w:rPr>
              <w:t>(2)</w:t>
            </w:r>
          </w:p>
        </w:tc>
        <w:tc>
          <w:tcPr>
            <w:tcW w:w="94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080" w:type="dxa"/>
            <w:vAlign w:val="bottom"/>
            <w:gridSpan w:val="3"/>
          </w:tcPr>
          <w:p>
            <w:pPr>
              <w:jc w:val="right"/>
              <w:ind w:right="100"/>
              <w:spacing w:after="0" w:line="217" w:lineRule="exact"/>
              <w:rPr>
                <w:sz w:val="20"/>
                <w:szCs w:val="20"/>
                <w:color w:val="auto"/>
              </w:rPr>
            </w:pPr>
            <w:r>
              <w:rPr>
                <w:rFonts w:ascii="Arial" w:cs="Arial" w:eastAsia="Arial" w:hAnsi="Arial"/>
                <w:sz w:val="14"/>
                <w:szCs w:val="14"/>
                <w:color w:val="auto"/>
              </w:rPr>
              <w:t>1,125,000</w:t>
            </w:r>
            <w:r>
              <w:rPr>
                <w:rFonts w:ascii="Arial" w:cs="Arial" w:eastAsia="Arial" w:hAnsi="Arial"/>
                <w:sz w:val="20"/>
                <w:szCs w:val="20"/>
                <w:color w:val="auto"/>
                <w:vertAlign w:val="superscript"/>
              </w:rPr>
              <w:t>(3)</w:t>
            </w:r>
          </w:p>
        </w:tc>
        <w:tc>
          <w:tcPr>
            <w:tcW w:w="0" w:type="dxa"/>
            <w:vAlign w:val="bottom"/>
          </w:tcPr>
          <w:p>
            <w:pPr>
              <w:spacing w:after="0"/>
              <w:rPr>
                <w:sz w:val="1"/>
                <w:szCs w:val="1"/>
                <w:color w:val="auto"/>
              </w:rPr>
            </w:pPr>
          </w:p>
        </w:tc>
      </w:tr>
      <w:tr>
        <w:trPr>
          <w:trHeight w:val="204"/>
        </w:trPr>
        <w:tc>
          <w:tcPr>
            <w:tcW w:w="1180" w:type="dxa"/>
            <w:vAlign w:val="bottom"/>
          </w:tcPr>
          <w:p>
            <w:pPr>
              <w:spacing w:after="0"/>
              <w:rPr>
                <w:sz w:val="17"/>
                <w:szCs w:val="17"/>
                <w:color w:val="auto"/>
              </w:rPr>
            </w:pPr>
          </w:p>
        </w:tc>
        <w:tc>
          <w:tcPr>
            <w:tcW w:w="3460" w:type="dxa"/>
            <w:vAlign w:val="bottom"/>
            <w:gridSpan w:val="2"/>
          </w:tcPr>
          <w:p>
            <w:pPr>
              <w:ind w:left="160"/>
              <w:spacing w:after="0"/>
              <w:rPr>
                <w:sz w:val="20"/>
                <w:szCs w:val="20"/>
                <w:color w:val="auto"/>
              </w:rPr>
            </w:pPr>
            <w:r>
              <w:rPr>
                <w:rFonts w:ascii="Arial" w:cs="Arial" w:eastAsia="Arial" w:hAnsi="Arial"/>
                <w:sz w:val="14"/>
                <w:szCs w:val="14"/>
                <w:color w:val="auto"/>
              </w:rPr>
              <w:t>Bonus</w:t>
            </w:r>
          </w:p>
        </w:tc>
        <w:tc>
          <w:tcPr>
            <w:tcW w:w="1300" w:type="dxa"/>
            <w:vAlign w:val="bottom"/>
            <w:gridSpan w:val="3"/>
          </w:tcPr>
          <w:p>
            <w:pPr>
              <w:jc w:val="right"/>
              <w:ind w:right="300"/>
              <w:spacing w:after="0" w:line="205" w:lineRule="exact"/>
              <w:rPr>
                <w:sz w:val="20"/>
                <w:szCs w:val="20"/>
                <w:color w:val="auto"/>
              </w:rPr>
            </w:pPr>
            <w:r>
              <w:rPr>
                <w:rFonts w:ascii="Arial" w:cs="Arial" w:eastAsia="Arial" w:hAnsi="Arial"/>
                <w:sz w:val="14"/>
                <w:szCs w:val="14"/>
                <w:color w:val="auto"/>
              </w:rPr>
              <w:t>2,500,000</w:t>
            </w:r>
            <w:r>
              <w:rPr>
                <w:rFonts w:ascii="Arial" w:cs="Arial" w:eastAsia="Arial" w:hAnsi="Arial"/>
                <w:sz w:val="20"/>
                <w:szCs w:val="20"/>
                <w:color w:val="auto"/>
                <w:vertAlign w:val="superscript"/>
              </w:rPr>
              <w:t>(4)</w:t>
            </w:r>
          </w:p>
        </w:tc>
        <w:tc>
          <w:tcPr>
            <w:tcW w:w="94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080" w:type="dxa"/>
            <w:vAlign w:val="bottom"/>
            <w:gridSpan w:val="3"/>
          </w:tcPr>
          <w:p>
            <w:pPr>
              <w:jc w:val="right"/>
              <w:ind w:right="100"/>
              <w:spacing w:after="0" w:line="205" w:lineRule="exact"/>
              <w:rPr>
                <w:sz w:val="20"/>
                <w:szCs w:val="20"/>
                <w:color w:val="auto"/>
              </w:rPr>
            </w:pPr>
            <w:r>
              <w:rPr>
                <w:rFonts w:ascii="Arial" w:cs="Arial" w:eastAsia="Arial" w:hAnsi="Arial"/>
                <w:sz w:val="14"/>
                <w:szCs w:val="14"/>
                <w:color w:val="auto"/>
              </w:rPr>
              <w:t>2,812,500</w:t>
            </w:r>
            <w:r>
              <w:rPr>
                <w:rFonts w:ascii="Arial" w:cs="Arial" w:eastAsia="Arial" w:hAnsi="Arial"/>
                <w:sz w:val="20"/>
                <w:szCs w:val="20"/>
                <w:color w:val="auto"/>
                <w:vertAlign w:val="superscript"/>
              </w:rPr>
              <w:t>(5)</w:t>
            </w:r>
          </w:p>
        </w:tc>
        <w:tc>
          <w:tcPr>
            <w:tcW w:w="0" w:type="dxa"/>
            <w:vAlign w:val="bottom"/>
          </w:tcPr>
          <w:p>
            <w:pPr>
              <w:spacing w:after="0"/>
              <w:rPr>
                <w:sz w:val="1"/>
                <w:szCs w:val="1"/>
                <w:color w:val="auto"/>
              </w:rPr>
            </w:pPr>
          </w:p>
        </w:tc>
      </w:tr>
      <w:tr>
        <w:trPr>
          <w:trHeight w:val="204"/>
        </w:trPr>
        <w:tc>
          <w:tcPr>
            <w:tcW w:w="1180" w:type="dxa"/>
            <w:vAlign w:val="bottom"/>
            <w:vMerge w:val="restart"/>
          </w:tcPr>
          <w:p>
            <w:pPr>
              <w:ind w:left="60"/>
              <w:spacing w:after="0"/>
              <w:rPr>
                <w:sz w:val="20"/>
                <w:szCs w:val="20"/>
                <w:color w:val="auto"/>
              </w:rPr>
            </w:pPr>
            <w:r>
              <w:rPr>
                <w:rFonts w:ascii="Arial" w:cs="Arial" w:eastAsia="Arial" w:hAnsi="Arial"/>
                <w:sz w:val="14"/>
                <w:szCs w:val="14"/>
                <w:b w:val="1"/>
                <w:bCs w:val="1"/>
                <w:color w:val="B95827"/>
                <w:w w:val="98"/>
              </w:rPr>
              <w:t>Matthew Audette</w:t>
            </w:r>
          </w:p>
        </w:tc>
        <w:tc>
          <w:tcPr>
            <w:tcW w:w="3460" w:type="dxa"/>
            <w:vAlign w:val="bottom"/>
            <w:gridSpan w:val="2"/>
          </w:tcPr>
          <w:p>
            <w:pPr>
              <w:ind w:left="160"/>
              <w:spacing w:after="0"/>
              <w:rPr>
                <w:sz w:val="20"/>
                <w:szCs w:val="20"/>
                <w:color w:val="auto"/>
              </w:rPr>
            </w:pPr>
            <w:r>
              <w:rPr>
                <w:rFonts w:ascii="Arial" w:cs="Arial" w:eastAsia="Arial" w:hAnsi="Arial"/>
                <w:sz w:val="14"/>
                <w:szCs w:val="14"/>
                <w:color w:val="auto"/>
              </w:rPr>
              <w:t>Accelerated/Continued Vesting of RSUs</w:t>
            </w:r>
          </w:p>
        </w:tc>
        <w:tc>
          <w:tcPr>
            <w:tcW w:w="1300" w:type="dxa"/>
            <w:vAlign w:val="bottom"/>
            <w:gridSpan w:val="3"/>
          </w:tcPr>
          <w:p>
            <w:pPr>
              <w:jc w:val="right"/>
              <w:ind w:right="300"/>
              <w:spacing w:after="0" w:line="205" w:lineRule="exact"/>
              <w:rPr>
                <w:sz w:val="20"/>
                <w:szCs w:val="20"/>
                <w:color w:val="auto"/>
              </w:rPr>
            </w:pPr>
            <w:r>
              <w:rPr>
                <w:rFonts w:ascii="Arial" w:cs="Arial" w:eastAsia="Arial" w:hAnsi="Arial"/>
                <w:sz w:val="14"/>
                <w:szCs w:val="14"/>
                <w:color w:val="auto"/>
              </w:rPr>
              <w:t>1,199,734</w:t>
            </w:r>
            <w:r>
              <w:rPr>
                <w:rFonts w:ascii="Arial" w:cs="Arial" w:eastAsia="Arial" w:hAnsi="Arial"/>
                <w:sz w:val="20"/>
                <w:szCs w:val="20"/>
                <w:color w:val="auto"/>
                <w:vertAlign w:val="superscript"/>
              </w:rPr>
              <w:t>(6)</w:t>
            </w:r>
          </w:p>
        </w:tc>
        <w:tc>
          <w:tcPr>
            <w:tcW w:w="940" w:type="dxa"/>
            <w:vAlign w:val="bottom"/>
            <w:gridSpan w:val="2"/>
          </w:tcPr>
          <w:p>
            <w:pPr>
              <w:jc w:val="right"/>
              <w:ind w:right="160"/>
              <w:spacing w:after="0" w:line="205" w:lineRule="exact"/>
              <w:rPr>
                <w:sz w:val="20"/>
                <w:szCs w:val="20"/>
                <w:color w:val="auto"/>
              </w:rPr>
            </w:pPr>
            <w:r>
              <w:rPr>
                <w:rFonts w:ascii="Arial" w:cs="Arial" w:eastAsia="Arial" w:hAnsi="Arial"/>
                <w:sz w:val="14"/>
                <w:szCs w:val="14"/>
                <w:color w:val="auto"/>
                <w:w w:val="96"/>
              </w:rPr>
              <w:t>2,897,006</w:t>
            </w:r>
            <w:r>
              <w:rPr>
                <w:rFonts w:ascii="Arial" w:cs="Arial" w:eastAsia="Arial" w:hAnsi="Arial"/>
                <w:sz w:val="20"/>
                <w:szCs w:val="20"/>
                <w:color w:val="auto"/>
                <w:w w:val="96"/>
                <w:vertAlign w:val="superscript"/>
              </w:rPr>
              <w:t>(7)</w:t>
            </w:r>
          </w:p>
        </w:tc>
        <w:tc>
          <w:tcPr>
            <w:tcW w:w="1080" w:type="dxa"/>
            <w:vAlign w:val="bottom"/>
            <w:gridSpan w:val="3"/>
          </w:tcPr>
          <w:p>
            <w:pPr>
              <w:jc w:val="right"/>
              <w:ind w:right="100"/>
              <w:spacing w:after="0" w:line="205" w:lineRule="exact"/>
              <w:rPr>
                <w:sz w:val="20"/>
                <w:szCs w:val="20"/>
                <w:color w:val="auto"/>
              </w:rPr>
            </w:pPr>
            <w:r>
              <w:rPr>
                <w:rFonts w:ascii="Arial" w:cs="Arial" w:eastAsia="Arial" w:hAnsi="Arial"/>
                <w:sz w:val="14"/>
                <w:szCs w:val="14"/>
                <w:color w:val="auto"/>
              </w:rPr>
              <w:t>2,897,006</w:t>
            </w:r>
            <w:r>
              <w:rPr>
                <w:rFonts w:ascii="Arial" w:cs="Arial" w:eastAsia="Arial" w:hAnsi="Arial"/>
                <w:sz w:val="20"/>
                <w:szCs w:val="20"/>
                <w:color w:val="auto"/>
                <w:vertAlign w:val="superscript"/>
              </w:rPr>
              <w:t>(8)</w:t>
            </w:r>
          </w:p>
        </w:tc>
        <w:tc>
          <w:tcPr>
            <w:tcW w:w="0" w:type="dxa"/>
            <w:vAlign w:val="bottom"/>
          </w:tcPr>
          <w:p>
            <w:pPr>
              <w:spacing w:after="0"/>
              <w:rPr>
                <w:sz w:val="1"/>
                <w:szCs w:val="1"/>
                <w:color w:val="auto"/>
              </w:rPr>
            </w:pPr>
          </w:p>
        </w:tc>
      </w:tr>
      <w:tr>
        <w:trPr>
          <w:trHeight w:val="101"/>
        </w:trPr>
        <w:tc>
          <w:tcPr>
            <w:tcW w:w="1180" w:type="dxa"/>
            <w:vAlign w:val="bottom"/>
            <w:vMerge w:val="continue"/>
          </w:tcPr>
          <w:p>
            <w:pPr>
              <w:spacing w:after="0"/>
              <w:rPr>
                <w:sz w:val="8"/>
                <w:szCs w:val="8"/>
                <w:color w:val="auto"/>
              </w:rPr>
            </w:pPr>
          </w:p>
        </w:tc>
        <w:tc>
          <w:tcPr>
            <w:tcW w:w="3460" w:type="dxa"/>
            <w:vAlign w:val="bottom"/>
            <w:gridSpan w:val="2"/>
            <w:vMerge w:val="restart"/>
          </w:tcPr>
          <w:p>
            <w:pPr>
              <w:ind w:left="160"/>
              <w:spacing w:after="0"/>
              <w:rPr>
                <w:sz w:val="20"/>
                <w:szCs w:val="20"/>
                <w:color w:val="auto"/>
              </w:rPr>
            </w:pPr>
            <w:r>
              <w:rPr>
                <w:rFonts w:ascii="Arial" w:cs="Arial" w:eastAsia="Arial" w:hAnsi="Arial"/>
                <w:sz w:val="14"/>
                <w:szCs w:val="14"/>
                <w:color w:val="auto"/>
              </w:rPr>
              <w:t>Accelerated Vesting of PSUs</w:t>
            </w:r>
          </w:p>
        </w:tc>
        <w:tc>
          <w:tcPr>
            <w:tcW w:w="1300" w:type="dxa"/>
            <w:vAlign w:val="bottom"/>
            <w:gridSpan w:val="3"/>
            <w:vMerge w:val="restart"/>
          </w:tcPr>
          <w:p>
            <w:pPr>
              <w:jc w:val="right"/>
              <w:ind w:right="300"/>
              <w:spacing w:after="0" w:line="205" w:lineRule="exact"/>
              <w:rPr>
                <w:sz w:val="20"/>
                <w:szCs w:val="20"/>
                <w:color w:val="auto"/>
              </w:rPr>
            </w:pPr>
            <w:r>
              <w:rPr>
                <w:rFonts w:ascii="Arial" w:cs="Arial" w:eastAsia="Arial" w:hAnsi="Arial"/>
                <w:sz w:val="14"/>
                <w:szCs w:val="14"/>
                <w:color w:val="auto"/>
              </w:rPr>
              <w:t>2,633,414</w:t>
            </w:r>
            <w:r>
              <w:rPr>
                <w:rFonts w:ascii="Arial" w:cs="Arial" w:eastAsia="Arial" w:hAnsi="Arial"/>
                <w:sz w:val="20"/>
                <w:szCs w:val="20"/>
                <w:color w:val="auto"/>
                <w:vertAlign w:val="superscript"/>
              </w:rPr>
              <w:t>(9)</w:t>
            </w:r>
          </w:p>
        </w:tc>
        <w:tc>
          <w:tcPr>
            <w:tcW w:w="940" w:type="dxa"/>
            <w:vAlign w:val="bottom"/>
            <w:gridSpan w:val="2"/>
            <w:vMerge w:val="restart"/>
          </w:tcPr>
          <w:p>
            <w:pPr>
              <w:jc w:val="right"/>
              <w:ind w:right="120"/>
              <w:spacing w:after="0" w:line="205" w:lineRule="exact"/>
              <w:rPr>
                <w:sz w:val="20"/>
                <w:szCs w:val="20"/>
                <w:color w:val="auto"/>
              </w:rPr>
            </w:pPr>
            <w:r>
              <w:rPr>
                <w:rFonts w:ascii="Arial" w:cs="Arial" w:eastAsia="Arial" w:hAnsi="Arial"/>
                <w:sz w:val="14"/>
                <w:szCs w:val="14"/>
                <w:color w:val="auto"/>
                <w:w w:val="92"/>
              </w:rPr>
              <w:t>2,633,414</w:t>
            </w:r>
            <w:r>
              <w:rPr>
                <w:rFonts w:ascii="Arial" w:cs="Arial" w:eastAsia="Arial" w:hAnsi="Arial"/>
                <w:sz w:val="20"/>
                <w:szCs w:val="20"/>
                <w:color w:val="auto"/>
                <w:w w:val="92"/>
                <w:vertAlign w:val="superscript"/>
              </w:rPr>
              <w:t>(10)</w:t>
            </w:r>
          </w:p>
        </w:tc>
        <w:tc>
          <w:tcPr>
            <w:tcW w:w="1080" w:type="dxa"/>
            <w:vAlign w:val="bottom"/>
            <w:gridSpan w:val="3"/>
            <w:vMerge w:val="restart"/>
          </w:tcPr>
          <w:p>
            <w:pPr>
              <w:jc w:val="right"/>
              <w:ind w:right="60"/>
              <w:spacing w:after="0" w:line="205" w:lineRule="exact"/>
              <w:rPr>
                <w:sz w:val="20"/>
                <w:szCs w:val="20"/>
                <w:color w:val="auto"/>
              </w:rPr>
            </w:pPr>
            <w:r>
              <w:rPr>
                <w:rFonts w:ascii="Arial" w:cs="Arial" w:eastAsia="Arial" w:hAnsi="Arial"/>
                <w:sz w:val="14"/>
                <w:szCs w:val="14"/>
                <w:color w:val="auto"/>
              </w:rPr>
              <w:t>2,633,414</w:t>
            </w:r>
            <w:r>
              <w:rPr>
                <w:rFonts w:ascii="Arial" w:cs="Arial" w:eastAsia="Arial" w:hAnsi="Arial"/>
                <w:sz w:val="20"/>
                <w:szCs w:val="20"/>
                <w:color w:val="auto"/>
                <w:vertAlign w:val="superscript"/>
              </w:rPr>
              <w:t>(11)</w:t>
            </w:r>
          </w:p>
        </w:tc>
        <w:tc>
          <w:tcPr>
            <w:tcW w:w="0" w:type="dxa"/>
            <w:vAlign w:val="bottom"/>
          </w:tcPr>
          <w:p>
            <w:pPr>
              <w:spacing w:after="0"/>
              <w:rPr>
                <w:sz w:val="1"/>
                <w:szCs w:val="1"/>
                <w:color w:val="auto"/>
              </w:rPr>
            </w:pPr>
          </w:p>
        </w:tc>
      </w:tr>
      <w:tr>
        <w:trPr>
          <w:trHeight w:val="103"/>
        </w:trPr>
        <w:tc>
          <w:tcPr>
            <w:tcW w:w="1180" w:type="dxa"/>
            <w:vAlign w:val="bottom"/>
          </w:tcPr>
          <w:p>
            <w:pPr>
              <w:spacing w:after="0"/>
              <w:rPr>
                <w:sz w:val="8"/>
                <w:szCs w:val="8"/>
                <w:color w:val="auto"/>
              </w:rPr>
            </w:pPr>
          </w:p>
        </w:tc>
        <w:tc>
          <w:tcPr>
            <w:tcW w:w="3460" w:type="dxa"/>
            <w:vAlign w:val="bottom"/>
            <w:gridSpan w:val="2"/>
            <w:vMerge w:val="continue"/>
          </w:tcPr>
          <w:p>
            <w:pPr>
              <w:spacing w:after="0"/>
              <w:rPr>
                <w:sz w:val="8"/>
                <w:szCs w:val="8"/>
                <w:color w:val="auto"/>
              </w:rPr>
            </w:pPr>
          </w:p>
        </w:tc>
        <w:tc>
          <w:tcPr>
            <w:tcW w:w="1300" w:type="dxa"/>
            <w:vAlign w:val="bottom"/>
            <w:gridSpan w:val="3"/>
            <w:vMerge w:val="continue"/>
          </w:tcPr>
          <w:p>
            <w:pPr>
              <w:spacing w:after="0"/>
              <w:rPr>
                <w:sz w:val="8"/>
                <w:szCs w:val="8"/>
                <w:color w:val="auto"/>
              </w:rPr>
            </w:pPr>
          </w:p>
        </w:tc>
        <w:tc>
          <w:tcPr>
            <w:tcW w:w="940" w:type="dxa"/>
            <w:vAlign w:val="bottom"/>
            <w:gridSpan w:val="2"/>
            <w:vMerge w:val="continue"/>
          </w:tcPr>
          <w:p>
            <w:pPr>
              <w:spacing w:after="0"/>
              <w:rPr>
                <w:sz w:val="8"/>
                <w:szCs w:val="8"/>
                <w:color w:val="auto"/>
              </w:rPr>
            </w:pPr>
          </w:p>
        </w:tc>
        <w:tc>
          <w:tcPr>
            <w:tcW w:w="108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7"/>
        </w:trPr>
        <w:tc>
          <w:tcPr>
            <w:tcW w:w="1180" w:type="dxa"/>
            <w:vAlign w:val="bottom"/>
          </w:tcPr>
          <w:p>
            <w:pPr>
              <w:spacing w:after="0"/>
              <w:rPr>
                <w:sz w:val="18"/>
                <w:szCs w:val="18"/>
                <w:color w:val="auto"/>
              </w:rPr>
            </w:pPr>
          </w:p>
        </w:tc>
        <w:tc>
          <w:tcPr>
            <w:tcW w:w="3460" w:type="dxa"/>
            <w:vAlign w:val="bottom"/>
            <w:gridSpan w:val="2"/>
          </w:tcPr>
          <w:p>
            <w:pPr>
              <w:ind w:left="160"/>
              <w:spacing w:after="0"/>
              <w:rPr>
                <w:sz w:val="20"/>
                <w:szCs w:val="20"/>
                <w:color w:val="auto"/>
              </w:rPr>
            </w:pPr>
            <w:r>
              <w:rPr>
                <w:rFonts w:ascii="Arial" w:cs="Arial" w:eastAsia="Arial" w:hAnsi="Arial"/>
                <w:sz w:val="14"/>
                <w:szCs w:val="14"/>
                <w:color w:val="auto"/>
              </w:rPr>
              <w:t>Group Benefit Continuation</w:t>
            </w:r>
          </w:p>
        </w:tc>
        <w:tc>
          <w:tcPr>
            <w:tcW w:w="220" w:type="dxa"/>
            <w:vAlign w:val="bottom"/>
          </w:tcPr>
          <w:p>
            <w:pPr>
              <w:spacing w:after="0"/>
              <w:rPr>
                <w:sz w:val="18"/>
                <w:szCs w:val="18"/>
                <w:color w:val="auto"/>
              </w:rPr>
            </w:pPr>
          </w:p>
        </w:tc>
        <w:tc>
          <w:tcPr>
            <w:tcW w:w="1080" w:type="dxa"/>
            <w:vAlign w:val="bottom"/>
            <w:gridSpan w:val="2"/>
          </w:tcPr>
          <w:p>
            <w:pPr>
              <w:jc w:val="right"/>
              <w:ind w:right="240"/>
              <w:spacing w:after="0" w:line="217" w:lineRule="exact"/>
              <w:rPr>
                <w:sz w:val="20"/>
                <w:szCs w:val="20"/>
                <w:color w:val="auto"/>
              </w:rPr>
            </w:pPr>
            <w:r>
              <w:rPr>
                <w:rFonts w:ascii="Arial" w:cs="Arial" w:eastAsia="Arial" w:hAnsi="Arial"/>
                <w:sz w:val="14"/>
                <w:szCs w:val="14"/>
                <w:color w:val="auto"/>
              </w:rPr>
              <w:t>17,206</w:t>
            </w:r>
            <w:r>
              <w:rPr>
                <w:rFonts w:ascii="Arial" w:cs="Arial" w:eastAsia="Arial" w:hAnsi="Arial"/>
                <w:sz w:val="20"/>
                <w:szCs w:val="20"/>
                <w:color w:val="auto"/>
                <w:vertAlign w:val="superscript"/>
              </w:rPr>
              <w:t>(12)</w:t>
            </w:r>
          </w:p>
        </w:tc>
        <w:tc>
          <w:tcPr>
            <w:tcW w:w="94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080" w:type="dxa"/>
            <w:vAlign w:val="bottom"/>
            <w:gridSpan w:val="3"/>
          </w:tcPr>
          <w:p>
            <w:pPr>
              <w:jc w:val="right"/>
              <w:ind w:right="40"/>
              <w:spacing w:after="0" w:line="217" w:lineRule="exact"/>
              <w:rPr>
                <w:sz w:val="20"/>
                <w:szCs w:val="20"/>
                <w:color w:val="auto"/>
              </w:rPr>
            </w:pPr>
            <w:r>
              <w:rPr>
                <w:rFonts w:ascii="Arial" w:cs="Arial" w:eastAsia="Arial" w:hAnsi="Arial"/>
                <w:sz w:val="14"/>
                <w:szCs w:val="14"/>
                <w:color w:val="auto"/>
              </w:rPr>
              <w:t>25,809</w:t>
            </w:r>
            <w:r>
              <w:rPr>
                <w:rFonts w:ascii="Arial" w:cs="Arial" w:eastAsia="Arial" w:hAnsi="Arial"/>
                <w:sz w:val="20"/>
                <w:szCs w:val="20"/>
                <w:color w:val="auto"/>
                <w:vertAlign w:val="superscript"/>
              </w:rPr>
              <w:t>(13)</w:t>
            </w:r>
          </w:p>
        </w:tc>
        <w:tc>
          <w:tcPr>
            <w:tcW w:w="0" w:type="dxa"/>
            <w:vAlign w:val="bottom"/>
          </w:tcPr>
          <w:p>
            <w:pPr>
              <w:spacing w:after="0"/>
              <w:rPr>
                <w:sz w:val="1"/>
                <w:szCs w:val="1"/>
                <w:color w:val="auto"/>
              </w:rPr>
            </w:pPr>
          </w:p>
        </w:tc>
      </w:tr>
      <w:tr>
        <w:trPr>
          <w:trHeight w:val="177"/>
        </w:trPr>
        <w:tc>
          <w:tcPr>
            <w:tcW w:w="1180" w:type="dxa"/>
            <w:vAlign w:val="bottom"/>
          </w:tcPr>
          <w:p>
            <w:pPr>
              <w:spacing w:after="0"/>
              <w:rPr>
                <w:sz w:val="15"/>
                <w:szCs w:val="15"/>
                <w:color w:val="auto"/>
              </w:rPr>
            </w:pPr>
          </w:p>
        </w:tc>
        <w:tc>
          <w:tcPr>
            <w:tcW w:w="3460" w:type="dxa"/>
            <w:vAlign w:val="bottom"/>
            <w:gridSpan w:val="2"/>
          </w:tcPr>
          <w:p>
            <w:pPr>
              <w:ind w:left="160"/>
              <w:spacing w:after="0"/>
              <w:rPr>
                <w:sz w:val="20"/>
                <w:szCs w:val="20"/>
                <w:color w:val="auto"/>
              </w:rPr>
            </w:pPr>
            <w:r>
              <w:rPr>
                <w:rFonts w:ascii="Arial" w:cs="Arial" w:eastAsia="Arial" w:hAnsi="Arial"/>
                <w:sz w:val="14"/>
                <w:szCs w:val="14"/>
                <w:color w:val="auto"/>
              </w:rPr>
              <w:t>Total</w:t>
            </w:r>
          </w:p>
        </w:tc>
        <w:tc>
          <w:tcPr>
            <w:tcW w:w="220" w:type="dxa"/>
            <w:vAlign w:val="bottom"/>
          </w:tcPr>
          <w:p>
            <w:pPr>
              <w:spacing w:after="0"/>
              <w:rPr>
                <w:sz w:val="15"/>
                <w:szCs w:val="15"/>
                <w:color w:val="auto"/>
              </w:rPr>
            </w:pPr>
          </w:p>
        </w:tc>
        <w:tc>
          <w:tcPr>
            <w:tcW w:w="660" w:type="dxa"/>
            <w:vAlign w:val="bottom"/>
            <w:tcBorders>
              <w:top w:val="single" w:sz="8" w:color="002B5F"/>
            </w:tcBorders>
          </w:tcPr>
          <w:p>
            <w:pPr>
              <w:jc w:val="right"/>
              <w:spacing w:after="0"/>
              <w:rPr>
                <w:sz w:val="20"/>
                <w:szCs w:val="20"/>
                <w:color w:val="auto"/>
              </w:rPr>
            </w:pPr>
            <w:r>
              <w:rPr>
                <w:rFonts w:ascii="Arial" w:cs="Arial" w:eastAsia="Arial" w:hAnsi="Arial"/>
                <w:sz w:val="14"/>
                <w:szCs w:val="14"/>
                <w:color w:val="auto"/>
              </w:rPr>
              <w:t>7,100,354</w:t>
            </w:r>
          </w:p>
        </w:tc>
        <w:tc>
          <w:tcPr>
            <w:tcW w:w="420" w:type="dxa"/>
            <w:vAlign w:val="bottom"/>
          </w:tcPr>
          <w:p>
            <w:pPr>
              <w:spacing w:after="0"/>
              <w:rPr>
                <w:sz w:val="15"/>
                <w:szCs w:val="15"/>
                <w:color w:val="auto"/>
              </w:rPr>
            </w:pPr>
          </w:p>
        </w:tc>
        <w:tc>
          <w:tcPr>
            <w:tcW w:w="660" w:type="dxa"/>
            <w:vAlign w:val="bottom"/>
            <w:tcBorders>
              <w:top w:val="single" w:sz="8" w:color="002B5F"/>
            </w:tcBorders>
          </w:tcPr>
          <w:p>
            <w:pPr>
              <w:jc w:val="right"/>
              <w:spacing w:after="0"/>
              <w:rPr>
                <w:sz w:val="20"/>
                <w:szCs w:val="20"/>
                <w:color w:val="auto"/>
              </w:rPr>
            </w:pPr>
            <w:r>
              <w:rPr>
                <w:rFonts w:ascii="Arial" w:cs="Arial" w:eastAsia="Arial" w:hAnsi="Arial"/>
                <w:sz w:val="14"/>
                <w:szCs w:val="14"/>
                <w:color w:val="auto"/>
                <w:w w:val="99"/>
              </w:rPr>
              <w:t>5,530,420</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Borders>
              <w:top w:val="single" w:sz="8" w:color="002B5F"/>
            </w:tcBorders>
          </w:tcPr>
          <w:p>
            <w:pPr>
              <w:jc w:val="right"/>
              <w:spacing w:after="0"/>
              <w:rPr>
                <w:sz w:val="20"/>
                <w:szCs w:val="20"/>
                <w:color w:val="auto"/>
              </w:rPr>
            </w:pPr>
            <w:r>
              <w:rPr>
                <w:rFonts w:ascii="Arial" w:cs="Arial" w:eastAsia="Arial" w:hAnsi="Arial"/>
                <w:sz w:val="14"/>
                <w:szCs w:val="14"/>
                <w:color w:val="auto"/>
              </w:rPr>
              <w:t>9,493,729</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
        </w:trPr>
        <w:tc>
          <w:tcPr>
            <w:tcW w:w="1180" w:type="dxa"/>
            <w:vAlign w:val="bottom"/>
          </w:tcPr>
          <w:p>
            <w:pPr>
              <w:spacing w:after="0"/>
              <w:rPr>
                <w:sz w:val="2"/>
                <w:szCs w:val="2"/>
                <w:color w:val="auto"/>
              </w:rPr>
            </w:pPr>
          </w:p>
        </w:tc>
        <w:tc>
          <w:tcPr>
            <w:tcW w:w="3460" w:type="dxa"/>
            <w:vAlign w:val="bottom"/>
            <w:gridSpan w:val="2"/>
          </w:tcPr>
          <w:p>
            <w:pPr>
              <w:spacing w:after="0"/>
              <w:rPr>
                <w:sz w:val="2"/>
                <w:szCs w:val="2"/>
                <w:color w:val="auto"/>
              </w:rPr>
            </w:pPr>
          </w:p>
        </w:tc>
        <w:tc>
          <w:tcPr>
            <w:tcW w:w="1300" w:type="dxa"/>
            <w:vAlign w:val="bottom"/>
            <w:gridSpan w:val="3"/>
          </w:tcPr>
          <w:p>
            <w:pPr>
              <w:spacing w:after="0"/>
              <w:rPr>
                <w:sz w:val="2"/>
                <w:szCs w:val="2"/>
                <w:color w:val="auto"/>
              </w:rPr>
            </w:pPr>
          </w:p>
        </w:tc>
        <w:tc>
          <w:tcPr>
            <w:tcW w:w="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7"/>
        </w:trPr>
        <w:tc>
          <w:tcPr>
            <w:tcW w:w="1180" w:type="dxa"/>
            <w:vAlign w:val="bottom"/>
            <w:shd w:val="clear" w:color="auto" w:fill="F7F1EC"/>
          </w:tcPr>
          <w:p>
            <w:pPr>
              <w:spacing w:after="0"/>
              <w:rPr>
                <w:sz w:val="18"/>
                <w:szCs w:val="18"/>
                <w:color w:val="auto"/>
              </w:rPr>
            </w:pPr>
          </w:p>
        </w:tc>
        <w:tc>
          <w:tcPr>
            <w:tcW w:w="160" w:type="dxa"/>
            <w:vAlign w:val="bottom"/>
            <w:shd w:val="clear" w:color="auto" w:fill="F7F1EC"/>
          </w:tcPr>
          <w:p>
            <w:pPr>
              <w:spacing w:after="0"/>
              <w:rPr>
                <w:sz w:val="18"/>
                <w:szCs w:val="18"/>
                <w:color w:val="auto"/>
              </w:rPr>
            </w:pPr>
          </w:p>
        </w:tc>
        <w:tc>
          <w:tcPr>
            <w:tcW w:w="3300" w:type="dxa"/>
            <w:vAlign w:val="bottom"/>
            <w:shd w:val="clear" w:color="auto" w:fill="F7F1EC"/>
          </w:tcPr>
          <w:p>
            <w:pPr>
              <w:spacing w:after="0"/>
              <w:rPr>
                <w:sz w:val="20"/>
                <w:szCs w:val="20"/>
                <w:color w:val="auto"/>
              </w:rPr>
            </w:pPr>
            <w:r>
              <w:rPr>
                <w:rFonts w:ascii="Arial" w:cs="Arial" w:eastAsia="Arial" w:hAnsi="Arial"/>
                <w:sz w:val="14"/>
                <w:szCs w:val="14"/>
                <w:color w:val="auto"/>
              </w:rPr>
              <w:t>Severance</w:t>
            </w:r>
          </w:p>
        </w:tc>
        <w:tc>
          <w:tcPr>
            <w:tcW w:w="1300" w:type="dxa"/>
            <w:vAlign w:val="bottom"/>
            <w:gridSpan w:val="3"/>
            <w:shd w:val="clear" w:color="auto" w:fill="F7F1EC"/>
          </w:tcPr>
          <w:p>
            <w:pPr>
              <w:jc w:val="right"/>
              <w:ind w:right="300"/>
              <w:spacing w:after="0" w:line="217" w:lineRule="exact"/>
              <w:rPr>
                <w:sz w:val="20"/>
                <w:szCs w:val="20"/>
                <w:color w:val="auto"/>
              </w:rPr>
            </w:pPr>
            <w:r>
              <w:rPr>
                <w:rFonts w:ascii="Arial" w:cs="Arial" w:eastAsia="Arial" w:hAnsi="Arial"/>
                <w:sz w:val="14"/>
                <w:szCs w:val="14"/>
                <w:color w:val="auto"/>
              </w:rPr>
              <w:t>600,000</w:t>
            </w:r>
            <w:r>
              <w:rPr>
                <w:rFonts w:ascii="Arial" w:cs="Arial" w:eastAsia="Arial" w:hAnsi="Arial"/>
                <w:sz w:val="20"/>
                <w:szCs w:val="20"/>
                <w:color w:val="auto"/>
                <w:vertAlign w:val="superscript"/>
              </w:rPr>
              <w:t>(2)</w:t>
            </w:r>
          </w:p>
        </w:tc>
        <w:tc>
          <w:tcPr>
            <w:tcW w:w="940" w:type="dxa"/>
            <w:vAlign w:val="bottom"/>
            <w:gridSpan w:val="2"/>
            <w:shd w:val="clear" w:color="auto" w:fill="F7F1EC"/>
          </w:tcPr>
          <w:p>
            <w:pPr>
              <w:jc w:val="right"/>
              <w:ind w:right="300"/>
              <w:spacing w:after="0"/>
              <w:rPr>
                <w:sz w:val="20"/>
                <w:szCs w:val="20"/>
                <w:color w:val="auto"/>
              </w:rPr>
            </w:pPr>
            <w:r>
              <w:rPr>
                <w:rFonts w:ascii="Arial" w:cs="Arial" w:eastAsia="Arial" w:hAnsi="Arial"/>
                <w:sz w:val="14"/>
                <w:szCs w:val="14"/>
                <w:color w:val="auto"/>
              </w:rPr>
              <w:t>—</w:t>
            </w:r>
          </w:p>
        </w:tc>
        <w:tc>
          <w:tcPr>
            <w:tcW w:w="1080" w:type="dxa"/>
            <w:vAlign w:val="bottom"/>
            <w:gridSpan w:val="3"/>
            <w:shd w:val="clear" w:color="auto" w:fill="F7F1EC"/>
          </w:tcPr>
          <w:p>
            <w:pPr>
              <w:jc w:val="right"/>
              <w:ind w:right="100"/>
              <w:spacing w:after="0" w:line="217" w:lineRule="exact"/>
              <w:rPr>
                <w:sz w:val="20"/>
                <w:szCs w:val="20"/>
                <w:color w:val="auto"/>
              </w:rPr>
            </w:pPr>
            <w:r>
              <w:rPr>
                <w:rFonts w:ascii="Arial" w:cs="Arial" w:eastAsia="Arial" w:hAnsi="Arial"/>
                <w:sz w:val="14"/>
                <w:szCs w:val="14"/>
                <w:color w:val="auto"/>
              </w:rPr>
              <w:t>900,000</w:t>
            </w:r>
            <w:r>
              <w:rPr>
                <w:rFonts w:ascii="Arial" w:cs="Arial" w:eastAsia="Arial" w:hAnsi="Arial"/>
                <w:sz w:val="20"/>
                <w:szCs w:val="20"/>
                <w:color w:val="auto"/>
                <w:vertAlign w:val="superscript"/>
              </w:rPr>
              <w:t>(3)</w:t>
            </w:r>
          </w:p>
        </w:tc>
        <w:tc>
          <w:tcPr>
            <w:tcW w:w="0" w:type="dxa"/>
            <w:vAlign w:val="bottom"/>
          </w:tcPr>
          <w:p>
            <w:pPr>
              <w:spacing w:after="0"/>
              <w:rPr>
                <w:sz w:val="1"/>
                <w:szCs w:val="1"/>
                <w:color w:val="auto"/>
              </w:rPr>
            </w:pPr>
          </w:p>
        </w:tc>
      </w:tr>
      <w:tr>
        <w:trPr>
          <w:trHeight w:val="204"/>
        </w:trPr>
        <w:tc>
          <w:tcPr>
            <w:tcW w:w="1180" w:type="dxa"/>
            <w:vAlign w:val="bottom"/>
            <w:shd w:val="clear" w:color="auto" w:fill="F7F1EC"/>
          </w:tcPr>
          <w:p>
            <w:pPr>
              <w:spacing w:after="0"/>
              <w:rPr>
                <w:sz w:val="17"/>
                <w:szCs w:val="17"/>
                <w:color w:val="auto"/>
              </w:rPr>
            </w:pPr>
          </w:p>
        </w:tc>
        <w:tc>
          <w:tcPr>
            <w:tcW w:w="160" w:type="dxa"/>
            <w:vAlign w:val="bottom"/>
            <w:shd w:val="clear" w:color="auto" w:fill="F7F1EC"/>
          </w:tcPr>
          <w:p>
            <w:pPr>
              <w:spacing w:after="0"/>
              <w:rPr>
                <w:sz w:val="17"/>
                <w:szCs w:val="17"/>
                <w:color w:val="auto"/>
              </w:rPr>
            </w:pPr>
          </w:p>
        </w:tc>
        <w:tc>
          <w:tcPr>
            <w:tcW w:w="3300" w:type="dxa"/>
            <w:vAlign w:val="bottom"/>
            <w:shd w:val="clear" w:color="auto" w:fill="F7F1EC"/>
          </w:tcPr>
          <w:p>
            <w:pPr>
              <w:spacing w:after="0"/>
              <w:rPr>
                <w:sz w:val="20"/>
                <w:szCs w:val="20"/>
                <w:color w:val="auto"/>
              </w:rPr>
            </w:pPr>
            <w:r>
              <w:rPr>
                <w:rFonts w:ascii="Arial" w:cs="Arial" w:eastAsia="Arial" w:hAnsi="Arial"/>
                <w:sz w:val="14"/>
                <w:szCs w:val="14"/>
                <w:color w:val="auto"/>
              </w:rPr>
              <w:t>Bonus</w:t>
            </w:r>
          </w:p>
        </w:tc>
        <w:tc>
          <w:tcPr>
            <w:tcW w:w="1300" w:type="dxa"/>
            <w:vAlign w:val="bottom"/>
            <w:gridSpan w:val="3"/>
            <w:shd w:val="clear" w:color="auto" w:fill="F7F1EC"/>
          </w:tcPr>
          <w:p>
            <w:pPr>
              <w:jc w:val="right"/>
              <w:ind w:right="300"/>
              <w:spacing w:after="0" w:line="205" w:lineRule="exact"/>
              <w:rPr>
                <w:sz w:val="20"/>
                <w:szCs w:val="20"/>
                <w:color w:val="auto"/>
              </w:rPr>
            </w:pPr>
            <w:r>
              <w:rPr>
                <w:rFonts w:ascii="Arial" w:cs="Arial" w:eastAsia="Arial" w:hAnsi="Arial"/>
                <w:sz w:val="14"/>
                <w:szCs w:val="14"/>
                <w:color w:val="auto"/>
              </w:rPr>
              <w:t>1,275,000</w:t>
            </w:r>
            <w:r>
              <w:rPr>
                <w:rFonts w:ascii="Arial" w:cs="Arial" w:eastAsia="Arial" w:hAnsi="Arial"/>
                <w:sz w:val="20"/>
                <w:szCs w:val="20"/>
                <w:color w:val="auto"/>
                <w:vertAlign w:val="superscript"/>
              </w:rPr>
              <w:t>(4)</w:t>
            </w:r>
          </w:p>
        </w:tc>
        <w:tc>
          <w:tcPr>
            <w:tcW w:w="940" w:type="dxa"/>
            <w:vAlign w:val="bottom"/>
            <w:gridSpan w:val="2"/>
            <w:shd w:val="clear" w:color="auto" w:fill="F7F1EC"/>
          </w:tcPr>
          <w:p>
            <w:pPr>
              <w:jc w:val="right"/>
              <w:ind w:right="300"/>
              <w:spacing w:after="0"/>
              <w:rPr>
                <w:sz w:val="20"/>
                <w:szCs w:val="20"/>
                <w:color w:val="auto"/>
              </w:rPr>
            </w:pPr>
            <w:r>
              <w:rPr>
                <w:rFonts w:ascii="Arial" w:cs="Arial" w:eastAsia="Arial" w:hAnsi="Arial"/>
                <w:sz w:val="14"/>
                <w:szCs w:val="14"/>
                <w:color w:val="auto"/>
              </w:rPr>
              <w:t>—</w:t>
            </w:r>
          </w:p>
        </w:tc>
        <w:tc>
          <w:tcPr>
            <w:tcW w:w="1080" w:type="dxa"/>
            <w:vAlign w:val="bottom"/>
            <w:gridSpan w:val="3"/>
            <w:shd w:val="clear" w:color="auto" w:fill="F7F1EC"/>
          </w:tcPr>
          <w:p>
            <w:pPr>
              <w:jc w:val="right"/>
              <w:ind w:right="100"/>
              <w:spacing w:after="0" w:line="205" w:lineRule="exact"/>
              <w:rPr>
                <w:sz w:val="20"/>
                <w:szCs w:val="20"/>
                <w:color w:val="auto"/>
              </w:rPr>
            </w:pPr>
            <w:r>
              <w:rPr>
                <w:rFonts w:ascii="Arial" w:cs="Arial" w:eastAsia="Arial" w:hAnsi="Arial"/>
                <w:sz w:val="14"/>
                <w:szCs w:val="14"/>
                <w:color w:val="auto"/>
              </w:rPr>
              <w:t>1,530,000</w:t>
            </w:r>
            <w:r>
              <w:rPr>
                <w:rFonts w:ascii="Arial" w:cs="Arial" w:eastAsia="Arial" w:hAnsi="Arial"/>
                <w:sz w:val="20"/>
                <w:szCs w:val="20"/>
                <w:color w:val="auto"/>
                <w:vertAlign w:val="superscript"/>
              </w:rPr>
              <w:t>(5)</w:t>
            </w:r>
          </w:p>
        </w:tc>
        <w:tc>
          <w:tcPr>
            <w:tcW w:w="0" w:type="dxa"/>
            <w:vAlign w:val="bottom"/>
          </w:tcPr>
          <w:p>
            <w:pPr>
              <w:spacing w:after="0"/>
              <w:rPr>
                <w:sz w:val="1"/>
                <w:szCs w:val="1"/>
                <w:color w:val="auto"/>
              </w:rPr>
            </w:pPr>
          </w:p>
        </w:tc>
      </w:tr>
      <w:tr>
        <w:trPr>
          <w:trHeight w:val="204"/>
        </w:trPr>
        <w:tc>
          <w:tcPr>
            <w:tcW w:w="1180" w:type="dxa"/>
            <w:vAlign w:val="bottom"/>
            <w:vMerge w:val="restart"/>
            <w:shd w:val="clear" w:color="auto" w:fill="F7F1EC"/>
          </w:tcPr>
          <w:p>
            <w:pPr>
              <w:ind w:left="60"/>
              <w:spacing w:after="0"/>
              <w:rPr>
                <w:sz w:val="20"/>
                <w:szCs w:val="20"/>
                <w:color w:val="auto"/>
              </w:rPr>
            </w:pPr>
            <w:r>
              <w:rPr>
                <w:rFonts w:ascii="Arial" w:cs="Arial" w:eastAsia="Arial" w:hAnsi="Arial"/>
                <w:sz w:val="14"/>
                <w:szCs w:val="14"/>
                <w:b w:val="1"/>
                <w:bCs w:val="1"/>
                <w:color w:val="B95827"/>
              </w:rPr>
              <w:t>Matthew Enyedi</w:t>
            </w:r>
          </w:p>
        </w:tc>
        <w:tc>
          <w:tcPr>
            <w:tcW w:w="160" w:type="dxa"/>
            <w:vAlign w:val="bottom"/>
            <w:shd w:val="clear" w:color="auto" w:fill="F7F1EC"/>
          </w:tcPr>
          <w:p>
            <w:pPr>
              <w:spacing w:after="0"/>
              <w:rPr>
                <w:sz w:val="17"/>
                <w:szCs w:val="17"/>
                <w:color w:val="auto"/>
              </w:rPr>
            </w:pPr>
          </w:p>
        </w:tc>
        <w:tc>
          <w:tcPr>
            <w:tcW w:w="3300" w:type="dxa"/>
            <w:vAlign w:val="bottom"/>
            <w:shd w:val="clear" w:color="auto" w:fill="F7F1EC"/>
          </w:tcPr>
          <w:p>
            <w:pPr>
              <w:spacing w:after="0"/>
              <w:rPr>
                <w:sz w:val="20"/>
                <w:szCs w:val="20"/>
                <w:color w:val="auto"/>
              </w:rPr>
            </w:pPr>
            <w:r>
              <w:rPr>
                <w:rFonts w:ascii="Arial" w:cs="Arial" w:eastAsia="Arial" w:hAnsi="Arial"/>
                <w:sz w:val="14"/>
                <w:szCs w:val="14"/>
                <w:color w:val="auto"/>
              </w:rPr>
              <w:t>Accelerated/Continued Vesting of RSUs</w:t>
            </w:r>
          </w:p>
        </w:tc>
        <w:tc>
          <w:tcPr>
            <w:tcW w:w="1300" w:type="dxa"/>
            <w:vAlign w:val="bottom"/>
            <w:gridSpan w:val="3"/>
            <w:shd w:val="clear" w:color="auto" w:fill="F7F1EC"/>
          </w:tcPr>
          <w:p>
            <w:pPr>
              <w:jc w:val="right"/>
              <w:ind w:right="300"/>
              <w:spacing w:after="0" w:line="205" w:lineRule="exact"/>
              <w:rPr>
                <w:sz w:val="20"/>
                <w:szCs w:val="20"/>
                <w:color w:val="auto"/>
              </w:rPr>
            </w:pPr>
            <w:r>
              <w:rPr>
                <w:rFonts w:ascii="Arial" w:cs="Arial" w:eastAsia="Arial" w:hAnsi="Arial"/>
                <w:sz w:val="14"/>
                <w:szCs w:val="14"/>
                <w:color w:val="auto"/>
              </w:rPr>
              <w:t>586,830</w:t>
            </w:r>
            <w:r>
              <w:rPr>
                <w:rFonts w:ascii="Arial" w:cs="Arial" w:eastAsia="Arial" w:hAnsi="Arial"/>
                <w:sz w:val="20"/>
                <w:szCs w:val="20"/>
                <w:color w:val="auto"/>
                <w:vertAlign w:val="superscript"/>
              </w:rPr>
              <w:t>(6)</w:t>
            </w:r>
          </w:p>
        </w:tc>
        <w:tc>
          <w:tcPr>
            <w:tcW w:w="940" w:type="dxa"/>
            <w:vAlign w:val="bottom"/>
            <w:gridSpan w:val="2"/>
            <w:shd w:val="clear" w:color="auto" w:fill="F7F1EC"/>
          </w:tcPr>
          <w:p>
            <w:pPr>
              <w:jc w:val="right"/>
              <w:ind w:right="160"/>
              <w:spacing w:after="0" w:line="205" w:lineRule="exact"/>
              <w:rPr>
                <w:sz w:val="20"/>
                <w:szCs w:val="20"/>
                <w:color w:val="auto"/>
              </w:rPr>
            </w:pPr>
            <w:r>
              <w:rPr>
                <w:rFonts w:ascii="Arial" w:cs="Arial" w:eastAsia="Arial" w:hAnsi="Arial"/>
                <w:sz w:val="14"/>
                <w:szCs w:val="14"/>
                <w:color w:val="auto"/>
                <w:w w:val="96"/>
              </w:rPr>
              <w:t>1,195,091</w:t>
            </w:r>
            <w:r>
              <w:rPr>
                <w:rFonts w:ascii="Arial" w:cs="Arial" w:eastAsia="Arial" w:hAnsi="Arial"/>
                <w:sz w:val="20"/>
                <w:szCs w:val="20"/>
                <w:color w:val="auto"/>
                <w:w w:val="96"/>
                <w:vertAlign w:val="superscript"/>
              </w:rPr>
              <w:t>(7)</w:t>
            </w:r>
          </w:p>
        </w:tc>
        <w:tc>
          <w:tcPr>
            <w:tcW w:w="1080" w:type="dxa"/>
            <w:vAlign w:val="bottom"/>
            <w:gridSpan w:val="3"/>
            <w:shd w:val="clear" w:color="auto" w:fill="F7F1EC"/>
          </w:tcPr>
          <w:p>
            <w:pPr>
              <w:jc w:val="right"/>
              <w:ind w:right="100"/>
              <w:spacing w:after="0" w:line="205" w:lineRule="exact"/>
              <w:rPr>
                <w:sz w:val="20"/>
                <w:szCs w:val="20"/>
                <w:color w:val="auto"/>
              </w:rPr>
            </w:pPr>
            <w:r>
              <w:rPr>
                <w:rFonts w:ascii="Arial" w:cs="Arial" w:eastAsia="Arial" w:hAnsi="Arial"/>
                <w:sz w:val="14"/>
                <w:szCs w:val="14"/>
                <w:color w:val="auto"/>
              </w:rPr>
              <w:t>1,195,091</w:t>
            </w:r>
            <w:r>
              <w:rPr>
                <w:rFonts w:ascii="Arial" w:cs="Arial" w:eastAsia="Arial" w:hAnsi="Arial"/>
                <w:sz w:val="20"/>
                <w:szCs w:val="20"/>
                <w:color w:val="auto"/>
                <w:vertAlign w:val="superscript"/>
              </w:rPr>
              <w:t>(8)</w:t>
            </w:r>
          </w:p>
        </w:tc>
        <w:tc>
          <w:tcPr>
            <w:tcW w:w="0" w:type="dxa"/>
            <w:vAlign w:val="bottom"/>
          </w:tcPr>
          <w:p>
            <w:pPr>
              <w:spacing w:after="0"/>
              <w:rPr>
                <w:sz w:val="1"/>
                <w:szCs w:val="1"/>
                <w:color w:val="auto"/>
              </w:rPr>
            </w:pPr>
          </w:p>
        </w:tc>
      </w:tr>
      <w:tr>
        <w:trPr>
          <w:trHeight w:val="101"/>
        </w:trPr>
        <w:tc>
          <w:tcPr>
            <w:tcW w:w="1180" w:type="dxa"/>
            <w:vAlign w:val="bottom"/>
            <w:vMerge w:val="continue"/>
            <w:shd w:val="clear" w:color="auto" w:fill="F7F1EC"/>
          </w:tcPr>
          <w:p>
            <w:pPr>
              <w:spacing w:after="0"/>
              <w:rPr>
                <w:sz w:val="8"/>
                <w:szCs w:val="8"/>
                <w:color w:val="auto"/>
              </w:rPr>
            </w:pPr>
          </w:p>
        </w:tc>
        <w:tc>
          <w:tcPr>
            <w:tcW w:w="160" w:type="dxa"/>
            <w:vAlign w:val="bottom"/>
            <w:shd w:val="clear" w:color="auto" w:fill="F7F1EC"/>
          </w:tcPr>
          <w:p>
            <w:pPr>
              <w:spacing w:after="0"/>
              <w:rPr>
                <w:sz w:val="8"/>
                <w:szCs w:val="8"/>
                <w:color w:val="auto"/>
              </w:rPr>
            </w:pPr>
          </w:p>
        </w:tc>
        <w:tc>
          <w:tcPr>
            <w:tcW w:w="3300" w:type="dxa"/>
            <w:vAlign w:val="bottom"/>
            <w:vMerge w:val="restart"/>
            <w:shd w:val="clear" w:color="auto" w:fill="F7F1EC"/>
          </w:tcPr>
          <w:p>
            <w:pPr>
              <w:spacing w:after="0"/>
              <w:rPr>
                <w:sz w:val="20"/>
                <w:szCs w:val="20"/>
                <w:color w:val="auto"/>
              </w:rPr>
            </w:pPr>
            <w:r>
              <w:rPr>
                <w:rFonts w:ascii="Arial" w:cs="Arial" w:eastAsia="Arial" w:hAnsi="Arial"/>
                <w:sz w:val="14"/>
                <w:szCs w:val="14"/>
                <w:color w:val="auto"/>
              </w:rPr>
              <w:t>Accelerated Vesting of PSUs</w:t>
            </w:r>
          </w:p>
        </w:tc>
        <w:tc>
          <w:tcPr>
            <w:tcW w:w="220" w:type="dxa"/>
            <w:vAlign w:val="bottom"/>
            <w:shd w:val="clear" w:color="auto" w:fill="F7F1EC"/>
          </w:tcPr>
          <w:p>
            <w:pPr>
              <w:spacing w:after="0"/>
              <w:rPr>
                <w:sz w:val="8"/>
                <w:szCs w:val="8"/>
                <w:color w:val="auto"/>
              </w:rPr>
            </w:pPr>
          </w:p>
        </w:tc>
        <w:tc>
          <w:tcPr>
            <w:tcW w:w="1080" w:type="dxa"/>
            <w:vAlign w:val="bottom"/>
            <w:gridSpan w:val="2"/>
            <w:vMerge w:val="restart"/>
            <w:shd w:val="clear" w:color="auto" w:fill="F7F1EC"/>
          </w:tcPr>
          <w:p>
            <w:pPr>
              <w:jc w:val="right"/>
              <w:ind w:right="300"/>
              <w:spacing w:after="0" w:line="205" w:lineRule="exact"/>
              <w:rPr>
                <w:sz w:val="20"/>
                <w:szCs w:val="20"/>
                <w:color w:val="auto"/>
              </w:rPr>
            </w:pPr>
            <w:r>
              <w:rPr>
                <w:rFonts w:ascii="Arial" w:cs="Arial" w:eastAsia="Arial" w:hAnsi="Arial"/>
                <w:sz w:val="14"/>
                <w:szCs w:val="14"/>
                <w:color w:val="auto"/>
                <w:w w:val="96"/>
              </w:rPr>
              <w:t>1,620,837</w:t>
            </w:r>
            <w:r>
              <w:rPr>
                <w:rFonts w:ascii="Arial" w:cs="Arial" w:eastAsia="Arial" w:hAnsi="Arial"/>
                <w:sz w:val="20"/>
                <w:szCs w:val="20"/>
                <w:color w:val="auto"/>
                <w:w w:val="96"/>
                <w:vertAlign w:val="superscript"/>
              </w:rPr>
              <w:t>(9)</w:t>
            </w:r>
          </w:p>
        </w:tc>
        <w:tc>
          <w:tcPr>
            <w:tcW w:w="940" w:type="dxa"/>
            <w:vAlign w:val="bottom"/>
            <w:gridSpan w:val="2"/>
            <w:vMerge w:val="restart"/>
            <w:shd w:val="clear" w:color="auto" w:fill="F7F1EC"/>
          </w:tcPr>
          <w:p>
            <w:pPr>
              <w:jc w:val="right"/>
              <w:ind w:right="120"/>
              <w:spacing w:after="0" w:line="205" w:lineRule="exact"/>
              <w:rPr>
                <w:sz w:val="20"/>
                <w:szCs w:val="20"/>
                <w:color w:val="auto"/>
              </w:rPr>
            </w:pPr>
            <w:r>
              <w:rPr>
                <w:rFonts w:ascii="Arial" w:cs="Arial" w:eastAsia="Arial" w:hAnsi="Arial"/>
                <w:sz w:val="14"/>
                <w:szCs w:val="14"/>
                <w:color w:val="auto"/>
                <w:w w:val="92"/>
              </w:rPr>
              <w:t>1,620,837</w:t>
            </w:r>
            <w:r>
              <w:rPr>
                <w:rFonts w:ascii="Arial" w:cs="Arial" w:eastAsia="Arial" w:hAnsi="Arial"/>
                <w:sz w:val="20"/>
                <w:szCs w:val="20"/>
                <w:color w:val="auto"/>
                <w:w w:val="92"/>
                <w:vertAlign w:val="superscript"/>
              </w:rPr>
              <w:t>(10)</w:t>
            </w:r>
          </w:p>
        </w:tc>
        <w:tc>
          <w:tcPr>
            <w:tcW w:w="1080" w:type="dxa"/>
            <w:vAlign w:val="bottom"/>
            <w:gridSpan w:val="3"/>
            <w:vMerge w:val="restart"/>
            <w:shd w:val="clear" w:color="auto" w:fill="F7F1EC"/>
          </w:tcPr>
          <w:p>
            <w:pPr>
              <w:jc w:val="right"/>
              <w:ind w:right="60"/>
              <w:spacing w:after="0" w:line="205" w:lineRule="exact"/>
              <w:rPr>
                <w:sz w:val="20"/>
                <w:szCs w:val="20"/>
                <w:color w:val="auto"/>
              </w:rPr>
            </w:pPr>
            <w:r>
              <w:rPr>
                <w:rFonts w:ascii="Arial" w:cs="Arial" w:eastAsia="Arial" w:hAnsi="Arial"/>
                <w:sz w:val="14"/>
                <w:szCs w:val="14"/>
                <w:color w:val="auto"/>
              </w:rPr>
              <w:t>1,620,837</w:t>
            </w:r>
            <w:r>
              <w:rPr>
                <w:rFonts w:ascii="Arial" w:cs="Arial" w:eastAsia="Arial" w:hAnsi="Arial"/>
                <w:sz w:val="20"/>
                <w:szCs w:val="20"/>
                <w:color w:val="auto"/>
                <w:vertAlign w:val="superscript"/>
              </w:rPr>
              <w:t>(11)</w:t>
            </w:r>
          </w:p>
        </w:tc>
        <w:tc>
          <w:tcPr>
            <w:tcW w:w="0" w:type="dxa"/>
            <w:vAlign w:val="bottom"/>
          </w:tcPr>
          <w:p>
            <w:pPr>
              <w:spacing w:after="0"/>
              <w:rPr>
                <w:sz w:val="1"/>
                <w:szCs w:val="1"/>
                <w:color w:val="auto"/>
              </w:rPr>
            </w:pPr>
          </w:p>
        </w:tc>
      </w:tr>
      <w:tr>
        <w:trPr>
          <w:trHeight w:val="103"/>
        </w:trPr>
        <w:tc>
          <w:tcPr>
            <w:tcW w:w="1180" w:type="dxa"/>
            <w:vAlign w:val="bottom"/>
            <w:shd w:val="clear" w:color="auto" w:fill="F7F1EC"/>
          </w:tcPr>
          <w:p>
            <w:pPr>
              <w:spacing w:after="0"/>
              <w:rPr>
                <w:sz w:val="8"/>
                <w:szCs w:val="8"/>
                <w:color w:val="auto"/>
              </w:rPr>
            </w:pPr>
          </w:p>
        </w:tc>
        <w:tc>
          <w:tcPr>
            <w:tcW w:w="160" w:type="dxa"/>
            <w:vAlign w:val="bottom"/>
            <w:shd w:val="clear" w:color="auto" w:fill="F7F1EC"/>
          </w:tcPr>
          <w:p>
            <w:pPr>
              <w:spacing w:after="0"/>
              <w:rPr>
                <w:sz w:val="8"/>
                <w:szCs w:val="8"/>
                <w:color w:val="auto"/>
              </w:rPr>
            </w:pPr>
          </w:p>
        </w:tc>
        <w:tc>
          <w:tcPr>
            <w:tcW w:w="3300" w:type="dxa"/>
            <w:vAlign w:val="bottom"/>
            <w:vMerge w:val="continue"/>
            <w:shd w:val="clear" w:color="auto" w:fill="F7F1EC"/>
          </w:tcPr>
          <w:p>
            <w:pPr>
              <w:spacing w:after="0"/>
              <w:rPr>
                <w:sz w:val="8"/>
                <w:szCs w:val="8"/>
                <w:color w:val="auto"/>
              </w:rPr>
            </w:pPr>
          </w:p>
        </w:tc>
        <w:tc>
          <w:tcPr>
            <w:tcW w:w="220" w:type="dxa"/>
            <w:vAlign w:val="bottom"/>
            <w:shd w:val="clear" w:color="auto" w:fill="F7F1EC"/>
          </w:tcPr>
          <w:p>
            <w:pPr>
              <w:spacing w:after="0"/>
              <w:rPr>
                <w:sz w:val="8"/>
                <w:szCs w:val="8"/>
                <w:color w:val="auto"/>
              </w:rPr>
            </w:pPr>
          </w:p>
        </w:tc>
        <w:tc>
          <w:tcPr>
            <w:tcW w:w="1080" w:type="dxa"/>
            <w:vAlign w:val="bottom"/>
            <w:gridSpan w:val="2"/>
            <w:vMerge w:val="continue"/>
            <w:shd w:val="clear" w:color="auto" w:fill="F7F1EC"/>
          </w:tcPr>
          <w:p>
            <w:pPr>
              <w:spacing w:after="0"/>
              <w:rPr>
                <w:sz w:val="8"/>
                <w:szCs w:val="8"/>
                <w:color w:val="auto"/>
              </w:rPr>
            </w:pPr>
          </w:p>
        </w:tc>
        <w:tc>
          <w:tcPr>
            <w:tcW w:w="940" w:type="dxa"/>
            <w:vAlign w:val="bottom"/>
            <w:gridSpan w:val="2"/>
            <w:vMerge w:val="continue"/>
            <w:shd w:val="clear" w:color="auto" w:fill="F7F1EC"/>
          </w:tcPr>
          <w:p>
            <w:pPr>
              <w:spacing w:after="0"/>
              <w:rPr>
                <w:sz w:val="8"/>
                <w:szCs w:val="8"/>
                <w:color w:val="auto"/>
              </w:rPr>
            </w:pPr>
          </w:p>
        </w:tc>
        <w:tc>
          <w:tcPr>
            <w:tcW w:w="1080" w:type="dxa"/>
            <w:vAlign w:val="bottom"/>
            <w:gridSpan w:val="3"/>
            <w:vMerge w:val="continue"/>
            <w:shd w:val="clear" w:color="auto" w:fill="F7F1EC"/>
          </w:tcPr>
          <w:p>
            <w:pPr>
              <w:spacing w:after="0"/>
              <w:rPr>
                <w:sz w:val="8"/>
                <w:szCs w:val="8"/>
                <w:color w:val="auto"/>
              </w:rPr>
            </w:pPr>
          </w:p>
        </w:tc>
        <w:tc>
          <w:tcPr>
            <w:tcW w:w="0" w:type="dxa"/>
            <w:vAlign w:val="bottom"/>
          </w:tcPr>
          <w:p>
            <w:pPr>
              <w:spacing w:after="0"/>
              <w:rPr>
                <w:sz w:val="1"/>
                <w:szCs w:val="1"/>
                <w:color w:val="auto"/>
              </w:rPr>
            </w:pPr>
          </w:p>
        </w:tc>
      </w:tr>
      <w:tr>
        <w:trPr>
          <w:trHeight w:val="217"/>
        </w:trPr>
        <w:tc>
          <w:tcPr>
            <w:tcW w:w="1180" w:type="dxa"/>
            <w:vAlign w:val="bottom"/>
            <w:shd w:val="clear" w:color="auto" w:fill="F7F1EC"/>
          </w:tcPr>
          <w:p>
            <w:pPr>
              <w:spacing w:after="0"/>
              <w:rPr>
                <w:sz w:val="18"/>
                <w:szCs w:val="18"/>
                <w:color w:val="auto"/>
              </w:rPr>
            </w:pPr>
          </w:p>
        </w:tc>
        <w:tc>
          <w:tcPr>
            <w:tcW w:w="160" w:type="dxa"/>
            <w:vAlign w:val="bottom"/>
            <w:shd w:val="clear" w:color="auto" w:fill="F7F1EC"/>
          </w:tcPr>
          <w:p>
            <w:pPr>
              <w:spacing w:after="0"/>
              <w:rPr>
                <w:sz w:val="18"/>
                <w:szCs w:val="18"/>
                <w:color w:val="auto"/>
              </w:rPr>
            </w:pPr>
          </w:p>
        </w:tc>
        <w:tc>
          <w:tcPr>
            <w:tcW w:w="3300" w:type="dxa"/>
            <w:vAlign w:val="bottom"/>
            <w:shd w:val="clear" w:color="auto" w:fill="F7F1EC"/>
          </w:tcPr>
          <w:p>
            <w:pPr>
              <w:spacing w:after="0"/>
              <w:rPr>
                <w:sz w:val="20"/>
                <w:szCs w:val="20"/>
                <w:color w:val="auto"/>
              </w:rPr>
            </w:pPr>
            <w:r>
              <w:rPr>
                <w:rFonts w:ascii="Arial" w:cs="Arial" w:eastAsia="Arial" w:hAnsi="Arial"/>
                <w:sz w:val="14"/>
                <w:szCs w:val="14"/>
                <w:color w:val="auto"/>
              </w:rPr>
              <w:t>Group Benefit Continuation</w:t>
            </w:r>
          </w:p>
        </w:tc>
        <w:tc>
          <w:tcPr>
            <w:tcW w:w="220" w:type="dxa"/>
            <w:vAlign w:val="bottom"/>
            <w:shd w:val="clear" w:color="auto" w:fill="F7F1EC"/>
          </w:tcPr>
          <w:p>
            <w:pPr>
              <w:spacing w:after="0"/>
              <w:rPr>
                <w:sz w:val="18"/>
                <w:szCs w:val="18"/>
                <w:color w:val="auto"/>
              </w:rPr>
            </w:pPr>
          </w:p>
        </w:tc>
        <w:tc>
          <w:tcPr>
            <w:tcW w:w="1080" w:type="dxa"/>
            <w:vAlign w:val="bottom"/>
            <w:gridSpan w:val="2"/>
            <w:shd w:val="clear" w:color="auto" w:fill="F7F1EC"/>
          </w:tcPr>
          <w:p>
            <w:pPr>
              <w:jc w:val="right"/>
              <w:ind w:right="240"/>
              <w:spacing w:after="0" w:line="217" w:lineRule="exact"/>
              <w:rPr>
                <w:sz w:val="20"/>
                <w:szCs w:val="20"/>
                <w:color w:val="auto"/>
              </w:rPr>
            </w:pPr>
            <w:r>
              <w:rPr>
                <w:rFonts w:ascii="Arial" w:cs="Arial" w:eastAsia="Arial" w:hAnsi="Arial"/>
                <w:sz w:val="14"/>
                <w:szCs w:val="14"/>
                <w:color w:val="auto"/>
              </w:rPr>
              <w:t>17,234</w:t>
            </w:r>
            <w:r>
              <w:rPr>
                <w:rFonts w:ascii="Arial" w:cs="Arial" w:eastAsia="Arial" w:hAnsi="Arial"/>
                <w:sz w:val="20"/>
                <w:szCs w:val="20"/>
                <w:color w:val="auto"/>
                <w:vertAlign w:val="superscript"/>
              </w:rPr>
              <w:t>(12)</w:t>
            </w:r>
          </w:p>
        </w:tc>
        <w:tc>
          <w:tcPr>
            <w:tcW w:w="940" w:type="dxa"/>
            <w:vAlign w:val="bottom"/>
            <w:gridSpan w:val="2"/>
            <w:shd w:val="clear" w:color="auto" w:fill="F7F1EC"/>
          </w:tcPr>
          <w:p>
            <w:pPr>
              <w:jc w:val="right"/>
              <w:ind w:right="300"/>
              <w:spacing w:after="0"/>
              <w:rPr>
                <w:sz w:val="20"/>
                <w:szCs w:val="20"/>
                <w:color w:val="auto"/>
              </w:rPr>
            </w:pPr>
            <w:r>
              <w:rPr>
                <w:rFonts w:ascii="Arial" w:cs="Arial" w:eastAsia="Arial" w:hAnsi="Arial"/>
                <w:sz w:val="14"/>
                <w:szCs w:val="14"/>
                <w:color w:val="auto"/>
              </w:rPr>
              <w:t>—</w:t>
            </w:r>
          </w:p>
        </w:tc>
        <w:tc>
          <w:tcPr>
            <w:tcW w:w="1080" w:type="dxa"/>
            <w:vAlign w:val="bottom"/>
            <w:gridSpan w:val="3"/>
            <w:shd w:val="clear" w:color="auto" w:fill="F7F1EC"/>
          </w:tcPr>
          <w:p>
            <w:pPr>
              <w:jc w:val="right"/>
              <w:ind w:right="40"/>
              <w:spacing w:after="0" w:line="217" w:lineRule="exact"/>
              <w:rPr>
                <w:sz w:val="20"/>
                <w:szCs w:val="20"/>
                <w:color w:val="auto"/>
              </w:rPr>
            </w:pPr>
            <w:r>
              <w:rPr>
                <w:rFonts w:ascii="Arial" w:cs="Arial" w:eastAsia="Arial" w:hAnsi="Arial"/>
                <w:sz w:val="14"/>
                <w:szCs w:val="14"/>
                <w:color w:val="auto"/>
              </w:rPr>
              <w:t>25,851</w:t>
            </w:r>
            <w:r>
              <w:rPr>
                <w:rFonts w:ascii="Arial" w:cs="Arial" w:eastAsia="Arial" w:hAnsi="Arial"/>
                <w:sz w:val="20"/>
                <w:szCs w:val="20"/>
                <w:color w:val="auto"/>
                <w:vertAlign w:val="superscript"/>
              </w:rPr>
              <w:t>(13)</w:t>
            </w:r>
          </w:p>
        </w:tc>
        <w:tc>
          <w:tcPr>
            <w:tcW w:w="0" w:type="dxa"/>
            <w:vAlign w:val="bottom"/>
          </w:tcPr>
          <w:p>
            <w:pPr>
              <w:spacing w:after="0"/>
              <w:rPr>
                <w:sz w:val="1"/>
                <w:szCs w:val="1"/>
                <w:color w:val="auto"/>
              </w:rPr>
            </w:pPr>
          </w:p>
        </w:tc>
      </w:tr>
      <w:tr>
        <w:trPr>
          <w:trHeight w:val="190"/>
        </w:trPr>
        <w:tc>
          <w:tcPr>
            <w:tcW w:w="1180" w:type="dxa"/>
            <w:vAlign w:val="bottom"/>
            <w:tcBorders>
              <w:top w:val="single" w:sz="8" w:color="F7F1EC"/>
              <w:bottom w:val="single" w:sz="8" w:color="F7F1EC"/>
            </w:tcBorders>
            <w:shd w:val="clear" w:color="auto" w:fill="F7F1EC"/>
          </w:tcPr>
          <w:p>
            <w:pPr>
              <w:spacing w:after="0"/>
              <w:rPr>
                <w:sz w:val="16"/>
                <w:szCs w:val="16"/>
                <w:color w:val="auto"/>
              </w:rPr>
            </w:pPr>
          </w:p>
        </w:tc>
        <w:tc>
          <w:tcPr>
            <w:tcW w:w="160" w:type="dxa"/>
            <w:vAlign w:val="bottom"/>
            <w:tcBorders>
              <w:top w:val="single" w:sz="8" w:color="F7F1EC"/>
              <w:bottom w:val="single" w:sz="8" w:color="F7F1EC"/>
            </w:tcBorders>
            <w:shd w:val="clear" w:color="auto" w:fill="F7F1EC"/>
          </w:tcPr>
          <w:p>
            <w:pPr>
              <w:spacing w:after="0"/>
              <w:rPr>
                <w:sz w:val="16"/>
                <w:szCs w:val="16"/>
                <w:color w:val="auto"/>
              </w:rPr>
            </w:pPr>
          </w:p>
        </w:tc>
        <w:tc>
          <w:tcPr>
            <w:tcW w:w="3300" w:type="dxa"/>
            <w:vAlign w:val="bottom"/>
            <w:tcBorders>
              <w:top w:val="single" w:sz="8" w:color="F7F1EC"/>
              <w:bottom w:val="single" w:sz="8" w:color="F7F1EC"/>
            </w:tcBorders>
            <w:shd w:val="clear" w:color="auto" w:fill="F7F1EC"/>
          </w:tcPr>
          <w:p>
            <w:pPr>
              <w:spacing w:after="0"/>
              <w:rPr>
                <w:sz w:val="20"/>
                <w:szCs w:val="20"/>
                <w:color w:val="auto"/>
              </w:rPr>
            </w:pPr>
            <w:r>
              <w:rPr>
                <w:rFonts w:ascii="Arial" w:cs="Arial" w:eastAsia="Arial" w:hAnsi="Arial"/>
                <w:sz w:val="14"/>
                <w:szCs w:val="14"/>
                <w:color w:val="auto"/>
              </w:rPr>
              <w:t>Total</w:t>
            </w:r>
          </w:p>
        </w:tc>
        <w:tc>
          <w:tcPr>
            <w:tcW w:w="220" w:type="dxa"/>
            <w:vAlign w:val="bottom"/>
            <w:tcBorders>
              <w:top w:val="single" w:sz="8" w:color="F7F1EC"/>
              <w:bottom w:val="single" w:sz="8" w:color="F7F1EC"/>
            </w:tcBorders>
            <w:shd w:val="clear" w:color="auto" w:fill="F7F1EC"/>
          </w:tcPr>
          <w:p>
            <w:pPr>
              <w:spacing w:after="0"/>
              <w:rPr>
                <w:sz w:val="16"/>
                <w:szCs w:val="16"/>
                <w:color w:val="auto"/>
              </w:rPr>
            </w:pPr>
          </w:p>
        </w:tc>
        <w:tc>
          <w:tcPr>
            <w:tcW w:w="660" w:type="dxa"/>
            <w:vAlign w:val="bottom"/>
            <w:tcBorders>
              <w:top w:val="single" w:sz="8" w:color="002B5F"/>
              <w:bottom w:val="single" w:sz="8" w:color="F7F1EC"/>
            </w:tcBorders>
            <w:shd w:val="clear" w:color="auto" w:fill="F7F1EC"/>
          </w:tcPr>
          <w:p>
            <w:pPr>
              <w:jc w:val="right"/>
              <w:spacing w:after="0"/>
              <w:rPr>
                <w:sz w:val="20"/>
                <w:szCs w:val="20"/>
                <w:color w:val="auto"/>
              </w:rPr>
            </w:pPr>
            <w:r>
              <w:rPr>
                <w:rFonts w:ascii="Arial" w:cs="Arial" w:eastAsia="Arial" w:hAnsi="Arial"/>
                <w:sz w:val="14"/>
                <w:szCs w:val="14"/>
                <w:color w:val="auto"/>
                <w:shd w:val="clear" w:color="auto" w:fill="F7F1EC"/>
              </w:rPr>
              <w:t>4,099,901</w:t>
            </w:r>
          </w:p>
        </w:tc>
        <w:tc>
          <w:tcPr>
            <w:tcW w:w="420" w:type="dxa"/>
            <w:vAlign w:val="bottom"/>
            <w:tcBorders>
              <w:top w:val="single" w:sz="8" w:color="F7F1EC"/>
              <w:bottom w:val="single" w:sz="8" w:color="F7F1EC"/>
            </w:tcBorders>
            <w:shd w:val="clear" w:color="auto" w:fill="F7F1EC"/>
          </w:tcPr>
          <w:p>
            <w:pPr>
              <w:spacing w:after="0"/>
              <w:rPr>
                <w:sz w:val="16"/>
                <w:szCs w:val="16"/>
                <w:color w:val="auto"/>
              </w:rPr>
            </w:pPr>
          </w:p>
        </w:tc>
        <w:tc>
          <w:tcPr>
            <w:tcW w:w="660" w:type="dxa"/>
            <w:vAlign w:val="bottom"/>
            <w:tcBorders>
              <w:top w:val="single" w:sz="8" w:color="002B5F"/>
              <w:bottom w:val="single" w:sz="8" w:color="F7F1EC"/>
            </w:tcBorders>
            <w:shd w:val="clear" w:color="auto" w:fill="F7F1EC"/>
          </w:tcPr>
          <w:p>
            <w:pPr>
              <w:jc w:val="right"/>
              <w:spacing w:after="0"/>
              <w:rPr>
                <w:sz w:val="20"/>
                <w:szCs w:val="20"/>
                <w:color w:val="auto"/>
              </w:rPr>
            </w:pPr>
            <w:r>
              <w:rPr>
                <w:rFonts w:ascii="Arial" w:cs="Arial" w:eastAsia="Arial" w:hAnsi="Arial"/>
                <w:sz w:val="14"/>
                <w:szCs w:val="14"/>
                <w:color w:val="auto"/>
                <w:w w:val="99"/>
              </w:rPr>
              <w:t>2,815,928</w:t>
            </w:r>
          </w:p>
        </w:tc>
        <w:tc>
          <w:tcPr>
            <w:tcW w:w="280" w:type="dxa"/>
            <w:vAlign w:val="bottom"/>
            <w:tcBorders>
              <w:top w:val="single" w:sz="8" w:color="F7F1EC"/>
              <w:bottom w:val="single" w:sz="8" w:color="F7F1EC"/>
            </w:tcBorders>
            <w:shd w:val="clear" w:color="auto" w:fill="F7F1EC"/>
          </w:tcPr>
          <w:p>
            <w:pPr>
              <w:spacing w:after="0"/>
              <w:rPr>
                <w:sz w:val="16"/>
                <w:szCs w:val="16"/>
                <w:color w:val="auto"/>
              </w:rPr>
            </w:pPr>
          </w:p>
        </w:tc>
        <w:tc>
          <w:tcPr>
            <w:tcW w:w="140" w:type="dxa"/>
            <w:vAlign w:val="bottom"/>
            <w:tcBorders>
              <w:top w:val="single" w:sz="8" w:color="F7F1EC"/>
              <w:bottom w:val="single" w:sz="8" w:color="F7F1EC"/>
            </w:tcBorders>
            <w:shd w:val="clear" w:color="auto" w:fill="F7F1EC"/>
          </w:tcPr>
          <w:p>
            <w:pPr>
              <w:spacing w:after="0"/>
              <w:rPr>
                <w:sz w:val="16"/>
                <w:szCs w:val="16"/>
                <w:color w:val="auto"/>
              </w:rPr>
            </w:pPr>
          </w:p>
        </w:tc>
        <w:tc>
          <w:tcPr>
            <w:tcW w:w="720" w:type="dxa"/>
            <w:vAlign w:val="bottom"/>
            <w:tcBorders>
              <w:top w:val="single" w:sz="8" w:color="002B5F"/>
              <w:bottom w:val="single" w:sz="8" w:color="F7F1EC"/>
            </w:tcBorders>
            <w:shd w:val="clear" w:color="auto" w:fill="F7F1EC"/>
          </w:tcPr>
          <w:p>
            <w:pPr>
              <w:jc w:val="right"/>
              <w:spacing w:after="0"/>
              <w:rPr>
                <w:sz w:val="20"/>
                <w:szCs w:val="20"/>
                <w:color w:val="auto"/>
              </w:rPr>
            </w:pPr>
            <w:r>
              <w:rPr>
                <w:rFonts w:ascii="Arial" w:cs="Arial" w:eastAsia="Arial" w:hAnsi="Arial"/>
                <w:sz w:val="14"/>
                <w:szCs w:val="14"/>
                <w:color w:val="auto"/>
              </w:rPr>
              <w:t>5,271,779</w:t>
            </w:r>
          </w:p>
        </w:tc>
        <w:tc>
          <w:tcPr>
            <w:tcW w:w="220" w:type="dxa"/>
            <w:vAlign w:val="bottom"/>
            <w:tcBorders>
              <w:top w:val="single" w:sz="8" w:color="F7F1EC"/>
              <w:bottom w:val="single" w:sz="8" w:color="F7F1EC"/>
            </w:tcBorders>
            <w:shd w:val="clear" w:color="auto" w:fill="F7F1EC"/>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1180" w:type="dxa"/>
            <w:vAlign w:val="bottom"/>
          </w:tcPr>
          <w:p>
            <w:pPr>
              <w:spacing w:after="0"/>
              <w:rPr>
                <w:sz w:val="18"/>
                <w:szCs w:val="18"/>
                <w:color w:val="auto"/>
              </w:rPr>
            </w:pPr>
          </w:p>
        </w:tc>
        <w:tc>
          <w:tcPr>
            <w:tcW w:w="3460" w:type="dxa"/>
            <w:vAlign w:val="bottom"/>
            <w:gridSpan w:val="2"/>
          </w:tcPr>
          <w:p>
            <w:pPr>
              <w:ind w:left="160"/>
              <w:spacing w:after="0"/>
              <w:rPr>
                <w:sz w:val="20"/>
                <w:szCs w:val="20"/>
                <w:color w:val="auto"/>
              </w:rPr>
            </w:pPr>
            <w:r>
              <w:rPr>
                <w:rFonts w:ascii="Arial" w:cs="Arial" w:eastAsia="Arial" w:hAnsi="Arial"/>
                <w:sz w:val="14"/>
                <w:szCs w:val="14"/>
                <w:color w:val="auto"/>
              </w:rPr>
              <w:t>Severance</w:t>
            </w:r>
          </w:p>
        </w:tc>
        <w:tc>
          <w:tcPr>
            <w:tcW w:w="1300" w:type="dxa"/>
            <w:vAlign w:val="bottom"/>
            <w:gridSpan w:val="3"/>
          </w:tcPr>
          <w:p>
            <w:pPr>
              <w:jc w:val="right"/>
              <w:ind w:right="300"/>
              <w:spacing w:after="0" w:line="217" w:lineRule="exact"/>
              <w:rPr>
                <w:sz w:val="20"/>
                <w:szCs w:val="20"/>
                <w:color w:val="auto"/>
              </w:rPr>
            </w:pPr>
            <w:r>
              <w:rPr>
                <w:rFonts w:ascii="Arial" w:cs="Arial" w:eastAsia="Arial" w:hAnsi="Arial"/>
                <w:sz w:val="14"/>
                <w:szCs w:val="14"/>
                <w:color w:val="auto"/>
              </w:rPr>
              <w:t>600,000</w:t>
            </w:r>
            <w:r>
              <w:rPr>
                <w:rFonts w:ascii="Arial" w:cs="Arial" w:eastAsia="Arial" w:hAnsi="Arial"/>
                <w:sz w:val="20"/>
                <w:szCs w:val="20"/>
                <w:color w:val="auto"/>
                <w:vertAlign w:val="superscript"/>
              </w:rPr>
              <w:t>(2)</w:t>
            </w:r>
          </w:p>
        </w:tc>
        <w:tc>
          <w:tcPr>
            <w:tcW w:w="94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080" w:type="dxa"/>
            <w:vAlign w:val="bottom"/>
            <w:gridSpan w:val="3"/>
          </w:tcPr>
          <w:p>
            <w:pPr>
              <w:jc w:val="right"/>
              <w:ind w:right="100"/>
              <w:spacing w:after="0" w:line="217" w:lineRule="exact"/>
              <w:rPr>
                <w:sz w:val="20"/>
                <w:szCs w:val="20"/>
                <w:color w:val="auto"/>
              </w:rPr>
            </w:pPr>
            <w:r>
              <w:rPr>
                <w:rFonts w:ascii="Arial" w:cs="Arial" w:eastAsia="Arial" w:hAnsi="Arial"/>
                <w:sz w:val="14"/>
                <w:szCs w:val="14"/>
                <w:color w:val="auto"/>
              </w:rPr>
              <w:t>900,000</w:t>
            </w:r>
            <w:r>
              <w:rPr>
                <w:rFonts w:ascii="Arial" w:cs="Arial" w:eastAsia="Arial" w:hAnsi="Arial"/>
                <w:sz w:val="20"/>
                <w:szCs w:val="20"/>
                <w:color w:val="auto"/>
                <w:vertAlign w:val="superscript"/>
              </w:rPr>
              <w:t>(3)</w:t>
            </w:r>
          </w:p>
        </w:tc>
        <w:tc>
          <w:tcPr>
            <w:tcW w:w="0" w:type="dxa"/>
            <w:vAlign w:val="bottom"/>
          </w:tcPr>
          <w:p>
            <w:pPr>
              <w:spacing w:after="0"/>
              <w:rPr>
                <w:sz w:val="1"/>
                <w:szCs w:val="1"/>
                <w:color w:val="auto"/>
              </w:rPr>
            </w:pPr>
          </w:p>
        </w:tc>
      </w:tr>
      <w:tr>
        <w:trPr>
          <w:trHeight w:val="204"/>
        </w:trPr>
        <w:tc>
          <w:tcPr>
            <w:tcW w:w="1180" w:type="dxa"/>
            <w:vAlign w:val="bottom"/>
          </w:tcPr>
          <w:p>
            <w:pPr>
              <w:spacing w:after="0"/>
              <w:rPr>
                <w:sz w:val="17"/>
                <w:szCs w:val="17"/>
                <w:color w:val="auto"/>
              </w:rPr>
            </w:pPr>
          </w:p>
        </w:tc>
        <w:tc>
          <w:tcPr>
            <w:tcW w:w="3460" w:type="dxa"/>
            <w:vAlign w:val="bottom"/>
            <w:gridSpan w:val="2"/>
          </w:tcPr>
          <w:p>
            <w:pPr>
              <w:ind w:left="160"/>
              <w:spacing w:after="0"/>
              <w:rPr>
                <w:sz w:val="20"/>
                <w:szCs w:val="20"/>
                <w:color w:val="auto"/>
              </w:rPr>
            </w:pPr>
            <w:r>
              <w:rPr>
                <w:rFonts w:ascii="Arial" w:cs="Arial" w:eastAsia="Arial" w:hAnsi="Arial"/>
                <w:sz w:val="14"/>
                <w:szCs w:val="14"/>
                <w:color w:val="auto"/>
              </w:rPr>
              <w:t>Bonus</w:t>
            </w:r>
          </w:p>
        </w:tc>
        <w:tc>
          <w:tcPr>
            <w:tcW w:w="1300" w:type="dxa"/>
            <w:vAlign w:val="bottom"/>
            <w:gridSpan w:val="3"/>
          </w:tcPr>
          <w:p>
            <w:pPr>
              <w:jc w:val="right"/>
              <w:ind w:right="300"/>
              <w:spacing w:after="0" w:line="205" w:lineRule="exact"/>
              <w:rPr>
                <w:sz w:val="20"/>
                <w:szCs w:val="20"/>
                <w:color w:val="auto"/>
              </w:rPr>
            </w:pPr>
            <w:r>
              <w:rPr>
                <w:rFonts w:ascii="Arial" w:cs="Arial" w:eastAsia="Arial" w:hAnsi="Arial"/>
                <w:sz w:val="14"/>
                <w:szCs w:val="14"/>
                <w:color w:val="auto"/>
              </w:rPr>
              <w:t>1,700,000</w:t>
            </w:r>
            <w:r>
              <w:rPr>
                <w:rFonts w:ascii="Arial" w:cs="Arial" w:eastAsia="Arial" w:hAnsi="Arial"/>
                <w:sz w:val="20"/>
                <w:szCs w:val="20"/>
                <w:color w:val="auto"/>
                <w:vertAlign w:val="superscript"/>
              </w:rPr>
              <w:t>(4)</w:t>
            </w:r>
          </w:p>
        </w:tc>
        <w:tc>
          <w:tcPr>
            <w:tcW w:w="94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080" w:type="dxa"/>
            <w:vAlign w:val="bottom"/>
            <w:gridSpan w:val="3"/>
          </w:tcPr>
          <w:p>
            <w:pPr>
              <w:jc w:val="right"/>
              <w:ind w:right="100"/>
              <w:spacing w:after="0" w:line="205" w:lineRule="exact"/>
              <w:rPr>
                <w:sz w:val="20"/>
                <w:szCs w:val="20"/>
                <w:color w:val="auto"/>
              </w:rPr>
            </w:pPr>
            <w:r>
              <w:rPr>
                <w:rFonts w:ascii="Arial" w:cs="Arial" w:eastAsia="Arial" w:hAnsi="Arial"/>
                <w:sz w:val="14"/>
                <w:szCs w:val="14"/>
                <w:color w:val="auto"/>
              </w:rPr>
              <w:t>2,250,000</w:t>
            </w:r>
            <w:r>
              <w:rPr>
                <w:rFonts w:ascii="Arial" w:cs="Arial" w:eastAsia="Arial" w:hAnsi="Arial"/>
                <w:sz w:val="20"/>
                <w:szCs w:val="20"/>
                <w:color w:val="auto"/>
                <w:vertAlign w:val="superscript"/>
              </w:rPr>
              <w:t>(5)</w:t>
            </w:r>
          </w:p>
        </w:tc>
        <w:tc>
          <w:tcPr>
            <w:tcW w:w="0" w:type="dxa"/>
            <w:vAlign w:val="bottom"/>
          </w:tcPr>
          <w:p>
            <w:pPr>
              <w:spacing w:after="0"/>
              <w:rPr>
                <w:sz w:val="1"/>
                <w:szCs w:val="1"/>
                <w:color w:val="auto"/>
              </w:rPr>
            </w:pPr>
          </w:p>
        </w:tc>
      </w:tr>
      <w:tr>
        <w:trPr>
          <w:trHeight w:val="204"/>
        </w:trPr>
        <w:tc>
          <w:tcPr>
            <w:tcW w:w="1180" w:type="dxa"/>
            <w:vAlign w:val="bottom"/>
            <w:vMerge w:val="restart"/>
          </w:tcPr>
          <w:p>
            <w:pPr>
              <w:ind w:left="60"/>
              <w:spacing w:after="0"/>
              <w:rPr>
                <w:sz w:val="20"/>
                <w:szCs w:val="20"/>
                <w:color w:val="auto"/>
              </w:rPr>
            </w:pPr>
            <w:r>
              <w:rPr>
                <w:rFonts w:ascii="Arial" w:cs="Arial" w:eastAsia="Arial" w:hAnsi="Arial"/>
                <w:sz w:val="14"/>
                <w:szCs w:val="14"/>
                <w:b w:val="1"/>
                <w:bCs w:val="1"/>
                <w:color w:val="B95827"/>
              </w:rPr>
              <w:t>Greg Gates</w:t>
            </w:r>
          </w:p>
        </w:tc>
        <w:tc>
          <w:tcPr>
            <w:tcW w:w="3460" w:type="dxa"/>
            <w:vAlign w:val="bottom"/>
            <w:gridSpan w:val="2"/>
          </w:tcPr>
          <w:p>
            <w:pPr>
              <w:ind w:left="160"/>
              <w:spacing w:after="0"/>
              <w:rPr>
                <w:sz w:val="20"/>
                <w:szCs w:val="20"/>
                <w:color w:val="auto"/>
              </w:rPr>
            </w:pPr>
            <w:r>
              <w:rPr>
                <w:rFonts w:ascii="Arial" w:cs="Arial" w:eastAsia="Arial" w:hAnsi="Arial"/>
                <w:sz w:val="14"/>
                <w:szCs w:val="14"/>
                <w:color w:val="auto"/>
              </w:rPr>
              <w:t>Accelerated/Continued Vesting of RSUs</w:t>
            </w:r>
          </w:p>
        </w:tc>
        <w:tc>
          <w:tcPr>
            <w:tcW w:w="1300" w:type="dxa"/>
            <w:vAlign w:val="bottom"/>
            <w:gridSpan w:val="3"/>
          </w:tcPr>
          <w:p>
            <w:pPr>
              <w:jc w:val="right"/>
              <w:ind w:right="300"/>
              <w:spacing w:after="0" w:line="205" w:lineRule="exact"/>
              <w:rPr>
                <w:sz w:val="20"/>
                <w:szCs w:val="20"/>
                <w:color w:val="auto"/>
              </w:rPr>
            </w:pPr>
            <w:r>
              <w:rPr>
                <w:rFonts w:ascii="Arial" w:cs="Arial" w:eastAsia="Arial" w:hAnsi="Arial"/>
                <w:sz w:val="14"/>
                <w:szCs w:val="14"/>
                <w:color w:val="auto"/>
              </w:rPr>
              <w:t>898,283</w:t>
            </w:r>
            <w:r>
              <w:rPr>
                <w:rFonts w:ascii="Arial" w:cs="Arial" w:eastAsia="Arial" w:hAnsi="Arial"/>
                <w:sz w:val="20"/>
                <w:szCs w:val="20"/>
                <w:color w:val="auto"/>
                <w:vertAlign w:val="superscript"/>
              </w:rPr>
              <w:t>(6)</w:t>
            </w:r>
          </w:p>
        </w:tc>
        <w:tc>
          <w:tcPr>
            <w:tcW w:w="940" w:type="dxa"/>
            <w:vAlign w:val="bottom"/>
            <w:gridSpan w:val="2"/>
          </w:tcPr>
          <w:p>
            <w:pPr>
              <w:jc w:val="right"/>
              <w:ind w:right="160"/>
              <w:spacing w:after="0" w:line="205" w:lineRule="exact"/>
              <w:rPr>
                <w:sz w:val="20"/>
                <w:szCs w:val="20"/>
                <w:color w:val="auto"/>
              </w:rPr>
            </w:pPr>
            <w:r>
              <w:rPr>
                <w:rFonts w:ascii="Arial" w:cs="Arial" w:eastAsia="Arial" w:hAnsi="Arial"/>
                <w:sz w:val="14"/>
                <w:szCs w:val="14"/>
                <w:color w:val="auto"/>
                <w:w w:val="96"/>
              </w:rPr>
              <w:t>1,689,057</w:t>
            </w:r>
            <w:r>
              <w:rPr>
                <w:rFonts w:ascii="Arial" w:cs="Arial" w:eastAsia="Arial" w:hAnsi="Arial"/>
                <w:sz w:val="20"/>
                <w:szCs w:val="20"/>
                <w:color w:val="auto"/>
                <w:w w:val="96"/>
                <w:vertAlign w:val="superscript"/>
              </w:rPr>
              <w:t>(7)</w:t>
            </w:r>
          </w:p>
        </w:tc>
        <w:tc>
          <w:tcPr>
            <w:tcW w:w="1080" w:type="dxa"/>
            <w:vAlign w:val="bottom"/>
            <w:gridSpan w:val="3"/>
          </w:tcPr>
          <w:p>
            <w:pPr>
              <w:jc w:val="right"/>
              <w:ind w:right="100"/>
              <w:spacing w:after="0" w:line="205" w:lineRule="exact"/>
              <w:rPr>
                <w:sz w:val="20"/>
                <w:szCs w:val="20"/>
                <w:color w:val="auto"/>
              </w:rPr>
            </w:pPr>
            <w:r>
              <w:rPr>
                <w:rFonts w:ascii="Arial" w:cs="Arial" w:eastAsia="Arial" w:hAnsi="Arial"/>
                <w:sz w:val="14"/>
                <w:szCs w:val="14"/>
                <w:color w:val="auto"/>
              </w:rPr>
              <w:t>1,689,057</w:t>
            </w:r>
            <w:r>
              <w:rPr>
                <w:rFonts w:ascii="Arial" w:cs="Arial" w:eastAsia="Arial" w:hAnsi="Arial"/>
                <w:sz w:val="20"/>
                <w:szCs w:val="20"/>
                <w:color w:val="auto"/>
                <w:vertAlign w:val="superscript"/>
              </w:rPr>
              <w:t>(8)</w:t>
            </w:r>
          </w:p>
        </w:tc>
        <w:tc>
          <w:tcPr>
            <w:tcW w:w="0" w:type="dxa"/>
            <w:vAlign w:val="bottom"/>
          </w:tcPr>
          <w:p>
            <w:pPr>
              <w:spacing w:after="0"/>
              <w:rPr>
                <w:sz w:val="1"/>
                <w:szCs w:val="1"/>
                <w:color w:val="auto"/>
              </w:rPr>
            </w:pPr>
          </w:p>
        </w:tc>
      </w:tr>
      <w:tr>
        <w:trPr>
          <w:trHeight w:val="101"/>
        </w:trPr>
        <w:tc>
          <w:tcPr>
            <w:tcW w:w="1180" w:type="dxa"/>
            <w:vAlign w:val="bottom"/>
            <w:vMerge w:val="continue"/>
          </w:tcPr>
          <w:p>
            <w:pPr>
              <w:spacing w:after="0"/>
              <w:rPr>
                <w:sz w:val="8"/>
                <w:szCs w:val="8"/>
                <w:color w:val="auto"/>
              </w:rPr>
            </w:pPr>
          </w:p>
        </w:tc>
        <w:tc>
          <w:tcPr>
            <w:tcW w:w="3460" w:type="dxa"/>
            <w:vAlign w:val="bottom"/>
            <w:gridSpan w:val="2"/>
            <w:vMerge w:val="restart"/>
          </w:tcPr>
          <w:p>
            <w:pPr>
              <w:ind w:left="160"/>
              <w:spacing w:after="0"/>
              <w:rPr>
                <w:sz w:val="20"/>
                <w:szCs w:val="20"/>
                <w:color w:val="auto"/>
              </w:rPr>
            </w:pPr>
            <w:r>
              <w:rPr>
                <w:rFonts w:ascii="Arial" w:cs="Arial" w:eastAsia="Arial" w:hAnsi="Arial"/>
                <w:sz w:val="14"/>
                <w:szCs w:val="14"/>
                <w:color w:val="auto"/>
              </w:rPr>
              <w:t>Accelerated Vesting of PSUs</w:t>
            </w:r>
          </w:p>
        </w:tc>
        <w:tc>
          <w:tcPr>
            <w:tcW w:w="1300" w:type="dxa"/>
            <w:vAlign w:val="bottom"/>
            <w:gridSpan w:val="3"/>
            <w:vMerge w:val="restart"/>
          </w:tcPr>
          <w:p>
            <w:pPr>
              <w:jc w:val="right"/>
              <w:ind w:right="300"/>
              <w:spacing w:after="0" w:line="205" w:lineRule="exact"/>
              <w:rPr>
                <w:sz w:val="20"/>
                <w:szCs w:val="20"/>
                <w:color w:val="auto"/>
              </w:rPr>
            </w:pPr>
            <w:r>
              <w:rPr>
                <w:rFonts w:ascii="Arial" w:cs="Arial" w:eastAsia="Arial" w:hAnsi="Arial"/>
                <w:sz w:val="14"/>
                <w:szCs w:val="14"/>
                <w:color w:val="auto"/>
              </w:rPr>
              <w:t>1,903,359</w:t>
            </w:r>
            <w:r>
              <w:rPr>
                <w:rFonts w:ascii="Arial" w:cs="Arial" w:eastAsia="Arial" w:hAnsi="Arial"/>
                <w:sz w:val="20"/>
                <w:szCs w:val="20"/>
                <w:color w:val="auto"/>
                <w:vertAlign w:val="superscript"/>
              </w:rPr>
              <w:t>(9)</w:t>
            </w:r>
          </w:p>
        </w:tc>
        <w:tc>
          <w:tcPr>
            <w:tcW w:w="940" w:type="dxa"/>
            <w:vAlign w:val="bottom"/>
            <w:gridSpan w:val="2"/>
            <w:vMerge w:val="restart"/>
          </w:tcPr>
          <w:p>
            <w:pPr>
              <w:jc w:val="right"/>
              <w:ind w:right="120"/>
              <w:spacing w:after="0" w:line="205" w:lineRule="exact"/>
              <w:rPr>
                <w:sz w:val="20"/>
                <w:szCs w:val="20"/>
                <w:color w:val="auto"/>
              </w:rPr>
            </w:pPr>
            <w:r>
              <w:rPr>
                <w:rFonts w:ascii="Arial" w:cs="Arial" w:eastAsia="Arial" w:hAnsi="Arial"/>
                <w:sz w:val="14"/>
                <w:szCs w:val="14"/>
                <w:color w:val="auto"/>
                <w:w w:val="92"/>
              </w:rPr>
              <w:t>1,903,359</w:t>
            </w:r>
            <w:r>
              <w:rPr>
                <w:rFonts w:ascii="Arial" w:cs="Arial" w:eastAsia="Arial" w:hAnsi="Arial"/>
                <w:sz w:val="20"/>
                <w:szCs w:val="20"/>
                <w:color w:val="auto"/>
                <w:w w:val="92"/>
                <w:vertAlign w:val="superscript"/>
              </w:rPr>
              <w:t>(10)</w:t>
            </w:r>
          </w:p>
        </w:tc>
        <w:tc>
          <w:tcPr>
            <w:tcW w:w="1080" w:type="dxa"/>
            <w:vAlign w:val="bottom"/>
            <w:gridSpan w:val="3"/>
            <w:vMerge w:val="restart"/>
          </w:tcPr>
          <w:p>
            <w:pPr>
              <w:jc w:val="right"/>
              <w:ind w:right="60"/>
              <w:spacing w:after="0" w:line="205" w:lineRule="exact"/>
              <w:rPr>
                <w:sz w:val="20"/>
                <w:szCs w:val="20"/>
                <w:color w:val="auto"/>
              </w:rPr>
            </w:pPr>
            <w:r>
              <w:rPr>
                <w:rFonts w:ascii="Arial" w:cs="Arial" w:eastAsia="Arial" w:hAnsi="Arial"/>
                <w:sz w:val="14"/>
                <w:szCs w:val="14"/>
                <w:color w:val="auto"/>
              </w:rPr>
              <w:t>1,903,359</w:t>
            </w:r>
            <w:r>
              <w:rPr>
                <w:rFonts w:ascii="Arial" w:cs="Arial" w:eastAsia="Arial" w:hAnsi="Arial"/>
                <w:sz w:val="20"/>
                <w:szCs w:val="20"/>
                <w:color w:val="auto"/>
                <w:vertAlign w:val="superscript"/>
              </w:rPr>
              <w:t>(11)</w:t>
            </w:r>
          </w:p>
        </w:tc>
        <w:tc>
          <w:tcPr>
            <w:tcW w:w="0" w:type="dxa"/>
            <w:vAlign w:val="bottom"/>
          </w:tcPr>
          <w:p>
            <w:pPr>
              <w:spacing w:after="0"/>
              <w:rPr>
                <w:sz w:val="1"/>
                <w:szCs w:val="1"/>
                <w:color w:val="auto"/>
              </w:rPr>
            </w:pPr>
          </w:p>
        </w:tc>
      </w:tr>
      <w:tr>
        <w:trPr>
          <w:trHeight w:val="103"/>
        </w:trPr>
        <w:tc>
          <w:tcPr>
            <w:tcW w:w="1180" w:type="dxa"/>
            <w:vAlign w:val="bottom"/>
          </w:tcPr>
          <w:p>
            <w:pPr>
              <w:spacing w:after="0"/>
              <w:rPr>
                <w:sz w:val="8"/>
                <w:szCs w:val="8"/>
                <w:color w:val="auto"/>
              </w:rPr>
            </w:pPr>
          </w:p>
        </w:tc>
        <w:tc>
          <w:tcPr>
            <w:tcW w:w="3460" w:type="dxa"/>
            <w:vAlign w:val="bottom"/>
            <w:gridSpan w:val="2"/>
            <w:vMerge w:val="continue"/>
          </w:tcPr>
          <w:p>
            <w:pPr>
              <w:spacing w:after="0"/>
              <w:rPr>
                <w:sz w:val="8"/>
                <w:szCs w:val="8"/>
                <w:color w:val="auto"/>
              </w:rPr>
            </w:pPr>
          </w:p>
        </w:tc>
        <w:tc>
          <w:tcPr>
            <w:tcW w:w="1300" w:type="dxa"/>
            <w:vAlign w:val="bottom"/>
            <w:gridSpan w:val="3"/>
            <w:vMerge w:val="continue"/>
          </w:tcPr>
          <w:p>
            <w:pPr>
              <w:spacing w:after="0"/>
              <w:rPr>
                <w:sz w:val="8"/>
                <w:szCs w:val="8"/>
                <w:color w:val="auto"/>
              </w:rPr>
            </w:pPr>
          </w:p>
        </w:tc>
        <w:tc>
          <w:tcPr>
            <w:tcW w:w="940" w:type="dxa"/>
            <w:vAlign w:val="bottom"/>
            <w:gridSpan w:val="2"/>
            <w:vMerge w:val="continue"/>
          </w:tcPr>
          <w:p>
            <w:pPr>
              <w:spacing w:after="0"/>
              <w:rPr>
                <w:sz w:val="8"/>
                <w:szCs w:val="8"/>
                <w:color w:val="auto"/>
              </w:rPr>
            </w:pPr>
          </w:p>
        </w:tc>
        <w:tc>
          <w:tcPr>
            <w:tcW w:w="108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7"/>
        </w:trPr>
        <w:tc>
          <w:tcPr>
            <w:tcW w:w="1180" w:type="dxa"/>
            <w:vAlign w:val="bottom"/>
          </w:tcPr>
          <w:p>
            <w:pPr>
              <w:spacing w:after="0"/>
              <w:rPr>
                <w:sz w:val="18"/>
                <w:szCs w:val="18"/>
                <w:color w:val="auto"/>
              </w:rPr>
            </w:pPr>
          </w:p>
        </w:tc>
        <w:tc>
          <w:tcPr>
            <w:tcW w:w="3460" w:type="dxa"/>
            <w:vAlign w:val="bottom"/>
            <w:gridSpan w:val="2"/>
          </w:tcPr>
          <w:p>
            <w:pPr>
              <w:ind w:left="160"/>
              <w:spacing w:after="0"/>
              <w:rPr>
                <w:sz w:val="20"/>
                <w:szCs w:val="20"/>
                <w:color w:val="auto"/>
              </w:rPr>
            </w:pPr>
            <w:r>
              <w:rPr>
                <w:rFonts w:ascii="Arial" w:cs="Arial" w:eastAsia="Arial" w:hAnsi="Arial"/>
                <w:sz w:val="14"/>
                <w:szCs w:val="14"/>
                <w:color w:val="auto"/>
              </w:rPr>
              <w:t>Group Benefit Continuation</w:t>
            </w:r>
          </w:p>
        </w:tc>
        <w:tc>
          <w:tcPr>
            <w:tcW w:w="220" w:type="dxa"/>
            <w:vAlign w:val="bottom"/>
          </w:tcPr>
          <w:p>
            <w:pPr>
              <w:spacing w:after="0"/>
              <w:rPr>
                <w:sz w:val="18"/>
                <w:szCs w:val="18"/>
                <w:color w:val="auto"/>
              </w:rPr>
            </w:pPr>
          </w:p>
        </w:tc>
        <w:tc>
          <w:tcPr>
            <w:tcW w:w="1080" w:type="dxa"/>
            <w:vAlign w:val="bottom"/>
            <w:gridSpan w:val="2"/>
          </w:tcPr>
          <w:p>
            <w:pPr>
              <w:jc w:val="right"/>
              <w:ind w:right="240"/>
              <w:spacing w:after="0" w:line="217" w:lineRule="exact"/>
              <w:rPr>
                <w:sz w:val="20"/>
                <w:szCs w:val="20"/>
                <w:color w:val="auto"/>
              </w:rPr>
            </w:pPr>
            <w:r>
              <w:rPr>
                <w:rFonts w:ascii="Arial" w:cs="Arial" w:eastAsia="Arial" w:hAnsi="Arial"/>
                <w:sz w:val="14"/>
                <w:szCs w:val="14"/>
                <w:color w:val="auto"/>
              </w:rPr>
              <w:t>18,903</w:t>
            </w:r>
            <w:r>
              <w:rPr>
                <w:rFonts w:ascii="Arial" w:cs="Arial" w:eastAsia="Arial" w:hAnsi="Arial"/>
                <w:sz w:val="20"/>
                <w:szCs w:val="20"/>
                <w:color w:val="auto"/>
                <w:vertAlign w:val="superscript"/>
              </w:rPr>
              <w:t>(12)</w:t>
            </w:r>
          </w:p>
        </w:tc>
        <w:tc>
          <w:tcPr>
            <w:tcW w:w="94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080" w:type="dxa"/>
            <w:vAlign w:val="bottom"/>
            <w:gridSpan w:val="3"/>
          </w:tcPr>
          <w:p>
            <w:pPr>
              <w:jc w:val="right"/>
              <w:ind w:right="40"/>
              <w:spacing w:after="0" w:line="217" w:lineRule="exact"/>
              <w:rPr>
                <w:sz w:val="20"/>
                <w:szCs w:val="20"/>
                <w:color w:val="auto"/>
              </w:rPr>
            </w:pPr>
            <w:r>
              <w:rPr>
                <w:rFonts w:ascii="Arial" w:cs="Arial" w:eastAsia="Arial" w:hAnsi="Arial"/>
                <w:sz w:val="14"/>
                <w:szCs w:val="14"/>
                <w:color w:val="auto"/>
              </w:rPr>
              <w:t>28,355</w:t>
            </w:r>
            <w:r>
              <w:rPr>
                <w:rFonts w:ascii="Arial" w:cs="Arial" w:eastAsia="Arial" w:hAnsi="Arial"/>
                <w:sz w:val="20"/>
                <w:szCs w:val="20"/>
                <w:color w:val="auto"/>
                <w:vertAlign w:val="superscript"/>
              </w:rPr>
              <w:t>(13)</w:t>
            </w:r>
          </w:p>
        </w:tc>
        <w:tc>
          <w:tcPr>
            <w:tcW w:w="0" w:type="dxa"/>
            <w:vAlign w:val="bottom"/>
          </w:tcPr>
          <w:p>
            <w:pPr>
              <w:spacing w:after="0"/>
              <w:rPr>
                <w:sz w:val="1"/>
                <w:szCs w:val="1"/>
                <w:color w:val="auto"/>
              </w:rPr>
            </w:pPr>
          </w:p>
        </w:tc>
      </w:tr>
      <w:tr>
        <w:trPr>
          <w:trHeight w:val="177"/>
        </w:trPr>
        <w:tc>
          <w:tcPr>
            <w:tcW w:w="1180" w:type="dxa"/>
            <w:vAlign w:val="bottom"/>
          </w:tcPr>
          <w:p>
            <w:pPr>
              <w:spacing w:after="0"/>
              <w:rPr>
                <w:sz w:val="15"/>
                <w:szCs w:val="15"/>
                <w:color w:val="auto"/>
              </w:rPr>
            </w:pPr>
          </w:p>
        </w:tc>
        <w:tc>
          <w:tcPr>
            <w:tcW w:w="3460" w:type="dxa"/>
            <w:vAlign w:val="bottom"/>
            <w:gridSpan w:val="2"/>
          </w:tcPr>
          <w:p>
            <w:pPr>
              <w:ind w:left="160"/>
              <w:spacing w:after="0"/>
              <w:rPr>
                <w:sz w:val="20"/>
                <w:szCs w:val="20"/>
                <w:color w:val="auto"/>
              </w:rPr>
            </w:pPr>
            <w:r>
              <w:rPr>
                <w:rFonts w:ascii="Arial" w:cs="Arial" w:eastAsia="Arial" w:hAnsi="Arial"/>
                <w:sz w:val="14"/>
                <w:szCs w:val="14"/>
                <w:color w:val="auto"/>
              </w:rPr>
              <w:t>Total</w:t>
            </w:r>
          </w:p>
        </w:tc>
        <w:tc>
          <w:tcPr>
            <w:tcW w:w="220" w:type="dxa"/>
            <w:vAlign w:val="bottom"/>
          </w:tcPr>
          <w:p>
            <w:pPr>
              <w:spacing w:after="0"/>
              <w:rPr>
                <w:sz w:val="15"/>
                <w:szCs w:val="15"/>
                <w:color w:val="auto"/>
              </w:rPr>
            </w:pPr>
          </w:p>
        </w:tc>
        <w:tc>
          <w:tcPr>
            <w:tcW w:w="660" w:type="dxa"/>
            <w:vAlign w:val="bottom"/>
            <w:tcBorders>
              <w:top w:val="single" w:sz="8" w:color="002B5F"/>
            </w:tcBorders>
          </w:tcPr>
          <w:p>
            <w:pPr>
              <w:jc w:val="right"/>
              <w:spacing w:after="0"/>
              <w:rPr>
                <w:sz w:val="20"/>
                <w:szCs w:val="20"/>
                <w:color w:val="auto"/>
              </w:rPr>
            </w:pPr>
            <w:r>
              <w:rPr>
                <w:rFonts w:ascii="Arial" w:cs="Arial" w:eastAsia="Arial" w:hAnsi="Arial"/>
                <w:sz w:val="14"/>
                <w:szCs w:val="14"/>
                <w:color w:val="auto"/>
              </w:rPr>
              <w:t>5,120,545</w:t>
            </w:r>
          </w:p>
        </w:tc>
        <w:tc>
          <w:tcPr>
            <w:tcW w:w="420" w:type="dxa"/>
            <w:vAlign w:val="bottom"/>
          </w:tcPr>
          <w:p>
            <w:pPr>
              <w:spacing w:after="0"/>
              <w:rPr>
                <w:sz w:val="15"/>
                <w:szCs w:val="15"/>
                <w:color w:val="auto"/>
              </w:rPr>
            </w:pPr>
          </w:p>
        </w:tc>
        <w:tc>
          <w:tcPr>
            <w:tcW w:w="660" w:type="dxa"/>
            <w:vAlign w:val="bottom"/>
            <w:tcBorders>
              <w:top w:val="single" w:sz="8" w:color="002B5F"/>
            </w:tcBorders>
          </w:tcPr>
          <w:p>
            <w:pPr>
              <w:jc w:val="right"/>
              <w:spacing w:after="0"/>
              <w:rPr>
                <w:sz w:val="20"/>
                <w:szCs w:val="20"/>
                <w:color w:val="auto"/>
              </w:rPr>
            </w:pPr>
            <w:r>
              <w:rPr>
                <w:rFonts w:ascii="Arial" w:cs="Arial" w:eastAsia="Arial" w:hAnsi="Arial"/>
                <w:sz w:val="14"/>
                <w:szCs w:val="14"/>
                <w:color w:val="auto"/>
                <w:w w:val="99"/>
              </w:rPr>
              <w:t>3,592,416</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Borders>
              <w:top w:val="single" w:sz="8" w:color="002B5F"/>
            </w:tcBorders>
          </w:tcPr>
          <w:p>
            <w:pPr>
              <w:jc w:val="right"/>
              <w:spacing w:after="0"/>
              <w:rPr>
                <w:sz w:val="20"/>
                <w:szCs w:val="20"/>
                <w:color w:val="auto"/>
              </w:rPr>
            </w:pPr>
            <w:r>
              <w:rPr>
                <w:rFonts w:ascii="Arial" w:cs="Arial" w:eastAsia="Arial" w:hAnsi="Arial"/>
                <w:sz w:val="14"/>
                <w:szCs w:val="14"/>
                <w:color w:val="auto"/>
              </w:rPr>
              <w:t>6,770,771</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
        </w:trPr>
        <w:tc>
          <w:tcPr>
            <w:tcW w:w="1180" w:type="dxa"/>
            <w:vAlign w:val="bottom"/>
          </w:tcPr>
          <w:p>
            <w:pPr>
              <w:spacing w:after="0"/>
              <w:rPr>
                <w:sz w:val="2"/>
                <w:szCs w:val="2"/>
                <w:color w:val="auto"/>
              </w:rPr>
            </w:pPr>
          </w:p>
        </w:tc>
        <w:tc>
          <w:tcPr>
            <w:tcW w:w="3460" w:type="dxa"/>
            <w:vAlign w:val="bottom"/>
            <w:gridSpan w:val="2"/>
          </w:tcPr>
          <w:p>
            <w:pPr>
              <w:spacing w:after="0"/>
              <w:rPr>
                <w:sz w:val="2"/>
                <w:szCs w:val="2"/>
                <w:color w:val="auto"/>
              </w:rPr>
            </w:pPr>
          </w:p>
        </w:tc>
        <w:tc>
          <w:tcPr>
            <w:tcW w:w="1300" w:type="dxa"/>
            <w:vAlign w:val="bottom"/>
            <w:gridSpan w:val="3"/>
          </w:tcPr>
          <w:p>
            <w:pPr>
              <w:spacing w:after="0"/>
              <w:rPr>
                <w:sz w:val="2"/>
                <w:szCs w:val="2"/>
                <w:color w:val="auto"/>
              </w:rPr>
            </w:pPr>
          </w:p>
        </w:tc>
        <w:tc>
          <w:tcPr>
            <w:tcW w:w="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7"/>
        </w:trPr>
        <w:tc>
          <w:tcPr>
            <w:tcW w:w="1180" w:type="dxa"/>
            <w:vAlign w:val="bottom"/>
            <w:shd w:val="clear" w:color="auto" w:fill="F7F1EC"/>
          </w:tcPr>
          <w:p>
            <w:pPr>
              <w:spacing w:after="0"/>
              <w:rPr>
                <w:sz w:val="18"/>
                <w:szCs w:val="18"/>
                <w:color w:val="auto"/>
              </w:rPr>
            </w:pPr>
          </w:p>
        </w:tc>
        <w:tc>
          <w:tcPr>
            <w:tcW w:w="160" w:type="dxa"/>
            <w:vAlign w:val="bottom"/>
            <w:shd w:val="clear" w:color="auto" w:fill="F7F1EC"/>
          </w:tcPr>
          <w:p>
            <w:pPr>
              <w:spacing w:after="0"/>
              <w:rPr>
                <w:sz w:val="18"/>
                <w:szCs w:val="18"/>
                <w:color w:val="auto"/>
              </w:rPr>
            </w:pPr>
          </w:p>
        </w:tc>
        <w:tc>
          <w:tcPr>
            <w:tcW w:w="3300" w:type="dxa"/>
            <w:vAlign w:val="bottom"/>
            <w:shd w:val="clear" w:color="auto" w:fill="F7F1EC"/>
          </w:tcPr>
          <w:p>
            <w:pPr>
              <w:spacing w:after="0"/>
              <w:rPr>
                <w:sz w:val="20"/>
                <w:szCs w:val="20"/>
                <w:color w:val="auto"/>
              </w:rPr>
            </w:pPr>
            <w:r>
              <w:rPr>
                <w:rFonts w:ascii="Arial" w:cs="Arial" w:eastAsia="Arial" w:hAnsi="Arial"/>
                <w:sz w:val="14"/>
                <w:szCs w:val="14"/>
                <w:color w:val="auto"/>
              </w:rPr>
              <w:t>Severance</w:t>
            </w:r>
          </w:p>
        </w:tc>
        <w:tc>
          <w:tcPr>
            <w:tcW w:w="1300" w:type="dxa"/>
            <w:vAlign w:val="bottom"/>
            <w:gridSpan w:val="3"/>
            <w:shd w:val="clear" w:color="auto" w:fill="F7F1EC"/>
          </w:tcPr>
          <w:p>
            <w:pPr>
              <w:jc w:val="right"/>
              <w:ind w:right="300"/>
              <w:spacing w:after="0" w:line="217" w:lineRule="exact"/>
              <w:rPr>
                <w:sz w:val="20"/>
                <w:szCs w:val="20"/>
                <w:color w:val="auto"/>
              </w:rPr>
            </w:pPr>
            <w:r>
              <w:rPr>
                <w:rFonts w:ascii="Arial" w:cs="Arial" w:eastAsia="Arial" w:hAnsi="Arial"/>
                <w:sz w:val="14"/>
                <w:szCs w:val="14"/>
                <w:color w:val="auto"/>
              </w:rPr>
              <w:t>500,000</w:t>
            </w:r>
            <w:r>
              <w:rPr>
                <w:rFonts w:ascii="Arial" w:cs="Arial" w:eastAsia="Arial" w:hAnsi="Arial"/>
                <w:sz w:val="20"/>
                <w:szCs w:val="20"/>
                <w:color w:val="auto"/>
                <w:vertAlign w:val="superscript"/>
              </w:rPr>
              <w:t>(2)</w:t>
            </w:r>
          </w:p>
        </w:tc>
        <w:tc>
          <w:tcPr>
            <w:tcW w:w="940" w:type="dxa"/>
            <w:vAlign w:val="bottom"/>
            <w:gridSpan w:val="2"/>
            <w:shd w:val="clear" w:color="auto" w:fill="F7F1EC"/>
          </w:tcPr>
          <w:p>
            <w:pPr>
              <w:jc w:val="right"/>
              <w:ind w:right="300"/>
              <w:spacing w:after="0"/>
              <w:rPr>
                <w:sz w:val="20"/>
                <w:szCs w:val="20"/>
                <w:color w:val="auto"/>
              </w:rPr>
            </w:pPr>
            <w:r>
              <w:rPr>
                <w:rFonts w:ascii="Arial" w:cs="Arial" w:eastAsia="Arial" w:hAnsi="Arial"/>
                <w:sz w:val="14"/>
                <w:szCs w:val="14"/>
                <w:color w:val="auto"/>
              </w:rPr>
              <w:t>—</w:t>
            </w:r>
          </w:p>
        </w:tc>
        <w:tc>
          <w:tcPr>
            <w:tcW w:w="1080" w:type="dxa"/>
            <w:vAlign w:val="bottom"/>
            <w:gridSpan w:val="3"/>
            <w:shd w:val="clear" w:color="auto" w:fill="F7F1EC"/>
          </w:tcPr>
          <w:p>
            <w:pPr>
              <w:jc w:val="right"/>
              <w:ind w:right="100"/>
              <w:spacing w:after="0" w:line="217" w:lineRule="exact"/>
              <w:rPr>
                <w:sz w:val="20"/>
                <w:szCs w:val="20"/>
                <w:color w:val="auto"/>
              </w:rPr>
            </w:pPr>
            <w:r>
              <w:rPr>
                <w:rFonts w:ascii="Arial" w:cs="Arial" w:eastAsia="Arial" w:hAnsi="Arial"/>
                <w:sz w:val="14"/>
                <w:szCs w:val="14"/>
                <w:color w:val="auto"/>
              </w:rPr>
              <w:t>750,000</w:t>
            </w:r>
            <w:r>
              <w:rPr>
                <w:rFonts w:ascii="Arial" w:cs="Arial" w:eastAsia="Arial" w:hAnsi="Arial"/>
                <w:sz w:val="20"/>
                <w:szCs w:val="20"/>
                <w:color w:val="auto"/>
                <w:vertAlign w:val="superscript"/>
              </w:rPr>
              <w:t>(3)</w:t>
            </w:r>
          </w:p>
        </w:tc>
        <w:tc>
          <w:tcPr>
            <w:tcW w:w="0" w:type="dxa"/>
            <w:vAlign w:val="bottom"/>
          </w:tcPr>
          <w:p>
            <w:pPr>
              <w:spacing w:after="0"/>
              <w:rPr>
                <w:sz w:val="1"/>
                <w:szCs w:val="1"/>
                <w:color w:val="auto"/>
              </w:rPr>
            </w:pPr>
          </w:p>
        </w:tc>
      </w:tr>
      <w:tr>
        <w:trPr>
          <w:trHeight w:val="204"/>
        </w:trPr>
        <w:tc>
          <w:tcPr>
            <w:tcW w:w="1180" w:type="dxa"/>
            <w:vAlign w:val="bottom"/>
            <w:shd w:val="clear" w:color="auto" w:fill="F7F1EC"/>
          </w:tcPr>
          <w:p>
            <w:pPr>
              <w:spacing w:after="0"/>
              <w:rPr>
                <w:sz w:val="17"/>
                <w:szCs w:val="17"/>
                <w:color w:val="auto"/>
              </w:rPr>
            </w:pPr>
          </w:p>
        </w:tc>
        <w:tc>
          <w:tcPr>
            <w:tcW w:w="160" w:type="dxa"/>
            <w:vAlign w:val="bottom"/>
            <w:shd w:val="clear" w:color="auto" w:fill="F7F1EC"/>
          </w:tcPr>
          <w:p>
            <w:pPr>
              <w:spacing w:after="0"/>
              <w:rPr>
                <w:sz w:val="17"/>
                <w:szCs w:val="17"/>
                <w:color w:val="auto"/>
              </w:rPr>
            </w:pPr>
          </w:p>
        </w:tc>
        <w:tc>
          <w:tcPr>
            <w:tcW w:w="3300" w:type="dxa"/>
            <w:vAlign w:val="bottom"/>
            <w:shd w:val="clear" w:color="auto" w:fill="F7F1EC"/>
          </w:tcPr>
          <w:p>
            <w:pPr>
              <w:spacing w:after="0"/>
              <w:rPr>
                <w:sz w:val="20"/>
                <w:szCs w:val="20"/>
                <w:color w:val="auto"/>
              </w:rPr>
            </w:pPr>
            <w:r>
              <w:rPr>
                <w:rFonts w:ascii="Arial" w:cs="Arial" w:eastAsia="Arial" w:hAnsi="Arial"/>
                <w:sz w:val="14"/>
                <w:szCs w:val="14"/>
                <w:color w:val="auto"/>
              </w:rPr>
              <w:t>Bonus</w:t>
            </w:r>
          </w:p>
        </w:tc>
        <w:tc>
          <w:tcPr>
            <w:tcW w:w="1300" w:type="dxa"/>
            <w:vAlign w:val="bottom"/>
            <w:gridSpan w:val="3"/>
            <w:shd w:val="clear" w:color="auto" w:fill="F7F1EC"/>
          </w:tcPr>
          <w:p>
            <w:pPr>
              <w:jc w:val="right"/>
              <w:ind w:right="300"/>
              <w:spacing w:after="0" w:line="205" w:lineRule="exact"/>
              <w:rPr>
                <w:sz w:val="20"/>
                <w:szCs w:val="20"/>
                <w:color w:val="auto"/>
              </w:rPr>
            </w:pPr>
            <w:r>
              <w:rPr>
                <w:rFonts w:ascii="Arial" w:cs="Arial" w:eastAsia="Arial" w:hAnsi="Arial"/>
                <w:sz w:val="14"/>
                <w:szCs w:val="14"/>
                <w:color w:val="auto"/>
              </w:rPr>
              <w:t>885,000</w:t>
            </w:r>
            <w:r>
              <w:rPr>
                <w:rFonts w:ascii="Arial" w:cs="Arial" w:eastAsia="Arial" w:hAnsi="Arial"/>
                <w:sz w:val="20"/>
                <w:szCs w:val="20"/>
                <w:color w:val="auto"/>
                <w:vertAlign w:val="superscript"/>
              </w:rPr>
              <w:t>(4)</w:t>
            </w:r>
          </w:p>
        </w:tc>
        <w:tc>
          <w:tcPr>
            <w:tcW w:w="940" w:type="dxa"/>
            <w:vAlign w:val="bottom"/>
            <w:gridSpan w:val="2"/>
            <w:shd w:val="clear" w:color="auto" w:fill="F7F1EC"/>
          </w:tcPr>
          <w:p>
            <w:pPr>
              <w:jc w:val="right"/>
              <w:ind w:right="300"/>
              <w:spacing w:after="0"/>
              <w:rPr>
                <w:sz w:val="20"/>
                <w:szCs w:val="20"/>
                <w:color w:val="auto"/>
              </w:rPr>
            </w:pPr>
            <w:r>
              <w:rPr>
                <w:rFonts w:ascii="Arial" w:cs="Arial" w:eastAsia="Arial" w:hAnsi="Arial"/>
                <w:sz w:val="14"/>
                <w:szCs w:val="14"/>
                <w:color w:val="auto"/>
              </w:rPr>
              <w:t>—</w:t>
            </w:r>
          </w:p>
        </w:tc>
        <w:tc>
          <w:tcPr>
            <w:tcW w:w="1080" w:type="dxa"/>
            <w:vAlign w:val="bottom"/>
            <w:gridSpan w:val="3"/>
            <w:shd w:val="clear" w:color="auto" w:fill="F7F1EC"/>
          </w:tcPr>
          <w:p>
            <w:pPr>
              <w:jc w:val="right"/>
              <w:ind w:right="100"/>
              <w:spacing w:after="0" w:line="205" w:lineRule="exact"/>
              <w:rPr>
                <w:sz w:val="20"/>
                <w:szCs w:val="20"/>
                <w:color w:val="auto"/>
              </w:rPr>
            </w:pPr>
            <w:r>
              <w:rPr>
                <w:rFonts w:ascii="Arial" w:cs="Arial" w:eastAsia="Arial" w:hAnsi="Arial"/>
                <w:sz w:val="14"/>
                <w:szCs w:val="14"/>
                <w:color w:val="auto"/>
              </w:rPr>
              <w:t>1,125,000</w:t>
            </w:r>
            <w:r>
              <w:rPr>
                <w:rFonts w:ascii="Arial" w:cs="Arial" w:eastAsia="Arial" w:hAnsi="Arial"/>
                <w:sz w:val="20"/>
                <w:szCs w:val="20"/>
                <w:color w:val="auto"/>
                <w:vertAlign w:val="superscript"/>
              </w:rPr>
              <w:t>(5)</w:t>
            </w:r>
          </w:p>
        </w:tc>
        <w:tc>
          <w:tcPr>
            <w:tcW w:w="0" w:type="dxa"/>
            <w:vAlign w:val="bottom"/>
          </w:tcPr>
          <w:p>
            <w:pPr>
              <w:spacing w:after="0"/>
              <w:rPr>
                <w:sz w:val="1"/>
                <w:szCs w:val="1"/>
                <w:color w:val="auto"/>
              </w:rPr>
            </w:pPr>
          </w:p>
        </w:tc>
      </w:tr>
      <w:tr>
        <w:trPr>
          <w:trHeight w:val="195"/>
        </w:trPr>
        <w:tc>
          <w:tcPr>
            <w:tcW w:w="1180" w:type="dxa"/>
            <w:vAlign w:val="bottom"/>
            <w:shd w:val="clear" w:color="auto" w:fill="F7F1EC"/>
          </w:tcPr>
          <w:p>
            <w:pPr>
              <w:ind w:left="60"/>
              <w:spacing w:after="0"/>
              <w:rPr>
                <w:sz w:val="20"/>
                <w:szCs w:val="20"/>
                <w:color w:val="auto"/>
              </w:rPr>
            </w:pPr>
            <w:r>
              <w:rPr>
                <w:rFonts w:ascii="Arial" w:cs="Arial" w:eastAsia="Arial" w:hAnsi="Arial"/>
                <w:sz w:val="14"/>
                <w:szCs w:val="14"/>
                <w:b w:val="1"/>
                <w:bCs w:val="1"/>
                <w:color w:val="B95827"/>
              </w:rPr>
              <w:t>Aneri</w:t>
            </w:r>
          </w:p>
        </w:tc>
        <w:tc>
          <w:tcPr>
            <w:tcW w:w="160" w:type="dxa"/>
            <w:vAlign w:val="bottom"/>
            <w:shd w:val="clear" w:color="auto" w:fill="F7F1EC"/>
          </w:tcPr>
          <w:p>
            <w:pPr>
              <w:spacing w:after="0"/>
              <w:rPr>
                <w:sz w:val="16"/>
                <w:szCs w:val="16"/>
                <w:color w:val="auto"/>
              </w:rPr>
            </w:pPr>
          </w:p>
        </w:tc>
        <w:tc>
          <w:tcPr>
            <w:tcW w:w="3300" w:type="dxa"/>
            <w:vAlign w:val="bottom"/>
            <w:shd w:val="clear" w:color="auto" w:fill="F7F1EC"/>
          </w:tcPr>
          <w:p>
            <w:pPr>
              <w:spacing w:after="0"/>
              <w:rPr>
                <w:sz w:val="20"/>
                <w:szCs w:val="20"/>
                <w:color w:val="auto"/>
              </w:rPr>
            </w:pPr>
            <w:r>
              <w:rPr>
                <w:rFonts w:ascii="Arial" w:cs="Arial" w:eastAsia="Arial" w:hAnsi="Arial"/>
                <w:sz w:val="14"/>
                <w:szCs w:val="14"/>
                <w:color w:val="auto"/>
              </w:rPr>
              <w:t>Accelerated/Continued Vesting of RSUs</w:t>
            </w:r>
          </w:p>
        </w:tc>
        <w:tc>
          <w:tcPr>
            <w:tcW w:w="1300" w:type="dxa"/>
            <w:vAlign w:val="bottom"/>
            <w:gridSpan w:val="3"/>
            <w:shd w:val="clear" w:color="auto" w:fill="F7F1EC"/>
          </w:tcPr>
          <w:p>
            <w:pPr>
              <w:jc w:val="right"/>
              <w:ind w:right="300"/>
              <w:spacing w:after="0" w:line="195" w:lineRule="exact"/>
              <w:rPr>
                <w:sz w:val="20"/>
                <w:szCs w:val="20"/>
                <w:color w:val="auto"/>
              </w:rPr>
            </w:pPr>
            <w:r>
              <w:rPr>
                <w:rFonts w:ascii="Arial" w:cs="Arial" w:eastAsia="Arial" w:hAnsi="Arial"/>
                <w:sz w:val="14"/>
                <w:szCs w:val="14"/>
                <w:color w:val="auto"/>
              </w:rPr>
              <w:t>359,313</w:t>
            </w:r>
            <w:r>
              <w:rPr>
                <w:rFonts w:ascii="Arial" w:cs="Arial" w:eastAsia="Arial" w:hAnsi="Arial"/>
                <w:sz w:val="20"/>
                <w:szCs w:val="20"/>
                <w:color w:val="auto"/>
                <w:vertAlign w:val="superscript"/>
              </w:rPr>
              <w:t>(6)</w:t>
            </w:r>
          </w:p>
        </w:tc>
        <w:tc>
          <w:tcPr>
            <w:tcW w:w="940" w:type="dxa"/>
            <w:vAlign w:val="bottom"/>
            <w:gridSpan w:val="2"/>
            <w:shd w:val="clear" w:color="auto" w:fill="F7F1EC"/>
          </w:tcPr>
          <w:p>
            <w:pPr>
              <w:jc w:val="right"/>
              <w:ind w:right="160"/>
              <w:spacing w:after="0" w:line="195" w:lineRule="exact"/>
              <w:rPr>
                <w:sz w:val="20"/>
                <w:szCs w:val="20"/>
                <w:color w:val="auto"/>
              </w:rPr>
            </w:pPr>
            <w:r>
              <w:rPr>
                <w:rFonts w:ascii="Arial" w:cs="Arial" w:eastAsia="Arial" w:hAnsi="Arial"/>
                <w:sz w:val="14"/>
                <w:szCs w:val="14"/>
                <w:color w:val="auto"/>
              </w:rPr>
              <w:t>758,629</w:t>
            </w:r>
            <w:r>
              <w:rPr>
                <w:rFonts w:ascii="Arial" w:cs="Arial" w:eastAsia="Arial" w:hAnsi="Arial"/>
                <w:sz w:val="20"/>
                <w:szCs w:val="20"/>
                <w:color w:val="auto"/>
                <w:vertAlign w:val="superscript"/>
              </w:rPr>
              <w:t>(7)</w:t>
            </w:r>
          </w:p>
        </w:tc>
        <w:tc>
          <w:tcPr>
            <w:tcW w:w="1080" w:type="dxa"/>
            <w:vAlign w:val="bottom"/>
            <w:gridSpan w:val="3"/>
            <w:shd w:val="clear" w:color="auto" w:fill="F7F1EC"/>
          </w:tcPr>
          <w:p>
            <w:pPr>
              <w:jc w:val="right"/>
              <w:ind w:right="100"/>
              <w:spacing w:after="0" w:line="195" w:lineRule="exact"/>
              <w:rPr>
                <w:sz w:val="20"/>
                <w:szCs w:val="20"/>
                <w:color w:val="auto"/>
              </w:rPr>
            </w:pPr>
            <w:r>
              <w:rPr>
                <w:rFonts w:ascii="Arial" w:cs="Arial" w:eastAsia="Arial" w:hAnsi="Arial"/>
                <w:sz w:val="14"/>
                <w:szCs w:val="14"/>
                <w:color w:val="auto"/>
              </w:rPr>
              <w:t>758,629</w:t>
            </w:r>
            <w:r>
              <w:rPr>
                <w:rFonts w:ascii="Arial" w:cs="Arial" w:eastAsia="Arial" w:hAnsi="Arial"/>
                <w:sz w:val="20"/>
                <w:szCs w:val="20"/>
                <w:color w:val="auto"/>
                <w:vertAlign w:val="superscript"/>
              </w:rPr>
              <w:t>(8)</w:t>
            </w:r>
          </w:p>
        </w:tc>
        <w:tc>
          <w:tcPr>
            <w:tcW w:w="0" w:type="dxa"/>
            <w:vAlign w:val="bottom"/>
          </w:tcPr>
          <w:p>
            <w:pPr>
              <w:spacing w:after="0"/>
              <w:rPr>
                <w:sz w:val="1"/>
                <w:szCs w:val="1"/>
                <w:color w:val="auto"/>
              </w:rPr>
            </w:pPr>
          </w:p>
        </w:tc>
      </w:tr>
      <w:tr>
        <w:trPr>
          <w:trHeight w:val="213"/>
        </w:trPr>
        <w:tc>
          <w:tcPr>
            <w:tcW w:w="1180" w:type="dxa"/>
            <w:vAlign w:val="bottom"/>
            <w:shd w:val="clear" w:color="auto" w:fill="F7F1EC"/>
          </w:tcPr>
          <w:p>
            <w:pPr>
              <w:ind w:left="60"/>
              <w:spacing w:after="0"/>
              <w:rPr>
                <w:sz w:val="20"/>
                <w:szCs w:val="20"/>
                <w:color w:val="auto"/>
              </w:rPr>
            </w:pPr>
            <w:r>
              <w:rPr>
                <w:rFonts w:ascii="Arial" w:cs="Arial" w:eastAsia="Arial" w:hAnsi="Arial"/>
                <w:sz w:val="14"/>
                <w:szCs w:val="14"/>
                <w:b w:val="1"/>
                <w:bCs w:val="1"/>
                <w:color w:val="B95827"/>
              </w:rPr>
              <w:t>Jambusaria</w:t>
            </w:r>
          </w:p>
        </w:tc>
        <w:tc>
          <w:tcPr>
            <w:tcW w:w="160" w:type="dxa"/>
            <w:vAlign w:val="bottom"/>
            <w:shd w:val="clear" w:color="auto" w:fill="F7F1EC"/>
          </w:tcPr>
          <w:p>
            <w:pPr>
              <w:spacing w:after="0"/>
              <w:rPr>
                <w:sz w:val="18"/>
                <w:szCs w:val="18"/>
                <w:color w:val="auto"/>
              </w:rPr>
            </w:pPr>
          </w:p>
        </w:tc>
        <w:tc>
          <w:tcPr>
            <w:tcW w:w="3300" w:type="dxa"/>
            <w:vAlign w:val="bottom"/>
            <w:shd w:val="clear" w:color="auto" w:fill="F7F1EC"/>
          </w:tcPr>
          <w:p>
            <w:pPr>
              <w:spacing w:after="0"/>
              <w:rPr>
                <w:sz w:val="20"/>
                <w:szCs w:val="20"/>
                <w:color w:val="auto"/>
              </w:rPr>
            </w:pPr>
            <w:r>
              <w:rPr>
                <w:rFonts w:ascii="Arial" w:cs="Arial" w:eastAsia="Arial" w:hAnsi="Arial"/>
                <w:sz w:val="14"/>
                <w:szCs w:val="14"/>
                <w:color w:val="auto"/>
              </w:rPr>
              <w:t>Accelerated Vesting of PSUs</w:t>
            </w:r>
          </w:p>
        </w:tc>
        <w:tc>
          <w:tcPr>
            <w:tcW w:w="220" w:type="dxa"/>
            <w:vAlign w:val="bottom"/>
            <w:shd w:val="clear" w:color="auto" w:fill="F7F1EC"/>
          </w:tcPr>
          <w:p>
            <w:pPr>
              <w:spacing w:after="0"/>
              <w:rPr>
                <w:sz w:val="18"/>
                <w:szCs w:val="18"/>
                <w:color w:val="auto"/>
              </w:rPr>
            </w:pPr>
          </w:p>
        </w:tc>
        <w:tc>
          <w:tcPr>
            <w:tcW w:w="1080" w:type="dxa"/>
            <w:vAlign w:val="bottom"/>
            <w:gridSpan w:val="2"/>
            <w:shd w:val="clear" w:color="auto" w:fill="F7F1EC"/>
          </w:tcPr>
          <w:p>
            <w:pPr>
              <w:jc w:val="right"/>
              <w:ind w:right="300"/>
              <w:spacing w:after="0" w:line="213" w:lineRule="exact"/>
              <w:rPr>
                <w:sz w:val="20"/>
                <w:szCs w:val="20"/>
                <w:color w:val="auto"/>
              </w:rPr>
            </w:pPr>
            <w:r>
              <w:rPr>
                <w:rFonts w:ascii="Arial" w:cs="Arial" w:eastAsia="Arial" w:hAnsi="Arial"/>
                <w:sz w:val="14"/>
                <w:szCs w:val="14"/>
                <w:color w:val="auto"/>
              </w:rPr>
              <w:t>954,358</w:t>
            </w:r>
            <w:r>
              <w:rPr>
                <w:rFonts w:ascii="Arial" w:cs="Arial" w:eastAsia="Arial" w:hAnsi="Arial"/>
                <w:sz w:val="20"/>
                <w:szCs w:val="20"/>
                <w:color w:val="auto"/>
                <w:vertAlign w:val="superscript"/>
              </w:rPr>
              <w:t>(9)</w:t>
            </w:r>
          </w:p>
        </w:tc>
        <w:tc>
          <w:tcPr>
            <w:tcW w:w="940" w:type="dxa"/>
            <w:vAlign w:val="bottom"/>
            <w:gridSpan w:val="2"/>
            <w:shd w:val="clear" w:color="auto" w:fill="F7F1EC"/>
          </w:tcPr>
          <w:p>
            <w:pPr>
              <w:jc w:val="right"/>
              <w:ind w:right="120"/>
              <w:spacing w:after="0" w:line="213" w:lineRule="exact"/>
              <w:rPr>
                <w:sz w:val="20"/>
                <w:szCs w:val="20"/>
                <w:color w:val="auto"/>
              </w:rPr>
            </w:pPr>
            <w:r>
              <w:rPr>
                <w:rFonts w:ascii="Arial" w:cs="Arial" w:eastAsia="Arial" w:hAnsi="Arial"/>
                <w:sz w:val="14"/>
                <w:szCs w:val="14"/>
                <w:color w:val="auto"/>
              </w:rPr>
              <w:t>954,358</w:t>
            </w:r>
            <w:r>
              <w:rPr>
                <w:rFonts w:ascii="Arial" w:cs="Arial" w:eastAsia="Arial" w:hAnsi="Arial"/>
                <w:sz w:val="20"/>
                <w:szCs w:val="20"/>
                <w:color w:val="auto"/>
                <w:vertAlign w:val="superscript"/>
              </w:rPr>
              <w:t>(10)</w:t>
            </w:r>
          </w:p>
        </w:tc>
        <w:tc>
          <w:tcPr>
            <w:tcW w:w="1080" w:type="dxa"/>
            <w:vAlign w:val="bottom"/>
            <w:gridSpan w:val="3"/>
            <w:shd w:val="clear" w:color="auto" w:fill="F7F1EC"/>
          </w:tcPr>
          <w:p>
            <w:pPr>
              <w:jc w:val="right"/>
              <w:ind w:right="60"/>
              <w:spacing w:after="0" w:line="213" w:lineRule="exact"/>
              <w:rPr>
                <w:sz w:val="20"/>
                <w:szCs w:val="20"/>
                <w:color w:val="auto"/>
              </w:rPr>
            </w:pPr>
            <w:r>
              <w:rPr>
                <w:rFonts w:ascii="Arial" w:cs="Arial" w:eastAsia="Arial" w:hAnsi="Arial"/>
                <w:sz w:val="14"/>
                <w:szCs w:val="14"/>
                <w:color w:val="auto"/>
              </w:rPr>
              <w:t>954,358</w:t>
            </w:r>
            <w:r>
              <w:rPr>
                <w:rFonts w:ascii="Arial" w:cs="Arial" w:eastAsia="Arial" w:hAnsi="Arial"/>
                <w:sz w:val="20"/>
                <w:szCs w:val="20"/>
                <w:color w:val="auto"/>
                <w:vertAlign w:val="superscript"/>
              </w:rPr>
              <w:t>(11)</w:t>
            </w:r>
          </w:p>
        </w:tc>
        <w:tc>
          <w:tcPr>
            <w:tcW w:w="0" w:type="dxa"/>
            <w:vAlign w:val="bottom"/>
          </w:tcPr>
          <w:p>
            <w:pPr>
              <w:spacing w:after="0"/>
              <w:rPr>
                <w:sz w:val="1"/>
                <w:szCs w:val="1"/>
                <w:color w:val="auto"/>
              </w:rPr>
            </w:pPr>
          </w:p>
        </w:tc>
      </w:tr>
      <w:tr>
        <w:trPr>
          <w:trHeight w:val="217"/>
        </w:trPr>
        <w:tc>
          <w:tcPr>
            <w:tcW w:w="1180" w:type="dxa"/>
            <w:vAlign w:val="bottom"/>
            <w:shd w:val="clear" w:color="auto" w:fill="F7F1EC"/>
          </w:tcPr>
          <w:p>
            <w:pPr>
              <w:spacing w:after="0"/>
              <w:rPr>
                <w:sz w:val="18"/>
                <w:szCs w:val="18"/>
                <w:color w:val="auto"/>
              </w:rPr>
            </w:pPr>
          </w:p>
        </w:tc>
        <w:tc>
          <w:tcPr>
            <w:tcW w:w="160" w:type="dxa"/>
            <w:vAlign w:val="bottom"/>
            <w:shd w:val="clear" w:color="auto" w:fill="F7F1EC"/>
          </w:tcPr>
          <w:p>
            <w:pPr>
              <w:spacing w:after="0"/>
              <w:rPr>
                <w:sz w:val="18"/>
                <w:szCs w:val="18"/>
                <w:color w:val="auto"/>
              </w:rPr>
            </w:pPr>
          </w:p>
        </w:tc>
        <w:tc>
          <w:tcPr>
            <w:tcW w:w="3300" w:type="dxa"/>
            <w:vAlign w:val="bottom"/>
            <w:shd w:val="clear" w:color="auto" w:fill="F7F1EC"/>
          </w:tcPr>
          <w:p>
            <w:pPr>
              <w:spacing w:after="0"/>
              <w:rPr>
                <w:sz w:val="20"/>
                <w:szCs w:val="20"/>
                <w:color w:val="auto"/>
              </w:rPr>
            </w:pPr>
            <w:r>
              <w:rPr>
                <w:rFonts w:ascii="Arial" w:cs="Arial" w:eastAsia="Arial" w:hAnsi="Arial"/>
                <w:sz w:val="14"/>
                <w:szCs w:val="14"/>
                <w:color w:val="auto"/>
              </w:rPr>
              <w:t>Group Benefit Continuation</w:t>
            </w:r>
          </w:p>
        </w:tc>
        <w:tc>
          <w:tcPr>
            <w:tcW w:w="220" w:type="dxa"/>
            <w:vAlign w:val="bottom"/>
            <w:shd w:val="clear" w:color="auto" w:fill="F7F1EC"/>
          </w:tcPr>
          <w:p>
            <w:pPr>
              <w:spacing w:after="0"/>
              <w:rPr>
                <w:sz w:val="18"/>
                <w:szCs w:val="18"/>
                <w:color w:val="auto"/>
              </w:rPr>
            </w:pPr>
          </w:p>
        </w:tc>
        <w:tc>
          <w:tcPr>
            <w:tcW w:w="1080" w:type="dxa"/>
            <w:vAlign w:val="bottom"/>
            <w:gridSpan w:val="2"/>
            <w:shd w:val="clear" w:color="auto" w:fill="F7F1EC"/>
          </w:tcPr>
          <w:p>
            <w:pPr>
              <w:jc w:val="right"/>
              <w:ind w:right="240"/>
              <w:spacing w:after="0" w:line="217" w:lineRule="exact"/>
              <w:rPr>
                <w:sz w:val="20"/>
                <w:szCs w:val="20"/>
                <w:color w:val="auto"/>
              </w:rPr>
            </w:pPr>
            <w:r>
              <w:rPr>
                <w:rFonts w:ascii="Arial" w:cs="Arial" w:eastAsia="Arial" w:hAnsi="Arial"/>
                <w:sz w:val="14"/>
                <w:szCs w:val="14"/>
                <w:color w:val="auto"/>
              </w:rPr>
              <w:t>18,903</w:t>
            </w:r>
            <w:r>
              <w:rPr>
                <w:rFonts w:ascii="Arial" w:cs="Arial" w:eastAsia="Arial" w:hAnsi="Arial"/>
                <w:sz w:val="20"/>
                <w:szCs w:val="20"/>
                <w:color w:val="auto"/>
                <w:vertAlign w:val="superscript"/>
              </w:rPr>
              <w:t>(12)</w:t>
            </w:r>
          </w:p>
        </w:tc>
        <w:tc>
          <w:tcPr>
            <w:tcW w:w="940" w:type="dxa"/>
            <w:vAlign w:val="bottom"/>
            <w:gridSpan w:val="2"/>
            <w:shd w:val="clear" w:color="auto" w:fill="F7F1EC"/>
          </w:tcPr>
          <w:p>
            <w:pPr>
              <w:jc w:val="right"/>
              <w:ind w:right="300"/>
              <w:spacing w:after="0"/>
              <w:rPr>
                <w:sz w:val="20"/>
                <w:szCs w:val="20"/>
                <w:color w:val="auto"/>
              </w:rPr>
            </w:pPr>
            <w:r>
              <w:rPr>
                <w:rFonts w:ascii="Arial" w:cs="Arial" w:eastAsia="Arial" w:hAnsi="Arial"/>
                <w:sz w:val="14"/>
                <w:szCs w:val="14"/>
                <w:color w:val="auto"/>
              </w:rPr>
              <w:t>—</w:t>
            </w:r>
          </w:p>
        </w:tc>
        <w:tc>
          <w:tcPr>
            <w:tcW w:w="1080" w:type="dxa"/>
            <w:vAlign w:val="bottom"/>
            <w:gridSpan w:val="3"/>
            <w:shd w:val="clear" w:color="auto" w:fill="F7F1EC"/>
          </w:tcPr>
          <w:p>
            <w:pPr>
              <w:jc w:val="right"/>
              <w:ind w:right="40"/>
              <w:spacing w:after="0" w:line="217" w:lineRule="exact"/>
              <w:rPr>
                <w:sz w:val="20"/>
                <w:szCs w:val="20"/>
                <w:color w:val="auto"/>
              </w:rPr>
            </w:pPr>
            <w:r>
              <w:rPr>
                <w:rFonts w:ascii="Arial" w:cs="Arial" w:eastAsia="Arial" w:hAnsi="Arial"/>
                <w:sz w:val="14"/>
                <w:szCs w:val="14"/>
                <w:color w:val="auto"/>
              </w:rPr>
              <w:t>28,355</w:t>
            </w:r>
            <w:r>
              <w:rPr>
                <w:rFonts w:ascii="Arial" w:cs="Arial" w:eastAsia="Arial" w:hAnsi="Arial"/>
                <w:sz w:val="20"/>
                <w:szCs w:val="20"/>
                <w:color w:val="auto"/>
                <w:vertAlign w:val="superscript"/>
              </w:rPr>
              <w:t>(13)</w:t>
            </w:r>
          </w:p>
        </w:tc>
        <w:tc>
          <w:tcPr>
            <w:tcW w:w="0" w:type="dxa"/>
            <w:vAlign w:val="bottom"/>
          </w:tcPr>
          <w:p>
            <w:pPr>
              <w:spacing w:after="0"/>
              <w:rPr>
                <w:sz w:val="1"/>
                <w:szCs w:val="1"/>
                <w:color w:val="auto"/>
              </w:rPr>
            </w:pPr>
          </w:p>
        </w:tc>
      </w:tr>
      <w:tr>
        <w:trPr>
          <w:trHeight w:val="177"/>
        </w:trPr>
        <w:tc>
          <w:tcPr>
            <w:tcW w:w="1180" w:type="dxa"/>
            <w:vAlign w:val="bottom"/>
            <w:tcBorders>
              <w:top w:val="single" w:sz="8" w:color="F7F1EC"/>
            </w:tcBorders>
            <w:shd w:val="clear" w:color="auto" w:fill="F7F1EC"/>
          </w:tcPr>
          <w:p>
            <w:pPr>
              <w:spacing w:after="0"/>
              <w:rPr>
                <w:sz w:val="15"/>
                <w:szCs w:val="15"/>
                <w:color w:val="auto"/>
              </w:rPr>
            </w:pPr>
          </w:p>
        </w:tc>
        <w:tc>
          <w:tcPr>
            <w:tcW w:w="160" w:type="dxa"/>
            <w:vAlign w:val="bottom"/>
            <w:tcBorders>
              <w:top w:val="single" w:sz="8" w:color="F7F1EC"/>
            </w:tcBorders>
            <w:shd w:val="clear" w:color="auto" w:fill="F7F1EC"/>
          </w:tcPr>
          <w:p>
            <w:pPr>
              <w:spacing w:after="0"/>
              <w:rPr>
                <w:sz w:val="15"/>
                <w:szCs w:val="15"/>
                <w:color w:val="auto"/>
              </w:rPr>
            </w:pPr>
          </w:p>
        </w:tc>
        <w:tc>
          <w:tcPr>
            <w:tcW w:w="3300" w:type="dxa"/>
            <w:vAlign w:val="bottom"/>
            <w:tcBorders>
              <w:top w:val="single" w:sz="8" w:color="F7F1EC"/>
            </w:tcBorders>
            <w:shd w:val="clear" w:color="auto" w:fill="F7F1EC"/>
          </w:tcPr>
          <w:p>
            <w:pPr>
              <w:spacing w:after="0"/>
              <w:rPr>
                <w:sz w:val="20"/>
                <w:szCs w:val="20"/>
                <w:color w:val="auto"/>
              </w:rPr>
            </w:pPr>
            <w:r>
              <w:rPr>
                <w:rFonts w:ascii="Arial" w:cs="Arial" w:eastAsia="Arial" w:hAnsi="Arial"/>
                <w:sz w:val="14"/>
                <w:szCs w:val="14"/>
                <w:color w:val="auto"/>
              </w:rPr>
              <w:t>Total</w:t>
            </w:r>
          </w:p>
        </w:tc>
        <w:tc>
          <w:tcPr>
            <w:tcW w:w="220" w:type="dxa"/>
            <w:vAlign w:val="bottom"/>
            <w:tcBorders>
              <w:top w:val="single" w:sz="8" w:color="F7F1EC"/>
            </w:tcBorders>
            <w:shd w:val="clear" w:color="auto" w:fill="F7F1EC"/>
          </w:tcPr>
          <w:p>
            <w:pPr>
              <w:spacing w:after="0"/>
              <w:rPr>
                <w:sz w:val="15"/>
                <w:szCs w:val="15"/>
                <w:color w:val="auto"/>
              </w:rPr>
            </w:pPr>
          </w:p>
        </w:tc>
        <w:tc>
          <w:tcPr>
            <w:tcW w:w="660" w:type="dxa"/>
            <w:vAlign w:val="bottom"/>
            <w:tcBorders>
              <w:top w:val="single" w:sz="8" w:color="002B5F"/>
            </w:tcBorders>
            <w:shd w:val="clear" w:color="auto" w:fill="F7F1EC"/>
          </w:tcPr>
          <w:p>
            <w:pPr>
              <w:jc w:val="right"/>
              <w:spacing w:after="0"/>
              <w:rPr>
                <w:sz w:val="20"/>
                <w:szCs w:val="20"/>
                <w:color w:val="auto"/>
              </w:rPr>
            </w:pPr>
            <w:r>
              <w:rPr>
                <w:rFonts w:ascii="Arial" w:cs="Arial" w:eastAsia="Arial" w:hAnsi="Arial"/>
                <w:sz w:val="14"/>
                <w:szCs w:val="14"/>
                <w:color w:val="auto"/>
                <w:shd w:val="clear" w:color="auto" w:fill="F7F1EC"/>
              </w:rPr>
              <w:t>2,717,574</w:t>
            </w:r>
          </w:p>
        </w:tc>
        <w:tc>
          <w:tcPr>
            <w:tcW w:w="420" w:type="dxa"/>
            <w:vAlign w:val="bottom"/>
            <w:tcBorders>
              <w:top w:val="single" w:sz="8" w:color="F7F1EC"/>
            </w:tcBorders>
            <w:shd w:val="clear" w:color="auto" w:fill="F7F1EC"/>
          </w:tcPr>
          <w:p>
            <w:pPr>
              <w:spacing w:after="0"/>
              <w:rPr>
                <w:sz w:val="15"/>
                <w:szCs w:val="15"/>
                <w:color w:val="auto"/>
              </w:rPr>
            </w:pPr>
          </w:p>
        </w:tc>
        <w:tc>
          <w:tcPr>
            <w:tcW w:w="660" w:type="dxa"/>
            <w:vAlign w:val="bottom"/>
            <w:tcBorders>
              <w:top w:val="single" w:sz="8" w:color="002B5F"/>
            </w:tcBorders>
            <w:shd w:val="clear" w:color="auto" w:fill="F7F1EC"/>
          </w:tcPr>
          <w:p>
            <w:pPr>
              <w:jc w:val="right"/>
              <w:spacing w:after="0"/>
              <w:rPr>
                <w:sz w:val="20"/>
                <w:szCs w:val="20"/>
                <w:color w:val="auto"/>
              </w:rPr>
            </w:pPr>
            <w:r>
              <w:rPr>
                <w:rFonts w:ascii="Arial" w:cs="Arial" w:eastAsia="Arial" w:hAnsi="Arial"/>
                <w:sz w:val="14"/>
                <w:szCs w:val="14"/>
                <w:color w:val="auto"/>
                <w:w w:val="99"/>
              </w:rPr>
              <w:t>1,712,987</w:t>
            </w:r>
          </w:p>
        </w:tc>
        <w:tc>
          <w:tcPr>
            <w:tcW w:w="280" w:type="dxa"/>
            <w:vAlign w:val="bottom"/>
            <w:tcBorders>
              <w:top w:val="single" w:sz="8" w:color="F7F1EC"/>
            </w:tcBorders>
            <w:shd w:val="clear" w:color="auto" w:fill="F7F1EC"/>
          </w:tcPr>
          <w:p>
            <w:pPr>
              <w:spacing w:after="0"/>
              <w:rPr>
                <w:sz w:val="15"/>
                <w:szCs w:val="15"/>
                <w:color w:val="auto"/>
              </w:rPr>
            </w:pPr>
          </w:p>
        </w:tc>
        <w:tc>
          <w:tcPr>
            <w:tcW w:w="140" w:type="dxa"/>
            <w:vAlign w:val="bottom"/>
            <w:tcBorders>
              <w:top w:val="single" w:sz="8" w:color="F7F1EC"/>
            </w:tcBorders>
            <w:shd w:val="clear" w:color="auto" w:fill="F7F1EC"/>
          </w:tcPr>
          <w:p>
            <w:pPr>
              <w:spacing w:after="0"/>
              <w:rPr>
                <w:sz w:val="15"/>
                <w:szCs w:val="15"/>
                <w:color w:val="auto"/>
              </w:rPr>
            </w:pPr>
          </w:p>
        </w:tc>
        <w:tc>
          <w:tcPr>
            <w:tcW w:w="720" w:type="dxa"/>
            <w:vAlign w:val="bottom"/>
            <w:tcBorders>
              <w:top w:val="single" w:sz="8" w:color="002B5F"/>
            </w:tcBorders>
            <w:shd w:val="clear" w:color="auto" w:fill="F7F1EC"/>
          </w:tcPr>
          <w:p>
            <w:pPr>
              <w:jc w:val="right"/>
              <w:spacing w:after="0"/>
              <w:rPr>
                <w:sz w:val="20"/>
                <w:szCs w:val="20"/>
                <w:color w:val="auto"/>
              </w:rPr>
            </w:pPr>
            <w:r>
              <w:rPr>
                <w:rFonts w:ascii="Arial" w:cs="Arial" w:eastAsia="Arial" w:hAnsi="Arial"/>
                <w:sz w:val="14"/>
                <w:szCs w:val="14"/>
                <w:color w:val="auto"/>
              </w:rPr>
              <w:t>3,616,342</w:t>
            </w:r>
          </w:p>
        </w:tc>
        <w:tc>
          <w:tcPr>
            <w:tcW w:w="220" w:type="dxa"/>
            <w:vAlign w:val="bottom"/>
            <w:tcBorders>
              <w:top w:val="single" w:sz="8" w:color="F7F1EC"/>
            </w:tcBorders>
            <w:shd w:val="clear" w:color="auto" w:fill="F7F1EC"/>
          </w:tcPr>
          <w:p>
            <w:pPr>
              <w:spacing w:after="0"/>
              <w:rPr>
                <w:sz w:val="15"/>
                <w:szCs w:val="15"/>
                <w:color w:val="auto"/>
              </w:rPr>
            </w:pPr>
          </w:p>
        </w:tc>
        <w:tc>
          <w:tcPr>
            <w:tcW w:w="0" w:type="dxa"/>
            <w:vAlign w:val="bottom"/>
          </w:tcPr>
          <w:p>
            <w:pPr>
              <w:spacing w:after="0"/>
              <w:rPr>
                <w:sz w:val="1"/>
                <w:szCs w:val="1"/>
                <w:color w:val="auto"/>
              </w:rPr>
            </w:pPr>
          </w:p>
        </w:tc>
      </w:tr>
      <w:tr>
        <w:trPr>
          <w:trHeight w:val="33"/>
        </w:trPr>
        <w:tc>
          <w:tcPr>
            <w:tcW w:w="1180" w:type="dxa"/>
            <w:vAlign w:val="bottom"/>
            <w:shd w:val="clear" w:color="auto" w:fill="F7F1EC"/>
          </w:tcPr>
          <w:p>
            <w:pPr>
              <w:spacing w:after="0"/>
              <w:rPr>
                <w:sz w:val="2"/>
                <w:szCs w:val="2"/>
                <w:color w:val="auto"/>
              </w:rPr>
            </w:pPr>
          </w:p>
        </w:tc>
        <w:tc>
          <w:tcPr>
            <w:tcW w:w="160" w:type="dxa"/>
            <w:vAlign w:val="bottom"/>
            <w:shd w:val="clear" w:color="auto" w:fill="F7F1EC"/>
          </w:tcPr>
          <w:p>
            <w:pPr>
              <w:spacing w:after="0"/>
              <w:rPr>
                <w:sz w:val="2"/>
                <w:szCs w:val="2"/>
                <w:color w:val="auto"/>
              </w:rPr>
            </w:pPr>
          </w:p>
        </w:tc>
        <w:tc>
          <w:tcPr>
            <w:tcW w:w="3300" w:type="dxa"/>
            <w:vAlign w:val="bottom"/>
            <w:shd w:val="clear" w:color="auto" w:fill="F7F1EC"/>
          </w:tcPr>
          <w:p>
            <w:pPr>
              <w:spacing w:after="0"/>
              <w:rPr>
                <w:sz w:val="2"/>
                <w:szCs w:val="2"/>
                <w:color w:val="auto"/>
              </w:rPr>
            </w:pPr>
          </w:p>
        </w:tc>
        <w:tc>
          <w:tcPr>
            <w:tcW w:w="220" w:type="dxa"/>
            <w:vAlign w:val="bottom"/>
            <w:shd w:val="clear" w:color="auto" w:fill="F7F1EC"/>
          </w:tcPr>
          <w:p>
            <w:pPr>
              <w:spacing w:after="0"/>
              <w:rPr>
                <w:sz w:val="2"/>
                <w:szCs w:val="2"/>
                <w:color w:val="auto"/>
              </w:rPr>
            </w:pPr>
          </w:p>
        </w:tc>
        <w:tc>
          <w:tcPr>
            <w:tcW w:w="660" w:type="dxa"/>
            <w:vAlign w:val="bottom"/>
            <w:shd w:val="clear" w:color="auto" w:fill="F7F1EC"/>
          </w:tcPr>
          <w:p>
            <w:pPr>
              <w:spacing w:after="0"/>
              <w:rPr>
                <w:sz w:val="2"/>
                <w:szCs w:val="2"/>
                <w:color w:val="auto"/>
              </w:rPr>
            </w:pPr>
          </w:p>
        </w:tc>
        <w:tc>
          <w:tcPr>
            <w:tcW w:w="420" w:type="dxa"/>
            <w:vAlign w:val="bottom"/>
            <w:shd w:val="clear" w:color="auto" w:fill="F7F1EC"/>
          </w:tcPr>
          <w:p>
            <w:pPr>
              <w:spacing w:after="0"/>
              <w:rPr>
                <w:sz w:val="2"/>
                <w:szCs w:val="2"/>
                <w:color w:val="auto"/>
              </w:rPr>
            </w:pPr>
          </w:p>
        </w:tc>
        <w:tc>
          <w:tcPr>
            <w:tcW w:w="660" w:type="dxa"/>
            <w:vAlign w:val="bottom"/>
            <w:shd w:val="clear" w:color="auto" w:fill="F7F1EC"/>
          </w:tcPr>
          <w:p>
            <w:pPr>
              <w:spacing w:after="0"/>
              <w:rPr>
                <w:sz w:val="2"/>
                <w:szCs w:val="2"/>
                <w:color w:val="auto"/>
              </w:rPr>
            </w:pPr>
          </w:p>
        </w:tc>
        <w:tc>
          <w:tcPr>
            <w:tcW w:w="280" w:type="dxa"/>
            <w:vAlign w:val="bottom"/>
            <w:shd w:val="clear" w:color="auto" w:fill="F7F1EC"/>
          </w:tcPr>
          <w:p>
            <w:pPr>
              <w:spacing w:after="0"/>
              <w:rPr>
                <w:sz w:val="2"/>
                <w:szCs w:val="2"/>
                <w:color w:val="auto"/>
              </w:rPr>
            </w:pPr>
          </w:p>
        </w:tc>
        <w:tc>
          <w:tcPr>
            <w:tcW w:w="140" w:type="dxa"/>
            <w:vAlign w:val="bottom"/>
            <w:shd w:val="clear" w:color="auto" w:fill="F7F1EC"/>
          </w:tcPr>
          <w:p>
            <w:pPr>
              <w:spacing w:after="0"/>
              <w:rPr>
                <w:sz w:val="2"/>
                <w:szCs w:val="2"/>
                <w:color w:val="auto"/>
              </w:rPr>
            </w:pPr>
          </w:p>
        </w:tc>
        <w:tc>
          <w:tcPr>
            <w:tcW w:w="720" w:type="dxa"/>
            <w:vAlign w:val="bottom"/>
            <w:shd w:val="clear" w:color="auto" w:fill="F7F1EC"/>
          </w:tcPr>
          <w:p>
            <w:pPr>
              <w:spacing w:after="0"/>
              <w:rPr>
                <w:sz w:val="2"/>
                <w:szCs w:val="2"/>
                <w:color w:val="auto"/>
              </w:rPr>
            </w:pPr>
          </w:p>
        </w:tc>
        <w:tc>
          <w:tcPr>
            <w:tcW w:w="220" w:type="dxa"/>
            <w:vAlign w:val="bottom"/>
            <w:shd w:val="clear" w:color="auto" w:fill="F7F1EC"/>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7" w:lineRule="exact"/>
        <w:rPr>
          <w:sz w:val="20"/>
          <w:szCs w:val="20"/>
          <w:color w:val="auto"/>
        </w:rPr>
      </w:pPr>
    </w:p>
    <w:p>
      <w:pPr>
        <w:ind w:left="240" w:right="140" w:hanging="233"/>
        <w:spacing w:after="0" w:line="235" w:lineRule="auto"/>
        <w:tabs>
          <w:tab w:leader="none" w:pos="240" w:val="left"/>
        </w:tabs>
        <w:numPr>
          <w:ilvl w:val="0"/>
          <w:numId w:val="103"/>
        </w:numPr>
        <w:rPr>
          <w:rFonts w:ascii="Arial" w:cs="Arial" w:eastAsia="Arial" w:hAnsi="Arial"/>
          <w:sz w:val="12"/>
          <w:szCs w:val="12"/>
          <w:color w:val="auto"/>
        </w:rPr>
      </w:pPr>
      <w:r>
        <w:rPr>
          <w:rFonts w:ascii="Arial" w:cs="Arial" w:eastAsia="Arial" w:hAnsi="Arial"/>
          <w:sz w:val="12"/>
          <w:szCs w:val="12"/>
          <w:color w:val="auto"/>
        </w:rPr>
        <w:t>Our Executive Severance Plan provides enhanced severance benefits on a “double trigger” basis in the event of a termination of employment by the Company without cause or a termination by the executive for good reason, in each case, within 12 months following a change-in-control. All amounts reported in this column assume both that a change-in-control occurred on December 31, 2025 and that the NEO’s employment was terminated by the Company without cause or by the executive for good reason on December 31, 2025.</w:t>
      </w:r>
    </w:p>
    <w:p>
      <w:pPr>
        <w:spacing w:after="0" w:line="1584" w:lineRule="exact"/>
        <w:rPr>
          <w:sz w:val="20"/>
          <w:szCs w:val="20"/>
          <w:color w:val="auto"/>
        </w:rPr>
      </w:pPr>
    </w:p>
    <w:p>
      <w:pPr>
        <w:sectPr>
          <w:pgSz w:w="11900" w:h="16838" w:orient="portrait"/>
          <w:cols w:equalWidth="0" w:num="2">
            <w:col w:w="2160" w:space="560"/>
            <w:col w:w="7980"/>
          </w:cols>
          <w:pgMar w:left="320" w:top="463" w:right="879" w:bottom="1440" w:gutter="0" w:footer="0" w:header="0"/>
        </w:sectPr>
      </w:pPr>
    </w:p>
    <w:p>
      <w:pPr>
        <w:spacing w:after="0" w:line="200" w:lineRule="exact"/>
        <w:rPr>
          <w:sz w:val="20"/>
          <w:szCs w:val="20"/>
          <w:color w:val="auto"/>
        </w:rPr>
      </w:pPr>
    </w:p>
    <w:p>
      <w:pPr>
        <w:spacing w:after="0" w:line="385" w:lineRule="exact"/>
        <w:rPr>
          <w:sz w:val="20"/>
          <w:szCs w:val="20"/>
          <w:color w:val="auto"/>
        </w:rPr>
      </w:pPr>
    </w:p>
    <w:p>
      <w:pPr>
        <w:ind w:left="420"/>
        <w:spacing w:after="0"/>
        <w:tabs>
          <w:tab w:leader="none" w:pos="2380" w:val="left"/>
          <w:tab w:leader="none" w:pos="2800" w:val="left"/>
        </w:tabs>
        <w:rPr>
          <w:sz w:val="20"/>
          <w:szCs w:val="20"/>
          <w:color w:val="auto"/>
        </w:rPr>
      </w:pPr>
      <w:r>
        <w:rPr>
          <w:rFonts w:ascii="Arial" w:cs="Arial" w:eastAsia="Arial" w:hAnsi="Arial"/>
          <w:sz w:val="30"/>
          <w:szCs w:val="30"/>
          <w:color w:val="000000"/>
          <w:vertAlign w:val="superscript"/>
        </w:rPr>
        <w:t xml:space="preserve">             </w:t>
      </w:r>
      <w:r>
        <w:rPr>
          <w:sz w:val="20"/>
          <w:szCs w:val="20"/>
          <w:color w:val="auto"/>
        </w:rPr>
        <w:tab/>
      </w:r>
      <w:r>
        <w:rPr>
          <w:rFonts w:ascii="Arial" w:cs="Arial" w:eastAsia="Arial" w:hAnsi="Arial"/>
          <w:sz w:val="31"/>
          <w:szCs w:val="31"/>
          <w:color w:val="auto"/>
          <w:vertAlign w:val="superscript"/>
        </w:rPr>
        <w:t xml:space="preserve">    </w:t>
      </w:r>
      <w:r>
        <w:rPr>
          <w:sz w:val="20"/>
          <w:szCs w:val="20"/>
          <w:color w:val="auto"/>
        </w:rPr>
        <w:tab/>
      </w:r>
      <w:r>
        <w:rPr>
          <w:rFonts w:ascii="Arial" w:cs="Arial" w:eastAsia="Arial" w:hAnsi="Arial"/>
          <w:sz w:val="15"/>
          <w:szCs w:val="15"/>
          <w:b w:val="1"/>
          <w:bCs w:val="1"/>
          <w:color w:val="002B5F"/>
        </w:rPr>
        <w:t xml:space="preserve">68  </w:t>
      </w:r>
      <w:r>
        <w:rPr>
          <w:rFonts w:ascii="Arial" w:cs="Arial" w:eastAsia="Arial" w:hAnsi="Arial"/>
          <w:sz w:val="20"/>
          <w:szCs w:val="20"/>
          <w:color w:val="002B5F"/>
        </w:rPr>
        <w:t>|</w:t>
      </w:r>
      <w:r>
        <w:rPr>
          <w:rFonts w:ascii="Arial" w:cs="Arial" w:eastAsia="Arial" w:hAnsi="Arial"/>
          <w:sz w:val="15"/>
          <w:szCs w:val="15"/>
          <w:b w:val="1"/>
          <w:bCs w:val="1"/>
          <w:color w:val="002B5F"/>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6111875</wp:posOffset>
            </wp:positionH>
            <wp:positionV relativeFrom="paragraph">
              <wp:posOffset>-208915</wp:posOffset>
            </wp:positionV>
            <wp:extent cx="769620" cy="971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69620" cy="97155"/>
                    </a:xfrm>
                    <a:prstGeom prst="rect">
                      <a:avLst/>
                    </a:prstGeom>
                    <a:noFill/>
                  </pic:spPr>
                </pic:pic>
              </a:graphicData>
            </a:graphic>
          </wp:anchor>
        </w:drawing>
      </w:r>
    </w:p>
    <w:p>
      <w:pPr>
        <w:sectPr>
          <w:pgSz w:w="11900" w:h="16838" w:orient="portrait"/>
          <w:cols w:equalWidth="0" w:num="1">
            <w:col w:w="10700"/>
          </w:cols>
          <w:pgMar w:left="320" w:top="463" w:right="879" w:bottom="1440" w:gutter="0" w:footer="0" w:header="0"/>
          <w:type w:val="continuous"/>
        </w:sectPr>
      </w:pPr>
    </w:p>
    <w:bookmarkStart w:id="80" w:name="page81"/>
    <w:bookmarkEnd w:id="8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5334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81215" cy="5334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5617845</wp:posOffset>
            </wp:positionH>
            <wp:positionV relativeFrom="paragraph">
              <wp:posOffset>253365</wp:posOffset>
            </wp:positionV>
            <wp:extent cx="1256030" cy="74720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1256030" cy="7472045"/>
                    </a:xfrm>
                    <a:prstGeom prst="rect">
                      <a:avLst/>
                    </a:prstGeom>
                    <a:noFill/>
                  </pic:spPr>
                </pic:pic>
              </a:graphicData>
            </a:graphic>
          </wp:anchor>
        </w:drawing>
      </w:r>
    </w:p>
    <w:p>
      <w:pPr>
        <w:spacing w:after="0" w:line="200" w:lineRule="exact"/>
        <w:rPr>
          <w:sz w:val="20"/>
          <w:szCs w:val="20"/>
          <w:color w:val="auto"/>
        </w:rPr>
      </w:pPr>
    </w:p>
    <w:p>
      <w:pPr>
        <w:spacing w:after="0" w:line="251" w:lineRule="exact"/>
        <w:rPr>
          <w:sz w:val="20"/>
          <w:szCs w:val="20"/>
          <w:color w:val="auto"/>
        </w:rPr>
      </w:pPr>
    </w:p>
    <w:tbl>
      <w:tblPr>
        <w:tblLayout w:type="fixed"/>
        <w:tblInd w:w="540" w:type="dxa"/>
        <w:tblCellMar>
          <w:top w:w="0" w:type="dxa"/>
          <w:left w:w="0" w:type="dxa"/>
          <w:bottom w:w="0" w:type="dxa"/>
          <w:right w:w="0" w:type="dxa"/>
        </w:tblCellMar>
      </w:tblPr>
      <w:tr>
        <w:trPr>
          <w:trHeight w:val="158"/>
        </w:trPr>
        <w:tc>
          <w:tcPr>
            <w:tcW w:w="200" w:type="dxa"/>
            <w:vAlign w:val="bottom"/>
          </w:tcPr>
          <w:p>
            <w:pPr>
              <w:jc w:val="right"/>
              <w:spacing w:after="0"/>
              <w:rPr>
                <w:sz w:val="20"/>
                <w:szCs w:val="20"/>
                <w:color w:val="auto"/>
              </w:rPr>
            </w:pPr>
            <w:r>
              <w:rPr>
                <w:rFonts w:ascii="Arial" w:cs="Arial" w:eastAsia="Arial" w:hAnsi="Arial"/>
                <w:sz w:val="12"/>
                <w:szCs w:val="12"/>
                <w:color w:val="auto"/>
                <w:w w:val="81"/>
              </w:rPr>
              <w:t>(2)</w:t>
            </w:r>
          </w:p>
        </w:tc>
        <w:tc>
          <w:tcPr>
            <w:tcW w:w="7820" w:type="dxa"/>
            <w:vAlign w:val="bottom"/>
          </w:tcPr>
          <w:p>
            <w:pPr>
              <w:ind w:left="40"/>
              <w:spacing w:after="0"/>
              <w:rPr>
                <w:sz w:val="20"/>
                <w:szCs w:val="20"/>
                <w:color w:val="auto"/>
              </w:rPr>
            </w:pPr>
            <w:r>
              <w:rPr>
                <w:rFonts w:ascii="Arial" w:cs="Arial" w:eastAsia="Arial" w:hAnsi="Arial"/>
                <w:sz w:val="12"/>
                <w:szCs w:val="12"/>
                <w:color w:val="auto"/>
              </w:rPr>
              <w:t>Represents continued payment under our Executive Severance Plan of the NEO’s base salary in effect on the separation date for 12 months.</w:t>
            </w:r>
          </w:p>
        </w:tc>
        <w:tc>
          <w:tcPr>
            <w:tcW w:w="5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200" w:type="dxa"/>
            <w:vAlign w:val="bottom"/>
          </w:tcPr>
          <w:p>
            <w:pPr>
              <w:jc w:val="right"/>
              <w:spacing w:after="0"/>
              <w:rPr>
                <w:sz w:val="20"/>
                <w:szCs w:val="20"/>
                <w:color w:val="auto"/>
              </w:rPr>
            </w:pPr>
            <w:r>
              <w:rPr>
                <w:rFonts w:ascii="Arial" w:cs="Arial" w:eastAsia="Arial" w:hAnsi="Arial"/>
                <w:sz w:val="12"/>
                <w:szCs w:val="12"/>
                <w:color w:val="auto"/>
                <w:w w:val="81"/>
              </w:rPr>
              <w:t>(3)</w:t>
            </w:r>
          </w:p>
        </w:tc>
        <w:tc>
          <w:tcPr>
            <w:tcW w:w="7820" w:type="dxa"/>
            <w:vAlign w:val="bottom"/>
          </w:tcPr>
          <w:p>
            <w:pPr>
              <w:ind w:left="40"/>
              <w:spacing w:after="0"/>
              <w:rPr>
                <w:sz w:val="20"/>
                <w:szCs w:val="20"/>
                <w:color w:val="auto"/>
              </w:rPr>
            </w:pPr>
            <w:r>
              <w:rPr>
                <w:rFonts w:ascii="Arial" w:cs="Arial" w:eastAsia="Arial" w:hAnsi="Arial"/>
                <w:sz w:val="12"/>
                <w:szCs w:val="12"/>
                <w:color w:val="auto"/>
              </w:rPr>
              <w:t>Represents continued payment under our Executive Severance Plan of the NEO’s base salary in effect on the separation date for 18 months.</w:t>
            </w:r>
          </w:p>
        </w:tc>
        <w:tc>
          <w:tcPr>
            <w:tcW w:w="520" w:type="dxa"/>
            <w:vAlign w:val="bottom"/>
            <w:vMerge w:val="restart"/>
          </w:tcPr>
          <w:p>
            <w:pPr>
              <w:ind w:left="320"/>
              <w:spacing w:after="0"/>
              <w:rPr>
                <w:sz w:val="20"/>
                <w:szCs w:val="20"/>
                <w:color w:val="auto"/>
              </w:rPr>
            </w:pPr>
            <w:r>
              <w:rPr>
                <w:rFonts w:ascii="Arial" w:cs="Arial" w:eastAsia="Arial" w:hAnsi="Arial"/>
                <w:sz w:val="15"/>
                <w:szCs w:val="15"/>
                <w:color w:val="auto"/>
              </w:rPr>
              <w:t> </w:t>
            </w:r>
          </w:p>
        </w:tc>
        <w:tc>
          <w:tcPr>
            <w:tcW w:w="1060" w:type="dxa"/>
            <w:vAlign w:val="bottom"/>
            <w:vMerge w:val="restart"/>
          </w:tcPr>
          <w:p>
            <w:pPr>
              <w:ind w:left="140"/>
              <w:spacing w:after="0"/>
              <w:rPr>
                <w:sz w:val="20"/>
                <w:szCs w:val="20"/>
                <w:color w:val="auto"/>
              </w:rPr>
            </w:pPr>
            <w:r>
              <w:rPr>
                <w:rFonts w:ascii="Arial" w:cs="Arial" w:eastAsia="Arial" w:hAnsi="Arial"/>
                <w:sz w:val="12"/>
                <w:szCs w:val="12"/>
                <w:color w:val="FFFFFF"/>
              </w:rPr>
              <w:t>General</w:t>
            </w:r>
          </w:p>
        </w:tc>
        <w:tc>
          <w:tcPr>
            <w:tcW w:w="660" w:type="dxa"/>
            <w:vAlign w:val="bottom"/>
            <w:vMerge w:val="restart"/>
          </w:tcPr>
          <w:p>
            <w:pPr>
              <w:ind w:left="300"/>
              <w:spacing w:after="0"/>
              <w:rPr>
                <w:sz w:val="20"/>
                <w:szCs w:val="20"/>
                <w:color w:val="auto"/>
              </w:rPr>
            </w:pPr>
            <w:r>
              <w:rPr>
                <w:rFonts w:ascii="Arial" w:cs="Arial" w:eastAsia="Arial" w:hAnsi="Arial"/>
                <w:sz w:val="15"/>
                <w:szCs w:val="15"/>
                <w:color w:val="auto"/>
              </w:rPr>
              <w:t xml:space="preserve">       </w:t>
            </w:r>
          </w:p>
        </w:tc>
        <w:tc>
          <w:tcPr>
            <w:tcW w:w="0" w:type="dxa"/>
            <w:vAlign w:val="bottom"/>
          </w:tcPr>
          <w:p>
            <w:pPr>
              <w:spacing w:after="0"/>
              <w:rPr>
                <w:sz w:val="1"/>
                <w:szCs w:val="1"/>
                <w:color w:val="auto"/>
              </w:rPr>
            </w:pPr>
          </w:p>
        </w:tc>
      </w:tr>
      <w:tr>
        <w:trPr>
          <w:trHeight w:val="64"/>
        </w:trPr>
        <w:tc>
          <w:tcPr>
            <w:tcW w:w="200" w:type="dxa"/>
            <w:vAlign w:val="bottom"/>
            <w:vMerge w:val="restart"/>
          </w:tcPr>
          <w:p>
            <w:pPr>
              <w:jc w:val="right"/>
              <w:spacing w:after="0"/>
              <w:rPr>
                <w:sz w:val="20"/>
                <w:szCs w:val="20"/>
                <w:color w:val="auto"/>
              </w:rPr>
            </w:pPr>
            <w:r>
              <w:rPr>
                <w:rFonts w:ascii="Arial" w:cs="Arial" w:eastAsia="Arial" w:hAnsi="Arial"/>
                <w:sz w:val="12"/>
                <w:szCs w:val="12"/>
                <w:color w:val="auto"/>
                <w:w w:val="81"/>
              </w:rPr>
              <w:t>(4)</w:t>
            </w:r>
          </w:p>
        </w:tc>
        <w:tc>
          <w:tcPr>
            <w:tcW w:w="7820" w:type="dxa"/>
            <w:vAlign w:val="bottom"/>
            <w:vMerge w:val="restart"/>
          </w:tcPr>
          <w:p>
            <w:pPr>
              <w:ind w:left="40"/>
              <w:spacing w:after="0"/>
              <w:rPr>
                <w:sz w:val="20"/>
                <w:szCs w:val="20"/>
                <w:color w:val="auto"/>
              </w:rPr>
            </w:pPr>
            <w:r>
              <w:rPr>
                <w:rFonts w:ascii="Arial" w:cs="Arial" w:eastAsia="Arial" w:hAnsi="Arial"/>
                <w:sz w:val="12"/>
                <w:szCs w:val="12"/>
                <w:color w:val="auto"/>
              </w:rPr>
              <w:t>Represents payment under our Executive Severance Plan of an amount equal to the bonus paid (or payable) to the NEO for the most recently</w:t>
            </w:r>
          </w:p>
        </w:tc>
        <w:tc>
          <w:tcPr>
            <w:tcW w:w="520" w:type="dxa"/>
            <w:vAlign w:val="bottom"/>
            <w:vMerge w:val="continue"/>
          </w:tcPr>
          <w:p>
            <w:pPr>
              <w:spacing w:after="0"/>
              <w:rPr>
                <w:sz w:val="5"/>
                <w:szCs w:val="5"/>
                <w:color w:val="auto"/>
              </w:rPr>
            </w:pPr>
          </w:p>
        </w:tc>
        <w:tc>
          <w:tcPr>
            <w:tcW w:w="106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9"/>
        </w:trPr>
        <w:tc>
          <w:tcPr>
            <w:tcW w:w="200" w:type="dxa"/>
            <w:vAlign w:val="bottom"/>
            <w:vMerge w:val="continue"/>
          </w:tcPr>
          <w:p>
            <w:pPr>
              <w:spacing w:after="0"/>
              <w:rPr>
                <w:sz w:val="9"/>
                <w:szCs w:val="9"/>
                <w:color w:val="auto"/>
              </w:rPr>
            </w:pPr>
          </w:p>
        </w:tc>
        <w:tc>
          <w:tcPr>
            <w:tcW w:w="7820" w:type="dxa"/>
            <w:vAlign w:val="bottom"/>
            <w:vMerge w:val="continue"/>
          </w:tcPr>
          <w:p>
            <w:pPr>
              <w:spacing w:after="0"/>
              <w:rPr>
                <w:sz w:val="9"/>
                <w:szCs w:val="9"/>
                <w:color w:val="auto"/>
              </w:rPr>
            </w:pPr>
          </w:p>
        </w:tc>
        <w:tc>
          <w:tcPr>
            <w:tcW w:w="520" w:type="dxa"/>
            <w:vAlign w:val="bottom"/>
          </w:tcPr>
          <w:p>
            <w:pPr>
              <w:spacing w:after="0"/>
              <w:rPr>
                <w:sz w:val="9"/>
                <w:szCs w:val="9"/>
                <w:color w:val="auto"/>
              </w:rPr>
            </w:pPr>
          </w:p>
        </w:tc>
        <w:tc>
          <w:tcPr>
            <w:tcW w:w="1060" w:type="dxa"/>
            <w:vAlign w:val="bottom"/>
          </w:tcPr>
          <w:p>
            <w:pPr>
              <w:ind w:left="140"/>
              <w:spacing w:after="0" w:line="109" w:lineRule="exact"/>
              <w:rPr>
                <w:sz w:val="20"/>
                <w:szCs w:val="20"/>
                <w:color w:val="auto"/>
              </w:rPr>
            </w:pPr>
            <w:r>
              <w:rPr>
                <w:rFonts w:ascii="Arial" w:cs="Arial" w:eastAsia="Arial" w:hAnsi="Arial"/>
                <w:sz w:val="12"/>
                <w:szCs w:val="12"/>
                <w:color w:val="FFFFFF"/>
              </w:rPr>
              <w:t>Information</w:t>
            </w: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780"/>
        <w:spacing w:after="0"/>
        <w:rPr>
          <w:sz w:val="20"/>
          <w:szCs w:val="20"/>
          <w:color w:val="auto"/>
        </w:rPr>
      </w:pPr>
      <w:r>
        <w:rPr>
          <w:rFonts w:ascii="Arial" w:cs="Arial" w:eastAsia="Arial" w:hAnsi="Arial"/>
          <w:sz w:val="12"/>
          <w:szCs w:val="12"/>
          <w:color w:val="auto"/>
        </w:rPr>
        <w:t>completed calendar year.</w:t>
      </w:r>
    </w:p>
    <w:p>
      <w:pPr>
        <w:sectPr>
          <w:pgSz w:w="11900" w:h="16838" w:orient="portrait"/>
          <w:cols w:equalWidth="0" w:num="1">
            <w:col w:w="10800"/>
          </w:cols>
          <w:pgMar w:left="320" w:top="463" w:right="779" w:bottom="1440" w:gutter="0" w:footer="0" w:header="0"/>
        </w:sectPr>
      </w:pPr>
    </w:p>
    <w:p>
      <w:pPr>
        <w:spacing w:after="0" w:line="41" w:lineRule="exact"/>
        <w:rPr>
          <w:sz w:val="20"/>
          <w:szCs w:val="20"/>
          <w:color w:val="auto"/>
        </w:rPr>
      </w:pPr>
    </w:p>
    <w:p>
      <w:pPr>
        <w:ind w:left="780" w:right="80" w:hanging="241"/>
        <w:spacing w:after="0" w:line="256" w:lineRule="auto"/>
        <w:tabs>
          <w:tab w:leader="none" w:pos="780" w:val="left"/>
        </w:tabs>
        <w:numPr>
          <w:ilvl w:val="0"/>
          <w:numId w:val="104"/>
        </w:numPr>
        <w:rPr>
          <w:rFonts w:ascii="Arial" w:cs="Arial" w:eastAsia="Arial" w:hAnsi="Arial"/>
          <w:sz w:val="12"/>
          <w:szCs w:val="12"/>
          <w:color w:val="auto"/>
        </w:rPr>
      </w:pPr>
      <w:r>
        <w:rPr>
          <w:rFonts w:ascii="Arial" w:cs="Arial" w:eastAsia="Arial" w:hAnsi="Arial"/>
          <w:sz w:val="12"/>
          <w:szCs w:val="12"/>
          <w:color w:val="auto"/>
        </w:rPr>
        <w:t>Represents payment under our Executive Severance Plan of an amount equal to 150% of the target bonus amount for the calendar year in which the NEO’s employment is terminated.</w:t>
      </w:r>
    </w:p>
    <w:p>
      <w:pPr>
        <w:spacing w:after="0" w:line="24" w:lineRule="exact"/>
        <w:rPr>
          <w:rFonts w:ascii="Arial" w:cs="Arial" w:eastAsia="Arial" w:hAnsi="Arial"/>
          <w:sz w:val="12"/>
          <w:szCs w:val="12"/>
          <w:color w:val="auto"/>
        </w:rPr>
      </w:pPr>
    </w:p>
    <w:p>
      <w:pPr>
        <w:ind w:left="780" w:right="120" w:hanging="241"/>
        <w:spacing w:after="0" w:line="232" w:lineRule="auto"/>
        <w:tabs>
          <w:tab w:leader="none" w:pos="780" w:val="left"/>
        </w:tabs>
        <w:numPr>
          <w:ilvl w:val="0"/>
          <w:numId w:val="104"/>
        </w:numPr>
        <w:rPr>
          <w:rFonts w:ascii="Arial" w:cs="Arial" w:eastAsia="Arial" w:hAnsi="Arial"/>
          <w:sz w:val="12"/>
          <w:szCs w:val="12"/>
          <w:color w:val="auto"/>
        </w:rPr>
      </w:pPr>
      <w:r>
        <w:rPr>
          <w:rFonts w:ascii="Arial" w:cs="Arial" w:eastAsia="Arial" w:hAnsi="Arial"/>
          <w:sz w:val="12"/>
          <w:szCs w:val="12"/>
          <w:color w:val="auto"/>
        </w:rPr>
        <w:t>Represents the value of shares of Common Stock in respect of the unvested portion of any outstanding RSUs scheduled to vest based solely on the passage of time within 12 months following a termination of employment, the vesting of which would have been accelerated under our Executive Severance Plan. In the case of retirement-eligible NEOs, this represents the value of all outstanding unvested RSUs, the vesting of which would have been continued in accordance with the original vesting schedule applicable to such RSUs, in each case under the terms of the NEO’s RSU agreements. No NEO was retirement-eligible as of December 31, 2025.</w:t>
      </w:r>
    </w:p>
    <w:p>
      <w:pPr>
        <w:spacing w:after="0" w:line="34" w:lineRule="exact"/>
        <w:rPr>
          <w:rFonts w:ascii="Arial" w:cs="Arial" w:eastAsia="Arial" w:hAnsi="Arial"/>
          <w:sz w:val="12"/>
          <w:szCs w:val="12"/>
          <w:color w:val="auto"/>
        </w:rPr>
      </w:pPr>
    </w:p>
    <w:p>
      <w:pPr>
        <w:ind w:left="780" w:right="700" w:hanging="241"/>
        <w:spacing w:after="0" w:line="256" w:lineRule="auto"/>
        <w:tabs>
          <w:tab w:leader="none" w:pos="780" w:val="left"/>
        </w:tabs>
        <w:numPr>
          <w:ilvl w:val="0"/>
          <w:numId w:val="104"/>
        </w:numPr>
        <w:rPr>
          <w:rFonts w:ascii="Arial" w:cs="Arial" w:eastAsia="Arial" w:hAnsi="Arial"/>
          <w:sz w:val="12"/>
          <w:szCs w:val="12"/>
          <w:color w:val="auto"/>
        </w:rPr>
      </w:pPr>
      <w:r>
        <w:rPr>
          <w:rFonts w:ascii="Arial" w:cs="Arial" w:eastAsia="Arial" w:hAnsi="Arial"/>
          <w:sz w:val="12"/>
          <w:szCs w:val="12"/>
          <w:color w:val="auto"/>
        </w:rPr>
        <w:t>Represents the value of shares of Common Stock in respect of all outstanding unvested RSUs, the vesting of which would have been accelerated upon a termination of employment due to death, disability or retirement.</w:t>
      </w:r>
    </w:p>
    <w:p>
      <w:pPr>
        <w:spacing w:after="0" w:line="24" w:lineRule="exact"/>
        <w:rPr>
          <w:rFonts w:ascii="Arial" w:cs="Arial" w:eastAsia="Arial" w:hAnsi="Arial"/>
          <w:sz w:val="12"/>
          <w:szCs w:val="12"/>
          <w:color w:val="auto"/>
        </w:rPr>
      </w:pPr>
    </w:p>
    <w:p>
      <w:pPr>
        <w:ind w:left="780" w:right="700" w:hanging="241"/>
        <w:spacing w:after="0" w:line="256" w:lineRule="auto"/>
        <w:tabs>
          <w:tab w:leader="none" w:pos="780" w:val="left"/>
        </w:tabs>
        <w:numPr>
          <w:ilvl w:val="0"/>
          <w:numId w:val="104"/>
        </w:numPr>
        <w:rPr>
          <w:rFonts w:ascii="Arial" w:cs="Arial" w:eastAsia="Arial" w:hAnsi="Arial"/>
          <w:sz w:val="12"/>
          <w:szCs w:val="12"/>
          <w:color w:val="auto"/>
        </w:rPr>
      </w:pPr>
      <w:r>
        <w:rPr>
          <w:rFonts w:ascii="Arial" w:cs="Arial" w:eastAsia="Arial" w:hAnsi="Arial"/>
          <w:sz w:val="12"/>
          <w:szCs w:val="12"/>
          <w:color w:val="auto"/>
        </w:rPr>
        <w:t>Represents the value of shares of Common Stock in respect of all outstanding unvested RSUs, the vesting of which would have been accelerated under our Executive Severance Plan.</w:t>
      </w:r>
    </w:p>
    <w:p>
      <w:pPr>
        <w:spacing w:after="0" w:line="24" w:lineRule="exact"/>
        <w:rPr>
          <w:rFonts w:ascii="Arial" w:cs="Arial" w:eastAsia="Arial" w:hAnsi="Arial"/>
          <w:sz w:val="12"/>
          <w:szCs w:val="12"/>
          <w:color w:val="auto"/>
        </w:rPr>
      </w:pPr>
    </w:p>
    <w:p>
      <w:pPr>
        <w:ind w:left="780" w:right="100" w:hanging="241"/>
        <w:spacing w:after="0" w:line="230" w:lineRule="auto"/>
        <w:tabs>
          <w:tab w:leader="none" w:pos="780" w:val="left"/>
        </w:tabs>
        <w:numPr>
          <w:ilvl w:val="0"/>
          <w:numId w:val="104"/>
        </w:numPr>
        <w:rPr>
          <w:rFonts w:ascii="Arial" w:cs="Arial" w:eastAsia="Arial" w:hAnsi="Arial"/>
          <w:sz w:val="12"/>
          <w:szCs w:val="12"/>
          <w:color w:val="auto"/>
        </w:rPr>
      </w:pPr>
      <w:r>
        <w:rPr>
          <w:rFonts w:ascii="Arial" w:cs="Arial" w:eastAsia="Arial" w:hAnsi="Arial"/>
          <w:sz w:val="12"/>
          <w:szCs w:val="12"/>
          <w:color w:val="auto"/>
        </w:rPr>
        <w:t>Represents the value of unvested PSUs assuming the target number of shares of Common Stock in respect of such PSUs became earned and vested on December 31, 2025, with such amount prorated based on the number of days the NEO was employed during the Performance Period. Under our Executive Severance Plan, upon a qualifying termination of employment by the Company without cause or a termination by the executive for good reason, other than in connection with a change-in-control, the actual number of shares of Common Stock that will be earned and vested in respect of outstanding unvested PSUs, if any, depends on actual performance measured at the end of the Performance Period, prorated based on the number of days the NEO was employed during the Performance Period.</w:t>
      </w:r>
    </w:p>
    <w:p>
      <w:pPr>
        <w:spacing w:after="0" w:line="36" w:lineRule="exact"/>
        <w:rPr>
          <w:rFonts w:ascii="Arial" w:cs="Arial" w:eastAsia="Arial" w:hAnsi="Arial"/>
          <w:sz w:val="12"/>
          <w:szCs w:val="12"/>
          <w:color w:val="auto"/>
        </w:rPr>
      </w:pPr>
    </w:p>
    <w:p>
      <w:pPr>
        <w:ind w:left="780" w:right="200" w:hanging="241"/>
        <w:spacing w:after="0" w:line="230" w:lineRule="auto"/>
        <w:tabs>
          <w:tab w:leader="none" w:pos="780" w:val="left"/>
        </w:tabs>
        <w:numPr>
          <w:ilvl w:val="0"/>
          <w:numId w:val="104"/>
        </w:numPr>
        <w:rPr>
          <w:rFonts w:ascii="Arial" w:cs="Arial" w:eastAsia="Arial" w:hAnsi="Arial"/>
          <w:sz w:val="12"/>
          <w:szCs w:val="12"/>
          <w:color w:val="auto"/>
        </w:rPr>
      </w:pPr>
      <w:r>
        <w:rPr>
          <w:rFonts w:ascii="Arial" w:cs="Arial" w:eastAsia="Arial" w:hAnsi="Arial"/>
          <w:sz w:val="12"/>
          <w:szCs w:val="12"/>
          <w:color w:val="auto"/>
        </w:rPr>
        <w:t>Represents the value of unvested PSUs assuming the target number of shares of Common Stock in respect of such PSUs became earned and vested on December 31, 2025, with such amount prorated based on the number of days that the executive was employed during the Performance Period. Under the NEO’s PSU agreements, upon termination of employment due to death, disability or retirement, the actual number of shares of Common Stock that will be earned and vested in respect of outstanding unvested PSUs, if any, depends on actual performance measured at the end of the Performance Period, prorated based on the number of days that the NEO was employed during the Performance Period.</w:t>
      </w:r>
    </w:p>
    <w:p>
      <w:pPr>
        <w:spacing w:after="0" w:line="36" w:lineRule="exact"/>
        <w:rPr>
          <w:rFonts w:ascii="Arial" w:cs="Arial" w:eastAsia="Arial" w:hAnsi="Arial"/>
          <w:sz w:val="12"/>
          <w:szCs w:val="12"/>
          <w:color w:val="auto"/>
        </w:rPr>
      </w:pPr>
    </w:p>
    <w:p>
      <w:pPr>
        <w:ind w:left="780" w:right="200" w:hanging="241"/>
        <w:spacing w:after="0" w:line="256" w:lineRule="auto"/>
        <w:tabs>
          <w:tab w:leader="none" w:pos="780" w:val="left"/>
        </w:tabs>
        <w:numPr>
          <w:ilvl w:val="0"/>
          <w:numId w:val="104"/>
        </w:numPr>
        <w:rPr>
          <w:rFonts w:ascii="Arial" w:cs="Arial" w:eastAsia="Arial" w:hAnsi="Arial"/>
          <w:sz w:val="12"/>
          <w:szCs w:val="12"/>
          <w:color w:val="auto"/>
        </w:rPr>
      </w:pPr>
      <w:r>
        <w:rPr>
          <w:rFonts w:ascii="Arial" w:cs="Arial" w:eastAsia="Arial" w:hAnsi="Arial"/>
          <w:sz w:val="12"/>
          <w:szCs w:val="12"/>
          <w:color w:val="auto"/>
        </w:rPr>
        <w:t>Represents the value of unvested PSUs assuming the target number of shares of Common Stock in respect of such PSUs became earned and vested on December 31, 2025, prorated based on the number of days that the NEO was employed during the Performance Period.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1"/>
          <w:szCs w:val="11"/>
          <w:color w:val="FFFFFF"/>
        </w:rPr>
        <w:t>General Information</w:t>
      </w:r>
    </w:p>
    <w:p>
      <w:pPr>
        <w:spacing w:after="0" w:line="3" w:lineRule="exact"/>
        <w:rPr>
          <w:sz w:val="20"/>
          <w:szCs w:val="20"/>
          <w:color w:val="auto"/>
        </w:rPr>
      </w:pPr>
    </w:p>
    <w:p>
      <w:pPr>
        <w:spacing w:after="0"/>
        <w:rPr>
          <w:sz w:val="20"/>
          <w:szCs w:val="20"/>
          <w:color w:val="auto"/>
        </w:rPr>
      </w:pPr>
      <w:r>
        <w:rPr>
          <w:rFonts w:ascii="Arial" w:cs="Arial" w:eastAsia="Arial" w:hAnsi="Arial"/>
          <w:sz w:val="12"/>
          <w:szCs w:val="12"/>
          <w:color w:val="FFFFFF"/>
        </w:rPr>
        <w:t>About Corporate</w:t>
      </w:r>
    </w:p>
    <w:p>
      <w:pPr>
        <w:spacing w:after="0" w:line="221" w:lineRule="auto"/>
        <w:rPr>
          <w:sz w:val="20"/>
          <w:szCs w:val="20"/>
          <w:color w:val="auto"/>
        </w:rPr>
      </w:pPr>
      <w:r>
        <w:rPr>
          <w:rFonts w:ascii="Arial" w:cs="Arial" w:eastAsia="Arial" w:hAnsi="Arial"/>
          <w:sz w:val="12"/>
          <w:szCs w:val="12"/>
          <w:color w:val="FFFFFF"/>
        </w:rPr>
        <w:t>Governance</w:t>
      </w:r>
    </w:p>
    <w:p>
      <w:pPr>
        <w:spacing w:after="0" w:line="222" w:lineRule="auto"/>
        <w:rPr>
          <w:sz w:val="20"/>
          <w:szCs w:val="20"/>
          <w:color w:val="auto"/>
        </w:rPr>
      </w:pPr>
      <w:r>
        <w:rPr>
          <w:rFonts w:ascii="Arial" w:cs="Arial" w:eastAsia="Arial" w:hAnsi="Arial"/>
          <w:sz w:val="12"/>
          <w:szCs w:val="12"/>
          <w:color w:val="FFFFFF"/>
        </w:rPr>
        <w:t>and the Board of</w:t>
      </w:r>
    </w:p>
    <w:p>
      <w:pPr>
        <w:spacing w:after="0" w:line="1" w:lineRule="exact"/>
        <w:rPr>
          <w:sz w:val="20"/>
          <w:szCs w:val="20"/>
          <w:color w:val="auto"/>
        </w:rPr>
      </w:pPr>
    </w:p>
    <w:p>
      <w:pPr>
        <w:spacing w:after="0"/>
        <w:rPr>
          <w:sz w:val="20"/>
          <w:szCs w:val="20"/>
          <w:color w:val="auto"/>
        </w:rPr>
      </w:pPr>
      <w:r>
        <w:rPr>
          <w:rFonts w:ascii="Arial" w:cs="Arial" w:eastAsia="Arial" w:hAnsi="Arial"/>
          <w:sz w:val="12"/>
          <w:szCs w:val="12"/>
          <w:color w:val="FFFFFF"/>
        </w:rPr>
        <w:t>Directors</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Proposal 1</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FFFFFF"/>
        </w:rPr>
        <w:t>Information</w:t>
      </w:r>
    </w:p>
    <w:p>
      <w:pPr>
        <w:spacing w:after="0" w:line="224" w:lineRule="auto"/>
        <w:rPr>
          <w:sz w:val="20"/>
          <w:szCs w:val="20"/>
          <w:color w:val="auto"/>
        </w:rPr>
      </w:pPr>
      <w:r>
        <w:rPr>
          <w:rFonts w:ascii="Arial" w:cs="Arial" w:eastAsia="Arial" w:hAnsi="Arial"/>
          <w:sz w:val="12"/>
          <w:szCs w:val="12"/>
          <w:color w:val="FFFFFF"/>
        </w:rPr>
        <w:t>Regarding Board</w:t>
      </w:r>
    </w:p>
    <w:p>
      <w:pPr>
        <w:spacing w:after="0" w:line="222" w:lineRule="auto"/>
        <w:rPr>
          <w:sz w:val="20"/>
          <w:szCs w:val="20"/>
          <w:color w:val="auto"/>
        </w:rPr>
      </w:pPr>
      <w:r>
        <w:rPr>
          <w:rFonts w:ascii="Arial" w:cs="Arial" w:eastAsia="Arial" w:hAnsi="Arial"/>
          <w:sz w:val="12"/>
          <w:szCs w:val="12"/>
          <w:color w:val="FFFFFF"/>
        </w:rPr>
        <w:t>and Committee</w:t>
      </w:r>
    </w:p>
    <w:p>
      <w:pPr>
        <w:spacing w:after="0"/>
        <w:rPr>
          <w:sz w:val="20"/>
          <w:szCs w:val="20"/>
          <w:color w:val="auto"/>
        </w:rPr>
      </w:pPr>
      <w:r>
        <w:rPr>
          <w:rFonts w:ascii="Arial" w:cs="Arial" w:eastAsia="Arial" w:hAnsi="Arial"/>
          <w:sz w:val="12"/>
          <w:szCs w:val="12"/>
          <w:color w:val="FFFFFF"/>
        </w:rPr>
        <w:t>Structure</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Board of Directors</w:t>
      </w:r>
    </w:p>
    <w:p>
      <w:pPr>
        <w:spacing w:after="0" w:line="2" w:lineRule="exact"/>
        <w:rPr>
          <w:sz w:val="20"/>
          <w:szCs w:val="20"/>
          <w:color w:val="auto"/>
        </w:rPr>
      </w:pPr>
    </w:p>
    <w:p>
      <w:pPr>
        <w:spacing w:after="0"/>
        <w:rPr>
          <w:sz w:val="20"/>
          <w:szCs w:val="20"/>
          <w:color w:val="auto"/>
        </w:rPr>
      </w:pPr>
      <w:r>
        <w:rPr>
          <w:rFonts w:ascii="Arial" w:cs="Arial" w:eastAsia="Arial" w:hAnsi="Arial"/>
          <w:sz w:val="12"/>
          <w:szCs w:val="12"/>
          <w:color w:val="FFFFFF"/>
        </w:rPr>
        <w:t>Compensation</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Compensation</w:t>
      </w:r>
    </w:p>
    <w:p>
      <w:pPr>
        <w:spacing w:after="0" w:line="224" w:lineRule="auto"/>
        <w:rPr>
          <w:sz w:val="20"/>
          <w:szCs w:val="20"/>
          <w:color w:val="auto"/>
        </w:rPr>
      </w:pPr>
      <w:r>
        <w:rPr>
          <w:rFonts w:ascii="Arial" w:cs="Arial" w:eastAsia="Arial" w:hAnsi="Arial"/>
          <w:sz w:val="12"/>
          <w:szCs w:val="12"/>
          <w:color w:val="FFFFFF"/>
        </w:rPr>
        <w:t>Discussion and</w:t>
      </w:r>
    </w:p>
    <w:p>
      <w:pPr>
        <w:spacing w:after="0"/>
        <w:rPr>
          <w:sz w:val="20"/>
          <w:szCs w:val="20"/>
          <w:color w:val="auto"/>
        </w:rPr>
      </w:pPr>
      <w:r>
        <w:rPr>
          <w:rFonts w:ascii="Arial" w:cs="Arial" w:eastAsia="Arial" w:hAnsi="Arial"/>
          <w:sz w:val="12"/>
          <w:szCs w:val="12"/>
          <w:color w:val="FFFFFF"/>
        </w:rPr>
        <w:t>Analysis</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Report of the</w:t>
      </w:r>
    </w:p>
    <w:p>
      <w:pPr>
        <w:spacing w:after="0" w:line="224" w:lineRule="auto"/>
        <w:rPr>
          <w:sz w:val="20"/>
          <w:szCs w:val="20"/>
          <w:color w:val="auto"/>
        </w:rPr>
      </w:pPr>
      <w:r>
        <w:rPr>
          <w:rFonts w:ascii="Arial" w:cs="Arial" w:eastAsia="Arial" w:hAnsi="Arial"/>
          <w:sz w:val="12"/>
          <w:szCs w:val="12"/>
          <w:color w:val="FFFFFF"/>
        </w:rPr>
        <w:t>Compensation</w:t>
      </w:r>
    </w:p>
    <w:p>
      <w:pPr>
        <w:spacing w:after="0" w:line="222" w:lineRule="auto"/>
        <w:rPr>
          <w:sz w:val="20"/>
          <w:szCs w:val="20"/>
          <w:color w:val="auto"/>
        </w:rPr>
      </w:pPr>
      <w:r>
        <w:rPr>
          <w:rFonts w:ascii="Arial" w:cs="Arial" w:eastAsia="Arial" w:hAnsi="Arial"/>
          <w:sz w:val="12"/>
          <w:szCs w:val="12"/>
          <w:color w:val="FFFFFF"/>
        </w:rPr>
        <w:t>and Human</w:t>
      </w:r>
    </w:p>
    <w:p>
      <w:pPr>
        <w:spacing w:after="0" w:line="222" w:lineRule="auto"/>
        <w:rPr>
          <w:sz w:val="20"/>
          <w:szCs w:val="20"/>
          <w:color w:val="auto"/>
        </w:rPr>
      </w:pPr>
      <w:r>
        <w:rPr>
          <w:rFonts w:ascii="Arial" w:cs="Arial" w:eastAsia="Arial" w:hAnsi="Arial"/>
          <w:sz w:val="12"/>
          <w:szCs w:val="12"/>
          <w:color w:val="FFFFFF"/>
        </w:rPr>
        <w:t>Resources</w:t>
      </w:r>
    </w:p>
    <w:p>
      <w:pPr>
        <w:spacing w:after="0" w:line="222" w:lineRule="auto"/>
        <w:rPr>
          <w:sz w:val="20"/>
          <w:szCs w:val="20"/>
          <w:color w:val="auto"/>
        </w:rPr>
      </w:pPr>
      <w:r>
        <w:rPr>
          <w:rFonts w:ascii="Arial" w:cs="Arial" w:eastAsia="Arial" w:hAnsi="Arial"/>
          <w:sz w:val="12"/>
          <w:szCs w:val="12"/>
          <w:color w:val="FFFFFF"/>
        </w:rPr>
        <w:t>Committee of the</w:t>
      </w:r>
    </w:p>
    <w:p>
      <w:pPr>
        <w:spacing w:after="0"/>
        <w:rPr>
          <w:sz w:val="20"/>
          <w:szCs w:val="20"/>
          <w:color w:val="auto"/>
        </w:rPr>
      </w:pPr>
      <w:r>
        <w:rPr>
          <w:rFonts w:ascii="Arial" w:cs="Arial" w:eastAsia="Arial" w:hAnsi="Arial"/>
          <w:sz w:val="12"/>
          <w:szCs w:val="12"/>
          <w:color w:val="FFFFFF"/>
        </w:rPr>
        <w:t>Board of Directors</w:t>
      </w:r>
    </w:p>
    <w:p>
      <w:pPr>
        <w:spacing w:after="0" w:line="131" w:lineRule="exact"/>
        <w:rPr>
          <w:sz w:val="20"/>
          <w:szCs w:val="20"/>
          <w:color w:val="auto"/>
        </w:rPr>
      </w:pPr>
    </w:p>
    <w:p>
      <w:pPr>
        <w:sectPr>
          <w:pgSz w:w="11900" w:h="16838" w:orient="portrait"/>
          <w:cols w:equalWidth="0" w:num="2">
            <w:col w:w="8500" w:space="720"/>
            <w:col w:w="1580"/>
          </w:cols>
          <w:pgMar w:left="320" w:top="463" w:right="779" w:bottom="1440" w:gutter="0" w:footer="0" w:header="0"/>
          <w:type w:val="continuous"/>
        </w:sectPr>
      </w:pPr>
    </w:p>
    <w:p>
      <w:pPr>
        <w:ind w:left="780" w:right="100" w:hanging="241"/>
        <w:spacing w:after="0" w:line="239" w:lineRule="auto"/>
        <w:tabs>
          <w:tab w:leader="none" w:pos="780" w:val="left"/>
        </w:tabs>
        <w:numPr>
          <w:ilvl w:val="0"/>
          <w:numId w:val="105"/>
        </w:numPr>
        <w:rPr>
          <w:rFonts w:ascii="Arial" w:cs="Arial" w:eastAsia="Arial" w:hAnsi="Arial"/>
          <w:sz w:val="12"/>
          <w:szCs w:val="12"/>
          <w:color w:val="auto"/>
        </w:rPr>
      </w:pPr>
      <w:r>
        <w:rPr>
          <w:rFonts w:ascii="Arial" w:cs="Arial" w:eastAsia="Arial" w:hAnsi="Arial"/>
          <w:sz w:val="12"/>
          <w:szCs w:val="12"/>
          <w:color w:val="auto"/>
        </w:rPr>
        <w:t>Represents payments under our Executive Severance Plan of an amount equal to 100% of the employer portion of premiums (plus the additional amount charged for administrative costs as permitted by COBRA) for continued health and dental plan participation under COBRA for the NEO and his qualified beneficiaries for a 12-month period.</w:t>
      </w:r>
    </w:p>
    <w:p>
      <w:pPr>
        <w:spacing w:after="0" w:line="34" w:lineRule="exact"/>
        <w:rPr>
          <w:rFonts w:ascii="Arial" w:cs="Arial" w:eastAsia="Arial" w:hAnsi="Arial"/>
          <w:sz w:val="12"/>
          <w:szCs w:val="12"/>
          <w:color w:val="auto"/>
        </w:rPr>
      </w:pPr>
    </w:p>
    <w:p>
      <w:pPr>
        <w:ind w:left="780" w:right="100" w:hanging="241"/>
        <w:spacing w:after="0" w:line="239" w:lineRule="auto"/>
        <w:tabs>
          <w:tab w:leader="none" w:pos="780" w:val="left"/>
        </w:tabs>
        <w:numPr>
          <w:ilvl w:val="0"/>
          <w:numId w:val="105"/>
        </w:numPr>
        <w:rPr>
          <w:rFonts w:ascii="Arial" w:cs="Arial" w:eastAsia="Arial" w:hAnsi="Arial"/>
          <w:sz w:val="12"/>
          <w:szCs w:val="12"/>
          <w:color w:val="auto"/>
        </w:rPr>
      </w:pPr>
      <w:r>
        <w:rPr>
          <w:rFonts w:ascii="Arial" w:cs="Arial" w:eastAsia="Arial" w:hAnsi="Arial"/>
          <w:sz w:val="12"/>
          <w:szCs w:val="12"/>
          <w:color w:val="auto"/>
        </w:rPr>
        <w:t>Represents payments under our Executive Severance Plan of an amount equal to 100% of the employer portion of premiums (plus the additional amount charged for administrative costs as permitted by COBRA) for continued health and dental plan participation under COBRA for the NEO and his qualified beneficiaries for an 18-month period.</w:t>
      </w:r>
    </w:p>
    <w:p>
      <w:pPr>
        <w:spacing w:after="0" w:line="170" w:lineRule="exact"/>
        <w:rPr>
          <w:sz w:val="20"/>
          <w:szCs w:val="20"/>
          <w:color w:val="auto"/>
        </w:rPr>
      </w:pPr>
    </w:p>
    <w:p>
      <w:pPr>
        <w:ind w:left="540"/>
        <w:spacing w:after="0"/>
        <w:rPr>
          <w:sz w:val="20"/>
          <w:szCs w:val="20"/>
          <w:color w:val="auto"/>
        </w:rPr>
      </w:pPr>
      <w:r>
        <w:rPr>
          <w:rFonts w:ascii="Arial" w:cs="Arial" w:eastAsia="Arial" w:hAnsi="Arial"/>
          <w:sz w:val="24"/>
          <w:szCs w:val="24"/>
          <w:color w:val="B95827"/>
        </w:rPr>
        <w:t>Executive Severance Plan</w:t>
      </w:r>
    </w:p>
    <w:p>
      <w:pPr>
        <w:spacing w:after="0" w:line="117" w:lineRule="exact"/>
        <w:rPr>
          <w:sz w:val="20"/>
          <w:szCs w:val="20"/>
          <w:color w:val="auto"/>
        </w:rPr>
      </w:pPr>
    </w:p>
    <w:p>
      <w:pPr>
        <w:ind w:left="540" w:right="240"/>
        <w:spacing w:after="0" w:line="256" w:lineRule="auto"/>
        <w:rPr>
          <w:sz w:val="20"/>
          <w:szCs w:val="20"/>
          <w:color w:val="auto"/>
        </w:rPr>
      </w:pPr>
      <w:r>
        <w:rPr>
          <w:rFonts w:ascii="Arial" w:cs="Arial" w:eastAsia="Arial" w:hAnsi="Arial"/>
          <w:sz w:val="15"/>
          <w:szCs w:val="15"/>
          <w:color w:val="auto"/>
        </w:rPr>
        <w:t>All of our NEOs are eligible to participate in our Executive Severance Plan. As described in more detail below, our Executive Severance Plan provides a uniform framework for payments and benefits to be provided to all executive participants upon certain terminations of employment, subject to a participant’s compliance with post-termination restrictive covenants and delivery of a general release agreement in favor of the Company. Our Executive Severance Plan can be amended or terminated at any time, in our discretion, and no eligible executive, including our NEOs, has a legally binding right to any payments or benefits under the plan.</w:t>
      </w:r>
    </w:p>
    <w:p>
      <w:pPr>
        <w:spacing w:after="0" w:line="168" w:lineRule="exact"/>
        <w:rPr>
          <w:sz w:val="20"/>
          <w:szCs w:val="20"/>
          <w:color w:val="auto"/>
        </w:rPr>
      </w:pPr>
    </w:p>
    <w:p>
      <w:pPr>
        <w:ind w:left="540"/>
        <w:spacing w:after="0"/>
        <w:rPr>
          <w:sz w:val="20"/>
          <w:szCs w:val="20"/>
          <w:color w:val="auto"/>
        </w:rPr>
      </w:pPr>
      <w:r>
        <w:rPr>
          <w:rFonts w:ascii="Arial" w:cs="Arial" w:eastAsia="Arial" w:hAnsi="Arial"/>
          <w:sz w:val="17"/>
          <w:szCs w:val="17"/>
          <w:b w:val="1"/>
          <w:bCs w:val="1"/>
          <w:color w:val="002B5F"/>
        </w:rPr>
        <w:t>RESTRICTIVE COVENANTS</w:t>
      </w:r>
    </w:p>
    <w:p>
      <w:pPr>
        <w:spacing w:after="0" w:line="103" w:lineRule="exact"/>
        <w:rPr>
          <w:sz w:val="20"/>
          <w:szCs w:val="20"/>
          <w:color w:val="auto"/>
        </w:rPr>
      </w:pPr>
    </w:p>
    <w:p>
      <w:pPr>
        <w:ind w:left="540" w:right="100"/>
        <w:spacing w:after="0" w:line="287" w:lineRule="auto"/>
        <w:rPr>
          <w:sz w:val="20"/>
          <w:szCs w:val="20"/>
          <w:color w:val="auto"/>
        </w:rPr>
      </w:pPr>
      <w:r>
        <w:rPr>
          <w:rFonts w:ascii="Arial" w:cs="Arial" w:eastAsia="Arial" w:hAnsi="Arial"/>
          <w:sz w:val="15"/>
          <w:szCs w:val="15"/>
          <w:color w:val="auto"/>
        </w:rPr>
        <w:t>As a condition to benefits under the Executive Severance Plan, an executive is not permitted to engage in prohibited competitive conduct for a period of:</w:t>
      </w:r>
    </w:p>
    <w:p>
      <w:pPr>
        <w:spacing w:after="0" w:line="60" w:lineRule="exact"/>
        <w:rPr>
          <w:sz w:val="20"/>
          <w:szCs w:val="20"/>
          <w:color w:val="auto"/>
        </w:rPr>
      </w:pPr>
    </w:p>
    <w:p>
      <w:pPr>
        <w:ind w:left="800" w:right="100" w:hanging="261"/>
        <w:spacing w:after="0" w:line="287" w:lineRule="auto"/>
        <w:tabs>
          <w:tab w:leader="none" w:pos="800" w:val="left"/>
        </w:tabs>
        <w:numPr>
          <w:ilvl w:val="0"/>
          <w:numId w:val="106"/>
        </w:numPr>
        <w:rPr>
          <w:rFonts w:ascii="Arial" w:cs="Arial" w:eastAsia="Arial" w:hAnsi="Arial"/>
          <w:sz w:val="15"/>
          <w:szCs w:val="15"/>
          <w:color w:val="auto"/>
        </w:rPr>
      </w:pPr>
      <w:r>
        <w:rPr>
          <w:rFonts w:ascii="Arial" w:cs="Arial" w:eastAsia="Arial" w:hAnsi="Arial"/>
          <w:sz w:val="15"/>
          <w:szCs w:val="15"/>
          <w:color w:val="auto"/>
        </w:rPr>
        <w:t>12 months following termination of employment by the Company without cause or a termination by the executive for good reason; and</w:t>
      </w:r>
    </w:p>
    <w:p>
      <w:pPr>
        <w:spacing w:after="0" w:line="59" w:lineRule="exact"/>
        <w:rPr>
          <w:rFonts w:ascii="Arial" w:cs="Arial" w:eastAsia="Arial" w:hAnsi="Arial"/>
          <w:sz w:val="15"/>
          <w:szCs w:val="15"/>
          <w:color w:val="auto"/>
        </w:rPr>
      </w:pPr>
    </w:p>
    <w:p>
      <w:pPr>
        <w:ind w:left="800" w:right="100" w:hanging="261"/>
        <w:spacing w:after="0" w:line="287" w:lineRule="auto"/>
        <w:tabs>
          <w:tab w:leader="none" w:pos="800" w:val="left"/>
        </w:tabs>
        <w:numPr>
          <w:ilvl w:val="0"/>
          <w:numId w:val="106"/>
        </w:numPr>
        <w:rPr>
          <w:rFonts w:ascii="Arial" w:cs="Arial" w:eastAsia="Arial" w:hAnsi="Arial"/>
          <w:sz w:val="15"/>
          <w:szCs w:val="15"/>
          <w:color w:val="auto"/>
        </w:rPr>
      </w:pPr>
      <w:r>
        <w:rPr>
          <w:rFonts w:ascii="Arial" w:cs="Arial" w:eastAsia="Arial" w:hAnsi="Arial"/>
          <w:sz w:val="15"/>
          <w:szCs w:val="15"/>
          <w:color w:val="auto"/>
        </w:rPr>
        <w:t>18 months following termination of employment by the Company without cause or a termination by the executive for good reason, in each case, within 12 months following a change-in-control.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b w:val="1"/>
          <w:bCs w:val="1"/>
          <w:color w:val="FFFFFF"/>
        </w:rPr>
        <w:t>Compensation of</w:t>
      </w:r>
    </w:p>
    <w:p>
      <w:pPr>
        <w:spacing w:after="0" w:line="224" w:lineRule="auto"/>
        <w:rPr>
          <w:sz w:val="20"/>
          <w:szCs w:val="20"/>
          <w:color w:val="auto"/>
        </w:rPr>
      </w:pPr>
      <w:r>
        <w:rPr>
          <w:rFonts w:ascii="Arial" w:cs="Arial" w:eastAsia="Arial" w:hAnsi="Arial"/>
          <w:sz w:val="12"/>
          <w:szCs w:val="12"/>
          <w:b w:val="1"/>
          <w:bCs w:val="1"/>
          <w:color w:val="FFFFFF"/>
        </w:rPr>
        <w:t>Named Executive</w:t>
      </w:r>
    </w:p>
    <w:p>
      <w:pPr>
        <w:spacing w:after="0"/>
        <w:rPr>
          <w:sz w:val="20"/>
          <w:szCs w:val="20"/>
          <w:color w:val="auto"/>
        </w:rPr>
      </w:pPr>
      <w:r>
        <w:rPr>
          <w:rFonts w:ascii="Arial" w:cs="Arial" w:eastAsia="Arial" w:hAnsi="Arial"/>
          <w:sz w:val="12"/>
          <w:szCs w:val="12"/>
          <w:b w:val="1"/>
          <w:bCs w:val="1"/>
          <w:color w:val="FFFFFF"/>
        </w:rPr>
        <w:t>Officers</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Pay Versus</w:t>
      </w:r>
    </w:p>
    <w:p>
      <w:pPr>
        <w:spacing w:after="0" w:line="224" w:lineRule="auto"/>
        <w:rPr>
          <w:sz w:val="20"/>
          <w:szCs w:val="20"/>
          <w:color w:val="auto"/>
        </w:rPr>
      </w:pPr>
      <w:r>
        <w:rPr>
          <w:rFonts w:ascii="Arial" w:cs="Arial" w:eastAsia="Arial" w:hAnsi="Arial"/>
          <w:sz w:val="12"/>
          <w:szCs w:val="12"/>
          <w:color w:val="FFFFFF"/>
        </w:rPr>
        <w:t>Performance</w:t>
      </w:r>
    </w:p>
    <w:p>
      <w:pPr>
        <w:spacing w:after="0"/>
        <w:rPr>
          <w:sz w:val="20"/>
          <w:szCs w:val="20"/>
          <w:color w:val="auto"/>
        </w:rPr>
      </w:pPr>
      <w:r>
        <w:rPr>
          <w:rFonts w:ascii="Arial" w:cs="Arial" w:eastAsia="Arial" w:hAnsi="Arial"/>
          <w:sz w:val="12"/>
          <w:szCs w:val="12"/>
          <w:color w:val="FFFFFF"/>
        </w:rPr>
        <w:t>Disclosure</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Security</w:t>
      </w:r>
    </w:p>
    <w:p>
      <w:pPr>
        <w:spacing w:after="0" w:line="224" w:lineRule="auto"/>
        <w:rPr>
          <w:sz w:val="20"/>
          <w:szCs w:val="20"/>
          <w:color w:val="auto"/>
        </w:rPr>
      </w:pPr>
      <w:r>
        <w:rPr>
          <w:rFonts w:ascii="Arial" w:cs="Arial" w:eastAsia="Arial" w:hAnsi="Arial"/>
          <w:sz w:val="12"/>
          <w:szCs w:val="12"/>
          <w:color w:val="FFFFFF"/>
        </w:rPr>
        <w:t>Ownership of</w:t>
      </w:r>
    </w:p>
    <w:p>
      <w:pPr>
        <w:spacing w:after="0" w:line="222" w:lineRule="auto"/>
        <w:rPr>
          <w:sz w:val="20"/>
          <w:szCs w:val="20"/>
          <w:color w:val="auto"/>
        </w:rPr>
      </w:pPr>
      <w:r>
        <w:rPr>
          <w:rFonts w:ascii="Arial" w:cs="Arial" w:eastAsia="Arial" w:hAnsi="Arial"/>
          <w:sz w:val="12"/>
          <w:szCs w:val="12"/>
          <w:color w:val="FFFFFF"/>
        </w:rPr>
        <w:t>Certain Beneficial</w:t>
      </w:r>
    </w:p>
    <w:p>
      <w:pPr>
        <w:spacing w:after="0" w:line="222" w:lineRule="auto"/>
        <w:rPr>
          <w:sz w:val="20"/>
          <w:szCs w:val="20"/>
          <w:color w:val="auto"/>
        </w:rPr>
      </w:pPr>
      <w:r>
        <w:rPr>
          <w:rFonts w:ascii="Arial" w:cs="Arial" w:eastAsia="Arial" w:hAnsi="Arial"/>
          <w:sz w:val="12"/>
          <w:szCs w:val="12"/>
          <w:color w:val="FFFFFF"/>
        </w:rPr>
        <w:t>Owners and</w:t>
      </w:r>
    </w:p>
    <w:p>
      <w:pPr>
        <w:spacing w:after="0"/>
        <w:rPr>
          <w:sz w:val="20"/>
          <w:szCs w:val="20"/>
          <w:color w:val="auto"/>
        </w:rPr>
      </w:pPr>
      <w:r>
        <w:rPr>
          <w:rFonts w:ascii="Arial" w:cs="Arial" w:eastAsia="Arial" w:hAnsi="Arial"/>
          <w:sz w:val="12"/>
          <w:szCs w:val="12"/>
          <w:color w:val="FFFFFF"/>
        </w:rPr>
        <w:t>Management</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Certain</w:t>
      </w:r>
    </w:p>
    <w:p>
      <w:pPr>
        <w:spacing w:after="0" w:line="224" w:lineRule="auto"/>
        <w:rPr>
          <w:sz w:val="20"/>
          <w:szCs w:val="20"/>
          <w:color w:val="auto"/>
        </w:rPr>
      </w:pPr>
      <w:r>
        <w:rPr>
          <w:rFonts w:ascii="Arial" w:cs="Arial" w:eastAsia="Arial" w:hAnsi="Arial"/>
          <w:sz w:val="12"/>
          <w:szCs w:val="12"/>
          <w:color w:val="FFFFFF"/>
        </w:rPr>
        <w:t>Relationships and</w:t>
      </w:r>
    </w:p>
    <w:p>
      <w:pPr>
        <w:spacing w:after="0" w:line="222" w:lineRule="auto"/>
        <w:rPr>
          <w:sz w:val="20"/>
          <w:szCs w:val="20"/>
          <w:color w:val="auto"/>
        </w:rPr>
      </w:pPr>
      <w:r>
        <w:rPr>
          <w:rFonts w:ascii="Arial" w:cs="Arial" w:eastAsia="Arial" w:hAnsi="Arial"/>
          <w:sz w:val="12"/>
          <w:szCs w:val="12"/>
          <w:color w:val="FFFFFF"/>
        </w:rPr>
        <w:t>Related Party</w:t>
      </w:r>
    </w:p>
    <w:p>
      <w:pPr>
        <w:spacing w:after="0"/>
        <w:rPr>
          <w:sz w:val="20"/>
          <w:szCs w:val="20"/>
          <w:color w:val="auto"/>
        </w:rPr>
      </w:pPr>
      <w:r>
        <w:rPr>
          <w:rFonts w:ascii="Arial" w:cs="Arial" w:eastAsia="Arial" w:hAnsi="Arial"/>
          <w:sz w:val="12"/>
          <w:szCs w:val="12"/>
          <w:color w:val="FFFFFF"/>
        </w:rPr>
        <w:t>Transactions</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Proposal 2</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FFFFFF"/>
        </w:rPr>
        <w:t>Report of the</w:t>
      </w:r>
    </w:p>
    <w:p>
      <w:pPr>
        <w:spacing w:after="0" w:line="224" w:lineRule="auto"/>
        <w:rPr>
          <w:sz w:val="20"/>
          <w:szCs w:val="20"/>
          <w:color w:val="auto"/>
        </w:rPr>
      </w:pPr>
      <w:r>
        <w:rPr>
          <w:rFonts w:ascii="Arial" w:cs="Arial" w:eastAsia="Arial" w:hAnsi="Arial"/>
          <w:sz w:val="12"/>
          <w:szCs w:val="12"/>
          <w:color w:val="FFFFFF"/>
        </w:rPr>
        <w:t>Audit and Risk</w:t>
      </w:r>
    </w:p>
    <w:p>
      <w:pPr>
        <w:spacing w:after="0" w:line="222" w:lineRule="auto"/>
        <w:rPr>
          <w:sz w:val="20"/>
          <w:szCs w:val="20"/>
          <w:color w:val="auto"/>
        </w:rPr>
      </w:pPr>
      <w:r>
        <w:rPr>
          <w:rFonts w:ascii="Arial" w:cs="Arial" w:eastAsia="Arial" w:hAnsi="Arial"/>
          <w:sz w:val="12"/>
          <w:szCs w:val="12"/>
          <w:color w:val="FFFFFF"/>
        </w:rPr>
        <w:t>Committee of the</w:t>
      </w:r>
    </w:p>
    <w:p>
      <w:pPr>
        <w:spacing w:after="0"/>
        <w:rPr>
          <w:sz w:val="20"/>
          <w:szCs w:val="20"/>
          <w:color w:val="auto"/>
        </w:rPr>
      </w:pPr>
      <w:r>
        <w:rPr>
          <w:rFonts w:ascii="Arial" w:cs="Arial" w:eastAsia="Arial" w:hAnsi="Arial"/>
          <w:sz w:val="12"/>
          <w:szCs w:val="12"/>
          <w:color w:val="FFFFFF"/>
        </w:rPr>
        <w:t>Board of Directors</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Proposal 3</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FFFFFF"/>
        </w:rPr>
        <w:t>Proposal 4</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FFFFFF"/>
        </w:rPr>
        <w:t>Proposal 5</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FFFFFF"/>
        </w:rPr>
        <w:t>Proposal 6</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FFFFFF"/>
        </w:rPr>
        <w:t>Stockholder</w:t>
      </w:r>
    </w:p>
    <w:p>
      <w:pPr>
        <w:spacing w:after="0" w:line="224" w:lineRule="auto"/>
        <w:rPr>
          <w:sz w:val="20"/>
          <w:szCs w:val="20"/>
          <w:color w:val="auto"/>
        </w:rPr>
      </w:pPr>
      <w:r>
        <w:rPr>
          <w:rFonts w:ascii="Arial" w:cs="Arial" w:eastAsia="Arial" w:hAnsi="Arial"/>
          <w:sz w:val="12"/>
          <w:szCs w:val="12"/>
          <w:color w:val="FFFFFF"/>
        </w:rPr>
        <w:t>Proposals and</w:t>
      </w:r>
    </w:p>
    <w:p>
      <w:pPr>
        <w:spacing w:after="0"/>
        <w:rPr>
          <w:sz w:val="20"/>
          <w:szCs w:val="20"/>
          <w:color w:val="auto"/>
        </w:rPr>
      </w:pPr>
      <w:r>
        <w:rPr>
          <w:rFonts w:ascii="Arial" w:cs="Arial" w:eastAsia="Arial" w:hAnsi="Arial"/>
          <w:sz w:val="12"/>
          <w:szCs w:val="12"/>
          <w:color w:val="FFFFFF"/>
        </w:rPr>
        <w:t>Other Matters</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Delinquent</w:t>
      </w:r>
    </w:p>
    <w:p>
      <w:pPr>
        <w:spacing w:after="0" w:line="224" w:lineRule="auto"/>
        <w:rPr>
          <w:sz w:val="20"/>
          <w:szCs w:val="20"/>
          <w:color w:val="auto"/>
        </w:rPr>
      </w:pPr>
      <w:r>
        <w:rPr>
          <w:rFonts w:ascii="Arial" w:cs="Arial" w:eastAsia="Arial" w:hAnsi="Arial"/>
          <w:sz w:val="12"/>
          <w:szCs w:val="12"/>
          <w:color w:val="FFFFFF"/>
        </w:rPr>
        <w:t>Section 16(a)</w:t>
      </w:r>
    </w:p>
    <w:p>
      <w:pPr>
        <w:spacing w:after="0"/>
        <w:rPr>
          <w:sz w:val="20"/>
          <w:szCs w:val="20"/>
          <w:color w:val="auto"/>
        </w:rPr>
      </w:pPr>
      <w:r>
        <w:rPr>
          <w:rFonts w:ascii="Arial" w:cs="Arial" w:eastAsia="Arial" w:hAnsi="Arial"/>
          <w:sz w:val="12"/>
          <w:szCs w:val="12"/>
          <w:color w:val="FFFFFF"/>
        </w:rPr>
        <w:t>Reports</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Other</w:t>
      </w:r>
    </w:p>
    <w:p>
      <w:pPr>
        <w:spacing w:after="0" w:line="2" w:lineRule="exact"/>
        <w:rPr>
          <w:sz w:val="20"/>
          <w:szCs w:val="20"/>
          <w:color w:val="auto"/>
        </w:rPr>
      </w:pPr>
    </w:p>
    <w:p>
      <w:pPr>
        <w:spacing w:after="0"/>
        <w:rPr>
          <w:sz w:val="20"/>
          <w:szCs w:val="20"/>
          <w:color w:val="auto"/>
        </w:rPr>
      </w:pPr>
      <w:r>
        <w:rPr>
          <w:rFonts w:ascii="Arial" w:cs="Arial" w:eastAsia="Arial" w:hAnsi="Arial"/>
          <w:sz w:val="12"/>
          <w:szCs w:val="12"/>
          <w:color w:val="FFFFFF"/>
        </w:rPr>
        <w:t>Information</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Appendix A</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FFFFFF"/>
        </w:rPr>
        <w:t>Appendix B</w:t>
      </w:r>
    </w:p>
    <w:p>
      <w:pPr>
        <w:spacing w:after="0" w:line="200" w:lineRule="exact"/>
        <w:rPr>
          <w:sz w:val="20"/>
          <w:szCs w:val="20"/>
          <w:color w:val="auto"/>
        </w:rPr>
      </w:pPr>
    </w:p>
    <w:p>
      <w:pPr>
        <w:sectPr>
          <w:pgSz w:w="11900" w:h="16838" w:orient="portrait"/>
          <w:cols w:equalWidth="0" w:num="2">
            <w:col w:w="8500" w:space="720"/>
            <w:col w:w="1580"/>
          </w:cols>
          <w:pgMar w:left="320" w:top="463" w:right="7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6380"/>
        <w:spacing w:after="0"/>
        <w:tabs>
          <w:tab w:leader="none" w:pos="8500" w:val="left"/>
          <w:tab w:leader="none" w:pos="9960" w:val="left"/>
        </w:tabs>
        <w:rPr>
          <w:sz w:val="20"/>
          <w:szCs w:val="20"/>
          <w:color w:val="auto"/>
        </w:rPr>
      </w:pPr>
      <w:r>
        <w:rPr>
          <w:rFonts w:ascii="Arial" w:cs="Arial" w:eastAsia="Arial" w:hAnsi="Arial"/>
          <w:sz w:val="15"/>
          <w:szCs w:val="15"/>
          <w:b w:val="1"/>
          <w:bCs w:val="1"/>
          <w:color w:val="002B5F"/>
        </w:rPr>
        <w:t xml:space="preserve">2026 Proxy Statement  </w:t>
      </w:r>
      <w:r>
        <w:rPr>
          <w:rFonts w:ascii="Arial" w:cs="Arial" w:eastAsia="Arial" w:hAnsi="Arial"/>
          <w:sz w:val="20"/>
          <w:szCs w:val="20"/>
          <w:color w:val="002B5F"/>
        </w:rPr>
        <w:t>|</w:t>
      </w:r>
      <w:r>
        <w:rPr>
          <w:rFonts w:ascii="Arial" w:cs="Arial" w:eastAsia="Arial" w:hAnsi="Arial"/>
          <w:sz w:val="15"/>
          <w:szCs w:val="15"/>
          <w:b w:val="1"/>
          <w:bCs w:val="1"/>
          <w:color w:val="002B5F"/>
        </w:rPr>
        <w:t xml:space="preserve">  69</w:t>
      </w:r>
      <w:r>
        <w:rPr>
          <w:sz w:val="20"/>
          <w:szCs w:val="20"/>
          <w:color w:val="auto"/>
        </w:rPr>
        <w:tab/>
      </w:r>
      <w:r>
        <w:rPr>
          <w:rFonts w:ascii="Arial" w:cs="Arial" w:eastAsia="Arial" w:hAnsi="Arial"/>
          <w:sz w:val="17"/>
          <w:szCs w:val="17"/>
          <w:color w:val="auto"/>
        </w:rPr>
        <w:t xml:space="preserve">    </w:t>
      </w:r>
      <w:r>
        <w:rPr>
          <w:sz w:val="20"/>
          <w:szCs w:val="20"/>
          <w:color w:val="auto"/>
        </w:rPr>
        <w:tab/>
      </w:r>
      <w:r>
        <w:rPr>
          <w:rFonts w:ascii="Arial" w:cs="Arial" w:eastAsia="Arial" w:hAnsi="Arial"/>
          <w:sz w:val="17"/>
          <w:szCs w:val="17"/>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268605</wp:posOffset>
            </wp:positionH>
            <wp:positionV relativeFrom="paragraph">
              <wp:posOffset>-128905</wp:posOffset>
            </wp:positionV>
            <wp:extent cx="762000" cy="971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62000" cy="97155"/>
                    </a:xfrm>
                    <a:prstGeom prst="rect">
                      <a:avLst/>
                    </a:prstGeom>
                    <a:noFill/>
                  </pic:spPr>
                </pic:pic>
              </a:graphicData>
            </a:graphic>
          </wp:anchor>
        </w:drawing>
      </w:r>
    </w:p>
    <w:p>
      <w:pPr>
        <w:sectPr>
          <w:pgSz w:w="11900" w:h="16838" w:orient="portrait"/>
          <w:cols w:equalWidth="0" w:num="1">
            <w:col w:w="10800"/>
          </w:cols>
          <w:pgMar w:left="320" w:top="463" w:right="779" w:bottom="1440" w:gutter="0" w:footer="0" w:header="0"/>
          <w:type w:val="continuous"/>
        </w:sectPr>
      </w:pPr>
    </w:p>
    <w:bookmarkStart w:id="81" w:name="page82"/>
    <w:bookmarkEnd w:id="81"/>
    <w:p>
      <w:pPr>
        <w:spacing w:after="0"/>
        <w:rPr>
          <w:sz w:val="20"/>
          <w:szCs w:val="20"/>
          <w:color w:val="auto"/>
        </w:rPr>
      </w:pPr>
      <w:r>
        <w:rPr>
          <w:rFonts w:ascii="Times New Roman" w:cs="Times New Roman" w:eastAsia="Times New Roman" w:hAnsi="Times New Roman"/>
          <w:sz w:val="17"/>
          <w:szCs w:val="17"/>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268605</wp:posOffset>
            </wp:positionH>
            <wp:positionV relativeFrom="paragraph">
              <wp:posOffset>253365</wp:posOffset>
            </wp:positionV>
            <wp:extent cx="1183005" cy="745617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1183005" cy="7456170"/>
                    </a:xfrm>
                    <a:prstGeom prst="rect">
                      <a:avLst/>
                    </a:prstGeom>
                    <a:noFill/>
                  </pic:spPr>
                </pic:pic>
              </a:graphicData>
            </a:graphic>
          </wp:anchor>
        </w:drawing>
      </w:r>
    </w:p>
    <w:p>
      <w:pPr>
        <w:spacing w:after="0" w:line="200" w:lineRule="exact"/>
        <w:rPr>
          <w:sz w:val="20"/>
          <w:szCs w:val="20"/>
          <w:color w:val="auto"/>
        </w:rPr>
      </w:pPr>
    </w:p>
    <w:p>
      <w:pPr>
        <w:spacing w:after="0" w:line="304" w:lineRule="exact"/>
        <w:rPr>
          <w:sz w:val="20"/>
          <w:szCs w:val="20"/>
          <w:color w:val="auto"/>
        </w:rPr>
      </w:pPr>
    </w:p>
    <w:p>
      <w:pPr>
        <w:ind w:left="1120" w:right="460" w:hanging="672"/>
        <w:spacing w:after="0" w:line="382" w:lineRule="auto"/>
        <w:tabs>
          <w:tab w:leader="none" w:pos="610" w:val="left"/>
        </w:tabs>
        <w:numPr>
          <w:ilvl w:val="0"/>
          <w:numId w:val="107"/>
        </w:numPr>
        <w:rPr>
          <w:rFonts w:ascii="Arial" w:cs="Arial" w:eastAsia="Arial" w:hAnsi="Arial"/>
          <w:sz w:val="24"/>
          <w:szCs w:val="24"/>
          <w:color w:val="auto"/>
          <w:vertAlign w:val="subscript"/>
        </w:rPr>
      </w:pPr>
      <w:r>
        <w:rPr>
          <w:rFonts w:ascii="Arial" w:cs="Arial" w:eastAsia="Arial" w:hAnsi="Arial"/>
          <w:sz w:val="24"/>
          <w:szCs w:val="24"/>
          <w:color w:val="000000"/>
          <w:vertAlign w:val="subscript"/>
        </w:rPr>
        <w:t xml:space="preserve">     </w:t>
      </w:r>
      <w:r>
        <w:rPr>
          <w:rFonts w:ascii="Arial" w:cs="Arial" w:eastAsia="Arial" w:hAnsi="Arial"/>
          <w:sz w:val="10"/>
          <w:szCs w:val="10"/>
          <w:color w:val="FFFFFF"/>
        </w:rPr>
        <w:t xml:space="preserve"> General Information</w:t>
      </w:r>
    </w:p>
    <w:p>
      <w:pPr>
        <w:spacing w:after="0" w:line="1" w:lineRule="exact"/>
        <w:rPr>
          <w:sz w:val="20"/>
          <w:szCs w:val="20"/>
          <w:color w:val="auto"/>
        </w:rPr>
      </w:pPr>
    </w:p>
    <w:p>
      <w:pPr>
        <w:ind w:left="1120"/>
        <w:spacing w:after="0"/>
        <w:rPr>
          <w:sz w:val="20"/>
          <w:szCs w:val="20"/>
          <w:color w:val="auto"/>
        </w:rPr>
      </w:pPr>
      <w:r>
        <w:rPr>
          <w:rFonts w:ascii="Arial" w:cs="Arial" w:eastAsia="Arial" w:hAnsi="Arial"/>
          <w:sz w:val="11"/>
          <w:szCs w:val="11"/>
          <w:color w:val="FFFFFF"/>
        </w:rPr>
        <w:t>General Information</w:t>
      </w:r>
    </w:p>
    <w:p>
      <w:pPr>
        <w:spacing w:after="0" w:line="3"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About Corporate</w:t>
      </w:r>
    </w:p>
    <w:p>
      <w:pPr>
        <w:ind w:left="1120"/>
        <w:spacing w:after="0" w:line="221" w:lineRule="auto"/>
        <w:rPr>
          <w:sz w:val="20"/>
          <w:szCs w:val="20"/>
          <w:color w:val="auto"/>
        </w:rPr>
      </w:pPr>
      <w:r>
        <w:rPr>
          <w:rFonts w:ascii="Arial" w:cs="Arial" w:eastAsia="Arial" w:hAnsi="Arial"/>
          <w:sz w:val="12"/>
          <w:szCs w:val="12"/>
          <w:color w:val="FFFFFF"/>
        </w:rPr>
        <w:t>Governance</w:t>
      </w:r>
    </w:p>
    <w:p>
      <w:pPr>
        <w:ind w:left="1120"/>
        <w:spacing w:after="0" w:line="222" w:lineRule="auto"/>
        <w:rPr>
          <w:sz w:val="20"/>
          <w:szCs w:val="20"/>
          <w:color w:val="auto"/>
        </w:rPr>
      </w:pPr>
      <w:r>
        <w:rPr>
          <w:rFonts w:ascii="Arial" w:cs="Arial" w:eastAsia="Arial" w:hAnsi="Arial"/>
          <w:sz w:val="12"/>
          <w:szCs w:val="12"/>
          <w:color w:val="FFFFFF"/>
        </w:rPr>
        <w:t>and the Board of</w:t>
      </w:r>
    </w:p>
    <w:p>
      <w:pPr>
        <w:spacing w:after="0" w:line="1"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Directors</w:t>
      </w:r>
    </w:p>
    <w:p>
      <w:pPr>
        <w:spacing w:after="0" w:line="144" w:lineRule="exact"/>
        <w:rPr>
          <w:sz w:val="20"/>
          <w:szCs w:val="20"/>
          <w:color w:val="auto"/>
        </w:rPr>
      </w:pPr>
    </w:p>
    <w:p>
      <w:pPr>
        <w:jc w:val="center"/>
        <w:ind w:left="620"/>
        <w:spacing w:after="0"/>
        <w:rPr>
          <w:sz w:val="20"/>
          <w:szCs w:val="20"/>
          <w:color w:val="auto"/>
        </w:rPr>
      </w:pPr>
      <w:r>
        <w:rPr>
          <w:rFonts w:ascii="Arial" w:cs="Arial" w:eastAsia="Arial" w:hAnsi="Arial"/>
          <w:sz w:val="12"/>
          <w:szCs w:val="12"/>
          <w:color w:val="FFFFFF"/>
        </w:rPr>
        <w:t>Proposal 1</w:t>
      </w:r>
    </w:p>
    <w:p>
      <w:pPr>
        <w:spacing w:after="0" w:line="156"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Information</w:t>
      </w:r>
    </w:p>
    <w:p>
      <w:pPr>
        <w:ind w:left="1120"/>
        <w:spacing w:after="0" w:line="224" w:lineRule="auto"/>
        <w:rPr>
          <w:sz w:val="20"/>
          <w:szCs w:val="20"/>
          <w:color w:val="auto"/>
        </w:rPr>
      </w:pPr>
      <w:r>
        <w:rPr>
          <w:rFonts w:ascii="Arial" w:cs="Arial" w:eastAsia="Arial" w:hAnsi="Arial"/>
          <w:sz w:val="12"/>
          <w:szCs w:val="12"/>
          <w:color w:val="FFFFFF"/>
        </w:rPr>
        <w:t>Regarding Board</w:t>
      </w:r>
    </w:p>
    <w:p>
      <w:pPr>
        <w:ind w:left="1120"/>
        <w:spacing w:after="0" w:line="222" w:lineRule="auto"/>
        <w:rPr>
          <w:sz w:val="20"/>
          <w:szCs w:val="20"/>
          <w:color w:val="auto"/>
        </w:rPr>
      </w:pPr>
      <w:r>
        <w:rPr>
          <w:rFonts w:ascii="Arial" w:cs="Arial" w:eastAsia="Arial" w:hAnsi="Arial"/>
          <w:sz w:val="12"/>
          <w:szCs w:val="12"/>
          <w:color w:val="FFFFFF"/>
        </w:rPr>
        <w:t>and Committee</w:t>
      </w:r>
    </w:p>
    <w:p>
      <w:pPr>
        <w:ind w:left="1120"/>
        <w:spacing w:after="0"/>
        <w:rPr>
          <w:sz w:val="20"/>
          <w:szCs w:val="20"/>
          <w:color w:val="auto"/>
        </w:rPr>
      </w:pPr>
      <w:r>
        <w:rPr>
          <w:rFonts w:ascii="Arial" w:cs="Arial" w:eastAsia="Arial" w:hAnsi="Arial"/>
          <w:sz w:val="12"/>
          <w:szCs w:val="12"/>
          <w:color w:val="FFFFFF"/>
        </w:rPr>
        <w:t>Structure</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Board of Directors</w:t>
      </w:r>
    </w:p>
    <w:p>
      <w:pPr>
        <w:spacing w:after="0" w:line="2"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Compensation</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Compensation</w:t>
      </w:r>
    </w:p>
    <w:p>
      <w:pPr>
        <w:ind w:left="1120"/>
        <w:spacing w:after="0" w:line="224" w:lineRule="auto"/>
        <w:rPr>
          <w:sz w:val="20"/>
          <w:szCs w:val="20"/>
          <w:color w:val="auto"/>
        </w:rPr>
      </w:pPr>
      <w:r>
        <w:rPr>
          <w:rFonts w:ascii="Arial" w:cs="Arial" w:eastAsia="Arial" w:hAnsi="Arial"/>
          <w:sz w:val="12"/>
          <w:szCs w:val="12"/>
          <w:color w:val="FFFFFF"/>
        </w:rPr>
        <w:t>Discussion and</w:t>
      </w:r>
    </w:p>
    <w:p>
      <w:pPr>
        <w:ind w:left="1120"/>
        <w:spacing w:after="0"/>
        <w:rPr>
          <w:sz w:val="20"/>
          <w:szCs w:val="20"/>
          <w:color w:val="auto"/>
        </w:rPr>
      </w:pPr>
      <w:r>
        <w:rPr>
          <w:rFonts w:ascii="Arial" w:cs="Arial" w:eastAsia="Arial" w:hAnsi="Arial"/>
          <w:sz w:val="12"/>
          <w:szCs w:val="12"/>
          <w:color w:val="FFFFFF"/>
        </w:rPr>
        <w:t>Analysis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Report of the</w:t>
      </w:r>
    </w:p>
    <w:p>
      <w:pPr>
        <w:ind w:left="1120"/>
        <w:spacing w:after="0" w:line="224" w:lineRule="auto"/>
        <w:rPr>
          <w:sz w:val="20"/>
          <w:szCs w:val="20"/>
          <w:color w:val="auto"/>
        </w:rPr>
      </w:pPr>
      <w:r>
        <w:rPr>
          <w:rFonts w:ascii="Arial" w:cs="Arial" w:eastAsia="Arial" w:hAnsi="Arial"/>
          <w:sz w:val="12"/>
          <w:szCs w:val="12"/>
          <w:color w:val="FFFFFF"/>
        </w:rPr>
        <w:t>Compensation</w:t>
      </w:r>
    </w:p>
    <w:p>
      <w:pPr>
        <w:ind w:left="1120"/>
        <w:spacing w:after="0" w:line="222" w:lineRule="auto"/>
        <w:rPr>
          <w:sz w:val="20"/>
          <w:szCs w:val="20"/>
          <w:color w:val="auto"/>
        </w:rPr>
      </w:pPr>
      <w:r>
        <w:rPr>
          <w:rFonts w:ascii="Arial" w:cs="Arial" w:eastAsia="Arial" w:hAnsi="Arial"/>
          <w:sz w:val="12"/>
          <w:szCs w:val="12"/>
          <w:color w:val="FFFFFF"/>
        </w:rPr>
        <w:t>and Human</w:t>
      </w:r>
    </w:p>
    <w:p>
      <w:pPr>
        <w:ind w:left="1120"/>
        <w:spacing w:after="0" w:line="222" w:lineRule="auto"/>
        <w:rPr>
          <w:sz w:val="20"/>
          <w:szCs w:val="20"/>
          <w:color w:val="auto"/>
        </w:rPr>
      </w:pPr>
      <w:r>
        <w:rPr>
          <w:rFonts w:ascii="Arial" w:cs="Arial" w:eastAsia="Arial" w:hAnsi="Arial"/>
          <w:sz w:val="12"/>
          <w:szCs w:val="12"/>
          <w:color w:val="FFFFFF"/>
        </w:rPr>
        <w:t>Resources</w:t>
      </w:r>
    </w:p>
    <w:p>
      <w:pPr>
        <w:ind w:left="1120"/>
        <w:spacing w:after="0" w:line="222" w:lineRule="auto"/>
        <w:rPr>
          <w:sz w:val="20"/>
          <w:szCs w:val="20"/>
          <w:color w:val="auto"/>
        </w:rPr>
      </w:pPr>
      <w:r>
        <w:rPr>
          <w:rFonts w:ascii="Arial" w:cs="Arial" w:eastAsia="Arial" w:hAnsi="Arial"/>
          <w:sz w:val="12"/>
          <w:szCs w:val="12"/>
          <w:color w:val="FFFFFF"/>
        </w:rPr>
        <w:t>Committee of the</w:t>
      </w:r>
    </w:p>
    <w:p>
      <w:pPr>
        <w:ind w:left="1120"/>
        <w:spacing w:after="0"/>
        <w:rPr>
          <w:sz w:val="20"/>
          <w:szCs w:val="20"/>
          <w:color w:val="auto"/>
        </w:rPr>
      </w:pPr>
      <w:r>
        <w:rPr>
          <w:rFonts w:ascii="Arial" w:cs="Arial" w:eastAsia="Arial" w:hAnsi="Arial"/>
          <w:sz w:val="12"/>
          <w:szCs w:val="12"/>
          <w:color w:val="FFFFFF"/>
        </w:rPr>
        <w:t>Board of Directors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b w:val="1"/>
          <w:bCs w:val="1"/>
          <w:color w:val="FFFFFF"/>
        </w:rPr>
        <w:t>Compensation of</w:t>
      </w:r>
    </w:p>
    <w:p>
      <w:pPr>
        <w:ind w:left="1120"/>
        <w:spacing w:after="0" w:line="224" w:lineRule="auto"/>
        <w:rPr>
          <w:sz w:val="20"/>
          <w:szCs w:val="20"/>
          <w:color w:val="auto"/>
        </w:rPr>
      </w:pPr>
      <w:r>
        <w:rPr>
          <w:rFonts w:ascii="Arial" w:cs="Arial" w:eastAsia="Arial" w:hAnsi="Arial"/>
          <w:sz w:val="12"/>
          <w:szCs w:val="12"/>
          <w:b w:val="1"/>
          <w:bCs w:val="1"/>
          <w:color w:val="FFFFFF"/>
        </w:rPr>
        <w:t>Named Executive</w:t>
      </w:r>
    </w:p>
    <w:p>
      <w:pPr>
        <w:ind w:left="1120"/>
        <w:spacing w:after="0"/>
        <w:rPr>
          <w:sz w:val="20"/>
          <w:szCs w:val="20"/>
          <w:color w:val="auto"/>
        </w:rPr>
      </w:pPr>
      <w:r>
        <w:rPr>
          <w:rFonts w:ascii="Arial" w:cs="Arial" w:eastAsia="Arial" w:hAnsi="Arial"/>
          <w:sz w:val="12"/>
          <w:szCs w:val="12"/>
          <w:b w:val="1"/>
          <w:bCs w:val="1"/>
          <w:color w:val="FFFFFF"/>
        </w:rPr>
        <w:t>Officers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Pay Versus</w:t>
      </w:r>
    </w:p>
    <w:p>
      <w:pPr>
        <w:ind w:left="1120"/>
        <w:spacing w:after="0" w:line="224" w:lineRule="auto"/>
        <w:rPr>
          <w:sz w:val="20"/>
          <w:szCs w:val="20"/>
          <w:color w:val="auto"/>
        </w:rPr>
      </w:pPr>
      <w:r>
        <w:rPr>
          <w:rFonts w:ascii="Arial" w:cs="Arial" w:eastAsia="Arial" w:hAnsi="Arial"/>
          <w:sz w:val="12"/>
          <w:szCs w:val="12"/>
          <w:color w:val="FFFFFF"/>
        </w:rPr>
        <w:t>Performance</w:t>
      </w:r>
    </w:p>
    <w:p>
      <w:pPr>
        <w:ind w:left="1120"/>
        <w:spacing w:after="0"/>
        <w:rPr>
          <w:sz w:val="20"/>
          <w:szCs w:val="20"/>
          <w:color w:val="auto"/>
        </w:rPr>
      </w:pPr>
      <w:r>
        <w:rPr>
          <w:rFonts w:ascii="Arial" w:cs="Arial" w:eastAsia="Arial" w:hAnsi="Arial"/>
          <w:sz w:val="12"/>
          <w:szCs w:val="12"/>
          <w:color w:val="FFFFFF"/>
        </w:rPr>
        <w:t>Disclosure</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Security</w:t>
      </w:r>
    </w:p>
    <w:p>
      <w:pPr>
        <w:ind w:left="1120"/>
        <w:spacing w:after="0" w:line="224" w:lineRule="auto"/>
        <w:rPr>
          <w:sz w:val="20"/>
          <w:szCs w:val="20"/>
          <w:color w:val="auto"/>
        </w:rPr>
      </w:pPr>
      <w:r>
        <w:rPr>
          <w:rFonts w:ascii="Arial" w:cs="Arial" w:eastAsia="Arial" w:hAnsi="Arial"/>
          <w:sz w:val="12"/>
          <w:szCs w:val="12"/>
          <w:color w:val="FFFFFF"/>
        </w:rPr>
        <w:t>Ownership of</w:t>
      </w:r>
    </w:p>
    <w:p>
      <w:pPr>
        <w:ind w:left="1120"/>
        <w:spacing w:after="0" w:line="222" w:lineRule="auto"/>
        <w:rPr>
          <w:sz w:val="20"/>
          <w:szCs w:val="20"/>
          <w:color w:val="auto"/>
        </w:rPr>
      </w:pPr>
      <w:r>
        <w:rPr>
          <w:rFonts w:ascii="Arial" w:cs="Arial" w:eastAsia="Arial" w:hAnsi="Arial"/>
          <w:sz w:val="12"/>
          <w:szCs w:val="12"/>
          <w:color w:val="FFFFFF"/>
        </w:rPr>
        <w:t>Certain Beneficial</w:t>
      </w:r>
    </w:p>
    <w:p>
      <w:pPr>
        <w:ind w:left="1120"/>
        <w:spacing w:after="0" w:line="222" w:lineRule="auto"/>
        <w:rPr>
          <w:sz w:val="20"/>
          <w:szCs w:val="20"/>
          <w:color w:val="auto"/>
        </w:rPr>
      </w:pPr>
      <w:r>
        <w:rPr>
          <w:rFonts w:ascii="Arial" w:cs="Arial" w:eastAsia="Arial" w:hAnsi="Arial"/>
          <w:sz w:val="12"/>
          <w:szCs w:val="12"/>
          <w:color w:val="FFFFFF"/>
        </w:rPr>
        <w:t>Owners and</w:t>
      </w:r>
    </w:p>
    <w:p>
      <w:pPr>
        <w:ind w:left="1120"/>
        <w:spacing w:after="0"/>
        <w:rPr>
          <w:sz w:val="20"/>
          <w:szCs w:val="20"/>
          <w:color w:val="auto"/>
        </w:rPr>
      </w:pPr>
      <w:r>
        <w:rPr>
          <w:rFonts w:ascii="Arial" w:cs="Arial" w:eastAsia="Arial" w:hAnsi="Arial"/>
          <w:sz w:val="12"/>
          <w:szCs w:val="12"/>
          <w:color w:val="FFFFFF"/>
        </w:rPr>
        <w:t>Management</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Certain</w:t>
      </w:r>
    </w:p>
    <w:p>
      <w:pPr>
        <w:ind w:left="1120"/>
        <w:spacing w:after="0" w:line="224" w:lineRule="auto"/>
        <w:rPr>
          <w:sz w:val="20"/>
          <w:szCs w:val="20"/>
          <w:color w:val="auto"/>
        </w:rPr>
      </w:pPr>
      <w:r>
        <w:rPr>
          <w:rFonts w:ascii="Arial" w:cs="Arial" w:eastAsia="Arial" w:hAnsi="Arial"/>
          <w:sz w:val="12"/>
          <w:szCs w:val="12"/>
          <w:color w:val="FFFFFF"/>
        </w:rPr>
        <w:t>Relationships and</w:t>
      </w:r>
    </w:p>
    <w:p>
      <w:pPr>
        <w:ind w:left="1120"/>
        <w:spacing w:after="0" w:line="222" w:lineRule="auto"/>
        <w:rPr>
          <w:sz w:val="20"/>
          <w:szCs w:val="20"/>
          <w:color w:val="auto"/>
        </w:rPr>
      </w:pPr>
      <w:r>
        <w:rPr>
          <w:rFonts w:ascii="Arial" w:cs="Arial" w:eastAsia="Arial" w:hAnsi="Arial"/>
          <w:sz w:val="12"/>
          <w:szCs w:val="12"/>
          <w:color w:val="FFFFFF"/>
        </w:rPr>
        <w:t>Related Party</w:t>
      </w:r>
    </w:p>
    <w:p>
      <w:pPr>
        <w:ind w:left="1120"/>
        <w:spacing w:after="0"/>
        <w:rPr>
          <w:sz w:val="20"/>
          <w:szCs w:val="20"/>
          <w:color w:val="auto"/>
        </w:rPr>
      </w:pPr>
      <w:r>
        <w:rPr>
          <w:rFonts w:ascii="Arial" w:cs="Arial" w:eastAsia="Arial" w:hAnsi="Arial"/>
          <w:sz w:val="12"/>
          <w:szCs w:val="12"/>
          <w:color w:val="FFFFFF"/>
        </w:rPr>
        <w:t>Transactions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Proposal 2</w:t>
      </w:r>
    </w:p>
    <w:p>
      <w:pPr>
        <w:spacing w:after="0" w:line="156"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Report of the</w:t>
      </w:r>
    </w:p>
    <w:p>
      <w:pPr>
        <w:ind w:left="1120"/>
        <w:spacing w:after="0" w:line="224" w:lineRule="auto"/>
        <w:rPr>
          <w:sz w:val="20"/>
          <w:szCs w:val="20"/>
          <w:color w:val="auto"/>
        </w:rPr>
      </w:pPr>
      <w:r>
        <w:rPr>
          <w:rFonts w:ascii="Arial" w:cs="Arial" w:eastAsia="Arial" w:hAnsi="Arial"/>
          <w:sz w:val="12"/>
          <w:szCs w:val="12"/>
          <w:color w:val="FFFFFF"/>
        </w:rPr>
        <w:t>Audit and Risk</w:t>
      </w:r>
    </w:p>
    <w:p>
      <w:pPr>
        <w:ind w:left="1120"/>
        <w:spacing w:after="0" w:line="222" w:lineRule="auto"/>
        <w:rPr>
          <w:sz w:val="20"/>
          <w:szCs w:val="20"/>
          <w:color w:val="auto"/>
        </w:rPr>
      </w:pPr>
      <w:r>
        <w:rPr>
          <w:rFonts w:ascii="Arial" w:cs="Arial" w:eastAsia="Arial" w:hAnsi="Arial"/>
          <w:sz w:val="12"/>
          <w:szCs w:val="12"/>
          <w:color w:val="FFFFFF"/>
        </w:rPr>
        <w:t>Committee of the</w:t>
      </w:r>
    </w:p>
    <w:p>
      <w:pPr>
        <w:ind w:left="1120"/>
        <w:spacing w:after="0"/>
        <w:rPr>
          <w:sz w:val="20"/>
          <w:szCs w:val="20"/>
          <w:color w:val="auto"/>
        </w:rPr>
      </w:pPr>
      <w:r>
        <w:rPr>
          <w:rFonts w:ascii="Arial" w:cs="Arial" w:eastAsia="Arial" w:hAnsi="Arial"/>
          <w:sz w:val="12"/>
          <w:szCs w:val="12"/>
          <w:color w:val="FFFFFF"/>
        </w:rPr>
        <w:t>Board of Directors</w:t>
      </w:r>
    </w:p>
    <w:p>
      <w:pPr>
        <w:spacing w:after="0" w:line="144" w:lineRule="exact"/>
        <w:rPr>
          <w:sz w:val="20"/>
          <w:szCs w:val="20"/>
          <w:color w:val="auto"/>
        </w:rPr>
      </w:pPr>
    </w:p>
    <w:p>
      <w:pPr>
        <w:jc w:val="center"/>
        <w:ind w:left="620"/>
        <w:spacing w:after="0"/>
        <w:rPr>
          <w:sz w:val="20"/>
          <w:szCs w:val="20"/>
          <w:color w:val="auto"/>
        </w:rPr>
      </w:pPr>
      <w:r>
        <w:rPr>
          <w:rFonts w:ascii="Arial" w:cs="Arial" w:eastAsia="Arial" w:hAnsi="Arial"/>
          <w:sz w:val="12"/>
          <w:szCs w:val="12"/>
          <w:color w:val="FFFFFF"/>
        </w:rPr>
        <w:t>Proposal 3</w:t>
      </w:r>
    </w:p>
    <w:p>
      <w:pPr>
        <w:spacing w:after="0" w:line="156" w:lineRule="exact"/>
        <w:rPr>
          <w:sz w:val="20"/>
          <w:szCs w:val="20"/>
          <w:color w:val="auto"/>
        </w:rPr>
      </w:pPr>
    </w:p>
    <w:p>
      <w:pPr>
        <w:jc w:val="center"/>
        <w:ind w:left="620"/>
        <w:spacing w:after="0"/>
        <w:rPr>
          <w:sz w:val="20"/>
          <w:szCs w:val="20"/>
          <w:color w:val="auto"/>
        </w:rPr>
      </w:pPr>
      <w:r>
        <w:rPr>
          <w:rFonts w:ascii="Arial" w:cs="Arial" w:eastAsia="Arial" w:hAnsi="Arial"/>
          <w:sz w:val="12"/>
          <w:szCs w:val="12"/>
          <w:color w:val="FFFFFF"/>
        </w:rPr>
        <w:t>Proposal 4</w:t>
      </w:r>
    </w:p>
    <w:p>
      <w:pPr>
        <w:spacing w:after="0" w:line="156" w:lineRule="exact"/>
        <w:rPr>
          <w:sz w:val="20"/>
          <w:szCs w:val="20"/>
          <w:color w:val="auto"/>
        </w:rPr>
      </w:pPr>
    </w:p>
    <w:p>
      <w:pPr>
        <w:jc w:val="center"/>
        <w:ind w:left="620"/>
        <w:spacing w:after="0"/>
        <w:rPr>
          <w:sz w:val="20"/>
          <w:szCs w:val="20"/>
          <w:color w:val="auto"/>
        </w:rPr>
      </w:pPr>
      <w:r>
        <w:rPr>
          <w:rFonts w:ascii="Arial" w:cs="Arial" w:eastAsia="Arial" w:hAnsi="Arial"/>
          <w:sz w:val="12"/>
          <w:szCs w:val="12"/>
          <w:color w:val="FFFFFF"/>
        </w:rPr>
        <w:t>Proposal 5</w:t>
      </w:r>
    </w:p>
    <w:p>
      <w:pPr>
        <w:spacing w:after="0" w:line="156"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Proposal 6</w:t>
      </w:r>
    </w:p>
    <w:p>
      <w:pPr>
        <w:spacing w:after="0" w:line="156"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Stockholder</w:t>
      </w:r>
    </w:p>
    <w:p>
      <w:pPr>
        <w:ind w:left="1120"/>
        <w:spacing w:after="0" w:line="224" w:lineRule="auto"/>
        <w:rPr>
          <w:sz w:val="20"/>
          <w:szCs w:val="20"/>
          <w:color w:val="auto"/>
        </w:rPr>
      </w:pPr>
      <w:r>
        <w:rPr>
          <w:rFonts w:ascii="Arial" w:cs="Arial" w:eastAsia="Arial" w:hAnsi="Arial"/>
          <w:sz w:val="12"/>
          <w:szCs w:val="12"/>
          <w:color w:val="FFFFFF"/>
        </w:rPr>
        <w:t>Proposals and</w:t>
      </w:r>
    </w:p>
    <w:p>
      <w:pPr>
        <w:ind w:left="1120"/>
        <w:spacing w:after="0"/>
        <w:rPr>
          <w:sz w:val="20"/>
          <w:szCs w:val="20"/>
          <w:color w:val="auto"/>
        </w:rPr>
      </w:pPr>
      <w:r>
        <w:rPr>
          <w:rFonts w:ascii="Arial" w:cs="Arial" w:eastAsia="Arial" w:hAnsi="Arial"/>
          <w:sz w:val="12"/>
          <w:szCs w:val="12"/>
          <w:color w:val="FFFFFF"/>
        </w:rPr>
        <w:t>Other Matters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Delinquent</w:t>
      </w:r>
    </w:p>
    <w:p>
      <w:pPr>
        <w:ind w:left="1120"/>
        <w:spacing w:after="0" w:line="224" w:lineRule="auto"/>
        <w:rPr>
          <w:sz w:val="20"/>
          <w:szCs w:val="20"/>
          <w:color w:val="auto"/>
        </w:rPr>
      </w:pPr>
      <w:r>
        <w:rPr>
          <w:rFonts w:ascii="Arial" w:cs="Arial" w:eastAsia="Arial" w:hAnsi="Arial"/>
          <w:sz w:val="12"/>
          <w:szCs w:val="12"/>
          <w:color w:val="FFFFFF"/>
        </w:rPr>
        <w:t>Section 16(a)</w:t>
      </w:r>
    </w:p>
    <w:p>
      <w:pPr>
        <w:ind w:left="1120"/>
        <w:spacing w:after="0"/>
        <w:rPr>
          <w:sz w:val="20"/>
          <w:szCs w:val="20"/>
          <w:color w:val="auto"/>
        </w:rPr>
      </w:pPr>
      <w:r>
        <w:rPr>
          <w:rFonts w:ascii="Arial" w:cs="Arial" w:eastAsia="Arial" w:hAnsi="Arial"/>
          <w:sz w:val="12"/>
          <w:szCs w:val="12"/>
          <w:color w:val="FFFFFF"/>
        </w:rPr>
        <w:t>Reports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Other</w:t>
      </w:r>
    </w:p>
    <w:p>
      <w:pPr>
        <w:spacing w:after="0" w:line="2"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Information</w:t>
      </w:r>
    </w:p>
    <w:p>
      <w:pPr>
        <w:spacing w:after="0" w:line="144" w:lineRule="exact"/>
        <w:rPr>
          <w:sz w:val="20"/>
          <w:szCs w:val="20"/>
          <w:color w:val="auto"/>
        </w:rPr>
      </w:pPr>
    </w:p>
    <w:p>
      <w:pPr>
        <w:jc w:val="center"/>
        <w:ind w:left="660"/>
        <w:spacing w:after="0"/>
        <w:rPr>
          <w:sz w:val="20"/>
          <w:szCs w:val="20"/>
          <w:color w:val="auto"/>
        </w:rPr>
      </w:pPr>
      <w:r>
        <w:rPr>
          <w:rFonts w:ascii="Arial" w:cs="Arial" w:eastAsia="Arial" w:hAnsi="Arial"/>
          <w:sz w:val="12"/>
          <w:szCs w:val="12"/>
          <w:color w:val="FFFFFF"/>
        </w:rPr>
        <w:t>Appendix A</w:t>
      </w:r>
    </w:p>
    <w:p>
      <w:pPr>
        <w:spacing w:after="0" w:line="156" w:lineRule="exact"/>
        <w:rPr>
          <w:sz w:val="20"/>
          <w:szCs w:val="20"/>
          <w:color w:val="auto"/>
        </w:rPr>
      </w:pPr>
    </w:p>
    <w:p>
      <w:pPr>
        <w:jc w:val="center"/>
        <w:ind w:left="660"/>
        <w:spacing w:after="0"/>
        <w:rPr>
          <w:sz w:val="20"/>
          <w:szCs w:val="20"/>
          <w:color w:val="auto"/>
        </w:rPr>
      </w:pPr>
      <w:r>
        <w:rPr>
          <w:rFonts w:ascii="Arial" w:cs="Arial" w:eastAsia="Arial" w:hAnsi="Arial"/>
          <w:sz w:val="12"/>
          <w:szCs w:val="12"/>
          <w:color w:val="FFFFFF"/>
        </w:rPr>
        <w:t>Appendix 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right="400"/>
        <w:spacing w:after="0" w:line="287" w:lineRule="auto"/>
        <w:rPr>
          <w:sz w:val="20"/>
          <w:szCs w:val="20"/>
          <w:color w:val="auto"/>
        </w:rPr>
      </w:pPr>
      <w:r>
        <w:rPr>
          <w:rFonts w:ascii="Arial" w:cs="Arial" w:eastAsia="Arial" w:hAnsi="Arial"/>
          <w:sz w:val="15"/>
          <w:szCs w:val="15"/>
          <w:color w:val="auto"/>
        </w:rPr>
        <w:t>Prohibited competitive conduct is set forth in the Executive Severance Plan, which includes provisions related to non-competition, non-solicitation and the confidentiality of the Company’s proprietary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-1737995</wp:posOffset>
            </wp:positionH>
            <wp:positionV relativeFrom="paragraph">
              <wp:posOffset>-893445</wp:posOffset>
            </wp:positionV>
            <wp:extent cx="7181215" cy="5334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81215" cy="53340"/>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b w:val="1"/>
          <w:bCs w:val="1"/>
          <w:color w:val="002B5F"/>
        </w:rPr>
        <w:t>SEVERANCE AND CHANGE-IN-CONTROL PAYMENTS</w:t>
      </w:r>
    </w:p>
    <w:p>
      <w:pPr>
        <w:spacing w:after="0" w:line="103" w:lineRule="exact"/>
        <w:rPr>
          <w:sz w:val="20"/>
          <w:szCs w:val="20"/>
          <w:color w:val="auto"/>
        </w:rPr>
      </w:pPr>
    </w:p>
    <w:p>
      <w:pPr>
        <w:ind w:right="20"/>
        <w:spacing w:after="0" w:line="254" w:lineRule="auto"/>
        <w:rPr>
          <w:sz w:val="20"/>
          <w:szCs w:val="20"/>
          <w:color w:val="auto"/>
        </w:rPr>
      </w:pPr>
      <w:r>
        <w:rPr>
          <w:rFonts w:ascii="Arial" w:cs="Arial" w:eastAsia="Arial" w:hAnsi="Arial"/>
          <w:sz w:val="15"/>
          <w:szCs w:val="15"/>
          <w:color w:val="auto"/>
        </w:rPr>
        <w:t>We may become obligated to make severance payments under our Executive Severance Plan to an NEO upon such NEO’s qualifying termination of employment. These benefits are described below. We, however, have no obligation to grant any of the executive officers any “gross-up” or other “make-whole” compensation for any tax imposed on severance or change-in-control payments made to the executive officer, including “parachute payments.” Severance payable in connection with a change-in-control under our Executive Severance Plan is subject to a so-called “modified golden parachute cutback” provision, pursuant to which excess parachute payments would be reduced so that no portion of the payments would be subject to the excise tax, to the extent such reduction would result in greater after-tax benefits to the executive.</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color w:val="002B5F"/>
        </w:rPr>
        <w:t>TERMINATION WITHOUT CAUSE OR FOR GOOD REASON</w:t>
      </w:r>
    </w:p>
    <w:p>
      <w:pPr>
        <w:spacing w:after="0" w:line="103" w:lineRule="exact"/>
        <w:rPr>
          <w:sz w:val="20"/>
          <w:szCs w:val="20"/>
          <w:color w:val="auto"/>
        </w:rPr>
      </w:pPr>
    </w:p>
    <w:p>
      <w:pPr>
        <w:ind w:right="80"/>
        <w:spacing w:after="0" w:line="261" w:lineRule="auto"/>
        <w:rPr>
          <w:sz w:val="20"/>
          <w:szCs w:val="20"/>
          <w:color w:val="auto"/>
        </w:rPr>
      </w:pPr>
      <w:r>
        <w:rPr>
          <w:rFonts w:ascii="Arial" w:cs="Arial" w:eastAsia="Arial" w:hAnsi="Arial"/>
          <w:sz w:val="15"/>
          <w:szCs w:val="15"/>
          <w:color w:val="auto"/>
        </w:rPr>
        <w:t>Under the terms of our Executive Severance Plan, upon a termination of employment by the Company without cause or by the executive for good reason, a participant in the Executive Severance Plan (a “Participant”) will be entitled to the following payments and benefits, subject to the execution of a release of claims and continued compliance with post-termination restrictive covenants:</w:t>
      </w:r>
    </w:p>
    <w:p>
      <w:pPr>
        <w:spacing w:after="0" w:line="79" w:lineRule="exact"/>
        <w:rPr>
          <w:sz w:val="20"/>
          <w:szCs w:val="20"/>
          <w:color w:val="auto"/>
        </w:rPr>
      </w:pPr>
    </w:p>
    <w:p>
      <w:pPr>
        <w:ind w:left="280" w:right="260" w:hanging="273"/>
        <w:spacing w:after="0" w:line="287" w:lineRule="auto"/>
        <w:tabs>
          <w:tab w:leader="none" w:pos="280" w:val="left"/>
        </w:tabs>
        <w:numPr>
          <w:ilvl w:val="0"/>
          <w:numId w:val="108"/>
        </w:numPr>
        <w:rPr>
          <w:rFonts w:ascii="Arial" w:cs="Arial" w:eastAsia="Arial" w:hAnsi="Arial"/>
          <w:sz w:val="15"/>
          <w:szCs w:val="15"/>
          <w:color w:val="auto"/>
        </w:rPr>
      </w:pPr>
      <w:r>
        <w:rPr>
          <w:rFonts w:ascii="Arial" w:cs="Arial" w:eastAsia="Arial" w:hAnsi="Arial"/>
          <w:sz w:val="15"/>
          <w:szCs w:val="15"/>
          <w:color w:val="auto"/>
        </w:rPr>
        <w:t>Base salary through the Participant’s separation date, reimbursements for reasonable business expenses and any other employee benefit entitlements;</w:t>
      </w:r>
    </w:p>
    <w:p>
      <w:pPr>
        <w:spacing w:after="0" w:line="59" w:lineRule="exact"/>
        <w:rPr>
          <w:rFonts w:ascii="Arial" w:cs="Arial" w:eastAsia="Arial" w:hAnsi="Arial"/>
          <w:sz w:val="15"/>
          <w:szCs w:val="15"/>
          <w:color w:val="auto"/>
        </w:rPr>
      </w:pPr>
    </w:p>
    <w:p>
      <w:pPr>
        <w:ind w:left="280" w:hanging="273"/>
        <w:spacing w:after="0"/>
        <w:tabs>
          <w:tab w:leader="none" w:pos="280" w:val="left"/>
        </w:tabs>
        <w:numPr>
          <w:ilvl w:val="0"/>
          <w:numId w:val="108"/>
        </w:numPr>
        <w:rPr>
          <w:rFonts w:ascii="Arial" w:cs="Arial" w:eastAsia="Arial" w:hAnsi="Arial"/>
          <w:sz w:val="15"/>
          <w:szCs w:val="15"/>
          <w:color w:val="auto"/>
        </w:rPr>
      </w:pPr>
      <w:r>
        <w:rPr>
          <w:rFonts w:ascii="Arial" w:cs="Arial" w:eastAsia="Arial" w:hAnsi="Arial"/>
          <w:sz w:val="15"/>
          <w:szCs w:val="15"/>
          <w:color w:val="auto"/>
        </w:rPr>
        <w:t>An amount equal to the bonus paid (or payable) to the Participant for the most recently completed calendar year;</w:t>
      </w:r>
    </w:p>
    <w:p>
      <w:pPr>
        <w:spacing w:after="0" w:line="121" w:lineRule="exact"/>
        <w:rPr>
          <w:rFonts w:ascii="Arial" w:cs="Arial" w:eastAsia="Arial" w:hAnsi="Arial"/>
          <w:sz w:val="15"/>
          <w:szCs w:val="15"/>
          <w:color w:val="auto"/>
        </w:rPr>
      </w:pPr>
    </w:p>
    <w:p>
      <w:pPr>
        <w:ind w:left="280" w:hanging="273"/>
        <w:spacing w:after="0"/>
        <w:tabs>
          <w:tab w:leader="none" w:pos="280" w:val="left"/>
        </w:tabs>
        <w:numPr>
          <w:ilvl w:val="0"/>
          <w:numId w:val="108"/>
        </w:numPr>
        <w:rPr>
          <w:rFonts w:ascii="Arial" w:cs="Arial" w:eastAsia="Arial" w:hAnsi="Arial"/>
          <w:sz w:val="15"/>
          <w:szCs w:val="15"/>
          <w:color w:val="auto"/>
        </w:rPr>
      </w:pPr>
      <w:r>
        <w:rPr>
          <w:rFonts w:ascii="Arial" w:cs="Arial" w:eastAsia="Arial" w:hAnsi="Arial"/>
          <w:sz w:val="15"/>
          <w:szCs w:val="15"/>
          <w:color w:val="auto"/>
        </w:rPr>
        <w:t>Continued payment of base salary for 12 months after termination of employment;</w:t>
      </w:r>
    </w:p>
    <w:p>
      <w:pPr>
        <w:spacing w:after="0" w:line="121" w:lineRule="exact"/>
        <w:rPr>
          <w:rFonts w:ascii="Arial" w:cs="Arial" w:eastAsia="Arial" w:hAnsi="Arial"/>
          <w:sz w:val="15"/>
          <w:szCs w:val="15"/>
          <w:color w:val="auto"/>
        </w:rPr>
      </w:pPr>
    </w:p>
    <w:p>
      <w:pPr>
        <w:ind w:left="280" w:right="40" w:hanging="273"/>
        <w:spacing w:after="0" w:line="261" w:lineRule="auto"/>
        <w:tabs>
          <w:tab w:leader="none" w:pos="280" w:val="left"/>
        </w:tabs>
        <w:numPr>
          <w:ilvl w:val="0"/>
          <w:numId w:val="108"/>
        </w:numPr>
        <w:rPr>
          <w:rFonts w:ascii="Arial" w:cs="Arial" w:eastAsia="Arial" w:hAnsi="Arial"/>
          <w:sz w:val="15"/>
          <w:szCs w:val="15"/>
          <w:color w:val="auto"/>
        </w:rPr>
      </w:pPr>
      <w:r>
        <w:rPr>
          <w:rFonts w:ascii="Arial" w:cs="Arial" w:eastAsia="Arial" w:hAnsi="Arial"/>
          <w:sz w:val="15"/>
          <w:szCs w:val="15"/>
          <w:color w:val="auto"/>
        </w:rPr>
        <w:t>Accelerated vesting of the unvested portion of any outstanding equity and equity-based awards scheduled to vest based solely on the passage of time (such as outstanding RSUs) within 12 months of such Participant’s separation date (provided that, for Participants who are retirement eligible, RSUs will not be accelerated, and will continue to vest according to their original vesting schedule); and</w:t>
      </w:r>
    </w:p>
    <w:p>
      <w:pPr>
        <w:spacing w:after="0" w:line="79" w:lineRule="exact"/>
        <w:rPr>
          <w:rFonts w:ascii="Arial" w:cs="Arial" w:eastAsia="Arial" w:hAnsi="Arial"/>
          <w:sz w:val="15"/>
          <w:szCs w:val="15"/>
          <w:color w:val="auto"/>
        </w:rPr>
      </w:pPr>
    </w:p>
    <w:p>
      <w:pPr>
        <w:ind w:left="280" w:right="160" w:hanging="273"/>
        <w:spacing w:after="0" w:line="258" w:lineRule="auto"/>
        <w:tabs>
          <w:tab w:leader="none" w:pos="280" w:val="left"/>
        </w:tabs>
        <w:numPr>
          <w:ilvl w:val="0"/>
          <w:numId w:val="108"/>
        </w:numPr>
        <w:rPr>
          <w:rFonts w:ascii="Arial" w:cs="Arial" w:eastAsia="Arial" w:hAnsi="Arial"/>
          <w:sz w:val="15"/>
          <w:szCs w:val="15"/>
          <w:color w:val="auto"/>
        </w:rPr>
      </w:pPr>
      <w:r>
        <w:rPr>
          <w:rFonts w:ascii="Arial" w:cs="Arial" w:eastAsia="Arial" w:hAnsi="Arial"/>
          <w:sz w:val="15"/>
          <w:szCs w:val="15"/>
          <w:color w:val="auto"/>
        </w:rPr>
        <w:t>Payment of the employer portion of the premium (plus the additional amount, if any, charged for administrative costs as permitted by COBRA) for COBRA participation in the Company’s health and dental plans until the earliest of 12 months following termination of the Participant’s participation in such plans as an employee, the date that such Participant becomes eligible for comparable benefit coverage and the date the Participant is no longer eligible for COBRA (subject to the Participant’s eligibility under COBRA and proper and timely elections).</w:t>
      </w:r>
    </w:p>
    <w:p>
      <w:pPr>
        <w:spacing w:after="0" w:line="68" w:lineRule="exact"/>
        <w:rPr>
          <w:sz w:val="20"/>
          <w:szCs w:val="20"/>
          <w:color w:val="auto"/>
        </w:rPr>
      </w:pPr>
    </w:p>
    <w:p>
      <w:pPr>
        <w:spacing w:after="0" w:line="253" w:lineRule="auto"/>
        <w:rPr>
          <w:sz w:val="20"/>
          <w:szCs w:val="20"/>
          <w:color w:val="auto"/>
        </w:rPr>
      </w:pPr>
      <w:r>
        <w:rPr>
          <w:rFonts w:ascii="Arial" w:cs="Arial" w:eastAsia="Arial" w:hAnsi="Arial"/>
          <w:sz w:val="15"/>
          <w:szCs w:val="15"/>
          <w:color w:val="auto"/>
        </w:rPr>
        <w:t>In addition, any performance-based equity or equity-based awards (such as outstanding PSUs) will remain outstanding and eligible to become earned in accordance with their terms provided that the portion of the awards that becomes earned and vested will be prorated based upon the number of days that have elapsed between the start of the applicable performance period associated with such award and the executive’s separation date. If the Participant’s termination results in a Designated Retirement (defined below), PSUs granted in 2024 or after will generally remain outstanding and eligible to become earned PSUs based on relative TSR performance at the end of the performance period but will not be subject to the proration described above. “Designated Retirement” means the termination of employment other than for cause following the attainment of age 60 and completion of ten years of continuous service with the Company.</w:t>
      </w:r>
    </w:p>
    <w:p>
      <w:pPr>
        <w:spacing w:after="0" w:line="74" w:lineRule="exact"/>
        <w:rPr>
          <w:sz w:val="20"/>
          <w:szCs w:val="20"/>
          <w:color w:val="auto"/>
        </w:rPr>
      </w:pPr>
    </w:p>
    <w:p>
      <w:pPr>
        <w:ind w:right="200"/>
        <w:spacing w:after="0" w:line="268" w:lineRule="auto"/>
        <w:rPr>
          <w:sz w:val="20"/>
          <w:szCs w:val="20"/>
          <w:color w:val="auto"/>
        </w:rPr>
      </w:pPr>
      <w:r>
        <w:rPr>
          <w:rFonts w:ascii="Arial" w:cs="Arial" w:eastAsia="Arial" w:hAnsi="Arial"/>
          <w:sz w:val="15"/>
          <w:szCs w:val="15"/>
          <w:color w:val="auto"/>
        </w:rPr>
        <w:t>Further, upon a termination of employment by the Company without cause or by the executive for good reason, in each case, within the 12-month period following the date of consummation of a change-in-control (as defined in the Executive Severance Plan), a Participant will be entitled to the</w:t>
      </w:r>
    </w:p>
    <w:p>
      <w:pPr>
        <w:spacing w:after="0" w:line="2434" w:lineRule="exact"/>
        <w:rPr>
          <w:sz w:val="20"/>
          <w:szCs w:val="20"/>
          <w:color w:val="auto"/>
        </w:rPr>
      </w:pPr>
    </w:p>
    <w:p>
      <w:pPr>
        <w:sectPr>
          <w:pgSz w:w="11900" w:h="16838" w:orient="portrait"/>
          <w:cols w:equalWidth="0" w:num="2">
            <w:col w:w="2160" w:space="560"/>
            <w:col w:w="7980"/>
          </w:cols>
          <w:pgMar w:left="320" w:top="464" w:right="879" w:bottom="1440" w:gutter="0" w:footer="0" w:header="0"/>
        </w:sectPr>
      </w:pPr>
    </w:p>
    <w:p>
      <w:pPr>
        <w:spacing w:after="0" w:line="200" w:lineRule="exact"/>
        <w:rPr>
          <w:sz w:val="20"/>
          <w:szCs w:val="20"/>
          <w:color w:val="auto"/>
        </w:rPr>
      </w:pPr>
    </w:p>
    <w:p>
      <w:pPr>
        <w:spacing w:after="0" w:line="385" w:lineRule="exact"/>
        <w:rPr>
          <w:sz w:val="20"/>
          <w:szCs w:val="20"/>
          <w:color w:val="auto"/>
        </w:rPr>
      </w:pPr>
    </w:p>
    <w:p>
      <w:pPr>
        <w:ind w:left="420"/>
        <w:spacing w:after="0"/>
        <w:tabs>
          <w:tab w:leader="none" w:pos="2380" w:val="left"/>
          <w:tab w:leader="none" w:pos="2800" w:val="left"/>
        </w:tabs>
        <w:rPr>
          <w:sz w:val="20"/>
          <w:szCs w:val="20"/>
          <w:color w:val="auto"/>
        </w:rPr>
      </w:pPr>
      <w:r>
        <w:rPr>
          <w:rFonts w:ascii="Arial" w:cs="Arial" w:eastAsia="Arial" w:hAnsi="Arial"/>
          <w:sz w:val="30"/>
          <w:szCs w:val="30"/>
          <w:color w:val="000000"/>
          <w:vertAlign w:val="superscript"/>
        </w:rPr>
        <w:t xml:space="preserve">             </w:t>
      </w:r>
      <w:r>
        <w:rPr>
          <w:sz w:val="20"/>
          <w:szCs w:val="20"/>
          <w:color w:val="auto"/>
        </w:rPr>
        <w:tab/>
      </w:r>
      <w:r>
        <w:rPr>
          <w:rFonts w:ascii="Arial" w:cs="Arial" w:eastAsia="Arial" w:hAnsi="Arial"/>
          <w:sz w:val="31"/>
          <w:szCs w:val="31"/>
          <w:color w:val="auto"/>
          <w:vertAlign w:val="superscript"/>
        </w:rPr>
        <w:t xml:space="preserve">    </w:t>
      </w:r>
      <w:r>
        <w:rPr>
          <w:sz w:val="20"/>
          <w:szCs w:val="20"/>
          <w:color w:val="auto"/>
        </w:rPr>
        <w:tab/>
      </w:r>
      <w:r>
        <w:rPr>
          <w:rFonts w:ascii="Arial" w:cs="Arial" w:eastAsia="Arial" w:hAnsi="Arial"/>
          <w:sz w:val="15"/>
          <w:szCs w:val="15"/>
          <w:b w:val="1"/>
          <w:bCs w:val="1"/>
          <w:color w:val="002B5F"/>
        </w:rPr>
        <w:t xml:space="preserve">70  </w:t>
      </w:r>
      <w:r>
        <w:rPr>
          <w:rFonts w:ascii="Arial" w:cs="Arial" w:eastAsia="Arial" w:hAnsi="Arial"/>
          <w:sz w:val="20"/>
          <w:szCs w:val="20"/>
          <w:color w:val="002B5F"/>
        </w:rPr>
        <w:t>|</w:t>
      </w:r>
      <w:r>
        <w:rPr>
          <w:rFonts w:ascii="Arial" w:cs="Arial" w:eastAsia="Arial" w:hAnsi="Arial"/>
          <w:sz w:val="15"/>
          <w:szCs w:val="15"/>
          <w:b w:val="1"/>
          <w:bCs w:val="1"/>
          <w:color w:val="002B5F"/>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6111875</wp:posOffset>
            </wp:positionH>
            <wp:positionV relativeFrom="paragraph">
              <wp:posOffset>-208915</wp:posOffset>
            </wp:positionV>
            <wp:extent cx="769620" cy="971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69620" cy="97155"/>
                    </a:xfrm>
                    <a:prstGeom prst="rect">
                      <a:avLst/>
                    </a:prstGeom>
                    <a:noFill/>
                  </pic:spPr>
                </pic:pic>
              </a:graphicData>
            </a:graphic>
          </wp:anchor>
        </w:drawing>
      </w:r>
    </w:p>
    <w:p>
      <w:pPr>
        <w:sectPr>
          <w:pgSz w:w="11900" w:h="16838" w:orient="portrait"/>
          <w:cols w:equalWidth="0" w:num="1">
            <w:col w:w="10700"/>
          </w:cols>
          <w:pgMar w:left="320" w:top="464" w:right="879" w:bottom="1440" w:gutter="0" w:footer="0" w:header="0"/>
          <w:type w:val="continuous"/>
        </w:sectPr>
      </w:pPr>
    </w:p>
    <w:bookmarkStart w:id="82" w:name="page83"/>
    <w:bookmarkEnd w:id="8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5334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81215" cy="5334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5617845</wp:posOffset>
            </wp:positionH>
            <wp:positionV relativeFrom="paragraph">
              <wp:posOffset>253365</wp:posOffset>
            </wp:positionV>
            <wp:extent cx="1256030" cy="74720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1256030" cy="7472045"/>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tbl>
      <w:tblPr>
        <w:tblLayout w:type="fixed"/>
        <w:tblInd w:w="540" w:type="dxa"/>
        <w:tblCellMar>
          <w:top w:w="0" w:type="dxa"/>
          <w:left w:w="0" w:type="dxa"/>
          <w:bottom w:w="0" w:type="dxa"/>
          <w:right w:w="0" w:type="dxa"/>
        </w:tblCellMar>
      </w:tblPr>
      <w:tr>
        <w:trPr>
          <w:trHeight w:val="179"/>
        </w:trPr>
        <w:tc>
          <w:tcPr>
            <w:tcW w:w="8100" w:type="dxa"/>
            <w:vAlign w:val="bottom"/>
          </w:tcPr>
          <w:p>
            <w:pPr>
              <w:spacing w:after="0"/>
              <w:rPr>
                <w:sz w:val="20"/>
                <w:szCs w:val="20"/>
                <w:color w:val="auto"/>
              </w:rPr>
            </w:pPr>
            <w:r>
              <w:rPr>
                <w:rFonts w:ascii="Arial" w:cs="Arial" w:eastAsia="Arial" w:hAnsi="Arial"/>
                <w:sz w:val="15"/>
                <w:szCs w:val="15"/>
                <w:color w:val="auto"/>
              </w:rPr>
              <w:t>following payments and benefits, subject to the execution of a release of claims and continued compliance with</w:t>
            </w:r>
          </w:p>
        </w:tc>
        <w:tc>
          <w:tcPr>
            <w:tcW w:w="4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8100" w:type="dxa"/>
            <w:vAlign w:val="bottom"/>
          </w:tcPr>
          <w:p>
            <w:pPr>
              <w:spacing w:after="0"/>
              <w:rPr>
                <w:sz w:val="20"/>
                <w:szCs w:val="20"/>
                <w:color w:val="auto"/>
              </w:rPr>
            </w:pPr>
            <w:r>
              <w:rPr>
                <w:rFonts w:ascii="Arial" w:cs="Arial" w:eastAsia="Arial" w:hAnsi="Arial"/>
                <w:sz w:val="15"/>
                <w:szCs w:val="15"/>
                <w:color w:val="auto"/>
              </w:rPr>
              <w:t>post-termination restrictive covenants:</w:t>
            </w:r>
          </w:p>
        </w:tc>
        <w:tc>
          <w:tcPr>
            <w:tcW w:w="440" w:type="dxa"/>
            <w:vAlign w:val="bottom"/>
            <w:vMerge w:val="restart"/>
          </w:tcPr>
          <w:p>
            <w:pPr>
              <w:ind w:left="240"/>
              <w:spacing w:after="0"/>
              <w:rPr>
                <w:sz w:val="20"/>
                <w:szCs w:val="20"/>
                <w:color w:val="auto"/>
              </w:rPr>
            </w:pPr>
            <w:r>
              <w:rPr>
                <w:rFonts w:ascii="Arial" w:cs="Arial" w:eastAsia="Arial" w:hAnsi="Arial"/>
                <w:sz w:val="15"/>
                <w:szCs w:val="15"/>
                <w:color w:val="auto"/>
              </w:rPr>
              <w:t> </w:t>
            </w:r>
          </w:p>
        </w:tc>
        <w:tc>
          <w:tcPr>
            <w:tcW w:w="1280" w:type="dxa"/>
            <w:vAlign w:val="bottom"/>
            <w:vMerge w:val="restart"/>
          </w:tcPr>
          <w:p>
            <w:pPr>
              <w:ind w:left="140"/>
              <w:spacing w:after="0"/>
              <w:rPr>
                <w:sz w:val="20"/>
                <w:szCs w:val="20"/>
                <w:color w:val="auto"/>
              </w:rPr>
            </w:pPr>
            <w:r>
              <w:rPr>
                <w:rFonts w:ascii="Arial" w:cs="Arial" w:eastAsia="Arial" w:hAnsi="Arial"/>
                <w:sz w:val="12"/>
                <w:szCs w:val="12"/>
                <w:color w:val="FFFFFF"/>
              </w:rPr>
              <w:t>General</w:t>
            </w:r>
          </w:p>
        </w:tc>
        <w:tc>
          <w:tcPr>
            <w:tcW w:w="440" w:type="dxa"/>
            <w:vAlign w:val="bottom"/>
            <w:vMerge w:val="restart"/>
          </w:tcPr>
          <w:p>
            <w:pPr>
              <w:ind w:left="80"/>
              <w:spacing w:after="0"/>
              <w:rPr>
                <w:sz w:val="20"/>
                <w:szCs w:val="20"/>
                <w:color w:val="auto"/>
              </w:rPr>
            </w:pPr>
            <w:r>
              <w:rPr>
                <w:rFonts w:ascii="Arial" w:cs="Arial" w:eastAsia="Arial" w:hAnsi="Arial"/>
                <w:sz w:val="15"/>
                <w:szCs w:val="15"/>
                <w:color w:val="auto"/>
              </w:rPr>
              <w:t xml:space="preserve">       </w:t>
            </w:r>
          </w:p>
        </w:tc>
        <w:tc>
          <w:tcPr>
            <w:tcW w:w="0" w:type="dxa"/>
            <w:vAlign w:val="bottom"/>
          </w:tcPr>
          <w:p>
            <w:pPr>
              <w:spacing w:after="0"/>
              <w:rPr>
                <w:sz w:val="1"/>
                <w:szCs w:val="1"/>
                <w:color w:val="auto"/>
              </w:rPr>
            </w:pPr>
          </w:p>
        </w:tc>
      </w:tr>
      <w:tr>
        <w:trPr>
          <w:trHeight w:val="29"/>
        </w:trPr>
        <w:tc>
          <w:tcPr>
            <w:tcW w:w="8100" w:type="dxa"/>
            <w:vAlign w:val="bottom"/>
          </w:tcPr>
          <w:p>
            <w:pPr>
              <w:spacing w:after="0"/>
              <w:rPr>
                <w:sz w:val="2"/>
                <w:szCs w:val="2"/>
                <w:color w:val="auto"/>
              </w:rPr>
            </w:pPr>
          </w:p>
        </w:tc>
        <w:tc>
          <w:tcPr>
            <w:tcW w:w="440" w:type="dxa"/>
            <w:vAlign w:val="bottom"/>
            <w:vMerge w:val="continue"/>
          </w:tcPr>
          <w:p>
            <w:pPr>
              <w:spacing w:after="0"/>
              <w:rPr>
                <w:sz w:val="2"/>
                <w:szCs w:val="2"/>
                <w:color w:val="auto"/>
              </w:rPr>
            </w:pPr>
          </w:p>
        </w:tc>
        <w:tc>
          <w:tcPr>
            <w:tcW w:w="1280" w:type="dxa"/>
            <w:vAlign w:val="bottom"/>
            <w:vMerge w:val="continue"/>
          </w:tcPr>
          <w:p>
            <w:pPr>
              <w:spacing w:after="0"/>
              <w:rPr>
                <w:sz w:val="2"/>
                <w:szCs w:val="2"/>
                <w:color w:val="auto"/>
              </w:rPr>
            </w:pPr>
          </w:p>
        </w:tc>
        <w:tc>
          <w:tcPr>
            <w:tcW w:w="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8"/>
        </w:trPr>
        <w:tc>
          <w:tcPr>
            <w:tcW w:w="8100" w:type="dxa"/>
            <w:vAlign w:val="bottom"/>
            <w:vMerge w:val="restart"/>
          </w:tcPr>
          <w:p>
            <w:pPr>
              <w:spacing w:after="0"/>
              <w:rPr>
                <w:sz w:val="20"/>
                <w:szCs w:val="20"/>
                <w:color w:val="auto"/>
              </w:rPr>
            </w:pPr>
            <w:r>
              <w:rPr>
                <w:rFonts w:ascii="Arial" w:cs="Arial" w:eastAsia="Arial" w:hAnsi="Arial"/>
                <w:sz w:val="15"/>
                <w:szCs w:val="15"/>
                <w:color w:val="auto"/>
              </w:rPr>
              <w:t>•   Base salary through the Participant’s separation date, reimbursements for reasonable business expenses, and</w:t>
            </w:r>
          </w:p>
        </w:tc>
        <w:tc>
          <w:tcPr>
            <w:tcW w:w="440" w:type="dxa"/>
            <w:vAlign w:val="bottom"/>
          </w:tcPr>
          <w:p>
            <w:pPr>
              <w:spacing w:after="0"/>
              <w:rPr>
                <w:sz w:val="13"/>
                <w:szCs w:val="13"/>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Information</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5"/>
        </w:trPr>
        <w:tc>
          <w:tcPr>
            <w:tcW w:w="8100" w:type="dxa"/>
            <w:vAlign w:val="bottom"/>
            <w:vMerge w:val="continue"/>
          </w:tcPr>
          <w:p>
            <w:pPr>
              <w:spacing w:after="0"/>
              <w:rPr>
                <w:sz w:val="7"/>
                <w:szCs w:val="7"/>
                <w:color w:val="auto"/>
              </w:rPr>
            </w:pPr>
          </w:p>
        </w:tc>
        <w:tc>
          <w:tcPr>
            <w:tcW w:w="440" w:type="dxa"/>
            <w:vAlign w:val="bottom"/>
          </w:tcPr>
          <w:p>
            <w:pPr>
              <w:spacing w:after="0"/>
              <w:rPr>
                <w:sz w:val="7"/>
                <w:szCs w:val="7"/>
                <w:color w:val="auto"/>
              </w:rPr>
            </w:pPr>
          </w:p>
        </w:tc>
        <w:tc>
          <w:tcPr>
            <w:tcW w:w="1280" w:type="dxa"/>
            <w:vAlign w:val="bottom"/>
          </w:tcPr>
          <w:p>
            <w:pPr>
              <w:spacing w:after="0"/>
              <w:rPr>
                <w:sz w:val="7"/>
                <w:szCs w:val="7"/>
                <w:color w:val="auto"/>
              </w:rPr>
            </w:pPr>
          </w:p>
        </w:tc>
        <w:tc>
          <w:tcPr>
            <w:tcW w:w="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3"/>
        </w:trPr>
        <w:tc>
          <w:tcPr>
            <w:tcW w:w="8100" w:type="dxa"/>
            <w:vAlign w:val="bottom"/>
          </w:tcPr>
          <w:p>
            <w:pPr>
              <w:ind w:left="260"/>
              <w:spacing w:after="0" w:line="153" w:lineRule="exact"/>
              <w:rPr>
                <w:sz w:val="20"/>
                <w:szCs w:val="20"/>
                <w:color w:val="auto"/>
              </w:rPr>
            </w:pPr>
            <w:r>
              <w:rPr>
                <w:rFonts w:ascii="Arial" w:cs="Arial" w:eastAsia="Arial" w:hAnsi="Arial"/>
                <w:sz w:val="15"/>
                <w:szCs w:val="15"/>
                <w:color w:val="auto"/>
              </w:rPr>
              <w:t>any other employee benefit entitlements;</w:t>
            </w:r>
          </w:p>
        </w:tc>
        <w:tc>
          <w:tcPr>
            <w:tcW w:w="440" w:type="dxa"/>
            <w:vAlign w:val="bottom"/>
          </w:tcPr>
          <w:p>
            <w:pPr>
              <w:spacing w:after="0"/>
              <w:rPr>
                <w:sz w:val="13"/>
                <w:szCs w:val="13"/>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General Information</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3"/>
        </w:trPr>
        <w:tc>
          <w:tcPr>
            <w:tcW w:w="8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80" w:type="dxa"/>
            <w:vAlign w:val="bottom"/>
          </w:tcPr>
          <w:p>
            <w:pPr>
              <w:ind w:left="140"/>
              <w:spacing w:after="0" w:line="123" w:lineRule="exact"/>
              <w:rPr>
                <w:sz w:val="20"/>
                <w:szCs w:val="20"/>
                <w:color w:val="auto"/>
              </w:rPr>
            </w:pPr>
            <w:r>
              <w:rPr>
                <w:rFonts w:ascii="Arial" w:cs="Arial" w:eastAsia="Arial" w:hAnsi="Arial"/>
                <w:sz w:val="12"/>
                <w:szCs w:val="12"/>
                <w:color w:val="FFFFFF"/>
              </w:rPr>
              <w:t>About Corporate</w:t>
            </w: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8100" w:type="dxa"/>
            <w:vAlign w:val="bottom"/>
          </w:tcPr>
          <w:p>
            <w:pPr>
              <w:spacing w:after="0" w:line="171" w:lineRule="exact"/>
              <w:rPr>
                <w:sz w:val="20"/>
                <w:szCs w:val="20"/>
                <w:color w:val="auto"/>
              </w:rPr>
            </w:pPr>
            <w:r>
              <w:rPr>
                <w:rFonts w:ascii="Arial" w:cs="Arial" w:eastAsia="Arial" w:hAnsi="Arial"/>
                <w:sz w:val="15"/>
                <w:szCs w:val="15"/>
                <w:color w:val="auto"/>
              </w:rPr>
              <w:t>•   An amount equal to 150% of the Participant’s target bonus for the calendar year in which employment is</w:t>
            </w:r>
          </w:p>
        </w:tc>
        <w:tc>
          <w:tcPr>
            <w:tcW w:w="440" w:type="dxa"/>
            <w:vAlign w:val="bottom"/>
          </w:tcPr>
          <w:p>
            <w:pPr>
              <w:spacing w:after="0"/>
              <w:rPr>
                <w:sz w:val="14"/>
                <w:szCs w:val="14"/>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Governance</w:t>
            </w: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8100" w:type="dxa"/>
            <w:vAlign w:val="bottom"/>
            <w:vMerge w:val="restart"/>
          </w:tcPr>
          <w:p>
            <w:pPr>
              <w:ind w:left="260"/>
              <w:spacing w:after="0"/>
              <w:rPr>
                <w:sz w:val="20"/>
                <w:szCs w:val="20"/>
                <w:color w:val="auto"/>
              </w:rPr>
            </w:pPr>
            <w:r>
              <w:rPr>
                <w:rFonts w:ascii="Arial" w:cs="Arial" w:eastAsia="Arial" w:hAnsi="Arial"/>
                <w:sz w:val="15"/>
                <w:szCs w:val="15"/>
                <w:color w:val="auto"/>
              </w:rPr>
              <w:t>terminated;</w:t>
            </w:r>
          </w:p>
        </w:tc>
        <w:tc>
          <w:tcPr>
            <w:tcW w:w="440" w:type="dxa"/>
            <w:vAlign w:val="bottom"/>
          </w:tcPr>
          <w:p>
            <w:pPr>
              <w:spacing w:after="0"/>
              <w:rPr>
                <w:sz w:val="7"/>
                <w:szCs w:val="7"/>
                <w:color w:val="auto"/>
              </w:rPr>
            </w:pPr>
          </w:p>
        </w:tc>
        <w:tc>
          <w:tcPr>
            <w:tcW w:w="1280" w:type="dxa"/>
            <w:vAlign w:val="bottom"/>
          </w:tcPr>
          <w:p>
            <w:pPr>
              <w:ind w:left="140"/>
              <w:spacing w:after="0" w:line="85" w:lineRule="exact"/>
              <w:rPr>
                <w:sz w:val="20"/>
                <w:szCs w:val="20"/>
                <w:color w:val="auto"/>
              </w:rPr>
            </w:pPr>
            <w:r>
              <w:rPr>
                <w:rFonts w:ascii="Arial" w:cs="Arial" w:eastAsia="Arial" w:hAnsi="Arial"/>
                <w:sz w:val="8"/>
                <w:szCs w:val="8"/>
                <w:color w:val="FFFFFF"/>
              </w:rPr>
              <w:t>and the Board of</w:t>
            </w:r>
          </w:p>
        </w:tc>
        <w:tc>
          <w:tcPr>
            <w:tcW w:w="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8"/>
        </w:trPr>
        <w:tc>
          <w:tcPr>
            <w:tcW w:w="8100" w:type="dxa"/>
            <w:vAlign w:val="bottom"/>
            <w:vMerge w:val="continue"/>
          </w:tcPr>
          <w:p>
            <w:pPr>
              <w:spacing w:after="0"/>
              <w:rPr>
                <w:sz w:val="13"/>
                <w:szCs w:val="13"/>
                <w:color w:val="auto"/>
              </w:rPr>
            </w:pPr>
          </w:p>
        </w:tc>
        <w:tc>
          <w:tcPr>
            <w:tcW w:w="440" w:type="dxa"/>
            <w:vAlign w:val="bottom"/>
          </w:tcPr>
          <w:p>
            <w:pPr>
              <w:spacing w:after="0"/>
              <w:rPr>
                <w:sz w:val="13"/>
                <w:szCs w:val="13"/>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Directors</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4"/>
        </w:trPr>
        <w:tc>
          <w:tcPr>
            <w:tcW w:w="8100" w:type="dxa"/>
            <w:vAlign w:val="bottom"/>
          </w:tcPr>
          <w:p>
            <w:pPr>
              <w:spacing w:after="0"/>
              <w:rPr>
                <w:sz w:val="20"/>
                <w:szCs w:val="20"/>
                <w:color w:val="auto"/>
              </w:rPr>
            </w:pPr>
            <w:r>
              <w:rPr>
                <w:rFonts w:ascii="Arial" w:cs="Arial" w:eastAsia="Arial" w:hAnsi="Arial"/>
                <w:sz w:val="15"/>
                <w:szCs w:val="15"/>
                <w:color w:val="auto"/>
              </w:rPr>
              <w:t>•   Continued payment of base salary for 18 months after termination of employment;</w:t>
            </w:r>
          </w:p>
        </w:tc>
        <w:tc>
          <w:tcPr>
            <w:tcW w:w="440" w:type="dxa"/>
            <w:vAlign w:val="bottom"/>
          </w:tcPr>
          <w:p>
            <w:pPr>
              <w:spacing w:after="0"/>
              <w:rPr>
                <w:sz w:val="24"/>
                <w:szCs w:val="24"/>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Proposal 1</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8100" w:type="dxa"/>
            <w:vAlign w:val="bottom"/>
          </w:tcPr>
          <w:p>
            <w:pPr>
              <w:spacing w:after="0"/>
              <w:rPr>
                <w:sz w:val="20"/>
                <w:szCs w:val="20"/>
                <w:color w:val="auto"/>
              </w:rPr>
            </w:pPr>
            <w:r>
              <w:rPr>
                <w:rFonts w:ascii="Arial" w:cs="Arial" w:eastAsia="Arial" w:hAnsi="Arial"/>
                <w:sz w:val="15"/>
                <w:szCs w:val="15"/>
                <w:color w:val="auto"/>
              </w:rPr>
              <w:t>•   Accelerated vesting in full of all outstanding time-based equity and equity-based awards, such as outstanding</w:t>
            </w:r>
          </w:p>
        </w:tc>
        <w:tc>
          <w:tcPr>
            <w:tcW w:w="440" w:type="dxa"/>
            <w:vAlign w:val="bottom"/>
          </w:tcPr>
          <w:p>
            <w:pPr>
              <w:spacing w:after="0"/>
              <w:rPr>
                <w:sz w:val="22"/>
                <w:szCs w:val="22"/>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Information</w:t>
            </w:r>
          </w:p>
        </w:tc>
        <w:tc>
          <w:tcPr>
            <w:tcW w:w="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3"/>
        </w:trPr>
        <w:tc>
          <w:tcPr>
            <w:tcW w:w="8100" w:type="dxa"/>
            <w:vAlign w:val="bottom"/>
          </w:tcPr>
          <w:p>
            <w:pPr>
              <w:ind w:left="260"/>
              <w:spacing w:after="0" w:line="153" w:lineRule="exact"/>
              <w:rPr>
                <w:sz w:val="20"/>
                <w:szCs w:val="20"/>
                <w:color w:val="auto"/>
              </w:rPr>
            </w:pPr>
            <w:r>
              <w:rPr>
                <w:rFonts w:ascii="Arial" w:cs="Arial" w:eastAsia="Arial" w:hAnsi="Arial"/>
                <w:sz w:val="15"/>
                <w:szCs w:val="15"/>
                <w:color w:val="auto"/>
              </w:rPr>
              <w:t>stock options and RSUs (provided that for Participants who are retirement eligible, RSUs will not be accelerated,</w:t>
            </w:r>
          </w:p>
        </w:tc>
        <w:tc>
          <w:tcPr>
            <w:tcW w:w="440" w:type="dxa"/>
            <w:vAlign w:val="bottom"/>
          </w:tcPr>
          <w:p>
            <w:pPr>
              <w:spacing w:after="0"/>
              <w:rPr>
                <w:sz w:val="13"/>
                <w:szCs w:val="13"/>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Regarding Board</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0"/>
        </w:trPr>
        <w:tc>
          <w:tcPr>
            <w:tcW w:w="8100" w:type="dxa"/>
            <w:vAlign w:val="bottom"/>
            <w:vMerge w:val="restart"/>
          </w:tcPr>
          <w:p>
            <w:pPr>
              <w:ind w:left="260"/>
              <w:spacing w:after="0"/>
              <w:rPr>
                <w:sz w:val="20"/>
                <w:szCs w:val="20"/>
                <w:color w:val="auto"/>
              </w:rPr>
            </w:pPr>
            <w:r>
              <w:rPr>
                <w:rFonts w:ascii="Arial" w:cs="Arial" w:eastAsia="Arial" w:hAnsi="Arial"/>
                <w:sz w:val="15"/>
                <w:szCs w:val="15"/>
                <w:color w:val="auto"/>
              </w:rPr>
              <w:t>and will continue to vest according to their original vesting schedule);</w:t>
            </w:r>
          </w:p>
        </w:tc>
        <w:tc>
          <w:tcPr>
            <w:tcW w:w="440" w:type="dxa"/>
            <w:vAlign w:val="bottom"/>
          </w:tcPr>
          <w:p>
            <w:pPr>
              <w:spacing w:after="0"/>
              <w:rPr>
                <w:sz w:val="9"/>
                <w:szCs w:val="9"/>
                <w:color w:val="auto"/>
              </w:rPr>
            </w:pPr>
          </w:p>
        </w:tc>
        <w:tc>
          <w:tcPr>
            <w:tcW w:w="1280" w:type="dxa"/>
            <w:vAlign w:val="bottom"/>
          </w:tcPr>
          <w:p>
            <w:pPr>
              <w:ind w:left="140"/>
              <w:spacing w:after="0" w:line="110" w:lineRule="exact"/>
              <w:rPr>
                <w:sz w:val="20"/>
                <w:szCs w:val="20"/>
                <w:color w:val="auto"/>
              </w:rPr>
            </w:pPr>
            <w:r>
              <w:rPr>
                <w:rFonts w:ascii="Arial" w:cs="Arial" w:eastAsia="Arial" w:hAnsi="Arial"/>
                <w:sz w:val="12"/>
                <w:szCs w:val="12"/>
                <w:color w:val="FFFFFF"/>
              </w:rPr>
              <w:t>and Committee</w:t>
            </w: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8100" w:type="dxa"/>
            <w:vAlign w:val="bottom"/>
            <w:vMerge w:val="continue"/>
          </w:tcPr>
          <w:p>
            <w:pPr>
              <w:spacing w:after="0"/>
              <w:rPr>
                <w:sz w:val="10"/>
                <w:szCs w:val="10"/>
                <w:color w:val="auto"/>
              </w:rPr>
            </w:pPr>
          </w:p>
        </w:tc>
        <w:tc>
          <w:tcPr>
            <w:tcW w:w="440" w:type="dxa"/>
            <w:vAlign w:val="bottom"/>
          </w:tcPr>
          <w:p>
            <w:pPr>
              <w:spacing w:after="0"/>
              <w:rPr>
                <w:sz w:val="10"/>
                <w:szCs w:val="10"/>
                <w:color w:val="auto"/>
              </w:rPr>
            </w:pPr>
          </w:p>
        </w:tc>
        <w:tc>
          <w:tcPr>
            <w:tcW w:w="1280" w:type="dxa"/>
            <w:vAlign w:val="bottom"/>
            <w:vMerge w:val="restart"/>
          </w:tcPr>
          <w:p>
            <w:pPr>
              <w:ind w:left="140"/>
              <w:spacing w:after="0"/>
              <w:rPr>
                <w:sz w:val="20"/>
                <w:szCs w:val="20"/>
                <w:color w:val="auto"/>
              </w:rPr>
            </w:pPr>
            <w:r>
              <w:rPr>
                <w:rFonts w:ascii="Arial" w:cs="Arial" w:eastAsia="Arial" w:hAnsi="Arial"/>
                <w:sz w:val="12"/>
                <w:szCs w:val="12"/>
                <w:color w:val="FFFFFF"/>
              </w:rPr>
              <w:t>Structure</w:t>
            </w: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1"/>
        </w:trPr>
        <w:tc>
          <w:tcPr>
            <w:tcW w:w="8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8100" w:type="dxa"/>
            <w:vAlign w:val="bottom"/>
          </w:tcPr>
          <w:p>
            <w:pPr>
              <w:spacing w:after="0"/>
              <w:rPr>
                <w:sz w:val="20"/>
                <w:szCs w:val="20"/>
                <w:color w:val="auto"/>
              </w:rPr>
            </w:pPr>
            <w:r>
              <w:rPr>
                <w:rFonts w:ascii="Arial" w:cs="Arial" w:eastAsia="Arial" w:hAnsi="Arial"/>
                <w:sz w:val="15"/>
                <w:szCs w:val="15"/>
                <w:color w:val="auto"/>
              </w:rPr>
              <w:t>•   Prorated vesting, as of the separation date, of any performance-based equity and equity-based awards (such as</w:t>
            </w:r>
          </w:p>
        </w:tc>
        <w:tc>
          <w:tcPr>
            <w:tcW w:w="440" w:type="dxa"/>
            <w:vAlign w:val="bottom"/>
          </w:tcPr>
          <w:p>
            <w:pPr>
              <w:spacing w:after="0"/>
              <w:rPr>
                <w:sz w:val="22"/>
                <w:szCs w:val="22"/>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Board of Directors</w:t>
            </w:r>
          </w:p>
        </w:tc>
        <w:tc>
          <w:tcPr>
            <w:tcW w:w="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4"/>
        </w:trPr>
        <w:tc>
          <w:tcPr>
            <w:tcW w:w="8100" w:type="dxa"/>
            <w:vAlign w:val="bottom"/>
          </w:tcPr>
          <w:p>
            <w:pPr>
              <w:ind w:left="260"/>
              <w:spacing w:after="0" w:line="154" w:lineRule="exact"/>
              <w:rPr>
                <w:sz w:val="20"/>
                <w:szCs w:val="20"/>
                <w:color w:val="auto"/>
              </w:rPr>
            </w:pPr>
            <w:r>
              <w:rPr>
                <w:rFonts w:ascii="Arial" w:cs="Arial" w:eastAsia="Arial" w:hAnsi="Arial"/>
                <w:sz w:val="15"/>
                <w:szCs w:val="15"/>
                <w:color w:val="auto"/>
              </w:rPr>
              <w:t>outstanding PSUs) assuming target levels of achievement (provided that if the termination results in a</w:t>
            </w:r>
          </w:p>
        </w:tc>
        <w:tc>
          <w:tcPr>
            <w:tcW w:w="440" w:type="dxa"/>
            <w:vAlign w:val="bottom"/>
          </w:tcPr>
          <w:p>
            <w:pPr>
              <w:spacing w:after="0"/>
              <w:rPr>
                <w:sz w:val="13"/>
                <w:szCs w:val="13"/>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Compensation</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8100" w:type="dxa"/>
            <w:vAlign w:val="bottom"/>
          </w:tcPr>
          <w:p>
            <w:pPr>
              <w:ind w:left="260"/>
              <w:spacing w:after="0"/>
              <w:rPr>
                <w:sz w:val="20"/>
                <w:szCs w:val="20"/>
                <w:color w:val="auto"/>
              </w:rPr>
            </w:pPr>
            <w:r>
              <w:rPr>
                <w:rFonts w:ascii="Arial" w:cs="Arial" w:eastAsia="Arial" w:hAnsi="Arial"/>
                <w:sz w:val="15"/>
                <w:szCs w:val="15"/>
                <w:color w:val="auto"/>
              </w:rPr>
              <w:t>Designated Retirement, PSUs granted in 2024 or after will generally remain outstanding and eligible to become</w:t>
            </w:r>
          </w:p>
        </w:tc>
        <w:tc>
          <w:tcPr>
            <w:tcW w:w="440" w:type="dxa"/>
            <w:vAlign w:val="bottom"/>
          </w:tcPr>
          <w:p>
            <w:pPr>
              <w:spacing w:after="0"/>
              <w:rPr>
                <w:sz w:val="15"/>
                <w:szCs w:val="15"/>
                <w:color w:val="auto"/>
              </w:rPr>
            </w:pPr>
          </w:p>
        </w:tc>
        <w:tc>
          <w:tcPr>
            <w:tcW w:w="1280" w:type="dxa"/>
            <w:vAlign w:val="bottom"/>
            <w:vMerge w:val="restart"/>
          </w:tcPr>
          <w:p>
            <w:pPr>
              <w:ind w:left="140"/>
              <w:spacing w:after="0"/>
              <w:rPr>
                <w:sz w:val="20"/>
                <w:szCs w:val="20"/>
                <w:color w:val="auto"/>
              </w:rPr>
            </w:pPr>
            <w:r>
              <w:rPr>
                <w:rFonts w:ascii="Arial" w:cs="Arial" w:eastAsia="Arial" w:hAnsi="Arial"/>
                <w:sz w:val="12"/>
                <w:szCs w:val="12"/>
                <w:color w:val="FFFFFF"/>
              </w:rPr>
              <w:t>Compensation</w:t>
            </w: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8100" w:type="dxa"/>
            <w:vAlign w:val="bottom"/>
          </w:tcPr>
          <w:p>
            <w:pPr>
              <w:ind w:left="260"/>
              <w:spacing w:after="0" w:line="153" w:lineRule="exact"/>
              <w:rPr>
                <w:sz w:val="20"/>
                <w:szCs w:val="20"/>
                <w:color w:val="auto"/>
              </w:rPr>
            </w:pPr>
            <w:r>
              <w:rPr>
                <w:rFonts w:ascii="Arial" w:cs="Arial" w:eastAsia="Arial" w:hAnsi="Arial"/>
                <w:sz w:val="15"/>
                <w:szCs w:val="15"/>
                <w:color w:val="auto"/>
              </w:rPr>
              <w:t>earned PSUs based on relative TSR performance at the end of the performance period and will not be subject</w:t>
            </w:r>
          </w:p>
        </w:tc>
        <w:tc>
          <w:tcPr>
            <w:tcW w:w="440" w:type="dxa"/>
            <w:vAlign w:val="bottom"/>
          </w:tcPr>
          <w:p>
            <w:pPr>
              <w:spacing w:after="0"/>
              <w:rPr>
                <w:sz w:val="13"/>
                <w:szCs w:val="13"/>
                <w:color w:val="auto"/>
              </w:rPr>
            </w:pPr>
          </w:p>
        </w:tc>
        <w:tc>
          <w:tcPr>
            <w:tcW w:w="1280" w:type="dxa"/>
            <w:vAlign w:val="bottom"/>
            <w:vMerge w:val="continue"/>
          </w:tcPr>
          <w:p>
            <w:pPr>
              <w:spacing w:after="0"/>
              <w:rPr>
                <w:sz w:val="13"/>
                <w:szCs w:val="13"/>
                <w:color w:val="auto"/>
              </w:rPr>
            </w:pP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2"/>
        </w:trPr>
        <w:tc>
          <w:tcPr>
            <w:tcW w:w="8100" w:type="dxa"/>
            <w:vAlign w:val="bottom"/>
            <w:vMerge w:val="restart"/>
          </w:tcPr>
          <w:p>
            <w:pPr>
              <w:ind w:left="260"/>
              <w:spacing w:after="0"/>
              <w:rPr>
                <w:sz w:val="20"/>
                <w:szCs w:val="20"/>
                <w:color w:val="auto"/>
              </w:rPr>
            </w:pPr>
            <w:r>
              <w:rPr>
                <w:rFonts w:ascii="Arial" w:cs="Arial" w:eastAsia="Arial" w:hAnsi="Arial"/>
                <w:sz w:val="15"/>
                <w:szCs w:val="15"/>
                <w:color w:val="auto"/>
              </w:rPr>
              <w:t>to proration); and</w:t>
            </w:r>
          </w:p>
        </w:tc>
        <w:tc>
          <w:tcPr>
            <w:tcW w:w="440" w:type="dxa"/>
            <w:vAlign w:val="bottom"/>
          </w:tcPr>
          <w:p>
            <w:pPr>
              <w:spacing w:after="0"/>
              <w:rPr>
                <w:sz w:val="6"/>
                <w:szCs w:val="6"/>
                <w:color w:val="auto"/>
              </w:rPr>
            </w:pPr>
          </w:p>
        </w:tc>
        <w:tc>
          <w:tcPr>
            <w:tcW w:w="1280" w:type="dxa"/>
            <w:vAlign w:val="bottom"/>
          </w:tcPr>
          <w:p>
            <w:pPr>
              <w:ind w:left="140"/>
              <w:spacing w:after="0" w:line="72" w:lineRule="exact"/>
              <w:rPr>
                <w:sz w:val="20"/>
                <w:szCs w:val="20"/>
                <w:color w:val="auto"/>
              </w:rPr>
            </w:pPr>
            <w:r>
              <w:rPr>
                <w:rFonts w:ascii="Arial" w:cs="Arial" w:eastAsia="Arial" w:hAnsi="Arial"/>
                <w:sz w:val="8"/>
                <w:szCs w:val="8"/>
                <w:color w:val="FFFFFF"/>
              </w:rPr>
              <w:t>Discussion and</w:t>
            </w:r>
          </w:p>
        </w:tc>
        <w:tc>
          <w:tcPr>
            <w:tcW w:w="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8"/>
        </w:trPr>
        <w:tc>
          <w:tcPr>
            <w:tcW w:w="8100" w:type="dxa"/>
            <w:vAlign w:val="bottom"/>
            <w:vMerge w:val="continue"/>
          </w:tcPr>
          <w:p>
            <w:pPr>
              <w:spacing w:after="0"/>
              <w:rPr>
                <w:sz w:val="13"/>
                <w:szCs w:val="13"/>
                <w:color w:val="auto"/>
              </w:rPr>
            </w:pPr>
          </w:p>
        </w:tc>
        <w:tc>
          <w:tcPr>
            <w:tcW w:w="440" w:type="dxa"/>
            <w:vAlign w:val="bottom"/>
          </w:tcPr>
          <w:p>
            <w:pPr>
              <w:spacing w:after="0"/>
              <w:rPr>
                <w:sz w:val="13"/>
                <w:szCs w:val="13"/>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Analysis</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8100" w:type="dxa"/>
            <w:vAlign w:val="bottom"/>
          </w:tcPr>
          <w:p>
            <w:pPr>
              <w:spacing w:after="0"/>
              <w:rPr>
                <w:sz w:val="20"/>
                <w:szCs w:val="20"/>
                <w:color w:val="auto"/>
              </w:rPr>
            </w:pPr>
            <w:r>
              <w:rPr>
                <w:rFonts w:ascii="Arial" w:cs="Arial" w:eastAsia="Arial" w:hAnsi="Arial"/>
                <w:sz w:val="15"/>
                <w:szCs w:val="15"/>
                <w:color w:val="auto"/>
              </w:rPr>
              <w:t>•   Payment of the employer portion of the premium (plus the additional amount, if any, charged for administrative</w:t>
            </w:r>
          </w:p>
        </w:tc>
        <w:tc>
          <w:tcPr>
            <w:tcW w:w="440" w:type="dxa"/>
            <w:vAlign w:val="bottom"/>
          </w:tcPr>
          <w:p>
            <w:pPr>
              <w:spacing w:after="0"/>
              <w:rPr>
                <w:sz w:val="22"/>
                <w:szCs w:val="22"/>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Report of the</w:t>
            </w:r>
          </w:p>
        </w:tc>
        <w:tc>
          <w:tcPr>
            <w:tcW w:w="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8"/>
        </w:trPr>
        <w:tc>
          <w:tcPr>
            <w:tcW w:w="8100" w:type="dxa"/>
            <w:vAlign w:val="bottom"/>
          </w:tcPr>
          <w:p>
            <w:pPr>
              <w:ind w:left="260"/>
              <w:spacing w:after="0" w:line="158" w:lineRule="exact"/>
              <w:rPr>
                <w:sz w:val="20"/>
                <w:szCs w:val="20"/>
                <w:color w:val="auto"/>
              </w:rPr>
            </w:pPr>
            <w:r>
              <w:rPr>
                <w:rFonts w:ascii="Arial" w:cs="Arial" w:eastAsia="Arial" w:hAnsi="Arial"/>
                <w:sz w:val="15"/>
                <w:szCs w:val="15"/>
                <w:color w:val="auto"/>
              </w:rPr>
              <w:t>costs as permitted by COBRA) for COBRA participation in the Company’s health and dental plans until the</w:t>
            </w:r>
          </w:p>
        </w:tc>
        <w:tc>
          <w:tcPr>
            <w:tcW w:w="440" w:type="dxa"/>
            <w:vAlign w:val="bottom"/>
          </w:tcPr>
          <w:p>
            <w:pPr>
              <w:spacing w:after="0"/>
              <w:rPr>
                <w:sz w:val="13"/>
                <w:szCs w:val="13"/>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Compensation</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7"/>
        </w:trPr>
        <w:tc>
          <w:tcPr>
            <w:tcW w:w="8100" w:type="dxa"/>
            <w:vAlign w:val="bottom"/>
            <w:vMerge w:val="restart"/>
          </w:tcPr>
          <w:p>
            <w:pPr>
              <w:ind w:left="260"/>
              <w:spacing w:after="0"/>
              <w:rPr>
                <w:sz w:val="20"/>
                <w:szCs w:val="20"/>
                <w:color w:val="auto"/>
              </w:rPr>
            </w:pPr>
            <w:r>
              <w:rPr>
                <w:rFonts w:ascii="Arial" w:cs="Arial" w:eastAsia="Arial" w:hAnsi="Arial"/>
                <w:sz w:val="15"/>
                <w:szCs w:val="15"/>
                <w:color w:val="auto"/>
              </w:rPr>
              <w:t>earliest of 18 months following termination of the Participant’s participation in such plans as an employee, the</w:t>
            </w:r>
          </w:p>
        </w:tc>
        <w:tc>
          <w:tcPr>
            <w:tcW w:w="440" w:type="dxa"/>
            <w:vAlign w:val="bottom"/>
          </w:tcPr>
          <w:p>
            <w:pPr>
              <w:spacing w:after="0"/>
              <w:rPr>
                <w:sz w:val="8"/>
                <w:szCs w:val="8"/>
                <w:color w:val="auto"/>
              </w:rPr>
            </w:pPr>
          </w:p>
        </w:tc>
        <w:tc>
          <w:tcPr>
            <w:tcW w:w="1280" w:type="dxa"/>
            <w:vAlign w:val="bottom"/>
          </w:tcPr>
          <w:p>
            <w:pPr>
              <w:ind w:left="140"/>
              <w:spacing w:after="0" w:line="97" w:lineRule="exact"/>
              <w:rPr>
                <w:sz w:val="20"/>
                <w:szCs w:val="20"/>
                <w:color w:val="auto"/>
              </w:rPr>
            </w:pPr>
            <w:r>
              <w:rPr>
                <w:rFonts w:ascii="Arial" w:cs="Arial" w:eastAsia="Arial" w:hAnsi="Arial"/>
                <w:sz w:val="11"/>
                <w:szCs w:val="11"/>
                <w:color w:val="FFFFFF"/>
              </w:rPr>
              <w:t>and Human</w:t>
            </w: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8100" w:type="dxa"/>
            <w:vAlign w:val="bottom"/>
            <w:vMerge w:val="continue"/>
          </w:tcPr>
          <w:p>
            <w:pPr>
              <w:spacing w:after="0"/>
              <w:rPr>
                <w:sz w:val="10"/>
                <w:szCs w:val="10"/>
                <w:color w:val="auto"/>
              </w:rPr>
            </w:pPr>
          </w:p>
        </w:tc>
        <w:tc>
          <w:tcPr>
            <w:tcW w:w="440" w:type="dxa"/>
            <w:vAlign w:val="bottom"/>
          </w:tcPr>
          <w:p>
            <w:pPr>
              <w:spacing w:after="0"/>
              <w:rPr>
                <w:sz w:val="10"/>
                <w:szCs w:val="10"/>
                <w:color w:val="auto"/>
              </w:rPr>
            </w:pPr>
          </w:p>
        </w:tc>
        <w:tc>
          <w:tcPr>
            <w:tcW w:w="1280" w:type="dxa"/>
            <w:vAlign w:val="bottom"/>
          </w:tcPr>
          <w:p>
            <w:pPr>
              <w:ind w:left="140"/>
              <w:spacing w:after="0" w:line="120" w:lineRule="exact"/>
              <w:rPr>
                <w:sz w:val="20"/>
                <w:szCs w:val="20"/>
                <w:color w:val="auto"/>
              </w:rPr>
            </w:pPr>
            <w:r>
              <w:rPr>
                <w:rFonts w:ascii="Arial" w:cs="Arial" w:eastAsia="Arial" w:hAnsi="Arial"/>
                <w:sz w:val="12"/>
                <w:szCs w:val="12"/>
                <w:color w:val="FFFFFF"/>
              </w:rPr>
              <w:t>Resources</w:t>
            </w: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8100" w:type="dxa"/>
            <w:vAlign w:val="bottom"/>
          </w:tcPr>
          <w:p>
            <w:pPr>
              <w:ind w:left="260"/>
              <w:spacing w:after="0" w:line="141" w:lineRule="exact"/>
              <w:rPr>
                <w:sz w:val="20"/>
                <w:szCs w:val="20"/>
                <w:color w:val="auto"/>
              </w:rPr>
            </w:pPr>
            <w:r>
              <w:rPr>
                <w:rFonts w:ascii="Arial" w:cs="Arial" w:eastAsia="Arial" w:hAnsi="Arial"/>
                <w:sz w:val="15"/>
                <w:szCs w:val="15"/>
                <w:color w:val="auto"/>
              </w:rPr>
              <w:t>date that such Participant becomes eligible for comparable benefit coverage, and the date the Participant is no</w:t>
            </w:r>
          </w:p>
        </w:tc>
        <w:tc>
          <w:tcPr>
            <w:tcW w:w="440" w:type="dxa"/>
            <w:vAlign w:val="bottom"/>
          </w:tcPr>
          <w:p>
            <w:pPr>
              <w:spacing w:after="0"/>
              <w:rPr>
                <w:sz w:val="12"/>
                <w:szCs w:val="12"/>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Committee of the</w:t>
            </w: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7"/>
        </w:trPr>
        <w:tc>
          <w:tcPr>
            <w:tcW w:w="8100" w:type="dxa"/>
            <w:vAlign w:val="bottom"/>
          </w:tcPr>
          <w:p>
            <w:pPr>
              <w:ind w:left="260"/>
              <w:spacing w:after="0"/>
              <w:rPr>
                <w:sz w:val="20"/>
                <w:szCs w:val="20"/>
                <w:color w:val="auto"/>
              </w:rPr>
            </w:pPr>
            <w:r>
              <w:rPr>
                <w:rFonts w:ascii="Arial" w:cs="Arial" w:eastAsia="Arial" w:hAnsi="Arial"/>
                <w:sz w:val="15"/>
                <w:szCs w:val="15"/>
                <w:color w:val="auto"/>
              </w:rPr>
              <w:t>longer eligible for COBRA (subject to the Participant’s eligibility under COBRA and proper and timely elections).</w:t>
            </w:r>
          </w:p>
        </w:tc>
        <w:tc>
          <w:tcPr>
            <w:tcW w:w="440" w:type="dxa"/>
            <w:vAlign w:val="bottom"/>
          </w:tcPr>
          <w:p>
            <w:pPr>
              <w:spacing w:after="0"/>
              <w:rPr>
                <w:sz w:val="19"/>
                <w:szCs w:val="19"/>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Board of Directors</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8100" w:type="dxa"/>
            <w:vAlign w:val="bottom"/>
          </w:tcPr>
          <w:p>
            <w:pP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Cause</w:t>
            </w:r>
            <w:r>
              <w:rPr>
                <w:rFonts w:ascii="Arial" w:cs="Arial" w:eastAsia="Arial" w:hAnsi="Arial"/>
                <w:sz w:val="15"/>
                <w:szCs w:val="15"/>
                <w:color w:val="auto"/>
              </w:rPr>
              <w:t>” under our Executive Severance Plan means the Participant’s:</w:t>
            </w:r>
          </w:p>
        </w:tc>
        <w:tc>
          <w:tcPr>
            <w:tcW w:w="440" w:type="dxa"/>
            <w:vAlign w:val="bottom"/>
          </w:tcPr>
          <w:p>
            <w:pPr>
              <w:spacing w:after="0"/>
              <w:rPr>
                <w:sz w:val="20"/>
                <w:szCs w:val="20"/>
                <w:color w:val="auto"/>
              </w:rPr>
            </w:pPr>
          </w:p>
        </w:tc>
        <w:tc>
          <w:tcPr>
            <w:tcW w:w="1280" w:type="dxa"/>
            <w:vAlign w:val="bottom"/>
          </w:tcPr>
          <w:p>
            <w:pPr>
              <w:ind w:left="140"/>
              <w:spacing w:after="0"/>
              <w:rPr>
                <w:sz w:val="20"/>
                <w:szCs w:val="20"/>
                <w:color w:val="auto"/>
              </w:rPr>
            </w:pPr>
            <w:r>
              <w:rPr>
                <w:rFonts w:ascii="Arial" w:cs="Arial" w:eastAsia="Arial" w:hAnsi="Arial"/>
                <w:sz w:val="12"/>
                <w:szCs w:val="12"/>
                <w:b w:val="1"/>
                <w:bCs w:val="1"/>
                <w:color w:val="FFFFFF"/>
              </w:rPr>
              <w:t>Compensation of</w:t>
            </w: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4"/>
        </w:trPr>
        <w:tc>
          <w:tcPr>
            <w:tcW w:w="8100" w:type="dxa"/>
            <w:vAlign w:val="bottom"/>
          </w:tcPr>
          <w:p>
            <w:pPr>
              <w:spacing w:after="0"/>
              <w:rPr>
                <w:sz w:val="7"/>
                <w:szCs w:val="7"/>
                <w:color w:val="auto"/>
              </w:rPr>
            </w:pPr>
          </w:p>
        </w:tc>
        <w:tc>
          <w:tcPr>
            <w:tcW w:w="440" w:type="dxa"/>
            <w:vAlign w:val="bottom"/>
          </w:tcPr>
          <w:p>
            <w:pPr>
              <w:spacing w:after="0"/>
              <w:rPr>
                <w:sz w:val="7"/>
                <w:szCs w:val="7"/>
                <w:color w:val="auto"/>
              </w:rPr>
            </w:pPr>
          </w:p>
        </w:tc>
        <w:tc>
          <w:tcPr>
            <w:tcW w:w="1280" w:type="dxa"/>
            <w:vAlign w:val="bottom"/>
          </w:tcPr>
          <w:p>
            <w:pPr>
              <w:ind w:left="140"/>
              <w:spacing w:after="0" w:line="85" w:lineRule="exact"/>
              <w:rPr>
                <w:sz w:val="20"/>
                <w:szCs w:val="20"/>
                <w:color w:val="auto"/>
              </w:rPr>
            </w:pPr>
            <w:r>
              <w:rPr>
                <w:rFonts w:ascii="Arial" w:cs="Arial" w:eastAsia="Arial" w:hAnsi="Arial"/>
                <w:sz w:val="8"/>
                <w:szCs w:val="8"/>
                <w:b w:val="1"/>
                <w:bCs w:val="1"/>
                <w:color w:val="FFFFFF"/>
              </w:rPr>
              <w:t>Named Executive</w:t>
            </w:r>
          </w:p>
        </w:tc>
        <w:tc>
          <w:tcPr>
            <w:tcW w:w="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4"/>
        </w:trPr>
        <w:tc>
          <w:tcPr>
            <w:tcW w:w="8100" w:type="dxa"/>
            <w:vAlign w:val="bottom"/>
            <w:vMerge w:val="restart"/>
          </w:tcPr>
          <w:p>
            <w:pPr>
              <w:spacing w:after="0"/>
              <w:rPr>
                <w:sz w:val="20"/>
                <w:szCs w:val="20"/>
                <w:color w:val="auto"/>
              </w:rPr>
            </w:pPr>
            <w:r>
              <w:rPr>
                <w:rFonts w:ascii="Arial" w:cs="Arial" w:eastAsia="Arial" w:hAnsi="Arial"/>
                <w:sz w:val="15"/>
                <w:szCs w:val="15"/>
                <w:color w:val="auto"/>
              </w:rPr>
              <w:t>•   willful and continued failure to perform, or gross negligence or willful misconduct in the performance of, his or</w:t>
            </w:r>
          </w:p>
        </w:tc>
        <w:tc>
          <w:tcPr>
            <w:tcW w:w="440" w:type="dxa"/>
            <w:vAlign w:val="bottom"/>
          </w:tcPr>
          <w:p>
            <w:pPr>
              <w:spacing w:after="0"/>
              <w:rPr>
                <w:sz w:val="14"/>
                <w:szCs w:val="14"/>
                <w:color w:val="auto"/>
              </w:rPr>
            </w:pPr>
          </w:p>
        </w:tc>
        <w:tc>
          <w:tcPr>
            <w:tcW w:w="1280" w:type="dxa"/>
            <w:vAlign w:val="bottom"/>
          </w:tcPr>
          <w:p>
            <w:pPr>
              <w:ind w:left="140"/>
              <w:spacing w:after="0"/>
              <w:rPr>
                <w:sz w:val="20"/>
                <w:szCs w:val="20"/>
                <w:color w:val="auto"/>
              </w:rPr>
            </w:pPr>
            <w:r>
              <w:rPr>
                <w:rFonts w:ascii="Arial" w:cs="Arial" w:eastAsia="Arial" w:hAnsi="Arial"/>
                <w:sz w:val="12"/>
                <w:szCs w:val="12"/>
                <w:b w:val="1"/>
                <w:bCs w:val="1"/>
                <w:color w:val="FFFFFF"/>
              </w:rPr>
              <w:t>Officers</w:t>
            </w: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1"/>
        </w:trPr>
        <w:tc>
          <w:tcPr>
            <w:tcW w:w="8100" w:type="dxa"/>
            <w:vAlign w:val="bottom"/>
            <w:vMerge w:val="continue"/>
          </w:tcPr>
          <w:p>
            <w:pPr>
              <w:spacing w:after="0"/>
              <w:rPr>
                <w:sz w:val="6"/>
                <w:szCs w:val="6"/>
                <w:color w:val="auto"/>
              </w:rPr>
            </w:pPr>
          </w:p>
        </w:tc>
        <w:tc>
          <w:tcPr>
            <w:tcW w:w="440" w:type="dxa"/>
            <w:vAlign w:val="bottom"/>
          </w:tcPr>
          <w:p>
            <w:pPr>
              <w:spacing w:after="0"/>
              <w:rPr>
                <w:sz w:val="6"/>
                <w:szCs w:val="6"/>
                <w:color w:val="auto"/>
              </w:rPr>
            </w:pPr>
          </w:p>
        </w:tc>
        <w:tc>
          <w:tcPr>
            <w:tcW w:w="1280" w:type="dxa"/>
            <w:vAlign w:val="bottom"/>
          </w:tcPr>
          <w:p>
            <w:pPr>
              <w:spacing w:after="0"/>
              <w:rPr>
                <w:sz w:val="6"/>
                <w:szCs w:val="6"/>
                <w:color w:val="auto"/>
              </w:rPr>
            </w:pPr>
          </w:p>
        </w:tc>
        <w:tc>
          <w:tcPr>
            <w:tcW w:w="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9"/>
        </w:trPr>
        <w:tc>
          <w:tcPr>
            <w:tcW w:w="8100" w:type="dxa"/>
            <w:vAlign w:val="bottom"/>
          </w:tcPr>
          <w:p>
            <w:pPr>
              <w:ind w:left="260"/>
              <w:spacing w:after="0"/>
              <w:rPr>
                <w:sz w:val="20"/>
                <w:szCs w:val="20"/>
                <w:color w:val="auto"/>
              </w:rPr>
            </w:pPr>
            <w:r>
              <w:rPr>
                <w:rFonts w:ascii="Arial" w:cs="Arial" w:eastAsia="Arial" w:hAnsi="Arial"/>
                <w:sz w:val="15"/>
                <w:szCs w:val="15"/>
                <w:color w:val="auto"/>
              </w:rPr>
              <w:t>her material duties with respect to the Company or an affiliate which, if curable, continues beyond ten business</w:t>
            </w:r>
          </w:p>
        </w:tc>
        <w:tc>
          <w:tcPr>
            <w:tcW w:w="440" w:type="dxa"/>
            <w:vAlign w:val="bottom"/>
          </w:tcPr>
          <w:p>
            <w:pPr>
              <w:spacing w:after="0"/>
              <w:rPr>
                <w:sz w:val="15"/>
                <w:szCs w:val="15"/>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Pay Versus</w:t>
            </w: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8100" w:type="dxa"/>
            <w:vAlign w:val="bottom"/>
          </w:tcPr>
          <w:p>
            <w:pPr>
              <w:ind w:left="260"/>
              <w:spacing w:after="0" w:line="153" w:lineRule="exact"/>
              <w:rPr>
                <w:sz w:val="20"/>
                <w:szCs w:val="20"/>
                <w:color w:val="auto"/>
              </w:rPr>
            </w:pPr>
            <w:r>
              <w:rPr>
                <w:rFonts w:ascii="Arial" w:cs="Arial" w:eastAsia="Arial" w:hAnsi="Arial"/>
                <w:sz w:val="15"/>
                <w:szCs w:val="15"/>
                <w:color w:val="auto"/>
              </w:rPr>
              <w:t>days after a written demand for substantial performance is delivered to such Participant by the Company;</w:t>
            </w:r>
          </w:p>
        </w:tc>
        <w:tc>
          <w:tcPr>
            <w:tcW w:w="440" w:type="dxa"/>
            <w:vAlign w:val="bottom"/>
          </w:tcPr>
          <w:p>
            <w:pPr>
              <w:spacing w:after="0"/>
              <w:rPr>
                <w:sz w:val="13"/>
                <w:szCs w:val="13"/>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Performance</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8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Disclosure</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0800"/>
          </w:cols>
          <w:pgMar w:left="320" w:top="464" w:right="779" w:bottom="1440" w:gutter="0" w:footer="0" w:header="0"/>
        </w:sectPr>
      </w:pPr>
    </w:p>
    <w:p>
      <w:pPr>
        <w:ind w:left="800" w:right="100" w:hanging="261"/>
        <w:spacing w:after="0" w:line="268" w:lineRule="auto"/>
        <w:tabs>
          <w:tab w:leader="none" w:pos="800" w:val="left"/>
        </w:tabs>
        <w:numPr>
          <w:ilvl w:val="0"/>
          <w:numId w:val="109"/>
        </w:numPr>
        <w:rPr>
          <w:rFonts w:ascii="Arial" w:cs="Arial" w:eastAsia="Arial" w:hAnsi="Arial"/>
          <w:sz w:val="15"/>
          <w:szCs w:val="15"/>
          <w:color w:val="auto"/>
        </w:rPr>
      </w:pPr>
      <w:r>
        <w:rPr>
          <w:rFonts w:ascii="Arial" w:cs="Arial" w:eastAsia="Arial" w:hAnsi="Arial"/>
          <w:sz w:val="15"/>
          <w:szCs w:val="15"/>
          <w:color w:val="auto"/>
        </w:rPr>
        <w:t>conviction of, or a plea of nolo contendere to, a crime constituting a felony under the laws of the United States or any state thereof;</w:t>
      </w:r>
    </w:p>
    <w:p>
      <w:pPr>
        <w:spacing w:after="0" w:line="73" w:lineRule="exact"/>
        <w:rPr>
          <w:rFonts w:ascii="Arial" w:cs="Arial" w:eastAsia="Arial" w:hAnsi="Arial"/>
          <w:sz w:val="15"/>
          <w:szCs w:val="15"/>
          <w:color w:val="auto"/>
        </w:rPr>
      </w:pPr>
    </w:p>
    <w:p>
      <w:pPr>
        <w:ind w:left="800" w:right="200" w:hanging="261"/>
        <w:spacing w:after="0" w:line="287" w:lineRule="auto"/>
        <w:tabs>
          <w:tab w:leader="none" w:pos="800" w:val="left"/>
        </w:tabs>
        <w:numPr>
          <w:ilvl w:val="0"/>
          <w:numId w:val="109"/>
        </w:numPr>
        <w:rPr>
          <w:rFonts w:ascii="Arial" w:cs="Arial" w:eastAsia="Arial" w:hAnsi="Arial"/>
          <w:sz w:val="15"/>
          <w:szCs w:val="15"/>
          <w:color w:val="auto"/>
        </w:rPr>
      </w:pPr>
      <w:r>
        <w:rPr>
          <w:rFonts w:ascii="Arial" w:cs="Arial" w:eastAsia="Arial" w:hAnsi="Arial"/>
          <w:sz w:val="15"/>
          <w:szCs w:val="15"/>
          <w:color w:val="auto"/>
        </w:rPr>
        <w:t>committing or engaging in any act of fraud, embezzlement, theft or other act of dishonesty that causes material injury, monetarily or otherwise, to the Company or an affiliate;</w:t>
      </w:r>
    </w:p>
    <w:p>
      <w:pPr>
        <w:spacing w:after="0" w:line="59" w:lineRule="exact"/>
        <w:rPr>
          <w:rFonts w:ascii="Arial" w:cs="Arial" w:eastAsia="Arial" w:hAnsi="Arial"/>
          <w:sz w:val="15"/>
          <w:szCs w:val="15"/>
          <w:color w:val="auto"/>
        </w:rPr>
      </w:pPr>
    </w:p>
    <w:p>
      <w:pPr>
        <w:ind w:left="800" w:hanging="261"/>
        <w:spacing w:after="0"/>
        <w:tabs>
          <w:tab w:leader="none" w:pos="800" w:val="left"/>
        </w:tabs>
        <w:numPr>
          <w:ilvl w:val="0"/>
          <w:numId w:val="109"/>
        </w:numPr>
        <w:rPr>
          <w:rFonts w:ascii="Arial" w:cs="Arial" w:eastAsia="Arial" w:hAnsi="Arial"/>
          <w:sz w:val="15"/>
          <w:szCs w:val="15"/>
          <w:color w:val="auto"/>
        </w:rPr>
      </w:pPr>
      <w:r>
        <w:rPr>
          <w:rFonts w:ascii="Arial" w:cs="Arial" w:eastAsia="Arial" w:hAnsi="Arial"/>
          <w:sz w:val="15"/>
          <w:szCs w:val="15"/>
          <w:color w:val="auto"/>
        </w:rPr>
        <w:t>breach of the restrictive covenants in the Executive Severance Plan;</w:t>
      </w:r>
    </w:p>
    <w:p>
      <w:pPr>
        <w:spacing w:after="0" w:line="121" w:lineRule="exact"/>
        <w:rPr>
          <w:rFonts w:ascii="Arial" w:cs="Arial" w:eastAsia="Arial" w:hAnsi="Arial"/>
          <w:sz w:val="15"/>
          <w:szCs w:val="15"/>
          <w:color w:val="auto"/>
        </w:rPr>
      </w:pPr>
    </w:p>
    <w:p>
      <w:pPr>
        <w:ind w:left="800" w:right="840" w:hanging="261"/>
        <w:spacing w:after="0" w:line="263" w:lineRule="auto"/>
        <w:tabs>
          <w:tab w:leader="none" w:pos="800" w:val="left"/>
        </w:tabs>
        <w:numPr>
          <w:ilvl w:val="0"/>
          <w:numId w:val="109"/>
        </w:numPr>
        <w:rPr>
          <w:rFonts w:ascii="Arial" w:cs="Arial" w:eastAsia="Arial" w:hAnsi="Arial"/>
          <w:sz w:val="15"/>
          <w:szCs w:val="15"/>
          <w:color w:val="auto"/>
        </w:rPr>
      </w:pPr>
      <w:r>
        <w:rPr>
          <w:rFonts w:ascii="Arial" w:cs="Arial" w:eastAsia="Arial" w:hAnsi="Arial"/>
          <w:sz w:val="15"/>
          <w:szCs w:val="15"/>
          <w:color w:val="auto"/>
        </w:rPr>
        <w:t>violation of the code of conduct of the Company or its subsidiaries or any policy of the Company or its subsidiaries, or of any statutory or common law duty of loyalty to the Company or its subsidiaries; or</w:t>
      </w:r>
    </w:p>
    <w:p>
      <w:pPr>
        <w:spacing w:after="0" w:line="20" w:lineRule="exact"/>
        <w:rPr>
          <w:sz w:val="20"/>
          <w:szCs w:val="20"/>
          <w:color w:val="auto"/>
        </w:rPr>
      </w:pPr>
      <w:r>
        <w:rPr>
          <w:sz w:val="20"/>
          <w:szCs w:val="20"/>
          <w:color w:val="auto"/>
        </w:rPr>
        <w:br w:type="column"/>
      </w:r>
    </w:p>
    <w:p>
      <w:pPr>
        <w:spacing w:after="0" w:line="100" w:lineRule="exact"/>
        <w:rPr>
          <w:sz w:val="20"/>
          <w:szCs w:val="20"/>
          <w:color w:val="auto"/>
        </w:rPr>
      </w:pPr>
    </w:p>
    <w:p>
      <w:pPr>
        <w:spacing w:after="0"/>
        <w:rPr>
          <w:sz w:val="20"/>
          <w:szCs w:val="20"/>
          <w:color w:val="auto"/>
        </w:rPr>
      </w:pPr>
      <w:r>
        <w:rPr>
          <w:rFonts w:ascii="Arial" w:cs="Arial" w:eastAsia="Arial" w:hAnsi="Arial"/>
          <w:sz w:val="12"/>
          <w:szCs w:val="12"/>
          <w:color w:val="FFFFFF"/>
        </w:rPr>
        <w:t>Security</w:t>
      </w:r>
    </w:p>
    <w:p>
      <w:pPr>
        <w:spacing w:after="0" w:line="224" w:lineRule="auto"/>
        <w:rPr>
          <w:sz w:val="20"/>
          <w:szCs w:val="20"/>
          <w:color w:val="auto"/>
        </w:rPr>
      </w:pPr>
      <w:r>
        <w:rPr>
          <w:rFonts w:ascii="Arial" w:cs="Arial" w:eastAsia="Arial" w:hAnsi="Arial"/>
          <w:sz w:val="12"/>
          <w:szCs w:val="12"/>
          <w:color w:val="FFFFFF"/>
        </w:rPr>
        <w:t>Ownership of</w:t>
      </w:r>
    </w:p>
    <w:p>
      <w:pPr>
        <w:spacing w:after="0" w:line="222" w:lineRule="auto"/>
        <w:rPr>
          <w:sz w:val="20"/>
          <w:szCs w:val="20"/>
          <w:color w:val="auto"/>
        </w:rPr>
      </w:pPr>
      <w:r>
        <w:rPr>
          <w:rFonts w:ascii="Arial" w:cs="Arial" w:eastAsia="Arial" w:hAnsi="Arial"/>
          <w:sz w:val="12"/>
          <w:szCs w:val="12"/>
          <w:color w:val="FFFFFF"/>
        </w:rPr>
        <w:t>Certain Beneficial</w:t>
      </w:r>
    </w:p>
    <w:p>
      <w:pPr>
        <w:spacing w:after="0" w:line="222" w:lineRule="auto"/>
        <w:rPr>
          <w:sz w:val="20"/>
          <w:szCs w:val="20"/>
          <w:color w:val="auto"/>
        </w:rPr>
      </w:pPr>
      <w:r>
        <w:rPr>
          <w:rFonts w:ascii="Arial" w:cs="Arial" w:eastAsia="Arial" w:hAnsi="Arial"/>
          <w:sz w:val="12"/>
          <w:szCs w:val="12"/>
          <w:color w:val="FFFFFF"/>
        </w:rPr>
        <w:t>Owners and</w:t>
      </w:r>
    </w:p>
    <w:p>
      <w:pPr>
        <w:spacing w:after="0"/>
        <w:rPr>
          <w:sz w:val="20"/>
          <w:szCs w:val="20"/>
          <w:color w:val="auto"/>
        </w:rPr>
      </w:pPr>
      <w:r>
        <w:rPr>
          <w:rFonts w:ascii="Arial" w:cs="Arial" w:eastAsia="Arial" w:hAnsi="Arial"/>
          <w:sz w:val="12"/>
          <w:szCs w:val="12"/>
          <w:color w:val="FFFFFF"/>
        </w:rPr>
        <w:t>Management</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Certain</w:t>
      </w:r>
    </w:p>
    <w:p>
      <w:pPr>
        <w:spacing w:after="0" w:line="224" w:lineRule="auto"/>
        <w:rPr>
          <w:sz w:val="20"/>
          <w:szCs w:val="20"/>
          <w:color w:val="auto"/>
        </w:rPr>
      </w:pPr>
      <w:r>
        <w:rPr>
          <w:rFonts w:ascii="Arial" w:cs="Arial" w:eastAsia="Arial" w:hAnsi="Arial"/>
          <w:sz w:val="12"/>
          <w:szCs w:val="12"/>
          <w:color w:val="FFFFFF"/>
        </w:rPr>
        <w:t>Relationships and</w:t>
      </w:r>
    </w:p>
    <w:p>
      <w:pPr>
        <w:spacing w:after="0" w:line="222" w:lineRule="auto"/>
        <w:rPr>
          <w:sz w:val="20"/>
          <w:szCs w:val="20"/>
          <w:color w:val="auto"/>
        </w:rPr>
      </w:pPr>
      <w:r>
        <w:rPr>
          <w:rFonts w:ascii="Arial" w:cs="Arial" w:eastAsia="Arial" w:hAnsi="Arial"/>
          <w:sz w:val="12"/>
          <w:szCs w:val="12"/>
          <w:color w:val="FFFFFF"/>
        </w:rPr>
        <w:t>Related Party</w:t>
      </w:r>
    </w:p>
    <w:p>
      <w:pPr>
        <w:spacing w:after="0"/>
        <w:rPr>
          <w:sz w:val="20"/>
          <w:szCs w:val="20"/>
          <w:color w:val="auto"/>
        </w:rPr>
      </w:pPr>
      <w:r>
        <w:rPr>
          <w:rFonts w:ascii="Arial" w:cs="Arial" w:eastAsia="Arial" w:hAnsi="Arial"/>
          <w:sz w:val="12"/>
          <w:szCs w:val="12"/>
          <w:color w:val="FFFFFF"/>
        </w:rPr>
        <w:t>Transactions</w:t>
      </w:r>
    </w:p>
    <w:p>
      <w:pPr>
        <w:spacing w:after="0" w:line="145" w:lineRule="exact"/>
        <w:rPr>
          <w:sz w:val="20"/>
          <w:szCs w:val="20"/>
          <w:color w:val="auto"/>
        </w:rPr>
      </w:pPr>
    </w:p>
    <w:p>
      <w:pPr>
        <w:sectPr>
          <w:pgSz w:w="11900" w:h="16838" w:orient="portrait"/>
          <w:cols w:equalWidth="0" w:num="2">
            <w:col w:w="8500" w:space="720"/>
            <w:col w:w="1580"/>
          </w:cols>
          <w:pgMar w:left="320" w:top="464" w:right="779" w:bottom="1440" w:gutter="0" w:footer="0" w:header="0"/>
          <w:type w:val="continuous"/>
        </w:sectPr>
      </w:pPr>
    </w:p>
    <w:p>
      <w:pPr>
        <w:spacing w:after="0" w:line="93" w:lineRule="exact"/>
        <w:rPr>
          <w:sz w:val="20"/>
          <w:szCs w:val="20"/>
          <w:color w:val="auto"/>
        </w:rPr>
      </w:pPr>
    </w:p>
    <w:p>
      <w:pPr>
        <w:ind w:left="800" w:right="380" w:hanging="261"/>
        <w:spacing w:after="0" w:line="287" w:lineRule="auto"/>
        <w:tabs>
          <w:tab w:leader="none" w:pos="800" w:val="left"/>
        </w:tabs>
        <w:numPr>
          <w:ilvl w:val="0"/>
          <w:numId w:val="110"/>
        </w:numPr>
        <w:rPr>
          <w:rFonts w:ascii="Arial" w:cs="Arial" w:eastAsia="Arial" w:hAnsi="Arial"/>
          <w:sz w:val="15"/>
          <w:szCs w:val="15"/>
          <w:color w:val="auto"/>
        </w:rPr>
      </w:pPr>
      <w:r>
        <w:rPr>
          <w:rFonts w:ascii="Arial" w:cs="Arial" w:eastAsia="Arial" w:hAnsi="Arial"/>
          <w:sz w:val="15"/>
          <w:szCs w:val="15"/>
          <w:color w:val="auto"/>
        </w:rPr>
        <w:t>other conduct that could reasonably be expected to be harmful to the business, interests or reputation of the Company.</w:t>
      </w:r>
    </w:p>
    <w:p>
      <w:pPr>
        <w:spacing w:after="0" w:line="47" w:lineRule="exact"/>
        <w:rPr>
          <w:sz w:val="20"/>
          <w:szCs w:val="20"/>
          <w:color w:val="auto"/>
        </w:rPr>
      </w:pPr>
    </w:p>
    <w:p>
      <w:pPr>
        <w:ind w:left="540" w:right="640"/>
        <w:spacing w:after="0" w:line="287"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Good Reason</w:t>
      </w:r>
      <w:r>
        <w:rPr>
          <w:rFonts w:ascii="Arial" w:cs="Arial" w:eastAsia="Arial" w:hAnsi="Arial"/>
          <w:sz w:val="15"/>
          <w:szCs w:val="15"/>
          <w:color w:val="auto"/>
        </w:rPr>
        <w:t>” under our Executive Severance Plan means the occurrence, without the Participant’s written consent, of:</w:t>
      </w:r>
    </w:p>
    <w:p>
      <w:pPr>
        <w:spacing w:after="0" w:line="60" w:lineRule="exact"/>
        <w:rPr>
          <w:sz w:val="20"/>
          <w:szCs w:val="20"/>
          <w:color w:val="auto"/>
        </w:rPr>
      </w:pPr>
    </w:p>
    <w:p>
      <w:pPr>
        <w:ind w:left="800" w:right="320" w:hanging="261"/>
        <w:spacing w:after="0" w:line="287" w:lineRule="auto"/>
        <w:tabs>
          <w:tab w:leader="none" w:pos="800" w:val="left"/>
        </w:tabs>
        <w:numPr>
          <w:ilvl w:val="0"/>
          <w:numId w:val="111"/>
        </w:numPr>
        <w:rPr>
          <w:rFonts w:ascii="Arial" w:cs="Arial" w:eastAsia="Arial" w:hAnsi="Arial"/>
          <w:sz w:val="15"/>
          <w:szCs w:val="15"/>
          <w:color w:val="auto"/>
        </w:rPr>
      </w:pPr>
      <w:r>
        <w:rPr>
          <w:rFonts w:ascii="Arial" w:cs="Arial" w:eastAsia="Arial" w:hAnsi="Arial"/>
          <w:sz w:val="15"/>
          <w:szCs w:val="15"/>
          <w:color w:val="auto"/>
        </w:rPr>
        <w:t>a material reduction in base salary unless such reduction is consistent with reductions made in the applicable annual base salaries of other similarly situated employees of the Company or its affiliates;</w:t>
      </w:r>
    </w:p>
    <w:p>
      <w:pPr>
        <w:spacing w:after="0" w:line="59" w:lineRule="exact"/>
        <w:rPr>
          <w:rFonts w:ascii="Arial" w:cs="Arial" w:eastAsia="Arial" w:hAnsi="Arial"/>
          <w:sz w:val="15"/>
          <w:szCs w:val="15"/>
          <w:color w:val="auto"/>
        </w:rPr>
      </w:pPr>
    </w:p>
    <w:p>
      <w:pPr>
        <w:ind w:left="800" w:right="480" w:hanging="261"/>
        <w:spacing w:after="0" w:line="287" w:lineRule="auto"/>
        <w:tabs>
          <w:tab w:leader="none" w:pos="800" w:val="left"/>
        </w:tabs>
        <w:numPr>
          <w:ilvl w:val="0"/>
          <w:numId w:val="111"/>
        </w:numPr>
        <w:rPr>
          <w:rFonts w:ascii="Arial" w:cs="Arial" w:eastAsia="Arial" w:hAnsi="Arial"/>
          <w:sz w:val="15"/>
          <w:szCs w:val="15"/>
          <w:color w:val="auto"/>
        </w:rPr>
      </w:pPr>
      <w:r>
        <w:rPr>
          <w:rFonts w:ascii="Arial" w:cs="Arial" w:eastAsia="Arial" w:hAnsi="Arial"/>
          <w:sz w:val="15"/>
          <w:szCs w:val="15"/>
          <w:color w:val="auto"/>
        </w:rPr>
        <w:t>a material adverse change in duties and responsibilities at the Company or its affiliates (but not changes in functional titles); or</w:t>
      </w:r>
    </w:p>
    <w:p>
      <w:pPr>
        <w:spacing w:after="0" w:line="59" w:lineRule="exact"/>
        <w:rPr>
          <w:rFonts w:ascii="Arial" w:cs="Arial" w:eastAsia="Arial" w:hAnsi="Arial"/>
          <w:sz w:val="15"/>
          <w:szCs w:val="15"/>
          <w:color w:val="auto"/>
        </w:rPr>
      </w:pPr>
    </w:p>
    <w:p>
      <w:pPr>
        <w:ind w:left="800" w:right="300" w:hanging="261"/>
        <w:spacing w:after="0" w:line="287" w:lineRule="auto"/>
        <w:tabs>
          <w:tab w:leader="none" w:pos="800" w:val="left"/>
        </w:tabs>
        <w:numPr>
          <w:ilvl w:val="0"/>
          <w:numId w:val="111"/>
        </w:numPr>
        <w:rPr>
          <w:rFonts w:ascii="Arial" w:cs="Arial" w:eastAsia="Arial" w:hAnsi="Arial"/>
          <w:sz w:val="15"/>
          <w:szCs w:val="15"/>
          <w:color w:val="auto"/>
        </w:rPr>
      </w:pPr>
      <w:r>
        <w:rPr>
          <w:rFonts w:ascii="Arial" w:cs="Arial" w:eastAsia="Arial" w:hAnsi="Arial"/>
          <w:sz w:val="15"/>
          <w:szCs w:val="15"/>
          <w:color w:val="auto"/>
        </w:rPr>
        <w:t>a relocation that would result in the Participant’s principal location of employment being moved 50 miles away from the Participant’s principal location of employment as in effect immediately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FFFFFF"/>
        </w:rPr>
        <w:t>Proposal 2</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FFFFFF"/>
        </w:rPr>
        <w:t>Report of the</w:t>
      </w:r>
    </w:p>
    <w:p>
      <w:pPr>
        <w:spacing w:after="0" w:line="224" w:lineRule="auto"/>
        <w:rPr>
          <w:sz w:val="20"/>
          <w:szCs w:val="20"/>
          <w:color w:val="auto"/>
        </w:rPr>
      </w:pPr>
      <w:r>
        <w:rPr>
          <w:rFonts w:ascii="Arial" w:cs="Arial" w:eastAsia="Arial" w:hAnsi="Arial"/>
          <w:sz w:val="12"/>
          <w:szCs w:val="12"/>
          <w:color w:val="FFFFFF"/>
        </w:rPr>
        <w:t>Audit and Risk</w:t>
      </w:r>
    </w:p>
    <w:p>
      <w:pPr>
        <w:spacing w:after="0" w:line="222" w:lineRule="auto"/>
        <w:rPr>
          <w:sz w:val="20"/>
          <w:szCs w:val="20"/>
          <w:color w:val="auto"/>
        </w:rPr>
      </w:pPr>
      <w:r>
        <w:rPr>
          <w:rFonts w:ascii="Arial" w:cs="Arial" w:eastAsia="Arial" w:hAnsi="Arial"/>
          <w:sz w:val="12"/>
          <w:szCs w:val="12"/>
          <w:color w:val="FFFFFF"/>
        </w:rPr>
        <w:t>Committee of the</w:t>
      </w:r>
    </w:p>
    <w:p>
      <w:pPr>
        <w:spacing w:after="0"/>
        <w:rPr>
          <w:sz w:val="20"/>
          <w:szCs w:val="20"/>
          <w:color w:val="auto"/>
        </w:rPr>
      </w:pPr>
      <w:r>
        <w:rPr>
          <w:rFonts w:ascii="Arial" w:cs="Arial" w:eastAsia="Arial" w:hAnsi="Arial"/>
          <w:sz w:val="11"/>
          <w:szCs w:val="11"/>
          <w:color w:val="FFFFFF"/>
        </w:rPr>
        <w:t>Board of Directors</w:t>
      </w:r>
    </w:p>
    <w:p>
      <w:pPr>
        <w:spacing w:after="0" w:line="155" w:lineRule="exact"/>
        <w:rPr>
          <w:sz w:val="20"/>
          <w:szCs w:val="20"/>
          <w:color w:val="auto"/>
        </w:rPr>
      </w:pPr>
    </w:p>
    <w:p>
      <w:pPr>
        <w:jc w:val="center"/>
        <w:ind w:right="1000"/>
        <w:spacing w:after="0"/>
        <w:rPr>
          <w:sz w:val="20"/>
          <w:szCs w:val="20"/>
          <w:color w:val="auto"/>
        </w:rPr>
      </w:pPr>
      <w:r>
        <w:rPr>
          <w:rFonts w:ascii="Arial" w:cs="Arial" w:eastAsia="Arial" w:hAnsi="Arial"/>
          <w:sz w:val="12"/>
          <w:szCs w:val="12"/>
          <w:color w:val="FFFFFF"/>
        </w:rPr>
        <w:t>Proposal 3</w:t>
      </w:r>
    </w:p>
    <w:p>
      <w:pPr>
        <w:spacing w:after="0" w:line="156" w:lineRule="exact"/>
        <w:rPr>
          <w:sz w:val="20"/>
          <w:szCs w:val="20"/>
          <w:color w:val="auto"/>
        </w:rPr>
      </w:pPr>
    </w:p>
    <w:p>
      <w:pPr>
        <w:jc w:val="center"/>
        <w:ind w:right="1000"/>
        <w:spacing w:after="0"/>
        <w:rPr>
          <w:sz w:val="20"/>
          <w:szCs w:val="20"/>
          <w:color w:val="auto"/>
        </w:rPr>
      </w:pPr>
      <w:r>
        <w:rPr>
          <w:rFonts w:ascii="Arial" w:cs="Arial" w:eastAsia="Arial" w:hAnsi="Arial"/>
          <w:sz w:val="12"/>
          <w:szCs w:val="12"/>
          <w:color w:val="FFFFFF"/>
        </w:rPr>
        <w:t>Proposal 4</w:t>
      </w:r>
    </w:p>
    <w:p>
      <w:pPr>
        <w:spacing w:after="0" w:line="156" w:lineRule="exact"/>
        <w:rPr>
          <w:sz w:val="20"/>
          <w:szCs w:val="20"/>
          <w:color w:val="auto"/>
        </w:rPr>
      </w:pPr>
    </w:p>
    <w:p>
      <w:pPr>
        <w:jc w:val="center"/>
        <w:ind w:right="1000"/>
        <w:spacing w:after="0"/>
        <w:rPr>
          <w:sz w:val="20"/>
          <w:szCs w:val="20"/>
          <w:color w:val="auto"/>
        </w:rPr>
      </w:pPr>
      <w:r>
        <w:rPr>
          <w:rFonts w:ascii="Arial" w:cs="Arial" w:eastAsia="Arial" w:hAnsi="Arial"/>
          <w:sz w:val="12"/>
          <w:szCs w:val="12"/>
          <w:color w:val="FFFFFF"/>
        </w:rPr>
        <w:t>Proposal 5</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FFFFFF"/>
        </w:rPr>
        <w:t>Proposal 6</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FFFFFF"/>
        </w:rPr>
        <w:t>Stockholder</w:t>
      </w:r>
    </w:p>
    <w:p>
      <w:pPr>
        <w:spacing w:after="0" w:line="224" w:lineRule="auto"/>
        <w:rPr>
          <w:sz w:val="20"/>
          <w:szCs w:val="20"/>
          <w:color w:val="auto"/>
        </w:rPr>
      </w:pPr>
      <w:r>
        <w:rPr>
          <w:rFonts w:ascii="Arial" w:cs="Arial" w:eastAsia="Arial" w:hAnsi="Arial"/>
          <w:sz w:val="12"/>
          <w:szCs w:val="12"/>
          <w:color w:val="FFFFFF"/>
        </w:rPr>
        <w:t>Proposals and</w:t>
      </w:r>
    </w:p>
    <w:p>
      <w:pPr>
        <w:spacing w:after="0"/>
        <w:rPr>
          <w:sz w:val="20"/>
          <w:szCs w:val="20"/>
          <w:color w:val="auto"/>
        </w:rPr>
      </w:pPr>
      <w:r>
        <w:rPr>
          <w:rFonts w:ascii="Arial" w:cs="Arial" w:eastAsia="Arial" w:hAnsi="Arial"/>
          <w:sz w:val="12"/>
          <w:szCs w:val="12"/>
          <w:color w:val="FFFFFF"/>
        </w:rPr>
        <w:t>Other Matters</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Delinquent</w:t>
      </w:r>
    </w:p>
    <w:p>
      <w:pPr>
        <w:spacing w:after="0" w:line="224" w:lineRule="auto"/>
        <w:rPr>
          <w:sz w:val="20"/>
          <w:szCs w:val="20"/>
          <w:color w:val="auto"/>
        </w:rPr>
      </w:pPr>
      <w:r>
        <w:rPr>
          <w:rFonts w:ascii="Arial" w:cs="Arial" w:eastAsia="Arial" w:hAnsi="Arial"/>
          <w:sz w:val="12"/>
          <w:szCs w:val="12"/>
          <w:color w:val="FFFFFF"/>
        </w:rPr>
        <w:t>Section 16(a)</w:t>
      </w:r>
    </w:p>
    <w:p>
      <w:pPr>
        <w:spacing w:after="0"/>
        <w:rPr>
          <w:sz w:val="20"/>
          <w:szCs w:val="20"/>
          <w:color w:val="auto"/>
        </w:rPr>
      </w:pPr>
      <w:r>
        <w:rPr>
          <w:rFonts w:ascii="Arial" w:cs="Arial" w:eastAsia="Arial" w:hAnsi="Arial"/>
          <w:sz w:val="12"/>
          <w:szCs w:val="12"/>
          <w:color w:val="FFFFFF"/>
        </w:rPr>
        <w:t>Reports</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Other</w:t>
      </w:r>
    </w:p>
    <w:p>
      <w:pPr>
        <w:spacing w:after="0" w:line="2" w:lineRule="exact"/>
        <w:rPr>
          <w:sz w:val="20"/>
          <w:szCs w:val="20"/>
          <w:color w:val="auto"/>
        </w:rPr>
      </w:pPr>
    </w:p>
    <w:p>
      <w:pPr>
        <w:spacing w:after="0"/>
        <w:rPr>
          <w:sz w:val="20"/>
          <w:szCs w:val="20"/>
          <w:color w:val="auto"/>
        </w:rPr>
      </w:pPr>
      <w:r>
        <w:rPr>
          <w:rFonts w:ascii="Arial" w:cs="Arial" w:eastAsia="Arial" w:hAnsi="Arial"/>
          <w:sz w:val="12"/>
          <w:szCs w:val="12"/>
          <w:color w:val="FFFFFF"/>
        </w:rPr>
        <w:t>Information</w:t>
      </w:r>
    </w:p>
    <w:p>
      <w:pPr>
        <w:spacing w:after="0" w:line="144" w:lineRule="exact"/>
        <w:rPr>
          <w:sz w:val="20"/>
          <w:szCs w:val="20"/>
          <w:color w:val="auto"/>
        </w:rPr>
      </w:pPr>
    </w:p>
    <w:p>
      <w:pPr>
        <w:jc w:val="center"/>
        <w:ind w:right="960"/>
        <w:spacing w:after="0"/>
        <w:rPr>
          <w:sz w:val="20"/>
          <w:szCs w:val="20"/>
          <w:color w:val="auto"/>
        </w:rPr>
      </w:pPr>
      <w:r>
        <w:rPr>
          <w:rFonts w:ascii="Arial" w:cs="Arial" w:eastAsia="Arial" w:hAnsi="Arial"/>
          <w:sz w:val="12"/>
          <w:szCs w:val="12"/>
          <w:color w:val="FFFFFF"/>
        </w:rPr>
        <w:t>Appendix A</w:t>
      </w:r>
    </w:p>
    <w:p>
      <w:pPr>
        <w:spacing w:after="0" w:line="156" w:lineRule="exact"/>
        <w:rPr>
          <w:sz w:val="20"/>
          <w:szCs w:val="20"/>
          <w:color w:val="auto"/>
        </w:rPr>
      </w:pPr>
    </w:p>
    <w:p>
      <w:pPr>
        <w:jc w:val="center"/>
        <w:ind w:right="960"/>
        <w:spacing w:after="0"/>
        <w:rPr>
          <w:sz w:val="20"/>
          <w:szCs w:val="20"/>
          <w:color w:val="auto"/>
        </w:rPr>
      </w:pPr>
      <w:r>
        <w:rPr>
          <w:rFonts w:ascii="Arial" w:cs="Arial" w:eastAsia="Arial" w:hAnsi="Arial"/>
          <w:sz w:val="12"/>
          <w:szCs w:val="12"/>
          <w:color w:val="FFFFFF"/>
        </w:rPr>
        <w:t>Appendix B</w:t>
      </w:r>
    </w:p>
    <w:p>
      <w:pPr>
        <w:spacing w:after="0" w:line="200" w:lineRule="exact"/>
        <w:rPr>
          <w:sz w:val="20"/>
          <w:szCs w:val="20"/>
          <w:color w:val="auto"/>
        </w:rPr>
      </w:pPr>
    </w:p>
    <w:p>
      <w:pPr>
        <w:sectPr>
          <w:pgSz w:w="11900" w:h="16838" w:orient="portrait"/>
          <w:cols w:equalWidth="0" w:num="2">
            <w:col w:w="8500" w:space="720"/>
            <w:col w:w="1580"/>
          </w:cols>
          <w:pgMar w:left="320" w:top="464" w:right="7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6380"/>
        <w:spacing w:after="0"/>
        <w:tabs>
          <w:tab w:leader="none" w:pos="8500" w:val="left"/>
          <w:tab w:leader="none" w:pos="9960" w:val="left"/>
        </w:tabs>
        <w:rPr>
          <w:sz w:val="20"/>
          <w:szCs w:val="20"/>
          <w:color w:val="auto"/>
        </w:rPr>
      </w:pPr>
      <w:r>
        <w:rPr>
          <w:rFonts w:ascii="Arial" w:cs="Arial" w:eastAsia="Arial" w:hAnsi="Arial"/>
          <w:sz w:val="15"/>
          <w:szCs w:val="15"/>
          <w:b w:val="1"/>
          <w:bCs w:val="1"/>
          <w:color w:val="002B5F"/>
        </w:rPr>
        <w:t xml:space="preserve">2026 Proxy Statement  </w:t>
      </w:r>
      <w:r>
        <w:rPr>
          <w:rFonts w:ascii="Arial" w:cs="Arial" w:eastAsia="Arial" w:hAnsi="Arial"/>
          <w:sz w:val="20"/>
          <w:szCs w:val="20"/>
          <w:color w:val="002B5F"/>
        </w:rPr>
        <w:t>|</w:t>
      </w:r>
      <w:r>
        <w:rPr>
          <w:rFonts w:ascii="Arial" w:cs="Arial" w:eastAsia="Arial" w:hAnsi="Arial"/>
          <w:sz w:val="15"/>
          <w:szCs w:val="15"/>
          <w:b w:val="1"/>
          <w:bCs w:val="1"/>
          <w:color w:val="002B5F"/>
        </w:rPr>
        <w:t xml:space="preserve">  71</w:t>
      </w:r>
      <w:r>
        <w:rPr>
          <w:sz w:val="20"/>
          <w:szCs w:val="20"/>
          <w:color w:val="auto"/>
        </w:rPr>
        <w:tab/>
      </w:r>
      <w:r>
        <w:rPr>
          <w:rFonts w:ascii="Arial" w:cs="Arial" w:eastAsia="Arial" w:hAnsi="Arial"/>
          <w:sz w:val="17"/>
          <w:szCs w:val="17"/>
          <w:color w:val="auto"/>
        </w:rPr>
        <w:t xml:space="preserve">    </w:t>
      </w:r>
      <w:r>
        <w:rPr>
          <w:sz w:val="20"/>
          <w:szCs w:val="20"/>
          <w:color w:val="auto"/>
        </w:rPr>
        <w:tab/>
      </w:r>
      <w:r>
        <w:rPr>
          <w:rFonts w:ascii="Arial" w:cs="Arial" w:eastAsia="Arial" w:hAnsi="Arial"/>
          <w:sz w:val="17"/>
          <w:szCs w:val="17"/>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268605</wp:posOffset>
            </wp:positionH>
            <wp:positionV relativeFrom="paragraph">
              <wp:posOffset>-128905</wp:posOffset>
            </wp:positionV>
            <wp:extent cx="762000" cy="971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62000" cy="97155"/>
                    </a:xfrm>
                    <a:prstGeom prst="rect">
                      <a:avLst/>
                    </a:prstGeom>
                    <a:noFill/>
                  </pic:spPr>
                </pic:pic>
              </a:graphicData>
            </a:graphic>
          </wp:anchor>
        </w:drawing>
      </w:r>
    </w:p>
    <w:p>
      <w:pPr>
        <w:sectPr>
          <w:pgSz w:w="11900" w:h="16838" w:orient="portrait"/>
          <w:cols w:equalWidth="0" w:num="1">
            <w:col w:w="10800"/>
          </w:cols>
          <w:pgMar w:left="320" w:top="464" w:right="779" w:bottom="1440" w:gutter="0" w:footer="0" w:header="0"/>
          <w:type w:val="continuous"/>
        </w:sectPr>
      </w:pPr>
    </w:p>
    <w:bookmarkStart w:id="83" w:name="page84"/>
    <w:bookmarkEnd w:id="83"/>
    <w:p>
      <w:pPr>
        <w:spacing w:after="0"/>
        <w:rPr>
          <w:sz w:val="20"/>
          <w:szCs w:val="20"/>
          <w:color w:val="auto"/>
        </w:rPr>
      </w:pPr>
      <w:r>
        <w:rPr>
          <w:rFonts w:ascii="Times New Roman" w:cs="Times New Roman" w:eastAsia="Times New Roman" w:hAnsi="Times New Roman"/>
          <w:sz w:val="17"/>
          <w:szCs w:val="17"/>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268605</wp:posOffset>
            </wp:positionH>
            <wp:positionV relativeFrom="paragraph">
              <wp:posOffset>253365</wp:posOffset>
            </wp:positionV>
            <wp:extent cx="1183005" cy="745617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1183005" cy="7456170"/>
                    </a:xfrm>
                    <a:prstGeom prst="rect">
                      <a:avLst/>
                    </a:prstGeom>
                    <a:noFill/>
                  </pic:spPr>
                </pic:pic>
              </a:graphicData>
            </a:graphic>
          </wp:anchor>
        </w:drawing>
      </w:r>
    </w:p>
    <w:p>
      <w:pPr>
        <w:spacing w:after="0" w:line="200" w:lineRule="exact"/>
        <w:rPr>
          <w:sz w:val="20"/>
          <w:szCs w:val="20"/>
          <w:color w:val="auto"/>
        </w:rPr>
      </w:pPr>
    </w:p>
    <w:p>
      <w:pPr>
        <w:spacing w:after="0" w:line="304" w:lineRule="exact"/>
        <w:rPr>
          <w:sz w:val="20"/>
          <w:szCs w:val="20"/>
          <w:color w:val="auto"/>
        </w:rPr>
      </w:pPr>
    </w:p>
    <w:p>
      <w:pPr>
        <w:ind w:left="1120" w:right="460" w:hanging="672"/>
        <w:spacing w:after="0" w:line="382" w:lineRule="auto"/>
        <w:tabs>
          <w:tab w:leader="none" w:pos="610" w:val="left"/>
        </w:tabs>
        <w:numPr>
          <w:ilvl w:val="0"/>
          <w:numId w:val="112"/>
        </w:numPr>
        <w:rPr>
          <w:rFonts w:ascii="Arial" w:cs="Arial" w:eastAsia="Arial" w:hAnsi="Arial"/>
          <w:sz w:val="24"/>
          <w:szCs w:val="24"/>
          <w:color w:val="auto"/>
          <w:vertAlign w:val="subscript"/>
        </w:rPr>
      </w:pPr>
      <w:r>
        <w:rPr>
          <w:rFonts w:ascii="Arial" w:cs="Arial" w:eastAsia="Arial" w:hAnsi="Arial"/>
          <w:sz w:val="24"/>
          <w:szCs w:val="24"/>
          <w:color w:val="000000"/>
          <w:vertAlign w:val="subscript"/>
        </w:rPr>
        <w:t xml:space="preserve">     </w:t>
      </w:r>
      <w:r>
        <w:rPr>
          <w:rFonts w:ascii="Arial" w:cs="Arial" w:eastAsia="Arial" w:hAnsi="Arial"/>
          <w:sz w:val="10"/>
          <w:szCs w:val="10"/>
          <w:color w:val="FFFFFF"/>
        </w:rPr>
        <w:t xml:space="preserve"> General Information</w:t>
      </w:r>
    </w:p>
    <w:p>
      <w:pPr>
        <w:spacing w:after="0" w:line="1" w:lineRule="exact"/>
        <w:rPr>
          <w:sz w:val="20"/>
          <w:szCs w:val="20"/>
          <w:color w:val="auto"/>
        </w:rPr>
      </w:pPr>
    </w:p>
    <w:p>
      <w:pPr>
        <w:ind w:left="1120"/>
        <w:spacing w:after="0"/>
        <w:rPr>
          <w:sz w:val="20"/>
          <w:szCs w:val="20"/>
          <w:color w:val="auto"/>
        </w:rPr>
      </w:pPr>
      <w:r>
        <w:rPr>
          <w:rFonts w:ascii="Arial" w:cs="Arial" w:eastAsia="Arial" w:hAnsi="Arial"/>
          <w:sz w:val="11"/>
          <w:szCs w:val="11"/>
          <w:color w:val="FFFFFF"/>
        </w:rPr>
        <w:t>General Information</w:t>
      </w:r>
    </w:p>
    <w:p>
      <w:pPr>
        <w:spacing w:after="0" w:line="3"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About Corporate</w:t>
      </w:r>
    </w:p>
    <w:p>
      <w:pPr>
        <w:ind w:left="1120"/>
        <w:spacing w:after="0" w:line="221" w:lineRule="auto"/>
        <w:rPr>
          <w:sz w:val="20"/>
          <w:szCs w:val="20"/>
          <w:color w:val="auto"/>
        </w:rPr>
      </w:pPr>
      <w:r>
        <w:rPr>
          <w:rFonts w:ascii="Arial" w:cs="Arial" w:eastAsia="Arial" w:hAnsi="Arial"/>
          <w:sz w:val="12"/>
          <w:szCs w:val="12"/>
          <w:color w:val="FFFFFF"/>
        </w:rPr>
        <w:t>Governance</w:t>
      </w:r>
    </w:p>
    <w:p>
      <w:pPr>
        <w:ind w:left="1120"/>
        <w:spacing w:after="0" w:line="222" w:lineRule="auto"/>
        <w:rPr>
          <w:sz w:val="20"/>
          <w:szCs w:val="20"/>
          <w:color w:val="auto"/>
        </w:rPr>
      </w:pPr>
      <w:r>
        <w:rPr>
          <w:rFonts w:ascii="Arial" w:cs="Arial" w:eastAsia="Arial" w:hAnsi="Arial"/>
          <w:sz w:val="12"/>
          <w:szCs w:val="12"/>
          <w:color w:val="FFFFFF"/>
        </w:rPr>
        <w:t>and the Board of</w:t>
      </w:r>
    </w:p>
    <w:p>
      <w:pPr>
        <w:spacing w:after="0" w:line="1"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Directors</w:t>
      </w:r>
    </w:p>
    <w:p>
      <w:pPr>
        <w:spacing w:after="0" w:line="144" w:lineRule="exact"/>
        <w:rPr>
          <w:sz w:val="20"/>
          <w:szCs w:val="20"/>
          <w:color w:val="auto"/>
        </w:rPr>
      </w:pPr>
    </w:p>
    <w:p>
      <w:pPr>
        <w:jc w:val="center"/>
        <w:ind w:left="620"/>
        <w:spacing w:after="0"/>
        <w:rPr>
          <w:sz w:val="20"/>
          <w:szCs w:val="20"/>
          <w:color w:val="auto"/>
        </w:rPr>
      </w:pPr>
      <w:r>
        <w:rPr>
          <w:rFonts w:ascii="Arial" w:cs="Arial" w:eastAsia="Arial" w:hAnsi="Arial"/>
          <w:sz w:val="12"/>
          <w:szCs w:val="12"/>
          <w:color w:val="FFFFFF"/>
        </w:rPr>
        <w:t>Proposal 1</w:t>
      </w:r>
    </w:p>
    <w:p>
      <w:pPr>
        <w:spacing w:after="0" w:line="156"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Information</w:t>
      </w:r>
    </w:p>
    <w:p>
      <w:pPr>
        <w:ind w:left="1120"/>
        <w:spacing w:after="0" w:line="224" w:lineRule="auto"/>
        <w:rPr>
          <w:sz w:val="20"/>
          <w:szCs w:val="20"/>
          <w:color w:val="auto"/>
        </w:rPr>
      </w:pPr>
      <w:r>
        <w:rPr>
          <w:rFonts w:ascii="Arial" w:cs="Arial" w:eastAsia="Arial" w:hAnsi="Arial"/>
          <w:sz w:val="12"/>
          <w:szCs w:val="12"/>
          <w:color w:val="FFFFFF"/>
        </w:rPr>
        <w:t>Regarding Board</w:t>
      </w:r>
    </w:p>
    <w:p>
      <w:pPr>
        <w:ind w:left="1120"/>
        <w:spacing w:after="0" w:line="222" w:lineRule="auto"/>
        <w:rPr>
          <w:sz w:val="20"/>
          <w:szCs w:val="20"/>
          <w:color w:val="auto"/>
        </w:rPr>
      </w:pPr>
      <w:r>
        <w:rPr>
          <w:rFonts w:ascii="Arial" w:cs="Arial" w:eastAsia="Arial" w:hAnsi="Arial"/>
          <w:sz w:val="12"/>
          <w:szCs w:val="12"/>
          <w:color w:val="FFFFFF"/>
        </w:rPr>
        <w:t>and Committee</w:t>
      </w:r>
    </w:p>
    <w:p>
      <w:pPr>
        <w:ind w:left="1120"/>
        <w:spacing w:after="0"/>
        <w:rPr>
          <w:sz w:val="20"/>
          <w:szCs w:val="20"/>
          <w:color w:val="auto"/>
        </w:rPr>
      </w:pPr>
      <w:r>
        <w:rPr>
          <w:rFonts w:ascii="Arial" w:cs="Arial" w:eastAsia="Arial" w:hAnsi="Arial"/>
          <w:sz w:val="12"/>
          <w:szCs w:val="12"/>
          <w:color w:val="FFFFFF"/>
        </w:rPr>
        <w:t>Structure</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Board of Directors</w:t>
      </w:r>
    </w:p>
    <w:p>
      <w:pPr>
        <w:spacing w:after="0" w:line="2"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Compensation</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Compensation</w:t>
      </w:r>
    </w:p>
    <w:p>
      <w:pPr>
        <w:ind w:left="1120"/>
        <w:spacing w:after="0" w:line="224" w:lineRule="auto"/>
        <w:rPr>
          <w:sz w:val="20"/>
          <w:szCs w:val="20"/>
          <w:color w:val="auto"/>
        </w:rPr>
      </w:pPr>
      <w:r>
        <w:rPr>
          <w:rFonts w:ascii="Arial" w:cs="Arial" w:eastAsia="Arial" w:hAnsi="Arial"/>
          <w:sz w:val="12"/>
          <w:szCs w:val="12"/>
          <w:color w:val="FFFFFF"/>
        </w:rPr>
        <w:t>Discussion and</w:t>
      </w:r>
    </w:p>
    <w:p>
      <w:pPr>
        <w:ind w:left="1120"/>
        <w:spacing w:after="0"/>
        <w:rPr>
          <w:sz w:val="20"/>
          <w:szCs w:val="20"/>
          <w:color w:val="auto"/>
        </w:rPr>
      </w:pPr>
      <w:r>
        <w:rPr>
          <w:rFonts w:ascii="Arial" w:cs="Arial" w:eastAsia="Arial" w:hAnsi="Arial"/>
          <w:sz w:val="12"/>
          <w:szCs w:val="12"/>
          <w:color w:val="FFFFFF"/>
        </w:rPr>
        <w:t>Analysis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Report of the</w:t>
      </w:r>
    </w:p>
    <w:p>
      <w:pPr>
        <w:ind w:left="1120"/>
        <w:spacing w:after="0" w:line="224" w:lineRule="auto"/>
        <w:rPr>
          <w:sz w:val="20"/>
          <w:szCs w:val="20"/>
          <w:color w:val="auto"/>
        </w:rPr>
      </w:pPr>
      <w:r>
        <w:rPr>
          <w:rFonts w:ascii="Arial" w:cs="Arial" w:eastAsia="Arial" w:hAnsi="Arial"/>
          <w:sz w:val="12"/>
          <w:szCs w:val="12"/>
          <w:color w:val="FFFFFF"/>
        </w:rPr>
        <w:t>Compensation</w:t>
      </w:r>
    </w:p>
    <w:p>
      <w:pPr>
        <w:ind w:left="1120"/>
        <w:spacing w:after="0" w:line="222" w:lineRule="auto"/>
        <w:rPr>
          <w:sz w:val="20"/>
          <w:szCs w:val="20"/>
          <w:color w:val="auto"/>
        </w:rPr>
      </w:pPr>
      <w:r>
        <w:rPr>
          <w:rFonts w:ascii="Arial" w:cs="Arial" w:eastAsia="Arial" w:hAnsi="Arial"/>
          <w:sz w:val="12"/>
          <w:szCs w:val="12"/>
          <w:color w:val="FFFFFF"/>
        </w:rPr>
        <w:t>and Human</w:t>
      </w:r>
    </w:p>
    <w:p>
      <w:pPr>
        <w:ind w:left="1120"/>
        <w:spacing w:after="0" w:line="222" w:lineRule="auto"/>
        <w:rPr>
          <w:sz w:val="20"/>
          <w:szCs w:val="20"/>
          <w:color w:val="auto"/>
        </w:rPr>
      </w:pPr>
      <w:r>
        <w:rPr>
          <w:rFonts w:ascii="Arial" w:cs="Arial" w:eastAsia="Arial" w:hAnsi="Arial"/>
          <w:sz w:val="12"/>
          <w:szCs w:val="12"/>
          <w:color w:val="FFFFFF"/>
        </w:rPr>
        <w:t>Resources</w:t>
      </w:r>
    </w:p>
    <w:p>
      <w:pPr>
        <w:ind w:left="1120"/>
        <w:spacing w:after="0" w:line="222" w:lineRule="auto"/>
        <w:rPr>
          <w:sz w:val="20"/>
          <w:szCs w:val="20"/>
          <w:color w:val="auto"/>
        </w:rPr>
      </w:pPr>
      <w:r>
        <w:rPr>
          <w:rFonts w:ascii="Arial" w:cs="Arial" w:eastAsia="Arial" w:hAnsi="Arial"/>
          <w:sz w:val="12"/>
          <w:szCs w:val="12"/>
          <w:color w:val="FFFFFF"/>
        </w:rPr>
        <w:t>Committee of the</w:t>
      </w:r>
    </w:p>
    <w:p>
      <w:pPr>
        <w:ind w:left="1120"/>
        <w:spacing w:after="0"/>
        <w:rPr>
          <w:sz w:val="20"/>
          <w:szCs w:val="20"/>
          <w:color w:val="auto"/>
        </w:rPr>
      </w:pPr>
      <w:r>
        <w:rPr>
          <w:rFonts w:ascii="Arial" w:cs="Arial" w:eastAsia="Arial" w:hAnsi="Arial"/>
          <w:sz w:val="12"/>
          <w:szCs w:val="12"/>
          <w:color w:val="FFFFFF"/>
        </w:rPr>
        <w:t>Board of Directors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b w:val="1"/>
          <w:bCs w:val="1"/>
          <w:color w:val="FFFFFF"/>
        </w:rPr>
        <w:t>Compensation of</w:t>
      </w:r>
    </w:p>
    <w:p>
      <w:pPr>
        <w:ind w:left="1120"/>
        <w:spacing w:after="0" w:line="224" w:lineRule="auto"/>
        <w:rPr>
          <w:sz w:val="20"/>
          <w:szCs w:val="20"/>
          <w:color w:val="auto"/>
        </w:rPr>
      </w:pPr>
      <w:r>
        <w:rPr>
          <w:rFonts w:ascii="Arial" w:cs="Arial" w:eastAsia="Arial" w:hAnsi="Arial"/>
          <w:sz w:val="12"/>
          <w:szCs w:val="12"/>
          <w:b w:val="1"/>
          <w:bCs w:val="1"/>
          <w:color w:val="FFFFFF"/>
        </w:rPr>
        <w:t>Named Executive</w:t>
      </w:r>
    </w:p>
    <w:p>
      <w:pPr>
        <w:ind w:left="1120"/>
        <w:spacing w:after="0"/>
        <w:rPr>
          <w:sz w:val="20"/>
          <w:szCs w:val="20"/>
          <w:color w:val="auto"/>
        </w:rPr>
      </w:pPr>
      <w:r>
        <w:rPr>
          <w:rFonts w:ascii="Arial" w:cs="Arial" w:eastAsia="Arial" w:hAnsi="Arial"/>
          <w:sz w:val="12"/>
          <w:szCs w:val="12"/>
          <w:b w:val="1"/>
          <w:bCs w:val="1"/>
          <w:color w:val="FFFFFF"/>
        </w:rPr>
        <w:t>Officers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Pay Versus</w:t>
      </w:r>
    </w:p>
    <w:p>
      <w:pPr>
        <w:ind w:left="1120"/>
        <w:spacing w:after="0" w:line="224" w:lineRule="auto"/>
        <w:rPr>
          <w:sz w:val="20"/>
          <w:szCs w:val="20"/>
          <w:color w:val="auto"/>
        </w:rPr>
      </w:pPr>
      <w:r>
        <w:rPr>
          <w:rFonts w:ascii="Arial" w:cs="Arial" w:eastAsia="Arial" w:hAnsi="Arial"/>
          <w:sz w:val="12"/>
          <w:szCs w:val="12"/>
          <w:color w:val="FFFFFF"/>
        </w:rPr>
        <w:t>Performance</w:t>
      </w:r>
    </w:p>
    <w:p>
      <w:pPr>
        <w:ind w:left="1120"/>
        <w:spacing w:after="0"/>
        <w:rPr>
          <w:sz w:val="20"/>
          <w:szCs w:val="20"/>
          <w:color w:val="auto"/>
        </w:rPr>
      </w:pPr>
      <w:r>
        <w:rPr>
          <w:rFonts w:ascii="Arial" w:cs="Arial" w:eastAsia="Arial" w:hAnsi="Arial"/>
          <w:sz w:val="12"/>
          <w:szCs w:val="12"/>
          <w:color w:val="FFFFFF"/>
        </w:rPr>
        <w:t>Disclosure</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Security</w:t>
      </w:r>
    </w:p>
    <w:p>
      <w:pPr>
        <w:ind w:left="1120"/>
        <w:spacing w:after="0" w:line="224" w:lineRule="auto"/>
        <w:rPr>
          <w:sz w:val="20"/>
          <w:szCs w:val="20"/>
          <w:color w:val="auto"/>
        </w:rPr>
      </w:pPr>
      <w:r>
        <w:rPr>
          <w:rFonts w:ascii="Arial" w:cs="Arial" w:eastAsia="Arial" w:hAnsi="Arial"/>
          <w:sz w:val="12"/>
          <w:szCs w:val="12"/>
          <w:color w:val="FFFFFF"/>
        </w:rPr>
        <w:t>Ownership of</w:t>
      </w:r>
    </w:p>
    <w:p>
      <w:pPr>
        <w:ind w:left="1120"/>
        <w:spacing w:after="0" w:line="222" w:lineRule="auto"/>
        <w:rPr>
          <w:sz w:val="20"/>
          <w:szCs w:val="20"/>
          <w:color w:val="auto"/>
        </w:rPr>
      </w:pPr>
      <w:r>
        <w:rPr>
          <w:rFonts w:ascii="Arial" w:cs="Arial" w:eastAsia="Arial" w:hAnsi="Arial"/>
          <w:sz w:val="12"/>
          <w:szCs w:val="12"/>
          <w:color w:val="FFFFFF"/>
        </w:rPr>
        <w:t>Certain Beneficial</w:t>
      </w:r>
    </w:p>
    <w:p>
      <w:pPr>
        <w:ind w:left="1120"/>
        <w:spacing w:after="0" w:line="222" w:lineRule="auto"/>
        <w:rPr>
          <w:sz w:val="20"/>
          <w:szCs w:val="20"/>
          <w:color w:val="auto"/>
        </w:rPr>
      </w:pPr>
      <w:r>
        <w:rPr>
          <w:rFonts w:ascii="Arial" w:cs="Arial" w:eastAsia="Arial" w:hAnsi="Arial"/>
          <w:sz w:val="12"/>
          <w:szCs w:val="12"/>
          <w:color w:val="FFFFFF"/>
        </w:rPr>
        <w:t>Owners and</w:t>
      </w:r>
    </w:p>
    <w:p>
      <w:pPr>
        <w:ind w:left="1120"/>
        <w:spacing w:after="0"/>
        <w:rPr>
          <w:sz w:val="20"/>
          <w:szCs w:val="20"/>
          <w:color w:val="auto"/>
        </w:rPr>
      </w:pPr>
      <w:r>
        <w:rPr>
          <w:rFonts w:ascii="Arial" w:cs="Arial" w:eastAsia="Arial" w:hAnsi="Arial"/>
          <w:sz w:val="12"/>
          <w:szCs w:val="12"/>
          <w:color w:val="FFFFFF"/>
        </w:rPr>
        <w:t>Management</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Certain</w:t>
      </w:r>
    </w:p>
    <w:p>
      <w:pPr>
        <w:ind w:left="1120"/>
        <w:spacing w:after="0" w:line="224" w:lineRule="auto"/>
        <w:rPr>
          <w:sz w:val="20"/>
          <w:szCs w:val="20"/>
          <w:color w:val="auto"/>
        </w:rPr>
      </w:pPr>
      <w:r>
        <w:rPr>
          <w:rFonts w:ascii="Arial" w:cs="Arial" w:eastAsia="Arial" w:hAnsi="Arial"/>
          <w:sz w:val="12"/>
          <w:szCs w:val="12"/>
          <w:color w:val="FFFFFF"/>
        </w:rPr>
        <w:t>Relationships and</w:t>
      </w:r>
    </w:p>
    <w:p>
      <w:pPr>
        <w:ind w:left="1120"/>
        <w:spacing w:after="0" w:line="222" w:lineRule="auto"/>
        <w:rPr>
          <w:sz w:val="20"/>
          <w:szCs w:val="20"/>
          <w:color w:val="auto"/>
        </w:rPr>
      </w:pPr>
      <w:r>
        <w:rPr>
          <w:rFonts w:ascii="Arial" w:cs="Arial" w:eastAsia="Arial" w:hAnsi="Arial"/>
          <w:sz w:val="12"/>
          <w:szCs w:val="12"/>
          <w:color w:val="FFFFFF"/>
        </w:rPr>
        <w:t>Related Party</w:t>
      </w:r>
    </w:p>
    <w:p>
      <w:pPr>
        <w:ind w:left="1120"/>
        <w:spacing w:after="0"/>
        <w:rPr>
          <w:sz w:val="20"/>
          <w:szCs w:val="20"/>
          <w:color w:val="auto"/>
        </w:rPr>
      </w:pPr>
      <w:r>
        <w:rPr>
          <w:rFonts w:ascii="Arial" w:cs="Arial" w:eastAsia="Arial" w:hAnsi="Arial"/>
          <w:sz w:val="12"/>
          <w:szCs w:val="12"/>
          <w:color w:val="FFFFFF"/>
        </w:rPr>
        <w:t>Transactions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Proposal 2</w:t>
      </w:r>
    </w:p>
    <w:p>
      <w:pPr>
        <w:spacing w:after="0" w:line="156"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Report of the</w:t>
      </w:r>
    </w:p>
    <w:p>
      <w:pPr>
        <w:ind w:left="1120"/>
        <w:spacing w:after="0" w:line="224" w:lineRule="auto"/>
        <w:rPr>
          <w:sz w:val="20"/>
          <w:szCs w:val="20"/>
          <w:color w:val="auto"/>
        </w:rPr>
      </w:pPr>
      <w:r>
        <w:rPr>
          <w:rFonts w:ascii="Arial" w:cs="Arial" w:eastAsia="Arial" w:hAnsi="Arial"/>
          <w:sz w:val="12"/>
          <w:szCs w:val="12"/>
          <w:color w:val="FFFFFF"/>
        </w:rPr>
        <w:t>Audit and Risk</w:t>
      </w:r>
    </w:p>
    <w:p>
      <w:pPr>
        <w:ind w:left="1120"/>
        <w:spacing w:after="0" w:line="222" w:lineRule="auto"/>
        <w:rPr>
          <w:sz w:val="20"/>
          <w:szCs w:val="20"/>
          <w:color w:val="auto"/>
        </w:rPr>
      </w:pPr>
      <w:r>
        <w:rPr>
          <w:rFonts w:ascii="Arial" w:cs="Arial" w:eastAsia="Arial" w:hAnsi="Arial"/>
          <w:sz w:val="12"/>
          <w:szCs w:val="12"/>
          <w:color w:val="FFFFFF"/>
        </w:rPr>
        <w:t>Committee of the</w:t>
      </w:r>
    </w:p>
    <w:p>
      <w:pPr>
        <w:ind w:left="1120"/>
        <w:spacing w:after="0"/>
        <w:rPr>
          <w:sz w:val="20"/>
          <w:szCs w:val="20"/>
          <w:color w:val="auto"/>
        </w:rPr>
      </w:pPr>
      <w:r>
        <w:rPr>
          <w:rFonts w:ascii="Arial" w:cs="Arial" w:eastAsia="Arial" w:hAnsi="Arial"/>
          <w:sz w:val="12"/>
          <w:szCs w:val="12"/>
          <w:color w:val="FFFFFF"/>
        </w:rPr>
        <w:t>Board of Directors</w:t>
      </w:r>
    </w:p>
    <w:p>
      <w:pPr>
        <w:spacing w:after="0" w:line="144" w:lineRule="exact"/>
        <w:rPr>
          <w:sz w:val="20"/>
          <w:szCs w:val="20"/>
          <w:color w:val="auto"/>
        </w:rPr>
      </w:pPr>
    </w:p>
    <w:p>
      <w:pPr>
        <w:jc w:val="center"/>
        <w:ind w:left="620"/>
        <w:spacing w:after="0"/>
        <w:rPr>
          <w:sz w:val="20"/>
          <w:szCs w:val="20"/>
          <w:color w:val="auto"/>
        </w:rPr>
      </w:pPr>
      <w:r>
        <w:rPr>
          <w:rFonts w:ascii="Arial" w:cs="Arial" w:eastAsia="Arial" w:hAnsi="Arial"/>
          <w:sz w:val="12"/>
          <w:szCs w:val="12"/>
          <w:color w:val="FFFFFF"/>
        </w:rPr>
        <w:t>Proposal 3</w:t>
      </w:r>
    </w:p>
    <w:p>
      <w:pPr>
        <w:spacing w:after="0" w:line="156" w:lineRule="exact"/>
        <w:rPr>
          <w:sz w:val="20"/>
          <w:szCs w:val="20"/>
          <w:color w:val="auto"/>
        </w:rPr>
      </w:pPr>
    </w:p>
    <w:p>
      <w:pPr>
        <w:jc w:val="center"/>
        <w:ind w:left="620"/>
        <w:spacing w:after="0"/>
        <w:rPr>
          <w:sz w:val="20"/>
          <w:szCs w:val="20"/>
          <w:color w:val="auto"/>
        </w:rPr>
      </w:pPr>
      <w:r>
        <w:rPr>
          <w:rFonts w:ascii="Arial" w:cs="Arial" w:eastAsia="Arial" w:hAnsi="Arial"/>
          <w:sz w:val="12"/>
          <w:szCs w:val="12"/>
          <w:color w:val="FFFFFF"/>
        </w:rPr>
        <w:t>Proposal 4</w:t>
      </w:r>
    </w:p>
    <w:p>
      <w:pPr>
        <w:spacing w:after="0" w:line="156" w:lineRule="exact"/>
        <w:rPr>
          <w:sz w:val="20"/>
          <w:szCs w:val="20"/>
          <w:color w:val="auto"/>
        </w:rPr>
      </w:pPr>
    </w:p>
    <w:p>
      <w:pPr>
        <w:jc w:val="center"/>
        <w:ind w:left="620"/>
        <w:spacing w:after="0"/>
        <w:rPr>
          <w:sz w:val="20"/>
          <w:szCs w:val="20"/>
          <w:color w:val="auto"/>
        </w:rPr>
      </w:pPr>
      <w:r>
        <w:rPr>
          <w:rFonts w:ascii="Arial" w:cs="Arial" w:eastAsia="Arial" w:hAnsi="Arial"/>
          <w:sz w:val="12"/>
          <w:szCs w:val="12"/>
          <w:color w:val="FFFFFF"/>
        </w:rPr>
        <w:t>Proposal 5</w:t>
      </w:r>
    </w:p>
    <w:p>
      <w:pPr>
        <w:spacing w:after="0" w:line="156"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Proposal 6</w:t>
      </w:r>
    </w:p>
    <w:p>
      <w:pPr>
        <w:spacing w:after="0" w:line="156"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Stockholder</w:t>
      </w:r>
    </w:p>
    <w:p>
      <w:pPr>
        <w:ind w:left="1120"/>
        <w:spacing w:after="0" w:line="224" w:lineRule="auto"/>
        <w:rPr>
          <w:sz w:val="20"/>
          <w:szCs w:val="20"/>
          <w:color w:val="auto"/>
        </w:rPr>
      </w:pPr>
      <w:r>
        <w:rPr>
          <w:rFonts w:ascii="Arial" w:cs="Arial" w:eastAsia="Arial" w:hAnsi="Arial"/>
          <w:sz w:val="12"/>
          <w:szCs w:val="12"/>
          <w:color w:val="FFFFFF"/>
        </w:rPr>
        <w:t>Proposals and</w:t>
      </w:r>
    </w:p>
    <w:p>
      <w:pPr>
        <w:ind w:left="1120"/>
        <w:spacing w:after="0"/>
        <w:rPr>
          <w:sz w:val="20"/>
          <w:szCs w:val="20"/>
          <w:color w:val="auto"/>
        </w:rPr>
      </w:pPr>
      <w:r>
        <w:rPr>
          <w:rFonts w:ascii="Arial" w:cs="Arial" w:eastAsia="Arial" w:hAnsi="Arial"/>
          <w:sz w:val="12"/>
          <w:szCs w:val="12"/>
          <w:color w:val="FFFFFF"/>
        </w:rPr>
        <w:t>Other Matters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Delinquent</w:t>
      </w:r>
    </w:p>
    <w:p>
      <w:pPr>
        <w:ind w:left="1120"/>
        <w:spacing w:after="0" w:line="224" w:lineRule="auto"/>
        <w:rPr>
          <w:sz w:val="20"/>
          <w:szCs w:val="20"/>
          <w:color w:val="auto"/>
        </w:rPr>
      </w:pPr>
      <w:r>
        <w:rPr>
          <w:rFonts w:ascii="Arial" w:cs="Arial" w:eastAsia="Arial" w:hAnsi="Arial"/>
          <w:sz w:val="12"/>
          <w:szCs w:val="12"/>
          <w:color w:val="FFFFFF"/>
        </w:rPr>
        <w:t>Section 16(a)</w:t>
      </w:r>
    </w:p>
    <w:p>
      <w:pPr>
        <w:ind w:left="1120"/>
        <w:spacing w:after="0"/>
        <w:rPr>
          <w:sz w:val="20"/>
          <w:szCs w:val="20"/>
          <w:color w:val="auto"/>
        </w:rPr>
      </w:pPr>
      <w:r>
        <w:rPr>
          <w:rFonts w:ascii="Arial" w:cs="Arial" w:eastAsia="Arial" w:hAnsi="Arial"/>
          <w:sz w:val="12"/>
          <w:szCs w:val="12"/>
          <w:color w:val="FFFFFF"/>
        </w:rPr>
        <w:t>Reports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Other</w:t>
      </w:r>
    </w:p>
    <w:p>
      <w:pPr>
        <w:spacing w:after="0" w:line="2"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Information</w:t>
      </w:r>
    </w:p>
    <w:p>
      <w:pPr>
        <w:spacing w:after="0" w:line="144" w:lineRule="exact"/>
        <w:rPr>
          <w:sz w:val="20"/>
          <w:szCs w:val="20"/>
          <w:color w:val="auto"/>
        </w:rPr>
      </w:pPr>
    </w:p>
    <w:p>
      <w:pPr>
        <w:jc w:val="center"/>
        <w:ind w:left="660"/>
        <w:spacing w:after="0"/>
        <w:rPr>
          <w:sz w:val="20"/>
          <w:szCs w:val="20"/>
          <w:color w:val="auto"/>
        </w:rPr>
      </w:pPr>
      <w:r>
        <w:rPr>
          <w:rFonts w:ascii="Arial" w:cs="Arial" w:eastAsia="Arial" w:hAnsi="Arial"/>
          <w:sz w:val="12"/>
          <w:szCs w:val="12"/>
          <w:color w:val="FFFFFF"/>
        </w:rPr>
        <w:t>Appendix A</w:t>
      </w:r>
    </w:p>
    <w:p>
      <w:pPr>
        <w:spacing w:after="0" w:line="156" w:lineRule="exact"/>
        <w:rPr>
          <w:sz w:val="20"/>
          <w:szCs w:val="20"/>
          <w:color w:val="auto"/>
        </w:rPr>
      </w:pPr>
    </w:p>
    <w:p>
      <w:pPr>
        <w:jc w:val="center"/>
        <w:ind w:left="660"/>
        <w:spacing w:after="0"/>
        <w:rPr>
          <w:sz w:val="20"/>
          <w:szCs w:val="20"/>
          <w:color w:val="auto"/>
        </w:rPr>
      </w:pPr>
      <w:r>
        <w:rPr>
          <w:rFonts w:ascii="Arial" w:cs="Arial" w:eastAsia="Arial" w:hAnsi="Arial"/>
          <w:sz w:val="12"/>
          <w:szCs w:val="12"/>
          <w:color w:val="FFFFFF"/>
        </w:rPr>
        <w:t>Appendix 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280" w:right="200"/>
        <w:spacing w:after="0" w:line="287" w:lineRule="auto"/>
        <w:rPr>
          <w:sz w:val="20"/>
          <w:szCs w:val="20"/>
          <w:color w:val="auto"/>
        </w:rPr>
      </w:pPr>
      <w:r>
        <w:rPr>
          <w:rFonts w:ascii="Arial" w:cs="Arial" w:eastAsia="Arial" w:hAnsi="Arial"/>
          <w:sz w:val="15"/>
          <w:szCs w:val="15"/>
          <w:color w:val="auto"/>
        </w:rPr>
        <w:t>prior to the consummation of a change-in-control, to the extent any such relocation occurs during the 12-month period following the date of the consummation of a change-in-control.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-1737995</wp:posOffset>
            </wp:positionH>
            <wp:positionV relativeFrom="paragraph">
              <wp:posOffset>-893445</wp:posOffset>
            </wp:positionV>
            <wp:extent cx="7181215" cy="5334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81215" cy="53340"/>
                    </a:xfrm>
                    <a:prstGeom prst="rect">
                      <a:avLst/>
                    </a:prstGeom>
                    <a:noFill/>
                  </pic:spPr>
                </pic:pic>
              </a:graphicData>
            </a:graphic>
          </wp:anchor>
        </w:drawing>
      </w:r>
    </w:p>
    <w:p>
      <w:pPr>
        <w:spacing w:after="0" w:line="27" w:lineRule="exact"/>
        <w:rPr>
          <w:sz w:val="20"/>
          <w:szCs w:val="20"/>
          <w:color w:val="auto"/>
        </w:rPr>
      </w:pPr>
    </w:p>
    <w:p>
      <w:pPr>
        <w:spacing w:after="0" w:line="258" w:lineRule="auto"/>
        <w:rPr>
          <w:sz w:val="20"/>
          <w:szCs w:val="20"/>
          <w:color w:val="auto"/>
        </w:rPr>
      </w:pPr>
      <w:r>
        <w:rPr>
          <w:rFonts w:ascii="Arial" w:cs="Arial" w:eastAsia="Arial" w:hAnsi="Arial"/>
          <w:sz w:val="15"/>
          <w:szCs w:val="15"/>
          <w:color w:val="auto"/>
        </w:rPr>
        <w:t xml:space="preserve">The Participant is required to provide notice within 90 days following the “ </w:t>
      </w:r>
      <w:r>
        <w:rPr>
          <w:rFonts w:ascii="Arial" w:cs="Arial" w:eastAsia="Arial" w:hAnsi="Arial"/>
          <w:sz w:val="15"/>
          <w:szCs w:val="15"/>
          <w:i w:val="1"/>
          <w:iCs w:val="1"/>
          <w:color w:val="auto"/>
        </w:rPr>
        <w:t>Good Reason</w:t>
      </w:r>
      <w:r>
        <w:rPr>
          <w:rFonts w:ascii="Arial" w:cs="Arial" w:eastAsia="Arial" w:hAnsi="Arial"/>
          <w:sz w:val="15"/>
          <w:szCs w:val="15"/>
          <w:color w:val="auto"/>
        </w:rPr>
        <w:t>” event (and the Company will have 30 days following such notice to cure). “</w:t>
      </w:r>
      <w:r>
        <w:rPr>
          <w:rFonts w:ascii="Arial" w:cs="Arial" w:eastAsia="Arial" w:hAnsi="Arial"/>
          <w:sz w:val="15"/>
          <w:szCs w:val="15"/>
          <w:i w:val="1"/>
          <w:iCs w:val="1"/>
          <w:color w:val="auto"/>
        </w:rPr>
        <w:t>Good Reason</w:t>
      </w:r>
      <w:r>
        <w:rPr>
          <w:rFonts w:ascii="Arial" w:cs="Arial" w:eastAsia="Arial" w:hAnsi="Arial"/>
          <w:sz w:val="15"/>
          <w:szCs w:val="15"/>
          <w:color w:val="auto"/>
        </w:rPr>
        <w:t>” will cease to exist for an event on the 90th day following the date on which the Participant knew or reasonably should have known of such event and failed to give notice as described above or if the Participant failed to terminate employment within 14 days following the expiration of the cure period.</w:t>
      </w:r>
    </w:p>
    <w:p>
      <w:pPr>
        <w:spacing w:after="0" w:line="68" w:lineRule="exact"/>
        <w:rPr>
          <w:sz w:val="20"/>
          <w:szCs w:val="20"/>
          <w:color w:val="auto"/>
        </w:rPr>
      </w:pPr>
    </w:p>
    <w:p>
      <w:pP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Change-in-Control</w:t>
      </w:r>
      <w:r>
        <w:rPr>
          <w:rFonts w:ascii="Arial" w:cs="Arial" w:eastAsia="Arial" w:hAnsi="Arial"/>
          <w:sz w:val="15"/>
          <w:szCs w:val="15"/>
          <w:color w:val="auto"/>
        </w:rPr>
        <w:t>” under our Executive Severance Plan means the consummation of:</w:t>
      </w:r>
    </w:p>
    <w:p>
      <w:pPr>
        <w:spacing w:after="0" w:line="121" w:lineRule="exact"/>
        <w:rPr>
          <w:sz w:val="20"/>
          <w:szCs w:val="20"/>
          <w:color w:val="auto"/>
        </w:rPr>
      </w:pPr>
    </w:p>
    <w:p>
      <w:pPr>
        <w:ind w:left="280" w:right="20" w:hanging="273"/>
        <w:spacing w:after="0" w:line="258" w:lineRule="auto"/>
        <w:tabs>
          <w:tab w:leader="none" w:pos="280" w:val="left"/>
        </w:tabs>
        <w:numPr>
          <w:ilvl w:val="0"/>
          <w:numId w:val="113"/>
        </w:numPr>
        <w:rPr>
          <w:rFonts w:ascii="Arial" w:cs="Arial" w:eastAsia="Arial" w:hAnsi="Arial"/>
          <w:sz w:val="15"/>
          <w:szCs w:val="15"/>
          <w:color w:val="auto"/>
        </w:rPr>
      </w:pPr>
      <w:r>
        <w:rPr>
          <w:rFonts w:ascii="Arial" w:cs="Arial" w:eastAsia="Arial" w:hAnsi="Arial"/>
          <w:sz w:val="15"/>
          <w:szCs w:val="15"/>
          <w:color w:val="auto"/>
        </w:rPr>
        <w:t>any transaction or series of related transactions, whether or not the Company is a party thereto, after giving effect to which in excess of 50% of the Company’s voting power is owned directly, or indirectly through one or more entities, by any person and its “affiliates” or “associates” (as such terms are defined in the Exchange Act rules) or any “group” (as defined in the Exchange Act rules) other than, in each case, the Company or an affiliate of the Company; or</w:t>
      </w:r>
    </w:p>
    <w:p>
      <w:pPr>
        <w:spacing w:after="0" w:line="81" w:lineRule="exact"/>
        <w:rPr>
          <w:rFonts w:ascii="Arial" w:cs="Arial" w:eastAsia="Arial" w:hAnsi="Arial"/>
          <w:sz w:val="15"/>
          <w:szCs w:val="15"/>
          <w:color w:val="auto"/>
        </w:rPr>
      </w:pPr>
    </w:p>
    <w:p>
      <w:pPr>
        <w:ind w:left="280" w:right="80" w:hanging="273"/>
        <w:spacing w:after="0" w:line="255" w:lineRule="auto"/>
        <w:tabs>
          <w:tab w:leader="none" w:pos="280" w:val="left"/>
        </w:tabs>
        <w:numPr>
          <w:ilvl w:val="0"/>
          <w:numId w:val="113"/>
        </w:numPr>
        <w:rPr>
          <w:rFonts w:ascii="Arial" w:cs="Arial" w:eastAsia="Arial" w:hAnsi="Arial"/>
          <w:sz w:val="15"/>
          <w:szCs w:val="15"/>
          <w:color w:val="auto"/>
        </w:rPr>
      </w:pPr>
      <w:r>
        <w:rPr>
          <w:rFonts w:ascii="Arial" w:cs="Arial" w:eastAsia="Arial" w:hAnsi="Arial"/>
          <w:sz w:val="15"/>
          <w:szCs w:val="15"/>
          <w:color w:val="auto"/>
        </w:rPr>
        <w:t>a sale or other disposition of all or substantially all of the consolidated assets of the Company (each of the foregoing, a “Business Combination”), provided that, notwithstanding the foregoing, a “change-in-control” is not deemed to occur as a result of a Business Combination following which the individuals or entities who were beneficial owners of the outstanding securities entitled to vote generally in the election of directors of the Company immediately prior to such Business Combination beneficially own, directly or indirectly, 50% or more of the outstanding securities entitled to vote generally in the election of directors of the resulting, surviving or acquiring corporation in such transaction.</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color w:val="002B5F"/>
        </w:rPr>
        <w:t>TERMINATION OTHER THAN FOR GOOD REASON</w:t>
      </w:r>
    </w:p>
    <w:p>
      <w:pPr>
        <w:spacing w:after="0" w:line="103" w:lineRule="exact"/>
        <w:rPr>
          <w:sz w:val="20"/>
          <w:szCs w:val="20"/>
          <w:color w:val="auto"/>
        </w:rPr>
      </w:pPr>
    </w:p>
    <w:p>
      <w:pPr>
        <w:ind w:right="40"/>
        <w:spacing w:after="0" w:line="258" w:lineRule="auto"/>
        <w:rPr>
          <w:sz w:val="20"/>
          <w:szCs w:val="20"/>
          <w:color w:val="auto"/>
        </w:rPr>
      </w:pPr>
      <w:r>
        <w:rPr>
          <w:rFonts w:ascii="Arial" w:cs="Arial" w:eastAsia="Arial" w:hAnsi="Arial"/>
          <w:sz w:val="15"/>
          <w:szCs w:val="15"/>
          <w:color w:val="auto"/>
        </w:rPr>
        <w:t>The Executive Severance Plan does not provide for any separation benefits or payments upon an executive’s retirement or voluntary resignation from employment other than for good reason. Upon such a retirement or voluntary resignation, an eligible executive would be entitled to receive only base salary through such executive’s separation date, reimbursements for reasonable business expenses, and any other employee benefit entitlements to which the executive is entitled under the Company’s other employee benefit plans and programs.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002B5F"/>
        </w:rPr>
        <w:t>DEATH AND DISABILITY</w:t>
      </w:r>
    </w:p>
    <w:p>
      <w:pPr>
        <w:spacing w:after="0" w:line="103" w:lineRule="exact"/>
        <w:rPr>
          <w:sz w:val="20"/>
          <w:szCs w:val="20"/>
          <w:color w:val="auto"/>
        </w:rPr>
      </w:pPr>
    </w:p>
    <w:p>
      <w:pPr>
        <w:ind w:right="180"/>
        <w:spacing w:after="0" w:line="261" w:lineRule="auto"/>
        <w:rPr>
          <w:sz w:val="20"/>
          <w:szCs w:val="20"/>
          <w:color w:val="auto"/>
        </w:rPr>
      </w:pPr>
      <w:r>
        <w:rPr>
          <w:rFonts w:ascii="Arial" w:cs="Arial" w:eastAsia="Arial" w:hAnsi="Arial"/>
          <w:sz w:val="15"/>
          <w:szCs w:val="15"/>
          <w:color w:val="auto"/>
        </w:rPr>
        <w:t>The Executive Severance Plan does not provide for any separation benefits or payments upon a termination due to death or disability. Upon such a termination, an eligible executive would be entitled to receive only base salary through the separation date, reimbursements for reasonable business expenses and any other employee benefit entitlements to which the executive is entitled under the Company’s other employee benefit plans and programs.</w:t>
      </w:r>
    </w:p>
    <w:p>
      <w:pPr>
        <w:spacing w:after="0" w:line="67" w:lineRule="exact"/>
        <w:rPr>
          <w:sz w:val="20"/>
          <w:szCs w:val="20"/>
          <w:color w:val="auto"/>
        </w:rPr>
      </w:pPr>
    </w:p>
    <w:p>
      <w:pPr>
        <w:ind w:right="300"/>
        <w:spacing w:after="0" w:line="287" w:lineRule="auto"/>
        <w:rPr>
          <w:sz w:val="20"/>
          <w:szCs w:val="20"/>
          <w:color w:val="auto"/>
        </w:rPr>
      </w:pPr>
      <w:r>
        <w:rPr>
          <w:rFonts w:ascii="Arial" w:cs="Arial" w:eastAsia="Arial" w:hAnsi="Arial"/>
          <w:sz w:val="15"/>
          <w:szCs w:val="15"/>
          <w:color w:val="auto"/>
        </w:rPr>
        <w:t>Please see “</w:t>
      </w:r>
      <w:r>
        <w:rPr>
          <w:rFonts w:ascii="Arial" w:cs="Arial" w:eastAsia="Arial" w:hAnsi="Arial"/>
          <w:sz w:val="15"/>
          <w:szCs w:val="15"/>
          <w:i w:val="1"/>
          <w:iCs w:val="1"/>
          <w:color w:val="auto"/>
        </w:rPr>
        <w:t>Equity Award Agreements</w:t>
      </w:r>
      <w:r>
        <w:rPr>
          <w:rFonts w:ascii="Arial" w:cs="Arial" w:eastAsia="Arial" w:hAnsi="Arial"/>
          <w:sz w:val="15"/>
          <w:szCs w:val="15"/>
          <w:color w:val="auto"/>
        </w:rPr>
        <w:t>” below for the treatment of outstanding equity awards in connection with a termination of employment due to death, disability or retirement.</w:t>
      </w:r>
    </w:p>
    <w:p>
      <w:pPr>
        <w:spacing w:after="0" w:line="139" w:lineRule="exact"/>
        <w:rPr>
          <w:sz w:val="20"/>
          <w:szCs w:val="20"/>
          <w:color w:val="auto"/>
        </w:rPr>
      </w:pPr>
    </w:p>
    <w:p>
      <w:pPr>
        <w:spacing w:after="0"/>
        <w:rPr>
          <w:sz w:val="20"/>
          <w:szCs w:val="20"/>
          <w:color w:val="auto"/>
        </w:rPr>
      </w:pPr>
      <w:r>
        <w:rPr>
          <w:rFonts w:ascii="Arial" w:cs="Arial" w:eastAsia="Arial" w:hAnsi="Arial"/>
          <w:sz w:val="24"/>
          <w:szCs w:val="24"/>
          <w:color w:val="B95827"/>
        </w:rPr>
        <w:t>Equity Award Agreements</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b w:val="1"/>
          <w:bCs w:val="1"/>
          <w:color w:val="002B5F"/>
        </w:rPr>
        <w:t>STOCK OPTIONS</w:t>
      </w:r>
    </w:p>
    <w:p>
      <w:pPr>
        <w:spacing w:after="0" w:line="103" w:lineRule="exact"/>
        <w:rPr>
          <w:sz w:val="20"/>
          <w:szCs w:val="20"/>
          <w:color w:val="auto"/>
        </w:rPr>
      </w:pPr>
    </w:p>
    <w:p>
      <w:pPr>
        <w:spacing w:after="0"/>
        <w:rPr>
          <w:sz w:val="20"/>
          <w:szCs w:val="20"/>
          <w:color w:val="auto"/>
        </w:rPr>
      </w:pPr>
      <w:r>
        <w:rPr>
          <w:rFonts w:ascii="Arial" w:cs="Arial" w:eastAsia="Arial" w:hAnsi="Arial"/>
          <w:sz w:val="15"/>
          <w:szCs w:val="15"/>
          <w:color w:val="auto"/>
        </w:rPr>
        <w:t>All stock options held by our NEOs as of December 31, 2025 were granted under our 2010 Plan and are fully vested.</w:t>
      </w:r>
    </w:p>
    <w:p>
      <w:pPr>
        <w:spacing w:after="0" w:line="108" w:lineRule="exact"/>
        <w:rPr>
          <w:sz w:val="20"/>
          <w:szCs w:val="20"/>
          <w:color w:val="auto"/>
        </w:rPr>
      </w:pPr>
    </w:p>
    <w:p>
      <w:pPr>
        <w:spacing w:after="0"/>
        <w:rPr>
          <w:sz w:val="20"/>
          <w:szCs w:val="20"/>
          <w:color w:val="auto"/>
        </w:rPr>
      </w:pPr>
      <w:r>
        <w:rPr>
          <w:rFonts w:ascii="Arial" w:cs="Arial" w:eastAsia="Arial" w:hAnsi="Arial"/>
          <w:sz w:val="15"/>
          <w:szCs w:val="15"/>
          <w:color w:val="auto"/>
        </w:rPr>
        <w:t>Unless the NEO is terminated for cause, vested options will be exercisable for:</w:t>
      </w:r>
    </w:p>
    <w:p>
      <w:pPr>
        <w:spacing w:after="0" w:line="121" w:lineRule="exact"/>
        <w:rPr>
          <w:sz w:val="20"/>
          <w:szCs w:val="20"/>
          <w:color w:val="auto"/>
        </w:rPr>
      </w:pPr>
    </w:p>
    <w:p>
      <w:pPr>
        <w:ind w:left="280" w:right="280" w:hanging="273"/>
        <w:spacing w:after="0" w:line="287" w:lineRule="auto"/>
        <w:tabs>
          <w:tab w:leader="none" w:pos="280" w:val="left"/>
        </w:tabs>
        <w:numPr>
          <w:ilvl w:val="0"/>
          <w:numId w:val="114"/>
        </w:numPr>
        <w:rPr>
          <w:rFonts w:ascii="Arial" w:cs="Arial" w:eastAsia="Arial" w:hAnsi="Arial"/>
          <w:sz w:val="15"/>
          <w:szCs w:val="15"/>
          <w:color w:val="auto"/>
        </w:rPr>
      </w:pPr>
      <w:r>
        <w:rPr>
          <w:rFonts w:ascii="Arial" w:cs="Arial" w:eastAsia="Arial" w:hAnsi="Arial"/>
          <w:sz w:val="15"/>
          <w:szCs w:val="15"/>
          <w:color w:val="auto"/>
        </w:rPr>
        <w:t>two years following termination of employment by reason of retirement, but not later than the option expiration date;</w:t>
      </w:r>
    </w:p>
    <w:p>
      <w:pPr>
        <w:spacing w:after="0" w:line="59" w:lineRule="exact"/>
        <w:rPr>
          <w:rFonts w:ascii="Arial" w:cs="Arial" w:eastAsia="Arial" w:hAnsi="Arial"/>
          <w:sz w:val="15"/>
          <w:szCs w:val="15"/>
          <w:color w:val="auto"/>
        </w:rPr>
      </w:pPr>
    </w:p>
    <w:p>
      <w:pPr>
        <w:ind w:left="280" w:hanging="273"/>
        <w:spacing w:after="0"/>
        <w:tabs>
          <w:tab w:leader="none" w:pos="280" w:val="left"/>
        </w:tabs>
        <w:numPr>
          <w:ilvl w:val="0"/>
          <w:numId w:val="114"/>
        </w:numPr>
        <w:rPr>
          <w:rFonts w:ascii="Arial" w:cs="Arial" w:eastAsia="Arial" w:hAnsi="Arial"/>
          <w:sz w:val="15"/>
          <w:szCs w:val="15"/>
          <w:color w:val="auto"/>
        </w:rPr>
      </w:pPr>
      <w:r>
        <w:rPr>
          <w:rFonts w:ascii="Arial" w:cs="Arial" w:eastAsia="Arial" w:hAnsi="Arial"/>
          <w:sz w:val="15"/>
          <w:szCs w:val="15"/>
          <w:color w:val="auto"/>
        </w:rPr>
        <w:t>one year following death or disability but, in each case, not later than the option expiration date; or</w:t>
      </w:r>
    </w:p>
    <w:p>
      <w:pPr>
        <w:spacing w:after="0" w:line="121" w:lineRule="exact"/>
        <w:rPr>
          <w:rFonts w:ascii="Arial" w:cs="Arial" w:eastAsia="Arial" w:hAnsi="Arial"/>
          <w:sz w:val="15"/>
          <w:szCs w:val="15"/>
          <w:color w:val="auto"/>
        </w:rPr>
      </w:pPr>
    </w:p>
    <w:p>
      <w:pPr>
        <w:ind w:left="280" w:hanging="273"/>
        <w:spacing w:after="0"/>
        <w:tabs>
          <w:tab w:leader="none" w:pos="280" w:val="left"/>
        </w:tabs>
        <w:numPr>
          <w:ilvl w:val="0"/>
          <w:numId w:val="114"/>
        </w:numPr>
        <w:rPr>
          <w:rFonts w:ascii="Arial" w:cs="Arial" w:eastAsia="Arial" w:hAnsi="Arial"/>
          <w:sz w:val="15"/>
          <w:szCs w:val="15"/>
          <w:color w:val="auto"/>
        </w:rPr>
      </w:pPr>
      <w:r>
        <w:rPr>
          <w:rFonts w:ascii="Arial" w:cs="Arial" w:eastAsia="Arial" w:hAnsi="Arial"/>
          <w:sz w:val="15"/>
          <w:szCs w:val="15"/>
          <w:color w:val="auto"/>
        </w:rPr>
        <w:t>90 days following termination in other cases, but not later than the option expiration date.</w:t>
      </w:r>
    </w:p>
    <w:p>
      <w:pPr>
        <w:spacing w:after="0" w:line="1755" w:lineRule="exact"/>
        <w:rPr>
          <w:sz w:val="20"/>
          <w:szCs w:val="20"/>
          <w:color w:val="auto"/>
        </w:rPr>
      </w:pPr>
    </w:p>
    <w:p>
      <w:pPr>
        <w:sectPr>
          <w:pgSz w:w="11900" w:h="16838" w:orient="portrait"/>
          <w:cols w:equalWidth="0" w:num="2">
            <w:col w:w="2160" w:space="560"/>
            <w:col w:w="7960"/>
          </w:cols>
          <w:pgMar w:left="320" w:top="464" w:right="899" w:bottom="1440" w:gutter="0" w:footer="0" w:header="0"/>
        </w:sectPr>
      </w:pPr>
    </w:p>
    <w:p>
      <w:pPr>
        <w:spacing w:after="0" w:line="200" w:lineRule="exact"/>
        <w:rPr>
          <w:sz w:val="20"/>
          <w:szCs w:val="20"/>
          <w:color w:val="auto"/>
        </w:rPr>
      </w:pPr>
    </w:p>
    <w:p>
      <w:pPr>
        <w:spacing w:after="0" w:line="385" w:lineRule="exact"/>
        <w:rPr>
          <w:sz w:val="20"/>
          <w:szCs w:val="20"/>
          <w:color w:val="auto"/>
        </w:rPr>
      </w:pPr>
    </w:p>
    <w:p>
      <w:pPr>
        <w:ind w:left="420"/>
        <w:spacing w:after="0"/>
        <w:tabs>
          <w:tab w:leader="none" w:pos="2380" w:val="left"/>
          <w:tab w:leader="none" w:pos="2800" w:val="left"/>
        </w:tabs>
        <w:rPr>
          <w:sz w:val="20"/>
          <w:szCs w:val="20"/>
          <w:color w:val="auto"/>
        </w:rPr>
      </w:pPr>
      <w:r>
        <w:rPr>
          <w:rFonts w:ascii="Arial" w:cs="Arial" w:eastAsia="Arial" w:hAnsi="Arial"/>
          <w:sz w:val="30"/>
          <w:szCs w:val="30"/>
          <w:color w:val="000000"/>
          <w:vertAlign w:val="superscript"/>
        </w:rPr>
        <w:t xml:space="preserve">             </w:t>
      </w:r>
      <w:r>
        <w:rPr>
          <w:sz w:val="20"/>
          <w:szCs w:val="20"/>
          <w:color w:val="auto"/>
        </w:rPr>
        <w:tab/>
      </w:r>
      <w:r>
        <w:rPr>
          <w:rFonts w:ascii="Arial" w:cs="Arial" w:eastAsia="Arial" w:hAnsi="Arial"/>
          <w:sz w:val="31"/>
          <w:szCs w:val="31"/>
          <w:color w:val="auto"/>
          <w:vertAlign w:val="superscript"/>
        </w:rPr>
        <w:t xml:space="preserve">    </w:t>
      </w:r>
      <w:r>
        <w:rPr>
          <w:sz w:val="20"/>
          <w:szCs w:val="20"/>
          <w:color w:val="auto"/>
        </w:rPr>
        <w:tab/>
      </w:r>
      <w:r>
        <w:rPr>
          <w:rFonts w:ascii="Arial" w:cs="Arial" w:eastAsia="Arial" w:hAnsi="Arial"/>
          <w:sz w:val="15"/>
          <w:szCs w:val="15"/>
          <w:b w:val="1"/>
          <w:bCs w:val="1"/>
          <w:color w:val="002B5F"/>
        </w:rPr>
        <w:t xml:space="preserve">72  </w:t>
      </w:r>
      <w:r>
        <w:rPr>
          <w:rFonts w:ascii="Arial" w:cs="Arial" w:eastAsia="Arial" w:hAnsi="Arial"/>
          <w:sz w:val="20"/>
          <w:szCs w:val="20"/>
          <w:color w:val="002B5F"/>
        </w:rPr>
        <w:t>|</w:t>
      </w:r>
      <w:r>
        <w:rPr>
          <w:rFonts w:ascii="Arial" w:cs="Arial" w:eastAsia="Arial" w:hAnsi="Arial"/>
          <w:sz w:val="15"/>
          <w:szCs w:val="15"/>
          <w:b w:val="1"/>
          <w:bCs w:val="1"/>
          <w:color w:val="002B5F"/>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6111875</wp:posOffset>
            </wp:positionH>
            <wp:positionV relativeFrom="paragraph">
              <wp:posOffset>-208915</wp:posOffset>
            </wp:positionV>
            <wp:extent cx="769620" cy="971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69620" cy="97155"/>
                    </a:xfrm>
                    <a:prstGeom prst="rect">
                      <a:avLst/>
                    </a:prstGeom>
                    <a:noFill/>
                  </pic:spPr>
                </pic:pic>
              </a:graphicData>
            </a:graphic>
          </wp:anchor>
        </w:drawing>
      </w:r>
    </w:p>
    <w:p>
      <w:pPr>
        <w:sectPr>
          <w:pgSz w:w="11900" w:h="16838" w:orient="portrait"/>
          <w:cols w:equalWidth="0" w:num="1">
            <w:col w:w="10680"/>
          </w:cols>
          <w:pgMar w:left="320" w:top="464" w:right="899" w:bottom="1440" w:gutter="0" w:footer="0" w:header="0"/>
          <w:type w:val="continuous"/>
        </w:sectPr>
      </w:pPr>
    </w:p>
    <w:bookmarkStart w:id="84" w:name="page85"/>
    <w:bookmarkEnd w:id="8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5334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81215" cy="5334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5617845</wp:posOffset>
            </wp:positionH>
            <wp:positionV relativeFrom="paragraph">
              <wp:posOffset>253365</wp:posOffset>
            </wp:positionV>
            <wp:extent cx="1256030" cy="74720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1256030" cy="747204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left="540"/>
        <w:spacing w:after="0"/>
        <w:rPr>
          <w:sz w:val="20"/>
          <w:szCs w:val="20"/>
          <w:color w:val="auto"/>
        </w:rPr>
      </w:pPr>
      <w:r>
        <w:rPr>
          <w:rFonts w:ascii="Arial" w:cs="Arial" w:eastAsia="Arial" w:hAnsi="Arial"/>
          <w:sz w:val="17"/>
          <w:szCs w:val="17"/>
          <w:b w:val="1"/>
          <w:bCs w:val="1"/>
          <w:color w:val="002B5F"/>
        </w:rPr>
        <w:t>RESTRICTED STOCK UNITS (RSUs)</w:t>
      </w:r>
    </w:p>
    <w:p>
      <w:pPr>
        <w:spacing w:after="0" w:line="49" w:lineRule="exact"/>
        <w:rPr>
          <w:sz w:val="20"/>
          <w:szCs w:val="20"/>
          <w:color w:val="auto"/>
        </w:rPr>
      </w:pPr>
    </w:p>
    <w:tbl>
      <w:tblPr>
        <w:tblLayout w:type="fixed"/>
        <w:tblInd w:w="540" w:type="dxa"/>
        <w:tblCellMar>
          <w:top w:w="0" w:type="dxa"/>
          <w:left w:w="0" w:type="dxa"/>
          <w:bottom w:w="0" w:type="dxa"/>
          <w:right w:w="0" w:type="dxa"/>
        </w:tblCellMar>
      </w:tblPr>
      <w:tr>
        <w:trPr>
          <w:trHeight w:val="138"/>
        </w:trPr>
        <w:tc>
          <w:tcPr>
            <w:tcW w:w="8060" w:type="dxa"/>
            <w:vAlign w:val="bottom"/>
            <w:vMerge w:val="restart"/>
          </w:tcPr>
          <w:p>
            <w:pPr>
              <w:spacing w:after="0"/>
              <w:rPr>
                <w:sz w:val="20"/>
                <w:szCs w:val="20"/>
                <w:color w:val="auto"/>
              </w:rPr>
            </w:pPr>
            <w:r>
              <w:rPr>
                <w:rFonts w:ascii="Arial" w:cs="Arial" w:eastAsia="Arial" w:hAnsi="Arial"/>
                <w:sz w:val="15"/>
                <w:szCs w:val="15"/>
                <w:color w:val="auto"/>
              </w:rPr>
              <w:t>In accordance with the NEOs’ RSU agreements, unvested portions of RSU awards are cancelled upon termination</w:t>
            </w:r>
          </w:p>
        </w:tc>
        <w:tc>
          <w:tcPr>
            <w:tcW w:w="480" w:type="dxa"/>
            <w:vAlign w:val="bottom"/>
            <w:vMerge w:val="restart"/>
          </w:tcPr>
          <w:p>
            <w:pPr>
              <w:ind w:left="280"/>
              <w:spacing w:after="0"/>
              <w:rPr>
                <w:sz w:val="20"/>
                <w:szCs w:val="20"/>
                <w:color w:val="auto"/>
              </w:rPr>
            </w:pPr>
            <w:r>
              <w:rPr>
                <w:rFonts w:ascii="Arial" w:cs="Arial" w:eastAsia="Arial" w:hAnsi="Arial"/>
                <w:sz w:val="15"/>
                <w:szCs w:val="15"/>
                <w:color w:val="auto"/>
              </w:rPr>
              <w:t> </w:t>
            </w:r>
          </w:p>
        </w:tc>
        <w:tc>
          <w:tcPr>
            <w:tcW w:w="1280" w:type="dxa"/>
            <w:vAlign w:val="bottom"/>
          </w:tcPr>
          <w:p>
            <w:pPr>
              <w:ind w:left="140"/>
              <w:spacing w:after="0"/>
              <w:rPr>
                <w:sz w:val="20"/>
                <w:szCs w:val="20"/>
                <w:color w:val="auto"/>
              </w:rPr>
            </w:pPr>
            <w:r>
              <w:rPr>
                <w:rFonts w:ascii="Arial" w:cs="Arial" w:eastAsia="Arial" w:hAnsi="Arial"/>
                <w:sz w:val="12"/>
                <w:szCs w:val="12"/>
                <w:color w:val="FFFFFF"/>
              </w:rPr>
              <w:t>General</w:t>
            </w:r>
          </w:p>
        </w:tc>
        <w:tc>
          <w:tcPr>
            <w:tcW w:w="440" w:type="dxa"/>
            <w:vAlign w:val="bottom"/>
            <w:vMerge w:val="restart"/>
          </w:tcPr>
          <w:p>
            <w:pPr>
              <w:ind w:left="80"/>
              <w:spacing w:after="0"/>
              <w:rPr>
                <w:sz w:val="20"/>
                <w:szCs w:val="20"/>
                <w:color w:val="auto"/>
              </w:rPr>
            </w:pPr>
            <w:r>
              <w:rPr>
                <w:rFonts w:ascii="Arial" w:cs="Arial" w:eastAsia="Arial" w:hAnsi="Arial"/>
                <w:sz w:val="15"/>
                <w:szCs w:val="15"/>
                <w:color w:val="auto"/>
              </w:rPr>
              <w:t xml:space="preserve">       </w:t>
            </w:r>
          </w:p>
        </w:tc>
        <w:tc>
          <w:tcPr>
            <w:tcW w:w="0" w:type="dxa"/>
            <w:vAlign w:val="bottom"/>
          </w:tcPr>
          <w:p>
            <w:pPr>
              <w:spacing w:after="0"/>
              <w:rPr>
                <w:sz w:val="1"/>
                <w:szCs w:val="1"/>
                <w:color w:val="auto"/>
              </w:rPr>
            </w:pPr>
          </w:p>
        </w:tc>
      </w:tr>
      <w:tr>
        <w:trPr>
          <w:trHeight w:val="95"/>
        </w:trPr>
        <w:tc>
          <w:tcPr>
            <w:tcW w:w="8060" w:type="dxa"/>
            <w:vAlign w:val="bottom"/>
            <w:vMerge w:val="continue"/>
          </w:tcPr>
          <w:p>
            <w:pPr>
              <w:spacing w:after="0"/>
              <w:rPr>
                <w:sz w:val="8"/>
                <w:szCs w:val="8"/>
                <w:color w:val="auto"/>
              </w:rPr>
            </w:pPr>
          </w:p>
        </w:tc>
        <w:tc>
          <w:tcPr>
            <w:tcW w:w="480" w:type="dxa"/>
            <w:vAlign w:val="bottom"/>
            <w:vMerge w:val="continue"/>
          </w:tcPr>
          <w:p>
            <w:pPr>
              <w:spacing w:after="0"/>
              <w:rPr>
                <w:sz w:val="8"/>
                <w:szCs w:val="8"/>
                <w:color w:val="auto"/>
              </w:rPr>
            </w:pPr>
          </w:p>
        </w:tc>
        <w:tc>
          <w:tcPr>
            <w:tcW w:w="1280" w:type="dxa"/>
            <w:vAlign w:val="bottom"/>
            <w:vMerge w:val="restart"/>
          </w:tcPr>
          <w:p>
            <w:pPr>
              <w:ind w:left="140"/>
              <w:spacing w:after="0"/>
              <w:rPr>
                <w:sz w:val="20"/>
                <w:szCs w:val="20"/>
                <w:color w:val="auto"/>
              </w:rPr>
            </w:pPr>
            <w:r>
              <w:rPr>
                <w:rFonts w:ascii="Arial" w:cs="Arial" w:eastAsia="Arial" w:hAnsi="Arial"/>
                <w:sz w:val="12"/>
                <w:szCs w:val="12"/>
                <w:color w:val="FFFFFF"/>
              </w:rPr>
              <w:t>Information</w:t>
            </w:r>
          </w:p>
        </w:tc>
        <w:tc>
          <w:tcPr>
            <w:tcW w:w="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3"/>
        </w:trPr>
        <w:tc>
          <w:tcPr>
            <w:tcW w:w="8060" w:type="dxa"/>
            <w:vAlign w:val="bottom"/>
            <w:vMerge w:val="restart"/>
          </w:tcPr>
          <w:p>
            <w:pPr>
              <w:spacing w:after="0"/>
              <w:rPr>
                <w:sz w:val="20"/>
                <w:szCs w:val="20"/>
                <w:color w:val="auto"/>
              </w:rPr>
            </w:pPr>
            <w:r>
              <w:rPr>
                <w:rFonts w:ascii="Arial" w:cs="Arial" w:eastAsia="Arial" w:hAnsi="Arial"/>
                <w:sz w:val="15"/>
                <w:szCs w:val="15"/>
                <w:color w:val="auto"/>
              </w:rPr>
              <w:t>of employment, unless (1) otherwise agreed by the Company, or (2) in the case of death or disability, in which case</w:t>
            </w:r>
          </w:p>
        </w:tc>
        <w:tc>
          <w:tcPr>
            <w:tcW w:w="480" w:type="dxa"/>
            <w:vAlign w:val="bottom"/>
          </w:tcPr>
          <w:p>
            <w:pPr>
              <w:spacing w:after="0"/>
              <w:rPr>
                <w:sz w:val="5"/>
                <w:szCs w:val="5"/>
                <w:color w:val="auto"/>
              </w:rPr>
            </w:pPr>
          </w:p>
        </w:tc>
        <w:tc>
          <w:tcPr>
            <w:tcW w:w="128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6"/>
        </w:trPr>
        <w:tc>
          <w:tcPr>
            <w:tcW w:w="8060" w:type="dxa"/>
            <w:vAlign w:val="bottom"/>
            <w:vMerge w:val="continue"/>
          </w:tcPr>
          <w:p>
            <w:pPr>
              <w:spacing w:after="0"/>
              <w:rPr>
                <w:sz w:val="10"/>
                <w:szCs w:val="10"/>
                <w:color w:val="auto"/>
              </w:rPr>
            </w:pPr>
          </w:p>
        </w:tc>
        <w:tc>
          <w:tcPr>
            <w:tcW w:w="48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8060" w:type="dxa"/>
            <w:vAlign w:val="bottom"/>
          </w:tcPr>
          <w:p>
            <w:pPr>
              <w:spacing w:after="0" w:line="153" w:lineRule="exact"/>
              <w:rPr>
                <w:sz w:val="20"/>
                <w:szCs w:val="20"/>
                <w:color w:val="auto"/>
              </w:rPr>
            </w:pPr>
            <w:r>
              <w:rPr>
                <w:rFonts w:ascii="Arial" w:cs="Arial" w:eastAsia="Arial" w:hAnsi="Arial"/>
                <w:sz w:val="15"/>
                <w:szCs w:val="15"/>
                <w:color w:val="auto"/>
              </w:rPr>
              <w:t>any and all unvested portions shall become vested. In the event of an NEO’s retirement (as defined in the 2021</w:t>
            </w:r>
          </w:p>
        </w:tc>
        <w:tc>
          <w:tcPr>
            <w:tcW w:w="480" w:type="dxa"/>
            <w:vAlign w:val="bottom"/>
          </w:tcPr>
          <w:p>
            <w:pPr>
              <w:spacing w:after="0"/>
              <w:rPr>
                <w:sz w:val="13"/>
                <w:szCs w:val="13"/>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General Information</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8060" w:type="dxa"/>
            <w:vAlign w:val="bottom"/>
          </w:tcPr>
          <w:p>
            <w:pPr>
              <w:spacing w:after="0"/>
              <w:rPr>
                <w:sz w:val="20"/>
                <w:szCs w:val="20"/>
                <w:color w:val="auto"/>
              </w:rPr>
            </w:pPr>
            <w:r>
              <w:rPr>
                <w:rFonts w:ascii="Arial" w:cs="Arial" w:eastAsia="Arial" w:hAnsi="Arial"/>
                <w:sz w:val="15"/>
                <w:szCs w:val="15"/>
                <w:color w:val="auto"/>
              </w:rPr>
              <w:t>Plan), the unvested portion of RSU awards will continue to vest according to their original vesting schedule, subject</w:t>
            </w:r>
          </w:p>
        </w:tc>
        <w:tc>
          <w:tcPr>
            <w:tcW w:w="480" w:type="dxa"/>
            <w:vAlign w:val="bottom"/>
          </w:tcPr>
          <w:p>
            <w:pPr>
              <w:spacing w:after="0"/>
              <w:rPr>
                <w:sz w:val="15"/>
                <w:szCs w:val="15"/>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About Corporate</w:t>
            </w: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2"/>
        </w:trPr>
        <w:tc>
          <w:tcPr>
            <w:tcW w:w="8060" w:type="dxa"/>
            <w:vAlign w:val="bottom"/>
            <w:vMerge w:val="restart"/>
          </w:tcPr>
          <w:p>
            <w:pPr>
              <w:spacing w:after="0"/>
              <w:rPr>
                <w:sz w:val="20"/>
                <w:szCs w:val="20"/>
                <w:color w:val="auto"/>
              </w:rPr>
            </w:pPr>
            <w:r>
              <w:rPr>
                <w:rFonts w:ascii="Arial" w:cs="Arial" w:eastAsia="Arial" w:hAnsi="Arial"/>
                <w:sz w:val="15"/>
                <w:szCs w:val="15"/>
                <w:color w:val="auto"/>
              </w:rPr>
              <w:t>to the terms of the underlying award agreement and compliance with applicable non-competition and other</w:t>
            </w:r>
          </w:p>
        </w:tc>
        <w:tc>
          <w:tcPr>
            <w:tcW w:w="480" w:type="dxa"/>
            <w:vAlign w:val="bottom"/>
          </w:tcPr>
          <w:p>
            <w:pPr>
              <w:spacing w:after="0"/>
              <w:rPr>
                <w:sz w:val="6"/>
                <w:szCs w:val="6"/>
                <w:color w:val="auto"/>
              </w:rPr>
            </w:pPr>
          </w:p>
        </w:tc>
        <w:tc>
          <w:tcPr>
            <w:tcW w:w="1280" w:type="dxa"/>
            <w:vAlign w:val="bottom"/>
          </w:tcPr>
          <w:p>
            <w:pPr>
              <w:ind w:left="140"/>
              <w:spacing w:after="0" w:line="72" w:lineRule="exact"/>
              <w:rPr>
                <w:sz w:val="20"/>
                <w:szCs w:val="20"/>
                <w:color w:val="auto"/>
              </w:rPr>
            </w:pPr>
            <w:r>
              <w:rPr>
                <w:rFonts w:ascii="Arial" w:cs="Arial" w:eastAsia="Arial" w:hAnsi="Arial"/>
                <w:sz w:val="8"/>
                <w:szCs w:val="8"/>
                <w:color w:val="FFFFFF"/>
              </w:rPr>
              <w:t>Governance</w:t>
            </w:r>
          </w:p>
        </w:tc>
        <w:tc>
          <w:tcPr>
            <w:tcW w:w="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8"/>
        </w:trPr>
        <w:tc>
          <w:tcPr>
            <w:tcW w:w="8060" w:type="dxa"/>
            <w:vAlign w:val="bottom"/>
            <w:vMerge w:val="continue"/>
          </w:tcPr>
          <w:p>
            <w:pPr>
              <w:spacing w:after="0"/>
              <w:rPr>
                <w:sz w:val="11"/>
                <w:szCs w:val="11"/>
                <w:color w:val="auto"/>
              </w:rPr>
            </w:pPr>
          </w:p>
        </w:tc>
        <w:tc>
          <w:tcPr>
            <w:tcW w:w="480" w:type="dxa"/>
            <w:vAlign w:val="bottom"/>
          </w:tcPr>
          <w:p>
            <w:pPr>
              <w:spacing w:after="0"/>
              <w:rPr>
                <w:sz w:val="11"/>
                <w:szCs w:val="11"/>
                <w:color w:val="auto"/>
              </w:rPr>
            </w:pPr>
          </w:p>
        </w:tc>
        <w:tc>
          <w:tcPr>
            <w:tcW w:w="1280" w:type="dxa"/>
            <w:vAlign w:val="bottom"/>
          </w:tcPr>
          <w:p>
            <w:pPr>
              <w:ind w:left="140"/>
              <w:spacing w:after="0" w:line="128" w:lineRule="exact"/>
              <w:rPr>
                <w:sz w:val="20"/>
                <w:szCs w:val="20"/>
                <w:color w:val="auto"/>
              </w:rPr>
            </w:pPr>
            <w:r>
              <w:rPr>
                <w:rFonts w:ascii="Arial" w:cs="Arial" w:eastAsia="Arial" w:hAnsi="Arial"/>
                <w:sz w:val="12"/>
                <w:szCs w:val="12"/>
                <w:color w:val="FFFFFF"/>
              </w:rPr>
              <w:t>and the Board of</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4"/>
        </w:trPr>
        <w:tc>
          <w:tcPr>
            <w:tcW w:w="8060" w:type="dxa"/>
            <w:vAlign w:val="bottom"/>
          </w:tcPr>
          <w:p>
            <w:pPr>
              <w:spacing w:after="0"/>
              <w:rPr>
                <w:sz w:val="20"/>
                <w:szCs w:val="20"/>
                <w:color w:val="auto"/>
              </w:rPr>
            </w:pPr>
            <w:r>
              <w:rPr>
                <w:rFonts w:ascii="Arial" w:cs="Arial" w:eastAsia="Arial" w:hAnsi="Arial"/>
                <w:sz w:val="15"/>
                <w:szCs w:val="15"/>
                <w:color w:val="auto"/>
              </w:rPr>
              <w:t>restrictive covenants. If the NEO is terminated for cause, the vested portion of the award will terminate. All RSUs</w:t>
            </w:r>
          </w:p>
        </w:tc>
        <w:tc>
          <w:tcPr>
            <w:tcW w:w="480" w:type="dxa"/>
            <w:vAlign w:val="bottom"/>
          </w:tcPr>
          <w:p>
            <w:pPr>
              <w:spacing w:after="0"/>
              <w:rPr>
                <w:sz w:val="16"/>
                <w:szCs w:val="16"/>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Directors</w:t>
            </w: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8060" w:type="dxa"/>
            <w:vAlign w:val="bottom"/>
          </w:tcPr>
          <w:p>
            <w:pPr>
              <w:spacing w:after="0"/>
              <w:rPr>
                <w:sz w:val="20"/>
                <w:szCs w:val="20"/>
                <w:color w:val="auto"/>
              </w:rPr>
            </w:pPr>
            <w:r>
              <w:rPr>
                <w:rFonts w:ascii="Arial" w:cs="Arial" w:eastAsia="Arial" w:hAnsi="Arial"/>
                <w:sz w:val="15"/>
                <w:szCs w:val="15"/>
                <w:color w:val="auto"/>
              </w:rPr>
              <w:t>held by our NEOs were granted under our 2021 Plan.</w:t>
            </w:r>
          </w:p>
        </w:tc>
        <w:tc>
          <w:tcPr>
            <w:tcW w:w="480" w:type="dxa"/>
            <w:vAlign w:val="bottom"/>
          </w:tcPr>
          <w:p>
            <w:pPr>
              <w:spacing w:after="0"/>
              <w:rPr>
                <w:sz w:val="17"/>
                <w:szCs w:val="17"/>
                <w:color w:val="auto"/>
              </w:rPr>
            </w:pPr>
          </w:p>
        </w:tc>
        <w:tc>
          <w:tcPr>
            <w:tcW w:w="1280" w:type="dxa"/>
            <w:vAlign w:val="bottom"/>
            <w:vMerge w:val="restart"/>
          </w:tcPr>
          <w:p>
            <w:pPr>
              <w:ind w:left="140"/>
              <w:spacing w:after="0"/>
              <w:rPr>
                <w:sz w:val="20"/>
                <w:szCs w:val="20"/>
                <w:color w:val="auto"/>
              </w:rPr>
            </w:pPr>
            <w:r>
              <w:rPr>
                <w:rFonts w:ascii="Arial" w:cs="Arial" w:eastAsia="Arial" w:hAnsi="Arial"/>
                <w:sz w:val="12"/>
                <w:szCs w:val="12"/>
                <w:color w:val="FFFFFF"/>
              </w:rPr>
              <w:t>Proposal 1</w:t>
            </w: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7"/>
        </w:trPr>
        <w:tc>
          <w:tcPr>
            <w:tcW w:w="8060" w:type="dxa"/>
            <w:vAlign w:val="bottom"/>
          </w:tcPr>
          <w:p>
            <w:pPr>
              <w:spacing w:after="0"/>
              <w:rPr>
                <w:sz w:val="5"/>
                <w:szCs w:val="5"/>
                <w:color w:val="auto"/>
              </w:rPr>
            </w:pPr>
          </w:p>
        </w:tc>
        <w:tc>
          <w:tcPr>
            <w:tcW w:w="480" w:type="dxa"/>
            <w:vAlign w:val="bottom"/>
          </w:tcPr>
          <w:p>
            <w:pPr>
              <w:spacing w:after="0"/>
              <w:rPr>
                <w:sz w:val="5"/>
                <w:szCs w:val="5"/>
                <w:color w:val="auto"/>
              </w:rPr>
            </w:pPr>
          </w:p>
        </w:tc>
        <w:tc>
          <w:tcPr>
            <w:tcW w:w="128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86" w:lineRule="exact"/>
        <w:rPr>
          <w:sz w:val="20"/>
          <w:szCs w:val="20"/>
          <w:color w:val="auto"/>
        </w:rPr>
      </w:pPr>
    </w:p>
    <w:tbl>
      <w:tblPr>
        <w:tblLayout w:type="fixed"/>
        <w:tblInd w:w="540" w:type="dxa"/>
        <w:tblCellMar>
          <w:top w:w="0" w:type="dxa"/>
          <w:left w:w="0" w:type="dxa"/>
          <w:bottom w:w="0" w:type="dxa"/>
          <w:right w:w="0" w:type="dxa"/>
        </w:tblCellMar>
      </w:tblPr>
      <w:tr>
        <w:trPr>
          <w:trHeight w:val="195"/>
        </w:trPr>
        <w:tc>
          <w:tcPr>
            <w:tcW w:w="8280" w:type="dxa"/>
            <w:vAlign w:val="bottom"/>
          </w:tcPr>
          <w:p>
            <w:pPr>
              <w:spacing w:after="0"/>
              <w:rPr>
                <w:sz w:val="20"/>
                <w:szCs w:val="20"/>
                <w:color w:val="auto"/>
              </w:rPr>
            </w:pPr>
            <w:r>
              <w:rPr>
                <w:rFonts w:ascii="Arial" w:cs="Arial" w:eastAsia="Arial" w:hAnsi="Arial"/>
                <w:sz w:val="17"/>
                <w:szCs w:val="17"/>
                <w:b w:val="1"/>
                <w:bCs w:val="1"/>
                <w:color w:val="002B5F"/>
              </w:rPr>
              <w:t>PERFORMANCE STOCK UNITS (PSUs)</w:t>
            </w:r>
          </w:p>
        </w:tc>
        <w:tc>
          <w:tcPr>
            <w:tcW w:w="1400" w:type="dxa"/>
            <w:vAlign w:val="bottom"/>
          </w:tcPr>
          <w:p>
            <w:pPr>
              <w:ind w:left="400"/>
              <w:spacing w:after="0"/>
              <w:rPr>
                <w:sz w:val="20"/>
                <w:szCs w:val="20"/>
                <w:color w:val="auto"/>
              </w:rPr>
            </w:pPr>
            <w:r>
              <w:rPr>
                <w:rFonts w:ascii="Arial" w:cs="Arial" w:eastAsia="Arial" w:hAnsi="Arial"/>
                <w:sz w:val="12"/>
                <w:szCs w:val="12"/>
                <w:color w:val="FFFFFF"/>
              </w:rPr>
              <w:t>Information</w:t>
            </w:r>
          </w:p>
        </w:tc>
        <w:tc>
          <w:tcPr>
            <w:tcW w:w="0" w:type="dxa"/>
            <w:vAlign w:val="bottom"/>
          </w:tcPr>
          <w:p>
            <w:pPr>
              <w:spacing w:after="0"/>
              <w:rPr>
                <w:sz w:val="1"/>
                <w:szCs w:val="1"/>
                <w:color w:val="auto"/>
              </w:rPr>
            </w:pPr>
          </w:p>
        </w:tc>
      </w:tr>
      <w:tr>
        <w:trPr>
          <w:trHeight w:val="110"/>
        </w:trPr>
        <w:tc>
          <w:tcPr>
            <w:tcW w:w="8280" w:type="dxa"/>
            <w:vAlign w:val="bottom"/>
          </w:tcPr>
          <w:p>
            <w:pPr>
              <w:spacing w:after="0"/>
              <w:rPr>
                <w:sz w:val="9"/>
                <w:szCs w:val="9"/>
                <w:color w:val="auto"/>
              </w:rPr>
            </w:pPr>
          </w:p>
        </w:tc>
        <w:tc>
          <w:tcPr>
            <w:tcW w:w="1400" w:type="dxa"/>
            <w:vAlign w:val="bottom"/>
          </w:tcPr>
          <w:p>
            <w:pPr>
              <w:ind w:left="400"/>
              <w:spacing w:after="0" w:line="110" w:lineRule="exact"/>
              <w:rPr>
                <w:sz w:val="20"/>
                <w:szCs w:val="20"/>
                <w:color w:val="auto"/>
              </w:rPr>
            </w:pPr>
            <w:r>
              <w:rPr>
                <w:rFonts w:ascii="Arial" w:cs="Arial" w:eastAsia="Arial" w:hAnsi="Arial"/>
                <w:sz w:val="12"/>
                <w:szCs w:val="12"/>
                <w:color w:val="FFFFFF"/>
              </w:rPr>
              <w:t>Regarding Board</w:t>
            </w:r>
          </w:p>
        </w:tc>
        <w:tc>
          <w:tcPr>
            <w:tcW w:w="0" w:type="dxa"/>
            <w:vAlign w:val="bottom"/>
          </w:tcPr>
          <w:p>
            <w:pPr>
              <w:spacing w:after="0"/>
              <w:rPr>
                <w:sz w:val="1"/>
                <w:szCs w:val="1"/>
                <w:color w:val="auto"/>
              </w:rPr>
            </w:pPr>
          </w:p>
        </w:tc>
      </w:tr>
      <w:tr>
        <w:trPr>
          <w:trHeight w:val="171"/>
        </w:trPr>
        <w:tc>
          <w:tcPr>
            <w:tcW w:w="8280" w:type="dxa"/>
            <w:vAlign w:val="bottom"/>
          </w:tcPr>
          <w:p>
            <w:pPr>
              <w:spacing w:after="0" w:line="171" w:lineRule="exact"/>
              <w:rPr>
                <w:sz w:val="20"/>
                <w:szCs w:val="20"/>
                <w:color w:val="auto"/>
              </w:rPr>
            </w:pPr>
            <w:r>
              <w:rPr>
                <w:rFonts w:ascii="Arial" w:cs="Arial" w:eastAsia="Arial" w:hAnsi="Arial"/>
                <w:sz w:val="15"/>
                <w:szCs w:val="15"/>
                <w:color w:val="auto"/>
              </w:rPr>
              <w:t>In accordance with the NEOs’ PSU agreements, unvested portions of PSUs are forfeited upon termination of</w:t>
            </w:r>
          </w:p>
        </w:tc>
        <w:tc>
          <w:tcPr>
            <w:tcW w:w="1400" w:type="dxa"/>
            <w:vAlign w:val="bottom"/>
          </w:tcPr>
          <w:p>
            <w:pPr>
              <w:ind w:left="400"/>
              <w:spacing w:after="0"/>
              <w:rPr>
                <w:sz w:val="20"/>
                <w:szCs w:val="20"/>
                <w:color w:val="auto"/>
              </w:rPr>
            </w:pPr>
            <w:r>
              <w:rPr>
                <w:rFonts w:ascii="Arial" w:cs="Arial" w:eastAsia="Arial" w:hAnsi="Arial"/>
                <w:sz w:val="12"/>
                <w:szCs w:val="12"/>
                <w:color w:val="FFFFFF"/>
              </w:rPr>
              <w:t>and Committee</w:t>
            </w:r>
          </w:p>
        </w:tc>
        <w:tc>
          <w:tcPr>
            <w:tcW w:w="0" w:type="dxa"/>
            <w:vAlign w:val="bottom"/>
          </w:tcPr>
          <w:p>
            <w:pPr>
              <w:spacing w:after="0"/>
              <w:rPr>
                <w:sz w:val="1"/>
                <w:szCs w:val="1"/>
                <w:color w:val="auto"/>
              </w:rPr>
            </w:pPr>
          </w:p>
        </w:tc>
      </w:tr>
      <w:tr>
        <w:trPr>
          <w:trHeight w:val="158"/>
        </w:trPr>
        <w:tc>
          <w:tcPr>
            <w:tcW w:w="8280" w:type="dxa"/>
            <w:vAlign w:val="bottom"/>
            <w:vMerge w:val="restart"/>
          </w:tcPr>
          <w:p>
            <w:pPr>
              <w:spacing w:after="0"/>
              <w:rPr>
                <w:sz w:val="20"/>
                <w:szCs w:val="20"/>
                <w:color w:val="auto"/>
              </w:rPr>
            </w:pPr>
            <w:r>
              <w:rPr>
                <w:rFonts w:ascii="Arial" w:cs="Arial" w:eastAsia="Arial" w:hAnsi="Arial"/>
                <w:sz w:val="15"/>
                <w:szCs w:val="15"/>
                <w:color w:val="auto"/>
              </w:rPr>
              <w:t>employment, except in the case of death, disability or retirement, or as otherwise provided pursuant to our Executive</w:t>
            </w:r>
          </w:p>
        </w:tc>
        <w:tc>
          <w:tcPr>
            <w:tcW w:w="1400" w:type="dxa"/>
            <w:vAlign w:val="bottom"/>
          </w:tcPr>
          <w:p>
            <w:pPr>
              <w:ind w:left="400"/>
              <w:spacing w:after="0"/>
              <w:rPr>
                <w:sz w:val="20"/>
                <w:szCs w:val="20"/>
                <w:color w:val="auto"/>
              </w:rPr>
            </w:pPr>
            <w:r>
              <w:rPr>
                <w:rFonts w:ascii="Arial" w:cs="Arial" w:eastAsia="Arial" w:hAnsi="Arial"/>
                <w:sz w:val="12"/>
                <w:szCs w:val="12"/>
                <w:color w:val="FFFFFF"/>
              </w:rPr>
              <w:t>Structure</w:t>
            </w:r>
          </w:p>
        </w:tc>
        <w:tc>
          <w:tcPr>
            <w:tcW w:w="0" w:type="dxa"/>
            <w:vAlign w:val="bottom"/>
          </w:tcPr>
          <w:p>
            <w:pPr>
              <w:spacing w:after="0"/>
              <w:rPr>
                <w:sz w:val="1"/>
                <w:szCs w:val="1"/>
                <w:color w:val="auto"/>
              </w:rPr>
            </w:pPr>
          </w:p>
        </w:tc>
      </w:tr>
      <w:tr>
        <w:trPr>
          <w:trHeight w:val="47"/>
        </w:trPr>
        <w:tc>
          <w:tcPr>
            <w:tcW w:w="8280" w:type="dxa"/>
            <w:vAlign w:val="bottom"/>
            <w:vMerge w:val="continue"/>
          </w:tcPr>
          <w:p>
            <w:pPr>
              <w:spacing w:after="0"/>
              <w:rPr>
                <w:sz w:val="4"/>
                <w:szCs w:val="4"/>
                <w:color w:val="auto"/>
              </w:rPr>
            </w:pPr>
          </w:p>
        </w:tc>
        <w:tc>
          <w:tcPr>
            <w:tcW w:w="14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8280" w:type="dxa"/>
            <w:vAlign w:val="bottom"/>
          </w:tcPr>
          <w:p>
            <w:pPr>
              <w:spacing w:after="0"/>
              <w:rPr>
                <w:sz w:val="20"/>
                <w:szCs w:val="20"/>
                <w:color w:val="auto"/>
              </w:rPr>
            </w:pPr>
            <w:r>
              <w:rPr>
                <w:rFonts w:ascii="Arial" w:cs="Arial" w:eastAsia="Arial" w:hAnsi="Arial"/>
                <w:sz w:val="15"/>
                <w:szCs w:val="15"/>
                <w:color w:val="auto"/>
              </w:rPr>
              <w:t>Severance Plan, and in any such case the PSUs will not terminate and will instead remain outstanding and eligible</w:t>
            </w:r>
          </w:p>
        </w:tc>
        <w:tc>
          <w:tcPr>
            <w:tcW w:w="1400" w:type="dxa"/>
            <w:vAlign w:val="bottom"/>
          </w:tcPr>
          <w:p>
            <w:pPr>
              <w:ind w:left="400"/>
              <w:spacing w:after="0"/>
              <w:rPr>
                <w:sz w:val="20"/>
                <w:szCs w:val="20"/>
                <w:color w:val="auto"/>
              </w:rPr>
            </w:pPr>
            <w:r>
              <w:rPr>
                <w:rFonts w:ascii="Arial" w:cs="Arial" w:eastAsia="Arial" w:hAnsi="Arial"/>
                <w:sz w:val="12"/>
                <w:szCs w:val="12"/>
                <w:color w:val="FFFFFF"/>
              </w:rPr>
              <w:t>Board of Directors</w:t>
            </w:r>
          </w:p>
        </w:tc>
        <w:tc>
          <w:tcPr>
            <w:tcW w:w="0" w:type="dxa"/>
            <w:vAlign w:val="bottom"/>
          </w:tcPr>
          <w:p>
            <w:pPr>
              <w:spacing w:after="0"/>
              <w:rPr>
                <w:sz w:val="1"/>
                <w:szCs w:val="1"/>
                <w:color w:val="auto"/>
              </w:rPr>
            </w:pPr>
          </w:p>
        </w:tc>
      </w:tr>
      <w:tr>
        <w:trPr>
          <w:trHeight w:val="184"/>
        </w:trPr>
        <w:tc>
          <w:tcPr>
            <w:tcW w:w="8280" w:type="dxa"/>
            <w:vAlign w:val="bottom"/>
          </w:tcPr>
          <w:p>
            <w:pPr>
              <w:spacing w:after="0"/>
              <w:rPr>
                <w:sz w:val="20"/>
                <w:szCs w:val="20"/>
                <w:color w:val="auto"/>
              </w:rPr>
            </w:pPr>
            <w:r>
              <w:rPr>
                <w:rFonts w:ascii="Arial" w:cs="Arial" w:eastAsia="Arial" w:hAnsi="Arial"/>
                <w:sz w:val="15"/>
                <w:szCs w:val="15"/>
                <w:color w:val="auto"/>
              </w:rPr>
              <w:t>to become earned PSUs on a prorated basis in accordance with the terms of the PSU award agreement and/or our</w:t>
            </w:r>
          </w:p>
        </w:tc>
        <w:tc>
          <w:tcPr>
            <w:tcW w:w="1400" w:type="dxa"/>
            <w:vAlign w:val="bottom"/>
          </w:tcPr>
          <w:p>
            <w:pPr>
              <w:ind w:left="400"/>
              <w:spacing w:after="0"/>
              <w:rPr>
                <w:sz w:val="20"/>
                <w:szCs w:val="20"/>
                <w:color w:val="auto"/>
              </w:rPr>
            </w:pPr>
            <w:r>
              <w:rPr>
                <w:rFonts w:ascii="Arial" w:cs="Arial" w:eastAsia="Arial" w:hAnsi="Arial"/>
                <w:sz w:val="12"/>
                <w:szCs w:val="12"/>
                <w:color w:val="FFFFFF"/>
              </w:rPr>
              <w:t>Compensation</w:t>
            </w:r>
          </w:p>
        </w:tc>
        <w:tc>
          <w:tcPr>
            <w:tcW w:w="0" w:type="dxa"/>
            <w:vAlign w:val="bottom"/>
          </w:tcPr>
          <w:p>
            <w:pPr>
              <w:spacing w:after="0"/>
              <w:rPr>
                <w:sz w:val="1"/>
                <w:szCs w:val="1"/>
                <w:color w:val="auto"/>
              </w:rPr>
            </w:pPr>
          </w:p>
        </w:tc>
      </w:tr>
      <w:tr>
        <w:trPr>
          <w:trHeight w:val="179"/>
        </w:trPr>
        <w:tc>
          <w:tcPr>
            <w:tcW w:w="8280" w:type="dxa"/>
            <w:vAlign w:val="bottom"/>
          </w:tcPr>
          <w:p>
            <w:pPr>
              <w:spacing w:after="0"/>
              <w:rPr>
                <w:sz w:val="20"/>
                <w:szCs w:val="20"/>
                <w:color w:val="auto"/>
              </w:rPr>
            </w:pPr>
            <w:r>
              <w:rPr>
                <w:rFonts w:ascii="Arial" w:cs="Arial" w:eastAsia="Arial" w:hAnsi="Arial"/>
                <w:sz w:val="15"/>
                <w:szCs w:val="15"/>
                <w:color w:val="auto"/>
              </w:rPr>
              <w:t>Executive Severance Plan. For PSU awards granted in 2024 or later, upon a designated retirement (as defined in</w:t>
            </w:r>
          </w:p>
        </w:tc>
        <w:tc>
          <w:tcPr>
            <w:tcW w:w="1400" w:type="dxa"/>
            <w:vAlign w:val="bottom"/>
            <w:vMerge w:val="restart"/>
          </w:tcPr>
          <w:p>
            <w:pPr>
              <w:ind w:left="400"/>
              <w:spacing w:after="0"/>
              <w:rPr>
                <w:sz w:val="20"/>
                <w:szCs w:val="20"/>
                <w:color w:val="auto"/>
              </w:rPr>
            </w:pPr>
            <w:r>
              <w:rPr>
                <w:rFonts w:ascii="Arial" w:cs="Arial" w:eastAsia="Arial" w:hAnsi="Arial"/>
                <w:sz w:val="12"/>
                <w:szCs w:val="12"/>
                <w:color w:val="FFFFFF"/>
              </w:rPr>
              <w:t>Compensation</w:t>
            </w:r>
          </w:p>
        </w:tc>
        <w:tc>
          <w:tcPr>
            <w:tcW w:w="0" w:type="dxa"/>
            <w:vAlign w:val="bottom"/>
          </w:tcPr>
          <w:p>
            <w:pPr>
              <w:spacing w:after="0"/>
              <w:rPr>
                <w:sz w:val="1"/>
                <w:szCs w:val="1"/>
                <w:color w:val="auto"/>
              </w:rPr>
            </w:pPr>
          </w:p>
        </w:tc>
      </w:tr>
      <w:tr>
        <w:trPr>
          <w:trHeight w:val="58"/>
        </w:trPr>
        <w:tc>
          <w:tcPr>
            <w:tcW w:w="8280" w:type="dxa"/>
            <w:vAlign w:val="bottom"/>
            <w:vMerge w:val="restart"/>
          </w:tcPr>
          <w:p>
            <w:pPr>
              <w:spacing w:after="0"/>
              <w:rPr>
                <w:sz w:val="20"/>
                <w:szCs w:val="20"/>
                <w:color w:val="auto"/>
              </w:rPr>
            </w:pPr>
            <w:r>
              <w:rPr>
                <w:rFonts w:ascii="Arial" w:cs="Arial" w:eastAsia="Arial" w:hAnsi="Arial"/>
                <w:sz w:val="15"/>
                <w:szCs w:val="15"/>
                <w:color w:val="auto"/>
              </w:rPr>
              <w:t>the PSU award agreement), the PSUs will not terminate and will remain outstanding as described in the prior</w:t>
            </w:r>
          </w:p>
        </w:tc>
        <w:tc>
          <w:tcPr>
            <w:tcW w:w="14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0"/>
        </w:trPr>
        <w:tc>
          <w:tcPr>
            <w:tcW w:w="8280" w:type="dxa"/>
            <w:vAlign w:val="bottom"/>
            <w:vMerge w:val="continue"/>
          </w:tcPr>
          <w:p>
            <w:pPr>
              <w:spacing w:after="0"/>
              <w:rPr>
                <w:sz w:val="10"/>
                <w:szCs w:val="10"/>
                <w:color w:val="auto"/>
              </w:rPr>
            </w:pPr>
          </w:p>
        </w:tc>
        <w:tc>
          <w:tcPr>
            <w:tcW w:w="1400" w:type="dxa"/>
            <w:vAlign w:val="bottom"/>
          </w:tcPr>
          <w:p>
            <w:pPr>
              <w:ind w:left="400"/>
              <w:spacing w:after="0" w:line="121" w:lineRule="exact"/>
              <w:rPr>
                <w:sz w:val="20"/>
                <w:szCs w:val="20"/>
                <w:color w:val="auto"/>
              </w:rPr>
            </w:pPr>
            <w:r>
              <w:rPr>
                <w:rFonts w:ascii="Arial" w:cs="Arial" w:eastAsia="Arial" w:hAnsi="Arial"/>
                <w:sz w:val="12"/>
                <w:szCs w:val="12"/>
                <w:color w:val="FFFFFF"/>
              </w:rPr>
              <w:t>Discussion and</w:t>
            </w:r>
          </w:p>
        </w:tc>
        <w:tc>
          <w:tcPr>
            <w:tcW w:w="0" w:type="dxa"/>
            <w:vAlign w:val="bottom"/>
          </w:tcPr>
          <w:p>
            <w:pPr>
              <w:spacing w:after="0"/>
              <w:rPr>
                <w:sz w:val="1"/>
                <w:szCs w:val="1"/>
                <w:color w:val="auto"/>
              </w:rPr>
            </w:pPr>
          </w:p>
        </w:tc>
      </w:tr>
      <w:tr>
        <w:trPr>
          <w:trHeight w:val="201"/>
        </w:trPr>
        <w:tc>
          <w:tcPr>
            <w:tcW w:w="8280" w:type="dxa"/>
            <w:vAlign w:val="bottom"/>
          </w:tcPr>
          <w:p>
            <w:pPr>
              <w:spacing w:after="0"/>
              <w:rPr>
                <w:sz w:val="20"/>
                <w:szCs w:val="20"/>
                <w:color w:val="auto"/>
              </w:rPr>
            </w:pPr>
            <w:r>
              <w:rPr>
                <w:rFonts w:ascii="Arial" w:cs="Arial" w:eastAsia="Arial" w:hAnsi="Arial"/>
                <w:sz w:val="15"/>
                <w:szCs w:val="15"/>
                <w:color w:val="auto"/>
              </w:rPr>
              <w:t>sentence, but will not be subject to proration. All PSUs held by our NEOs were granted under our 2021 Plan.</w:t>
            </w:r>
          </w:p>
        </w:tc>
        <w:tc>
          <w:tcPr>
            <w:tcW w:w="1400" w:type="dxa"/>
            <w:vAlign w:val="bottom"/>
          </w:tcPr>
          <w:p>
            <w:pPr>
              <w:ind w:left="400"/>
              <w:spacing w:after="0"/>
              <w:rPr>
                <w:sz w:val="20"/>
                <w:szCs w:val="20"/>
                <w:color w:val="auto"/>
              </w:rPr>
            </w:pPr>
            <w:r>
              <w:rPr>
                <w:rFonts w:ascii="Arial" w:cs="Arial" w:eastAsia="Arial" w:hAnsi="Arial"/>
                <w:sz w:val="12"/>
                <w:szCs w:val="12"/>
                <w:color w:val="FFFFFF"/>
              </w:rPr>
              <w:t>Analysis</w:t>
            </w:r>
          </w:p>
        </w:tc>
        <w:tc>
          <w:tcPr>
            <w:tcW w:w="0" w:type="dxa"/>
            <w:vAlign w:val="bottom"/>
          </w:tcPr>
          <w:p>
            <w:pPr>
              <w:spacing w:after="0"/>
              <w:rPr>
                <w:sz w:val="1"/>
                <w:szCs w:val="1"/>
                <w:color w:val="auto"/>
              </w:rPr>
            </w:pPr>
          </w:p>
        </w:tc>
      </w:tr>
      <w:tr>
        <w:trPr>
          <w:trHeight w:val="240"/>
        </w:trPr>
        <w:tc>
          <w:tcPr>
            <w:tcW w:w="8280" w:type="dxa"/>
            <w:vAlign w:val="bottom"/>
            <w:vMerge w:val="restart"/>
          </w:tcPr>
          <w:p>
            <w:pPr>
              <w:spacing w:after="0" w:line="240" w:lineRule="exact"/>
              <w:rPr>
                <w:sz w:val="20"/>
                <w:szCs w:val="20"/>
                <w:color w:val="auto"/>
              </w:rPr>
            </w:pPr>
            <w:r>
              <w:rPr>
                <w:rFonts w:ascii="Arial" w:cs="Arial" w:eastAsia="Arial" w:hAnsi="Arial"/>
                <w:sz w:val="24"/>
                <w:szCs w:val="24"/>
                <w:color w:val="B95827"/>
              </w:rPr>
              <w:t>CEO Pay Ratio</w:t>
            </w:r>
          </w:p>
        </w:tc>
        <w:tc>
          <w:tcPr>
            <w:tcW w:w="1400" w:type="dxa"/>
            <w:vAlign w:val="bottom"/>
          </w:tcPr>
          <w:p>
            <w:pPr>
              <w:ind w:left="400"/>
              <w:spacing w:after="0"/>
              <w:rPr>
                <w:sz w:val="20"/>
                <w:szCs w:val="20"/>
                <w:color w:val="auto"/>
              </w:rPr>
            </w:pPr>
            <w:r>
              <w:rPr>
                <w:rFonts w:ascii="Arial" w:cs="Arial" w:eastAsia="Arial" w:hAnsi="Arial"/>
                <w:sz w:val="12"/>
                <w:szCs w:val="12"/>
                <w:color w:val="FFFFFF"/>
              </w:rPr>
              <w:t>Report of the</w:t>
            </w:r>
          </w:p>
        </w:tc>
        <w:tc>
          <w:tcPr>
            <w:tcW w:w="0" w:type="dxa"/>
            <w:vAlign w:val="bottom"/>
          </w:tcPr>
          <w:p>
            <w:pPr>
              <w:spacing w:after="0"/>
              <w:rPr>
                <w:sz w:val="1"/>
                <w:szCs w:val="1"/>
                <w:color w:val="auto"/>
              </w:rPr>
            </w:pPr>
          </w:p>
        </w:tc>
      </w:tr>
      <w:tr>
        <w:trPr>
          <w:trHeight w:val="0"/>
        </w:trPr>
        <w:tc>
          <w:tcPr>
            <w:tcW w:w="8280" w:type="dxa"/>
            <w:vAlign w:val="bottom"/>
            <w:vMerge w:val="continue"/>
          </w:tcPr>
          <w:p>
            <w:pPr>
              <w:spacing w:after="0" w:line="20" w:lineRule="exact"/>
              <w:rPr>
                <w:sz w:val="1"/>
                <w:szCs w:val="1"/>
                <w:color w:val="auto"/>
              </w:rPr>
            </w:pPr>
          </w:p>
        </w:tc>
        <w:tc>
          <w:tcPr>
            <w:tcW w:w="1400" w:type="dxa"/>
            <w:vAlign w:val="bottom"/>
          </w:tcPr>
          <w:p>
            <w:pPr>
              <w:ind w:left="400"/>
              <w:spacing w:after="0" w:line="1" w:lineRule="exact"/>
              <w:rPr>
                <w:sz w:val="20"/>
                <w:szCs w:val="20"/>
                <w:color w:val="auto"/>
              </w:rPr>
            </w:pPr>
            <w:r>
              <w:rPr>
                <w:rFonts w:ascii="Arial" w:cs="Arial" w:eastAsia="Arial" w:hAnsi="Arial"/>
                <w:sz w:val="1"/>
                <w:szCs w:val="1"/>
                <w:color w:val="FFFFFF"/>
              </w:rPr>
              <w:t>and Human</w:t>
            </w:r>
          </w:p>
        </w:tc>
        <w:tc>
          <w:tcPr>
            <w:tcW w:w="0" w:type="dxa"/>
            <w:vAlign w:val="bottom"/>
          </w:tcPr>
          <w:p>
            <w:pPr>
              <w:spacing w:after="0" w:line="20" w:lineRule="exact"/>
              <w:rPr>
                <w:sz w:val="1"/>
                <w:szCs w:val="1"/>
                <w:color w:val="auto"/>
              </w:rPr>
            </w:pPr>
          </w:p>
        </w:tc>
      </w:tr>
      <w:tr>
        <w:trPr>
          <w:trHeight w:val="158"/>
        </w:trPr>
        <w:tc>
          <w:tcPr>
            <w:tcW w:w="8280" w:type="dxa"/>
            <w:vAlign w:val="bottom"/>
          </w:tcPr>
          <w:p>
            <w:pPr>
              <w:spacing w:after="0"/>
              <w:rPr>
                <w:sz w:val="13"/>
                <w:szCs w:val="13"/>
                <w:color w:val="auto"/>
              </w:rPr>
            </w:pPr>
          </w:p>
        </w:tc>
        <w:tc>
          <w:tcPr>
            <w:tcW w:w="1400" w:type="dxa"/>
            <w:vAlign w:val="bottom"/>
          </w:tcPr>
          <w:p>
            <w:pPr>
              <w:ind w:left="400"/>
              <w:spacing w:after="0"/>
              <w:rPr>
                <w:sz w:val="20"/>
                <w:szCs w:val="20"/>
                <w:color w:val="auto"/>
              </w:rPr>
            </w:pPr>
            <w:r>
              <w:rPr>
                <w:rFonts w:ascii="Arial" w:cs="Arial" w:eastAsia="Arial" w:hAnsi="Arial"/>
                <w:sz w:val="12"/>
                <w:szCs w:val="12"/>
                <w:color w:val="FFFFFF"/>
              </w:rPr>
              <w:t>Compensation</w:t>
            </w:r>
          </w:p>
        </w:tc>
        <w:tc>
          <w:tcPr>
            <w:tcW w:w="0" w:type="dxa"/>
            <w:vAlign w:val="bottom"/>
          </w:tcPr>
          <w:p>
            <w:pPr>
              <w:spacing w:after="0"/>
              <w:rPr>
                <w:sz w:val="1"/>
                <w:szCs w:val="1"/>
                <w:color w:val="auto"/>
              </w:rPr>
            </w:pPr>
          </w:p>
        </w:tc>
      </w:tr>
      <w:tr>
        <w:trPr>
          <w:trHeight w:val="213"/>
        </w:trPr>
        <w:tc>
          <w:tcPr>
            <w:tcW w:w="8280" w:type="dxa"/>
            <w:vAlign w:val="bottom"/>
            <w:vMerge w:val="restart"/>
          </w:tcPr>
          <w:p>
            <w:pPr>
              <w:spacing w:after="0"/>
              <w:rPr>
                <w:sz w:val="20"/>
                <w:szCs w:val="20"/>
                <w:color w:val="auto"/>
              </w:rPr>
            </w:pPr>
            <w:r>
              <w:rPr>
                <w:rFonts w:ascii="Arial" w:cs="Arial" w:eastAsia="Arial" w:hAnsi="Arial"/>
                <w:sz w:val="15"/>
                <w:szCs w:val="15"/>
                <w:color w:val="auto"/>
              </w:rPr>
              <w:t>As required by Section 953(b) of the Dodd-Frank Act, and Item 402(u) of Regulation S-K, we are providing the</w:t>
            </w:r>
          </w:p>
        </w:tc>
        <w:tc>
          <w:tcPr>
            <w:tcW w:w="1400" w:type="dxa"/>
            <w:vAlign w:val="bottom"/>
          </w:tcPr>
          <w:p>
            <w:pPr>
              <w:ind w:left="400"/>
              <w:spacing w:after="0"/>
              <w:rPr>
                <w:sz w:val="20"/>
                <w:szCs w:val="20"/>
                <w:color w:val="auto"/>
              </w:rPr>
            </w:pPr>
            <w:r>
              <w:rPr>
                <w:rFonts w:ascii="Arial" w:cs="Arial" w:eastAsia="Arial" w:hAnsi="Arial"/>
                <w:sz w:val="12"/>
                <w:szCs w:val="12"/>
                <w:color w:val="FFFFFF"/>
              </w:rPr>
              <w:t>Resources</w:t>
            </w:r>
          </w:p>
        </w:tc>
        <w:tc>
          <w:tcPr>
            <w:tcW w:w="0" w:type="dxa"/>
            <w:vAlign w:val="bottom"/>
          </w:tcPr>
          <w:p>
            <w:pPr>
              <w:spacing w:after="0"/>
              <w:rPr>
                <w:sz w:val="1"/>
                <w:szCs w:val="1"/>
                <w:color w:val="auto"/>
              </w:rPr>
            </w:pPr>
          </w:p>
        </w:tc>
      </w:tr>
      <w:tr>
        <w:trPr>
          <w:trHeight w:val="128"/>
        </w:trPr>
        <w:tc>
          <w:tcPr>
            <w:tcW w:w="8280" w:type="dxa"/>
            <w:vAlign w:val="bottom"/>
            <w:vMerge w:val="continue"/>
          </w:tcPr>
          <w:p>
            <w:pPr>
              <w:spacing w:after="0"/>
              <w:rPr>
                <w:sz w:val="11"/>
                <w:szCs w:val="11"/>
                <w:color w:val="auto"/>
              </w:rPr>
            </w:pPr>
          </w:p>
        </w:tc>
        <w:tc>
          <w:tcPr>
            <w:tcW w:w="1400" w:type="dxa"/>
            <w:vAlign w:val="bottom"/>
          </w:tcPr>
          <w:p>
            <w:pPr>
              <w:ind w:left="400"/>
              <w:spacing w:after="0" w:line="128" w:lineRule="exact"/>
              <w:rPr>
                <w:sz w:val="20"/>
                <w:szCs w:val="20"/>
                <w:color w:val="auto"/>
              </w:rPr>
            </w:pPr>
            <w:r>
              <w:rPr>
                <w:rFonts w:ascii="Arial" w:cs="Arial" w:eastAsia="Arial" w:hAnsi="Arial"/>
                <w:sz w:val="12"/>
                <w:szCs w:val="12"/>
                <w:color w:val="FFFFFF"/>
              </w:rPr>
              <w:t>Committee of the</w:t>
            </w:r>
          </w:p>
        </w:tc>
        <w:tc>
          <w:tcPr>
            <w:tcW w:w="0" w:type="dxa"/>
            <w:vAlign w:val="bottom"/>
          </w:tcPr>
          <w:p>
            <w:pPr>
              <w:spacing w:after="0"/>
              <w:rPr>
                <w:sz w:val="1"/>
                <w:szCs w:val="1"/>
                <w:color w:val="auto"/>
              </w:rPr>
            </w:pPr>
          </w:p>
        </w:tc>
      </w:tr>
      <w:tr>
        <w:trPr>
          <w:trHeight w:val="184"/>
        </w:trPr>
        <w:tc>
          <w:tcPr>
            <w:tcW w:w="8280" w:type="dxa"/>
            <w:vAlign w:val="bottom"/>
          </w:tcPr>
          <w:p>
            <w:pPr>
              <w:spacing w:after="0"/>
              <w:rPr>
                <w:sz w:val="20"/>
                <w:szCs w:val="20"/>
                <w:color w:val="auto"/>
              </w:rPr>
            </w:pPr>
            <w:r>
              <w:rPr>
                <w:rFonts w:ascii="Arial" w:cs="Arial" w:eastAsia="Arial" w:hAnsi="Arial"/>
                <w:sz w:val="15"/>
                <w:szCs w:val="15"/>
                <w:color w:val="auto"/>
              </w:rPr>
              <w:t>following information regarding the ratio of total annual compensation for Mr. Steinmeier, our CEO, to the median of</w:t>
            </w:r>
          </w:p>
        </w:tc>
        <w:tc>
          <w:tcPr>
            <w:tcW w:w="1400" w:type="dxa"/>
            <w:vAlign w:val="bottom"/>
          </w:tcPr>
          <w:p>
            <w:pPr>
              <w:ind w:left="400"/>
              <w:spacing w:after="0"/>
              <w:rPr>
                <w:sz w:val="20"/>
                <w:szCs w:val="20"/>
                <w:color w:val="auto"/>
              </w:rPr>
            </w:pPr>
            <w:r>
              <w:rPr>
                <w:rFonts w:ascii="Arial" w:cs="Arial" w:eastAsia="Arial" w:hAnsi="Arial"/>
                <w:sz w:val="12"/>
                <w:szCs w:val="12"/>
                <w:color w:val="FFFFFF"/>
              </w:rPr>
              <w:t>Board of Directors</w:t>
            </w:r>
          </w:p>
        </w:tc>
        <w:tc>
          <w:tcPr>
            <w:tcW w:w="0" w:type="dxa"/>
            <w:vAlign w:val="bottom"/>
          </w:tcPr>
          <w:p>
            <w:pPr>
              <w:spacing w:after="0"/>
              <w:rPr>
                <w:sz w:val="1"/>
                <w:szCs w:val="1"/>
                <w:color w:val="auto"/>
              </w:rPr>
            </w:pPr>
          </w:p>
        </w:tc>
      </w:tr>
      <w:tr>
        <w:trPr>
          <w:trHeight w:val="201"/>
        </w:trPr>
        <w:tc>
          <w:tcPr>
            <w:tcW w:w="8280" w:type="dxa"/>
            <w:vAlign w:val="bottom"/>
          </w:tcPr>
          <w:p>
            <w:pPr>
              <w:spacing w:after="0"/>
              <w:rPr>
                <w:sz w:val="20"/>
                <w:szCs w:val="20"/>
                <w:color w:val="auto"/>
              </w:rPr>
            </w:pPr>
            <w:r>
              <w:rPr>
                <w:rFonts w:ascii="Arial" w:cs="Arial" w:eastAsia="Arial" w:hAnsi="Arial"/>
                <w:sz w:val="15"/>
                <w:szCs w:val="15"/>
                <w:color w:val="auto"/>
              </w:rPr>
              <w:t>the annual total compensation of all our employees (other than the CEO) (the “CEO Pay Ratio”). For 2025:</w:t>
            </w:r>
          </w:p>
        </w:tc>
        <w:tc>
          <w:tcPr>
            <w:tcW w:w="1400" w:type="dxa"/>
            <w:vAlign w:val="bottom"/>
            <w:vMerge w:val="restart"/>
          </w:tcPr>
          <w:p>
            <w:pPr>
              <w:ind w:left="400"/>
              <w:spacing w:after="0"/>
              <w:rPr>
                <w:sz w:val="20"/>
                <w:szCs w:val="20"/>
                <w:color w:val="auto"/>
              </w:rPr>
            </w:pPr>
            <w:r>
              <w:rPr>
                <w:rFonts w:ascii="Arial" w:cs="Arial" w:eastAsia="Arial" w:hAnsi="Arial"/>
                <w:sz w:val="12"/>
                <w:szCs w:val="12"/>
                <w:b w:val="1"/>
                <w:bCs w:val="1"/>
                <w:color w:val="FFFFFF"/>
                <w:w w:val="99"/>
              </w:rPr>
              <w:t>Compensation of</w:t>
            </w:r>
          </w:p>
        </w:tc>
        <w:tc>
          <w:tcPr>
            <w:tcW w:w="0" w:type="dxa"/>
            <w:vAlign w:val="bottom"/>
          </w:tcPr>
          <w:p>
            <w:pPr>
              <w:spacing w:after="0"/>
              <w:rPr>
                <w:sz w:val="1"/>
                <w:szCs w:val="1"/>
                <w:color w:val="auto"/>
              </w:rPr>
            </w:pPr>
          </w:p>
        </w:tc>
      </w:tr>
      <w:tr>
        <w:trPr>
          <w:trHeight w:val="36"/>
        </w:trPr>
        <w:tc>
          <w:tcPr>
            <w:tcW w:w="8280" w:type="dxa"/>
            <w:vAlign w:val="bottom"/>
          </w:tcPr>
          <w:p>
            <w:pPr>
              <w:spacing w:after="0"/>
              <w:rPr>
                <w:sz w:val="3"/>
                <w:szCs w:val="3"/>
                <w:color w:val="auto"/>
              </w:rPr>
            </w:pPr>
          </w:p>
        </w:tc>
        <w:tc>
          <w:tcPr>
            <w:tcW w:w="14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8280" w:type="dxa"/>
            <w:vAlign w:val="bottom"/>
            <w:vMerge w:val="restart"/>
          </w:tcPr>
          <w:p>
            <w:pPr>
              <w:spacing w:after="0"/>
              <w:rPr>
                <w:sz w:val="20"/>
                <w:szCs w:val="20"/>
                <w:color w:val="auto"/>
              </w:rPr>
            </w:pPr>
            <w:r>
              <w:rPr>
                <w:rFonts w:ascii="Arial" w:cs="Arial" w:eastAsia="Arial" w:hAnsi="Arial"/>
                <w:sz w:val="15"/>
                <w:szCs w:val="15"/>
                <w:color w:val="auto"/>
              </w:rPr>
              <w:t>•   Mr. Steinmeier’s total annualized compensation: $14,574,496</w:t>
            </w:r>
          </w:p>
        </w:tc>
        <w:tc>
          <w:tcPr>
            <w:tcW w:w="1400" w:type="dxa"/>
            <w:vAlign w:val="bottom"/>
          </w:tcPr>
          <w:p>
            <w:pPr>
              <w:ind w:left="400"/>
              <w:spacing w:after="0" w:line="128" w:lineRule="exact"/>
              <w:rPr>
                <w:sz w:val="20"/>
                <w:szCs w:val="20"/>
                <w:color w:val="auto"/>
              </w:rPr>
            </w:pPr>
            <w:r>
              <w:rPr>
                <w:rFonts w:ascii="Arial" w:cs="Arial" w:eastAsia="Arial" w:hAnsi="Arial"/>
                <w:sz w:val="12"/>
                <w:szCs w:val="12"/>
                <w:b w:val="1"/>
                <w:bCs w:val="1"/>
                <w:color w:val="FFFFFF"/>
                <w:w w:val="98"/>
              </w:rPr>
              <w:t>Named Executive</w:t>
            </w:r>
          </w:p>
        </w:tc>
        <w:tc>
          <w:tcPr>
            <w:tcW w:w="0" w:type="dxa"/>
            <w:vAlign w:val="bottom"/>
          </w:tcPr>
          <w:p>
            <w:pPr>
              <w:spacing w:after="0"/>
              <w:rPr>
                <w:sz w:val="1"/>
                <w:szCs w:val="1"/>
                <w:color w:val="auto"/>
              </w:rPr>
            </w:pPr>
          </w:p>
        </w:tc>
      </w:tr>
      <w:tr>
        <w:trPr>
          <w:trHeight w:val="164"/>
        </w:trPr>
        <w:tc>
          <w:tcPr>
            <w:tcW w:w="8280" w:type="dxa"/>
            <w:vAlign w:val="bottom"/>
            <w:vMerge w:val="continue"/>
          </w:tcPr>
          <w:p>
            <w:pPr>
              <w:spacing w:after="0"/>
              <w:rPr>
                <w:sz w:val="14"/>
                <w:szCs w:val="14"/>
                <w:color w:val="auto"/>
              </w:rPr>
            </w:pPr>
          </w:p>
        </w:tc>
        <w:tc>
          <w:tcPr>
            <w:tcW w:w="1400" w:type="dxa"/>
            <w:vAlign w:val="bottom"/>
          </w:tcPr>
          <w:p>
            <w:pPr>
              <w:ind w:left="400"/>
              <w:spacing w:after="0"/>
              <w:rPr>
                <w:sz w:val="20"/>
                <w:szCs w:val="20"/>
                <w:color w:val="auto"/>
              </w:rPr>
            </w:pPr>
            <w:r>
              <w:rPr>
                <w:rFonts w:ascii="Arial" w:cs="Arial" w:eastAsia="Arial" w:hAnsi="Arial"/>
                <w:sz w:val="12"/>
                <w:szCs w:val="12"/>
                <w:b w:val="1"/>
                <w:bCs w:val="1"/>
                <w:color w:val="FFFFFF"/>
              </w:rPr>
              <w:t>Officers</w:t>
            </w:r>
          </w:p>
        </w:tc>
        <w:tc>
          <w:tcPr>
            <w:tcW w:w="0" w:type="dxa"/>
            <w:vAlign w:val="bottom"/>
          </w:tcPr>
          <w:p>
            <w:pPr>
              <w:spacing w:after="0"/>
              <w:rPr>
                <w:sz w:val="1"/>
                <w:szCs w:val="1"/>
                <w:color w:val="auto"/>
              </w:rPr>
            </w:pPr>
          </w:p>
        </w:tc>
      </w:tr>
      <w:tr>
        <w:trPr>
          <w:trHeight w:val="257"/>
        </w:trPr>
        <w:tc>
          <w:tcPr>
            <w:tcW w:w="8280" w:type="dxa"/>
            <w:vAlign w:val="bottom"/>
          </w:tcPr>
          <w:p>
            <w:pPr>
              <w:spacing w:after="0"/>
              <w:rPr>
                <w:sz w:val="20"/>
                <w:szCs w:val="20"/>
                <w:color w:val="auto"/>
              </w:rPr>
            </w:pPr>
            <w:r>
              <w:rPr>
                <w:rFonts w:ascii="Arial" w:cs="Arial" w:eastAsia="Arial" w:hAnsi="Arial"/>
                <w:sz w:val="15"/>
                <w:szCs w:val="15"/>
                <w:color w:val="auto"/>
              </w:rPr>
              <w:t>•   Median annual total compensation of all employees (other than CEO): $93,417</w:t>
            </w:r>
          </w:p>
        </w:tc>
        <w:tc>
          <w:tcPr>
            <w:tcW w:w="1400" w:type="dxa"/>
            <w:vAlign w:val="bottom"/>
          </w:tcPr>
          <w:p>
            <w:pPr>
              <w:ind w:left="400"/>
              <w:spacing w:after="0"/>
              <w:rPr>
                <w:sz w:val="20"/>
                <w:szCs w:val="20"/>
                <w:color w:val="auto"/>
              </w:rPr>
            </w:pPr>
            <w:r>
              <w:rPr>
                <w:rFonts w:ascii="Arial" w:cs="Arial" w:eastAsia="Arial" w:hAnsi="Arial"/>
                <w:sz w:val="12"/>
                <w:szCs w:val="12"/>
                <w:color w:val="FFFFFF"/>
              </w:rPr>
              <w:t>Pay Versus</w:t>
            </w:r>
          </w:p>
        </w:tc>
        <w:tc>
          <w:tcPr>
            <w:tcW w:w="0" w:type="dxa"/>
            <w:vAlign w:val="bottom"/>
          </w:tcPr>
          <w:p>
            <w:pPr>
              <w:spacing w:after="0"/>
              <w:rPr>
                <w:sz w:val="1"/>
                <w:szCs w:val="1"/>
                <w:color w:val="auto"/>
              </w:rPr>
            </w:pPr>
          </w:p>
        </w:tc>
      </w:tr>
      <w:tr>
        <w:trPr>
          <w:trHeight w:val="128"/>
        </w:trPr>
        <w:tc>
          <w:tcPr>
            <w:tcW w:w="8280" w:type="dxa"/>
            <w:vAlign w:val="bottom"/>
            <w:vMerge w:val="restart"/>
          </w:tcPr>
          <w:p>
            <w:pPr>
              <w:spacing w:after="0"/>
              <w:rPr>
                <w:sz w:val="20"/>
                <w:szCs w:val="20"/>
                <w:color w:val="auto"/>
              </w:rPr>
            </w:pPr>
            <w:r>
              <w:rPr>
                <w:rFonts w:ascii="Arial" w:cs="Arial" w:eastAsia="Arial" w:hAnsi="Arial"/>
                <w:sz w:val="15"/>
                <w:szCs w:val="15"/>
                <w:color w:val="auto"/>
              </w:rPr>
              <w:t>•   Ratio of the annual total compensation of the CEO to the median of the annual total compensation of all</w:t>
            </w:r>
          </w:p>
        </w:tc>
        <w:tc>
          <w:tcPr>
            <w:tcW w:w="1400" w:type="dxa"/>
            <w:vAlign w:val="bottom"/>
          </w:tcPr>
          <w:p>
            <w:pPr>
              <w:ind w:left="400"/>
              <w:spacing w:after="0" w:line="128" w:lineRule="exact"/>
              <w:rPr>
                <w:sz w:val="20"/>
                <w:szCs w:val="20"/>
                <w:color w:val="auto"/>
              </w:rPr>
            </w:pPr>
            <w:r>
              <w:rPr>
                <w:rFonts w:ascii="Arial" w:cs="Arial" w:eastAsia="Arial" w:hAnsi="Arial"/>
                <w:sz w:val="12"/>
                <w:szCs w:val="12"/>
                <w:color w:val="FFFFFF"/>
              </w:rPr>
              <w:t>Performance</w:t>
            </w:r>
          </w:p>
        </w:tc>
        <w:tc>
          <w:tcPr>
            <w:tcW w:w="0" w:type="dxa"/>
            <w:vAlign w:val="bottom"/>
          </w:tcPr>
          <w:p>
            <w:pPr>
              <w:spacing w:after="0"/>
              <w:rPr>
                <w:sz w:val="1"/>
                <w:szCs w:val="1"/>
                <w:color w:val="auto"/>
              </w:rPr>
            </w:pPr>
          </w:p>
        </w:tc>
      </w:tr>
      <w:tr>
        <w:trPr>
          <w:trHeight w:val="146"/>
        </w:trPr>
        <w:tc>
          <w:tcPr>
            <w:tcW w:w="8280" w:type="dxa"/>
            <w:vAlign w:val="bottom"/>
            <w:vMerge w:val="continue"/>
          </w:tcPr>
          <w:p>
            <w:pPr>
              <w:spacing w:after="0"/>
              <w:rPr>
                <w:sz w:val="12"/>
                <w:szCs w:val="12"/>
                <w:color w:val="auto"/>
              </w:rPr>
            </w:pPr>
          </w:p>
        </w:tc>
        <w:tc>
          <w:tcPr>
            <w:tcW w:w="1400" w:type="dxa"/>
            <w:vAlign w:val="bottom"/>
          </w:tcPr>
          <w:p>
            <w:pPr>
              <w:ind w:left="400"/>
              <w:spacing w:after="0"/>
              <w:rPr>
                <w:sz w:val="20"/>
                <w:szCs w:val="20"/>
                <w:color w:val="auto"/>
              </w:rPr>
            </w:pPr>
            <w:r>
              <w:rPr>
                <w:rFonts w:ascii="Arial" w:cs="Arial" w:eastAsia="Arial" w:hAnsi="Arial"/>
                <w:sz w:val="12"/>
                <w:szCs w:val="12"/>
                <w:color w:val="FFFFFF"/>
              </w:rPr>
              <w:t>Disclosure</w:t>
            </w:r>
          </w:p>
        </w:tc>
        <w:tc>
          <w:tcPr>
            <w:tcW w:w="0" w:type="dxa"/>
            <w:vAlign w:val="bottom"/>
          </w:tcPr>
          <w:p>
            <w:pPr>
              <w:spacing w:after="0"/>
              <w:rPr>
                <w:sz w:val="1"/>
                <w:szCs w:val="1"/>
                <w:color w:val="auto"/>
              </w:rPr>
            </w:pPr>
          </w:p>
        </w:tc>
      </w:tr>
      <w:tr>
        <w:trPr>
          <w:trHeight w:val="201"/>
        </w:trPr>
        <w:tc>
          <w:tcPr>
            <w:tcW w:w="8280" w:type="dxa"/>
            <w:vAlign w:val="bottom"/>
          </w:tcPr>
          <w:p>
            <w:pPr>
              <w:ind w:left="260"/>
              <w:spacing w:after="0"/>
              <w:rPr>
                <w:sz w:val="20"/>
                <w:szCs w:val="20"/>
                <w:color w:val="auto"/>
              </w:rPr>
            </w:pPr>
            <w:r>
              <w:rPr>
                <w:rFonts w:ascii="Arial" w:cs="Arial" w:eastAsia="Arial" w:hAnsi="Arial"/>
                <w:sz w:val="15"/>
                <w:szCs w:val="15"/>
                <w:color w:val="auto"/>
              </w:rPr>
              <w:t>employees (other than CEO): 156:1</w:t>
            </w:r>
          </w:p>
        </w:tc>
        <w:tc>
          <w:tcPr>
            <w:tcW w:w="1400" w:type="dxa"/>
            <w:vAlign w:val="bottom"/>
            <w:vMerge w:val="restart"/>
          </w:tcPr>
          <w:p>
            <w:pPr>
              <w:ind w:left="400"/>
              <w:spacing w:after="0"/>
              <w:rPr>
                <w:sz w:val="20"/>
                <w:szCs w:val="20"/>
                <w:color w:val="auto"/>
              </w:rPr>
            </w:pPr>
            <w:r>
              <w:rPr>
                <w:rFonts w:ascii="Arial" w:cs="Arial" w:eastAsia="Arial" w:hAnsi="Arial"/>
                <w:sz w:val="12"/>
                <w:szCs w:val="12"/>
                <w:color w:val="FFFFFF"/>
              </w:rPr>
              <w:t>Security</w:t>
            </w:r>
          </w:p>
        </w:tc>
        <w:tc>
          <w:tcPr>
            <w:tcW w:w="0" w:type="dxa"/>
            <w:vAlign w:val="bottom"/>
          </w:tcPr>
          <w:p>
            <w:pPr>
              <w:spacing w:after="0"/>
              <w:rPr>
                <w:sz w:val="1"/>
                <w:szCs w:val="1"/>
                <w:color w:val="auto"/>
              </w:rPr>
            </w:pPr>
          </w:p>
        </w:tc>
      </w:tr>
      <w:tr>
        <w:trPr>
          <w:trHeight w:val="75"/>
        </w:trPr>
        <w:tc>
          <w:tcPr>
            <w:tcW w:w="8280" w:type="dxa"/>
            <w:vAlign w:val="bottom"/>
          </w:tcPr>
          <w:p>
            <w:pPr>
              <w:spacing w:after="0"/>
              <w:rPr>
                <w:sz w:val="6"/>
                <w:szCs w:val="6"/>
                <w:color w:val="auto"/>
              </w:rPr>
            </w:pPr>
          </w:p>
        </w:tc>
        <w:tc>
          <w:tcPr>
            <w:tcW w:w="14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8"/>
        </w:trPr>
        <w:tc>
          <w:tcPr>
            <w:tcW w:w="8280" w:type="dxa"/>
            <w:vAlign w:val="bottom"/>
          </w:tcPr>
          <w:p>
            <w:pPr>
              <w:spacing w:after="0" w:line="158" w:lineRule="exact"/>
              <w:rPr>
                <w:sz w:val="20"/>
                <w:szCs w:val="20"/>
                <w:color w:val="auto"/>
              </w:rPr>
            </w:pPr>
            <w:r>
              <w:rPr>
                <w:rFonts w:ascii="Arial" w:cs="Arial" w:eastAsia="Arial" w:hAnsi="Arial"/>
                <w:sz w:val="15"/>
                <w:szCs w:val="15"/>
                <w:color w:val="auto"/>
              </w:rPr>
              <w:t>We used the following methodology to determine the foregoing ratio:</w:t>
            </w:r>
          </w:p>
        </w:tc>
        <w:tc>
          <w:tcPr>
            <w:tcW w:w="1400" w:type="dxa"/>
            <w:vAlign w:val="bottom"/>
          </w:tcPr>
          <w:p>
            <w:pPr>
              <w:ind w:left="400"/>
              <w:spacing w:after="0"/>
              <w:rPr>
                <w:sz w:val="20"/>
                <w:szCs w:val="20"/>
                <w:color w:val="auto"/>
              </w:rPr>
            </w:pPr>
            <w:r>
              <w:rPr>
                <w:rFonts w:ascii="Arial" w:cs="Arial" w:eastAsia="Arial" w:hAnsi="Arial"/>
                <w:sz w:val="12"/>
                <w:szCs w:val="12"/>
                <w:color w:val="FFFFFF"/>
              </w:rPr>
              <w:t>Ownership of</w:t>
            </w:r>
          </w:p>
        </w:tc>
        <w:tc>
          <w:tcPr>
            <w:tcW w:w="0" w:type="dxa"/>
            <w:vAlign w:val="bottom"/>
          </w:tcPr>
          <w:p>
            <w:pPr>
              <w:spacing w:after="0"/>
              <w:rPr>
                <w:sz w:val="1"/>
                <w:szCs w:val="1"/>
                <w:color w:val="auto"/>
              </w:rPr>
            </w:pPr>
          </w:p>
        </w:tc>
      </w:tr>
      <w:tr>
        <w:trPr>
          <w:trHeight w:val="97"/>
        </w:trPr>
        <w:tc>
          <w:tcPr>
            <w:tcW w:w="8280" w:type="dxa"/>
            <w:vAlign w:val="bottom"/>
          </w:tcPr>
          <w:p>
            <w:pPr>
              <w:spacing w:after="0"/>
              <w:rPr>
                <w:sz w:val="8"/>
                <w:szCs w:val="8"/>
                <w:color w:val="auto"/>
              </w:rPr>
            </w:pPr>
          </w:p>
        </w:tc>
        <w:tc>
          <w:tcPr>
            <w:tcW w:w="1400" w:type="dxa"/>
            <w:vAlign w:val="bottom"/>
          </w:tcPr>
          <w:p>
            <w:pPr>
              <w:ind w:left="400"/>
              <w:spacing w:after="0" w:line="97" w:lineRule="exact"/>
              <w:rPr>
                <w:sz w:val="20"/>
                <w:szCs w:val="20"/>
                <w:color w:val="auto"/>
              </w:rPr>
            </w:pPr>
            <w:r>
              <w:rPr>
                <w:rFonts w:ascii="Arial" w:cs="Arial" w:eastAsia="Arial" w:hAnsi="Arial"/>
                <w:sz w:val="11"/>
                <w:szCs w:val="11"/>
                <w:color w:val="FFFFFF"/>
              </w:rPr>
              <w:t>Certain Beneficial</w:t>
            </w:r>
          </w:p>
        </w:tc>
        <w:tc>
          <w:tcPr>
            <w:tcW w:w="0" w:type="dxa"/>
            <w:vAlign w:val="bottom"/>
          </w:tcPr>
          <w:p>
            <w:pPr>
              <w:spacing w:after="0"/>
              <w:rPr>
                <w:sz w:val="1"/>
                <w:szCs w:val="1"/>
                <w:color w:val="auto"/>
              </w:rPr>
            </w:pPr>
          </w:p>
        </w:tc>
      </w:tr>
      <w:tr>
        <w:trPr>
          <w:trHeight w:val="128"/>
        </w:trPr>
        <w:tc>
          <w:tcPr>
            <w:tcW w:w="8280" w:type="dxa"/>
            <w:vAlign w:val="bottom"/>
            <w:vMerge w:val="restart"/>
          </w:tcPr>
          <w:p>
            <w:pPr>
              <w:spacing w:after="0"/>
              <w:rPr>
                <w:sz w:val="20"/>
                <w:szCs w:val="20"/>
                <w:color w:val="auto"/>
              </w:rPr>
            </w:pPr>
            <w:r>
              <w:rPr>
                <w:rFonts w:ascii="Arial" w:cs="Arial" w:eastAsia="Arial" w:hAnsi="Arial"/>
                <w:sz w:val="15"/>
                <w:szCs w:val="15"/>
                <w:color w:val="auto"/>
              </w:rPr>
              <w:t>•   We determined our 2025 median employee (our “2025 Median Employee”) from our employee population on</w:t>
            </w:r>
          </w:p>
        </w:tc>
        <w:tc>
          <w:tcPr>
            <w:tcW w:w="1400" w:type="dxa"/>
            <w:vAlign w:val="bottom"/>
          </w:tcPr>
          <w:p>
            <w:pPr>
              <w:ind w:left="400"/>
              <w:spacing w:after="0" w:line="128" w:lineRule="exact"/>
              <w:rPr>
                <w:sz w:val="20"/>
                <w:szCs w:val="20"/>
                <w:color w:val="auto"/>
              </w:rPr>
            </w:pPr>
            <w:r>
              <w:rPr>
                <w:rFonts w:ascii="Arial" w:cs="Arial" w:eastAsia="Arial" w:hAnsi="Arial"/>
                <w:sz w:val="12"/>
                <w:szCs w:val="12"/>
                <w:color w:val="FFFFFF"/>
              </w:rPr>
              <w:t>Owners and</w:t>
            </w:r>
          </w:p>
        </w:tc>
        <w:tc>
          <w:tcPr>
            <w:tcW w:w="0" w:type="dxa"/>
            <w:vAlign w:val="bottom"/>
          </w:tcPr>
          <w:p>
            <w:pPr>
              <w:spacing w:after="0"/>
              <w:rPr>
                <w:sz w:val="1"/>
                <w:szCs w:val="1"/>
                <w:color w:val="auto"/>
              </w:rPr>
            </w:pPr>
          </w:p>
        </w:tc>
      </w:tr>
      <w:tr>
        <w:trPr>
          <w:trHeight w:val="95"/>
        </w:trPr>
        <w:tc>
          <w:tcPr>
            <w:tcW w:w="8280" w:type="dxa"/>
            <w:vAlign w:val="bottom"/>
            <w:vMerge w:val="continue"/>
          </w:tcPr>
          <w:p>
            <w:pPr>
              <w:spacing w:after="0"/>
              <w:rPr>
                <w:sz w:val="8"/>
                <w:szCs w:val="8"/>
                <w:color w:val="auto"/>
              </w:rPr>
            </w:pPr>
          </w:p>
        </w:tc>
        <w:tc>
          <w:tcPr>
            <w:tcW w:w="1400" w:type="dxa"/>
            <w:vAlign w:val="bottom"/>
            <w:vMerge w:val="restart"/>
          </w:tcPr>
          <w:p>
            <w:pPr>
              <w:ind w:left="400"/>
              <w:spacing w:after="0"/>
              <w:rPr>
                <w:sz w:val="20"/>
                <w:szCs w:val="20"/>
                <w:color w:val="auto"/>
              </w:rPr>
            </w:pPr>
            <w:r>
              <w:rPr>
                <w:rFonts w:ascii="Arial" w:cs="Arial" w:eastAsia="Arial" w:hAnsi="Arial"/>
                <w:sz w:val="12"/>
                <w:szCs w:val="12"/>
                <w:color w:val="FFFFFF"/>
              </w:rPr>
              <w:t>Management</w:t>
            </w:r>
          </w:p>
        </w:tc>
        <w:tc>
          <w:tcPr>
            <w:tcW w:w="0" w:type="dxa"/>
            <w:vAlign w:val="bottom"/>
          </w:tcPr>
          <w:p>
            <w:pPr>
              <w:spacing w:after="0"/>
              <w:rPr>
                <w:sz w:val="1"/>
                <w:szCs w:val="1"/>
                <w:color w:val="auto"/>
              </w:rPr>
            </w:pPr>
          </w:p>
        </w:tc>
      </w:tr>
      <w:tr>
        <w:trPr>
          <w:trHeight w:val="63"/>
        </w:trPr>
        <w:tc>
          <w:tcPr>
            <w:tcW w:w="8280" w:type="dxa"/>
            <w:vAlign w:val="bottom"/>
            <w:vMerge w:val="restart"/>
          </w:tcPr>
          <w:p>
            <w:pPr>
              <w:ind w:left="260"/>
              <w:spacing w:after="0"/>
              <w:rPr>
                <w:sz w:val="20"/>
                <w:szCs w:val="20"/>
                <w:color w:val="auto"/>
              </w:rPr>
            </w:pPr>
            <w:r>
              <w:rPr>
                <w:rFonts w:ascii="Arial" w:cs="Arial" w:eastAsia="Arial" w:hAnsi="Arial"/>
                <w:sz w:val="15"/>
                <w:szCs w:val="15"/>
                <w:color w:val="auto"/>
              </w:rPr>
              <w:t>December 31, 2025.</w:t>
            </w:r>
          </w:p>
        </w:tc>
        <w:tc>
          <w:tcPr>
            <w:tcW w:w="14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38"/>
        </w:trPr>
        <w:tc>
          <w:tcPr>
            <w:tcW w:w="8280" w:type="dxa"/>
            <w:vAlign w:val="bottom"/>
            <w:vMerge w:val="continue"/>
          </w:tcPr>
          <w:p>
            <w:pPr>
              <w:spacing w:after="0"/>
              <w:rPr>
                <w:sz w:val="11"/>
                <w:szCs w:val="11"/>
                <w:color w:val="auto"/>
              </w:rPr>
            </w:pPr>
          </w:p>
        </w:tc>
        <w:tc>
          <w:tcPr>
            <w:tcW w:w="14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0800"/>
          </w:cols>
          <w:pgMar w:left="320" w:top="464" w:right="779" w:bottom="1440" w:gutter="0" w:footer="0" w:header="0"/>
        </w:sectPr>
      </w:pPr>
    </w:p>
    <w:p>
      <w:pPr>
        <w:spacing w:after="0" w:line="92" w:lineRule="exact"/>
        <w:rPr>
          <w:sz w:val="20"/>
          <w:szCs w:val="20"/>
          <w:color w:val="auto"/>
        </w:rPr>
      </w:pPr>
    </w:p>
    <w:p>
      <w:pPr>
        <w:jc w:val="both"/>
        <w:ind w:left="800" w:right="460" w:hanging="261"/>
        <w:spacing w:after="0" w:line="268" w:lineRule="auto"/>
        <w:tabs>
          <w:tab w:leader="none" w:pos="800" w:val="left"/>
        </w:tabs>
        <w:numPr>
          <w:ilvl w:val="0"/>
          <w:numId w:val="115"/>
        </w:numPr>
        <w:rPr>
          <w:rFonts w:ascii="Arial" w:cs="Arial" w:eastAsia="Arial" w:hAnsi="Arial"/>
          <w:sz w:val="15"/>
          <w:szCs w:val="15"/>
          <w:color w:val="auto"/>
        </w:rPr>
      </w:pPr>
      <w:r>
        <w:rPr>
          <w:rFonts w:ascii="Arial" w:cs="Arial" w:eastAsia="Arial" w:hAnsi="Arial"/>
          <w:sz w:val="15"/>
          <w:szCs w:val="15"/>
          <w:color w:val="auto"/>
        </w:rPr>
        <w:t>To identify the 2025 Median Employee from our employee population, we first determined each employee’s 2025 Box 1 W-2 wages (“Compensation Measure”) for the 2025 calendar year (“Measurement Period”), as reflected in our payroll records and systems.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FFFFFF"/>
        </w:rPr>
        <w:t>Certain</w:t>
      </w:r>
    </w:p>
    <w:p>
      <w:pPr>
        <w:spacing w:after="0" w:line="221" w:lineRule="auto"/>
        <w:rPr>
          <w:sz w:val="20"/>
          <w:szCs w:val="20"/>
          <w:color w:val="auto"/>
        </w:rPr>
      </w:pPr>
      <w:r>
        <w:rPr>
          <w:rFonts w:ascii="Arial" w:cs="Arial" w:eastAsia="Arial" w:hAnsi="Arial"/>
          <w:sz w:val="12"/>
          <w:szCs w:val="12"/>
          <w:color w:val="FFFFFF"/>
        </w:rPr>
        <w:t>Relationships and</w:t>
      </w:r>
    </w:p>
    <w:p>
      <w:pPr>
        <w:spacing w:after="0" w:line="222" w:lineRule="auto"/>
        <w:rPr>
          <w:sz w:val="20"/>
          <w:szCs w:val="20"/>
          <w:color w:val="auto"/>
        </w:rPr>
      </w:pPr>
      <w:r>
        <w:rPr>
          <w:rFonts w:ascii="Arial" w:cs="Arial" w:eastAsia="Arial" w:hAnsi="Arial"/>
          <w:sz w:val="12"/>
          <w:szCs w:val="12"/>
          <w:color w:val="FFFFFF"/>
        </w:rPr>
        <w:t>Related Party</w:t>
      </w:r>
    </w:p>
    <w:p>
      <w:pPr>
        <w:spacing w:after="0" w:line="1" w:lineRule="exact"/>
        <w:rPr>
          <w:sz w:val="20"/>
          <w:szCs w:val="20"/>
          <w:color w:val="auto"/>
        </w:rPr>
      </w:pPr>
    </w:p>
    <w:p>
      <w:pPr>
        <w:spacing w:after="0"/>
        <w:rPr>
          <w:sz w:val="20"/>
          <w:szCs w:val="20"/>
          <w:color w:val="auto"/>
        </w:rPr>
      </w:pPr>
      <w:r>
        <w:rPr>
          <w:rFonts w:ascii="Arial" w:cs="Arial" w:eastAsia="Arial" w:hAnsi="Arial"/>
          <w:sz w:val="12"/>
          <w:szCs w:val="12"/>
          <w:color w:val="FFFFFF"/>
        </w:rPr>
        <w:t>Transactions</w:t>
      </w:r>
    </w:p>
    <w:p>
      <w:pPr>
        <w:spacing w:after="0" w:line="143" w:lineRule="exact"/>
        <w:rPr>
          <w:sz w:val="20"/>
          <w:szCs w:val="20"/>
          <w:color w:val="auto"/>
        </w:rPr>
      </w:pPr>
    </w:p>
    <w:p>
      <w:pPr>
        <w:sectPr>
          <w:pgSz w:w="11900" w:h="16838" w:orient="portrait"/>
          <w:cols w:equalWidth="0" w:num="2">
            <w:col w:w="8500" w:space="720"/>
            <w:col w:w="1580"/>
          </w:cols>
          <w:pgMar w:left="320" w:top="464" w:right="779" w:bottom="1440" w:gutter="0" w:footer="0" w:header="0"/>
          <w:type w:val="continuous"/>
        </w:sectPr>
      </w:pPr>
    </w:p>
    <w:p>
      <w:pPr>
        <w:spacing w:after="0" w:line="69" w:lineRule="exact"/>
        <w:rPr>
          <w:sz w:val="20"/>
          <w:szCs w:val="20"/>
          <w:color w:val="auto"/>
        </w:rPr>
      </w:pPr>
    </w:p>
    <w:p>
      <w:pPr>
        <w:ind w:left="800" w:right="280" w:hanging="261"/>
        <w:spacing w:after="0" w:line="287" w:lineRule="auto"/>
        <w:tabs>
          <w:tab w:leader="none" w:pos="800" w:val="left"/>
        </w:tabs>
        <w:numPr>
          <w:ilvl w:val="0"/>
          <w:numId w:val="116"/>
        </w:numPr>
        <w:rPr>
          <w:rFonts w:ascii="Arial" w:cs="Arial" w:eastAsia="Arial" w:hAnsi="Arial"/>
          <w:sz w:val="15"/>
          <w:szCs w:val="15"/>
          <w:color w:val="auto"/>
        </w:rPr>
      </w:pPr>
      <w:r>
        <w:rPr>
          <w:rFonts w:ascii="Arial" w:cs="Arial" w:eastAsia="Arial" w:hAnsi="Arial"/>
          <w:sz w:val="15"/>
          <w:szCs w:val="15"/>
          <w:color w:val="auto"/>
        </w:rPr>
        <w:t>For those full-time employees who were employed on December 31, 2025 but who were not employed for the full Measurement Period, we annualized compensation paid to such employees during 2025.</w:t>
      </w:r>
    </w:p>
    <w:p>
      <w:pPr>
        <w:spacing w:after="0" w:line="59" w:lineRule="exact"/>
        <w:rPr>
          <w:rFonts w:ascii="Arial" w:cs="Arial" w:eastAsia="Arial" w:hAnsi="Arial"/>
          <w:sz w:val="15"/>
          <w:szCs w:val="15"/>
          <w:color w:val="auto"/>
        </w:rPr>
      </w:pPr>
    </w:p>
    <w:p>
      <w:pPr>
        <w:ind w:left="800" w:right="500" w:hanging="261"/>
        <w:spacing w:after="0" w:line="287" w:lineRule="auto"/>
        <w:tabs>
          <w:tab w:leader="none" w:pos="800" w:val="left"/>
        </w:tabs>
        <w:numPr>
          <w:ilvl w:val="0"/>
          <w:numId w:val="116"/>
        </w:numPr>
        <w:rPr>
          <w:rFonts w:ascii="Arial" w:cs="Arial" w:eastAsia="Arial" w:hAnsi="Arial"/>
          <w:sz w:val="15"/>
          <w:szCs w:val="15"/>
          <w:color w:val="auto"/>
        </w:rPr>
      </w:pPr>
      <w:r>
        <w:rPr>
          <w:rFonts w:ascii="Arial" w:cs="Arial" w:eastAsia="Arial" w:hAnsi="Arial"/>
          <w:sz w:val="15"/>
          <w:szCs w:val="15"/>
          <w:color w:val="auto"/>
        </w:rPr>
        <w:t>We then identified our 2025 Median Employee from our employee population based on this Compensation Measure.</w:t>
      </w:r>
    </w:p>
    <w:p>
      <w:pPr>
        <w:spacing w:after="0" w:line="47" w:lineRule="exact"/>
        <w:rPr>
          <w:sz w:val="20"/>
          <w:szCs w:val="20"/>
          <w:color w:val="auto"/>
        </w:rPr>
      </w:pPr>
    </w:p>
    <w:p>
      <w:pPr>
        <w:ind w:left="540" w:right="280"/>
        <w:spacing w:after="0" w:line="287" w:lineRule="auto"/>
        <w:rPr>
          <w:sz w:val="20"/>
          <w:szCs w:val="20"/>
          <w:color w:val="auto"/>
        </w:rPr>
      </w:pPr>
      <w:r>
        <w:rPr>
          <w:rFonts w:ascii="Arial" w:cs="Arial" w:eastAsia="Arial" w:hAnsi="Arial"/>
          <w:sz w:val="15"/>
          <w:szCs w:val="15"/>
          <w:color w:val="auto"/>
        </w:rPr>
        <w:t>We then determined the annual total compensation for 2025 of the median employee and our CEO in accordance with the following:</w:t>
      </w:r>
    </w:p>
    <w:p>
      <w:pPr>
        <w:spacing w:after="0" w:line="60" w:lineRule="exact"/>
        <w:rPr>
          <w:sz w:val="20"/>
          <w:szCs w:val="20"/>
          <w:color w:val="auto"/>
        </w:rPr>
      </w:pPr>
    </w:p>
    <w:p>
      <w:pPr>
        <w:ind w:left="800" w:right="100" w:hanging="261"/>
        <w:spacing w:after="0" w:line="268" w:lineRule="auto"/>
        <w:tabs>
          <w:tab w:leader="none" w:pos="800" w:val="left"/>
        </w:tabs>
        <w:numPr>
          <w:ilvl w:val="0"/>
          <w:numId w:val="117"/>
        </w:numPr>
        <w:rPr>
          <w:rFonts w:ascii="Arial" w:cs="Arial" w:eastAsia="Arial" w:hAnsi="Arial"/>
          <w:sz w:val="15"/>
          <w:szCs w:val="15"/>
          <w:color w:val="auto"/>
        </w:rPr>
      </w:pPr>
      <w:r>
        <w:rPr>
          <w:rFonts w:ascii="Arial" w:cs="Arial" w:eastAsia="Arial" w:hAnsi="Arial"/>
          <w:sz w:val="15"/>
          <w:szCs w:val="15"/>
          <w:color w:val="auto"/>
        </w:rPr>
        <w:t>The median employee’s annual total compensation represents the amount of such employee’s compensation for 2025 that would have been reported in the Summary Compensation Table in accordance with the requirements of Item 402(c)(2)(x) of Regulation S-K if the employee were a named executive officer for 2025.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FFFFFF"/>
        </w:rPr>
        <w:t>Proposal 2</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FFFFFF"/>
        </w:rPr>
        <w:t>Report of the</w:t>
      </w:r>
    </w:p>
    <w:p>
      <w:pPr>
        <w:spacing w:after="0" w:line="224" w:lineRule="auto"/>
        <w:rPr>
          <w:sz w:val="20"/>
          <w:szCs w:val="20"/>
          <w:color w:val="auto"/>
        </w:rPr>
      </w:pPr>
      <w:r>
        <w:rPr>
          <w:rFonts w:ascii="Arial" w:cs="Arial" w:eastAsia="Arial" w:hAnsi="Arial"/>
          <w:sz w:val="12"/>
          <w:szCs w:val="12"/>
          <w:color w:val="FFFFFF"/>
        </w:rPr>
        <w:t>Audit and Risk</w:t>
      </w:r>
    </w:p>
    <w:p>
      <w:pPr>
        <w:spacing w:after="0" w:line="222" w:lineRule="auto"/>
        <w:rPr>
          <w:sz w:val="20"/>
          <w:szCs w:val="20"/>
          <w:color w:val="auto"/>
        </w:rPr>
      </w:pPr>
      <w:r>
        <w:rPr>
          <w:rFonts w:ascii="Arial" w:cs="Arial" w:eastAsia="Arial" w:hAnsi="Arial"/>
          <w:sz w:val="12"/>
          <w:szCs w:val="12"/>
          <w:color w:val="FFFFFF"/>
        </w:rPr>
        <w:t>Committee of the</w:t>
      </w:r>
    </w:p>
    <w:p>
      <w:pPr>
        <w:spacing w:after="0"/>
        <w:rPr>
          <w:sz w:val="20"/>
          <w:szCs w:val="20"/>
          <w:color w:val="auto"/>
        </w:rPr>
      </w:pPr>
      <w:r>
        <w:rPr>
          <w:rFonts w:ascii="Arial" w:cs="Arial" w:eastAsia="Arial" w:hAnsi="Arial"/>
          <w:sz w:val="11"/>
          <w:szCs w:val="11"/>
          <w:color w:val="FFFFFF"/>
        </w:rPr>
        <w:t>Board of Directors</w:t>
      </w:r>
    </w:p>
    <w:p>
      <w:pPr>
        <w:spacing w:after="0" w:line="155" w:lineRule="exact"/>
        <w:rPr>
          <w:sz w:val="20"/>
          <w:szCs w:val="20"/>
          <w:color w:val="auto"/>
        </w:rPr>
      </w:pPr>
    </w:p>
    <w:p>
      <w:pPr>
        <w:spacing w:after="0"/>
        <w:rPr>
          <w:sz w:val="20"/>
          <w:szCs w:val="20"/>
          <w:color w:val="auto"/>
        </w:rPr>
      </w:pPr>
      <w:r>
        <w:rPr>
          <w:rFonts w:ascii="Arial" w:cs="Arial" w:eastAsia="Arial" w:hAnsi="Arial"/>
          <w:sz w:val="12"/>
          <w:szCs w:val="12"/>
          <w:color w:val="FFFFFF"/>
        </w:rPr>
        <w:t>Proposal 3</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FFFFFF"/>
        </w:rPr>
        <w:t>Proposal 4</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FFFFFF"/>
        </w:rPr>
        <w:t>Proposal 5</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FFFFFF"/>
        </w:rPr>
        <w:t>Proposal 6</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FFFFFF"/>
        </w:rPr>
        <w:t>Stockholder</w:t>
      </w:r>
    </w:p>
    <w:p>
      <w:pPr>
        <w:spacing w:after="0" w:line="224" w:lineRule="auto"/>
        <w:rPr>
          <w:sz w:val="20"/>
          <w:szCs w:val="20"/>
          <w:color w:val="auto"/>
        </w:rPr>
      </w:pPr>
      <w:r>
        <w:rPr>
          <w:rFonts w:ascii="Arial" w:cs="Arial" w:eastAsia="Arial" w:hAnsi="Arial"/>
          <w:sz w:val="12"/>
          <w:szCs w:val="12"/>
          <w:color w:val="FFFFFF"/>
        </w:rPr>
        <w:t>Proposals and</w:t>
      </w:r>
    </w:p>
    <w:p>
      <w:pPr>
        <w:spacing w:after="0"/>
        <w:rPr>
          <w:sz w:val="20"/>
          <w:szCs w:val="20"/>
          <w:color w:val="auto"/>
        </w:rPr>
      </w:pPr>
      <w:r>
        <w:rPr>
          <w:rFonts w:ascii="Arial" w:cs="Arial" w:eastAsia="Arial" w:hAnsi="Arial"/>
          <w:sz w:val="12"/>
          <w:szCs w:val="12"/>
          <w:color w:val="FFFFFF"/>
        </w:rPr>
        <w:t>Other Matters</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Delinquent</w:t>
      </w:r>
    </w:p>
    <w:p>
      <w:pPr>
        <w:spacing w:after="0" w:line="224" w:lineRule="auto"/>
        <w:rPr>
          <w:sz w:val="20"/>
          <w:szCs w:val="20"/>
          <w:color w:val="auto"/>
        </w:rPr>
      </w:pPr>
      <w:r>
        <w:rPr>
          <w:rFonts w:ascii="Arial" w:cs="Arial" w:eastAsia="Arial" w:hAnsi="Arial"/>
          <w:sz w:val="12"/>
          <w:szCs w:val="12"/>
          <w:color w:val="FFFFFF"/>
        </w:rPr>
        <w:t>Section 16(a)</w:t>
      </w:r>
    </w:p>
    <w:p>
      <w:pPr>
        <w:spacing w:after="0"/>
        <w:rPr>
          <w:sz w:val="20"/>
          <w:szCs w:val="20"/>
          <w:color w:val="auto"/>
        </w:rPr>
      </w:pPr>
      <w:r>
        <w:rPr>
          <w:rFonts w:ascii="Arial" w:cs="Arial" w:eastAsia="Arial" w:hAnsi="Arial"/>
          <w:sz w:val="12"/>
          <w:szCs w:val="12"/>
          <w:color w:val="FFFFFF"/>
        </w:rPr>
        <w:t>Reports</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Other</w:t>
      </w:r>
    </w:p>
    <w:p>
      <w:pPr>
        <w:spacing w:after="0" w:line="2" w:lineRule="exact"/>
        <w:rPr>
          <w:sz w:val="20"/>
          <w:szCs w:val="20"/>
          <w:color w:val="auto"/>
        </w:rPr>
      </w:pPr>
    </w:p>
    <w:p>
      <w:pPr>
        <w:spacing w:after="0"/>
        <w:rPr>
          <w:sz w:val="20"/>
          <w:szCs w:val="20"/>
          <w:color w:val="auto"/>
        </w:rPr>
      </w:pPr>
      <w:r>
        <w:rPr>
          <w:rFonts w:ascii="Arial" w:cs="Arial" w:eastAsia="Arial" w:hAnsi="Arial"/>
          <w:sz w:val="12"/>
          <w:szCs w:val="12"/>
          <w:color w:val="FFFFFF"/>
        </w:rPr>
        <w:t>Information</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Appendix A</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FFFFFF"/>
        </w:rPr>
        <w:t>Appendix B</w:t>
      </w:r>
    </w:p>
    <w:p>
      <w:pPr>
        <w:spacing w:after="0" w:line="200" w:lineRule="exact"/>
        <w:rPr>
          <w:sz w:val="20"/>
          <w:szCs w:val="20"/>
          <w:color w:val="auto"/>
        </w:rPr>
      </w:pPr>
    </w:p>
    <w:p>
      <w:pPr>
        <w:sectPr>
          <w:pgSz w:w="11900" w:h="16838" w:orient="portrait"/>
          <w:cols w:equalWidth="0" w:num="2">
            <w:col w:w="8500" w:space="720"/>
            <w:col w:w="1580"/>
          </w:cols>
          <w:pgMar w:left="320" w:top="464" w:right="7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6380"/>
        <w:spacing w:after="0"/>
        <w:tabs>
          <w:tab w:leader="none" w:pos="8500" w:val="left"/>
          <w:tab w:leader="none" w:pos="9960" w:val="left"/>
        </w:tabs>
        <w:rPr>
          <w:sz w:val="20"/>
          <w:szCs w:val="20"/>
          <w:color w:val="auto"/>
        </w:rPr>
      </w:pPr>
      <w:r>
        <w:rPr>
          <w:rFonts w:ascii="Arial" w:cs="Arial" w:eastAsia="Arial" w:hAnsi="Arial"/>
          <w:sz w:val="15"/>
          <w:szCs w:val="15"/>
          <w:b w:val="1"/>
          <w:bCs w:val="1"/>
          <w:color w:val="002B5F"/>
        </w:rPr>
        <w:t xml:space="preserve">2026 Proxy Statement  </w:t>
      </w:r>
      <w:r>
        <w:rPr>
          <w:rFonts w:ascii="Arial" w:cs="Arial" w:eastAsia="Arial" w:hAnsi="Arial"/>
          <w:sz w:val="20"/>
          <w:szCs w:val="20"/>
          <w:color w:val="002B5F"/>
        </w:rPr>
        <w:t>|</w:t>
      </w:r>
      <w:r>
        <w:rPr>
          <w:rFonts w:ascii="Arial" w:cs="Arial" w:eastAsia="Arial" w:hAnsi="Arial"/>
          <w:sz w:val="15"/>
          <w:szCs w:val="15"/>
          <w:b w:val="1"/>
          <w:bCs w:val="1"/>
          <w:color w:val="002B5F"/>
        </w:rPr>
        <w:t xml:space="preserve">  73</w:t>
      </w:r>
      <w:r>
        <w:rPr>
          <w:sz w:val="20"/>
          <w:szCs w:val="20"/>
          <w:color w:val="auto"/>
        </w:rPr>
        <w:tab/>
      </w:r>
      <w:r>
        <w:rPr>
          <w:rFonts w:ascii="Arial" w:cs="Arial" w:eastAsia="Arial" w:hAnsi="Arial"/>
          <w:sz w:val="17"/>
          <w:szCs w:val="17"/>
          <w:color w:val="auto"/>
        </w:rPr>
        <w:t xml:space="preserve">    </w:t>
      </w:r>
      <w:r>
        <w:rPr>
          <w:sz w:val="20"/>
          <w:szCs w:val="20"/>
          <w:color w:val="auto"/>
        </w:rPr>
        <w:tab/>
      </w:r>
      <w:r>
        <w:rPr>
          <w:rFonts w:ascii="Arial" w:cs="Arial" w:eastAsia="Arial" w:hAnsi="Arial"/>
          <w:sz w:val="17"/>
          <w:szCs w:val="17"/>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268605</wp:posOffset>
            </wp:positionH>
            <wp:positionV relativeFrom="paragraph">
              <wp:posOffset>-128905</wp:posOffset>
            </wp:positionV>
            <wp:extent cx="762000" cy="971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62000" cy="97155"/>
                    </a:xfrm>
                    <a:prstGeom prst="rect">
                      <a:avLst/>
                    </a:prstGeom>
                    <a:noFill/>
                  </pic:spPr>
                </pic:pic>
              </a:graphicData>
            </a:graphic>
          </wp:anchor>
        </w:drawing>
      </w:r>
    </w:p>
    <w:p>
      <w:pPr>
        <w:sectPr>
          <w:pgSz w:w="11900" w:h="16838" w:orient="portrait"/>
          <w:cols w:equalWidth="0" w:num="1">
            <w:col w:w="10800"/>
          </w:cols>
          <w:pgMar w:left="320" w:top="464" w:right="779" w:bottom="1440" w:gutter="0" w:footer="0" w:header="0"/>
          <w:type w:val="continuous"/>
        </w:sectPr>
      </w:pPr>
    </w:p>
    <w:bookmarkStart w:id="85" w:name="page86"/>
    <w:bookmarkEnd w:id="85"/>
    <w:p>
      <w:pPr>
        <w:spacing w:after="0"/>
        <w:rPr>
          <w:sz w:val="20"/>
          <w:szCs w:val="20"/>
          <w:color w:val="auto"/>
        </w:rPr>
      </w:pPr>
      <w:r>
        <w:rPr>
          <w:rFonts w:ascii="Times New Roman" w:cs="Times New Roman" w:eastAsia="Times New Roman" w:hAnsi="Times New Roman"/>
          <w:sz w:val="17"/>
          <w:szCs w:val="17"/>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268605</wp:posOffset>
            </wp:positionH>
            <wp:positionV relativeFrom="paragraph">
              <wp:posOffset>253365</wp:posOffset>
            </wp:positionV>
            <wp:extent cx="1183005" cy="745617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1183005" cy="7456170"/>
                    </a:xfrm>
                    <a:prstGeom prst="rect">
                      <a:avLst/>
                    </a:prstGeom>
                    <a:noFill/>
                  </pic:spPr>
                </pic:pic>
              </a:graphicData>
            </a:graphic>
          </wp:anchor>
        </w:drawing>
      </w:r>
    </w:p>
    <w:p>
      <w:pPr>
        <w:spacing w:after="0" w:line="200" w:lineRule="exact"/>
        <w:rPr>
          <w:sz w:val="20"/>
          <w:szCs w:val="20"/>
          <w:color w:val="auto"/>
        </w:rPr>
      </w:pPr>
    </w:p>
    <w:p>
      <w:pPr>
        <w:spacing w:after="0" w:line="304" w:lineRule="exact"/>
        <w:rPr>
          <w:sz w:val="20"/>
          <w:szCs w:val="20"/>
          <w:color w:val="auto"/>
        </w:rPr>
      </w:pPr>
    </w:p>
    <w:p>
      <w:pPr>
        <w:ind w:left="1120" w:right="460" w:hanging="672"/>
        <w:spacing w:after="0" w:line="382" w:lineRule="auto"/>
        <w:tabs>
          <w:tab w:leader="none" w:pos="610" w:val="left"/>
        </w:tabs>
        <w:numPr>
          <w:ilvl w:val="0"/>
          <w:numId w:val="118"/>
        </w:numPr>
        <w:rPr>
          <w:rFonts w:ascii="Arial" w:cs="Arial" w:eastAsia="Arial" w:hAnsi="Arial"/>
          <w:sz w:val="24"/>
          <w:szCs w:val="24"/>
          <w:color w:val="auto"/>
          <w:vertAlign w:val="subscript"/>
        </w:rPr>
      </w:pPr>
      <w:r>
        <w:rPr>
          <w:rFonts w:ascii="Arial" w:cs="Arial" w:eastAsia="Arial" w:hAnsi="Arial"/>
          <w:sz w:val="24"/>
          <w:szCs w:val="24"/>
          <w:color w:val="000000"/>
          <w:vertAlign w:val="subscript"/>
        </w:rPr>
        <w:t xml:space="preserve">     </w:t>
      </w:r>
      <w:r>
        <w:rPr>
          <w:rFonts w:ascii="Arial" w:cs="Arial" w:eastAsia="Arial" w:hAnsi="Arial"/>
          <w:sz w:val="10"/>
          <w:szCs w:val="10"/>
          <w:color w:val="FFFFFF"/>
        </w:rPr>
        <w:t xml:space="preserve"> General Information</w:t>
      </w:r>
    </w:p>
    <w:p>
      <w:pPr>
        <w:spacing w:after="0" w:line="1" w:lineRule="exact"/>
        <w:rPr>
          <w:sz w:val="20"/>
          <w:szCs w:val="20"/>
          <w:color w:val="auto"/>
        </w:rPr>
      </w:pPr>
    </w:p>
    <w:p>
      <w:pPr>
        <w:ind w:left="1120"/>
        <w:spacing w:after="0"/>
        <w:rPr>
          <w:sz w:val="20"/>
          <w:szCs w:val="20"/>
          <w:color w:val="auto"/>
        </w:rPr>
      </w:pPr>
      <w:r>
        <w:rPr>
          <w:rFonts w:ascii="Arial" w:cs="Arial" w:eastAsia="Arial" w:hAnsi="Arial"/>
          <w:sz w:val="11"/>
          <w:szCs w:val="11"/>
          <w:color w:val="FFFFFF"/>
        </w:rPr>
        <w:t>General Information</w:t>
      </w:r>
    </w:p>
    <w:p>
      <w:pPr>
        <w:spacing w:after="0" w:line="3"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About Corporate</w:t>
      </w:r>
    </w:p>
    <w:p>
      <w:pPr>
        <w:ind w:left="1120"/>
        <w:spacing w:after="0" w:line="221" w:lineRule="auto"/>
        <w:rPr>
          <w:sz w:val="20"/>
          <w:szCs w:val="20"/>
          <w:color w:val="auto"/>
        </w:rPr>
      </w:pPr>
      <w:r>
        <w:rPr>
          <w:rFonts w:ascii="Arial" w:cs="Arial" w:eastAsia="Arial" w:hAnsi="Arial"/>
          <w:sz w:val="12"/>
          <w:szCs w:val="12"/>
          <w:color w:val="FFFFFF"/>
        </w:rPr>
        <w:t>Governance</w:t>
      </w:r>
    </w:p>
    <w:p>
      <w:pPr>
        <w:ind w:left="1120"/>
        <w:spacing w:after="0" w:line="222" w:lineRule="auto"/>
        <w:rPr>
          <w:sz w:val="20"/>
          <w:szCs w:val="20"/>
          <w:color w:val="auto"/>
        </w:rPr>
      </w:pPr>
      <w:r>
        <w:rPr>
          <w:rFonts w:ascii="Arial" w:cs="Arial" w:eastAsia="Arial" w:hAnsi="Arial"/>
          <w:sz w:val="12"/>
          <w:szCs w:val="12"/>
          <w:color w:val="FFFFFF"/>
        </w:rPr>
        <w:t>and the Board of</w:t>
      </w:r>
    </w:p>
    <w:p>
      <w:pPr>
        <w:spacing w:after="0" w:line="1"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Directors</w:t>
      </w:r>
    </w:p>
    <w:p>
      <w:pPr>
        <w:spacing w:after="0" w:line="144" w:lineRule="exact"/>
        <w:rPr>
          <w:sz w:val="20"/>
          <w:szCs w:val="20"/>
          <w:color w:val="auto"/>
        </w:rPr>
      </w:pPr>
    </w:p>
    <w:p>
      <w:pPr>
        <w:jc w:val="center"/>
        <w:ind w:left="620"/>
        <w:spacing w:after="0"/>
        <w:rPr>
          <w:sz w:val="20"/>
          <w:szCs w:val="20"/>
          <w:color w:val="auto"/>
        </w:rPr>
      </w:pPr>
      <w:r>
        <w:rPr>
          <w:rFonts w:ascii="Arial" w:cs="Arial" w:eastAsia="Arial" w:hAnsi="Arial"/>
          <w:sz w:val="12"/>
          <w:szCs w:val="12"/>
          <w:color w:val="FFFFFF"/>
        </w:rPr>
        <w:t>Proposal 1</w:t>
      </w:r>
    </w:p>
    <w:p>
      <w:pPr>
        <w:spacing w:after="0" w:line="156"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Information</w:t>
      </w:r>
    </w:p>
    <w:p>
      <w:pPr>
        <w:ind w:left="1120"/>
        <w:spacing w:after="0" w:line="224" w:lineRule="auto"/>
        <w:rPr>
          <w:sz w:val="20"/>
          <w:szCs w:val="20"/>
          <w:color w:val="auto"/>
        </w:rPr>
      </w:pPr>
      <w:r>
        <w:rPr>
          <w:rFonts w:ascii="Arial" w:cs="Arial" w:eastAsia="Arial" w:hAnsi="Arial"/>
          <w:sz w:val="12"/>
          <w:szCs w:val="12"/>
          <w:color w:val="FFFFFF"/>
        </w:rPr>
        <w:t>Regarding Board</w:t>
      </w:r>
    </w:p>
    <w:p>
      <w:pPr>
        <w:ind w:left="1120"/>
        <w:spacing w:after="0" w:line="222" w:lineRule="auto"/>
        <w:rPr>
          <w:sz w:val="20"/>
          <w:szCs w:val="20"/>
          <w:color w:val="auto"/>
        </w:rPr>
      </w:pPr>
      <w:r>
        <w:rPr>
          <w:rFonts w:ascii="Arial" w:cs="Arial" w:eastAsia="Arial" w:hAnsi="Arial"/>
          <w:sz w:val="12"/>
          <w:szCs w:val="12"/>
          <w:color w:val="FFFFFF"/>
        </w:rPr>
        <w:t>and Committee</w:t>
      </w:r>
    </w:p>
    <w:p>
      <w:pPr>
        <w:ind w:left="1120"/>
        <w:spacing w:after="0"/>
        <w:rPr>
          <w:sz w:val="20"/>
          <w:szCs w:val="20"/>
          <w:color w:val="auto"/>
        </w:rPr>
      </w:pPr>
      <w:r>
        <w:rPr>
          <w:rFonts w:ascii="Arial" w:cs="Arial" w:eastAsia="Arial" w:hAnsi="Arial"/>
          <w:sz w:val="12"/>
          <w:szCs w:val="12"/>
          <w:color w:val="FFFFFF"/>
        </w:rPr>
        <w:t>Structure</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Board of Directors</w:t>
      </w:r>
    </w:p>
    <w:p>
      <w:pPr>
        <w:spacing w:after="0" w:line="2"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Compensation</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Compensation</w:t>
      </w:r>
    </w:p>
    <w:p>
      <w:pPr>
        <w:ind w:left="1120"/>
        <w:spacing w:after="0" w:line="224" w:lineRule="auto"/>
        <w:rPr>
          <w:sz w:val="20"/>
          <w:szCs w:val="20"/>
          <w:color w:val="auto"/>
        </w:rPr>
      </w:pPr>
      <w:r>
        <w:rPr>
          <w:rFonts w:ascii="Arial" w:cs="Arial" w:eastAsia="Arial" w:hAnsi="Arial"/>
          <w:sz w:val="12"/>
          <w:szCs w:val="12"/>
          <w:color w:val="FFFFFF"/>
        </w:rPr>
        <w:t>Discussion and</w:t>
      </w:r>
    </w:p>
    <w:p>
      <w:pPr>
        <w:ind w:left="1120"/>
        <w:spacing w:after="0"/>
        <w:rPr>
          <w:sz w:val="20"/>
          <w:szCs w:val="20"/>
          <w:color w:val="auto"/>
        </w:rPr>
      </w:pPr>
      <w:r>
        <w:rPr>
          <w:rFonts w:ascii="Arial" w:cs="Arial" w:eastAsia="Arial" w:hAnsi="Arial"/>
          <w:sz w:val="12"/>
          <w:szCs w:val="12"/>
          <w:color w:val="FFFFFF"/>
        </w:rPr>
        <w:t>Analysis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Report of the</w:t>
      </w:r>
    </w:p>
    <w:p>
      <w:pPr>
        <w:ind w:left="1120"/>
        <w:spacing w:after="0" w:line="224" w:lineRule="auto"/>
        <w:rPr>
          <w:sz w:val="20"/>
          <w:szCs w:val="20"/>
          <w:color w:val="auto"/>
        </w:rPr>
      </w:pPr>
      <w:r>
        <w:rPr>
          <w:rFonts w:ascii="Arial" w:cs="Arial" w:eastAsia="Arial" w:hAnsi="Arial"/>
          <w:sz w:val="12"/>
          <w:szCs w:val="12"/>
          <w:color w:val="FFFFFF"/>
        </w:rPr>
        <w:t>Compensation</w:t>
      </w:r>
    </w:p>
    <w:p>
      <w:pPr>
        <w:ind w:left="1120"/>
        <w:spacing w:after="0" w:line="222" w:lineRule="auto"/>
        <w:rPr>
          <w:sz w:val="20"/>
          <w:szCs w:val="20"/>
          <w:color w:val="auto"/>
        </w:rPr>
      </w:pPr>
      <w:r>
        <w:rPr>
          <w:rFonts w:ascii="Arial" w:cs="Arial" w:eastAsia="Arial" w:hAnsi="Arial"/>
          <w:sz w:val="12"/>
          <w:szCs w:val="12"/>
          <w:color w:val="FFFFFF"/>
        </w:rPr>
        <w:t>and Human</w:t>
      </w:r>
    </w:p>
    <w:p>
      <w:pPr>
        <w:ind w:left="1120"/>
        <w:spacing w:after="0" w:line="222" w:lineRule="auto"/>
        <w:rPr>
          <w:sz w:val="20"/>
          <w:szCs w:val="20"/>
          <w:color w:val="auto"/>
        </w:rPr>
      </w:pPr>
      <w:r>
        <w:rPr>
          <w:rFonts w:ascii="Arial" w:cs="Arial" w:eastAsia="Arial" w:hAnsi="Arial"/>
          <w:sz w:val="12"/>
          <w:szCs w:val="12"/>
          <w:color w:val="FFFFFF"/>
        </w:rPr>
        <w:t>Resources</w:t>
      </w:r>
    </w:p>
    <w:p>
      <w:pPr>
        <w:ind w:left="1120"/>
        <w:spacing w:after="0" w:line="222" w:lineRule="auto"/>
        <w:rPr>
          <w:sz w:val="20"/>
          <w:szCs w:val="20"/>
          <w:color w:val="auto"/>
        </w:rPr>
      </w:pPr>
      <w:r>
        <w:rPr>
          <w:rFonts w:ascii="Arial" w:cs="Arial" w:eastAsia="Arial" w:hAnsi="Arial"/>
          <w:sz w:val="12"/>
          <w:szCs w:val="12"/>
          <w:color w:val="FFFFFF"/>
        </w:rPr>
        <w:t>Committee of the</w:t>
      </w:r>
    </w:p>
    <w:p>
      <w:pPr>
        <w:ind w:left="1120"/>
        <w:spacing w:after="0"/>
        <w:rPr>
          <w:sz w:val="20"/>
          <w:szCs w:val="20"/>
          <w:color w:val="auto"/>
        </w:rPr>
      </w:pPr>
      <w:r>
        <w:rPr>
          <w:rFonts w:ascii="Arial" w:cs="Arial" w:eastAsia="Arial" w:hAnsi="Arial"/>
          <w:sz w:val="12"/>
          <w:szCs w:val="12"/>
          <w:color w:val="FFFFFF"/>
        </w:rPr>
        <w:t>Board of Directors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b w:val="1"/>
          <w:bCs w:val="1"/>
          <w:color w:val="FFFFFF"/>
        </w:rPr>
        <w:t>Compensation of</w:t>
      </w:r>
    </w:p>
    <w:p>
      <w:pPr>
        <w:ind w:left="1120"/>
        <w:spacing w:after="0" w:line="224" w:lineRule="auto"/>
        <w:rPr>
          <w:sz w:val="20"/>
          <w:szCs w:val="20"/>
          <w:color w:val="auto"/>
        </w:rPr>
      </w:pPr>
      <w:r>
        <w:rPr>
          <w:rFonts w:ascii="Arial" w:cs="Arial" w:eastAsia="Arial" w:hAnsi="Arial"/>
          <w:sz w:val="12"/>
          <w:szCs w:val="12"/>
          <w:b w:val="1"/>
          <w:bCs w:val="1"/>
          <w:color w:val="FFFFFF"/>
        </w:rPr>
        <w:t>Named Executive</w:t>
      </w:r>
    </w:p>
    <w:p>
      <w:pPr>
        <w:ind w:left="1120"/>
        <w:spacing w:after="0"/>
        <w:rPr>
          <w:sz w:val="20"/>
          <w:szCs w:val="20"/>
          <w:color w:val="auto"/>
        </w:rPr>
      </w:pPr>
      <w:r>
        <w:rPr>
          <w:rFonts w:ascii="Arial" w:cs="Arial" w:eastAsia="Arial" w:hAnsi="Arial"/>
          <w:sz w:val="12"/>
          <w:szCs w:val="12"/>
          <w:b w:val="1"/>
          <w:bCs w:val="1"/>
          <w:color w:val="FFFFFF"/>
        </w:rPr>
        <w:t>Officers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Pay Versus</w:t>
      </w:r>
    </w:p>
    <w:p>
      <w:pPr>
        <w:ind w:left="1120"/>
        <w:spacing w:after="0" w:line="224" w:lineRule="auto"/>
        <w:rPr>
          <w:sz w:val="20"/>
          <w:szCs w:val="20"/>
          <w:color w:val="auto"/>
        </w:rPr>
      </w:pPr>
      <w:r>
        <w:rPr>
          <w:rFonts w:ascii="Arial" w:cs="Arial" w:eastAsia="Arial" w:hAnsi="Arial"/>
          <w:sz w:val="12"/>
          <w:szCs w:val="12"/>
          <w:color w:val="FFFFFF"/>
        </w:rPr>
        <w:t>Performance</w:t>
      </w:r>
    </w:p>
    <w:p>
      <w:pPr>
        <w:ind w:left="1120"/>
        <w:spacing w:after="0"/>
        <w:rPr>
          <w:sz w:val="20"/>
          <w:szCs w:val="20"/>
          <w:color w:val="auto"/>
        </w:rPr>
      </w:pPr>
      <w:r>
        <w:rPr>
          <w:rFonts w:ascii="Arial" w:cs="Arial" w:eastAsia="Arial" w:hAnsi="Arial"/>
          <w:sz w:val="12"/>
          <w:szCs w:val="12"/>
          <w:color w:val="FFFFFF"/>
        </w:rPr>
        <w:t>Disclosure</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Security</w:t>
      </w:r>
    </w:p>
    <w:p>
      <w:pPr>
        <w:ind w:left="1120"/>
        <w:spacing w:after="0" w:line="224" w:lineRule="auto"/>
        <w:rPr>
          <w:sz w:val="20"/>
          <w:szCs w:val="20"/>
          <w:color w:val="auto"/>
        </w:rPr>
      </w:pPr>
      <w:r>
        <w:rPr>
          <w:rFonts w:ascii="Arial" w:cs="Arial" w:eastAsia="Arial" w:hAnsi="Arial"/>
          <w:sz w:val="12"/>
          <w:szCs w:val="12"/>
          <w:color w:val="FFFFFF"/>
        </w:rPr>
        <w:t>Ownership of</w:t>
      </w:r>
    </w:p>
    <w:p>
      <w:pPr>
        <w:ind w:left="1120"/>
        <w:spacing w:after="0" w:line="222" w:lineRule="auto"/>
        <w:rPr>
          <w:sz w:val="20"/>
          <w:szCs w:val="20"/>
          <w:color w:val="auto"/>
        </w:rPr>
      </w:pPr>
      <w:r>
        <w:rPr>
          <w:rFonts w:ascii="Arial" w:cs="Arial" w:eastAsia="Arial" w:hAnsi="Arial"/>
          <w:sz w:val="12"/>
          <w:szCs w:val="12"/>
          <w:color w:val="FFFFFF"/>
        </w:rPr>
        <w:t>Certain Beneficial</w:t>
      </w:r>
    </w:p>
    <w:p>
      <w:pPr>
        <w:ind w:left="1120"/>
        <w:spacing w:after="0" w:line="222" w:lineRule="auto"/>
        <w:rPr>
          <w:sz w:val="20"/>
          <w:szCs w:val="20"/>
          <w:color w:val="auto"/>
        </w:rPr>
      </w:pPr>
      <w:r>
        <w:rPr>
          <w:rFonts w:ascii="Arial" w:cs="Arial" w:eastAsia="Arial" w:hAnsi="Arial"/>
          <w:sz w:val="12"/>
          <w:szCs w:val="12"/>
          <w:color w:val="FFFFFF"/>
        </w:rPr>
        <w:t>Owners and</w:t>
      </w:r>
    </w:p>
    <w:p>
      <w:pPr>
        <w:ind w:left="1120"/>
        <w:spacing w:after="0"/>
        <w:rPr>
          <w:sz w:val="20"/>
          <w:szCs w:val="20"/>
          <w:color w:val="auto"/>
        </w:rPr>
      </w:pPr>
      <w:r>
        <w:rPr>
          <w:rFonts w:ascii="Arial" w:cs="Arial" w:eastAsia="Arial" w:hAnsi="Arial"/>
          <w:sz w:val="12"/>
          <w:szCs w:val="12"/>
          <w:color w:val="FFFFFF"/>
        </w:rPr>
        <w:t>Management</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Certain</w:t>
      </w:r>
    </w:p>
    <w:p>
      <w:pPr>
        <w:ind w:left="1120"/>
        <w:spacing w:after="0" w:line="224" w:lineRule="auto"/>
        <w:rPr>
          <w:sz w:val="20"/>
          <w:szCs w:val="20"/>
          <w:color w:val="auto"/>
        </w:rPr>
      </w:pPr>
      <w:r>
        <w:rPr>
          <w:rFonts w:ascii="Arial" w:cs="Arial" w:eastAsia="Arial" w:hAnsi="Arial"/>
          <w:sz w:val="12"/>
          <w:szCs w:val="12"/>
          <w:color w:val="FFFFFF"/>
        </w:rPr>
        <w:t>Relationships and</w:t>
      </w:r>
    </w:p>
    <w:p>
      <w:pPr>
        <w:ind w:left="1120"/>
        <w:spacing w:after="0" w:line="222" w:lineRule="auto"/>
        <w:rPr>
          <w:sz w:val="20"/>
          <w:szCs w:val="20"/>
          <w:color w:val="auto"/>
        </w:rPr>
      </w:pPr>
      <w:r>
        <w:rPr>
          <w:rFonts w:ascii="Arial" w:cs="Arial" w:eastAsia="Arial" w:hAnsi="Arial"/>
          <w:sz w:val="12"/>
          <w:szCs w:val="12"/>
          <w:color w:val="FFFFFF"/>
        </w:rPr>
        <w:t>Related Party</w:t>
      </w:r>
    </w:p>
    <w:p>
      <w:pPr>
        <w:ind w:left="1120"/>
        <w:spacing w:after="0"/>
        <w:rPr>
          <w:sz w:val="20"/>
          <w:szCs w:val="20"/>
          <w:color w:val="auto"/>
        </w:rPr>
      </w:pPr>
      <w:r>
        <w:rPr>
          <w:rFonts w:ascii="Arial" w:cs="Arial" w:eastAsia="Arial" w:hAnsi="Arial"/>
          <w:sz w:val="12"/>
          <w:szCs w:val="12"/>
          <w:color w:val="FFFFFF"/>
        </w:rPr>
        <w:t>Transactions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Proposal 2</w:t>
      </w:r>
    </w:p>
    <w:p>
      <w:pPr>
        <w:spacing w:after="0" w:line="156"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Report of the</w:t>
      </w:r>
    </w:p>
    <w:p>
      <w:pPr>
        <w:ind w:left="1120"/>
        <w:spacing w:after="0" w:line="224" w:lineRule="auto"/>
        <w:rPr>
          <w:sz w:val="20"/>
          <w:szCs w:val="20"/>
          <w:color w:val="auto"/>
        </w:rPr>
      </w:pPr>
      <w:r>
        <w:rPr>
          <w:rFonts w:ascii="Arial" w:cs="Arial" w:eastAsia="Arial" w:hAnsi="Arial"/>
          <w:sz w:val="12"/>
          <w:szCs w:val="12"/>
          <w:color w:val="FFFFFF"/>
        </w:rPr>
        <w:t>Audit and Risk</w:t>
      </w:r>
    </w:p>
    <w:p>
      <w:pPr>
        <w:ind w:left="1120"/>
        <w:spacing w:after="0" w:line="222" w:lineRule="auto"/>
        <w:rPr>
          <w:sz w:val="20"/>
          <w:szCs w:val="20"/>
          <w:color w:val="auto"/>
        </w:rPr>
      </w:pPr>
      <w:r>
        <w:rPr>
          <w:rFonts w:ascii="Arial" w:cs="Arial" w:eastAsia="Arial" w:hAnsi="Arial"/>
          <w:sz w:val="12"/>
          <w:szCs w:val="12"/>
          <w:color w:val="FFFFFF"/>
        </w:rPr>
        <w:t>Committee of the</w:t>
      </w:r>
    </w:p>
    <w:p>
      <w:pPr>
        <w:ind w:left="1120"/>
        <w:spacing w:after="0"/>
        <w:rPr>
          <w:sz w:val="20"/>
          <w:szCs w:val="20"/>
          <w:color w:val="auto"/>
        </w:rPr>
      </w:pPr>
      <w:r>
        <w:rPr>
          <w:rFonts w:ascii="Arial" w:cs="Arial" w:eastAsia="Arial" w:hAnsi="Arial"/>
          <w:sz w:val="12"/>
          <w:szCs w:val="12"/>
          <w:color w:val="FFFFFF"/>
        </w:rPr>
        <w:t>Board of Directors</w:t>
      </w:r>
    </w:p>
    <w:p>
      <w:pPr>
        <w:spacing w:after="0" w:line="144" w:lineRule="exact"/>
        <w:rPr>
          <w:sz w:val="20"/>
          <w:szCs w:val="20"/>
          <w:color w:val="auto"/>
        </w:rPr>
      </w:pPr>
    </w:p>
    <w:p>
      <w:pPr>
        <w:jc w:val="center"/>
        <w:ind w:left="620"/>
        <w:spacing w:after="0"/>
        <w:rPr>
          <w:sz w:val="20"/>
          <w:szCs w:val="20"/>
          <w:color w:val="auto"/>
        </w:rPr>
      </w:pPr>
      <w:r>
        <w:rPr>
          <w:rFonts w:ascii="Arial" w:cs="Arial" w:eastAsia="Arial" w:hAnsi="Arial"/>
          <w:sz w:val="12"/>
          <w:szCs w:val="12"/>
          <w:color w:val="FFFFFF"/>
        </w:rPr>
        <w:t>Proposal 3</w:t>
      </w:r>
    </w:p>
    <w:p>
      <w:pPr>
        <w:spacing w:after="0" w:line="156" w:lineRule="exact"/>
        <w:rPr>
          <w:sz w:val="20"/>
          <w:szCs w:val="20"/>
          <w:color w:val="auto"/>
        </w:rPr>
      </w:pPr>
    </w:p>
    <w:p>
      <w:pPr>
        <w:jc w:val="center"/>
        <w:ind w:left="620"/>
        <w:spacing w:after="0"/>
        <w:rPr>
          <w:sz w:val="20"/>
          <w:szCs w:val="20"/>
          <w:color w:val="auto"/>
        </w:rPr>
      </w:pPr>
      <w:r>
        <w:rPr>
          <w:rFonts w:ascii="Arial" w:cs="Arial" w:eastAsia="Arial" w:hAnsi="Arial"/>
          <w:sz w:val="12"/>
          <w:szCs w:val="12"/>
          <w:color w:val="FFFFFF"/>
        </w:rPr>
        <w:t>Proposal 4</w:t>
      </w:r>
    </w:p>
    <w:p>
      <w:pPr>
        <w:spacing w:after="0" w:line="156" w:lineRule="exact"/>
        <w:rPr>
          <w:sz w:val="20"/>
          <w:szCs w:val="20"/>
          <w:color w:val="auto"/>
        </w:rPr>
      </w:pPr>
    </w:p>
    <w:p>
      <w:pPr>
        <w:jc w:val="center"/>
        <w:ind w:left="620"/>
        <w:spacing w:after="0"/>
        <w:rPr>
          <w:sz w:val="20"/>
          <w:szCs w:val="20"/>
          <w:color w:val="auto"/>
        </w:rPr>
      </w:pPr>
      <w:r>
        <w:rPr>
          <w:rFonts w:ascii="Arial" w:cs="Arial" w:eastAsia="Arial" w:hAnsi="Arial"/>
          <w:sz w:val="12"/>
          <w:szCs w:val="12"/>
          <w:color w:val="FFFFFF"/>
        </w:rPr>
        <w:t>Proposal 5</w:t>
      </w:r>
    </w:p>
    <w:p>
      <w:pPr>
        <w:spacing w:after="0" w:line="156"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Proposal 6</w:t>
      </w:r>
    </w:p>
    <w:p>
      <w:pPr>
        <w:spacing w:after="0" w:line="156"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Stockholder</w:t>
      </w:r>
    </w:p>
    <w:p>
      <w:pPr>
        <w:ind w:left="1120"/>
        <w:spacing w:after="0" w:line="224" w:lineRule="auto"/>
        <w:rPr>
          <w:sz w:val="20"/>
          <w:szCs w:val="20"/>
          <w:color w:val="auto"/>
        </w:rPr>
      </w:pPr>
      <w:r>
        <w:rPr>
          <w:rFonts w:ascii="Arial" w:cs="Arial" w:eastAsia="Arial" w:hAnsi="Arial"/>
          <w:sz w:val="12"/>
          <w:szCs w:val="12"/>
          <w:color w:val="FFFFFF"/>
        </w:rPr>
        <w:t>Proposals and</w:t>
      </w:r>
    </w:p>
    <w:p>
      <w:pPr>
        <w:ind w:left="1120"/>
        <w:spacing w:after="0"/>
        <w:rPr>
          <w:sz w:val="20"/>
          <w:szCs w:val="20"/>
          <w:color w:val="auto"/>
        </w:rPr>
      </w:pPr>
      <w:r>
        <w:rPr>
          <w:rFonts w:ascii="Arial" w:cs="Arial" w:eastAsia="Arial" w:hAnsi="Arial"/>
          <w:sz w:val="12"/>
          <w:szCs w:val="12"/>
          <w:color w:val="FFFFFF"/>
        </w:rPr>
        <w:t>Other Matters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Delinquent</w:t>
      </w:r>
    </w:p>
    <w:p>
      <w:pPr>
        <w:ind w:left="1120"/>
        <w:spacing w:after="0" w:line="224" w:lineRule="auto"/>
        <w:rPr>
          <w:sz w:val="20"/>
          <w:szCs w:val="20"/>
          <w:color w:val="auto"/>
        </w:rPr>
      </w:pPr>
      <w:r>
        <w:rPr>
          <w:rFonts w:ascii="Arial" w:cs="Arial" w:eastAsia="Arial" w:hAnsi="Arial"/>
          <w:sz w:val="12"/>
          <w:szCs w:val="12"/>
          <w:color w:val="FFFFFF"/>
        </w:rPr>
        <w:t>Section 16(a)</w:t>
      </w:r>
    </w:p>
    <w:p>
      <w:pPr>
        <w:ind w:left="1120"/>
        <w:spacing w:after="0"/>
        <w:rPr>
          <w:sz w:val="20"/>
          <w:szCs w:val="20"/>
          <w:color w:val="auto"/>
        </w:rPr>
      </w:pPr>
      <w:r>
        <w:rPr>
          <w:rFonts w:ascii="Arial" w:cs="Arial" w:eastAsia="Arial" w:hAnsi="Arial"/>
          <w:sz w:val="12"/>
          <w:szCs w:val="12"/>
          <w:color w:val="FFFFFF"/>
        </w:rPr>
        <w:t>Reports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Other</w:t>
      </w:r>
    </w:p>
    <w:p>
      <w:pPr>
        <w:spacing w:after="0" w:line="2"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Information</w:t>
      </w:r>
    </w:p>
    <w:p>
      <w:pPr>
        <w:spacing w:after="0" w:line="144" w:lineRule="exact"/>
        <w:rPr>
          <w:sz w:val="20"/>
          <w:szCs w:val="20"/>
          <w:color w:val="auto"/>
        </w:rPr>
      </w:pPr>
    </w:p>
    <w:p>
      <w:pPr>
        <w:jc w:val="center"/>
        <w:ind w:left="660"/>
        <w:spacing w:after="0"/>
        <w:rPr>
          <w:sz w:val="20"/>
          <w:szCs w:val="20"/>
          <w:color w:val="auto"/>
        </w:rPr>
      </w:pPr>
      <w:r>
        <w:rPr>
          <w:rFonts w:ascii="Arial" w:cs="Arial" w:eastAsia="Arial" w:hAnsi="Arial"/>
          <w:sz w:val="12"/>
          <w:szCs w:val="12"/>
          <w:color w:val="FFFFFF"/>
        </w:rPr>
        <w:t>Appendix A</w:t>
      </w:r>
    </w:p>
    <w:p>
      <w:pPr>
        <w:spacing w:after="0" w:line="156" w:lineRule="exact"/>
        <w:rPr>
          <w:sz w:val="20"/>
          <w:szCs w:val="20"/>
          <w:color w:val="auto"/>
        </w:rPr>
      </w:pPr>
    </w:p>
    <w:p>
      <w:pPr>
        <w:jc w:val="center"/>
        <w:ind w:left="660"/>
        <w:spacing w:after="0"/>
        <w:rPr>
          <w:sz w:val="20"/>
          <w:szCs w:val="20"/>
          <w:color w:val="auto"/>
        </w:rPr>
      </w:pPr>
      <w:r>
        <w:rPr>
          <w:rFonts w:ascii="Arial" w:cs="Arial" w:eastAsia="Arial" w:hAnsi="Arial"/>
          <w:sz w:val="12"/>
          <w:szCs w:val="12"/>
          <w:color w:val="FFFFFF"/>
        </w:rPr>
        <w:t>Appendix 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280" w:hanging="273"/>
        <w:spacing w:after="0" w:line="287" w:lineRule="auto"/>
        <w:tabs>
          <w:tab w:leader="none" w:pos="280" w:val="left"/>
        </w:tabs>
        <w:numPr>
          <w:ilvl w:val="0"/>
          <w:numId w:val="119"/>
        </w:numPr>
        <w:rPr>
          <w:rFonts w:ascii="Arial" w:cs="Arial" w:eastAsia="Arial" w:hAnsi="Arial"/>
          <w:sz w:val="15"/>
          <w:szCs w:val="15"/>
          <w:color w:val="auto"/>
        </w:rPr>
      </w:pPr>
      <w:r>
        <w:rPr>
          <w:rFonts w:ascii="Arial" w:cs="Arial" w:eastAsia="Arial" w:hAnsi="Arial"/>
          <w:sz w:val="15"/>
          <w:szCs w:val="15"/>
          <w:color w:val="auto"/>
        </w:rPr>
        <w:t>The annual total compensation of the CEO represents the amount reported in the “Total” column of our Summary Compensation Table included on page 60 of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-1737995</wp:posOffset>
            </wp:positionH>
            <wp:positionV relativeFrom="paragraph">
              <wp:posOffset>-893445</wp:posOffset>
            </wp:positionV>
            <wp:extent cx="7181215" cy="5334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81215" cy="53340"/>
                    </a:xfrm>
                    <a:prstGeom prst="rect">
                      <a:avLst/>
                    </a:prstGeom>
                    <a:noFill/>
                  </pic:spPr>
                </pic:pic>
              </a:graphicData>
            </a:graphic>
          </wp:anchor>
        </w:drawing>
      </w:r>
    </w:p>
    <w:p>
      <w:pPr>
        <w:spacing w:after="0" w:line="27" w:lineRule="exact"/>
        <w:rPr>
          <w:sz w:val="20"/>
          <w:szCs w:val="20"/>
          <w:color w:val="auto"/>
        </w:rPr>
      </w:pPr>
    </w:p>
    <w:p>
      <w:pPr>
        <w:ind w:right="40"/>
        <w:spacing w:after="0" w:line="257" w:lineRule="auto"/>
        <w:rPr>
          <w:sz w:val="20"/>
          <w:szCs w:val="20"/>
          <w:color w:val="auto"/>
        </w:rPr>
      </w:pPr>
      <w:r>
        <w:rPr>
          <w:rFonts w:ascii="Arial" w:cs="Arial" w:eastAsia="Arial" w:hAnsi="Arial"/>
          <w:sz w:val="15"/>
          <w:szCs w:val="15"/>
          <w:color w:val="auto"/>
        </w:rPr>
        <w:t>This pay ratio is a reasonable estimate calculated in a manner consistent with SEC rules based on our records and the methodology described above. The SEC rules for identifying the median compensated employee and calculating the pay ratio based on that employee’s annual total compensation allow companies to adopt a variety of methodologies, to apply certain exclusions, and to make reasonable estimates and assumptions that reflect their compensation practices. As such, the pay ratio reported by other companies may not be comparable to the pay ratio reported above.</w:t>
      </w:r>
    </w:p>
    <w:p>
      <w:pPr>
        <w:spacing w:after="0" w:line="9836" w:lineRule="exact"/>
        <w:rPr>
          <w:sz w:val="20"/>
          <w:szCs w:val="20"/>
          <w:color w:val="auto"/>
        </w:rPr>
      </w:pPr>
    </w:p>
    <w:p>
      <w:pPr>
        <w:sectPr>
          <w:pgSz w:w="11900" w:h="16838" w:orient="portrait"/>
          <w:cols w:equalWidth="0" w:num="2">
            <w:col w:w="2160" w:space="560"/>
            <w:col w:w="7920"/>
          </w:cols>
          <w:pgMar w:left="320" w:top="464" w:right="939" w:bottom="1440" w:gutter="0" w:footer="0" w:header="0"/>
        </w:sectPr>
      </w:pPr>
    </w:p>
    <w:p>
      <w:pPr>
        <w:spacing w:after="0" w:line="200" w:lineRule="exact"/>
        <w:rPr>
          <w:sz w:val="20"/>
          <w:szCs w:val="20"/>
          <w:color w:val="auto"/>
        </w:rPr>
      </w:pPr>
    </w:p>
    <w:p>
      <w:pPr>
        <w:spacing w:after="0" w:line="385" w:lineRule="exact"/>
        <w:rPr>
          <w:sz w:val="20"/>
          <w:szCs w:val="20"/>
          <w:color w:val="auto"/>
        </w:rPr>
      </w:pPr>
    </w:p>
    <w:p>
      <w:pPr>
        <w:ind w:left="420"/>
        <w:spacing w:after="0"/>
        <w:tabs>
          <w:tab w:leader="none" w:pos="2380" w:val="left"/>
          <w:tab w:leader="none" w:pos="2800" w:val="left"/>
        </w:tabs>
        <w:rPr>
          <w:sz w:val="20"/>
          <w:szCs w:val="20"/>
          <w:color w:val="auto"/>
        </w:rPr>
      </w:pPr>
      <w:r>
        <w:rPr>
          <w:rFonts w:ascii="Arial" w:cs="Arial" w:eastAsia="Arial" w:hAnsi="Arial"/>
          <w:sz w:val="30"/>
          <w:szCs w:val="30"/>
          <w:color w:val="000000"/>
          <w:vertAlign w:val="superscript"/>
        </w:rPr>
        <w:t xml:space="preserve">             </w:t>
      </w:r>
      <w:r>
        <w:rPr>
          <w:sz w:val="20"/>
          <w:szCs w:val="20"/>
          <w:color w:val="auto"/>
        </w:rPr>
        <w:tab/>
      </w:r>
      <w:r>
        <w:rPr>
          <w:rFonts w:ascii="Arial" w:cs="Arial" w:eastAsia="Arial" w:hAnsi="Arial"/>
          <w:sz w:val="31"/>
          <w:szCs w:val="31"/>
          <w:color w:val="auto"/>
          <w:vertAlign w:val="superscript"/>
        </w:rPr>
        <w:t xml:space="preserve">    </w:t>
      </w:r>
      <w:r>
        <w:rPr>
          <w:sz w:val="20"/>
          <w:szCs w:val="20"/>
          <w:color w:val="auto"/>
        </w:rPr>
        <w:tab/>
      </w:r>
      <w:r>
        <w:rPr>
          <w:rFonts w:ascii="Arial" w:cs="Arial" w:eastAsia="Arial" w:hAnsi="Arial"/>
          <w:sz w:val="15"/>
          <w:szCs w:val="15"/>
          <w:b w:val="1"/>
          <w:bCs w:val="1"/>
          <w:color w:val="002B5F"/>
        </w:rPr>
        <w:t xml:space="preserve">74  </w:t>
      </w:r>
      <w:r>
        <w:rPr>
          <w:rFonts w:ascii="Arial" w:cs="Arial" w:eastAsia="Arial" w:hAnsi="Arial"/>
          <w:sz w:val="20"/>
          <w:szCs w:val="20"/>
          <w:color w:val="002B5F"/>
        </w:rPr>
        <w:t>|</w:t>
      </w:r>
      <w:r>
        <w:rPr>
          <w:rFonts w:ascii="Arial" w:cs="Arial" w:eastAsia="Arial" w:hAnsi="Arial"/>
          <w:sz w:val="15"/>
          <w:szCs w:val="15"/>
          <w:b w:val="1"/>
          <w:bCs w:val="1"/>
          <w:color w:val="002B5F"/>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6111875</wp:posOffset>
            </wp:positionH>
            <wp:positionV relativeFrom="paragraph">
              <wp:posOffset>-208915</wp:posOffset>
            </wp:positionV>
            <wp:extent cx="769620" cy="971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69620" cy="97155"/>
                    </a:xfrm>
                    <a:prstGeom prst="rect">
                      <a:avLst/>
                    </a:prstGeom>
                    <a:noFill/>
                  </pic:spPr>
                </pic:pic>
              </a:graphicData>
            </a:graphic>
          </wp:anchor>
        </w:drawing>
      </w:r>
    </w:p>
    <w:p>
      <w:pPr>
        <w:sectPr>
          <w:pgSz w:w="11900" w:h="16838" w:orient="portrait"/>
          <w:cols w:equalWidth="0" w:num="1">
            <w:col w:w="10640"/>
          </w:cols>
          <w:pgMar w:left="320" w:top="464" w:right="939" w:bottom="1440" w:gutter="0" w:footer="0" w:header="0"/>
          <w:type w:val="continuous"/>
        </w:sectPr>
      </w:pPr>
    </w:p>
    <w:bookmarkStart w:id="86" w:name="page87"/>
    <w:bookmarkEnd w:id="8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5334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81215" cy="5334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5617845</wp:posOffset>
            </wp:positionH>
            <wp:positionV relativeFrom="paragraph">
              <wp:posOffset>253365</wp:posOffset>
            </wp:positionV>
            <wp:extent cx="1256030" cy="74720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1256030" cy="7472045"/>
                    </a:xfrm>
                    <a:prstGeom prst="rect">
                      <a:avLst/>
                    </a:prstGeom>
                    <a:noFill/>
                  </pic:spPr>
                </pic:pic>
              </a:graphicData>
            </a:graphic>
          </wp:anchor>
        </w:drawing>
      </w:r>
    </w:p>
    <w:p>
      <w:pPr>
        <w:spacing w:after="0" w:line="166" w:lineRule="exact"/>
        <w:rPr>
          <w:sz w:val="20"/>
          <w:szCs w:val="20"/>
          <w:color w:val="auto"/>
        </w:rPr>
      </w:pPr>
    </w:p>
    <w:tbl>
      <w:tblPr>
        <w:tblLayout w:type="fixed"/>
        <w:tblInd w:w="540" w:type="dxa"/>
        <w:tblCellMar>
          <w:top w:w="0" w:type="dxa"/>
          <w:left w:w="0" w:type="dxa"/>
          <w:bottom w:w="0" w:type="dxa"/>
          <w:right w:w="0" w:type="dxa"/>
        </w:tblCellMar>
      </w:tblPr>
      <w:tr>
        <w:trPr>
          <w:trHeight w:val="552"/>
        </w:trPr>
        <w:tc>
          <w:tcPr>
            <w:tcW w:w="7860" w:type="dxa"/>
            <w:vAlign w:val="bottom"/>
          </w:tcPr>
          <w:p>
            <w:pPr>
              <w:spacing w:after="0"/>
              <w:rPr>
                <w:sz w:val="20"/>
                <w:szCs w:val="20"/>
                <w:color w:val="auto"/>
              </w:rPr>
            </w:pPr>
            <w:r>
              <w:rPr>
                <w:rFonts w:ascii="Times New Roman" w:cs="Times New Roman" w:eastAsia="Times New Roman" w:hAnsi="Times New Roman"/>
                <w:sz w:val="48"/>
                <w:szCs w:val="48"/>
                <w:b w:val="1"/>
                <w:bCs w:val="1"/>
                <w:color w:val="002B5F"/>
              </w:rPr>
              <w:t>Security Ownership of Certain</w:t>
            </w:r>
          </w:p>
        </w:tc>
        <w:tc>
          <w:tcPr>
            <w:tcW w:w="680" w:type="dxa"/>
            <w:vAlign w:val="bottom"/>
            <w:vMerge w:val="restart"/>
          </w:tcPr>
          <w:p>
            <w:pPr>
              <w:ind w:left="480"/>
              <w:spacing w:after="0"/>
              <w:rPr>
                <w:sz w:val="20"/>
                <w:szCs w:val="20"/>
                <w:color w:val="auto"/>
              </w:rPr>
            </w:pPr>
            <w:r>
              <w:rPr>
                <w:rFonts w:ascii="Arial" w:cs="Arial" w:eastAsia="Arial" w:hAnsi="Arial"/>
                <w:sz w:val="15"/>
                <w:szCs w:val="15"/>
                <w:color w:val="auto"/>
              </w:rPr>
              <w:t> </w:t>
            </w:r>
          </w:p>
        </w:tc>
        <w:tc>
          <w:tcPr>
            <w:tcW w:w="1720" w:type="dxa"/>
            <w:vAlign w:val="bottom"/>
            <w:gridSpan w:val="2"/>
          </w:tcPr>
          <w:p>
            <w:pPr>
              <w:ind w:left="140"/>
              <w:spacing w:after="0"/>
              <w:rPr>
                <w:sz w:val="20"/>
                <w:szCs w:val="20"/>
                <w:color w:val="auto"/>
              </w:rPr>
            </w:pPr>
            <w:r>
              <w:rPr>
                <w:rFonts w:ascii="Arial" w:cs="Arial" w:eastAsia="Arial" w:hAnsi="Arial"/>
                <w:sz w:val="12"/>
                <w:szCs w:val="12"/>
                <w:color w:val="FFFFFF"/>
              </w:rPr>
              <w:t>Information</w:t>
            </w:r>
          </w:p>
        </w:tc>
        <w:tc>
          <w:tcPr>
            <w:tcW w:w="0" w:type="dxa"/>
            <w:vAlign w:val="bottom"/>
          </w:tcPr>
          <w:p>
            <w:pPr>
              <w:spacing w:after="0"/>
              <w:rPr>
                <w:sz w:val="1"/>
                <w:szCs w:val="1"/>
                <w:color w:val="auto"/>
              </w:rPr>
            </w:pPr>
          </w:p>
        </w:tc>
      </w:tr>
      <w:tr>
        <w:trPr>
          <w:trHeight w:val="201"/>
        </w:trPr>
        <w:tc>
          <w:tcPr>
            <w:tcW w:w="7860" w:type="dxa"/>
            <w:vAlign w:val="bottom"/>
            <w:vMerge w:val="restart"/>
          </w:tcPr>
          <w:p>
            <w:pPr>
              <w:spacing w:after="0" w:line="421" w:lineRule="exact"/>
              <w:rPr>
                <w:sz w:val="20"/>
                <w:szCs w:val="20"/>
                <w:color w:val="auto"/>
              </w:rPr>
            </w:pPr>
            <w:r>
              <w:rPr>
                <w:rFonts w:ascii="Times New Roman" w:cs="Times New Roman" w:eastAsia="Times New Roman" w:hAnsi="Times New Roman"/>
                <w:sz w:val="48"/>
                <w:szCs w:val="48"/>
                <w:b w:val="1"/>
                <w:bCs w:val="1"/>
                <w:color w:val="002B5F"/>
              </w:rPr>
              <w:t>Beneficial Owners and Management</w:t>
            </w:r>
          </w:p>
        </w:tc>
        <w:tc>
          <w:tcPr>
            <w:tcW w:w="680" w:type="dxa"/>
            <w:vAlign w:val="bottom"/>
            <w:vMerge w:val="continue"/>
          </w:tcPr>
          <w:p>
            <w:pPr>
              <w:spacing w:after="0"/>
              <w:rPr>
                <w:sz w:val="17"/>
                <w:szCs w:val="17"/>
                <w:color w:val="auto"/>
              </w:rPr>
            </w:pPr>
          </w:p>
        </w:tc>
        <w:tc>
          <w:tcPr>
            <w:tcW w:w="960" w:type="dxa"/>
            <w:vAlign w:val="bottom"/>
          </w:tcPr>
          <w:p>
            <w:pPr>
              <w:ind w:left="140"/>
              <w:spacing w:after="0"/>
              <w:rPr>
                <w:sz w:val="20"/>
                <w:szCs w:val="20"/>
                <w:color w:val="auto"/>
              </w:rPr>
            </w:pPr>
            <w:r>
              <w:rPr>
                <w:rFonts w:ascii="Arial" w:cs="Arial" w:eastAsia="Arial" w:hAnsi="Arial"/>
                <w:sz w:val="12"/>
                <w:szCs w:val="12"/>
                <w:color w:val="FFFFFF"/>
              </w:rPr>
              <w:t>General</w:t>
            </w:r>
          </w:p>
        </w:tc>
        <w:tc>
          <w:tcPr>
            <w:tcW w:w="760" w:type="dxa"/>
            <w:vAlign w:val="bottom"/>
          </w:tcPr>
          <w:p>
            <w:pPr>
              <w:ind w:left="400"/>
              <w:spacing w:after="0"/>
              <w:rPr>
                <w:sz w:val="20"/>
                <w:szCs w:val="20"/>
                <w:color w:val="auto"/>
              </w:rPr>
            </w:pPr>
            <w:r>
              <w:rPr>
                <w:rFonts w:ascii="Arial" w:cs="Arial" w:eastAsia="Arial" w:hAnsi="Arial"/>
                <w:sz w:val="15"/>
                <w:szCs w:val="15"/>
                <w:color w:val="auto"/>
              </w:rPr>
              <w:t xml:space="preserve">       </w:t>
            </w:r>
          </w:p>
        </w:tc>
        <w:tc>
          <w:tcPr>
            <w:tcW w:w="0" w:type="dxa"/>
            <w:vAlign w:val="bottom"/>
          </w:tcPr>
          <w:p>
            <w:pPr>
              <w:spacing w:after="0"/>
              <w:rPr>
                <w:sz w:val="1"/>
                <w:szCs w:val="1"/>
                <w:color w:val="auto"/>
              </w:rPr>
            </w:pPr>
          </w:p>
        </w:tc>
      </w:tr>
      <w:tr>
        <w:trPr>
          <w:trHeight w:val="221"/>
        </w:trPr>
        <w:tc>
          <w:tcPr>
            <w:tcW w:w="7860" w:type="dxa"/>
            <w:vAlign w:val="bottom"/>
            <w:vMerge w:val="continue"/>
          </w:tcPr>
          <w:p>
            <w:pPr>
              <w:spacing w:after="0"/>
              <w:rPr>
                <w:sz w:val="19"/>
                <w:szCs w:val="19"/>
                <w:color w:val="auto"/>
              </w:rPr>
            </w:pPr>
          </w:p>
        </w:tc>
        <w:tc>
          <w:tcPr>
            <w:tcW w:w="680" w:type="dxa"/>
            <w:vAlign w:val="bottom"/>
          </w:tcPr>
          <w:p>
            <w:pPr>
              <w:spacing w:after="0"/>
              <w:rPr>
                <w:sz w:val="19"/>
                <w:szCs w:val="19"/>
                <w:color w:val="auto"/>
              </w:rPr>
            </w:pPr>
          </w:p>
        </w:tc>
        <w:tc>
          <w:tcPr>
            <w:tcW w:w="1720" w:type="dxa"/>
            <w:vAlign w:val="bottom"/>
            <w:gridSpan w:val="2"/>
          </w:tcPr>
          <w:p>
            <w:pPr>
              <w:ind w:left="140"/>
              <w:spacing w:after="0"/>
              <w:rPr>
                <w:sz w:val="20"/>
                <w:szCs w:val="20"/>
                <w:color w:val="auto"/>
              </w:rPr>
            </w:pPr>
            <w:r>
              <w:rPr>
                <w:rFonts w:ascii="Arial" w:cs="Arial" w:eastAsia="Arial" w:hAnsi="Arial"/>
                <w:sz w:val="12"/>
                <w:szCs w:val="12"/>
                <w:color w:val="FFFFFF"/>
              </w:rPr>
              <w:t>Governance</w:t>
            </w:r>
          </w:p>
        </w:tc>
        <w:tc>
          <w:tcPr>
            <w:tcW w:w="0" w:type="dxa"/>
            <w:vAlign w:val="bottom"/>
          </w:tcPr>
          <w:p>
            <w:pPr>
              <w:spacing w:after="0"/>
              <w:rPr>
                <w:sz w:val="1"/>
                <w:szCs w:val="1"/>
                <w:color w:val="auto"/>
              </w:rPr>
            </w:pPr>
          </w:p>
        </w:tc>
      </w:tr>
    </w:tbl>
    <w:p>
      <w:pPr>
        <w:ind w:left="9220"/>
        <w:spacing w:after="0" w:line="221" w:lineRule="auto"/>
        <w:rPr>
          <w:sz w:val="20"/>
          <w:szCs w:val="20"/>
          <w:color w:val="auto"/>
        </w:rPr>
      </w:pPr>
      <w:r>
        <w:rPr>
          <w:rFonts w:ascii="Arial" w:cs="Arial" w:eastAsia="Arial" w:hAnsi="Arial"/>
          <w:sz w:val="12"/>
          <w:szCs w:val="12"/>
          <w:color w:val="FFFFFF"/>
        </w:rPr>
        <w:t>General Information</w:t>
      </w:r>
    </w:p>
    <w:p>
      <w:pPr>
        <w:spacing w:after="0" w:line="1" w:lineRule="exact"/>
        <w:rPr>
          <w:sz w:val="20"/>
          <w:szCs w:val="20"/>
          <w:color w:val="auto"/>
        </w:rPr>
      </w:pPr>
    </w:p>
    <w:p>
      <w:pPr>
        <w:ind w:left="9220"/>
        <w:spacing w:after="0"/>
        <w:rPr>
          <w:sz w:val="20"/>
          <w:szCs w:val="20"/>
          <w:color w:val="auto"/>
        </w:rPr>
      </w:pPr>
      <w:r>
        <w:rPr>
          <w:rFonts w:ascii="Arial" w:cs="Arial" w:eastAsia="Arial" w:hAnsi="Arial"/>
          <w:sz w:val="12"/>
          <w:szCs w:val="12"/>
          <w:color w:val="FFFFFF"/>
        </w:rPr>
        <w:t>About Corporate</w:t>
      </w:r>
    </w:p>
    <w:p>
      <w:pPr>
        <w:spacing w:after="0" w:line="105" w:lineRule="exact"/>
        <w:rPr>
          <w:sz w:val="20"/>
          <w:szCs w:val="20"/>
          <w:color w:val="auto"/>
        </w:rPr>
      </w:pPr>
    </w:p>
    <w:p>
      <w:pPr>
        <w:ind w:left="9220"/>
        <w:spacing w:after="0"/>
        <w:rPr>
          <w:sz w:val="20"/>
          <w:szCs w:val="20"/>
          <w:color w:val="auto"/>
        </w:rPr>
      </w:pPr>
      <w:r>
        <w:rPr>
          <w:rFonts w:ascii="Arial" w:cs="Arial" w:eastAsia="Arial" w:hAnsi="Arial"/>
          <w:sz w:val="12"/>
          <w:szCs w:val="12"/>
          <w:color w:val="FFFFFF"/>
        </w:rPr>
        <w:t>and the Board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341630</wp:posOffset>
            </wp:positionH>
            <wp:positionV relativeFrom="paragraph">
              <wp:posOffset>-19050</wp:posOffset>
            </wp:positionV>
            <wp:extent cx="4999990"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4999990" cy="8255"/>
                    </a:xfrm>
                    <a:prstGeom prst="rect">
                      <a:avLst/>
                    </a:prstGeom>
                    <a:noFill/>
                  </pic:spPr>
                </pic:pic>
              </a:graphicData>
            </a:graphic>
          </wp:anchor>
        </w:drawing>
      </w:r>
    </w:p>
    <w:p>
      <w:pPr>
        <w:ind w:left="9220"/>
        <w:spacing w:after="0"/>
        <w:rPr>
          <w:sz w:val="20"/>
          <w:szCs w:val="20"/>
          <w:color w:val="auto"/>
        </w:rPr>
      </w:pPr>
      <w:r>
        <w:rPr>
          <w:rFonts w:ascii="Arial" w:cs="Arial" w:eastAsia="Arial" w:hAnsi="Arial"/>
          <w:sz w:val="12"/>
          <w:szCs w:val="12"/>
          <w:color w:val="FFFFFF"/>
        </w:rPr>
        <w:t>Directors</w:t>
      </w:r>
    </w:p>
    <w:p>
      <w:pPr>
        <w:sectPr>
          <w:pgSz w:w="11900" w:h="16838" w:orient="portrait"/>
          <w:cols w:equalWidth="0" w:num="1">
            <w:col w:w="10800"/>
          </w:cols>
          <w:pgMar w:left="320" w:top="464" w:right="779" w:bottom="1440" w:gutter="0" w:footer="0" w:header="0"/>
        </w:sectPr>
      </w:pPr>
    </w:p>
    <w:p>
      <w:pPr>
        <w:spacing w:after="0" w:line="34" w:lineRule="exact"/>
        <w:rPr>
          <w:sz w:val="20"/>
          <w:szCs w:val="20"/>
          <w:color w:val="auto"/>
        </w:rPr>
      </w:pPr>
    </w:p>
    <w:p>
      <w:pPr>
        <w:ind w:left="540"/>
        <w:spacing w:after="0"/>
        <w:rPr>
          <w:sz w:val="20"/>
          <w:szCs w:val="20"/>
          <w:color w:val="auto"/>
        </w:rPr>
      </w:pPr>
      <w:r>
        <w:rPr>
          <w:rFonts w:ascii="Arial" w:cs="Arial" w:eastAsia="Arial" w:hAnsi="Arial"/>
          <w:sz w:val="15"/>
          <w:szCs w:val="15"/>
          <w:color w:val="auto"/>
        </w:rPr>
        <w:t>The table below describes the beneficial ownership of our Common Stock as of March 16, 2026, by:</w:t>
      </w:r>
    </w:p>
    <w:p>
      <w:pPr>
        <w:spacing w:after="0" w:line="121" w:lineRule="exact"/>
        <w:rPr>
          <w:sz w:val="20"/>
          <w:szCs w:val="20"/>
          <w:color w:val="auto"/>
        </w:rPr>
      </w:pPr>
    </w:p>
    <w:p>
      <w:pPr>
        <w:ind w:left="800" w:right="620" w:hanging="261"/>
        <w:spacing w:after="0" w:line="287" w:lineRule="auto"/>
        <w:tabs>
          <w:tab w:leader="none" w:pos="800" w:val="left"/>
        </w:tabs>
        <w:numPr>
          <w:ilvl w:val="0"/>
          <w:numId w:val="120"/>
        </w:numPr>
        <w:rPr>
          <w:rFonts w:ascii="Arial" w:cs="Arial" w:eastAsia="Arial" w:hAnsi="Arial"/>
          <w:sz w:val="15"/>
          <w:szCs w:val="15"/>
          <w:color w:val="auto"/>
        </w:rPr>
      </w:pPr>
      <w:r>
        <w:rPr>
          <w:rFonts w:ascii="Arial" w:cs="Arial" w:eastAsia="Arial" w:hAnsi="Arial"/>
          <w:sz w:val="15"/>
          <w:szCs w:val="15"/>
          <w:color w:val="auto"/>
        </w:rPr>
        <w:t>persons or “groups” (as that term is used in Section 13(d)(3) of the Exchange Act) known by us to be the beneficial owner of 5% or more of our Common Stock;</w:t>
      </w:r>
    </w:p>
    <w:p>
      <w:pPr>
        <w:spacing w:after="0" w:line="59" w:lineRule="exact"/>
        <w:rPr>
          <w:rFonts w:ascii="Arial" w:cs="Arial" w:eastAsia="Arial" w:hAnsi="Arial"/>
          <w:sz w:val="15"/>
          <w:szCs w:val="15"/>
          <w:color w:val="auto"/>
        </w:rPr>
      </w:pPr>
    </w:p>
    <w:p>
      <w:pPr>
        <w:ind w:left="800" w:hanging="261"/>
        <w:spacing w:after="0"/>
        <w:tabs>
          <w:tab w:leader="none" w:pos="800" w:val="left"/>
        </w:tabs>
        <w:numPr>
          <w:ilvl w:val="0"/>
          <w:numId w:val="120"/>
        </w:numPr>
        <w:rPr>
          <w:rFonts w:ascii="Arial" w:cs="Arial" w:eastAsia="Arial" w:hAnsi="Arial"/>
          <w:sz w:val="15"/>
          <w:szCs w:val="15"/>
          <w:color w:val="auto"/>
        </w:rPr>
      </w:pPr>
      <w:r>
        <w:rPr>
          <w:rFonts w:ascii="Arial" w:cs="Arial" w:eastAsia="Arial" w:hAnsi="Arial"/>
          <w:sz w:val="15"/>
          <w:szCs w:val="15"/>
          <w:color w:val="auto"/>
        </w:rPr>
        <w:t>each of our NEOs, directors and director nominees; and</w:t>
      </w:r>
    </w:p>
    <w:p>
      <w:pPr>
        <w:spacing w:after="0" w:line="121" w:lineRule="exact"/>
        <w:rPr>
          <w:rFonts w:ascii="Arial" w:cs="Arial" w:eastAsia="Arial" w:hAnsi="Arial"/>
          <w:sz w:val="15"/>
          <w:szCs w:val="15"/>
          <w:color w:val="auto"/>
        </w:rPr>
      </w:pPr>
    </w:p>
    <w:p>
      <w:pPr>
        <w:ind w:left="800" w:hanging="261"/>
        <w:spacing w:after="0"/>
        <w:tabs>
          <w:tab w:leader="none" w:pos="800" w:val="left"/>
        </w:tabs>
        <w:numPr>
          <w:ilvl w:val="0"/>
          <w:numId w:val="120"/>
        </w:numPr>
        <w:rPr>
          <w:rFonts w:ascii="Arial" w:cs="Arial" w:eastAsia="Arial" w:hAnsi="Arial"/>
          <w:sz w:val="15"/>
          <w:szCs w:val="15"/>
          <w:color w:val="auto"/>
        </w:rPr>
      </w:pPr>
      <w:r>
        <w:rPr>
          <w:rFonts w:ascii="Arial" w:cs="Arial" w:eastAsia="Arial" w:hAnsi="Arial"/>
          <w:sz w:val="15"/>
          <w:szCs w:val="15"/>
          <w:color w:val="auto"/>
        </w:rPr>
        <w:t>all of our current directors and executive officers as a group.</w:t>
      </w:r>
    </w:p>
    <w:p>
      <w:pPr>
        <w:spacing w:after="0" w:line="108" w:lineRule="exact"/>
        <w:rPr>
          <w:sz w:val="20"/>
          <w:szCs w:val="20"/>
          <w:color w:val="auto"/>
        </w:rPr>
      </w:pPr>
    </w:p>
    <w:p>
      <w:pPr>
        <w:ind w:left="540" w:right="80"/>
        <w:spacing w:after="0" w:line="255" w:lineRule="auto"/>
        <w:rPr>
          <w:sz w:val="20"/>
          <w:szCs w:val="20"/>
          <w:color w:val="auto"/>
        </w:rPr>
      </w:pPr>
      <w:r>
        <w:rPr>
          <w:rFonts w:ascii="Arial" w:cs="Arial" w:eastAsia="Arial" w:hAnsi="Arial"/>
          <w:sz w:val="15"/>
          <w:szCs w:val="15"/>
          <w:color w:val="auto"/>
        </w:rPr>
        <w:t>Beneficial ownership is determined in accordance with the rules of the SEC. Unless otherwise indicated, we believe, based on information furnished by such persons, that each person listed below has sole voting and investment power with respect to the shares of Common Stock shown as beneficially owned. Securities that may be beneficially acquired within 60 days of March 16, 2026 are deemed to be beneficially owned by the person holding such securities for the purpose of computing ownership of such person, but are not treated as outstanding for the purpose of computing the ownership of any other person. The applicable percentage of beneficial ownership is based on 80,188,080 shares of Common Stock outstanding as of March 16, 2026.</w:t>
      </w:r>
    </w:p>
    <w:p>
      <w:pPr>
        <w:spacing w:after="0" w:line="70" w:lineRule="exact"/>
        <w:rPr>
          <w:sz w:val="20"/>
          <w:szCs w:val="20"/>
          <w:color w:val="auto"/>
        </w:rPr>
      </w:pPr>
    </w:p>
    <w:p>
      <w:pPr>
        <w:ind w:left="540" w:right="480"/>
        <w:spacing w:after="0" w:line="287" w:lineRule="auto"/>
        <w:rPr>
          <w:sz w:val="20"/>
          <w:szCs w:val="20"/>
          <w:color w:val="auto"/>
        </w:rPr>
      </w:pPr>
      <w:r>
        <w:rPr>
          <w:rFonts w:ascii="Arial" w:cs="Arial" w:eastAsia="Arial" w:hAnsi="Arial"/>
          <w:sz w:val="15"/>
          <w:szCs w:val="15"/>
          <w:color w:val="auto"/>
        </w:rPr>
        <w:t>Unless otherwise indicated in the footnotes to the following table, the address of each of the individuals named below is: c/o LPL Financial Holdings Inc., 4707 Executive Drive, San Diego, CA 92121.</w:t>
      </w:r>
    </w:p>
    <w:p>
      <w:pPr>
        <w:spacing w:after="0" w:line="169" w:lineRule="exact"/>
        <w:rPr>
          <w:sz w:val="20"/>
          <w:szCs w:val="20"/>
          <w:color w:val="auto"/>
        </w:rPr>
      </w:pPr>
    </w:p>
    <w:tbl>
      <w:tblPr>
        <w:tblLayout w:type="fixed"/>
        <w:tblInd w:w="540" w:type="dxa"/>
        <w:tblCellMar>
          <w:top w:w="0" w:type="dxa"/>
          <w:left w:w="0" w:type="dxa"/>
          <w:bottom w:w="0" w:type="dxa"/>
          <w:right w:w="0" w:type="dxa"/>
        </w:tblCellMar>
      </w:tblPr>
      <w:tr>
        <w:trPr>
          <w:trHeight w:val="161"/>
        </w:trPr>
        <w:tc>
          <w:tcPr>
            <w:tcW w:w="23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Arial" w:cs="Arial" w:eastAsia="Arial" w:hAnsi="Arial"/>
                <w:sz w:val="14"/>
                <w:szCs w:val="14"/>
                <w:b w:val="1"/>
                <w:bCs w:val="1"/>
                <w:color w:val="002B5F"/>
                <w:w w:val="95"/>
              </w:rPr>
              <w:t>Total Amount</w:t>
            </w:r>
          </w:p>
        </w:tc>
        <w:tc>
          <w:tcPr>
            <w:tcW w:w="1140" w:type="dxa"/>
            <w:vAlign w:val="bottom"/>
          </w:tcPr>
          <w:p>
            <w:pPr>
              <w:spacing w:after="0"/>
              <w:rPr>
                <w:sz w:val="14"/>
                <w:szCs w:val="14"/>
                <w:color w:val="auto"/>
              </w:rPr>
            </w:pPr>
          </w:p>
        </w:tc>
      </w:tr>
      <w:tr>
        <w:trPr>
          <w:trHeight w:val="153"/>
        </w:trPr>
        <w:tc>
          <w:tcPr>
            <w:tcW w:w="23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340" w:type="dxa"/>
            <w:vAlign w:val="bottom"/>
          </w:tcPr>
          <w:p>
            <w:pPr>
              <w:jc w:val="center"/>
              <w:spacing w:after="0" w:line="153" w:lineRule="exact"/>
              <w:rPr>
                <w:sz w:val="20"/>
                <w:szCs w:val="20"/>
                <w:color w:val="auto"/>
              </w:rPr>
            </w:pPr>
            <w:r>
              <w:rPr>
                <w:rFonts w:ascii="Arial" w:cs="Arial" w:eastAsia="Arial" w:hAnsi="Arial"/>
                <w:sz w:val="14"/>
                <w:szCs w:val="14"/>
                <w:b w:val="1"/>
                <w:bCs w:val="1"/>
                <w:color w:val="002B5F"/>
                <w:w w:val="97"/>
              </w:rPr>
              <w:t>and Nature of</w:t>
            </w:r>
          </w:p>
        </w:tc>
        <w:tc>
          <w:tcPr>
            <w:tcW w:w="1140" w:type="dxa"/>
            <w:vAlign w:val="bottom"/>
          </w:tcPr>
          <w:p>
            <w:pPr>
              <w:spacing w:after="0"/>
              <w:rPr>
                <w:sz w:val="13"/>
                <w:szCs w:val="13"/>
                <w:color w:val="auto"/>
              </w:rPr>
            </w:pPr>
          </w:p>
        </w:tc>
      </w:tr>
      <w:tr>
        <w:trPr>
          <w:trHeight w:val="153"/>
        </w:trPr>
        <w:tc>
          <w:tcPr>
            <w:tcW w:w="23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340" w:type="dxa"/>
            <w:vAlign w:val="bottom"/>
          </w:tcPr>
          <w:p>
            <w:pPr>
              <w:jc w:val="center"/>
              <w:spacing w:after="0" w:line="153" w:lineRule="exact"/>
              <w:rPr>
                <w:sz w:val="20"/>
                <w:szCs w:val="20"/>
                <w:color w:val="auto"/>
              </w:rPr>
            </w:pPr>
            <w:r>
              <w:rPr>
                <w:rFonts w:ascii="Arial" w:cs="Arial" w:eastAsia="Arial" w:hAnsi="Arial"/>
                <w:sz w:val="14"/>
                <w:szCs w:val="14"/>
                <w:b w:val="1"/>
                <w:bCs w:val="1"/>
                <w:color w:val="002B5F"/>
                <w:w w:val="96"/>
              </w:rPr>
              <w:t>Beneficial</w:t>
            </w:r>
          </w:p>
        </w:tc>
        <w:tc>
          <w:tcPr>
            <w:tcW w:w="1140" w:type="dxa"/>
            <w:vAlign w:val="bottom"/>
          </w:tcPr>
          <w:p>
            <w:pPr>
              <w:spacing w:after="0"/>
              <w:rPr>
                <w:sz w:val="13"/>
                <w:szCs w:val="13"/>
                <w:color w:val="auto"/>
              </w:rPr>
            </w:pPr>
          </w:p>
        </w:tc>
      </w:tr>
      <w:tr>
        <w:trPr>
          <w:trHeight w:val="153"/>
        </w:trPr>
        <w:tc>
          <w:tcPr>
            <w:tcW w:w="2340" w:type="dxa"/>
            <w:vAlign w:val="bottom"/>
          </w:tcPr>
          <w:p>
            <w:pPr>
              <w:spacing w:after="0"/>
              <w:rPr>
                <w:sz w:val="13"/>
                <w:szCs w:val="13"/>
                <w:color w:val="auto"/>
              </w:rPr>
            </w:pPr>
          </w:p>
        </w:tc>
        <w:tc>
          <w:tcPr>
            <w:tcW w:w="1400" w:type="dxa"/>
            <w:vAlign w:val="bottom"/>
          </w:tcPr>
          <w:p>
            <w:pPr>
              <w:jc w:val="center"/>
              <w:ind w:left="89"/>
              <w:spacing w:after="0" w:line="153" w:lineRule="exact"/>
              <w:rPr>
                <w:sz w:val="20"/>
                <w:szCs w:val="20"/>
                <w:color w:val="auto"/>
              </w:rPr>
            </w:pPr>
            <w:r>
              <w:rPr>
                <w:rFonts w:ascii="Arial" w:cs="Arial" w:eastAsia="Arial" w:hAnsi="Arial"/>
                <w:sz w:val="14"/>
                <w:szCs w:val="14"/>
                <w:b w:val="1"/>
                <w:bCs w:val="1"/>
                <w:color w:val="002B5F"/>
                <w:w w:val="98"/>
              </w:rPr>
              <w:t>Directly or</w:t>
            </w:r>
          </w:p>
        </w:tc>
        <w:tc>
          <w:tcPr>
            <w:tcW w:w="900" w:type="dxa"/>
            <w:vAlign w:val="bottom"/>
          </w:tcPr>
          <w:p>
            <w:pPr>
              <w:jc w:val="center"/>
              <w:ind w:right="9"/>
              <w:spacing w:after="0" w:line="153" w:lineRule="exact"/>
              <w:rPr>
                <w:sz w:val="20"/>
                <w:szCs w:val="20"/>
                <w:color w:val="auto"/>
              </w:rPr>
            </w:pPr>
            <w:r>
              <w:rPr>
                <w:rFonts w:ascii="Arial" w:cs="Arial" w:eastAsia="Arial" w:hAnsi="Arial"/>
                <w:sz w:val="14"/>
                <w:szCs w:val="14"/>
                <w:b w:val="1"/>
                <w:bCs w:val="1"/>
                <w:color w:val="002B5F"/>
                <w:w w:val="94"/>
              </w:rPr>
              <w:t>Right to</w:t>
            </w:r>
          </w:p>
        </w:tc>
        <w:tc>
          <w:tcPr>
            <w:tcW w:w="760" w:type="dxa"/>
            <w:vAlign w:val="bottom"/>
          </w:tcPr>
          <w:p>
            <w:pPr>
              <w:spacing w:after="0"/>
              <w:rPr>
                <w:sz w:val="13"/>
                <w:szCs w:val="13"/>
                <w:color w:val="auto"/>
              </w:rPr>
            </w:pPr>
          </w:p>
        </w:tc>
        <w:tc>
          <w:tcPr>
            <w:tcW w:w="1340" w:type="dxa"/>
            <w:vAlign w:val="bottom"/>
          </w:tcPr>
          <w:p>
            <w:pPr>
              <w:jc w:val="center"/>
              <w:spacing w:after="0" w:line="153" w:lineRule="exact"/>
              <w:rPr>
                <w:sz w:val="20"/>
                <w:szCs w:val="20"/>
                <w:color w:val="auto"/>
              </w:rPr>
            </w:pPr>
            <w:r>
              <w:rPr>
                <w:rFonts w:ascii="Arial" w:cs="Arial" w:eastAsia="Arial" w:hAnsi="Arial"/>
                <w:sz w:val="14"/>
                <w:szCs w:val="14"/>
                <w:b w:val="1"/>
                <w:bCs w:val="1"/>
                <w:color w:val="002B5F"/>
                <w:w w:val="96"/>
              </w:rPr>
              <w:t>Ownership of</w:t>
            </w:r>
          </w:p>
        </w:tc>
        <w:tc>
          <w:tcPr>
            <w:tcW w:w="1140" w:type="dxa"/>
            <w:vAlign w:val="bottom"/>
          </w:tcPr>
          <w:p>
            <w:pPr>
              <w:jc w:val="center"/>
              <w:ind w:left="49"/>
              <w:spacing w:after="0" w:line="153" w:lineRule="exact"/>
              <w:rPr>
                <w:sz w:val="20"/>
                <w:szCs w:val="20"/>
                <w:color w:val="auto"/>
              </w:rPr>
            </w:pPr>
            <w:r>
              <w:rPr>
                <w:rFonts w:ascii="Arial" w:cs="Arial" w:eastAsia="Arial" w:hAnsi="Arial"/>
                <w:sz w:val="14"/>
                <w:szCs w:val="14"/>
                <w:b w:val="1"/>
                <w:bCs w:val="1"/>
                <w:color w:val="002B5F"/>
                <w:w w:val="97"/>
              </w:rPr>
              <w:t>Percentage of</w:t>
            </w:r>
          </w:p>
        </w:tc>
      </w:tr>
      <w:tr>
        <w:trPr>
          <w:trHeight w:val="150"/>
        </w:trPr>
        <w:tc>
          <w:tcPr>
            <w:tcW w:w="2340" w:type="dxa"/>
            <w:vAlign w:val="bottom"/>
          </w:tcPr>
          <w:p>
            <w:pPr>
              <w:spacing w:after="0"/>
              <w:rPr>
                <w:sz w:val="13"/>
                <w:szCs w:val="13"/>
                <w:color w:val="auto"/>
              </w:rPr>
            </w:pPr>
          </w:p>
        </w:tc>
        <w:tc>
          <w:tcPr>
            <w:tcW w:w="1400" w:type="dxa"/>
            <w:vAlign w:val="bottom"/>
          </w:tcPr>
          <w:p>
            <w:pPr>
              <w:jc w:val="center"/>
              <w:ind w:left="69"/>
              <w:spacing w:after="0" w:line="149" w:lineRule="exact"/>
              <w:rPr>
                <w:sz w:val="20"/>
                <w:szCs w:val="20"/>
                <w:color w:val="auto"/>
              </w:rPr>
            </w:pPr>
            <w:r>
              <w:rPr>
                <w:rFonts w:ascii="Arial" w:cs="Arial" w:eastAsia="Arial" w:hAnsi="Arial"/>
                <w:sz w:val="14"/>
                <w:szCs w:val="14"/>
                <w:b w:val="1"/>
                <w:bCs w:val="1"/>
                <w:color w:val="002B5F"/>
                <w:w w:val="97"/>
              </w:rPr>
              <w:t>Indirectly Held</w:t>
            </w:r>
          </w:p>
        </w:tc>
        <w:tc>
          <w:tcPr>
            <w:tcW w:w="900" w:type="dxa"/>
            <w:vAlign w:val="bottom"/>
          </w:tcPr>
          <w:p>
            <w:pPr>
              <w:jc w:val="center"/>
              <w:ind w:right="9"/>
              <w:spacing w:after="0" w:line="149" w:lineRule="exact"/>
              <w:rPr>
                <w:sz w:val="20"/>
                <w:szCs w:val="20"/>
                <w:color w:val="auto"/>
              </w:rPr>
            </w:pPr>
            <w:r>
              <w:rPr>
                <w:rFonts w:ascii="Arial" w:cs="Arial" w:eastAsia="Arial" w:hAnsi="Arial"/>
                <w:sz w:val="14"/>
                <w:szCs w:val="14"/>
                <w:b w:val="1"/>
                <w:bCs w:val="1"/>
                <w:color w:val="002B5F"/>
                <w:w w:val="95"/>
              </w:rPr>
              <w:t>Acquire</w:t>
            </w:r>
          </w:p>
        </w:tc>
        <w:tc>
          <w:tcPr>
            <w:tcW w:w="760" w:type="dxa"/>
            <w:vAlign w:val="bottom"/>
          </w:tcPr>
          <w:p>
            <w:pPr>
              <w:jc w:val="right"/>
              <w:ind w:right="128"/>
              <w:spacing w:after="0" w:line="149" w:lineRule="exact"/>
              <w:rPr>
                <w:sz w:val="20"/>
                <w:szCs w:val="20"/>
                <w:color w:val="auto"/>
              </w:rPr>
            </w:pPr>
            <w:r>
              <w:rPr>
                <w:rFonts w:ascii="Arial" w:cs="Arial" w:eastAsia="Arial" w:hAnsi="Arial"/>
                <w:sz w:val="14"/>
                <w:szCs w:val="14"/>
                <w:b w:val="1"/>
                <w:bCs w:val="1"/>
                <w:color w:val="002B5F"/>
              </w:rPr>
              <w:t>Other</w:t>
            </w: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002B5F"/>
                <w:w w:val="97"/>
              </w:rPr>
              <w:t>Common Stock</w:t>
            </w:r>
          </w:p>
        </w:tc>
        <w:tc>
          <w:tcPr>
            <w:tcW w:w="1140" w:type="dxa"/>
            <w:vAlign w:val="bottom"/>
          </w:tcPr>
          <w:p>
            <w:pPr>
              <w:jc w:val="center"/>
              <w:ind w:left="69"/>
              <w:spacing w:after="0" w:line="149" w:lineRule="exact"/>
              <w:rPr>
                <w:sz w:val="20"/>
                <w:szCs w:val="20"/>
                <w:color w:val="auto"/>
              </w:rPr>
            </w:pPr>
            <w:r>
              <w:rPr>
                <w:rFonts w:ascii="Arial" w:cs="Arial" w:eastAsia="Arial" w:hAnsi="Arial"/>
                <w:sz w:val="14"/>
                <w:szCs w:val="14"/>
                <w:b w:val="1"/>
                <w:bCs w:val="1"/>
                <w:color w:val="002B5F"/>
                <w:w w:val="97"/>
              </w:rPr>
              <w:t>Common Stock</w:t>
            </w:r>
          </w:p>
        </w:tc>
      </w:tr>
      <w:tr>
        <w:trPr>
          <w:trHeight w:val="210"/>
        </w:trPr>
        <w:tc>
          <w:tcPr>
            <w:tcW w:w="2340" w:type="dxa"/>
            <w:vAlign w:val="bottom"/>
            <w:tcBorders>
              <w:bottom w:val="single" w:sz="8" w:color="002B5F"/>
            </w:tcBorders>
          </w:tcPr>
          <w:p>
            <w:pPr>
              <w:ind w:left="60"/>
              <w:spacing w:after="0"/>
              <w:rPr>
                <w:sz w:val="20"/>
                <w:szCs w:val="20"/>
                <w:color w:val="auto"/>
              </w:rPr>
            </w:pPr>
            <w:r>
              <w:rPr>
                <w:rFonts w:ascii="Arial" w:cs="Arial" w:eastAsia="Arial" w:hAnsi="Arial"/>
                <w:sz w:val="14"/>
                <w:szCs w:val="14"/>
                <w:b w:val="1"/>
                <w:bCs w:val="1"/>
                <w:color w:val="002B5F"/>
              </w:rPr>
              <w:t>Name of Beneficial Owner</w:t>
            </w:r>
          </w:p>
        </w:tc>
        <w:tc>
          <w:tcPr>
            <w:tcW w:w="1400" w:type="dxa"/>
            <w:vAlign w:val="bottom"/>
            <w:tcBorders>
              <w:bottom w:val="single" w:sz="8" w:color="002B5F"/>
            </w:tcBorders>
          </w:tcPr>
          <w:p>
            <w:pPr>
              <w:jc w:val="center"/>
              <w:ind w:left="89"/>
              <w:spacing w:after="0"/>
              <w:rPr>
                <w:sz w:val="20"/>
                <w:szCs w:val="20"/>
                <w:color w:val="auto"/>
              </w:rPr>
            </w:pPr>
            <w:r>
              <w:rPr>
                <w:rFonts w:ascii="Arial" w:cs="Arial" w:eastAsia="Arial" w:hAnsi="Arial"/>
                <w:sz w:val="14"/>
                <w:szCs w:val="14"/>
                <w:b w:val="1"/>
                <w:bCs w:val="1"/>
                <w:color w:val="002B5F"/>
                <w:w w:val="93"/>
              </w:rPr>
              <w:t>(#)</w:t>
            </w:r>
          </w:p>
        </w:tc>
        <w:tc>
          <w:tcPr>
            <w:tcW w:w="900" w:type="dxa"/>
            <w:vAlign w:val="bottom"/>
            <w:tcBorders>
              <w:bottom w:val="single" w:sz="8" w:color="002B5F"/>
            </w:tcBorders>
          </w:tcPr>
          <w:p>
            <w:pPr>
              <w:jc w:val="center"/>
              <w:ind w:right="9"/>
              <w:spacing w:after="0" w:line="205" w:lineRule="exact"/>
              <w:rPr>
                <w:sz w:val="20"/>
                <w:szCs w:val="20"/>
                <w:color w:val="auto"/>
              </w:rPr>
            </w:pPr>
            <w:r>
              <w:rPr>
                <w:rFonts w:ascii="Arial" w:cs="Arial" w:eastAsia="Arial" w:hAnsi="Arial"/>
                <w:sz w:val="14"/>
                <w:szCs w:val="14"/>
                <w:b w:val="1"/>
                <w:bCs w:val="1"/>
                <w:color w:val="002B5F"/>
                <w:w w:val="89"/>
              </w:rPr>
              <w:t>(#)</w:t>
            </w:r>
            <w:r>
              <w:rPr>
                <w:rFonts w:ascii="Arial" w:cs="Arial" w:eastAsia="Arial" w:hAnsi="Arial"/>
                <w:sz w:val="20"/>
                <w:szCs w:val="20"/>
                <w:b w:val="1"/>
                <w:bCs w:val="1"/>
                <w:color w:val="002B5F"/>
                <w:w w:val="89"/>
                <w:vertAlign w:val="superscript"/>
              </w:rPr>
              <w:t>(1)</w:t>
            </w:r>
          </w:p>
        </w:tc>
        <w:tc>
          <w:tcPr>
            <w:tcW w:w="760" w:type="dxa"/>
            <w:vAlign w:val="bottom"/>
            <w:tcBorders>
              <w:bottom w:val="single" w:sz="8" w:color="002B5F"/>
            </w:tcBorders>
          </w:tcPr>
          <w:p>
            <w:pPr>
              <w:jc w:val="right"/>
              <w:ind w:right="228"/>
              <w:spacing w:after="0"/>
              <w:rPr>
                <w:sz w:val="20"/>
                <w:szCs w:val="20"/>
                <w:color w:val="auto"/>
              </w:rPr>
            </w:pPr>
            <w:r>
              <w:rPr>
                <w:rFonts w:ascii="Arial" w:cs="Arial" w:eastAsia="Arial" w:hAnsi="Arial"/>
                <w:sz w:val="14"/>
                <w:szCs w:val="14"/>
                <w:b w:val="1"/>
                <w:bCs w:val="1"/>
                <w:color w:val="002B5F"/>
              </w:rPr>
              <w:t>(#)</w:t>
            </w:r>
          </w:p>
        </w:tc>
        <w:tc>
          <w:tcPr>
            <w:tcW w:w="1340" w:type="dxa"/>
            <w:vAlign w:val="bottom"/>
            <w:tcBorders>
              <w:bottom w:val="single" w:sz="8" w:color="002B5F"/>
            </w:tcBorders>
          </w:tcPr>
          <w:p>
            <w:pPr>
              <w:jc w:val="center"/>
              <w:spacing w:after="0"/>
              <w:rPr>
                <w:sz w:val="20"/>
                <w:szCs w:val="20"/>
                <w:color w:val="auto"/>
              </w:rPr>
            </w:pPr>
            <w:r>
              <w:rPr>
                <w:rFonts w:ascii="Arial" w:cs="Arial" w:eastAsia="Arial" w:hAnsi="Arial"/>
                <w:sz w:val="14"/>
                <w:szCs w:val="14"/>
                <w:b w:val="1"/>
                <w:bCs w:val="1"/>
                <w:color w:val="002B5F"/>
                <w:w w:val="93"/>
              </w:rPr>
              <w:t>(#)</w:t>
            </w:r>
          </w:p>
        </w:tc>
        <w:tc>
          <w:tcPr>
            <w:tcW w:w="1140" w:type="dxa"/>
            <w:vAlign w:val="bottom"/>
            <w:tcBorders>
              <w:bottom w:val="single" w:sz="8" w:color="002B5F"/>
            </w:tcBorders>
          </w:tcPr>
          <w:p>
            <w:pPr>
              <w:jc w:val="center"/>
              <w:ind w:left="49"/>
              <w:spacing w:after="0"/>
              <w:rPr>
                <w:sz w:val="20"/>
                <w:szCs w:val="20"/>
                <w:color w:val="auto"/>
              </w:rPr>
            </w:pPr>
            <w:r>
              <w:rPr>
                <w:rFonts w:ascii="Arial" w:cs="Arial" w:eastAsia="Arial" w:hAnsi="Arial"/>
                <w:sz w:val="14"/>
                <w:szCs w:val="14"/>
                <w:b w:val="1"/>
                <w:bCs w:val="1"/>
                <w:color w:val="002B5F"/>
              </w:rPr>
              <w:t>(%)</w:t>
            </w:r>
          </w:p>
        </w:tc>
      </w:tr>
      <w:tr>
        <w:trPr>
          <w:trHeight w:val="274"/>
        </w:trPr>
        <w:tc>
          <w:tcPr>
            <w:tcW w:w="2340" w:type="dxa"/>
            <w:vAlign w:val="bottom"/>
            <w:tcBorders>
              <w:bottom w:val="single" w:sz="8" w:color="F7F1EC"/>
            </w:tcBorders>
            <w:shd w:val="clear" w:color="auto" w:fill="F7F1EC"/>
          </w:tcPr>
          <w:p>
            <w:pPr>
              <w:ind w:left="60"/>
              <w:spacing w:after="0"/>
              <w:rPr>
                <w:sz w:val="20"/>
                <w:szCs w:val="20"/>
                <w:color w:val="auto"/>
              </w:rPr>
            </w:pPr>
            <w:r>
              <w:rPr>
                <w:rFonts w:ascii="Arial" w:cs="Arial" w:eastAsia="Arial" w:hAnsi="Arial"/>
                <w:sz w:val="15"/>
                <w:szCs w:val="15"/>
                <w:b w:val="1"/>
                <w:bCs w:val="1"/>
                <w:color w:val="002B5F"/>
              </w:rPr>
              <w:t>5% Stockholders</w:t>
            </w:r>
          </w:p>
        </w:tc>
        <w:tc>
          <w:tcPr>
            <w:tcW w:w="1400" w:type="dxa"/>
            <w:vAlign w:val="bottom"/>
            <w:tcBorders>
              <w:bottom w:val="single" w:sz="8" w:color="F7F1EC"/>
            </w:tcBorders>
            <w:shd w:val="clear" w:color="auto" w:fill="F7F1EC"/>
          </w:tcPr>
          <w:p>
            <w:pPr>
              <w:spacing w:after="0"/>
              <w:rPr>
                <w:sz w:val="23"/>
                <w:szCs w:val="23"/>
                <w:color w:val="auto"/>
              </w:rPr>
            </w:pPr>
          </w:p>
        </w:tc>
        <w:tc>
          <w:tcPr>
            <w:tcW w:w="900" w:type="dxa"/>
            <w:vAlign w:val="bottom"/>
            <w:tcBorders>
              <w:bottom w:val="single" w:sz="8" w:color="F7F1EC"/>
            </w:tcBorders>
            <w:shd w:val="clear" w:color="auto" w:fill="F7F1EC"/>
          </w:tcPr>
          <w:p>
            <w:pPr>
              <w:spacing w:after="0"/>
              <w:rPr>
                <w:sz w:val="23"/>
                <w:szCs w:val="23"/>
                <w:color w:val="auto"/>
              </w:rPr>
            </w:pPr>
          </w:p>
        </w:tc>
        <w:tc>
          <w:tcPr>
            <w:tcW w:w="760" w:type="dxa"/>
            <w:vAlign w:val="bottom"/>
            <w:tcBorders>
              <w:bottom w:val="single" w:sz="8" w:color="F7F1EC"/>
            </w:tcBorders>
            <w:shd w:val="clear" w:color="auto" w:fill="F7F1EC"/>
          </w:tcPr>
          <w:p>
            <w:pPr>
              <w:spacing w:after="0"/>
              <w:rPr>
                <w:sz w:val="23"/>
                <w:szCs w:val="23"/>
                <w:color w:val="auto"/>
              </w:rPr>
            </w:pPr>
          </w:p>
        </w:tc>
        <w:tc>
          <w:tcPr>
            <w:tcW w:w="1340" w:type="dxa"/>
            <w:vAlign w:val="bottom"/>
            <w:tcBorders>
              <w:bottom w:val="single" w:sz="8" w:color="F7F1EC"/>
            </w:tcBorders>
            <w:shd w:val="clear" w:color="auto" w:fill="F7F1EC"/>
          </w:tcPr>
          <w:p>
            <w:pPr>
              <w:spacing w:after="0"/>
              <w:rPr>
                <w:sz w:val="23"/>
                <w:szCs w:val="23"/>
                <w:color w:val="auto"/>
              </w:rPr>
            </w:pPr>
          </w:p>
        </w:tc>
        <w:tc>
          <w:tcPr>
            <w:tcW w:w="1140" w:type="dxa"/>
            <w:vAlign w:val="bottom"/>
            <w:tcBorders>
              <w:bottom w:val="single" w:sz="8" w:color="F7F1EC"/>
            </w:tcBorders>
            <w:shd w:val="clear" w:color="auto" w:fill="F7F1EC"/>
          </w:tcPr>
          <w:p>
            <w:pPr>
              <w:spacing w:after="0"/>
              <w:rPr>
                <w:sz w:val="23"/>
                <w:szCs w:val="23"/>
                <w:color w:val="auto"/>
              </w:rPr>
            </w:pPr>
          </w:p>
        </w:tc>
      </w:tr>
      <w:tr>
        <w:trPr>
          <w:trHeight w:val="306"/>
        </w:trPr>
        <w:tc>
          <w:tcPr>
            <w:tcW w:w="2340" w:type="dxa"/>
            <w:vAlign w:val="bottom"/>
          </w:tcPr>
          <w:p>
            <w:pPr>
              <w:ind w:left="240"/>
              <w:spacing w:after="0"/>
              <w:rPr>
                <w:sz w:val="20"/>
                <w:szCs w:val="20"/>
                <w:color w:val="auto"/>
              </w:rPr>
            </w:pPr>
            <w:r>
              <w:rPr>
                <w:rFonts w:ascii="Arial" w:cs="Arial" w:eastAsia="Arial" w:hAnsi="Arial"/>
                <w:sz w:val="15"/>
                <w:szCs w:val="15"/>
                <w:color w:val="auto"/>
              </w:rPr>
              <w:t>The Vanguard Group, Inc.</w:t>
            </w:r>
            <w:r>
              <w:rPr>
                <w:rFonts w:ascii="Arial" w:cs="Arial" w:eastAsia="Arial" w:hAnsi="Arial"/>
                <w:sz w:val="22"/>
                <w:szCs w:val="22"/>
                <w:color w:val="auto"/>
                <w:vertAlign w:val="superscript"/>
              </w:rPr>
              <w:t>(2)</w:t>
            </w:r>
          </w:p>
        </w:tc>
        <w:tc>
          <w:tcPr>
            <w:tcW w:w="1400" w:type="dxa"/>
            <w:vAlign w:val="bottom"/>
          </w:tcPr>
          <w:p>
            <w:pPr>
              <w:ind w:left="900"/>
              <w:spacing w:after="0"/>
              <w:rPr>
                <w:sz w:val="20"/>
                <w:szCs w:val="20"/>
                <w:color w:val="auto"/>
              </w:rPr>
            </w:pPr>
            <w:r>
              <w:rPr>
                <w:rFonts w:ascii="Arial" w:cs="Arial" w:eastAsia="Arial" w:hAnsi="Arial"/>
                <w:sz w:val="15"/>
                <w:szCs w:val="15"/>
                <w:color w:val="auto"/>
              </w:rPr>
              <w:t>—</w:t>
            </w:r>
          </w:p>
        </w:tc>
        <w:tc>
          <w:tcPr>
            <w:tcW w:w="900" w:type="dxa"/>
            <w:vAlign w:val="bottom"/>
          </w:tcPr>
          <w:p>
            <w:pPr>
              <w:ind w:left="540"/>
              <w:spacing w:after="0"/>
              <w:rPr>
                <w:sz w:val="20"/>
                <w:szCs w:val="20"/>
                <w:color w:val="auto"/>
              </w:rPr>
            </w:pPr>
            <w:r>
              <w:rPr>
                <w:rFonts w:ascii="Arial" w:cs="Arial" w:eastAsia="Arial" w:hAnsi="Arial"/>
                <w:sz w:val="15"/>
                <w:szCs w:val="15"/>
                <w:color w:val="auto"/>
              </w:rPr>
              <w:t>—</w:t>
            </w:r>
          </w:p>
        </w:tc>
        <w:tc>
          <w:tcPr>
            <w:tcW w:w="760" w:type="dxa"/>
            <w:vAlign w:val="bottom"/>
          </w:tcPr>
          <w:p>
            <w:pPr>
              <w:jc w:val="right"/>
              <w:ind w:right="208"/>
              <w:spacing w:after="0"/>
              <w:rPr>
                <w:sz w:val="20"/>
                <w:szCs w:val="20"/>
                <w:color w:val="auto"/>
              </w:rPr>
            </w:pPr>
            <w:r>
              <w:rPr>
                <w:rFonts w:ascii="Arial" w:cs="Arial" w:eastAsia="Arial" w:hAnsi="Arial"/>
                <w:sz w:val="15"/>
                <w:szCs w:val="15"/>
                <w:color w:val="auto"/>
              </w:rPr>
              <w:t>—</w:t>
            </w:r>
          </w:p>
        </w:tc>
        <w:tc>
          <w:tcPr>
            <w:tcW w:w="1340" w:type="dxa"/>
            <w:vAlign w:val="bottom"/>
          </w:tcPr>
          <w:p>
            <w:pPr>
              <w:jc w:val="right"/>
              <w:ind w:right="130"/>
              <w:spacing w:after="0"/>
              <w:rPr>
                <w:sz w:val="20"/>
                <w:szCs w:val="20"/>
                <w:color w:val="auto"/>
              </w:rPr>
            </w:pPr>
            <w:r>
              <w:rPr>
                <w:rFonts w:ascii="Arial" w:cs="Arial" w:eastAsia="Arial" w:hAnsi="Arial"/>
                <w:sz w:val="15"/>
                <w:szCs w:val="15"/>
                <w:color w:val="auto"/>
              </w:rPr>
              <w:t>8,043,631</w:t>
            </w:r>
            <w:r>
              <w:rPr>
                <w:rFonts w:ascii="Arial" w:cs="Arial" w:eastAsia="Arial" w:hAnsi="Arial"/>
                <w:sz w:val="22"/>
                <w:szCs w:val="22"/>
                <w:color w:val="auto"/>
                <w:vertAlign w:val="superscript"/>
              </w:rPr>
              <w:t>(3)</w:t>
            </w:r>
          </w:p>
        </w:tc>
        <w:tc>
          <w:tcPr>
            <w:tcW w:w="1140" w:type="dxa"/>
            <w:vAlign w:val="bottom"/>
          </w:tcPr>
          <w:p>
            <w:pPr>
              <w:jc w:val="right"/>
              <w:ind w:right="69"/>
              <w:spacing w:after="0"/>
              <w:rPr>
                <w:sz w:val="20"/>
                <w:szCs w:val="20"/>
                <w:color w:val="auto"/>
              </w:rPr>
            </w:pPr>
            <w:r>
              <w:rPr>
                <w:rFonts w:ascii="Arial" w:cs="Arial" w:eastAsia="Arial" w:hAnsi="Arial"/>
                <w:sz w:val="15"/>
                <w:szCs w:val="15"/>
                <w:color w:val="auto"/>
              </w:rPr>
              <w:t>10.8%</w:t>
            </w:r>
          </w:p>
        </w:tc>
      </w:tr>
      <w:tr>
        <w:trPr>
          <w:trHeight w:val="306"/>
        </w:trPr>
        <w:tc>
          <w:tcPr>
            <w:tcW w:w="2340" w:type="dxa"/>
            <w:vAlign w:val="bottom"/>
            <w:shd w:val="clear" w:color="auto" w:fill="F7F1EC"/>
          </w:tcPr>
          <w:p>
            <w:pPr>
              <w:ind w:left="240"/>
              <w:spacing w:after="0"/>
              <w:rPr>
                <w:sz w:val="20"/>
                <w:szCs w:val="20"/>
                <w:color w:val="auto"/>
              </w:rPr>
            </w:pPr>
            <w:r>
              <w:rPr>
                <w:rFonts w:ascii="Arial" w:cs="Arial" w:eastAsia="Arial" w:hAnsi="Arial"/>
                <w:sz w:val="15"/>
                <w:szCs w:val="15"/>
                <w:color w:val="auto"/>
              </w:rPr>
              <w:t>BlackRock, Inc.</w:t>
            </w:r>
            <w:r>
              <w:rPr>
                <w:rFonts w:ascii="Arial" w:cs="Arial" w:eastAsia="Arial" w:hAnsi="Arial"/>
                <w:sz w:val="22"/>
                <w:szCs w:val="22"/>
                <w:color w:val="auto"/>
                <w:vertAlign w:val="superscript"/>
              </w:rPr>
              <w:t>(4)</w:t>
            </w:r>
          </w:p>
        </w:tc>
        <w:tc>
          <w:tcPr>
            <w:tcW w:w="1400" w:type="dxa"/>
            <w:vAlign w:val="bottom"/>
            <w:shd w:val="clear" w:color="auto" w:fill="F7F1EC"/>
          </w:tcPr>
          <w:p>
            <w:pPr>
              <w:ind w:left="900"/>
              <w:spacing w:after="0"/>
              <w:rPr>
                <w:sz w:val="20"/>
                <w:szCs w:val="20"/>
                <w:color w:val="auto"/>
              </w:rPr>
            </w:pPr>
            <w:r>
              <w:rPr>
                <w:rFonts w:ascii="Arial" w:cs="Arial" w:eastAsia="Arial" w:hAnsi="Arial"/>
                <w:sz w:val="15"/>
                <w:szCs w:val="15"/>
                <w:color w:val="auto"/>
              </w:rPr>
              <w:t>—</w:t>
            </w:r>
          </w:p>
        </w:tc>
        <w:tc>
          <w:tcPr>
            <w:tcW w:w="900" w:type="dxa"/>
            <w:vAlign w:val="bottom"/>
            <w:shd w:val="clear" w:color="auto" w:fill="F7F1EC"/>
          </w:tcPr>
          <w:p>
            <w:pPr>
              <w:ind w:left="540"/>
              <w:spacing w:after="0"/>
              <w:rPr>
                <w:sz w:val="20"/>
                <w:szCs w:val="20"/>
                <w:color w:val="auto"/>
              </w:rPr>
            </w:pPr>
            <w:r>
              <w:rPr>
                <w:rFonts w:ascii="Arial" w:cs="Arial" w:eastAsia="Arial" w:hAnsi="Arial"/>
                <w:sz w:val="15"/>
                <w:szCs w:val="15"/>
                <w:color w:val="auto"/>
              </w:rPr>
              <w:t>—</w:t>
            </w:r>
          </w:p>
        </w:tc>
        <w:tc>
          <w:tcPr>
            <w:tcW w:w="760" w:type="dxa"/>
            <w:vAlign w:val="bottom"/>
            <w:shd w:val="clear" w:color="auto" w:fill="F7F1EC"/>
          </w:tcPr>
          <w:p>
            <w:pPr>
              <w:jc w:val="right"/>
              <w:ind w:right="208"/>
              <w:spacing w:after="0"/>
              <w:rPr>
                <w:sz w:val="20"/>
                <w:szCs w:val="20"/>
                <w:color w:val="auto"/>
              </w:rPr>
            </w:pPr>
            <w:r>
              <w:rPr>
                <w:rFonts w:ascii="Arial" w:cs="Arial" w:eastAsia="Arial" w:hAnsi="Arial"/>
                <w:sz w:val="15"/>
                <w:szCs w:val="15"/>
                <w:color w:val="auto"/>
              </w:rPr>
              <w:t>—</w:t>
            </w:r>
          </w:p>
        </w:tc>
        <w:tc>
          <w:tcPr>
            <w:tcW w:w="1340" w:type="dxa"/>
            <w:vAlign w:val="bottom"/>
            <w:shd w:val="clear" w:color="auto" w:fill="F7F1EC"/>
          </w:tcPr>
          <w:p>
            <w:pPr>
              <w:jc w:val="right"/>
              <w:ind w:right="270"/>
              <w:spacing w:after="0"/>
              <w:rPr>
                <w:sz w:val="20"/>
                <w:szCs w:val="20"/>
                <w:color w:val="auto"/>
              </w:rPr>
            </w:pPr>
            <w:r>
              <w:rPr>
                <w:rFonts w:ascii="Arial" w:cs="Arial" w:eastAsia="Arial" w:hAnsi="Arial"/>
                <w:sz w:val="15"/>
                <w:szCs w:val="15"/>
                <w:color w:val="auto"/>
              </w:rPr>
              <w:t>4,754,611</w:t>
            </w:r>
          </w:p>
        </w:tc>
        <w:tc>
          <w:tcPr>
            <w:tcW w:w="1140" w:type="dxa"/>
            <w:vAlign w:val="bottom"/>
            <w:shd w:val="clear" w:color="auto" w:fill="F7F1EC"/>
          </w:tcPr>
          <w:p>
            <w:pPr>
              <w:jc w:val="right"/>
              <w:ind w:right="69"/>
              <w:spacing w:after="0"/>
              <w:rPr>
                <w:sz w:val="20"/>
                <w:szCs w:val="20"/>
                <w:color w:val="auto"/>
              </w:rPr>
            </w:pPr>
            <w:r>
              <w:rPr>
                <w:rFonts w:ascii="Arial" w:cs="Arial" w:eastAsia="Arial" w:hAnsi="Arial"/>
                <w:sz w:val="15"/>
                <w:szCs w:val="15"/>
                <w:color w:val="auto"/>
              </w:rPr>
              <w:t>6.4%</w:t>
            </w:r>
          </w:p>
        </w:tc>
      </w:tr>
      <w:tr>
        <w:trPr>
          <w:trHeight w:val="273"/>
        </w:trPr>
        <w:tc>
          <w:tcPr>
            <w:tcW w:w="2340" w:type="dxa"/>
            <w:vAlign w:val="bottom"/>
          </w:tcPr>
          <w:p>
            <w:pPr>
              <w:ind w:left="60"/>
              <w:spacing w:after="0"/>
              <w:rPr>
                <w:sz w:val="20"/>
                <w:szCs w:val="20"/>
                <w:color w:val="auto"/>
              </w:rPr>
            </w:pPr>
            <w:r>
              <w:rPr>
                <w:rFonts w:ascii="Arial" w:cs="Arial" w:eastAsia="Arial" w:hAnsi="Arial"/>
                <w:sz w:val="15"/>
                <w:szCs w:val="15"/>
                <w:b w:val="1"/>
                <w:bCs w:val="1"/>
                <w:color w:val="002B5F"/>
              </w:rPr>
              <w:t>Officers and Directors</w:t>
            </w:r>
          </w:p>
        </w:tc>
        <w:tc>
          <w:tcPr>
            <w:tcW w:w="14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14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spacing w:after="0"/>
        <w:rPr>
          <w:sz w:val="20"/>
          <w:szCs w:val="20"/>
          <w:color w:val="auto"/>
        </w:rPr>
      </w:pPr>
      <w:r>
        <w:rPr>
          <w:rFonts w:ascii="Arial" w:cs="Arial" w:eastAsia="Arial" w:hAnsi="Arial"/>
          <w:sz w:val="12"/>
          <w:szCs w:val="12"/>
          <w:color w:val="FFFFFF"/>
        </w:rPr>
        <w:t>Proposal 1</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FFFFFF"/>
        </w:rPr>
        <w:t>Information</w:t>
      </w:r>
    </w:p>
    <w:p>
      <w:pPr>
        <w:spacing w:after="0" w:line="224" w:lineRule="auto"/>
        <w:rPr>
          <w:sz w:val="20"/>
          <w:szCs w:val="20"/>
          <w:color w:val="auto"/>
        </w:rPr>
      </w:pPr>
      <w:r>
        <w:rPr>
          <w:rFonts w:ascii="Arial" w:cs="Arial" w:eastAsia="Arial" w:hAnsi="Arial"/>
          <w:sz w:val="12"/>
          <w:szCs w:val="12"/>
          <w:color w:val="FFFFFF"/>
        </w:rPr>
        <w:t>Regarding Board</w:t>
      </w:r>
    </w:p>
    <w:p>
      <w:pPr>
        <w:spacing w:after="0" w:line="222" w:lineRule="auto"/>
        <w:rPr>
          <w:sz w:val="20"/>
          <w:szCs w:val="20"/>
          <w:color w:val="auto"/>
        </w:rPr>
      </w:pPr>
      <w:r>
        <w:rPr>
          <w:rFonts w:ascii="Arial" w:cs="Arial" w:eastAsia="Arial" w:hAnsi="Arial"/>
          <w:sz w:val="12"/>
          <w:szCs w:val="12"/>
          <w:color w:val="FFFFFF"/>
        </w:rPr>
        <w:t>and Committee</w:t>
      </w:r>
    </w:p>
    <w:p>
      <w:pPr>
        <w:spacing w:after="0"/>
        <w:rPr>
          <w:sz w:val="20"/>
          <w:szCs w:val="20"/>
          <w:color w:val="auto"/>
        </w:rPr>
      </w:pPr>
      <w:r>
        <w:rPr>
          <w:rFonts w:ascii="Arial" w:cs="Arial" w:eastAsia="Arial" w:hAnsi="Arial"/>
          <w:sz w:val="12"/>
          <w:szCs w:val="12"/>
          <w:color w:val="FFFFFF"/>
        </w:rPr>
        <w:t>Structure</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Board of Directors</w:t>
      </w:r>
    </w:p>
    <w:p>
      <w:pPr>
        <w:spacing w:after="0" w:line="2" w:lineRule="exact"/>
        <w:rPr>
          <w:sz w:val="20"/>
          <w:szCs w:val="20"/>
          <w:color w:val="auto"/>
        </w:rPr>
      </w:pPr>
    </w:p>
    <w:p>
      <w:pPr>
        <w:spacing w:after="0"/>
        <w:rPr>
          <w:sz w:val="20"/>
          <w:szCs w:val="20"/>
          <w:color w:val="auto"/>
        </w:rPr>
      </w:pPr>
      <w:r>
        <w:rPr>
          <w:rFonts w:ascii="Arial" w:cs="Arial" w:eastAsia="Arial" w:hAnsi="Arial"/>
          <w:sz w:val="12"/>
          <w:szCs w:val="12"/>
          <w:color w:val="FFFFFF"/>
        </w:rPr>
        <w:t>Compensation</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Compensation</w:t>
      </w:r>
    </w:p>
    <w:p>
      <w:pPr>
        <w:spacing w:after="0" w:line="224" w:lineRule="auto"/>
        <w:rPr>
          <w:sz w:val="20"/>
          <w:szCs w:val="20"/>
          <w:color w:val="auto"/>
        </w:rPr>
      </w:pPr>
      <w:r>
        <w:rPr>
          <w:rFonts w:ascii="Arial" w:cs="Arial" w:eastAsia="Arial" w:hAnsi="Arial"/>
          <w:sz w:val="12"/>
          <w:szCs w:val="12"/>
          <w:color w:val="FFFFFF"/>
        </w:rPr>
        <w:t>Discussion and</w:t>
      </w:r>
    </w:p>
    <w:p>
      <w:pPr>
        <w:spacing w:after="0"/>
        <w:rPr>
          <w:sz w:val="20"/>
          <w:szCs w:val="20"/>
          <w:color w:val="auto"/>
        </w:rPr>
      </w:pPr>
      <w:r>
        <w:rPr>
          <w:rFonts w:ascii="Arial" w:cs="Arial" w:eastAsia="Arial" w:hAnsi="Arial"/>
          <w:sz w:val="12"/>
          <w:szCs w:val="12"/>
          <w:color w:val="FFFFFF"/>
        </w:rPr>
        <w:t>Analysis</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Report of the</w:t>
      </w:r>
    </w:p>
    <w:p>
      <w:pPr>
        <w:spacing w:after="0" w:line="224" w:lineRule="auto"/>
        <w:rPr>
          <w:sz w:val="20"/>
          <w:szCs w:val="20"/>
          <w:color w:val="auto"/>
        </w:rPr>
      </w:pPr>
      <w:r>
        <w:rPr>
          <w:rFonts w:ascii="Arial" w:cs="Arial" w:eastAsia="Arial" w:hAnsi="Arial"/>
          <w:sz w:val="12"/>
          <w:szCs w:val="12"/>
          <w:color w:val="FFFFFF"/>
        </w:rPr>
        <w:t>Compensation</w:t>
      </w:r>
    </w:p>
    <w:p>
      <w:pPr>
        <w:spacing w:after="0" w:line="222" w:lineRule="auto"/>
        <w:rPr>
          <w:sz w:val="20"/>
          <w:szCs w:val="20"/>
          <w:color w:val="auto"/>
        </w:rPr>
      </w:pPr>
      <w:r>
        <w:rPr>
          <w:rFonts w:ascii="Arial" w:cs="Arial" w:eastAsia="Arial" w:hAnsi="Arial"/>
          <w:sz w:val="12"/>
          <w:szCs w:val="12"/>
          <w:color w:val="FFFFFF"/>
        </w:rPr>
        <w:t>and Human</w:t>
      </w:r>
    </w:p>
    <w:p>
      <w:pPr>
        <w:spacing w:after="0" w:line="222" w:lineRule="auto"/>
        <w:rPr>
          <w:sz w:val="20"/>
          <w:szCs w:val="20"/>
          <w:color w:val="auto"/>
        </w:rPr>
      </w:pPr>
      <w:r>
        <w:rPr>
          <w:rFonts w:ascii="Arial" w:cs="Arial" w:eastAsia="Arial" w:hAnsi="Arial"/>
          <w:sz w:val="12"/>
          <w:szCs w:val="12"/>
          <w:color w:val="FFFFFF"/>
        </w:rPr>
        <w:t>Resources</w:t>
      </w:r>
    </w:p>
    <w:p>
      <w:pPr>
        <w:spacing w:after="0" w:line="222" w:lineRule="auto"/>
        <w:rPr>
          <w:sz w:val="20"/>
          <w:szCs w:val="20"/>
          <w:color w:val="auto"/>
        </w:rPr>
      </w:pPr>
      <w:r>
        <w:rPr>
          <w:rFonts w:ascii="Arial" w:cs="Arial" w:eastAsia="Arial" w:hAnsi="Arial"/>
          <w:sz w:val="12"/>
          <w:szCs w:val="12"/>
          <w:color w:val="FFFFFF"/>
        </w:rPr>
        <w:t>Committee of the</w:t>
      </w:r>
    </w:p>
    <w:p>
      <w:pPr>
        <w:spacing w:after="0"/>
        <w:rPr>
          <w:sz w:val="20"/>
          <w:szCs w:val="20"/>
          <w:color w:val="auto"/>
        </w:rPr>
      </w:pPr>
      <w:r>
        <w:rPr>
          <w:rFonts w:ascii="Arial" w:cs="Arial" w:eastAsia="Arial" w:hAnsi="Arial"/>
          <w:sz w:val="12"/>
          <w:szCs w:val="12"/>
          <w:color w:val="FFFFFF"/>
        </w:rPr>
        <w:t>Board of Directors</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Compensation of</w:t>
      </w:r>
    </w:p>
    <w:p>
      <w:pPr>
        <w:spacing w:after="0" w:line="224" w:lineRule="auto"/>
        <w:rPr>
          <w:sz w:val="20"/>
          <w:szCs w:val="20"/>
          <w:color w:val="auto"/>
        </w:rPr>
      </w:pPr>
      <w:r>
        <w:rPr>
          <w:rFonts w:ascii="Arial" w:cs="Arial" w:eastAsia="Arial" w:hAnsi="Arial"/>
          <w:sz w:val="12"/>
          <w:szCs w:val="12"/>
          <w:color w:val="FFFFFF"/>
        </w:rPr>
        <w:t>Named Executive</w:t>
      </w:r>
    </w:p>
    <w:p>
      <w:pPr>
        <w:spacing w:after="0"/>
        <w:rPr>
          <w:sz w:val="20"/>
          <w:szCs w:val="20"/>
          <w:color w:val="auto"/>
        </w:rPr>
      </w:pPr>
      <w:r>
        <w:rPr>
          <w:rFonts w:ascii="Arial" w:cs="Arial" w:eastAsia="Arial" w:hAnsi="Arial"/>
          <w:sz w:val="12"/>
          <w:szCs w:val="12"/>
          <w:color w:val="FFFFFF"/>
        </w:rPr>
        <w:t>Officers</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Pay Versus</w:t>
      </w:r>
    </w:p>
    <w:p>
      <w:pPr>
        <w:spacing w:after="0" w:line="224" w:lineRule="auto"/>
        <w:rPr>
          <w:sz w:val="20"/>
          <w:szCs w:val="20"/>
          <w:color w:val="auto"/>
        </w:rPr>
      </w:pPr>
      <w:r>
        <w:rPr>
          <w:rFonts w:ascii="Arial" w:cs="Arial" w:eastAsia="Arial" w:hAnsi="Arial"/>
          <w:sz w:val="12"/>
          <w:szCs w:val="12"/>
          <w:color w:val="FFFFFF"/>
        </w:rPr>
        <w:t>Performance</w:t>
      </w:r>
    </w:p>
    <w:p>
      <w:pPr>
        <w:spacing w:after="0"/>
        <w:rPr>
          <w:sz w:val="20"/>
          <w:szCs w:val="20"/>
          <w:color w:val="auto"/>
        </w:rPr>
      </w:pPr>
      <w:r>
        <w:rPr>
          <w:rFonts w:ascii="Arial" w:cs="Arial" w:eastAsia="Arial" w:hAnsi="Arial"/>
          <w:sz w:val="12"/>
          <w:szCs w:val="12"/>
          <w:color w:val="FFFFFF"/>
        </w:rPr>
        <w:t>Disclosure</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b w:val="1"/>
          <w:bCs w:val="1"/>
          <w:color w:val="FFFFFF"/>
        </w:rPr>
        <w:t>Security</w:t>
      </w:r>
    </w:p>
    <w:p>
      <w:pPr>
        <w:spacing w:after="0" w:line="224" w:lineRule="auto"/>
        <w:rPr>
          <w:sz w:val="20"/>
          <w:szCs w:val="20"/>
          <w:color w:val="auto"/>
        </w:rPr>
      </w:pPr>
      <w:r>
        <w:rPr>
          <w:rFonts w:ascii="Arial" w:cs="Arial" w:eastAsia="Arial" w:hAnsi="Arial"/>
          <w:sz w:val="12"/>
          <w:szCs w:val="12"/>
          <w:b w:val="1"/>
          <w:bCs w:val="1"/>
          <w:color w:val="FFFFFF"/>
        </w:rPr>
        <w:t>Ownership of</w:t>
      </w:r>
    </w:p>
    <w:p>
      <w:pPr>
        <w:spacing w:after="0" w:line="222" w:lineRule="auto"/>
        <w:rPr>
          <w:sz w:val="20"/>
          <w:szCs w:val="20"/>
          <w:color w:val="auto"/>
        </w:rPr>
      </w:pPr>
      <w:r>
        <w:rPr>
          <w:rFonts w:ascii="Arial" w:cs="Arial" w:eastAsia="Arial" w:hAnsi="Arial"/>
          <w:sz w:val="12"/>
          <w:szCs w:val="12"/>
          <w:b w:val="1"/>
          <w:bCs w:val="1"/>
          <w:color w:val="FFFFFF"/>
        </w:rPr>
        <w:t>Certain Beneficial</w:t>
      </w:r>
    </w:p>
    <w:p>
      <w:pPr>
        <w:spacing w:after="0" w:line="222" w:lineRule="auto"/>
        <w:rPr>
          <w:sz w:val="20"/>
          <w:szCs w:val="20"/>
          <w:color w:val="auto"/>
        </w:rPr>
      </w:pPr>
      <w:r>
        <w:rPr>
          <w:rFonts w:ascii="Arial" w:cs="Arial" w:eastAsia="Arial" w:hAnsi="Arial"/>
          <w:sz w:val="12"/>
          <w:szCs w:val="12"/>
          <w:b w:val="1"/>
          <w:bCs w:val="1"/>
          <w:color w:val="FFFFFF"/>
        </w:rPr>
        <w:t>Owners and</w:t>
      </w:r>
    </w:p>
    <w:p>
      <w:pPr>
        <w:spacing w:after="0"/>
        <w:rPr>
          <w:sz w:val="20"/>
          <w:szCs w:val="20"/>
          <w:color w:val="auto"/>
        </w:rPr>
      </w:pPr>
      <w:r>
        <w:rPr>
          <w:rFonts w:ascii="Arial" w:cs="Arial" w:eastAsia="Arial" w:hAnsi="Arial"/>
          <w:sz w:val="12"/>
          <w:szCs w:val="12"/>
          <w:b w:val="1"/>
          <w:bCs w:val="1"/>
          <w:color w:val="FFFFFF"/>
        </w:rPr>
        <w:t>Management</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Certain</w:t>
      </w:r>
    </w:p>
    <w:p>
      <w:pPr>
        <w:spacing w:after="0" w:line="224" w:lineRule="auto"/>
        <w:rPr>
          <w:sz w:val="20"/>
          <w:szCs w:val="20"/>
          <w:color w:val="auto"/>
        </w:rPr>
      </w:pPr>
      <w:r>
        <w:rPr>
          <w:rFonts w:ascii="Arial" w:cs="Arial" w:eastAsia="Arial" w:hAnsi="Arial"/>
          <w:sz w:val="12"/>
          <w:szCs w:val="12"/>
          <w:color w:val="FFFFFF"/>
        </w:rPr>
        <w:t>Relationships and</w:t>
      </w:r>
    </w:p>
    <w:p>
      <w:pPr>
        <w:spacing w:after="0" w:line="222" w:lineRule="auto"/>
        <w:rPr>
          <w:sz w:val="20"/>
          <w:szCs w:val="20"/>
          <w:color w:val="auto"/>
        </w:rPr>
      </w:pPr>
      <w:r>
        <w:rPr>
          <w:rFonts w:ascii="Arial" w:cs="Arial" w:eastAsia="Arial" w:hAnsi="Arial"/>
          <w:sz w:val="12"/>
          <w:szCs w:val="12"/>
          <w:color w:val="FFFFFF"/>
        </w:rPr>
        <w:t>Related Party</w:t>
      </w:r>
    </w:p>
    <w:p>
      <w:pPr>
        <w:spacing w:after="0"/>
        <w:rPr>
          <w:sz w:val="20"/>
          <w:szCs w:val="20"/>
          <w:color w:val="auto"/>
        </w:rPr>
      </w:pPr>
      <w:r>
        <w:rPr>
          <w:rFonts w:ascii="Arial" w:cs="Arial" w:eastAsia="Arial" w:hAnsi="Arial"/>
          <w:sz w:val="12"/>
          <w:szCs w:val="12"/>
          <w:color w:val="FFFFFF"/>
        </w:rPr>
        <w:t>Transactions</w:t>
      </w:r>
    </w:p>
    <w:p>
      <w:pPr>
        <w:spacing w:after="0" w:line="71" w:lineRule="exact"/>
        <w:rPr>
          <w:sz w:val="20"/>
          <w:szCs w:val="20"/>
          <w:color w:val="auto"/>
        </w:rPr>
      </w:pPr>
    </w:p>
    <w:p>
      <w:pPr>
        <w:sectPr>
          <w:pgSz w:w="11900" w:h="16838" w:orient="portrait"/>
          <w:cols w:equalWidth="0" w:num="2">
            <w:col w:w="8500" w:space="720"/>
            <w:col w:w="1580"/>
          </w:cols>
          <w:pgMar w:left="320" w:top="464" w:right="779" w:bottom="1440" w:gutter="0" w:footer="0" w:header="0"/>
          <w:type w:val="continuous"/>
        </w:sectPr>
      </w:pPr>
    </w:p>
    <w:tbl>
      <w:tblPr>
        <w:tblLayout w:type="fixed"/>
        <w:tblInd w:w="540" w:type="dxa"/>
        <w:tblCellMar>
          <w:top w:w="0" w:type="dxa"/>
          <w:left w:w="0" w:type="dxa"/>
          <w:bottom w:w="0" w:type="dxa"/>
          <w:right w:w="0" w:type="dxa"/>
        </w:tblCellMar>
      </w:tblPr>
      <w:tr>
        <w:trPr>
          <w:trHeight w:val="286"/>
        </w:trPr>
        <w:tc>
          <w:tcPr>
            <w:tcW w:w="2340" w:type="dxa"/>
            <w:vAlign w:val="bottom"/>
            <w:tcBorders>
              <w:bottom w:val="single" w:sz="8" w:color="F7F1EC"/>
            </w:tcBorders>
            <w:shd w:val="clear" w:color="auto" w:fill="F7F1EC"/>
          </w:tcPr>
          <w:p>
            <w:pPr>
              <w:ind w:left="240"/>
              <w:spacing w:after="0"/>
              <w:rPr>
                <w:sz w:val="20"/>
                <w:szCs w:val="20"/>
                <w:color w:val="auto"/>
              </w:rPr>
            </w:pPr>
            <w:r>
              <w:rPr>
                <w:rFonts w:ascii="Arial" w:cs="Arial" w:eastAsia="Arial" w:hAnsi="Arial"/>
                <w:sz w:val="15"/>
                <w:szCs w:val="15"/>
                <w:color w:val="auto"/>
              </w:rPr>
              <w:t>Richard Steinmeier</w:t>
            </w:r>
          </w:p>
        </w:tc>
        <w:tc>
          <w:tcPr>
            <w:tcW w:w="1400" w:type="dxa"/>
            <w:vAlign w:val="bottom"/>
            <w:tcBorders>
              <w:bottom w:val="single" w:sz="8" w:color="F7F1EC"/>
            </w:tcBorders>
            <w:shd w:val="clear" w:color="auto" w:fill="F7F1EC"/>
          </w:tcPr>
          <w:p>
            <w:pPr>
              <w:jc w:val="right"/>
              <w:ind w:right="263"/>
              <w:spacing w:after="0"/>
              <w:rPr>
                <w:sz w:val="20"/>
                <w:szCs w:val="20"/>
                <w:color w:val="auto"/>
              </w:rPr>
            </w:pPr>
            <w:r>
              <w:rPr>
                <w:rFonts w:ascii="Arial" w:cs="Arial" w:eastAsia="Arial" w:hAnsi="Arial"/>
                <w:sz w:val="15"/>
                <w:szCs w:val="15"/>
                <w:color w:val="auto"/>
              </w:rPr>
              <w:t>20,259</w:t>
            </w:r>
          </w:p>
        </w:tc>
        <w:tc>
          <w:tcPr>
            <w:tcW w:w="960" w:type="dxa"/>
            <w:vAlign w:val="bottom"/>
            <w:tcBorders>
              <w:bottom w:val="single" w:sz="8" w:color="F7F1EC"/>
            </w:tcBorders>
            <w:shd w:val="clear" w:color="auto" w:fill="F7F1EC"/>
          </w:tcPr>
          <w:p>
            <w:pPr>
              <w:jc w:val="right"/>
              <w:ind w:right="203"/>
              <w:spacing w:after="0"/>
              <w:rPr>
                <w:sz w:val="20"/>
                <w:szCs w:val="20"/>
                <w:color w:val="auto"/>
              </w:rPr>
            </w:pPr>
            <w:r>
              <w:rPr>
                <w:rFonts w:ascii="Arial" w:cs="Arial" w:eastAsia="Arial" w:hAnsi="Arial"/>
                <w:sz w:val="15"/>
                <w:szCs w:val="15"/>
                <w:color w:val="auto"/>
              </w:rPr>
              <w:t>—</w:t>
            </w:r>
          </w:p>
        </w:tc>
        <w:tc>
          <w:tcPr>
            <w:tcW w:w="820" w:type="dxa"/>
            <w:vAlign w:val="bottom"/>
            <w:tcBorders>
              <w:bottom w:val="single" w:sz="8" w:color="F7F1EC"/>
            </w:tcBorders>
            <w:shd w:val="clear" w:color="auto" w:fill="F7F1EC"/>
          </w:tcPr>
          <w:p>
            <w:pPr>
              <w:ind w:left="260"/>
              <w:spacing w:after="0"/>
              <w:rPr>
                <w:sz w:val="20"/>
                <w:szCs w:val="20"/>
                <w:color w:val="auto"/>
              </w:rPr>
            </w:pPr>
            <w:r>
              <w:rPr>
                <w:rFonts w:ascii="Arial" w:cs="Arial" w:eastAsia="Arial" w:hAnsi="Arial"/>
                <w:sz w:val="15"/>
                <w:szCs w:val="15"/>
                <w:color w:val="auto"/>
              </w:rPr>
              <w:t>—</w:t>
            </w:r>
          </w:p>
        </w:tc>
        <w:tc>
          <w:tcPr>
            <w:tcW w:w="1460" w:type="dxa"/>
            <w:vAlign w:val="bottom"/>
            <w:tcBorders>
              <w:bottom w:val="single" w:sz="8" w:color="F7F1EC"/>
            </w:tcBorders>
            <w:shd w:val="clear" w:color="auto" w:fill="F7F1EC"/>
          </w:tcPr>
          <w:p>
            <w:pPr>
              <w:jc w:val="right"/>
              <w:ind w:right="503"/>
              <w:spacing w:after="0"/>
              <w:rPr>
                <w:sz w:val="20"/>
                <w:szCs w:val="20"/>
                <w:color w:val="auto"/>
              </w:rPr>
            </w:pPr>
            <w:r>
              <w:rPr>
                <w:rFonts w:ascii="Arial" w:cs="Arial" w:eastAsia="Arial" w:hAnsi="Arial"/>
                <w:sz w:val="15"/>
                <w:szCs w:val="15"/>
                <w:color w:val="auto"/>
              </w:rPr>
              <w:t>20,259</w:t>
            </w:r>
          </w:p>
        </w:tc>
        <w:tc>
          <w:tcPr>
            <w:tcW w:w="900" w:type="dxa"/>
            <w:vAlign w:val="bottom"/>
            <w:tcBorders>
              <w:bottom w:val="single" w:sz="8" w:color="F7F1EC"/>
            </w:tcBorders>
            <w:shd w:val="clear" w:color="auto" w:fill="F7F1EC"/>
          </w:tcPr>
          <w:p>
            <w:pPr>
              <w:jc w:val="right"/>
              <w:ind w:right="203"/>
              <w:spacing w:after="0"/>
              <w:rPr>
                <w:sz w:val="20"/>
                <w:szCs w:val="20"/>
                <w:color w:val="auto"/>
              </w:rPr>
            </w:pPr>
            <w:r>
              <w:rPr>
                <w:rFonts w:ascii="Arial" w:cs="Arial" w:eastAsia="Arial" w:hAnsi="Arial"/>
                <w:sz w:val="15"/>
                <w:szCs w:val="15"/>
                <w:color w:val="auto"/>
              </w:rPr>
              <w:t>*</w:t>
            </w:r>
          </w:p>
        </w:tc>
        <w:tc>
          <w:tcPr>
            <w:tcW w:w="1760" w:type="dxa"/>
            <w:vAlign w:val="bottom"/>
          </w:tcPr>
          <w:p>
            <w:pPr>
              <w:ind w:left="800"/>
              <w:spacing w:after="0"/>
              <w:rPr>
                <w:sz w:val="20"/>
                <w:szCs w:val="20"/>
                <w:color w:val="auto"/>
              </w:rPr>
            </w:pPr>
            <w:r>
              <w:rPr>
                <w:rFonts w:ascii="Arial" w:cs="Arial" w:eastAsia="Arial" w:hAnsi="Arial"/>
                <w:sz w:val="12"/>
                <w:szCs w:val="12"/>
                <w:color w:val="FFFFFF"/>
              </w:rPr>
              <w:t>Proposal 2</w:t>
            </w:r>
          </w:p>
        </w:tc>
        <w:tc>
          <w:tcPr>
            <w:tcW w:w="0" w:type="dxa"/>
            <w:vAlign w:val="bottom"/>
          </w:tcPr>
          <w:p>
            <w:pPr>
              <w:spacing w:after="0"/>
              <w:rPr>
                <w:sz w:val="1"/>
                <w:szCs w:val="1"/>
                <w:color w:val="auto"/>
              </w:rPr>
            </w:pPr>
          </w:p>
        </w:tc>
      </w:tr>
      <w:tr>
        <w:trPr>
          <w:trHeight w:val="217"/>
        </w:trPr>
        <w:tc>
          <w:tcPr>
            <w:tcW w:w="2340" w:type="dxa"/>
            <w:vAlign w:val="bottom"/>
          </w:tcPr>
          <w:p>
            <w:pPr>
              <w:ind w:left="240"/>
              <w:spacing w:after="0"/>
              <w:rPr>
                <w:sz w:val="20"/>
                <w:szCs w:val="20"/>
                <w:color w:val="auto"/>
              </w:rPr>
            </w:pPr>
            <w:r>
              <w:rPr>
                <w:rFonts w:ascii="Arial" w:cs="Arial" w:eastAsia="Arial" w:hAnsi="Arial"/>
                <w:sz w:val="15"/>
                <w:szCs w:val="15"/>
                <w:color w:val="auto"/>
              </w:rPr>
              <w:t>Matthew Audette</w:t>
            </w:r>
          </w:p>
        </w:tc>
        <w:tc>
          <w:tcPr>
            <w:tcW w:w="1400" w:type="dxa"/>
            <w:vAlign w:val="bottom"/>
          </w:tcPr>
          <w:p>
            <w:pPr>
              <w:jc w:val="right"/>
              <w:ind w:right="263"/>
              <w:spacing w:after="0"/>
              <w:rPr>
                <w:sz w:val="20"/>
                <w:szCs w:val="20"/>
                <w:color w:val="auto"/>
              </w:rPr>
            </w:pPr>
            <w:r>
              <w:rPr>
                <w:rFonts w:ascii="Arial" w:cs="Arial" w:eastAsia="Arial" w:hAnsi="Arial"/>
                <w:sz w:val="15"/>
                <w:szCs w:val="15"/>
                <w:color w:val="auto"/>
              </w:rPr>
              <w:t>10,006</w:t>
            </w:r>
          </w:p>
        </w:tc>
        <w:tc>
          <w:tcPr>
            <w:tcW w:w="960" w:type="dxa"/>
            <w:vAlign w:val="bottom"/>
          </w:tcPr>
          <w:p>
            <w:pPr>
              <w:jc w:val="right"/>
              <w:ind w:right="203"/>
              <w:spacing w:after="0"/>
              <w:rPr>
                <w:sz w:val="20"/>
                <w:szCs w:val="20"/>
                <w:color w:val="auto"/>
              </w:rPr>
            </w:pPr>
            <w:r>
              <w:rPr>
                <w:rFonts w:ascii="Arial" w:cs="Arial" w:eastAsia="Arial" w:hAnsi="Arial"/>
                <w:sz w:val="15"/>
                <w:szCs w:val="15"/>
                <w:color w:val="auto"/>
              </w:rPr>
              <w:t>—</w:t>
            </w:r>
          </w:p>
        </w:tc>
        <w:tc>
          <w:tcPr>
            <w:tcW w:w="820" w:type="dxa"/>
            <w:vAlign w:val="bottom"/>
          </w:tcPr>
          <w:p>
            <w:pPr>
              <w:ind w:left="260"/>
              <w:spacing w:after="0"/>
              <w:rPr>
                <w:sz w:val="20"/>
                <w:szCs w:val="20"/>
                <w:color w:val="auto"/>
              </w:rPr>
            </w:pPr>
            <w:r>
              <w:rPr>
                <w:rFonts w:ascii="Arial" w:cs="Arial" w:eastAsia="Arial" w:hAnsi="Arial"/>
                <w:sz w:val="15"/>
                <w:szCs w:val="15"/>
                <w:color w:val="auto"/>
              </w:rPr>
              <w:t>—</w:t>
            </w:r>
          </w:p>
        </w:tc>
        <w:tc>
          <w:tcPr>
            <w:tcW w:w="1460" w:type="dxa"/>
            <w:vAlign w:val="bottom"/>
          </w:tcPr>
          <w:p>
            <w:pPr>
              <w:jc w:val="right"/>
              <w:ind w:right="503"/>
              <w:spacing w:after="0"/>
              <w:rPr>
                <w:sz w:val="20"/>
                <w:szCs w:val="20"/>
                <w:color w:val="auto"/>
              </w:rPr>
            </w:pPr>
            <w:r>
              <w:rPr>
                <w:rFonts w:ascii="Arial" w:cs="Arial" w:eastAsia="Arial" w:hAnsi="Arial"/>
                <w:sz w:val="15"/>
                <w:szCs w:val="15"/>
                <w:color w:val="auto"/>
              </w:rPr>
              <w:t>10,006</w:t>
            </w:r>
          </w:p>
        </w:tc>
        <w:tc>
          <w:tcPr>
            <w:tcW w:w="900" w:type="dxa"/>
            <w:vAlign w:val="bottom"/>
          </w:tcPr>
          <w:p>
            <w:pPr>
              <w:jc w:val="right"/>
              <w:ind w:right="203"/>
              <w:spacing w:after="0"/>
              <w:rPr>
                <w:sz w:val="20"/>
                <w:szCs w:val="20"/>
                <w:color w:val="auto"/>
              </w:rPr>
            </w:pPr>
            <w:r>
              <w:rPr>
                <w:rFonts w:ascii="Arial" w:cs="Arial" w:eastAsia="Arial" w:hAnsi="Arial"/>
                <w:sz w:val="15"/>
                <w:szCs w:val="15"/>
                <w:color w:val="auto"/>
              </w:rPr>
              <w:t>*</w:t>
            </w:r>
          </w:p>
        </w:tc>
        <w:tc>
          <w:tcPr>
            <w:tcW w:w="1760" w:type="dxa"/>
            <w:vAlign w:val="bottom"/>
          </w:tcPr>
          <w:p>
            <w:pPr>
              <w:ind w:left="800"/>
              <w:spacing w:after="0"/>
              <w:rPr>
                <w:sz w:val="20"/>
                <w:szCs w:val="20"/>
                <w:color w:val="auto"/>
              </w:rPr>
            </w:pPr>
            <w:r>
              <w:rPr>
                <w:rFonts w:ascii="Arial" w:cs="Arial" w:eastAsia="Arial" w:hAnsi="Arial"/>
                <w:sz w:val="12"/>
                <w:szCs w:val="12"/>
                <w:color w:val="FFFFFF"/>
              </w:rPr>
              <w:t>Report of the</w:t>
            </w:r>
          </w:p>
        </w:tc>
        <w:tc>
          <w:tcPr>
            <w:tcW w:w="0" w:type="dxa"/>
            <w:vAlign w:val="bottom"/>
          </w:tcPr>
          <w:p>
            <w:pPr>
              <w:spacing w:after="0"/>
              <w:rPr>
                <w:sz w:val="1"/>
                <w:szCs w:val="1"/>
                <w:color w:val="auto"/>
              </w:rPr>
            </w:pPr>
          </w:p>
        </w:tc>
      </w:tr>
      <w:tr>
        <w:trPr>
          <w:trHeight w:val="89"/>
        </w:trPr>
        <w:tc>
          <w:tcPr>
            <w:tcW w:w="2340" w:type="dxa"/>
            <w:vAlign w:val="bottom"/>
          </w:tcPr>
          <w:p>
            <w:pPr>
              <w:spacing w:after="0"/>
              <w:rPr>
                <w:sz w:val="7"/>
                <w:szCs w:val="7"/>
                <w:color w:val="auto"/>
              </w:rPr>
            </w:pPr>
          </w:p>
        </w:tc>
        <w:tc>
          <w:tcPr>
            <w:tcW w:w="1400" w:type="dxa"/>
            <w:vAlign w:val="bottom"/>
          </w:tcPr>
          <w:p>
            <w:pPr>
              <w:spacing w:after="0"/>
              <w:rPr>
                <w:sz w:val="7"/>
                <w:szCs w:val="7"/>
                <w:color w:val="auto"/>
              </w:rPr>
            </w:pPr>
          </w:p>
        </w:tc>
        <w:tc>
          <w:tcPr>
            <w:tcW w:w="96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60" w:type="dxa"/>
            <w:vAlign w:val="bottom"/>
          </w:tcPr>
          <w:p>
            <w:pPr>
              <w:spacing w:after="0"/>
              <w:rPr>
                <w:sz w:val="7"/>
                <w:szCs w:val="7"/>
                <w:color w:val="auto"/>
              </w:rPr>
            </w:pPr>
          </w:p>
        </w:tc>
        <w:tc>
          <w:tcPr>
            <w:tcW w:w="900" w:type="dxa"/>
            <w:vAlign w:val="bottom"/>
          </w:tcPr>
          <w:p>
            <w:pPr>
              <w:spacing w:after="0"/>
              <w:rPr>
                <w:sz w:val="7"/>
                <w:szCs w:val="7"/>
                <w:color w:val="auto"/>
              </w:rPr>
            </w:pPr>
          </w:p>
        </w:tc>
        <w:tc>
          <w:tcPr>
            <w:tcW w:w="1760" w:type="dxa"/>
            <w:vAlign w:val="bottom"/>
          </w:tcPr>
          <w:p>
            <w:pPr>
              <w:ind w:left="800"/>
              <w:spacing w:after="0" w:line="69" w:lineRule="exact"/>
              <w:rPr>
                <w:sz w:val="20"/>
                <w:szCs w:val="20"/>
                <w:color w:val="auto"/>
              </w:rPr>
            </w:pPr>
            <w:r>
              <w:rPr>
                <w:rFonts w:ascii="Arial" w:cs="Arial" w:eastAsia="Arial" w:hAnsi="Arial"/>
                <w:sz w:val="8"/>
                <w:szCs w:val="8"/>
                <w:color w:val="FFFFFF"/>
              </w:rPr>
              <w:t>Audit and Risk</w:t>
            </w:r>
          </w:p>
        </w:tc>
        <w:tc>
          <w:tcPr>
            <w:tcW w:w="0" w:type="dxa"/>
            <w:vAlign w:val="bottom"/>
          </w:tcPr>
          <w:p>
            <w:pPr>
              <w:spacing w:after="0"/>
              <w:rPr>
                <w:sz w:val="1"/>
                <w:szCs w:val="1"/>
                <w:color w:val="auto"/>
              </w:rPr>
            </w:pPr>
          </w:p>
        </w:tc>
      </w:tr>
      <w:tr>
        <w:trPr>
          <w:trHeight w:val="135"/>
        </w:trPr>
        <w:tc>
          <w:tcPr>
            <w:tcW w:w="2340" w:type="dxa"/>
            <w:vAlign w:val="bottom"/>
            <w:vMerge w:val="restart"/>
            <w:shd w:val="clear" w:color="auto" w:fill="F7F1EC"/>
          </w:tcPr>
          <w:p>
            <w:pPr>
              <w:ind w:left="240"/>
              <w:spacing w:after="0"/>
              <w:rPr>
                <w:sz w:val="20"/>
                <w:szCs w:val="20"/>
                <w:color w:val="auto"/>
              </w:rPr>
            </w:pPr>
            <w:r>
              <w:rPr>
                <w:rFonts w:ascii="Arial" w:cs="Arial" w:eastAsia="Arial" w:hAnsi="Arial"/>
                <w:sz w:val="15"/>
                <w:szCs w:val="15"/>
                <w:color w:val="auto"/>
              </w:rPr>
              <w:t>Matthew Enyedi</w:t>
            </w:r>
          </w:p>
        </w:tc>
        <w:tc>
          <w:tcPr>
            <w:tcW w:w="1400" w:type="dxa"/>
            <w:vAlign w:val="bottom"/>
            <w:vMerge w:val="restart"/>
            <w:shd w:val="clear" w:color="auto" w:fill="F7F1EC"/>
          </w:tcPr>
          <w:p>
            <w:pPr>
              <w:jc w:val="right"/>
              <w:ind w:right="263"/>
              <w:spacing w:after="0"/>
              <w:rPr>
                <w:sz w:val="20"/>
                <w:szCs w:val="20"/>
                <w:color w:val="auto"/>
              </w:rPr>
            </w:pPr>
            <w:r>
              <w:rPr>
                <w:rFonts w:ascii="Arial" w:cs="Arial" w:eastAsia="Arial" w:hAnsi="Arial"/>
                <w:sz w:val="15"/>
                <w:szCs w:val="15"/>
                <w:color w:val="auto"/>
              </w:rPr>
              <w:t>10,242</w:t>
            </w:r>
          </w:p>
        </w:tc>
        <w:tc>
          <w:tcPr>
            <w:tcW w:w="960" w:type="dxa"/>
            <w:vAlign w:val="bottom"/>
            <w:vMerge w:val="restart"/>
            <w:shd w:val="clear" w:color="auto" w:fill="F7F1EC"/>
          </w:tcPr>
          <w:p>
            <w:pPr>
              <w:jc w:val="right"/>
              <w:ind w:right="203"/>
              <w:spacing w:after="0"/>
              <w:rPr>
                <w:sz w:val="20"/>
                <w:szCs w:val="20"/>
                <w:color w:val="auto"/>
              </w:rPr>
            </w:pPr>
            <w:r>
              <w:rPr>
                <w:rFonts w:ascii="Arial" w:cs="Arial" w:eastAsia="Arial" w:hAnsi="Arial"/>
                <w:sz w:val="15"/>
                <w:szCs w:val="15"/>
                <w:color w:val="auto"/>
              </w:rPr>
              <w:t>11,035</w:t>
            </w:r>
          </w:p>
        </w:tc>
        <w:tc>
          <w:tcPr>
            <w:tcW w:w="820" w:type="dxa"/>
            <w:vAlign w:val="bottom"/>
            <w:vMerge w:val="restart"/>
            <w:shd w:val="clear" w:color="auto" w:fill="F7F1EC"/>
          </w:tcPr>
          <w:p>
            <w:pPr>
              <w:ind w:left="260"/>
              <w:spacing w:after="0"/>
              <w:rPr>
                <w:sz w:val="20"/>
                <w:szCs w:val="20"/>
                <w:color w:val="auto"/>
              </w:rPr>
            </w:pPr>
            <w:r>
              <w:rPr>
                <w:rFonts w:ascii="Arial" w:cs="Arial" w:eastAsia="Arial" w:hAnsi="Arial"/>
                <w:sz w:val="15"/>
                <w:szCs w:val="15"/>
                <w:color w:val="auto"/>
              </w:rPr>
              <w:t>—</w:t>
            </w:r>
          </w:p>
        </w:tc>
        <w:tc>
          <w:tcPr>
            <w:tcW w:w="1460" w:type="dxa"/>
            <w:vAlign w:val="bottom"/>
            <w:vMerge w:val="restart"/>
            <w:shd w:val="clear" w:color="auto" w:fill="F7F1EC"/>
          </w:tcPr>
          <w:p>
            <w:pPr>
              <w:jc w:val="right"/>
              <w:ind w:right="503"/>
              <w:spacing w:after="0"/>
              <w:rPr>
                <w:sz w:val="20"/>
                <w:szCs w:val="20"/>
                <w:color w:val="auto"/>
              </w:rPr>
            </w:pPr>
            <w:r>
              <w:rPr>
                <w:rFonts w:ascii="Arial" w:cs="Arial" w:eastAsia="Arial" w:hAnsi="Arial"/>
                <w:sz w:val="15"/>
                <w:szCs w:val="15"/>
                <w:color w:val="auto"/>
              </w:rPr>
              <w:t>21,277</w:t>
            </w:r>
          </w:p>
        </w:tc>
        <w:tc>
          <w:tcPr>
            <w:tcW w:w="900" w:type="dxa"/>
            <w:vAlign w:val="bottom"/>
            <w:vMerge w:val="restart"/>
            <w:shd w:val="clear" w:color="auto" w:fill="F7F1EC"/>
          </w:tcPr>
          <w:p>
            <w:pPr>
              <w:jc w:val="right"/>
              <w:ind w:right="203"/>
              <w:spacing w:after="0"/>
              <w:rPr>
                <w:sz w:val="20"/>
                <w:szCs w:val="20"/>
                <w:color w:val="auto"/>
              </w:rPr>
            </w:pPr>
            <w:r>
              <w:rPr>
                <w:rFonts w:ascii="Arial" w:cs="Arial" w:eastAsia="Arial" w:hAnsi="Arial"/>
                <w:sz w:val="15"/>
                <w:szCs w:val="15"/>
                <w:color w:val="auto"/>
              </w:rPr>
              <w:t>*</w:t>
            </w:r>
          </w:p>
        </w:tc>
        <w:tc>
          <w:tcPr>
            <w:tcW w:w="1760" w:type="dxa"/>
            <w:vAlign w:val="bottom"/>
          </w:tcPr>
          <w:p>
            <w:pPr>
              <w:ind w:left="800"/>
              <w:spacing w:after="0" w:line="136" w:lineRule="exact"/>
              <w:rPr>
                <w:sz w:val="20"/>
                <w:szCs w:val="20"/>
                <w:color w:val="auto"/>
              </w:rPr>
            </w:pPr>
            <w:r>
              <w:rPr>
                <w:rFonts w:ascii="Arial" w:cs="Arial" w:eastAsia="Arial" w:hAnsi="Arial"/>
                <w:sz w:val="12"/>
                <w:szCs w:val="12"/>
                <w:color w:val="FFFFFF"/>
              </w:rPr>
              <w:t>Committee of the</w:t>
            </w:r>
          </w:p>
        </w:tc>
        <w:tc>
          <w:tcPr>
            <w:tcW w:w="0" w:type="dxa"/>
            <w:vAlign w:val="bottom"/>
          </w:tcPr>
          <w:p>
            <w:pPr>
              <w:spacing w:after="0"/>
              <w:rPr>
                <w:sz w:val="1"/>
                <w:szCs w:val="1"/>
                <w:color w:val="auto"/>
              </w:rPr>
            </w:pPr>
          </w:p>
        </w:tc>
      </w:tr>
      <w:tr>
        <w:trPr>
          <w:trHeight w:val="171"/>
        </w:trPr>
        <w:tc>
          <w:tcPr>
            <w:tcW w:w="2340" w:type="dxa"/>
            <w:vAlign w:val="bottom"/>
            <w:vMerge w:val="continue"/>
            <w:shd w:val="clear" w:color="auto" w:fill="F7F1EC"/>
          </w:tcPr>
          <w:p>
            <w:pPr>
              <w:spacing w:after="0"/>
              <w:rPr>
                <w:sz w:val="14"/>
                <w:szCs w:val="14"/>
                <w:color w:val="auto"/>
              </w:rPr>
            </w:pPr>
          </w:p>
        </w:tc>
        <w:tc>
          <w:tcPr>
            <w:tcW w:w="1400" w:type="dxa"/>
            <w:vAlign w:val="bottom"/>
            <w:vMerge w:val="continue"/>
            <w:shd w:val="clear" w:color="auto" w:fill="F7F1EC"/>
          </w:tcPr>
          <w:p>
            <w:pPr>
              <w:spacing w:after="0"/>
              <w:rPr>
                <w:sz w:val="14"/>
                <w:szCs w:val="14"/>
                <w:color w:val="auto"/>
              </w:rPr>
            </w:pPr>
          </w:p>
        </w:tc>
        <w:tc>
          <w:tcPr>
            <w:tcW w:w="960" w:type="dxa"/>
            <w:vAlign w:val="bottom"/>
            <w:vMerge w:val="continue"/>
            <w:shd w:val="clear" w:color="auto" w:fill="F7F1EC"/>
          </w:tcPr>
          <w:p>
            <w:pPr>
              <w:spacing w:after="0"/>
              <w:rPr>
                <w:sz w:val="14"/>
                <w:szCs w:val="14"/>
                <w:color w:val="auto"/>
              </w:rPr>
            </w:pPr>
          </w:p>
        </w:tc>
        <w:tc>
          <w:tcPr>
            <w:tcW w:w="820" w:type="dxa"/>
            <w:vAlign w:val="bottom"/>
            <w:vMerge w:val="continue"/>
            <w:shd w:val="clear" w:color="auto" w:fill="F7F1EC"/>
          </w:tcPr>
          <w:p>
            <w:pPr>
              <w:spacing w:after="0"/>
              <w:rPr>
                <w:sz w:val="14"/>
                <w:szCs w:val="14"/>
                <w:color w:val="auto"/>
              </w:rPr>
            </w:pPr>
          </w:p>
        </w:tc>
        <w:tc>
          <w:tcPr>
            <w:tcW w:w="1460" w:type="dxa"/>
            <w:vAlign w:val="bottom"/>
            <w:vMerge w:val="continue"/>
            <w:shd w:val="clear" w:color="auto" w:fill="F7F1EC"/>
          </w:tcPr>
          <w:p>
            <w:pPr>
              <w:spacing w:after="0"/>
              <w:rPr>
                <w:sz w:val="14"/>
                <w:szCs w:val="14"/>
                <w:color w:val="auto"/>
              </w:rPr>
            </w:pPr>
          </w:p>
        </w:tc>
        <w:tc>
          <w:tcPr>
            <w:tcW w:w="900" w:type="dxa"/>
            <w:vAlign w:val="bottom"/>
            <w:vMerge w:val="continue"/>
            <w:shd w:val="clear" w:color="auto" w:fill="F7F1EC"/>
          </w:tcPr>
          <w:p>
            <w:pPr>
              <w:spacing w:after="0"/>
              <w:rPr>
                <w:sz w:val="14"/>
                <w:szCs w:val="14"/>
                <w:color w:val="auto"/>
              </w:rPr>
            </w:pPr>
          </w:p>
        </w:tc>
        <w:tc>
          <w:tcPr>
            <w:tcW w:w="1760" w:type="dxa"/>
            <w:vAlign w:val="bottom"/>
          </w:tcPr>
          <w:p>
            <w:pPr>
              <w:ind w:left="800"/>
              <w:spacing w:after="0"/>
              <w:rPr>
                <w:sz w:val="20"/>
                <w:szCs w:val="20"/>
                <w:color w:val="auto"/>
              </w:rPr>
            </w:pPr>
            <w:r>
              <w:rPr>
                <w:rFonts w:ascii="Arial" w:cs="Arial" w:eastAsia="Arial" w:hAnsi="Arial"/>
                <w:sz w:val="12"/>
                <w:szCs w:val="12"/>
                <w:color w:val="FFFFFF"/>
                <w:w w:val="97"/>
              </w:rPr>
              <w:t>Board of Directors</w:t>
            </w:r>
          </w:p>
        </w:tc>
        <w:tc>
          <w:tcPr>
            <w:tcW w:w="0" w:type="dxa"/>
            <w:vAlign w:val="bottom"/>
          </w:tcPr>
          <w:p>
            <w:pPr>
              <w:spacing w:after="0"/>
              <w:rPr>
                <w:sz w:val="1"/>
                <w:szCs w:val="1"/>
                <w:color w:val="auto"/>
              </w:rPr>
            </w:pPr>
          </w:p>
        </w:tc>
      </w:tr>
      <w:tr>
        <w:trPr>
          <w:trHeight w:val="280"/>
        </w:trPr>
        <w:tc>
          <w:tcPr>
            <w:tcW w:w="2340" w:type="dxa"/>
            <w:vAlign w:val="bottom"/>
          </w:tcPr>
          <w:p>
            <w:pPr>
              <w:ind w:left="240"/>
              <w:spacing w:after="0"/>
              <w:rPr>
                <w:sz w:val="20"/>
                <w:szCs w:val="20"/>
                <w:color w:val="auto"/>
              </w:rPr>
            </w:pPr>
            <w:r>
              <w:rPr>
                <w:rFonts w:ascii="Arial" w:cs="Arial" w:eastAsia="Arial" w:hAnsi="Arial"/>
                <w:sz w:val="15"/>
                <w:szCs w:val="15"/>
                <w:color w:val="auto"/>
              </w:rPr>
              <w:t>Greg Gates</w:t>
            </w:r>
          </w:p>
        </w:tc>
        <w:tc>
          <w:tcPr>
            <w:tcW w:w="1400" w:type="dxa"/>
            <w:vAlign w:val="bottom"/>
          </w:tcPr>
          <w:p>
            <w:pPr>
              <w:jc w:val="right"/>
              <w:ind w:right="263"/>
              <w:spacing w:after="0"/>
              <w:rPr>
                <w:sz w:val="20"/>
                <w:szCs w:val="20"/>
                <w:color w:val="auto"/>
              </w:rPr>
            </w:pPr>
            <w:r>
              <w:rPr>
                <w:rFonts w:ascii="Arial" w:cs="Arial" w:eastAsia="Arial" w:hAnsi="Arial"/>
                <w:sz w:val="15"/>
                <w:szCs w:val="15"/>
                <w:color w:val="auto"/>
              </w:rPr>
              <w:t>12,458</w:t>
            </w:r>
          </w:p>
        </w:tc>
        <w:tc>
          <w:tcPr>
            <w:tcW w:w="960" w:type="dxa"/>
            <w:vAlign w:val="bottom"/>
          </w:tcPr>
          <w:p>
            <w:pPr>
              <w:jc w:val="right"/>
              <w:ind w:right="203"/>
              <w:spacing w:after="0"/>
              <w:rPr>
                <w:sz w:val="20"/>
                <w:szCs w:val="20"/>
                <w:color w:val="auto"/>
              </w:rPr>
            </w:pPr>
            <w:r>
              <w:rPr>
                <w:rFonts w:ascii="Arial" w:cs="Arial" w:eastAsia="Arial" w:hAnsi="Arial"/>
                <w:sz w:val="15"/>
                <w:szCs w:val="15"/>
                <w:color w:val="auto"/>
              </w:rPr>
              <w:t>7,189</w:t>
            </w:r>
          </w:p>
        </w:tc>
        <w:tc>
          <w:tcPr>
            <w:tcW w:w="820" w:type="dxa"/>
            <w:vAlign w:val="bottom"/>
          </w:tcPr>
          <w:p>
            <w:pPr>
              <w:ind w:left="260"/>
              <w:spacing w:after="0"/>
              <w:rPr>
                <w:sz w:val="20"/>
                <w:szCs w:val="20"/>
                <w:color w:val="auto"/>
              </w:rPr>
            </w:pPr>
            <w:r>
              <w:rPr>
                <w:rFonts w:ascii="Arial" w:cs="Arial" w:eastAsia="Arial" w:hAnsi="Arial"/>
                <w:sz w:val="15"/>
                <w:szCs w:val="15"/>
                <w:color w:val="auto"/>
              </w:rPr>
              <w:t>—</w:t>
            </w:r>
          </w:p>
        </w:tc>
        <w:tc>
          <w:tcPr>
            <w:tcW w:w="1460" w:type="dxa"/>
            <w:vAlign w:val="bottom"/>
          </w:tcPr>
          <w:p>
            <w:pPr>
              <w:jc w:val="right"/>
              <w:ind w:right="503"/>
              <w:spacing w:after="0"/>
              <w:rPr>
                <w:sz w:val="20"/>
                <w:szCs w:val="20"/>
                <w:color w:val="auto"/>
              </w:rPr>
            </w:pPr>
            <w:r>
              <w:rPr>
                <w:rFonts w:ascii="Arial" w:cs="Arial" w:eastAsia="Arial" w:hAnsi="Arial"/>
                <w:sz w:val="15"/>
                <w:szCs w:val="15"/>
                <w:color w:val="auto"/>
              </w:rPr>
              <w:t>19,647</w:t>
            </w:r>
          </w:p>
        </w:tc>
        <w:tc>
          <w:tcPr>
            <w:tcW w:w="900" w:type="dxa"/>
            <w:vAlign w:val="bottom"/>
          </w:tcPr>
          <w:p>
            <w:pPr>
              <w:jc w:val="right"/>
              <w:ind w:right="203"/>
              <w:spacing w:after="0"/>
              <w:rPr>
                <w:sz w:val="20"/>
                <w:szCs w:val="20"/>
                <w:color w:val="auto"/>
              </w:rPr>
            </w:pPr>
            <w:r>
              <w:rPr>
                <w:rFonts w:ascii="Arial" w:cs="Arial" w:eastAsia="Arial" w:hAnsi="Arial"/>
                <w:sz w:val="15"/>
                <w:szCs w:val="15"/>
                <w:color w:val="auto"/>
              </w:rPr>
              <w:t>*</w:t>
            </w:r>
          </w:p>
        </w:tc>
        <w:tc>
          <w:tcPr>
            <w:tcW w:w="1760" w:type="dxa"/>
            <w:vAlign w:val="bottom"/>
          </w:tcPr>
          <w:p>
            <w:pPr>
              <w:ind w:left="800"/>
              <w:spacing w:after="0"/>
              <w:rPr>
                <w:sz w:val="20"/>
                <w:szCs w:val="20"/>
                <w:color w:val="auto"/>
              </w:rPr>
            </w:pPr>
            <w:r>
              <w:rPr>
                <w:rFonts w:ascii="Arial" w:cs="Arial" w:eastAsia="Arial" w:hAnsi="Arial"/>
                <w:sz w:val="12"/>
                <w:szCs w:val="12"/>
                <w:color w:val="FFFFFF"/>
              </w:rPr>
              <w:t>Proposal 3</w:t>
            </w:r>
          </w:p>
        </w:tc>
        <w:tc>
          <w:tcPr>
            <w:tcW w:w="0" w:type="dxa"/>
            <w:vAlign w:val="bottom"/>
          </w:tcPr>
          <w:p>
            <w:pPr>
              <w:spacing w:after="0"/>
              <w:rPr>
                <w:sz w:val="1"/>
                <w:szCs w:val="1"/>
                <w:color w:val="auto"/>
              </w:rPr>
            </w:pPr>
          </w:p>
        </w:tc>
      </w:tr>
      <w:tr>
        <w:trPr>
          <w:trHeight w:val="26"/>
        </w:trPr>
        <w:tc>
          <w:tcPr>
            <w:tcW w:w="23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6"/>
        </w:trPr>
        <w:tc>
          <w:tcPr>
            <w:tcW w:w="2340" w:type="dxa"/>
            <w:vAlign w:val="bottom"/>
            <w:tcBorders>
              <w:bottom w:val="single" w:sz="8" w:color="F7F1EC"/>
            </w:tcBorders>
            <w:shd w:val="clear" w:color="auto" w:fill="F7F1EC"/>
          </w:tcPr>
          <w:p>
            <w:pPr>
              <w:ind w:left="240"/>
              <w:spacing w:after="0"/>
              <w:rPr>
                <w:sz w:val="20"/>
                <w:szCs w:val="20"/>
                <w:color w:val="auto"/>
              </w:rPr>
            </w:pPr>
            <w:r>
              <w:rPr>
                <w:rFonts w:ascii="Arial" w:cs="Arial" w:eastAsia="Arial" w:hAnsi="Arial"/>
                <w:sz w:val="15"/>
                <w:szCs w:val="15"/>
                <w:color w:val="auto"/>
              </w:rPr>
              <w:t>Aneri Jambusaria</w:t>
            </w:r>
          </w:p>
        </w:tc>
        <w:tc>
          <w:tcPr>
            <w:tcW w:w="1400" w:type="dxa"/>
            <w:vAlign w:val="bottom"/>
            <w:tcBorders>
              <w:bottom w:val="single" w:sz="8" w:color="F7F1EC"/>
            </w:tcBorders>
            <w:shd w:val="clear" w:color="auto" w:fill="F7F1EC"/>
          </w:tcPr>
          <w:p>
            <w:pPr>
              <w:jc w:val="right"/>
              <w:ind w:right="263"/>
              <w:spacing w:after="0"/>
              <w:rPr>
                <w:sz w:val="20"/>
                <w:szCs w:val="20"/>
                <w:color w:val="auto"/>
              </w:rPr>
            </w:pPr>
            <w:r>
              <w:rPr>
                <w:rFonts w:ascii="Arial" w:cs="Arial" w:eastAsia="Arial" w:hAnsi="Arial"/>
                <w:sz w:val="15"/>
                <w:szCs w:val="15"/>
                <w:color w:val="auto"/>
              </w:rPr>
              <w:t>4,303</w:t>
            </w:r>
          </w:p>
        </w:tc>
        <w:tc>
          <w:tcPr>
            <w:tcW w:w="960" w:type="dxa"/>
            <w:vAlign w:val="bottom"/>
            <w:tcBorders>
              <w:bottom w:val="single" w:sz="8" w:color="F7F1EC"/>
            </w:tcBorders>
            <w:shd w:val="clear" w:color="auto" w:fill="F7F1EC"/>
          </w:tcPr>
          <w:p>
            <w:pPr>
              <w:jc w:val="right"/>
              <w:ind w:right="203"/>
              <w:spacing w:after="0"/>
              <w:rPr>
                <w:sz w:val="20"/>
                <w:szCs w:val="20"/>
                <w:color w:val="auto"/>
              </w:rPr>
            </w:pPr>
            <w:r>
              <w:rPr>
                <w:rFonts w:ascii="Arial" w:cs="Arial" w:eastAsia="Arial" w:hAnsi="Arial"/>
                <w:sz w:val="15"/>
                <w:szCs w:val="15"/>
                <w:color w:val="auto"/>
              </w:rPr>
              <w:t>—</w:t>
            </w:r>
          </w:p>
        </w:tc>
        <w:tc>
          <w:tcPr>
            <w:tcW w:w="820" w:type="dxa"/>
            <w:vAlign w:val="bottom"/>
            <w:tcBorders>
              <w:bottom w:val="single" w:sz="8" w:color="F7F1EC"/>
            </w:tcBorders>
            <w:shd w:val="clear" w:color="auto" w:fill="F7F1EC"/>
          </w:tcPr>
          <w:p>
            <w:pPr>
              <w:ind w:left="260"/>
              <w:spacing w:after="0"/>
              <w:rPr>
                <w:sz w:val="20"/>
                <w:szCs w:val="20"/>
                <w:color w:val="auto"/>
              </w:rPr>
            </w:pPr>
            <w:r>
              <w:rPr>
                <w:rFonts w:ascii="Arial" w:cs="Arial" w:eastAsia="Arial" w:hAnsi="Arial"/>
                <w:sz w:val="15"/>
                <w:szCs w:val="15"/>
                <w:color w:val="auto"/>
              </w:rPr>
              <w:t>—</w:t>
            </w:r>
          </w:p>
        </w:tc>
        <w:tc>
          <w:tcPr>
            <w:tcW w:w="1460" w:type="dxa"/>
            <w:vAlign w:val="bottom"/>
            <w:tcBorders>
              <w:bottom w:val="single" w:sz="8" w:color="F7F1EC"/>
            </w:tcBorders>
            <w:shd w:val="clear" w:color="auto" w:fill="F7F1EC"/>
          </w:tcPr>
          <w:p>
            <w:pPr>
              <w:jc w:val="right"/>
              <w:ind w:right="503"/>
              <w:spacing w:after="0"/>
              <w:rPr>
                <w:sz w:val="20"/>
                <w:szCs w:val="20"/>
                <w:color w:val="auto"/>
              </w:rPr>
            </w:pPr>
            <w:r>
              <w:rPr>
                <w:rFonts w:ascii="Arial" w:cs="Arial" w:eastAsia="Arial" w:hAnsi="Arial"/>
                <w:sz w:val="15"/>
                <w:szCs w:val="15"/>
                <w:color w:val="auto"/>
              </w:rPr>
              <w:t>4,303</w:t>
            </w:r>
          </w:p>
        </w:tc>
        <w:tc>
          <w:tcPr>
            <w:tcW w:w="900" w:type="dxa"/>
            <w:vAlign w:val="bottom"/>
            <w:tcBorders>
              <w:bottom w:val="single" w:sz="8" w:color="F7F1EC"/>
            </w:tcBorders>
            <w:shd w:val="clear" w:color="auto" w:fill="F7F1EC"/>
          </w:tcPr>
          <w:p>
            <w:pPr>
              <w:jc w:val="right"/>
              <w:ind w:right="203"/>
              <w:spacing w:after="0"/>
              <w:rPr>
                <w:sz w:val="20"/>
                <w:szCs w:val="20"/>
                <w:color w:val="auto"/>
              </w:rPr>
            </w:pPr>
            <w:r>
              <w:rPr>
                <w:rFonts w:ascii="Arial" w:cs="Arial" w:eastAsia="Arial" w:hAnsi="Arial"/>
                <w:sz w:val="15"/>
                <w:szCs w:val="15"/>
                <w:color w:val="auto"/>
              </w:rPr>
              <w:t>*</w:t>
            </w:r>
          </w:p>
        </w:tc>
        <w:tc>
          <w:tcPr>
            <w:tcW w:w="1760" w:type="dxa"/>
            <w:vAlign w:val="bottom"/>
          </w:tcPr>
          <w:p>
            <w:pPr>
              <w:ind w:left="800"/>
              <w:spacing w:after="0"/>
              <w:rPr>
                <w:sz w:val="20"/>
                <w:szCs w:val="20"/>
                <w:color w:val="auto"/>
              </w:rPr>
            </w:pPr>
            <w:r>
              <w:rPr>
                <w:rFonts w:ascii="Arial" w:cs="Arial" w:eastAsia="Arial" w:hAnsi="Arial"/>
                <w:sz w:val="12"/>
                <w:szCs w:val="12"/>
                <w:color w:val="FFFFFF"/>
              </w:rPr>
              <w:t>Proposal 4</w:t>
            </w:r>
          </w:p>
        </w:tc>
        <w:tc>
          <w:tcPr>
            <w:tcW w:w="0" w:type="dxa"/>
            <w:vAlign w:val="bottom"/>
          </w:tcPr>
          <w:p>
            <w:pPr>
              <w:spacing w:after="0"/>
              <w:rPr>
                <w:sz w:val="1"/>
                <w:szCs w:val="1"/>
                <w:color w:val="auto"/>
              </w:rPr>
            </w:pPr>
          </w:p>
        </w:tc>
      </w:tr>
      <w:tr>
        <w:trPr>
          <w:trHeight w:val="306"/>
        </w:trPr>
        <w:tc>
          <w:tcPr>
            <w:tcW w:w="2340" w:type="dxa"/>
            <w:vAlign w:val="bottom"/>
          </w:tcPr>
          <w:p>
            <w:pPr>
              <w:ind w:left="240"/>
              <w:spacing w:after="0"/>
              <w:rPr>
                <w:sz w:val="20"/>
                <w:szCs w:val="20"/>
                <w:color w:val="auto"/>
              </w:rPr>
            </w:pPr>
            <w:r>
              <w:rPr>
                <w:rFonts w:ascii="Arial" w:cs="Arial" w:eastAsia="Arial" w:hAnsi="Arial"/>
                <w:sz w:val="15"/>
                <w:szCs w:val="15"/>
                <w:color w:val="auto"/>
              </w:rPr>
              <w:t>Edward C. Bernard</w:t>
            </w:r>
          </w:p>
        </w:tc>
        <w:tc>
          <w:tcPr>
            <w:tcW w:w="1400" w:type="dxa"/>
            <w:vAlign w:val="bottom"/>
          </w:tcPr>
          <w:p>
            <w:pPr>
              <w:jc w:val="right"/>
              <w:ind w:right="123"/>
              <w:spacing w:after="0"/>
              <w:rPr>
                <w:sz w:val="20"/>
                <w:szCs w:val="20"/>
                <w:color w:val="auto"/>
              </w:rPr>
            </w:pPr>
            <w:r>
              <w:rPr>
                <w:rFonts w:ascii="Arial" w:cs="Arial" w:eastAsia="Arial" w:hAnsi="Arial"/>
                <w:sz w:val="15"/>
                <w:szCs w:val="15"/>
                <w:color w:val="auto"/>
              </w:rPr>
              <w:t>41,670</w:t>
            </w:r>
            <w:r>
              <w:rPr>
                <w:rFonts w:ascii="Arial" w:cs="Arial" w:eastAsia="Arial" w:hAnsi="Arial"/>
                <w:sz w:val="22"/>
                <w:szCs w:val="22"/>
                <w:color w:val="auto"/>
                <w:vertAlign w:val="superscript"/>
              </w:rPr>
              <w:t>(5)</w:t>
            </w:r>
          </w:p>
        </w:tc>
        <w:tc>
          <w:tcPr>
            <w:tcW w:w="960" w:type="dxa"/>
            <w:vAlign w:val="bottom"/>
          </w:tcPr>
          <w:p>
            <w:pPr>
              <w:jc w:val="right"/>
              <w:ind w:right="203"/>
              <w:spacing w:after="0"/>
              <w:rPr>
                <w:sz w:val="20"/>
                <w:szCs w:val="20"/>
                <w:color w:val="auto"/>
              </w:rPr>
            </w:pPr>
            <w:r>
              <w:rPr>
                <w:rFonts w:ascii="Arial" w:cs="Arial" w:eastAsia="Arial" w:hAnsi="Arial"/>
                <w:sz w:val="15"/>
                <w:szCs w:val="15"/>
                <w:color w:val="auto"/>
              </w:rPr>
              <w:t>9,492</w:t>
            </w:r>
          </w:p>
        </w:tc>
        <w:tc>
          <w:tcPr>
            <w:tcW w:w="820" w:type="dxa"/>
            <w:vAlign w:val="bottom"/>
          </w:tcPr>
          <w:p>
            <w:pPr>
              <w:ind w:left="260"/>
              <w:spacing w:after="0"/>
              <w:rPr>
                <w:sz w:val="20"/>
                <w:szCs w:val="20"/>
                <w:color w:val="auto"/>
              </w:rPr>
            </w:pPr>
            <w:r>
              <w:rPr>
                <w:rFonts w:ascii="Arial" w:cs="Arial" w:eastAsia="Arial" w:hAnsi="Arial"/>
                <w:sz w:val="15"/>
                <w:szCs w:val="15"/>
                <w:color w:val="auto"/>
              </w:rPr>
              <w:t>—</w:t>
            </w:r>
          </w:p>
        </w:tc>
        <w:tc>
          <w:tcPr>
            <w:tcW w:w="1460" w:type="dxa"/>
            <w:vAlign w:val="bottom"/>
          </w:tcPr>
          <w:p>
            <w:pPr>
              <w:jc w:val="right"/>
              <w:ind w:right="503"/>
              <w:spacing w:after="0"/>
              <w:rPr>
                <w:sz w:val="20"/>
                <w:szCs w:val="20"/>
                <w:color w:val="auto"/>
              </w:rPr>
            </w:pPr>
            <w:r>
              <w:rPr>
                <w:rFonts w:ascii="Arial" w:cs="Arial" w:eastAsia="Arial" w:hAnsi="Arial"/>
                <w:sz w:val="15"/>
                <w:szCs w:val="15"/>
                <w:color w:val="auto"/>
              </w:rPr>
              <w:t>51,162</w:t>
            </w:r>
          </w:p>
        </w:tc>
        <w:tc>
          <w:tcPr>
            <w:tcW w:w="900" w:type="dxa"/>
            <w:vAlign w:val="bottom"/>
          </w:tcPr>
          <w:p>
            <w:pPr>
              <w:jc w:val="right"/>
              <w:ind w:right="203"/>
              <w:spacing w:after="0"/>
              <w:rPr>
                <w:sz w:val="20"/>
                <w:szCs w:val="20"/>
                <w:color w:val="auto"/>
              </w:rPr>
            </w:pPr>
            <w:r>
              <w:rPr>
                <w:rFonts w:ascii="Arial" w:cs="Arial" w:eastAsia="Arial" w:hAnsi="Arial"/>
                <w:sz w:val="15"/>
                <w:szCs w:val="15"/>
                <w:color w:val="auto"/>
              </w:rPr>
              <w:t>*</w:t>
            </w:r>
          </w:p>
        </w:tc>
        <w:tc>
          <w:tcPr>
            <w:tcW w:w="1760" w:type="dxa"/>
            <w:vAlign w:val="bottom"/>
          </w:tcPr>
          <w:p>
            <w:pPr>
              <w:ind w:left="800"/>
              <w:spacing w:after="0"/>
              <w:rPr>
                <w:sz w:val="20"/>
                <w:szCs w:val="20"/>
                <w:color w:val="auto"/>
              </w:rPr>
            </w:pPr>
            <w:r>
              <w:rPr>
                <w:rFonts w:ascii="Arial" w:cs="Arial" w:eastAsia="Arial" w:hAnsi="Arial"/>
                <w:sz w:val="12"/>
                <w:szCs w:val="12"/>
                <w:color w:val="FFFFFF"/>
              </w:rPr>
              <w:t>Proposal 5</w:t>
            </w:r>
          </w:p>
        </w:tc>
        <w:tc>
          <w:tcPr>
            <w:tcW w:w="0" w:type="dxa"/>
            <w:vAlign w:val="bottom"/>
          </w:tcPr>
          <w:p>
            <w:pPr>
              <w:spacing w:after="0"/>
              <w:rPr>
                <w:sz w:val="1"/>
                <w:szCs w:val="1"/>
                <w:color w:val="auto"/>
              </w:rPr>
            </w:pPr>
          </w:p>
        </w:tc>
      </w:tr>
      <w:tr>
        <w:trPr>
          <w:trHeight w:val="286"/>
        </w:trPr>
        <w:tc>
          <w:tcPr>
            <w:tcW w:w="2340" w:type="dxa"/>
            <w:vAlign w:val="bottom"/>
            <w:tcBorders>
              <w:bottom w:val="single" w:sz="8" w:color="F7F1EC"/>
            </w:tcBorders>
            <w:shd w:val="clear" w:color="auto" w:fill="F7F1EC"/>
          </w:tcPr>
          <w:p>
            <w:pPr>
              <w:ind w:left="240"/>
              <w:spacing w:after="0"/>
              <w:rPr>
                <w:sz w:val="20"/>
                <w:szCs w:val="20"/>
                <w:color w:val="auto"/>
              </w:rPr>
            </w:pPr>
            <w:r>
              <w:rPr>
                <w:rFonts w:ascii="Arial" w:cs="Arial" w:eastAsia="Arial" w:hAnsi="Arial"/>
                <w:sz w:val="15"/>
                <w:szCs w:val="15"/>
                <w:color w:val="auto"/>
              </w:rPr>
              <w:t>H. Paulett Eberhart</w:t>
            </w:r>
          </w:p>
        </w:tc>
        <w:tc>
          <w:tcPr>
            <w:tcW w:w="1400" w:type="dxa"/>
            <w:vAlign w:val="bottom"/>
            <w:tcBorders>
              <w:bottom w:val="single" w:sz="8" w:color="F7F1EC"/>
            </w:tcBorders>
            <w:shd w:val="clear" w:color="auto" w:fill="F7F1EC"/>
          </w:tcPr>
          <w:p>
            <w:pPr>
              <w:jc w:val="right"/>
              <w:ind w:right="263"/>
              <w:spacing w:after="0"/>
              <w:rPr>
                <w:sz w:val="20"/>
                <w:szCs w:val="20"/>
                <w:color w:val="auto"/>
              </w:rPr>
            </w:pPr>
            <w:r>
              <w:rPr>
                <w:rFonts w:ascii="Arial" w:cs="Arial" w:eastAsia="Arial" w:hAnsi="Arial"/>
                <w:sz w:val="15"/>
                <w:szCs w:val="15"/>
                <w:color w:val="auto"/>
              </w:rPr>
              <w:t>8,295</w:t>
            </w:r>
          </w:p>
        </w:tc>
        <w:tc>
          <w:tcPr>
            <w:tcW w:w="960" w:type="dxa"/>
            <w:vAlign w:val="bottom"/>
            <w:tcBorders>
              <w:bottom w:val="single" w:sz="8" w:color="F7F1EC"/>
            </w:tcBorders>
            <w:shd w:val="clear" w:color="auto" w:fill="F7F1EC"/>
          </w:tcPr>
          <w:p>
            <w:pPr>
              <w:jc w:val="right"/>
              <w:ind w:right="203"/>
              <w:spacing w:after="0"/>
              <w:rPr>
                <w:sz w:val="20"/>
                <w:szCs w:val="20"/>
                <w:color w:val="auto"/>
              </w:rPr>
            </w:pPr>
            <w:r>
              <w:rPr>
                <w:rFonts w:ascii="Arial" w:cs="Arial" w:eastAsia="Arial" w:hAnsi="Arial"/>
                <w:sz w:val="15"/>
                <w:szCs w:val="15"/>
                <w:color w:val="auto"/>
              </w:rPr>
              <w:t>8,743</w:t>
            </w:r>
          </w:p>
        </w:tc>
        <w:tc>
          <w:tcPr>
            <w:tcW w:w="820" w:type="dxa"/>
            <w:vAlign w:val="bottom"/>
            <w:tcBorders>
              <w:bottom w:val="single" w:sz="8" w:color="F7F1EC"/>
            </w:tcBorders>
            <w:shd w:val="clear" w:color="auto" w:fill="F7F1EC"/>
          </w:tcPr>
          <w:p>
            <w:pPr>
              <w:ind w:left="260"/>
              <w:spacing w:after="0"/>
              <w:rPr>
                <w:sz w:val="20"/>
                <w:szCs w:val="20"/>
                <w:color w:val="auto"/>
              </w:rPr>
            </w:pPr>
            <w:r>
              <w:rPr>
                <w:rFonts w:ascii="Arial" w:cs="Arial" w:eastAsia="Arial" w:hAnsi="Arial"/>
                <w:sz w:val="15"/>
                <w:szCs w:val="15"/>
                <w:color w:val="auto"/>
              </w:rPr>
              <w:t>—</w:t>
            </w:r>
          </w:p>
        </w:tc>
        <w:tc>
          <w:tcPr>
            <w:tcW w:w="1460" w:type="dxa"/>
            <w:vAlign w:val="bottom"/>
            <w:tcBorders>
              <w:bottom w:val="single" w:sz="8" w:color="F7F1EC"/>
            </w:tcBorders>
            <w:shd w:val="clear" w:color="auto" w:fill="F7F1EC"/>
          </w:tcPr>
          <w:p>
            <w:pPr>
              <w:jc w:val="right"/>
              <w:ind w:right="503"/>
              <w:spacing w:after="0"/>
              <w:rPr>
                <w:sz w:val="20"/>
                <w:szCs w:val="20"/>
                <w:color w:val="auto"/>
              </w:rPr>
            </w:pPr>
            <w:r>
              <w:rPr>
                <w:rFonts w:ascii="Arial" w:cs="Arial" w:eastAsia="Arial" w:hAnsi="Arial"/>
                <w:sz w:val="15"/>
                <w:szCs w:val="15"/>
                <w:color w:val="auto"/>
              </w:rPr>
              <w:t>17,038</w:t>
            </w:r>
          </w:p>
        </w:tc>
        <w:tc>
          <w:tcPr>
            <w:tcW w:w="900" w:type="dxa"/>
            <w:vAlign w:val="bottom"/>
            <w:tcBorders>
              <w:bottom w:val="single" w:sz="8" w:color="F7F1EC"/>
            </w:tcBorders>
            <w:shd w:val="clear" w:color="auto" w:fill="F7F1EC"/>
          </w:tcPr>
          <w:p>
            <w:pPr>
              <w:jc w:val="right"/>
              <w:ind w:right="203"/>
              <w:spacing w:after="0"/>
              <w:rPr>
                <w:sz w:val="20"/>
                <w:szCs w:val="20"/>
                <w:color w:val="auto"/>
              </w:rPr>
            </w:pPr>
            <w:r>
              <w:rPr>
                <w:rFonts w:ascii="Arial" w:cs="Arial" w:eastAsia="Arial" w:hAnsi="Arial"/>
                <w:sz w:val="15"/>
                <w:szCs w:val="15"/>
                <w:color w:val="auto"/>
              </w:rPr>
              <w:t>*</w:t>
            </w:r>
          </w:p>
        </w:tc>
        <w:tc>
          <w:tcPr>
            <w:tcW w:w="1760" w:type="dxa"/>
            <w:vAlign w:val="bottom"/>
          </w:tcPr>
          <w:p>
            <w:pPr>
              <w:ind w:left="800"/>
              <w:spacing w:after="0"/>
              <w:rPr>
                <w:sz w:val="20"/>
                <w:szCs w:val="20"/>
                <w:color w:val="auto"/>
              </w:rPr>
            </w:pPr>
            <w:r>
              <w:rPr>
                <w:rFonts w:ascii="Arial" w:cs="Arial" w:eastAsia="Arial" w:hAnsi="Arial"/>
                <w:sz w:val="12"/>
                <w:szCs w:val="12"/>
                <w:color w:val="FFFFFF"/>
              </w:rPr>
              <w:t>Proposal 6</w:t>
            </w:r>
          </w:p>
        </w:tc>
        <w:tc>
          <w:tcPr>
            <w:tcW w:w="0" w:type="dxa"/>
            <w:vAlign w:val="bottom"/>
          </w:tcPr>
          <w:p>
            <w:pPr>
              <w:spacing w:after="0"/>
              <w:rPr>
                <w:sz w:val="1"/>
                <w:szCs w:val="1"/>
                <w:color w:val="auto"/>
              </w:rPr>
            </w:pPr>
          </w:p>
        </w:tc>
      </w:tr>
      <w:tr>
        <w:trPr>
          <w:trHeight w:val="217"/>
        </w:trPr>
        <w:tc>
          <w:tcPr>
            <w:tcW w:w="2340" w:type="dxa"/>
            <w:vAlign w:val="bottom"/>
          </w:tcPr>
          <w:p>
            <w:pPr>
              <w:ind w:left="240"/>
              <w:spacing w:after="0"/>
              <w:rPr>
                <w:sz w:val="20"/>
                <w:szCs w:val="20"/>
                <w:color w:val="auto"/>
              </w:rPr>
            </w:pPr>
            <w:r>
              <w:rPr>
                <w:rFonts w:ascii="Arial" w:cs="Arial" w:eastAsia="Arial" w:hAnsi="Arial"/>
                <w:sz w:val="15"/>
                <w:szCs w:val="15"/>
                <w:color w:val="auto"/>
              </w:rPr>
              <w:t>William F. Glavin, Jr.</w:t>
            </w:r>
          </w:p>
        </w:tc>
        <w:tc>
          <w:tcPr>
            <w:tcW w:w="1400" w:type="dxa"/>
            <w:vAlign w:val="bottom"/>
          </w:tcPr>
          <w:p>
            <w:pPr>
              <w:jc w:val="right"/>
              <w:ind w:right="123"/>
              <w:spacing w:after="0" w:line="217" w:lineRule="exact"/>
              <w:rPr>
                <w:sz w:val="20"/>
                <w:szCs w:val="20"/>
                <w:color w:val="auto"/>
              </w:rPr>
            </w:pPr>
            <w:r>
              <w:rPr>
                <w:rFonts w:ascii="Arial" w:cs="Arial" w:eastAsia="Arial" w:hAnsi="Arial"/>
                <w:sz w:val="15"/>
                <w:szCs w:val="15"/>
                <w:color w:val="auto"/>
              </w:rPr>
              <w:t>3,852</w:t>
            </w:r>
            <w:r>
              <w:rPr>
                <w:rFonts w:ascii="Arial" w:cs="Arial" w:eastAsia="Arial" w:hAnsi="Arial"/>
                <w:sz w:val="22"/>
                <w:szCs w:val="22"/>
                <w:color w:val="auto"/>
                <w:vertAlign w:val="superscript"/>
              </w:rPr>
              <w:t>(6)</w:t>
            </w:r>
          </w:p>
        </w:tc>
        <w:tc>
          <w:tcPr>
            <w:tcW w:w="960" w:type="dxa"/>
            <w:vAlign w:val="bottom"/>
          </w:tcPr>
          <w:p>
            <w:pPr>
              <w:jc w:val="right"/>
              <w:ind w:right="203"/>
              <w:spacing w:after="0"/>
              <w:rPr>
                <w:sz w:val="20"/>
                <w:szCs w:val="20"/>
                <w:color w:val="auto"/>
              </w:rPr>
            </w:pPr>
            <w:r>
              <w:rPr>
                <w:rFonts w:ascii="Arial" w:cs="Arial" w:eastAsia="Arial" w:hAnsi="Arial"/>
                <w:sz w:val="15"/>
                <w:szCs w:val="15"/>
                <w:color w:val="auto"/>
              </w:rPr>
              <w:t>22,245</w:t>
            </w:r>
          </w:p>
        </w:tc>
        <w:tc>
          <w:tcPr>
            <w:tcW w:w="820" w:type="dxa"/>
            <w:vAlign w:val="bottom"/>
          </w:tcPr>
          <w:p>
            <w:pPr>
              <w:ind w:left="260"/>
              <w:spacing w:after="0"/>
              <w:rPr>
                <w:sz w:val="20"/>
                <w:szCs w:val="20"/>
                <w:color w:val="auto"/>
              </w:rPr>
            </w:pPr>
            <w:r>
              <w:rPr>
                <w:rFonts w:ascii="Arial" w:cs="Arial" w:eastAsia="Arial" w:hAnsi="Arial"/>
                <w:sz w:val="15"/>
                <w:szCs w:val="15"/>
                <w:color w:val="auto"/>
              </w:rPr>
              <w:t>—</w:t>
            </w:r>
          </w:p>
        </w:tc>
        <w:tc>
          <w:tcPr>
            <w:tcW w:w="1460" w:type="dxa"/>
            <w:vAlign w:val="bottom"/>
          </w:tcPr>
          <w:p>
            <w:pPr>
              <w:jc w:val="right"/>
              <w:ind w:right="503"/>
              <w:spacing w:after="0"/>
              <w:rPr>
                <w:sz w:val="20"/>
                <w:szCs w:val="20"/>
                <w:color w:val="auto"/>
              </w:rPr>
            </w:pPr>
            <w:r>
              <w:rPr>
                <w:rFonts w:ascii="Arial" w:cs="Arial" w:eastAsia="Arial" w:hAnsi="Arial"/>
                <w:sz w:val="15"/>
                <w:szCs w:val="15"/>
                <w:color w:val="auto"/>
              </w:rPr>
              <w:t>26,097</w:t>
            </w:r>
          </w:p>
        </w:tc>
        <w:tc>
          <w:tcPr>
            <w:tcW w:w="900" w:type="dxa"/>
            <w:vAlign w:val="bottom"/>
          </w:tcPr>
          <w:p>
            <w:pPr>
              <w:jc w:val="right"/>
              <w:ind w:right="203"/>
              <w:spacing w:after="0"/>
              <w:rPr>
                <w:sz w:val="20"/>
                <w:szCs w:val="20"/>
                <w:color w:val="auto"/>
              </w:rPr>
            </w:pPr>
            <w:r>
              <w:rPr>
                <w:rFonts w:ascii="Arial" w:cs="Arial" w:eastAsia="Arial" w:hAnsi="Arial"/>
                <w:sz w:val="15"/>
                <w:szCs w:val="15"/>
                <w:color w:val="auto"/>
              </w:rPr>
              <w:t>*</w:t>
            </w:r>
          </w:p>
        </w:tc>
        <w:tc>
          <w:tcPr>
            <w:tcW w:w="1760" w:type="dxa"/>
            <w:vAlign w:val="bottom"/>
          </w:tcPr>
          <w:p>
            <w:pPr>
              <w:ind w:left="800"/>
              <w:spacing w:after="0"/>
              <w:rPr>
                <w:sz w:val="20"/>
                <w:szCs w:val="20"/>
                <w:color w:val="auto"/>
              </w:rPr>
            </w:pPr>
            <w:r>
              <w:rPr>
                <w:rFonts w:ascii="Arial" w:cs="Arial" w:eastAsia="Arial" w:hAnsi="Arial"/>
                <w:sz w:val="12"/>
                <w:szCs w:val="12"/>
                <w:color w:val="FFFFFF"/>
              </w:rPr>
              <w:t>Stockholder</w:t>
            </w:r>
          </w:p>
        </w:tc>
        <w:tc>
          <w:tcPr>
            <w:tcW w:w="0" w:type="dxa"/>
            <w:vAlign w:val="bottom"/>
          </w:tcPr>
          <w:p>
            <w:pPr>
              <w:spacing w:after="0"/>
              <w:rPr>
                <w:sz w:val="1"/>
                <w:szCs w:val="1"/>
                <w:color w:val="auto"/>
              </w:rPr>
            </w:pPr>
          </w:p>
        </w:tc>
      </w:tr>
      <w:tr>
        <w:trPr>
          <w:trHeight w:val="90"/>
        </w:trPr>
        <w:tc>
          <w:tcPr>
            <w:tcW w:w="2340" w:type="dxa"/>
            <w:vAlign w:val="bottom"/>
            <w:tcBorders>
              <w:bottom w:val="single" w:sz="8" w:color="F7F1EC"/>
            </w:tcBorders>
          </w:tcPr>
          <w:p>
            <w:pPr>
              <w:spacing w:after="0"/>
              <w:rPr>
                <w:sz w:val="7"/>
                <w:szCs w:val="7"/>
                <w:color w:val="auto"/>
              </w:rPr>
            </w:pPr>
          </w:p>
        </w:tc>
        <w:tc>
          <w:tcPr>
            <w:tcW w:w="1400" w:type="dxa"/>
            <w:vAlign w:val="bottom"/>
            <w:tcBorders>
              <w:bottom w:val="single" w:sz="8" w:color="F7F1EC"/>
            </w:tcBorders>
          </w:tcPr>
          <w:p>
            <w:pPr>
              <w:spacing w:after="0"/>
              <w:rPr>
                <w:sz w:val="7"/>
                <w:szCs w:val="7"/>
                <w:color w:val="auto"/>
              </w:rPr>
            </w:pPr>
          </w:p>
        </w:tc>
        <w:tc>
          <w:tcPr>
            <w:tcW w:w="960" w:type="dxa"/>
            <w:vAlign w:val="bottom"/>
            <w:tcBorders>
              <w:bottom w:val="single" w:sz="8" w:color="F7F1EC"/>
            </w:tcBorders>
          </w:tcPr>
          <w:p>
            <w:pPr>
              <w:spacing w:after="0"/>
              <w:rPr>
                <w:sz w:val="7"/>
                <w:szCs w:val="7"/>
                <w:color w:val="auto"/>
              </w:rPr>
            </w:pPr>
          </w:p>
        </w:tc>
        <w:tc>
          <w:tcPr>
            <w:tcW w:w="820" w:type="dxa"/>
            <w:vAlign w:val="bottom"/>
            <w:tcBorders>
              <w:bottom w:val="single" w:sz="8" w:color="F7F1EC"/>
            </w:tcBorders>
          </w:tcPr>
          <w:p>
            <w:pPr>
              <w:spacing w:after="0"/>
              <w:rPr>
                <w:sz w:val="7"/>
                <w:szCs w:val="7"/>
                <w:color w:val="auto"/>
              </w:rPr>
            </w:pPr>
          </w:p>
        </w:tc>
        <w:tc>
          <w:tcPr>
            <w:tcW w:w="1460" w:type="dxa"/>
            <w:vAlign w:val="bottom"/>
            <w:tcBorders>
              <w:bottom w:val="single" w:sz="8" w:color="F7F1EC"/>
            </w:tcBorders>
          </w:tcPr>
          <w:p>
            <w:pPr>
              <w:spacing w:after="0"/>
              <w:rPr>
                <w:sz w:val="7"/>
                <w:szCs w:val="7"/>
                <w:color w:val="auto"/>
              </w:rPr>
            </w:pPr>
          </w:p>
        </w:tc>
        <w:tc>
          <w:tcPr>
            <w:tcW w:w="900" w:type="dxa"/>
            <w:vAlign w:val="bottom"/>
            <w:tcBorders>
              <w:bottom w:val="single" w:sz="8" w:color="F7F1EC"/>
            </w:tcBorders>
          </w:tcPr>
          <w:p>
            <w:pPr>
              <w:spacing w:after="0"/>
              <w:rPr>
                <w:sz w:val="7"/>
                <w:szCs w:val="7"/>
                <w:color w:val="auto"/>
              </w:rPr>
            </w:pPr>
          </w:p>
        </w:tc>
        <w:tc>
          <w:tcPr>
            <w:tcW w:w="1760" w:type="dxa"/>
            <w:vAlign w:val="bottom"/>
          </w:tcPr>
          <w:p>
            <w:pPr>
              <w:ind w:left="800"/>
              <w:spacing w:after="0" w:line="90" w:lineRule="exact"/>
              <w:rPr>
                <w:sz w:val="20"/>
                <w:szCs w:val="20"/>
                <w:color w:val="auto"/>
              </w:rPr>
            </w:pPr>
            <w:r>
              <w:rPr>
                <w:rFonts w:ascii="Arial" w:cs="Arial" w:eastAsia="Arial" w:hAnsi="Arial"/>
                <w:sz w:val="10"/>
                <w:szCs w:val="10"/>
                <w:color w:val="FFFFFF"/>
              </w:rPr>
              <w:t>Proposals and</w:t>
            </w:r>
          </w:p>
        </w:tc>
        <w:tc>
          <w:tcPr>
            <w:tcW w:w="0" w:type="dxa"/>
            <w:vAlign w:val="bottom"/>
          </w:tcPr>
          <w:p>
            <w:pPr>
              <w:spacing w:after="0"/>
              <w:rPr>
                <w:sz w:val="1"/>
                <w:szCs w:val="1"/>
                <w:color w:val="auto"/>
              </w:rPr>
            </w:pPr>
          </w:p>
        </w:tc>
      </w:tr>
      <w:tr>
        <w:trPr>
          <w:trHeight w:val="158"/>
        </w:trPr>
        <w:tc>
          <w:tcPr>
            <w:tcW w:w="2340" w:type="dxa"/>
            <w:vAlign w:val="bottom"/>
            <w:vMerge w:val="restart"/>
            <w:shd w:val="clear" w:color="auto" w:fill="F7F1EC"/>
          </w:tcPr>
          <w:p>
            <w:pPr>
              <w:ind w:left="240"/>
              <w:spacing w:after="0"/>
              <w:rPr>
                <w:sz w:val="20"/>
                <w:szCs w:val="20"/>
                <w:color w:val="auto"/>
              </w:rPr>
            </w:pPr>
            <w:r>
              <w:rPr>
                <w:rFonts w:ascii="Arial" w:cs="Arial" w:eastAsia="Arial" w:hAnsi="Arial"/>
                <w:sz w:val="15"/>
                <w:szCs w:val="15"/>
                <w:color w:val="auto"/>
              </w:rPr>
              <w:t>Somesh Khanna</w:t>
            </w:r>
          </w:p>
        </w:tc>
        <w:tc>
          <w:tcPr>
            <w:tcW w:w="1400" w:type="dxa"/>
            <w:vAlign w:val="bottom"/>
            <w:vMerge w:val="restart"/>
            <w:shd w:val="clear" w:color="auto" w:fill="F7F1EC"/>
          </w:tcPr>
          <w:p>
            <w:pPr>
              <w:jc w:val="right"/>
              <w:ind w:right="263"/>
              <w:spacing w:after="0"/>
              <w:rPr>
                <w:sz w:val="20"/>
                <w:szCs w:val="20"/>
                <w:color w:val="auto"/>
              </w:rPr>
            </w:pPr>
            <w:r>
              <w:rPr>
                <w:rFonts w:ascii="Arial" w:cs="Arial" w:eastAsia="Arial" w:hAnsi="Arial"/>
                <w:sz w:val="15"/>
                <w:szCs w:val="15"/>
                <w:color w:val="auto"/>
              </w:rPr>
              <w:t>—</w:t>
            </w:r>
          </w:p>
        </w:tc>
        <w:tc>
          <w:tcPr>
            <w:tcW w:w="960" w:type="dxa"/>
            <w:vAlign w:val="bottom"/>
            <w:vMerge w:val="restart"/>
            <w:shd w:val="clear" w:color="auto" w:fill="F7F1EC"/>
          </w:tcPr>
          <w:p>
            <w:pPr>
              <w:jc w:val="right"/>
              <w:ind w:right="203"/>
              <w:spacing w:after="0"/>
              <w:rPr>
                <w:sz w:val="20"/>
                <w:szCs w:val="20"/>
                <w:color w:val="auto"/>
              </w:rPr>
            </w:pPr>
            <w:r>
              <w:rPr>
                <w:rFonts w:ascii="Arial" w:cs="Arial" w:eastAsia="Arial" w:hAnsi="Arial"/>
                <w:sz w:val="15"/>
                <w:szCs w:val="15"/>
                <w:color w:val="auto"/>
              </w:rPr>
              <w:t>139</w:t>
            </w:r>
          </w:p>
        </w:tc>
        <w:tc>
          <w:tcPr>
            <w:tcW w:w="820" w:type="dxa"/>
            <w:vAlign w:val="bottom"/>
            <w:vMerge w:val="restart"/>
            <w:shd w:val="clear" w:color="auto" w:fill="F7F1EC"/>
          </w:tcPr>
          <w:p>
            <w:pPr>
              <w:ind w:left="260"/>
              <w:spacing w:after="0"/>
              <w:rPr>
                <w:sz w:val="20"/>
                <w:szCs w:val="20"/>
                <w:color w:val="auto"/>
              </w:rPr>
            </w:pPr>
            <w:r>
              <w:rPr>
                <w:rFonts w:ascii="Arial" w:cs="Arial" w:eastAsia="Arial" w:hAnsi="Arial"/>
                <w:sz w:val="15"/>
                <w:szCs w:val="15"/>
                <w:color w:val="auto"/>
              </w:rPr>
              <w:t>—</w:t>
            </w:r>
          </w:p>
        </w:tc>
        <w:tc>
          <w:tcPr>
            <w:tcW w:w="1460" w:type="dxa"/>
            <w:vAlign w:val="bottom"/>
            <w:vMerge w:val="restart"/>
            <w:shd w:val="clear" w:color="auto" w:fill="F7F1EC"/>
          </w:tcPr>
          <w:p>
            <w:pPr>
              <w:jc w:val="right"/>
              <w:ind w:right="503"/>
              <w:spacing w:after="0"/>
              <w:rPr>
                <w:sz w:val="20"/>
                <w:szCs w:val="20"/>
                <w:color w:val="auto"/>
              </w:rPr>
            </w:pPr>
            <w:r>
              <w:rPr>
                <w:rFonts w:ascii="Arial" w:cs="Arial" w:eastAsia="Arial" w:hAnsi="Arial"/>
                <w:sz w:val="15"/>
                <w:szCs w:val="15"/>
                <w:color w:val="auto"/>
              </w:rPr>
              <w:t>139</w:t>
            </w:r>
          </w:p>
        </w:tc>
        <w:tc>
          <w:tcPr>
            <w:tcW w:w="900" w:type="dxa"/>
            <w:vAlign w:val="bottom"/>
            <w:vMerge w:val="restart"/>
            <w:shd w:val="clear" w:color="auto" w:fill="F7F1EC"/>
          </w:tcPr>
          <w:p>
            <w:pPr>
              <w:jc w:val="right"/>
              <w:ind w:right="203"/>
              <w:spacing w:after="0"/>
              <w:rPr>
                <w:sz w:val="20"/>
                <w:szCs w:val="20"/>
                <w:color w:val="auto"/>
              </w:rPr>
            </w:pPr>
            <w:r>
              <w:rPr>
                <w:rFonts w:ascii="Arial" w:cs="Arial" w:eastAsia="Arial" w:hAnsi="Arial"/>
                <w:sz w:val="15"/>
                <w:szCs w:val="15"/>
                <w:color w:val="auto"/>
              </w:rPr>
              <w:t>*</w:t>
            </w:r>
          </w:p>
        </w:tc>
        <w:tc>
          <w:tcPr>
            <w:tcW w:w="1760" w:type="dxa"/>
            <w:vAlign w:val="bottom"/>
          </w:tcPr>
          <w:p>
            <w:pPr>
              <w:ind w:left="800"/>
              <w:spacing w:after="0"/>
              <w:rPr>
                <w:sz w:val="20"/>
                <w:szCs w:val="20"/>
                <w:color w:val="auto"/>
              </w:rPr>
            </w:pPr>
            <w:r>
              <w:rPr>
                <w:rFonts w:ascii="Arial" w:cs="Arial" w:eastAsia="Arial" w:hAnsi="Arial"/>
                <w:sz w:val="12"/>
                <w:szCs w:val="12"/>
                <w:color w:val="FFFFFF"/>
              </w:rPr>
              <w:t>Other Matters</w:t>
            </w:r>
          </w:p>
        </w:tc>
        <w:tc>
          <w:tcPr>
            <w:tcW w:w="0" w:type="dxa"/>
            <w:vAlign w:val="bottom"/>
          </w:tcPr>
          <w:p>
            <w:pPr>
              <w:spacing w:after="0"/>
              <w:rPr>
                <w:sz w:val="1"/>
                <w:szCs w:val="1"/>
                <w:color w:val="auto"/>
              </w:rPr>
            </w:pPr>
          </w:p>
        </w:tc>
      </w:tr>
      <w:tr>
        <w:trPr>
          <w:trHeight w:val="113"/>
        </w:trPr>
        <w:tc>
          <w:tcPr>
            <w:tcW w:w="2340" w:type="dxa"/>
            <w:vAlign w:val="bottom"/>
            <w:tcBorders>
              <w:bottom w:val="single" w:sz="8" w:color="F7F1EC"/>
            </w:tcBorders>
            <w:vMerge w:val="continue"/>
            <w:shd w:val="clear" w:color="auto" w:fill="F7F1EC"/>
          </w:tcPr>
          <w:p>
            <w:pPr>
              <w:spacing w:after="0"/>
              <w:rPr>
                <w:sz w:val="9"/>
                <w:szCs w:val="9"/>
                <w:color w:val="auto"/>
              </w:rPr>
            </w:pPr>
          </w:p>
        </w:tc>
        <w:tc>
          <w:tcPr>
            <w:tcW w:w="1400" w:type="dxa"/>
            <w:vAlign w:val="bottom"/>
            <w:tcBorders>
              <w:bottom w:val="single" w:sz="8" w:color="F7F1EC"/>
            </w:tcBorders>
            <w:vMerge w:val="continue"/>
            <w:shd w:val="clear" w:color="auto" w:fill="F7F1EC"/>
          </w:tcPr>
          <w:p>
            <w:pPr>
              <w:spacing w:after="0"/>
              <w:rPr>
                <w:sz w:val="9"/>
                <w:szCs w:val="9"/>
                <w:color w:val="auto"/>
              </w:rPr>
            </w:pPr>
          </w:p>
        </w:tc>
        <w:tc>
          <w:tcPr>
            <w:tcW w:w="960" w:type="dxa"/>
            <w:vAlign w:val="bottom"/>
            <w:tcBorders>
              <w:bottom w:val="single" w:sz="8" w:color="F7F1EC"/>
            </w:tcBorders>
            <w:vMerge w:val="continue"/>
            <w:shd w:val="clear" w:color="auto" w:fill="F7F1EC"/>
          </w:tcPr>
          <w:p>
            <w:pPr>
              <w:spacing w:after="0"/>
              <w:rPr>
                <w:sz w:val="9"/>
                <w:szCs w:val="9"/>
                <w:color w:val="auto"/>
              </w:rPr>
            </w:pPr>
          </w:p>
        </w:tc>
        <w:tc>
          <w:tcPr>
            <w:tcW w:w="820" w:type="dxa"/>
            <w:vAlign w:val="bottom"/>
            <w:tcBorders>
              <w:bottom w:val="single" w:sz="8" w:color="F7F1EC"/>
            </w:tcBorders>
            <w:vMerge w:val="continue"/>
            <w:shd w:val="clear" w:color="auto" w:fill="F7F1EC"/>
          </w:tcPr>
          <w:p>
            <w:pPr>
              <w:spacing w:after="0"/>
              <w:rPr>
                <w:sz w:val="9"/>
                <w:szCs w:val="9"/>
                <w:color w:val="auto"/>
              </w:rPr>
            </w:pPr>
          </w:p>
        </w:tc>
        <w:tc>
          <w:tcPr>
            <w:tcW w:w="1460" w:type="dxa"/>
            <w:vAlign w:val="bottom"/>
            <w:tcBorders>
              <w:bottom w:val="single" w:sz="8" w:color="F7F1EC"/>
            </w:tcBorders>
            <w:vMerge w:val="continue"/>
            <w:shd w:val="clear" w:color="auto" w:fill="F7F1EC"/>
          </w:tcPr>
          <w:p>
            <w:pPr>
              <w:spacing w:after="0"/>
              <w:rPr>
                <w:sz w:val="9"/>
                <w:szCs w:val="9"/>
                <w:color w:val="auto"/>
              </w:rPr>
            </w:pPr>
          </w:p>
        </w:tc>
        <w:tc>
          <w:tcPr>
            <w:tcW w:w="900" w:type="dxa"/>
            <w:vAlign w:val="bottom"/>
            <w:tcBorders>
              <w:bottom w:val="single" w:sz="8" w:color="F7F1EC"/>
            </w:tcBorders>
            <w:vMerge w:val="continue"/>
            <w:shd w:val="clear" w:color="auto" w:fill="F7F1EC"/>
          </w:tcPr>
          <w:p>
            <w:pPr>
              <w:spacing w:after="0"/>
              <w:rPr>
                <w:sz w:val="9"/>
                <w:szCs w:val="9"/>
                <w:color w:val="auto"/>
              </w:rPr>
            </w:pPr>
          </w:p>
        </w:tc>
        <w:tc>
          <w:tcPr>
            <w:tcW w:w="1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340" w:type="dxa"/>
            <w:vAlign w:val="bottom"/>
            <w:vMerge w:val="restart"/>
          </w:tcPr>
          <w:p>
            <w:pPr>
              <w:ind w:left="240"/>
              <w:spacing w:after="0"/>
              <w:rPr>
                <w:sz w:val="20"/>
                <w:szCs w:val="20"/>
                <w:color w:val="auto"/>
              </w:rPr>
            </w:pPr>
            <w:r>
              <w:rPr>
                <w:rFonts w:ascii="Arial" w:cs="Arial" w:eastAsia="Arial" w:hAnsi="Arial"/>
                <w:sz w:val="15"/>
                <w:szCs w:val="15"/>
                <w:color w:val="auto"/>
              </w:rPr>
              <w:t>Albert J. Ko</w:t>
            </w:r>
          </w:p>
        </w:tc>
        <w:tc>
          <w:tcPr>
            <w:tcW w:w="1400" w:type="dxa"/>
            <w:vAlign w:val="bottom"/>
            <w:vMerge w:val="restart"/>
          </w:tcPr>
          <w:p>
            <w:pPr>
              <w:jc w:val="right"/>
              <w:ind w:right="263"/>
              <w:spacing w:after="0"/>
              <w:rPr>
                <w:sz w:val="20"/>
                <w:szCs w:val="20"/>
                <w:color w:val="auto"/>
              </w:rPr>
            </w:pPr>
            <w:r>
              <w:rPr>
                <w:rFonts w:ascii="Arial" w:cs="Arial" w:eastAsia="Arial" w:hAnsi="Arial"/>
                <w:sz w:val="15"/>
                <w:szCs w:val="15"/>
                <w:color w:val="auto"/>
              </w:rPr>
              <w:t>2,587</w:t>
            </w:r>
          </w:p>
        </w:tc>
        <w:tc>
          <w:tcPr>
            <w:tcW w:w="960" w:type="dxa"/>
            <w:vAlign w:val="bottom"/>
            <w:vMerge w:val="restart"/>
          </w:tcPr>
          <w:p>
            <w:pPr>
              <w:jc w:val="right"/>
              <w:ind w:right="203"/>
              <w:spacing w:after="0"/>
              <w:rPr>
                <w:sz w:val="20"/>
                <w:szCs w:val="20"/>
                <w:color w:val="auto"/>
              </w:rPr>
            </w:pPr>
            <w:r>
              <w:rPr>
                <w:rFonts w:ascii="Arial" w:cs="Arial" w:eastAsia="Arial" w:hAnsi="Arial"/>
                <w:sz w:val="15"/>
                <w:szCs w:val="15"/>
                <w:color w:val="auto"/>
              </w:rPr>
              <w:t>—</w:t>
            </w:r>
          </w:p>
        </w:tc>
        <w:tc>
          <w:tcPr>
            <w:tcW w:w="820" w:type="dxa"/>
            <w:vAlign w:val="bottom"/>
            <w:vMerge w:val="restart"/>
          </w:tcPr>
          <w:p>
            <w:pPr>
              <w:ind w:left="260"/>
              <w:spacing w:after="0"/>
              <w:rPr>
                <w:sz w:val="20"/>
                <w:szCs w:val="20"/>
                <w:color w:val="auto"/>
              </w:rPr>
            </w:pPr>
            <w:r>
              <w:rPr>
                <w:rFonts w:ascii="Arial" w:cs="Arial" w:eastAsia="Arial" w:hAnsi="Arial"/>
                <w:sz w:val="15"/>
                <w:szCs w:val="15"/>
                <w:color w:val="auto"/>
              </w:rPr>
              <w:t>—</w:t>
            </w:r>
          </w:p>
        </w:tc>
        <w:tc>
          <w:tcPr>
            <w:tcW w:w="1460" w:type="dxa"/>
            <w:vAlign w:val="bottom"/>
            <w:vMerge w:val="restart"/>
          </w:tcPr>
          <w:p>
            <w:pPr>
              <w:jc w:val="right"/>
              <w:ind w:right="503"/>
              <w:spacing w:after="0"/>
              <w:rPr>
                <w:sz w:val="20"/>
                <w:szCs w:val="20"/>
                <w:color w:val="auto"/>
              </w:rPr>
            </w:pPr>
            <w:r>
              <w:rPr>
                <w:rFonts w:ascii="Arial" w:cs="Arial" w:eastAsia="Arial" w:hAnsi="Arial"/>
                <w:sz w:val="15"/>
                <w:szCs w:val="15"/>
                <w:color w:val="auto"/>
              </w:rPr>
              <w:t>2,587</w:t>
            </w:r>
          </w:p>
        </w:tc>
        <w:tc>
          <w:tcPr>
            <w:tcW w:w="900" w:type="dxa"/>
            <w:vAlign w:val="bottom"/>
            <w:vMerge w:val="restart"/>
          </w:tcPr>
          <w:p>
            <w:pPr>
              <w:jc w:val="right"/>
              <w:ind w:right="203"/>
              <w:spacing w:after="0"/>
              <w:rPr>
                <w:sz w:val="20"/>
                <w:szCs w:val="20"/>
                <w:color w:val="auto"/>
              </w:rPr>
            </w:pPr>
            <w:r>
              <w:rPr>
                <w:rFonts w:ascii="Arial" w:cs="Arial" w:eastAsia="Arial" w:hAnsi="Arial"/>
                <w:sz w:val="15"/>
                <w:szCs w:val="15"/>
                <w:color w:val="auto"/>
              </w:rPr>
              <w:t>*</w:t>
            </w:r>
          </w:p>
        </w:tc>
        <w:tc>
          <w:tcPr>
            <w:tcW w:w="1760" w:type="dxa"/>
            <w:vAlign w:val="bottom"/>
          </w:tcPr>
          <w:p>
            <w:pPr>
              <w:ind w:left="800"/>
              <w:spacing w:after="0" w:line="136" w:lineRule="exact"/>
              <w:rPr>
                <w:sz w:val="20"/>
                <w:szCs w:val="20"/>
                <w:color w:val="auto"/>
              </w:rPr>
            </w:pPr>
            <w:r>
              <w:rPr>
                <w:rFonts w:ascii="Arial" w:cs="Arial" w:eastAsia="Arial" w:hAnsi="Arial"/>
                <w:sz w:val="12"/>
                <w:szCs w:val="12"/>
                <w:color w:val="FFFFFF"/>
              </w:rPr>
              <w:t>Delinquent</w:t>
            </w:r>
          </w:p>
        </w:tc>
        <w:tc>
          <w:tcPr>
            <w:tcW w:w="0" w:type="dxa"/>
            <w:vAlign w:val="bottom"/>
          </w:tcPr>
          <w:p>
            <w:pPr>
              <w:spacing w:after="0"/>
              <w:rPr>
                <w:sz w:val="1"/>
                <w:szCs w:val="1"/>
                <w:color w:val="auto"/>
              </w:rPr>
            </w:pPr>
          </w:p>
        </w:tc>
      </w:tr>
      <w:tr>
        <w:trPr>
          <w:trHeight w:val="128"/>
        </w:trPr>
        <w:tc>
          <w:tcPr>
            <w:tcW w:w="2340" w:type="dxa"/>
            <w:vAlign w:val="bottom"/>
            <w:vMerge w:val="continue"/>
          </w:tcPr>
          <w:p>
            <w:pPr>
              <w:spacing w:after="0"/>
              <w:rPr>
                <w:sz w:val="11"/>
                <w:szCs w:val="11"/>
                <w:color w:val="auto"/>
              </w:rPr>
            </w:pPr>
          </w:p>
        </w:tc>
        <w:tc>
          <w:tcPr>
            <w:tcW w:w="1400" w:type="dxa"/>
            <w:vAlign w:val="bottom"/>
            <w:vMerge w:val="continue"/>
          </w:tcPr>
          <w:p>
            <w:pPr>
              <w:spacing w:after="0"/>
              <w:rPr>
                <w:sz w:val="11"/>
                <w:szCs w:val="11"/>
                <w:color w:val="auto"/>
              </w:rPr>
            </w:pPr>
          </w:p>
        </w:tc>
        <w:tc>
          <w:tcPr>
            <w:tcW w:w="960" w:type="dxa"/>
            <w:vAlign w:val="bottom"/>
            <w:vMerge w:val="continue"/>
          </w:tcPr>
          <w:p>
            <w:pPr>
              <w:spacing w:after="0"/>
              <w:rPr>
                <w:sz w:val="11"/>
                <w:szCs w:val="11"/>
                <w:color w:val="auto"/>
              </w:rPr>
            </w:pPr>
          </w:p>
        </w:tc>
        <w:tc>
          <w:tcPr>
            <w:tcW w:w="820" w:type="dxa"/>
            <w:vAlign w:val="bottom"/>
            <w:vMerge w:val="continue"/>
          </w:tcPr>
          <w:p>
            <w:pPr>
              <w:spacing w:after="0"/>
              <w:rPr>
                <w:sz w:val="11"/>
                <w:szCs w:val="11"/>
                <w:color w:val="auto"/>
              </w:rPr>
            </w:pPr>
          </w:p>
        </w:tc>
        <w:tc>
          <w:tcPr>
            <w:tcW w:w="1460" w:type="dxa"/>
            <w:vAlign w:val="bottom"/>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1760" w:type="dxa"/>
            <w:vAlign w:val="bottom"/>
          </w:tcPr>
          <w:p>
            <w:pPr>
              <w:ind w:left="800"/>
              <w:spacing w:after="0" w:line="128" w:lineRule="exact"/>
              <w:rPr>
                <w:sz w:val="20"/>
                <w:szCs w:val="20"/>
                <w:color w:val="auto"/>
              </w:rPr>
            </w:pPr>
            <w:r>
              <w:rPr>
                <w:rFonts w:ascii="Arial" w:cs="Arial" w:eastAsia="Arial" w:hAnsi="Arial"/>
                <w:sz w:val="12"/>
                <w:szCs w:val="12"/>
                <w:color w:val="FFFFFF"/>
              </w:rPr>
              <w:t>Section 16(a)</w:t>
            </w:r>
          </w:p>
        </w:tc>
        <w:tc>
          <w:tcPr>
            <w:tcW w:w="0" w:type="dxa"/>
            <w:vAlign w:val="bottom"/>
          </w:tcPr>
          <w:p>
            <w:pPr>
              <w:spacing w:after="0"/>
              <w:rPr>
                <w:sz w:val="1"/>
                <w:szCs w:val="1"/>
                <w:color w:val="auto"/>
              </w:rPr>
            </w:pPr>
          </w:p>
        </w:tc>
      </w:tr>
      <w:tr>
        <w:trPr>
          <w:trHeight w:val="43"/>
        </w:trPr>
        <w:tc>
          <w:tcPr>
            <w:tcW w:w="2340" w:type="dxa"/>
            <w:vAlign w:val="bottom"/>
            <w:vMerge w:val="restart"/>
          </w:tcPr>
          <w:p>
            <w:pPr>
              <w:ind w:left="240"/>
              <w:spacing w:after="0"/>
              <w:rPr>
                <w:sz w:val="20"/>
                <w:szCs w:val="20"/>
                <w:color w:val="auto"/>
              </w:rPr>
            </w:pPr>
            <w:r>
              <w:rPr>
                <w:rFonts w:ascii="Arial" w:cs="Arial" w:eastAsia="Arial" w:hAnsi="Arial"/>
                <w:sz w:val="15"/>
                <w:szCs w:val="15"/>
                <w:color w:val="auto"/>
              </w:rPr>
              <w:t>Allison H. Mnookin</w:t>
            </w:r>
          </w:p>
        </w:tc>
        <w:tc>
          <w:tcPr>
            <w:tcW w:w="1400" w:type="dxa"/>
            <w:vAlign w:val="bottom"/>
          </w:tcPr>
          <w:p>
            <w:pPr>
              <w:spacing w:after="0"/>
              <w:rPr>
                <w:sz w:val="3"/>
                <w:szCs w:val="3"/>
                <w:color w:val="auto"/>
              </w:rPr>
            </w:pPr>
          </w:p>
        </w:tc>
        <w:tc>
          <w:tcPr>
            <w:tcW w:w="9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60" w:type="dxa"/>
            <w:vAlign w:val="bottom"/>
          </w:tcPr>
          <w:p>
            <w:pPr>
              <w:spacing w:after="0"/>
              <w:rPr>
                <w:sz w:val="3"/>
                <w:szCs w:val="3"/>
                <w:color w:val="auto"/>
              </w:rPr>
            </w:pPr>
          </w:p>
        </w:tc>
        <w:tc>
          <w:tcPr>
            <w:tcW w:w="900" w:type="dxa"/>
            <w:vAlign w:val="bottom"/>
          </w:tcPr>
          <w:p>
            <w:pPr>
              <w:spacing w:after="0"/>
              <w:rPr>
                <w:sz w:val="3"/>
                <w:szCs w:val="3"/>
                <w:color w:val="auto"/>
              </w:rPr>
            </w:pPr>
          </w:p>
        </w:tc>
        <w:tc>
          <w:tcPr>
            <w:tcW w:w="1760" w:type="dxa"/>
            <w:vAlign w:val="bottom"/>
            <w:vMerge w:val="restart"/>
          </w:tcPr>
          <w:p>
            <w:pPr>
              <w:ind w:left="800"/>
              <w:spacing w:after="0" w:line="100" w:lineRule="exact"/>
              <w:rPr>
                <w:sz w:val="20"/>
                <w:szCs w:val="20"/>
                <w:color w:val="auto"/>
              </w:rPr>
            </w:pPr>
            <w:r>
              <w:rPr>
                <w:rFonts w:ascii="Arial" w:cs="Arial" w:eastAsia="Arial" w:hAnsi="Arial"/>
                <w:sz w:val="11"/>
                <w:szCs w:val="11"/>
                <w:color w:val="FFFFFF"/>
              </w:rPr>
              <w:t>Reports</w:t>
            </w:r>
          </w:p>
        </w:tc>
        <w:tc>
          <w:tcPr>
            <w:tcW w:w="0" w:type="dxa"/>
            <w:vAlign w:val="bottom"/>
          </w:tcPr>
          <w:p>
            <w:pPr>
              <w:spacing w:after="0"/>
              <w:rPr>
                <w:sz w:val="1"/>
                <w:szCs w:val="1"/>
                <w:color w:val="auto"/>
              </w:rPr>
            </w:pPr>
          </w:p>
        </w:tc>
      </w:tr>
      <w:tr>
        <w:trPr>
          <w:trHeight w:val="77"/>
        </w:trPr>
        <w:tc>
          <w:tcPr>
            <w:tcW w:w="2340" w:type="dxa"/>
            <w:vAlign w:val="bottom"/>
            <w:vMerge w:val="continue"/>
          </w:tcPr>
          <w:p>
            <w:pPr>
              <w:spacing w:after="0"/>
              <w:rPr>
                <w:sz w:val="6"/>
                <w:szCs w:val="6"/>
                <w:color w:val="auto"/>
              </w:rPr>
            </w:pPr>
          </w:p>
        </w:tc>
        <w:tc>
          <w:tcPr>
            <w:tcW w:w="1400" w:type="dxa"/>
            <w:vAlign w:val="bottom"/>
            <w:shd w:val="clear" w:color="auto" w:fill="F7F1EC"/>
          </w:tcPr>
          <w:p>
            <w:pPr>
              <w:spacing w:after="0"/>
              <w:rPr>
                <w:sz w:val="6"/>
                <w:szCs w:val="6"/>
                <w:color w:val="auto"/>
              </w:rPr>
            </w:pPr>
          </w:p>
        </w:tc>
        <w:tc>
          <w:tcPr>
            <w:tcW w:w="960" w:type="dxa"/>
            <w:vAlign w:val="bottom"/>
            <w:shd w:val="clear" w:color="auto" w:fill="F7F1EC"/>
          </w:tcPr>
          <w:p>
            <w:pPr>
              <w:spacing w:after="0"/>
              <w:rPr>
                <w:sz w:val="6"/>
                <w:szCs w:val="6"/>
                <w:color w:val="auto"/>
              </w:rPr>
            </w:pPr>
          </w:p>
        </w:tc>
        <w:tc>
          <w:tcPr>
            <w:tcW w:w="820" w:type="dxa"/>
            <w:vAlign w:val="bottom"/>
            <w:shd w:val="clear" w:color="auto" w:fill="F7F1EC"/>
          </w:tcPr>
          <w:p>
            <w:pPr>
              <w:spacing w:after="0"/>
              <w:rPr>
                <w:sz w:val="6"/>
                <w:szCs w:val="6"/>
                <w:color w:val="auto"/>
              </w:rPr>
            </w:pPr>
          </w:p>
        </w:tc>
        <w:tc>
          <w:tcPr>
            <w:tcW w:w="1460" w:type="dxa"/>
            <w:vAlign w:val="bottom"/>
            <w:shd w:val="clear" w:color="auto" w:fill="F7F1EC"/>
          </w:tcPr>
          <w:p>
            <w:pPr>
              <w:spacing w:after="0"/>
              <w:rPr>
                <w:sz w:val="6"/>
                <w:szCs w:val="6"/>
                <w:color w:val="auto"/>
              </w:rPr>
            </w:pPr>
          </w:p>
        </w:tc>
        <w:tc>
          <w:tcPr>
            <w:tcW w:w="900" w:type="dxa"/>
            <w:vAlign w:val="bottom"/>
            <w:shd w:val="clear" w:color="auto" w:fill="F7F1EC"/>
          </w:tcPr>
          <w:p>
            <w:pPr>
              <w:spacing w:after="0"/>
              <w:rPr>
                <w:sz w:val="6"/>
                <w:szCs w:val="6"/>
                <w:color w:val="auto"/>
              </w:rPr>
            </w:pPr>
          </w:p>
        </w:tc>
        <w:tc>
          <w:tcPr>
            <w:tcW w:w="17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6"/>
        </w:trPr>
        <w:tc>
          <w:tcPr>
            <w:tcW w:w="2340" w:type="dxa"/>
            <w:vAlign w:val="bottom"/>
            <w:vMerge w:val="continue"/>
          </w:tcPr>
          <w:p>
            <w:pPr>
              <w:spacing w:after="0"/>
              <w:rPr>
                <w:sz w:val="16"/>
                <w:szCs w:val="16"/>
                <w:color w:val="auto"/>
              </w:rPr>
            </w:pPr>
          </w:p>
        </w:tc>
        <w:tc>
          <w:tcPr>
            <w:tcW w:w="1400" w:type="dxa"/>
            <w:vAlign w:val="bottom"/>
          </w:tcPr>
          <w:p>
            <w:pPr>
              <w:jc w:val="right"/>
              <w:ind w:right="263"/>
              <w:spacing w:after="0"/>
              <w:rPr>
                <w:sz w:val="20"/>
                <w:szCs w:val="20"/>
                <w:color w:val="auto"/>
              </w:rPr>
            </w:pPr>
            <w:r>
              <w:rPr>
                <w:rFonts w:ascii="Arial" w:cs="Arial" w:eastAsia="Arial" w:hAnsi="Arial"/>
                <w:sz w:val="15"/>
                <w:szCs w:val="15"/>
                <w:color w:val="auto"/>
              </w:rPr>
              <w:t>4,904</w:t>
            </w:r>
          </w:p>
        </w:tc>
        <w:tc>
          <w:tcPr>
            <w:tcW w:w="960" w:type="dxa"/>
            <w:vAlign w:val="bottom"/>
          </w:tcPr>
          <w:p>
            <w:pPr>
              <w:jc w:val="right"/>
              <w:ind w:right="203"/>
              <w:spacing w:after="0"/>
              <w:rPr>
                <w:sz w:val="20"/>
                <w:szCs w:val="20"/>
                <w:color w:val="auto"/>
              </w:rPr>
            </w:pPr>
            <w:r>
              <w:rPr>
                <w:rFonts w:ascii="Arial" w:cs="Arial" w:eastAsia="Arial" w:hAnsi="Arial"/>
                <w:sz w:val="15"/>
                <w:szCs w:val="15"/>
                <w:color w:val="auto"/>
              </w:rPr>
              <w:t>6,139</w:t>
            </w:r>
          </w:p>
        </w:tc>
        <w:tc>
          <w:tcPr>
            <w:tcW w:w="820" w:type="dxa"/>
            <w:vAlign w:val="bottom"/>
          </w:tcPr>
          <w:p>
            <w:pPr>
              <w:ind w:left="260"/>
              <w:spacing w:after="0"/>
              <w:rPr>
                <w:sz w:val="20"/>
                <w:szCs w:val="20"/>
                <w:color w:val="auto"/>
              </w:rPr>
            </w:pPr>
            <w:r>
              <w:rPr>
                <w:rFonts w:ascii="Arial" w:cs="Arial" w:eastAsia="Arial" w:hAnsi="Arial"/>
                <w:sz w:val="15"/>
                <w:szCs w:val="15"/>
                <w:color w:val="auto"/>
              </w:rPr>
              <w:t>—</w:t>
            </w:r>
          </w:p>
        </w:tc>
        <w:tc>
          <w:tcPr>
            <w:tcW w:w="1460" w:type="dxa"/>
            <w:vAlign w:val="bottom"/>
          </w:tcPr>
          <w:p>
            <w:pPr>
              <w:jc w:val="right"/>
              <w:ind w:right="503"/>
              <w:spacing w:after="0"/>
              <w:rPr>
                <w:sz w:val="20"/>
                <w:szCs w:val="20"/>
                <w:color w:val="auto"/>
              </w:rPr>
            </w:pPr>
            <w:r>
              <w:rPr>
                <w:rFonts w:ascii="Arial" w:cs="Arial" w:eastAsia="Arial" w:hAnsi="Arial"/>
                <w:sz w:val="15"/>
                <w:szCs w:val="15"/>
                <w:color w:val="auto"/>
              </w:rPr>
              <w:t>11,043</w:t>
            </w:r>
          </w:p>
        </w:tc>
        <w:tc>
          <w:tcPr>
            <w:tcW w:w="900" w:type="dxa"/>
            <w:vAlign w:val="bottom"/>
          </w:tcPr>
          <w:p>
            <w:pPr>
              <w:jc w:val="right"/>
              <w:ind w:right="203"/>
              <w:spacing w:after="0"/>
              <w:rPr>
                <w:sz w:val="20"/>
                <w:szCs w:val="20"/>
                <w:color w:val="auto"/>
              </w:rPr>
            </w:pPr>
            <w:r>
              <w:rPr>
                <w:rFonts w:ascii="Arial" w:cs="Arial" w:eastAsia="Arial" w:hAnsi="Arial"/>
                <w:sz w:val="15"/>
                <w:szCs w:val="15"/>
                <w:color w:val="auto"/>
              </w:rPr>
              <w:t>*</w:t>
            </w:r>
          </w:p>
        </w:tc>
        <w:tc>
          <w:tcPr>
            <w:tcW w:w="17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341630</wp:posOffset>
            </wp:positionH>
            <wp:positionV relativeFrom="paragraph">
              <wp:posOffset>-165735</wp:posOffset>
            </wp:positionV>
            <wp:extent cx="4999990" cy="19431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4999990" cy="194310"/>
                    </a:xfrm>
                    <a:prstGeom prst="rect">
                      <a:avLst/>
                    </a:prstGeom>
                    <a:noFill/>
                  </pic:spPr>
                </pic:pic>
              </a:graphicData>
            </a:graphic>
          </wp:anchor>
        </w:drawing>
      </w:r>
    </w:p>
    <w:p>
      <w:pPr>
        <w:ind w:left="9220"/>
        <w:spacing w:after="0" w:line="221" w:lineRule="auto"/>
        <w:rPr>
          <w:sz w:val="20"/>
          <w:szCs w:val="20"/>
          <w:color w:val="auto"/>
        </w:rPr>
      </w:pPr>
      <w:r>
        <w:rPr>
          <w:rFonts w:ascii="Arial" w:cs="Arial" w:eastAsia="Arial" w:hAnsi="Arial"/>
          <w:sz w:val="12"/>
          <w:szCs w:val="12"/>
          <w:color w:val="FFFFFF"/>
        </w:rPr>
        <w:t>Other</w:t>
      </w:r>
    </w:p>
    <w:p>
      <w:pPr>
        <w:spacing w:after="0" w:line="1" w:lineRule="exact"/>
        <w:rPr>
          <w:sz w:val="20"/>
          <w:szCs w:val="20"/>
          <w:color w:val="auto"/>
        </w:rPr>
      </w:pPr>
    </w:p>
    <w:p>
      <w:pPr>
        <w:ind w:left="9220"/>
        <w:spacing w:after="0"/>
        <w:rPr>
          <w:sz w:val="20"/>
          <w:szCs w:val="20"/>
          <w:color w:val="auto"/>
        </w:rPr>
      </w:pPr>
      <w:r>
        <w:rPr>
          <w:rFonts w:ascii="Arial" w:cs="Arial" w:eastAsia="Arial" w:hAnsi="Arial"/>
          <w:sz w:val="12"/>
          <w:szCs w:val="12"/>
          <w:color w:val="FFFFFF"/>
        </w:rPr>
        <w:t>Information</w:t>
      </w:r>
    </w:p>
    <w:p>
      <w:pPr>
        <w:spacing w:after="0" w:line="144" w:lineRule="exact"/>
        <w:rPr>
          <w:sz w:val="20"/>
          <w:szCs w:val="20"/>
          <w:color w:val="auto"/>
        </w:rPr>
      </w:pPr>
    </w:p>
    <w:p>
      <w:pPr>
        <w:ind w:left="9220"/>
        <w:spacing w:after="0"/>
        <w:rPr>
          <w:sz w:val="20"/>
          <w:szCs w:val="20"/>
          <w:color w:val="auto"/>
        </w:rPr>
      </w:pPr>
      <w:r>
        <w:rPr>
          <w:rFonts w:ascii="Arial" w:cs="Arial" w:eastAsia="Arial" w:hAnsi="Arial"/>
          <w:sz w:val="12"/>
          <w:szCs w:val="12"/>
          <w:color w:val="FFFFFF"/>
        </w:rPr>
        <w:t>Appendix A</w:t>
      </w:r>
    </w:p>
    <w:p>
      <w:pPr>
        <w:spacing w:after="0" w:line="156" w:lineRule="exact"/>
        <w:rPr>
          <w:sz w:val="20"/>
          <w:szCs w:val="20"/>
          <w:color w:val="auto"/>
        </w:rPr>
      </w:pPr>
    </w:p>
    <w:p>
      <w:pPr>
        <w:ind w:left="9220"/>
        <w:spacing w:after="0"/>
        <w:rPr>
          <w:sz w:val="20"/>
          <w:szCs w:val="20"/>
          <w:color w:val="auto"/>
        </w:rPr>
      </w:pPr>
      <w:r>
        <w:rPr>
          <w:rFonts w:ascii="Arial" w:cs="Arial" w:eastAsia="Arial" w:hAnsi="Arial"/>
          <w:sz w:val="12"/>
          <w:szCs w:val="12"/>
          <w:color w:val="FFFFFF"/>
        </w:rPr>
        <w:t>Appendix 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right"/>
        <w:ind w:right="100"/>
        <w:spacing w:after="0"/>
        <w:tabs>
          <w:tab w:leader="none" w:pos="2160" w:val="left"/>
          <w:tab w:leader="none" w:pos="700" w:val="left"/>
        </w:tabs>
        <w:rPr>
          <w:sz w:val="20"/>
          <w:szCs w:val="20"/>
          <w:color w:val="auto"/>
        </w:rPr>
      </w:pPr>
      <w:r>
        <w:rPr>
          <w:rFonts w:ascii="Arial" w:cs="Arial" w:eastAsia="Arial" w:hAnsi="Arial"/>
          <w:sz w:val="15"/>
          <w:szCs w:val="15"/>
          <w:b w:val="1"/>
          <w:bCs w:val="1"/>
          <w:color w:val="002B5F"/>
        </w:rPr>
        <w:t xml:space="preserve">2026 Proxy Statement  </w:t>
      </w:r>
      <w:r>
        <w:rPr>
          <w:rFonts w:ascii="Arial" w:cs="Arial" w:eastAsia="Arial" w:hAnsi="Arial"/>
          <w:sz w:val="20"/>
          <w:szCs w:val="20"/>
          <w:color w:val="002B5F"/>
        </w:rPr>
        <w:t>|</w:t>
      </w:r>
      <w:r>
        <w:rPr>
          <w:rFonts w:ascii="Arial" w:cs="Arial" w:eastAsia="Arial" w:hAnsi="Arial"/>
          <w:sz w:val="15"/>
          <w:szCs w:val="15"/>
          <w:b w:val="1"/>
          <w:bCs w:val="1"/>
          <w:color w:val="002B5F"/>
        </w:rPr>
        <w:t xml:space="preserve">  79</w:t>
      </w:r>
      <w:r>
        <w:rPr>
          <w:sz w:val="20"/>
          <w:szCs w:val="20"/>
          <w:color w:val="auto"/>
        </w:rPr>
        <w:tab/>
      </w:r>
      <w:r>
        <w:rPr>
          <w:rFonts w:ascii="Arial" w:cs="Arial" w:eastAsia="Arial" w:hAnsi="Arial"/>
          <w:sz w:val="17"/>
          <w:szCs w:val="17"/>
          <w:color w:val="auto"/>
        </w:rPr>
        <w:t xml:space="preserve">    </w:t>
      </w:r>
      <w:r>
        <w:rPr>
          <w:sz w:val="20"/>
          <w:szCs w:val="20"/>
          <w:color w:val="auto"/>
        </w:rPr>
        <w:tab/>
      </w:r>
      <w:r>
        <w:rPr>
          <w:rFonts w:ascii="Arial" w:cs="Arial" w:eastAsia="Arial" w:hAnsi="Arial"/>
          <w:sz w:val="17"/>
          <w:szCs w:val="17"/>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268605</wp:posOffset>
            </wp:positionH>
            <wp:positionV relativeFrom="paragraph">
              <wp:posOffset>-128905</wp:posOffset>
            </wp:positionV>
            <wp:extent cx="762000" cy="971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62000" cy="97155"/>
                    </a:xfrm>
                    <a:prstGeom prst="rect">
                      <a:avLst/>
                    </a:prstGeom>
                    <a:noFill/>
                  </pic:spPr>
                </pic:pic>
              </a:graphicData>
            </a:graphic>
          </wp:anchor>
        </w:drawing>
      </w:r>
    </w:p>
    <w:p>
      <w:pPr>
        <w:sectPr>
          <w:pgSz w:w="11900" w:h="16838" w:orient="portrait"/>
          <w:cols w:equalWidth="0" w:num="1">
            <w:col w:w="10800"/>
          </w:cols>
          <w:pgMar w:left="320" w:top="464" w:right="779" w:bottom="1440" w:gutter="0" w:footer="0" w:header="0"/>
          <w:type w:val="continuous"/>
        </w:sectPr>
      </w:pPr>
    </w:p>
    <w:bookmarkStart w:id="87" w:name="page88"/>
    <w:bookmarkEnd w:id="87"/>
    <w:p>
      <w:pPr>
        <w:spacing w:after="0"/>
        <w:rPr>
          <w:sz w:val="20"/>
          <w:szCs w:val="20"/>
          <w:color w:val="auto"/>
        </w:rPr>
      </w:pPr>
      <w:r>
        <w:rPr>
          <w:rFonts w:ascii="Times New Roman" w:cs="Times New Roman" w:eastAsia="Times New Roman" w:hAnsi="Times New Roman"/>
          <w:sz w:val="17"/>
          <w:szCs w:val="17"/>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268605</wp:posOffset>
            </wp:positionH>
            <wp:positionV relativeFrom="paragraph">
              <wp:posOffset>253365</wp:posOffset>
            </wp:positionV>
            <wp:extent cx="1183005" cy="745617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1183005" cy="7456170"/>
                    </a:xfrm>
                    <a:prstGeom prst="rect">
                      <a:avLst/>
                    </a:prstGeom>
                    <a:noFill/>
                  </pic:spPr>
                </pic:pic>
              </a:graphicData>
            </a:graphic>
          </wp:anchor>
        </w:drawing>
      </w:r>
    </w:p>
    <w:p>
      <w:pPr>
        <w:spacing w:after="0" w:line="200" w:lineRule="exact"/>
        <w:rPr>
          <w:sz w:val="20"/>
          <w:szCs w:val="20"/>
          <w:color w:val="auto"/>
        </w:rPr>
      </w:pPr>
    </w:p>
    <w:p>
      <w:pPr>
        <w:spacing w:after="0" w:line="304" w:lineRule="exact"/>
        <w:rPr>
          <w:sz w:val="20"/>
          <w:szCs w:val="20"/>
          <w:color w:val="auto"/>
        </w:rPr>
      </w:pPr>
    </w:p>
    <w:p>
      <w:pPr>
        <w:ind w:left="1120" w:right="460" w:hanging="672"/>
        <w:spacing w:after="0" w:line="382" w:lineRule="auto"/>
        <w:tabs>
          <w:tab w:leader="none" w:pos="610" w:val="left"/>
        </w:tabs>
        <w:numPr>
          <w:ilvl w:val="0"/>
          <w:numId w:val="121"/>
        </w:numPr>
        <w:rPr>
          <w:rFonts w:ascii="Arial" w:cs="Arial" w:eastAsia="Arial" w:hAnsi="Arial"/>
          <w:sz w:val="24"/>
          <w:szCs w:val="24"/>
          <w:color w:val="auto"/>
          <w:vertAlign w:val="subscript"/>
        </w:rPr>
      </w:pPr>
      <w:r>
        <w:rPr>
          <w:rFonts w:ascii="Arial" w:cs="Arial" w:eastAsia="Arial" w:hAnsi="Arial"/>
          <w:sz w:val="24"/>
          <w:szCs w:val="24"/>
          <w:color w:val="000000"/>
          <w:vertAlign w:val="subscript"/>
        </w:rPr>
        <w:t xml:space="preserve">     </w:t>
      </w:r>
      <w:r>
        <w:rPr>
          <w:rFonts w:ascii="Arial" w:cs="Arial" w:eastAsia="Arial" w:hAnsi="Arial"/>
          <w:sz w:val="10"/>
          <w:szCs w:val="10"/>
          <w:color w:val="FFFFFF"/>
        </w:rPr>
        <w:t xml:space="preserve"> General Information</w:t>
      </w:r>
    </w:p>
    <w:p>
      <w:pPr>
        <w:spacing w:after="0" w:line="1" w:lineRule="exact"/>
        <w:rPr>
          <w:sz w:val="20"/>
          <w:szCs w:val="20"/>
          <w:color w:val="auto"/>
        </w:rPr>
      </w:pPr>
    </w:p>
    <w:p>
      <w:pPr>
        <w:ind w:left="1120"/>
        <w:spacing w:after="0"/>
        <w:rPr>
          <w:sz w:val="20"/>
          <w:szCs w:val="20"/>
          <w:color w:val="auto"/>
        </w:rPr>
      </w:pPr>
      <w:r>
        <w:rPr>
          <w:rFonts w:ascii="Arial" w:cs="Arial" w:eastAsia="Arial" w:hAnsi="Arial"/>
          <w:sz w:val="11"/>
          <w:szCs w:val="11"/>
          <w:color w:val="FFFFFF"/>
        </w:rPr>
        <w:t>General Information</w:t>
      </w:r>
    </w:p>
    <w:p>
      <w:pPr>
        <w:spacing w:after="0" w:line="3"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About Corporate</w:t>
      </w:r>
    </w:p>
    <w:p>
      <w:pPr>
        <w:ind w:left="1120"/>
        <w:spacing w:after="0" w:line="221" w:lineRule="auto"/>
        <w:rPr>
          <w:sz w:val="20"/>
          <w:szCs w:val="20"/>
          <w:color w:val="auto"/>
        </w:rPr>
      </w:pPr>
      <w:r>
        <w:rPr>
          <w:rFonts w:ascii="Arial" w:cs="Arial" w:eastAsia="Arial" w:hAnsi="Arial"/>
          <w:sz w:val="12"/>
          <w:szCs w:val="12"/>
          <w:color w:val="FFFFFF"/>
        </w:rPr>
        <w:t>Governance</w:t>
      </w:r>
    </w:p>
    <w:p>
      <w:pPr>
        <w:ind w:left="1120"/>
        <w:spacing w:after="0" w:line="222" w:lineRule="auto"/>
        <w:rPr>
          <w:sz w:val="20"/>
          <w:szCs w:val="20"/>
          <w:color w:val="auto"/>
        </w:rPr>
      </w:pPr>
      <w:r>
        <w:rPr>
          <w:rFonts w:ascii="Arial" w:cs="Arial" w:eastAsia="Arial" w:hAnsi="Arial"/>
          <w:sz w:val="12"/>
          <w:szCs w:val="12"/>
          <w:color w:val="FFFFFF"/>
        </w:rPr>
        <w:t>and the Board of</w:t>
      </w:r>
    </w:p>
    <w:p>
      <w:pPr>
        <w:spacing w:after="0" w:line="1"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Directors</w:t>
      </w:r>
    </w:p>
    <w:p>
      <w:pPr>
        <w:spacing w:after="0" w:line="144" w:lineRule="exact"/>
        <w:rPr>
          <w:sz w:val="20"/>
          <w:szCs w:val="20"/>
          <w:color w:val="auto"/>
        </w:rPr>
      </w:pPr>
    </w:p>
    <w:p>
      <w:pPr>
        <w:jc w:val="center"/>
        <w:ind w:left="620"/>
        <w:spacing w:after="0"/>
        <w:rPr>
          <w:sz w:val="20"/>
          <w:szCs w:val="20"/>
          <w:color w:val="auto"/>
        </w:rPr>
      </w:pPr>
      <w:r>
        <w:rPr>
          <w:rFonts w:ascii="Arial" w:cs="Arial" w:eastAsia="Arial" w:hAnsi="Arial"/>
          <w:sz w:val="12"/>
          <w:szCs w:val="12"/>
          <w:color w:val="FFFFFF"/>
        </w:rPr>
        <w:t>Proposal 1</w:t>
      </w:r>
    </w:p>
    <w:p>
      <w:pPr>
        <w:spacing w:after="0" w:line="156"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Information</w:t>
      </w:r>
    </w:p>
    <w:p>
      <w:pPr>
        <w:ind w:left="1120"/>
        <w:spacing w:after="0" w:line="224" w:lineRule="auto"/>
        <w:rPr>
          <w:sz w:val="20"/>
          <w:szCs w:val="20"/>
          <w:color w:val="auto"/>
        </w:rPr>
      </w:pPr>
      <w:r>
        <w:rPr>
          <w:rFonts w:ascii="Arial" w:cs="Arial" w:eastAsia="Arial" w:hAnsi="Arial"/>
          <w:sz w:val="12"/>
          <w:szCs w:val="12"/>
          <w:color w:val="FFFFFF"/>
        </w:rPr>
        <w:t>Regarding Board</w:t>
      </w:r>
    </w:p>
    <w:p>
      <w:pPr>
        <w:ind w:left="1120"/>
        <w:spacing w:after="0" w:line="222" w:lineRule="auto"/>
        <w:rPr>
          <w:sz w:val="20"/>
          <w:szCs w:val="20"/>
          <w:color w:val="auto"/>
        </w:rPr>
      </w:pPr>
      <w:r>
        <w:rPr>
          <w:rFonts w:ascii="Arial" w:cs="Arial" w:eastAsia="Arial" w:hAnsi="Arial"/>
          <w:sz w:val="12"/>
          <w:szCs w:val="12"/>
          <w:color w:val="FFFFFF"/>
        </w:rPr>
        <w:t>and Committee</w:t>
      </w:r>
    </w:p>
    <w:p>
      <w:pPr>
        <w:ind w:left="1120"/>
        <w:spacing w:after="0"/>
        <w:rPr>
          <w:sz w:val="20"/>
          <w:szCs w:val="20"/>
          <w:color w:val="auto"/>
        </w:rPr>
      </w:pPr>
      <w:r>
        <w:rPr>
          <w:rFonts w:ascii="Arial" w:cs="Arial" w:eastAsia="Arial" w:hAnsi="Arial"/>
          <w:sz w:val="12"/>
          <w:szCs w:val="12"/>
          <w:color w:val="FFFFFF"/>
        </w:rPr>
        <w:t>Structure</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Board of Directors</w:t>
      </w:r>
    </w:p>
    <w:p>
      <w:pPr>
        <w:spacing w:after="0" w:line="2"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Compensation</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Compensation</w:t>
      </w:r>
    </w:p>
    <w:p>
      <w:pPr>
        <w:ind w:left="1120"/>
        <w:spacing w:after="0" w:line="224" w:lineRule="auto"/>
        <w:rPr>
          <w:sz w:val="20"/>
          <w:szCs w:val="20"/>
          <w:color w:val="auto"/>
        </w:rPr>
      </w:pPr>
      <w:r>
        <w:rPr>
          <w:rFonts w:ascii="Arial" w:cs="Arial" w:eastAsia="Arial" w:hAnsi="Arial"/>
          <w:sz w:val="12"/>
          <w:szCs w:val="12"/>
          <w:color w:val="FFFFFF"/>
        </w:rPr>
        <w:t>Discussion and</w:t>
      </w:r>
    </w:p>
    <w:p>
      <w:pPr>
        <w:ind w:left="1120"/>
        <w:spacing w:after="0"/>
        <w:rPr>
          <w:sz w:val="20"/>
          <w:szCs w:val="20"/>
          <w:color w:val="auto"/>
        </w:rPr>
      </w:pPr>
      <w:r>
        <w:rPr>
          <w:rFonts w:ascii="Arial" w:cs="Arial" w:eastAsia="Arial" w:hAnsi="Arial"/>
          <w:sz w:val="12"/>
          <w:szCs w:val="12"/>
          <w:color w:val="FFFFFF"/>
        </w:rPr>
        <w:t>Analysis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Report of the</w:t>
      </w:r>
    </w:p>
    <w:p>
      <w:pPr>
        <w:ind w:left="1120"/>
        <w:spacing w:after="0" w:line="224" w:lineRule="auto"/>
        <w:rPr>
          <w:sz w:val="20"/>
          <w:szCs w:val="20"/>
          <w:color w:val="auto"/>
        </w:rPr>
      </w:pPr>
      <w:r>
        <w:rPr>
          <w:rFonts w:ascii="Arial" w:cs="Arial" w:eastAsia="Arial" w:hAnsi="Arial"/>
          <w:sz w:val="12"/>
          <w:szCs w:val="12"/>
          <w:color w:val="FFFFFF"/>
        </w:rPr>
        <w:t>Compensation</w:t>
      </w:r>
    </w:p>
    <w:p>
      <w:pPr>
        <w:ind w:left="1120"/>
        <w:spacing w:after="0" w:line="222" w:lineRule="auto"/>
        <w:rPr>
          <w:sz w:val="20"/>
          <w:szCs w:val="20"/>
          <w:color w:val="auto"/>
        </w:rPr>
      </w:pPr>
      <w:r>
        <w:rPr>
          <w:rFonts w:ascii="Arial" w:cs="Arial" w:eastAsia="Arial" w:hAnsi="Arial"/>
          <w:sz w:val="12"/>
          <w:szCs w:val="12"/>
          <w:color w:val="FFFFFF"/>
        </w:rPr>
        <w:t>and Human</w:t>
      </w:r>
    </w:p>
    <w:p>
      <w:pPr>
        <w:ind w:left="1120"/>
        <w:spacing w:after="0" w:line="222" w:lineRule="auto"/>
        <w:rPr>
          <w:sz w:val="20"/>
          <w:szCs w:val="20"/>
          <w:color w:val="auto"/>
        </w:rPr>
      </w:pPr>
      <w:r>
        <w:rPr>
          <w:rFonts w:ascii="Arial" w:cs="Arial" w:eastAsia="Arial" w:hAnsi="Arial"/>
          <w:sz w:val="12"/>
          <w:szCs w:val="12"/>
          <w:color w:val="FFFFFF"/>
        </w:rPr>
        <w:t>Resources</w:t>
      </w:r>
    </w:p>
    <w:p>
      <w:pPr>
        <w:ind w:left="1120"/>
        <w:spacing w:after="0" w:line="222" w:lineRule="auto"/>
        <w:rPr>
          <w:sz w:val="20"/>
          <w:szCs w:val="20"/>
          <w:color w:val="auto"/>
        </w:rPr>
      </w:pPr>
      <w:r>
        <w:rPr>
          <w:rFonts w:ascii="Arial" w:cs="Arial" w:eastAsia="Arial" w:hAnsi="Arial"/>
          <w:sz w:val="12"/>
          <w:szCs w:val="12"/>
          <w:color w:val="FFFFFF"/>
        </w:rPr>
        <w:t>Committee of the</w:t>
      </w:r>
    </w:p>
    <w:p>
      <w:pPr>
        <w:ind w:left="1120"/>
        <w:spacing w:after="0"/>
        <w:rPr>
          <w:sz w:val="20"/>
          <w:szCs w:val="20"/>
          <w:color w:val="auto"/>
        </w:rPr>
      </w:pPr>
      <w:r>
        <w:rPr>
          <w:rFonts w:ascii="Arial" w:cs="Arial" w:eastAsia="Arial" w:hAnsi="Arial"/>
          <w:sz w:val="12"/>
          <w:szCs w:val="12"/>
          <w:color w:val="FFFFFF"/>
        </w:rPr>
        <w:t>Board of Directors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Compensation of</w:t>
      </w:r>
    </w:p>
    <w:p>
      <w:pPr>
        <w:ind w:left="1120"/>
        <w:spacing w:after="0" w:line="224" w:lineRule="auto"/>
        <w:rPr>
          <w:sz w:val="20"/>
          <w:szCs w:val="20"/>
          <w:color w:val="auto"/>
        </w:rPr>
      </w:pPr>
      <w:r>
        <w:rPr>
          <w:rFonts w:ascii="Arial" w:cs="Arial" w:eastAsia="Arial" w:hAnsi="Arial"/>
          <w:sz w:val="12"/>
          <w:szCs w:val="12"/>
          <w:color w:val="FFFFFF"/>
        </w:rPr>
        <w:t>Named Executive</w:t>
      </w:r>
    </w:p>
    <w:p>
      <w:pPr>
        <w:ind w:left="1120"/>
        <w:spacing w:after="0"/>
        <w:rPr>
          <w:sz w:val="20"/>
          <w:szCs w:val="20"/>
          <w:color w:val="auto"/>
        </w:rPr>
      </w:pPr>
      <w:r>
        <w:rPr>
          <w:rFonts w:ascii="Arial" w:cs="Arial" w:eastAsia="Arial" w:hAnsi="Arial"/>
          <w:sz w:val="12"/>
          <w:szCs w:val="12"/>
          <w:color w:val="FFFFFF"/>
        </w:rPr>
        <w:t>Officers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Pay Versus</w:t>
      </w:r>
    </w:p>
    <w:p>
      <w:pPr>
        <w:ind w:left="1120"/>
        <w:spacing w:after="0" w:line="224" w:lineRule="auto"/>
        <w:rPr>
          <w:sz w:val="20"/>
          <w:szCs w:val="20"/>
          <w:color w:val="auto"/>
        </w:rPr>
      </w:pPr>
      <w:r>
        <w:rPr>
          <w:rFonts w:ascii="Arial" w:cs="Arial" w:eastAsia="Arial" w:hAnsi="Arial"/>
          <w:sz w:val="12"/>
          <w:szCs w:val="12"/>
          <w:color w:val="FFFFFF"/>
        </w:rPr>
        <w:t>Performance</w:t>
      </w:r>
    </w:p>
    <w:p>
      <w:pPr>
        <w:ind w:left="1120"/>
        <w:spacing w:after="0"/>
        <w:rPr>
          <w:sz w:val="20"/>
          <w:szCs w:val="20"/>
          <w:color w:val="auto"/>
        </w:rPr>
      </w:pPr>
      <w:r>
        <w:rPr>
          <w:rFonts w:ascii="Arial" w:cs="Arial" w:eastAsia="Arial" w:hAnsi="Arial"/>
          <w:sz w:val="12"/>
          <w:szCs w:val="12"/>
          <w:color w:val="FFFFFF"/>
        </w:rPr>
        <w:t>Disclosure</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b w:val="1"/>
          <w:bCs w:val="1"/>
          <w:color w:val="FFFFFF"/>
        </w:rPr>
        <w:t>Security</w:t>
      </w:r>
    </w:p>
    <w:p>
      <w:pPr>
        <w:ind w:left="1120"/>
        <w:spacing w:after="0" w:line="224" w:lineRule="auto"/>
        <w:rPr>
          <w:sz w:val="20"/>
          <w:szCs w:val="20"/>
          <w:color w:val="auto"/>
        </w:rPr>
      </w:pPr>
      <w:r>
        <w:rPr>
          <w:rFonts w:ascii="Arial" w:cs="Arial" w:eastAsia="Arial" w:hAnsi="Arial"/>
          <w:sz w:val="12"/>
          <w:szCs w:val="12"/>
          <w:b w:val="1"/>
          <w:bCs w:val="1"/>
          <w:color w:val="FFFFFF"/>
        </w:rPr>
        <w:t>Ownership of</w:t>
      </w:r>
    </w:p>
    <w:p>
      <w:pPr>
        <w:ind w:left="1120"/>
        <w:spacing w:after="0" w:line="222" w:lineRule="auto"/>
        <w:rPr>
          <w:sz w:val="20"/>
          <w:szCs w:val="20"/>
          <w:color w:val="auto"/>
        </w:rPr>
      </w:pPr>
      <w:r>
        <w:rPr>
          <w:rFonts w:ascii="Arial" w:cs="Arial" w:eastAsia="Arial" w:hAnsi="Arial"/>
          <w:sz w:val="12"/>
          <w:szCs w:val="12"/>
          <w:b w:val="1"/>
          <w:bCs w:val="1"/>
          <w:color w:val="FFFFFF"/>
        </w:rPr>
        <w:t>Certain Beneficial</w:t>
      </w:r>
    </w:p>
    <w:p>
      <w:pPr>
        <w:ind w:left="1120"/>
        <w:spacing w:after="0" w:line="222" w:lineRule="auto"/>
        <w:rPr>
          <w:sz w:val="20"/>
          <w:szCs w:val="20"/>
          <w:color w:val="auto"/>
        </w:rPr>
      </w:pPr>
      <w:r>
        <w:rPr>
          <w:rFonts w:ascii="Arial" w:cs="Arial" w:eastAsia="Arial" w:hAnsi="Arial"/>
          <w:sz w:val="12"/>
          <w:szCs w:val="12"/>
          <w:b w:val="1"/>
          <w:bCs w:val="1"/>
          <w:color w:val="FFFFFF"/>
        </w:rPr>
        <w:t>Owners and</w:t>
      </w:r>
    </w:p>
    <w:p>
      <w:pPr>
        <w:ind w:left="1120"/>
        <w:spacing w:after="0"/>
        <w:rPr>
          <w:sz w:val="20"/>
          <w:szCs w:val="20"/>
          <w:color w:val="auto"/>
        </w:rPr>
      </w:pPr>
      <w:r>
        <w:rPr>
          <w:rFonts w:ascii="Arial" w:cs="Arial" w:eastAsia="Arial" w:hAnsi="Arial"/>
          <w:sz w:val="12"/>
          <w:szCs w:val="12"/>
          <w:b w:val="1"/>
          <w:bCs w:val="1"/>
          <w:color w:val="FFFFFF"/>
        </w:rPr>
        <w:t>Management</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Certain</w:t>
      </w:r>
    </w:p>
    <w:p>
      <w:pPr>
        <w:ind w:left="1120"/>
        <w:spacing w:after="0" w:line="224" w:lineRule="auto"/>
        <w:rPr>
          <w:sz w:val="20"/>
          <w:szCs w:val="20"/>
          <w:color w:val="auto"/>
        </w:rPr>
      </w:pPr>
      <w:r>
        <w:rPr>
          <w:rFonts w:ascii="Arial" w:cs="Arial" w:eastAsia="Arial" w:hAnsi="Arial"/>
          <w:sz w:val="12"/>
          <w:szCs w:val="12"/>
          <w:color w:val="FFFFFF"/>
        </w:rPr>
        <w:t>Relationships and</w:t>
      </w:r>
    </w:p>
    <w:p>
      <w:pPr>
        <w:ind w:left="1120"/>
        <w:spacing w:after="0" w:line="222" w:lineRule="auto"/>
        <w:rPr>
          <w:sz w:val="20"/>
          <w:szCs w:val="20"/>
          <w:color w:val="auto"/>
        </w:rPr>
      </w:pPr>
      <w:r>
        <w:rPr>
          <w:rFonts w:ascii="Arial" w:cs="Arial" w:eastAsia="Arial" w:hAnsi="Arial"/>
          <w:sz w:val="12"/>
          <w:szCs w:val="12"/>
          <w:color w:val="FFFFFF"/>
        </w:rPr>
        <w:t>Related Party</w:t>
      </w:r>
    </w:p>
    <w:p>
      <w:pPr>
        <w:ind w:left="1120"/>
        <w:spacing w:after="0"/>
        <w:rPr>
          <w:sz w:val="20"/>
          <w:szCs w:val="20"/>
          <w:color w:val="auto"/>
        </w:rPr>
      </w:pPr>
      <w:r>
        <w:rPr>
          <w:rFonts w:ascii="Arial" w:cs="Arial" w:eastAsia="Arial" w:hAnsi="Arial"/>
          <w:sz w:val="12"/>
          <w:szCs w:val="12"/>
          <w:color w:val="FFFFFF"/>
        </w:rPr>
        <w:t>Transactions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Proposal 2</w:t>
      </w:r>
    </w:p>
    <w:p>
      <w:pPr>
        <w:spacing w:after="0" w:line="156"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Report of the</w:t>
      </w:r>
    </w:p>
    <w:p>
      <w:pPr>
        <w:ind w:left="1120"/>
        <w:spacing w:after="0" w:line="224" w:lineRule="auto"/>
        <w:rPr>
          <w:sz w:val="20"/>
          <w:szCs w:val="20"/>
          <w:color w:val="auto"/>
        </w:rPr>
      </w:pPr>
      <w:r>
        <w:rPr>
          <w:rFonts w:ascii="Arial" w:cs="Arial" w:eastAsia="Arial" w:hAnsi="Arial"/>
          <w:sz w:val="12"/>
          <w:szCs w:val="12"/>
          <w:color w:val="FFFFFF"/>
        </w:rPr>
        <w:t>Audit and Risk</w:t>
      </w:r>
    </w:p>
    <w:p>
      <w:pPr>
        <w:ind w:left="1120"/>
        <w:spacing w:after="0" w:line="222" w:lineRule="auto"/>
        <w:rPr>
          <w:sz w:val="20"/>
          <w:szCs w:val="20"/>
          <w:color w:val="auto"/>
        </w:rPr>
      </w:pPr>
      <w:r>
        <w:rPr>
          <w:rFonts w:ascii="Arial" w:cs="Arial" w:eastAsia="Arial" w:hAnsi="Arial"/>
          <w:sz w:val="12"/>
          <w:szCs w:val="12"/>
          <w:color w:val="FFFFFF"/>
        </w:rPr>
        <w:t>Committee of the</w:t>
      </w:r>
    </w:p>
    <w:p>
      <w:pPr>
        <w:ind w:left="1120"/>
        <w:spacing w:after="0"/>
        <w:rPr>
          <w:sz w:val="20"/>
          <w:szCs w:val="20"/>
          <w:color w:val="auto"/>
        </w:rPr>
      </w:pPr>
      <w:r>
        <w:rPr>
          <w:rFonts w:ascii="Arial" w:cs="Arial" w:eastAsia="Arial" w:hAnsi="Arial"/>
          <w:sz w:val="12"/>
          <w:szCs w:val="12"/>
          <w:color w:val="FFFFFF"/>
        </w:rPr>
        <w:t>Board of Directors</w:t>
      </w:r>
    </w:p>
    <w:p>
      <w:pPr>
        <w:spacing w:after="0" w:line="144" w:lineRule="exact"/>
        <w:rPr>
          <w:sz w:val="20"/>
          <w:szCs w:val="20"/>
          <w:color w:val="auto"/>
        </w:rPr>
      </w:pPr>
    </w:p>
    <w:p>
      <w:pPr>
        <w:jc w:val="center"/>
        <w:ind w:left="620"/>
        <w:spacing w:after="0"/>
        <w:rPr>
          <w:sz w:val="20"/>
          <w:szCs w:val="20"/>
          <w:color w:val="auto"/>
        </w:rPr>
      </w:pPr>
      <w:r>
        <w:rPr>
          <w:rFonts w:ascii="Arial" w:cs="Arial" w:eastAsia="Arial" w:hAnsi="Arial"/>
          <w:sz w:val="12"/>
          <w:szCs w:val="12"/>
          <w:color w:val="FFFFFF"/>
        </w:rPr>
        <w:t>Proposal 3</w:t>
      </w:r>
    </w:p>
    <w:p>
      <w:pPr>
        <w:spacing w:after="0" w:line="156" w:lineRule="exact"/>
        <w:rPr>
          <w:sz w:val="20"/>
          <w:szCs w:val="20"/>
          <w:color w:val="auto"/>
        </w:rPr>
      </w:pPr>
    </w:p>
    <w:p>
      <w:pPr>
        <w:jc w:val="center"/>
        <w:ind w:left="620"/>
        <w:spacing w:after="0"/>
        <w:rPr>
          <w:sz w:val="20"/>
          <w:szCs w:val="20"/>
          <w:color w:val="auto"/>
        </w:rPr>
      </w:pPr>
      <w:r>
        <w:rPr>
          <w:rFonts w:ascii="Arial" w:cs="Arial" w:eastAsia="Arial" w:hAnsi="Arial"/>
          <w:sz w:val="12"/>
          <w:szCs w:val="12"/>
          <w:color w:val="FFFFFF"/>
        </w:rPr>
        <w:t>Proposal 4</w:t>
      </w:r>
    </w:p>
    <w:p>
      <w:pPr>
        <w:spacing w:after="0" w:line="156" w:lineRule="exact"/>
        <w:rPr>
          <w:sz w:val="20"/>
          <w:szCs w:val="20"/>
          <w:color w:val="auto"/>
        </w:rPr>
      </w:pPr>
    </w:p>
    <w:p>
      <w:pPr>
        <w:jc w:val="center"/>
        <w:ind w:left="620"/>
        <w:spacing w:after="0"/>
        <w:rPr>
          <w:sz w:val="20"/>
          <w:szCs w:val="20"/>
          <w:color w:val="auto"/>
        </w:rPr>
      </w:pPr>
      <w:r>
        <w:rPr>
          <w:rFonts w:ascii="Arial" w:cs="Arial" w:eastAsia="Arial" w:hAnsi="Arial"/>
          <w:sz w:val="12"/>
          <w:szCs w:val="12"/>
          <w:color w:val="FFFFFF"/>
        </w:rPr>
        <w:t>Proposal 5</w:t>
      </w:r>
    </w:p>
    <w:p>
      <w:pPr>
        <w:spacing w:after="0" w:line="156"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Proposal 6</w:t>
      </w:r>
    </w:p>
    <w:p>
      <w:pPr>
        <w:spacing w:after="0" w:line="156"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Stockholder</w:t>
      </w:r>
    </w:p>
    <w:p>
      <w:pPr>
        <w:ind w:left="1120"/>
        <w:spacing w:after="0" w:line="224" w:lineRule="auto"/>
        <w:rPr>
          <w:sz w:val="20"/>
          <w:szCs w:val="20"/>
          <w:color w:val="auto"/>
        </w:rPr>
      </w:pPr>
      <w:r>
        <w:rPr>
          <w:rFonts w:ascii="Arial" w:cs="Arial" w:eastAsia="Arial" w:hAnsi="Arial"/>
          <w:sz w:val="12"/>
          <w:szCs w:val="12"/>
          <w:color w:val="FFFFFF"/>
        </w:rPr>
        <w:t>Proposals and</w:t>
      </w:r>
    </w:p>
    <w:p>
      <w:pPr>
        <w:ind w:left="1120"/>
        <w:spacing w:after="0"/>
        <w:rPr>
          <w:sz w:val="20"/>
          <w:szCs w:val="20"/>
          <w:color w:val="auto"/>
        </w:rPr>
      </w:pPr>
      <w:r>
        <w:rPr>
          <w:rFonts w:ascii="Arial" w:cs="Arial" w:eastAsia="Arial" w:hAnsi="Arial"/>
          <w:sz w:val="12"/>
          <w:szCs w:val="12"/>
          <w:color w:val="FFFFFF"/>
        </w:rPr>
        <w:t>Other Matters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Delinquent</w:t>
      </w:r>
    </w:p>
    <w:p>
      <w:pPr>
        <w:ind w:left="1120"/>
        <w:spacing w:after="0" w:line="224" w:lineRule="auto"/>
        <w:rPr>
          <w:sz w:val="20"/>
          <w:szCs w:val="20"/>
          <w:color w:val="auto"/>
        </w:rPr>
      </w:pPr>
      <w:r>
        <w:rPr>
          <w:rFonts w:ascii="Arial" w:cs="Arial" w:eastAsia="Arial" w:hAnsi="Arial"/>
          <w:sz w:val="12"/>
          <w:szCs w:val="12"/>
          <w:color w:val="FFFFFF"/>
        </w:rPr>
        <w:t>Section 16(a)</w:t>
      </w:r>
    </w:p>
    <w:p>
      <w:pPr>
        <w:ind w:left="1120"/>
        <w:spacing w:after="0"/>
        <w:rPr>
          <w:sz w:val="20"/>
          <w:szCs w:val="20"/>
          <w:color w:val="auto"/>
        </w:rPr>
      </w:pPr>
      <w:r>
        <w:rPr>
          <w:rFonts w:ascii="Arial" w:cs="Arial" w:eastAsia="Arial" w:hAnsi="Arial"/>
          <w:sz w:val="12"/>
          <w:szCs w:val="12"/>
          <w:color w:val="FFFFFF"/>
        </w:rPr>
        <w:t>Reports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Other</w:t>
      </w:r>
    </w:p>
    <w:p>
      <w:pPr>
        <w:spacing w:after="0" w:line="2"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Information</w:t>
      </w:r>
    </w:p>
    <w:p>
      <w:pPr>
        <w:spacing w:after="0" w:line="144" w:lineRule="exact"/>
        <w:rPr>
          <w:sz w:val="20"/>
          <w:szCs w:val="20"/>
          <w:color w:val="auto"/>
        </w:rPr>
      </w:pPr>
    </w:p>
    <w:p>
      <w:pPr>
        <w:jc w:val="center"/>
        <w:ind w:left="660"/>
        <w:spacing w:after="0"/>
        <w:rPr>
          <w:sz w:val="20"/>
          <w:szCs w:val="20"/>
          <w:color w:val="auto"/>
        </w:rPr>
      </w:pPr>
      <w:r>
        <w:rPr>
          <w:rFonts w:ascii="Arial" w:cs="Arial" w:eastAsia="Arial" w:hAnsi="Arial"/>
          <w:sz w:val="12"/>
          <w:szCs w:val="12"/>
          <w:color w:val="FFFFFF"/>
        </w:rPr>
        <w:t>Appendix A</w:t>
      </w:r>
    </w:p>
    <w:p>
      <w:pPr>
        <w:spacing w:after="0" w:line="156" w:lineRule="exact"/>
        <w:rPr>
          <w:sz w:val="20"/>
          <w:szCs w:val="20"/>
          <w:color w:val="auto"/>
        </w:rPr>
      </w:pPr>
    </w:p>
    <w:p>
      <w:pPr>
        <w:jc w:val="center"/>
        <w:ind w:left="660"/>
        <w:spacing w:after="0"/>
        <w:rPr>
          <w:sz w:val="20"/>
          <w:szCs w:val="20"/>
          <w:color w:val="auto"/>
        </w:rPr>
      </w:pPr>
      <w:r>
        <w:rPr>
          <w:rFonts w:ascii="Arial" w:cs="Arial" w:eastAsia="Arial" w:hAnsi="Arial"/>
          <w:sz w:val="12"/>
          <w:szCs w:val="12"/>
          <w:color w:val="FFFFFF"/>
        </w:rPr>
        <w:t>Appendix 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line="1" w:lineRule="exact"/>
        <w:rPr>
          <w:sz w:val="1"/>
          <w:szCs w:val="1"/>
          <w:color w:val="auto"/>
        </w:rPr>
      </w:pPr>
    </w:p>
    <w:tbl>
      <w:tblPr>
        <w:tblLayout w:type="fixed"/>
        <w:tblInd w:w="13" w:type="dxa"/>
        <w:tblCellMar>
          <w:top w:w="0" w:type="dxa"/>
          <w:left w:w="0" w:type="dxa"/>
          <w:bottom w:w="0" w:type="dxa"/>
          <w:right w:w="0" w:type="dxa"/>
        </w:tblCellMar>
      </w:tblPr>
      <w:tr>
        <w:trPr>
          <w:trHeight w:val="161"/>
        </w:trPr>
        <w:tc>
          <w:tcPr>
            <w:tcW w:w="23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002B5F"/>
                <w:w w:val="97"/>
              </w:rPr>
              <w:t>Total Amount</w:t>
            </w:r>
          </w:p>
        </w:tc>
        <w:tc>
          <w:tcPr>
            <w:tcW w:w="1140" w:type="dxa"/>
            <w:vAlign w:val="bottom"/>
          </w:tcPr>
          <w:p>
            <w:pPr>
              <w:spacing w:after="0"/>
              <w:rPr>
                <w:sz w:val="14"/>
                <w:szCs w:val="14"/>
                <w:color w:val="auto"/>
              </w:rPr>
            </w:pPr>
          </w:p>
        </w:tc>
      </w:tr>
      <w:tr>
        <w:trPr>
          <w:trHeight w:val="153"/>
        </w:trPr>
        <w:tc>
          <w:tcPr>
            <w:tcW w:w="23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360" w:type="dxa"/>
            <w:vAlign w:val="bottom"/>
          </w:tcPr>
          <w:p>
            <w:pPr>
              <w:jc w:val="center"/>
              <w:spacing w:after="0" w:line="153" w:lineRule="exact"/>
              <w:rPr>
                <w:sz w:val="20"/>
                <w:szCs w:val="20"/>
                <w:color w:val="auto"/>
              </w:rPr>
            </w:pPr>
            <w:r>
              <w:rPr>
                <w:rFonts w:ascii="Arial" w:cs="Arial" w:eastAsia="Arial" w:hAnsi="Arial"/>
                <w:sz w:val="14"/>
                <w:szCs w:val="14"/>
                <w:b w:val="1"/>
                <w:bCs w:val="1"/>
                <w:color w:val="002B5F"/>
                <w:w w:val="97"/>
              </w:rPr>
              <w:t>and Nature of</w:t>
            </w:r>
          </w:p>
        </w:tc>
        <w:tc>
          <w:tcPr>
            <w:tcW w:w="1140" w:type="dxa"/>
            <w:vAlign w:val="bottom"/>
          </w:tcPr>
          <w:p>
            <w:pPr>
              <w:spacing w:after="0"/>
              <w:rPr>
                <w:sz w:val="13"/>
                <w:szCs w:val="13"/>
                <w:color w:val="auto"/>
              </w:rPr>
            </w:pPr>
          </w:p>
        </w:tc>
      </w:tr>
      <w:tr>
        <w:trPr>
          <w:trHeight w:val="153"/>
        </w:trPr>
        <w:tc>
          <w:tcPr>
            <w:tcW w:w="23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360" w:type="dxa"/>
            <w:vAlign w:val="bottom"/>
          </w:tcPr>
          <w:p>
            <w:pPr>
              <w:jc w:val="center"/>
              <w:spacing w:after="0" w:line="153" w:lineRule="exact"/>
              <w:rPr>
                <w:sz w:val="20"/>
                <w:szCs w:val="20"/>
                <w:color w:val="auto"/>
              </w:rPr>
            </w:pPr>
            <w:r>
              <w:rPr>
                <w:rFonts w:ascii="Arial" w:cs="Arial" w:eastAsia="Arial" w:hAnsi="Arial"/>
                <w:sz w:val="14"/>
                <w:szCs w:val="14"/>
                <w:b w:val="1"/>
                <w:bCs w:val="1"/>
                <w:color w:val="002B5F"/>
                <w:w w:val="96"/>
              </w:rPr>
              <w:t>Beneficial</w:t>
            </w:r>
          </w:p>
        </w:tc>
        <w:tc>
          <w:tcPr>
            <w:tcW w:w="1140" w:type="dxa"/>
            <w:vAlign w:val="bottom"/>
          </w:tcPr>
          <w:p>
            <w:pPr>
              <w:spacing w:after="0"/>
              <w:rPr>
                <w:sz w:val="13"/>
                <w:szCs w:val="13"/>
                <w:color w:val="auto"/>
              </w:rPr>
            </w:pPr>
          </w:p>
        </w:tc>
      </w:tr>
      <w:tr>
        <w:trPr>
          <w:trHeight w:val="153"/>
        </w:trPr>
        <w:tc>
          <w:tcPr>
            <w:tcW w:w="2340" w:type="dxa"/>
            <w:vAlign w:val="bottom"/>
          </w:tcPr>
          <w:p>
            <w:pPr>
              <w:spacing w:after="0"/>
              <w:rPr>
                <w:sz w:val="13"/>
                <w:szCs w:val="13"/>
                <w:color w:val="auto"/>
              </w:rPr>
            </w:pPr>
          </w:p>
        </w:tc>
        <w:tc>
          <w:tcPr>
            <w:tcW w:w="1400" w:type="dxa"/>
            <w:vAlign w:val="bottom"/>
          </w:tcPr>
          <w:p>
            <w:pPr>
              <w:jc w:val="center"/>
              <w:ind w:left="47"/>
              <w:spacing w:after="0" w:line="153" w:lineRule="exact"/>
              <w:rPr>
                <w:sz w:val="20"/>
                <w:szCs w:val="20"/>
                <w:color w:val="auto"/>
              </w:rPr>
            </w:pPr>
            <w:r>
              <w:rPr>
                <w:rFonts w:ascii="Arial" w:cs="Arial" w:eastAsia="Arial" w:hAnsi="Arial"/>
                <w:sz w:val="14"/>
                <w:szCs w:val="14"/>
                <w:b w:val="1"/>
                <w:bCs w:val="1"/>
                <w:color w:val="002B5F"/>
                <w:w w:val="98"/>
              </w:rPr>
              <w:t>Directly or</w:t>
            </w:r>
          </w:p>
        </w:tc>
        <w:tc>
          <w:tcPr>
            <w:tcW w:w="960" w:type="dxa"/>
            <w:vAlign w:val="bottom"/>
          </w:tcPr>
          <w:p>
            <w:pPr>
              <w:jc w:val="center"/>
              <w:ind w:right="7"/>
              <w:spacing w:after="0" w:line="153" w:lineRule="exact"/>
              <w:rPr>
                <w:sz w:val="20"/>
                <w:szCs w:val="20"/>
                <w:color w:val="auto"/>
              </w:rPr>
            </w:pPr>
            <w:r>
              <w:rPr>
                <w:rFonts w:ascii="Arial" w:cs="Arial" w:eastAsia="Arial" w:hAnsi="Arial"/>
                <w:sz w:val="14"/>
                <w:szCs w:val="14"/>
                <w:b w:val="1"/>
                <w:bCs w:val="1"/>
                <w:color w:val="002B5F"/>
                <w:w w:val="98"/>
              </w:rPr>
              <w:t>Right to</w:t>
            </w:r>
          </w:p>
        </w:tc>
        <w:tc>
          <w:tcPr>
            <w:tcW w:w="760" w:type="dxa"/>
            <w:vAlign w:val="bottom"/>
          </w:tcPr>
          <w:p>
            <w:pPr>
              <w:spacing w:after="0"/>
              <w:rPr>
                <w:sz w:val="13"/>
                <w:szCs w:val="13"/>
                <w:color w:val="auto"/>
              </w:rPr>
            </w:pPr>
          </w:p>
        </w:tc>
        <w:tc>
          <w:tcPr>
            <w:tcW w:w="1360" w:type="dxa"/>
            <w:vAlign w:val="bottom"/>
          </w:tcPr>
          <w:p>
            <w:pPr>
              <w:jc w:val="center"/>
              <w:spacing w:after="0" w:line="153" w:lineRule="exact"/>
              <w:rPr>
                <w:sz w:val="20"/>
                <w:szCs w:val="20"/>
                <w:color w:val="auto"/>
              </w:rPr>
            </w:pPr>
            <w:r>
              <w:rPr>
                <w:rFonts w:ascii="Arial" w:cs="Arial" w:eastAsia="Arial" w:hAnsi="Arial"/>
                <w:sz w:val="14"/>
                <w:szCs w:val="14"/>
                <w:b w:val="1"/>
                <w:bCs w:val="1"/>
                <w:color w:val="002B5F"/>
                <w:w w:val="98"/>
              </w:rPr>
              <w:t>Ownership of</w:t>
            </w:r>
          </w:p>
        </w:tc>
        <w:tc>
          <w:tcPr>
            <w:tcW w:w="1140" w:type="dxa"/>
            <w:vAlign w:val="bottom"/>
          </w:tcPr>
          <w:p>
            <w:pPr>
              <w:jc w:val="center"/>
              <w:ind w:left="87"/>
              <w:spacing w:after="0" w:line="153" w:lineRule="exact"/>
              <w:rPr>
                <w:sz w:val="20"/>
                <w:szCs w:val="20"/>
                <w:color w:val="auto"/>
              </w:rPr>
            </w:pPr>
            <w:r>
              <w:rPr>
                <w:rFonts w:ascii="Arial" w:cs="Arial" w:eastAsia="Arial" w:hAnsi="Arial"/>
                <w:sz w:val="14"/>
                <w:szCs w:val="14"/>
                <w:b w:val="1"/>
                <w:bCs w:val="1"/>
                <w:color w:val="002B5F"/>
                <w:w w:val="97"/>
              </w:rPr>
              <w:t>Percentage of</w:t>
            </w:r>
          </w:p>
        </w:tc>
      </w:tr>
      <w:tr>
        <w:trPr>
          <w:trHeight w:val="150"/>
        </w:trPr>
        <w:tc>
          <w:tcPr>
            <w:tcW w:w="2340" w:type="dxa"/>
            <w:vAlign w:val="bottom"/>
          </w:tcPr>
          <w:p>
            <w:pPr>
              <w:spacing w:after="0"/>
              <w:rPr>
                <w:sz w:val="13"/>
                <w:szCs w:val="13"/>
                <w:color w:val="auto"/>
              </w:rPr>
            </w:pPr>
          </w:p>
        </w:tc>
        <w:tc>
          <w:tcPr>
            <w:tcW w:w="1400" w:type="dxa"/>
            <w:vAlign w:val="bottom"/>
          </w:tcPr>
          <w:p>
            <w:pPr>
              <w:jc w:val="center"/>
              <w:ind w:left="67"/>
              <w:spacing w:after="0" w:line="149" w:lineRule="exact"/>
              <w:rPr>
                <w:sz w:val="20"/>
                <w:szCs w:val="20"/>
                <w:color w:val="auto"/>
              </w:rPr>
            </w:pPr>
            <w:r>
              <w:rPr>
                <w:rFonts w:ascii="Arial" w:cs="Arial" w:eastAsia="Arial" w:hAnsi="Arial"/>
                <w:sz w:val="14"/>
                <w:szCs w:val="14"/>
                <w:b w:val="1"/>
                <w:bCs w:val="1"/>
                <w:color w:val="002B5F"/>
                <w:w w:val="97"/>
              </w:rPr>
              <w:t>Indirectly Held</w:t>
            </w:r>
          </w:p>
        </w:tc>
        <w:tc>
          <w:tcPr>
            <w:tcW w:w="960" w:type="dxa"/>
            <w:vAlign w:val="bottom"/>
          </w:tcPr>
          <w:p>
            <w:pPr>
              <w:jc w:val="center"/>
              <w:ind w:right="27"/>
              <w:spacing w:after="0" w:line="149" w:lineRule="exact"/>
              <w:rPr>
                <w:sz w:val="20"/>
                <w:szCs w:val="20"/>
                <w:color w:val="auto"/>
              </w:rPr>
            </w:pPr>
            <w:r>
              <w:rPr>
                <w:rFonts w:ascii="Arial" w:cs="Arial" w:eastAsia="Arial" w:hAnsi="Arial"/>
                <w:sz w:val="14"/>
                <w:szCs w:val="14"/>
                <w:b w:val="1"/>
                <w:bCs w:val="1"/>
                <w:color w:val="002B5F"/>
                <w:w w:val="95"/>
              </w:rPr>
              <w:t>Acquire</w:t>
            </w:r>
          </w:p>
        </w:tc>
        <w:tc>
          <w:tcPr>
            <w:tcW w:w="760" w:type="dxa"/>
            <w:vAlign w:val="bottom"/>
          </w:tcPr>
          <w:p>
            <w:pPr>
              <w:jc w:val="right"/>
              <w:ind w:right="126"/>
              <w:spacing w:after="0" w:line="149" w:lineRule="exact"/>
              <w:rPr>
                <w:sz w:val="20"/>
                <w:szCs w:val="20"/>
                <w:color w:val="auto"/>
              </w:rPr>
            </w:pPr>
            <w:r>
              <w:rPr>
                <w:rFonts w:ascii="Arial" w:cs="Arial" w:eastAsia="Arial" w:hAnsi="Arial"/>
                <w:sz w:val="14"/>
                <w:szCs w:val="14"/>
                <w:b w:val="1"/>
                <w:bCs w:val="1"/>
                <w:color w:val="002B5F"/>
              </w:rPr>
              <w:t>Other</w:t>
            </w: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002B5F"/>
                <w:w w:val="97"/>
              </w:rPr>
              <w:t>Common Stock</w:t>
            </w:r>
          </w:p>
        </w:tc>
        <w:tc>
          <w:tcPr>
            <w:tcW w:w="1140" w:type="dxa"/>
            <w:vAlign w:val="bottom"/>
          </w:tcPr>
          <w:p>
            <w:pPr>
              <w:jc w:val="center"/>
              <w:ind w:left="67"/>
              <w:spacing w:after="0" w:line="149" w:lineRule="exact"/>
              <w:rPr>
                <w:sz w:val="20"/>
                <w:szCs w:val="20"/>
                <w:color w:val="auto"/>
              </w:rPr>
            </w:pPr>
            <w:r>
              <w:rPr>
                <w:rFonts w:ascii="Arial" w:cs="Arial" w:eastAsia="Arial" w:hAnsi="Arial"/>
                <w:sz w:val="14"/>
                <w:szCs w:val="14"/>
                <w:b w:val="1"/>
                <w:bCs w:val="1"/>
                <w:color w:val="002B5F"/>
                <w:w w:val="97"/>
              </w:rPr>
              <w:t>Common Stock</w:t>
            </w:r>
          </w:p>
        </w:tc>
      </w:tr>
      <w:tr>
        <w:trPr>
          <w:trHeight w:val="210"/>
        </w:trPr>
        <w:tc>
          <w:tcPr>
            <w:tcW w:w="2340" w:type="dxa"/>
            <w:vAlign w:val="bottom"/>
            <w:tcBorders>
              <w:bottom w:val="single" w:sz="8" w:color="002B5F"/>
            </w:tcBorders>
          </w:tcPr>
          <w:p>
            <w:pPr>
              <w:ind w:left="60"/>
              <w:spacing w:after="0"/>
              <w:rPr>
                <w:sz w:val="20"/>
                <w:szCs w:val="20"/>
                <w:color w:val="auto"/>
              </w:rPr>
            </w:pPr>
            <w:r>
              <w:rPr>
                <w:rFonts w:ascii="Arial" w:cs="Arial" w:eastAsia="Arial" w:hAnsi="Arial"/>
                <w:sz w:val="14"/>
                <w:szCs w:val="14"/>
                <w:b w:val="1"/>
                <w:bCs w:val="1"/>
                <w:color w:val="002B5F"/>
              </w:rPr>
              <w:t>Name of Beneficial Owner</w:t>
            </w:r>
          </w:p>
        </w:tc>
        <w:tc>
          <w:tcPr>
            <w:tcW w:w="1400" w:type="dxa"/>
            <w:vAlign w:val="bottom"/>
            <w:tcBorders>
              <w:bottom w:val="single" w:sz="8" w:color="002B5F"/>
            </w:tcBorders>
          </w:tcPr>
          <w:p>
            <w:pPr>
              <w:jc w:val="center"/>
              <w:ind w:left="47"/>
              <w:spacing w:after="0"/>
              <w:rPr>
                <w:sz w:val="20"/>
                <w:szCs w:val="20"/>
                <w:color w:val="auto"/>
              </w:rPr>
            </w:pPr>
            <w:r>
              <w:rPr>
                <w:rFonts w:ascii="Arial" w:cs="Arial" w:eastAsia="Arial" w:hAnsi="Arial"/>
                <w:sz w:val="14"/>
                <w:szCs w:val="14"/>
                <w:b w:val="1"/>
                <w:bCs w:val="1"/>
                <w:color w:val="002B5F"/>
                <w:w w:val="93"/>
              </w:rPr>
              <w:t>(#)</w:t>
            </w:r>
          </w:p>
        </w:tc>
        <w:tc>
          <w:tcPr>
            <w:tcW w:w="960" w:type="dxa"/>
            <w:vAlign w:val="bottom"/>
            <w:tcBorders>
              <w:bottom w:val="single" w:sz="8" w:color="002B5F"/>
            </w:tcBorders>
          </w:tcPr>
          <w:p>
            <w:pPr>
              <w:jc w:val="center"/>
              <w:ind w:right="27"/>
              <w:spacing w:after="0" w:line="205" w:lineRule="exact"/>
              <w:rPr>
                <w:sz w:val="20"/>
                <w:szCs w:val="20"/>
                <w:color w:val="auto"/>
              </w:rPr>
            </w:pPr>
            <w:r>
              <w:rPr>
                <w:rFonts w:ascii="Arial" w:cs="Arial" w:eastAsia="Arial" w:hAnsi="Arial"/>
                <w:sz w:val="14"/>
                <w:szCs w:val="14"/>
                <w:b w:val="1"/>
                <w:bCs w:val="1"/>
                <w:color w:val="002B5F"/>
                <w:w w:val="89"/>
              </w:rPr>
              <w:t>(#)</w:t>
            </w:r>
            <w:r>
              <w:rPr>
                <w:rFonts w:ascii="Arial" w:cs="Arial" w:eastAsia="Arial" w:hAnsi="Arial"/>
                <w:sz w:val="20"/>
                <w:szCs w:val="20"/>
                <w:b w:val="1"/>
                <w:bCs w:val="1"/>
                <w:color w:val="002B5F"/>
                <w:w w:val="89"/>
                <w:vertAlign w:val="superscript"/>
              </w:rPr>
              <w:t>(1)</w:t>
            </w:r>
          </w:p>
        </w:tc>
        <w:tc>
          <w:tcPr>
            <w:tcW w:w="760" w:type="dxa"/>
            <w:vAlign w:val="bottom"/>
            <w:tcBorders>
              <w:bottom w:val="single" w:sz="8" w:color="002B5F"/>
            </w:tcBorders>
          </w:tcPr>
          <w:p>
            <w:pPr>
              <w:jc w:val="right"/>
              <w:ind w:right="226"/>
              <w:spacing w:after="0"/>
              <w:rPr>
                <w:sz w:val="20"/>
                <w:szCs w:val="20"/>
                <w:color w:val="auto"/>
              </w:rPr>
            </w:pPr>
            <w:r>
              <w:rPr>
                <w:rFonts w:ascii="Arial" w:cs="Arial" w:eastAsia="Arial" w:hAnsi="Arial"/>
                <w:sz w:val="14"/>
                <w:szCs w:val="14"/>
                <w:b w:val="1"/>
                <w:bCs w:val="1"/>
                <w:color w:val="002B5F"/>
              </w:rPr>
              <w:t>(#)</w:t>
            </w:r>
          </w:p>
        </w:tc>
        <w:tc>
          <w:tcPr>
            <w:tcW w:w="1360" w:type="dxa"/>
            <w:vAlign w:val="bottom"/>
            <w:tcBorders>
              <w:bottom w:val="single" w:sz="8" w:color="002B5F"/>
            </w:tcBorders>
          </w:tcPr>
          <w:p>
            <w:pPr>
              <w:jc w:val="center"/>
              <w:spacing w:after="0"/>
              <w:rPr>
                <w:sz w:val="20"/>
                <w:szCs w:val="20"/>
                <w:color w:val="auto"/>
              </w:rPr>
            </w:pPr>
            <w:r>
              <w:rPr>
                <w:rFonts w:ascii="Arial" w:cs="Arial" w:eastAsia="Arial" w:hAnsi="Arial"/>
                <w:sz w:val="14"/>
                <w:szCs w:val="14"/>
                <w:b w:val="1"/>
                <w:bCs w:val="1"/>
                <w:color w:val="002B5F"/>
                <w:w w:val="93"/>
              </w:rPr>
              <w:t>(#)</w:t>
            </w:r>
          </w:p>
        </w:tc>
        <w:tc>
          <w:tcPr>
            <w:tcW w:w="1140" w:type="dxa"/>
            <w:vAlign w:val="bottom"/>
            <w:tcBorders>
              <w:bottom w:val="single" w:sz="8" w:color="002B5F"/>
            </w:tcBorders>
          </w:tcPr>
          <w:p>
            <w:pPr>
              <w:jc w:val="center"/>
              <w:ind w:left="67"/>
              <w:spacing w:after="0"/>
              <w:rPr>
                <w:sz w:val="20"/>
                <w:szCs w:val="20"/>
                <w:color w:val="auto"/>
              </w:rPr>
            </w:pPr>
            <w:r>
              <w:rPr>
                <w:rFonts w:ascii="Arial" w:cs="Arial" w:eastAsia="Arial" w:hAnsi="Arial"/>
                <w:sz w:val="14"/>
                <w:szCs w:val="14"/>
                <w:b w:val="1"/>
                <w:bCs w:val="1"/>
                <w:color w:val="002B5F"/>
                <w:w w:val="91"/>
              </w:rPr>
              <w:t>(%)</w:t>
            </w:r>
          </w:p>
        </w:tc>
      </w:tr>
      <w:tr>
        <w:trPr>
          <w:trHeight w:val="274"/>
        </w:trPr>
        <w:tc>
          <w:tcPr>
            <w:tcW w:w="2340" w:type="dxa"/>
            <w:vAlign w:val="bottom"/>
            <w:tcBorders>
              <w:bottom w:val="single" w:sz="8" w:color="F7F1EC"/>
            </w:tcBorders>
            <w:shd w:val="clear" w:color="auto" w:fill="F7F1EC"/>
          </w:tcPr>
          <w:p>
            <w:pPr>
              <w:ind w:left="220"/>
              <w:spacing w:after="0"/>
              <w:rPr>
                <w:sz w:val="20"/>
                <w:szCs w:val="20"/>
                <w:color w:val="auto"/>
              </w:rPr>
            </w:pPr>
            <w:r>
              <w:rPr>
                <w:rFonts w:ascii="Arial" w:cs="Arial" w:eastAsia="Arial" w:hAnsi="Arial"/>
                <w:sz w:val="15"/>
                <w:szCs w:val="15"/>
                <w:color w:val="auto"/>
              </w:rPr>
              <w:t>Anne M. Mulcahy</w:t>
            </w:r>
          </w:p>
        </w:tc>
        <w:tc>
          <w:tcPr>
            <w:tcW w:w="1400" w:type="dxa"/>
            <w:vAlign w:val="bottom"/>
            <w:tcBorders>
              <w:bottom w:val="single" w:sz="8" w:color="F7F1EC"/>
            </w:tcBorders>
            <w:shd w:val="clear" w:color="auto" w:fill="F7F1EC"/>
          </w:tcPr>
          <w:p>
            <w:pPr>
              <w:jc w:val="right"/>
              <w:ind w:right="287"/>
              <w:spacing w:after="0"/>
              <w:rPr>
                <w:sz w:val="20"/>
                <w:szCs w:val="20"/>
                <w:color w:val="auto"/>
              </w:rPr>
            </w:pPr>
            <w:r>
              <w:rPr>
                <w:rFonts w:ascii="Arial" w:cs="Arial" w:eastAsia="Arial" w:hAnsi="Arial"/>
                <w:sz w:val="15"/>
                <w:szCs w:val="15"/>
                <w:color w:val="auto"/>
              </w:rPr>
              <w:t>36,371</w:t>
            </w:r>
          </w:p>
        </w:tc>
        <w:tc>
          <w:tcPr>
            <w:tcW w:w="960" w:type="dxa"/>
            <w:vAlign w:val="bottom"/>
            <w:tcBorders>
              <w:bottom w:val="single" w:sz="8" w:color="F7F1EC"/>
            </w:tcBorders>
            <w:shd w:val="clear" w:color="auto" w:fill="F7F1EC"/>
          </w:tcPr>
          <w:p>
            <w:pPr>
              <w:jc w:val="right"/>
              <w:ind w:right="127"/>
              <w:spacing w:after="0"/>
              <w:rPr>
                <w:sz w:val="20"/>
                <w:szCs w:val="20"/>
                <w:color w:val="auto"/>
              </w:rPr>
            </w:pPr>
            <w:r>
              <w:rPr>
                <w:rFonts w:ascii="Arial" w:cs="Arial" w:eastAsia="Arial" w:hAnsi="Arial"/>
                <w:sz w:val="15"/>
                <w:szCs w:val="15"/>
                <w:color w:val="auto"/>
              </w:rPr>
              <w:t>—</w:t>
            </w:r>
          </w:p>
        </w:tc>
        <w:tc>
          <w:tcPr>
            <w:tcW w:w="760" w:type="dxa"/>
            <w:vAlign w:val="bottom"/>
            <w:tcBorders>
              <w:bottom w:val="single" w:sz="8" w:color="F7F1EC"/>
            </w:tcBorders>
            <w:shd w:val="clear" w:color="auto" w:fill="F7F1EC"/>
          </w:tcPr>
          <w:p>
            <w:pPr>
              <w:jc w:val="right"/>
              <w:ind w:right="206"/>
              <w:spacing w:after="0"/>
              <w:rPr>
                <w:sz w:val="20"/>
                <w:szCs w:val="20"/>
                <w:color w:val="auto"/>
              </w:rPr>
            </w:pPr>
            <w:r>
              <w:rPr>
                <w:rFonts w:ascii="Arial" w:cs="Arial" w:eastAsia="Arial" w:hAnsi="Arial"/>
                <w:sz w:val="15"/>
                <w:szCs w:val="15"/>
                <w:color w:val="auto"/>
              </w:rPr>
              <w:t>—</w:t>
            </w:r>
          </w:p>
        </w:tc>
        <w:tc>
          <w:tcPr>
            <w:tcW w:w="1360" w:type="dxa"/>
            <w:vAlign w:val="bottom"/>
            <w:tcBorders>
              <w:bottom w:val="single" w:sz="8" w:color="F7F1EC"/>
            </w:tcBorders>
            <w:shd w:val="clear" w:color="auto" w:fill="F7F1EC"/>
          </w:tcPr>
          <w:p>
            <w:pPr>
              <w:jc w:val="right"/>
              <w:ind w:right="88"/>
              <w:spacing w:after="0"/>
              <w:rPr>
                <w:sz w:val="20"/>
                <w:szCs w:val="20"/>
                <w:color w:val="auto"/>
              </w:rPr>
            </w:pPr>
            <w:r>
              <w:rPr>
                <w:rFonts w:ascii="Arial" w:cs="Arial" w:eastAsia="Arial" w:hAnsi="Arial"/>
                <w:sz w:val="15"/>
                <w:szCs w:val="15"/>
                <w:color w:val="auto"/>
              </w:rPr>
              <w:t>36,371</w:t>
            </w:r>
          </w:p>
        </w:tc>
        <w:tc>
          <w:tcPr>
            <w:tcW w:w="1140" w:type="dxa"/>
            <w:vAlign w:val="bottom"/>
            <w:tcBorders>
              <w:bottom w:val="single" w:sz="8" w:color="F7F1EC"/>
            </w:tcBorders>
            <w:shd w:val="clear" w:color="auto" w:fill="F7F1EC"/>
          </w:tcPr>
          <w:p>
            <w:pPr>
              <w:jc w:val="right"/>
              <w:ind w:right="267"/>
              <w:spacing w:after="0"/>
              <w:rPr>
                <w:sz w:val="20"/>
                <w:szCs w:val="20"/>
                <w:color w:val="auto"/>
              </w:rPr>
            </w:pPr>
            <w:r>
              <w:rPr>
                <w:rFonts w:ascii="Arial" w:cs="Arial" w:eastAsia="Arial" w:hAnsi="Arial"/>
                <w:sz w:val="15"/>
                <w:szCs w:val="15"/>
                <w:color w:val="auto"/>
              </w:rPr>
              <w:t>*</w:t>
            </w:r>
          </w:p>
        </w:tc>
      </w:tr>
      <w:tr>
        <w:trPr>
          <w:trHeight w:val="306"/>
        </w:trPr>
        <w:tc>
          <w:tcPr>
            <w:tcW w:w="2340" w:type="dxa"/>
            <w:vAlign w:val="bottom"/>
          </w:tcPr>
          <w:p>
            <w:pPr>
              <w:ind w:left="220"/>
              <w:spacing w:after="0"/>
              <w:rPr>
                <w:sz w:val="20"/>
                <w:szCs w:val="20"/>
                <w:color w:val="auto"/>
              </w:rPr>
            </w:pPr>
            <w:r>
              <w:rPr>
                <w:rFonts w:ascii="Arial" w:cs="Arial" w:eastAsia="Arial" w:hAnsi="Arial"/>
                <w:sz w:val="15"/>
                <w:szCs w:val="15"/>
                <w:color w:val="auto"/>
              </w:rPr>
              <w:t>James S. Putnam</w:t>
            </w:r>
          </w:p>
        </w:tc>
        <w:tc>
          <w:tcPr>
            <w:tcW w:w="1400" w:type="dxa"/>
            <w:vAlign w:val="bottom"/>
          </w:tcPr>
          <w:p>
            <w:pPr>
              <w:jc w:val="right"/>
              <w:ind w:right="147"/>
              <w:spacing w:after="0"/>
              <w:rPr>
                <w:sz w:val="20"/>
                <w:szCs w:val="20"/>
                <w:color w:val="auto"/>
              </w:rPr>
            </w:pPr>
            <w:r>
              <w:rPr>
                <w:rFonts w:ascii="Arial" w:cs="Arial" w:eastAsia="Arial" w:hAnsi="Arial"/>
                <w:sz w:val="15"/>
                <w:szCs w:val="15"/>
                <w:color w:val="auto"/>
              </w:rPr>
              <w:t>122,180</w:t>
            </w:r>
            <w:r>
              <w:rPr>
                <w:rFonts w:ascii="Arial" w:cs="Arial" w:eastAsia="Arial" w:hAnsi="Arial"/>
                <w:sz w:val="22"/>
                <w:szCs w:val="22"/>
                <w:color w:val="auto"/>
                <w:vertAlign w:val="superscript"/>
              </w:rPr>
              <w:t>(7)</w:t>
            </w:r>
          </w:p>
        </w:tc>
        <w:tc>
          <w:tcPr>
            <w:tcW w:w="960" w:type="dxa"/>
            <w:vAlign w:val="bottom"/>
          </w:tcPr>
          <w:p>
            <w:pPr>
              <w:jc w:val="right"/>
              <w:ind w:right="127"/>
              <w:spacing w:after="0"/>
              <w:rPr>
                <w:sz w:val="20"/>
                <w:szCs w:val="20"/>
                <w:color w:val="auto"/>
              </w:rPr>
            </w:pPr>
            <w:r>
              <w:rPr>
                <w:rFonts w:ascii="Arial" w:cs="Arial" w:eastAsia="Arial" w:hAnsi="Arial"/>
                <w:sz w:val="15"/>
                <w:szCs w:val="15"/>
                <w:color w:val="auto"/>
              </w:rPr>
              <w:t>14,479</w:t>
            </w:r>
          </w:p>
        </w:tc>
        <w:tc>
          <w:tcPr>
            <w:tcW w:w="760" w:type="dxa"/>
            <w:vAlign w:val="bottom"/>
          </w:tcPr>
          <w:p>
            <w:pPr>
              <w:jc w:val="right"/>
              <w:ind w:right="206"/>
              <w:spacing w:after="0"/>
              <w:rPr>
                <w:sz w:val="20"/>
                <w:szCs w:val="20"/>
                <w:color w:val="auto"/>
              </w:rPr>
            </w:pPr>
            <w:r>
              <w:rPr>
                <w:rFonts w:ascii="Arial" w:cs="Arial" w:eastAsia="Arial" w:hAnsi="Arial"/>
                <w:sz w:val="15"/>
                <w:szCs w:val="15"/>
                <w:color w:val="auto"/>
              </w:rPr>
              <w:t>—</w:t>
            </w:r>
          </w:p>
        </w:tc>
        <w:tc>
          <w:tcPr>
            <w:tcW w:w="1360" w:type="dxa"/>
            <w:vAlign w:val="bottom"/>
          </w:tcPr>
          <w:p>
            <w:pPr>
              <w:jc w:val="right"/>
              <w:ind w:right="88"/>
              <w:spacing w:after="0"/>
              <w:rPr>
                <w:sz w:val="20"/>
                <w:szCs w:val="20"/>
                <w:color w:val="auto"/>
              </w:rPr>
            </w:pPr>
            <w:r>
              <w:rPr>
                <w:rFonts w:ascii="Arial" w:cs="Arial" w:eastAsia="Arial" w:hAnsi="Arial"/>
                <w:sz w:val="15"/>
                <w:szCs w:val="15"/>
                <w:color w:val="auto"/>
              </w:rPr>
              <w:t>136,659</w:t>
            </w:r>
          </w:p>
        </w:tc>
        <w:tc>
          <w:tcPr>
            <w:tcW w:w="1140" w:type="dxa"/>
            <w:vAlign w:val="bottom"/>
          </w:tcPr>
          <w:p>
            <w:pPr>
              <w:jc w:val="right"/>
              <w:ind w:right="267"/>
              <w:spacing w:after="0"/>
              <w:rPr>
                <w:sz w:val="20"/>
                <w:szCs w:val="20"/>
                <w:color w:val="auto"/>
              </w:rPr>
            </w:pPr>
            <w:r>
              <w:rPr>
                <w:rFonts w:ascii="Arial" w:cs="Arial" w:eastAsia="Arial" w:hAnsi="Arial"/>
                <w:sz w:val="15"/>
                <w:szCs w:val="15"/>
                <w:color w:val="auto"/>
              </w:rPr>
              <w:t>*</w:t>
            </w:r>
          </w:p>
        </w:tc>
      </w:tr>
      <w:tr>
        <w:trPr>
          <w:trHeight w:val="306"/>
        </w:trPr>
        <w:tc>
          <w:tcPr>
            <w:tcW w:w="2340" w:type="dxa"/>
            <w:vAlign w:val="bottom"/>
            <w:shd w:val="clear" w:color="auto" w:fill="F7F1EC"/>
          </w:tcPr>
          <w:p>
            <w:pPr>
              <w:ind w:left="220"/>
              <w:spacing w:after="0"/>
              <w:rPr>
                <w:sz w:val="20"/>
                <w:szCs w:val="20"/>
                <w:color w:val="auto"/>
              </w:rPr>
            </w:pPr>
            <w:r>
              <w:rPr>
                <w:rFonts w:ascii="Arial" w:cs="Arial" w:eastAsia="Arial" w:hAnsi="Arial"/>
                <w:sz w:val="15"/>
                <w:szCs w:val="15"/>
                <w:color w:val="auto"/>
              </w:rPr>
              <w:t>Richard P. Schifter</w:t>
            </w:r>
          </w:p>
        </w:tc>
        <w:tc>
          <w:tcPr>
            <w:tcW w:w="1400" w:type="dxa"/>
            <w:vAlign w:val="bottom"/>
            <w:shd w:val="clear" w:color="auto" w:fill="F7F1EC"/>
          </w:tcPr>
          <w:p>
            <w:pPr>
              <w:jc w:val="right"/>
              <w:ind w:right="147"/>
              <w:spacing w:after="0"/>
              <w:rPr>
                <w:sz w:val="20"/>
                <w:szCs w:val="20"/>
                <w:color w:val="auto"/>
              </w:rPr>
            </w:pPr>
            <w:r>
              <w:rPr>
                <w:rFonts w:ascii="Arial" w:cs="Arial" w:eastAsia="Arial" w:hAnsi="Arial"/>
                <w:sz w:val="15"/>
                <w:szCs w:val="15"/>
                <w:color w:val="auto"/>
              </w:rPr>
              <w:t>15,017</w:t>
            </w:r>
            <w:r>
              <w:rPr>
                <w:rFonts w:ascii="Arial" w:cs="Arial" w:eastAsia="Arial" w:hAnsi="Arial"/>
                <w:sz w:val="22"/>
                <w:szCs w:val="22"/>
                <w:color w:val="auto"/>
                <w:vertAlign w:val="superscript"/>
              </w:rPr>
              <w:t>(8)</w:t>
            </w:r>
          </w:p>
        </w:tc>
        <w:tc>
          <w:tcPr>
            <w:tcW w:w="960" w:type="dxa"/>
            <w:vAlign w:val="bottom"/>
            <w:shd w:val="clear" w:color="auto" w:fill="F7F1EC"/>
          </w:tcPr>
          <w:p>
            <w:pPr>
              <w:jc w:val="right"/>
              <w:ind w:right="127"/>
              <w:spacing w:after="0"/>
              <w:rPr>
                <w:sz w:val="20"/>
                <w:szCs w:val="20"/>
                <w:color w:val="auto"/>
              </w:rPr>
            </w:pPr>
            <w:r>
              <w:rPr>
                <w:rFonts w:ascii="Arial" w:cs="Arial" w:eastAsia="Arial" w:hAnsi="Arial"/>
                <w:sz w:val="15"/>
                <w:szCs w:val="15"/>
                <w:color w:val="auto"/>
              </w:rPr>
              <w:t>27,903</w:t>
            </w:r>
          </w:p>
        </w:tc>
        <w:tc>
          <w:tcPr>
            <w:tcW w:w="760" w:type="dxa"/>
            <w:vAlign w:val="bottom"/>
            <w:shd w:val="clear" w:color="auto" w:fill="F7F1EC"/>
          </w:tcPr>
          <w:p>
            <w:pPr>
              <w:jc w:val="right"/>
              <w:ind w:right="206"/>
              <w:spacing w:after="0"/>
              <w:rPr>
                <w:sz w:val="20"/>
                <w:szCs w:val="20"/>
                <w:color w:val="auto"/>
              </w:rPr>
            </w:pPr>
            <w:r>
              <w:rPr>
                <w:rFonts w:ascii="Arial" w:cs="Arial" w:eastAsia="Arial" w:hAnsi="Arial"/>
                <w:sz w:val="15"/>
                <w:szCs w:val="15"/>
                <w:color w:val="auto"/>
              </w:rPr>
              <w:t>—</w:t>
            </w:r>
          </w:p>
        </w:tc>
        <w:tc>
          <w:tcPr>
            <w:tcW w:w="1360" w:type="dxa"/>
            <w:vAlign w:val="bottom"/>
            <w:shd w:val="clear" w:color="auto" w:fill="F7F1EC"/>
          </w:tcPr>
          <w:p>
            <w:pPr>
              <w:jc w:val="right"/>
              <w:ind w:right="88"/>
              <w:spacing w:after="0"/>
              <w:rPr>
                <w:sz w:val="20"/>
                <w:szCs w:val="20"/>
                <w:color w:val="auto"/>
              </w:rPr>
            </w:pPr>
            <w:r>
              <w:rPr>
                <w:rFonts w:ascii="Arial" w:cs="Arial" w:eastAsia="Arial" w:hAnsi="Arial"/>
                <w:sz w:val="15"/>
                <w:szCs w:val="15"/>
                <w:color w:val="auto"/>
              </w:rPr>
              <w:t>42,920</w:t>
            </w:r>
          </w:p>
        </w:tc>
        <w:tc>
          <w:tcPr>
            <w:tcW w:w="1140" w:type="dxa"/>
            <w:vAlign w:val="bottom"/>
            <w:shd w:val="clear" w:color="auto" w:fill="F7F1EC"/>
          </w:tcPr>
          <w:p>
            <w:pPr>
              <w:jc w:val="right"/>
              <w:ind w:right="267"/>
              <w:spacing w:after="0"/>
              <w:rPr>
                <w:sz w:val="20"/>
                <w:szCs w:val="20"/>
                <w:color w:val="auto"/>
              </w:rPr>
            </w:pPr>
            <w:r>
              <w:rPr>
                <w:rFonts w:ascii="Arial" w:cs="Arial" w:eastAsia="Arial" w:hAnsi="Arial"/>
                <w:sz w:val="15"/>
                <w:szCs w:val="15"/>
                <w:color w:val="auto"/>
              </w:rPr>
              <w:t>*</w:t>
            </w:r>
          </w:p>
        </w:tc>
      </w:tr>
      <w:tr>
        <w:trPr>
          <w:trHeight w:val="265"/>
        </w:trPr>
        <w:tc>
          <w:tcPr>
            <w:tcW w:w="2340" w:type="dxa"/>
            <w:vAlign w:val="bottom"/>
          </w:tcPr>
          <w:p>
            <w:pPr>
              <w:ind w:left="220"/>
              <w:spacing w:after="0"/>
              <w:rPr>
                <w:sz w:val="20"/>
                <w:szCs w:val="20"/>
                <w:color w:val="auto"/>
              </w:rPr>
            </w:pPr>
            <w:r>
              <w:rPr>
                <w:rFonts w:ascii="Arial" w:cs="Arial" w:eastAsia="Arial" w:hAnsi="Arial"/>
                <w:sz w:val="15"/>
                <w:szCs w:val="15"/>
                <w:color w:val="auto"/>
              </w:rPr>
              <w:t>Corey E. Thomas</w:t>
            </w:r>
          </w:p>
        </w:tc>
        <w:tc>
          <w:tcPr>
            <w:tcW w:w="1400" w:type="dxa"/>
            <w:vAlign w:val="bottom"/>
          </w:tcPr>
          <w:p>
            <w:pPr>
              <w:jc w:val="right"/>
              <w:ind w:right="287"/>
              <w:spacing w:after="0"/>
              <w:rPr>
                <w:sz w:val="20"/>
                <w:szCs w:val="20"/>
                <w:color w:val="auto"/>
              </w:rPr>
            </w:pPr>
            <w:r>
              <w:rPr>
                <w:rFonts w:ascii="Arial" w:cs="Arial" w:eastAsia="Arial" w:hAnsi="Arial"/>
                <w:sz w:val="15"/>
                <w:szCs w:val="15"/>
                <w:color w:val="auto"/>
              </w:rPr>
              <w:t>1,077</w:t>
            </w:r>
          </w:p>
        </w:tc>
        <w:tc>
          <w:tcPr>
            <w:tcW w:w="960" w:type="dxa"/>
            <w:vAlign w:val="bottom"/>
          </w:tcPr>
          <w:p>
            <w:pPr>
              <w:jc w:val="right"/>
              <w:ind w:right="127"/>
              <w:spacing w:after="0"/>
              <w:rPr>
                <w:sz w:val="20"/>
                <w:szCs w:val="20"/>
                <w:color w:val="auto"/>
              </w:rPr>
            </w:pPr>
            <w:r>
              <w:rPr>
                <w:rFonts w:ascii="Arial" w:cs="Arial" w:eastAsia="Arial" w:hAnsi="Arial"/>
                <w:sz w:val="15"/>
                <w:szCs w:val="15"/>
                <w:color w:val="auto"/>
              </w:rPr>
              <w:t>12,757</w:t>
            </w:r>
          </w:p>
        </w:tc>
        <w:tc>
          <w:tcPr>
            <w:tcW w:w="760" w:type="dxa"/>
            <w:vAlign w:val="bottom"/>
          </w:tcPr>
          <w:p>
            <w:pPr>
              <w:jc w:val="right"/>
              <w:ind w:right="206"/>
              <w:spacing w:after="0"/>
              <w:rPr>
                <w:sz w:val="20"/>
                <w:szCs w:val="20"/>
                <w:color w:val="auto"/>
              </w:rPr>
            </w:pPr>
            <w:r>
              <w:rPr>
                <w:rFonts w:ascii="Arial" w:cs="Arial" w:eastAsia="Arial" w:hAnsi="Arial"/>
                <w:sz w:val="15"/>
                <w:szCs w:val="15"/>
                <w:color w:val="auto"/>
              </w:rPr>
              <w:t>—</w:t>
            </w:r>
          </w:p>
        </w:tc>
        <w:tc>
          <w:tcPr>
            <w:tcW w:w="1360" w:type="dxa"/>
            <w:vAlign w:val="bottom"/>
          </w:tcPr>
          <w:p>
            <w:pPr>
              <w:jc w:val="right"/>
              <w:ind w:right="88"/>
              <w:spacing w:after="0"/>
              <w:rPr>
                <w:sz w:val="20"/>
                <w:szCs w:val="20"/>
                <w:color w:val="auto"/>
              </w:rPr>
            </w:pPr>
            <w:r>
              <w:rPr>
                <w:rFonts w:ascii="Arial" w:cs="Arial" w:eastAsia="Arial" w:hAnsi="Arial"/>
                <w:sz w:val="15"/>
                <w:szCs w:val="15"/>
                <w:color w:val="auto"/>
              </w:rPr>
              <w:t>13,834</w:t>
            </w:r>
          </w:p>
        </w:tc>
        <w:tc>
          <w:tcPr>
            <w:tcW w:w="1140" w:type="dxa"/>
            <w:vAlign w:val="bottom"/>
          </w:tcPr>
          <w:p>
            <w:pPr>
              <w:jc w:val="right"/>
              <w:ind w:right="267"/>
              <w:spacing w:after="0"/>
              <w:rPr>
                <w:sz w:val="20"/>
                <w:szCs w:val="20"/>
                <w:color w:val="auto"/>
              </w:rPr>
            </w:pPr>
            <w:r>
              <w:rPr>
                <w:rFonts w:ascii="Arial" w:cs="Arial" w:eastAsia="Arial" w:hAnsi="Arial"/>
                <w:sz w:val="15"/>
                <w:szCs w:val="15"/>
                <w:color w:val="auto"/>
              </w:rPr>
              <w:t>*</w:t>
            </w:r>
          </w:p>
        </w:tc>
      </w:tr>
      <w:tr>
        <w:trPr>
          <w:trHeight w:val="41"/>
        </w:trPr>
        <w:tc>
          <w:tcPr>
            <w:tcW w:w="2340" w:type="dxa"/>
            <w:vAlign w:val="bottom"/>
          </w:tcPr>
          <w:p>
            <w:pPr>
              <w:spacing w:after="0"/>
              <w:rPr>
                <w:sz w:val="3"/>
                <w:szCs w:val="3"/>
                <w:color w:val="auto"/>
              </w:rPr>
            </w:pPr>
          </w:p>
        </w:tc>
        <w:tc>
          <w:tcPr>
            <w:tcW w:w="140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43"/>
        </w:trPr>
        <w:tc>
          <w:tcPr>
            <w:tcW w:w="2340" w:type="dxa"/>
            <w:vAlign w:val="bottom"/>
            <w:shd w:val="clear" w:color="auto" w:fill="F7F1EC"/>
          </w:tcPr>
          <w:p>
            <w:pPr>
              <w:ind w:left="220"/>
              <w:spacing w:after="0"/>
              <w:rPr>
                <w:sz w:val="20"/>
                <w:szCs w:val="20"/>
                <w:color w:val="auto"/>
              </w:rPr>
            </w:pPr>
            <w:r>
              <w:rPr>
                <w:rFonts w:ascii="Arial" w:cs="Arial" w:eastAsia="Arial" w:hAnsi="Arial"/>
                <w:sz w:val="15"/>
                <w:szCs w:val="15"/>
                <w:color w:val="auto"/>
              </w:rPr>
              <w:t>All current directors and</w:t>
            </w:r>
          </w:p>
        </w:tc>
        <w:tc>
          <w:tcPr>
            <w:tcW w:w="1400" w:type="dxa"/>
            <w:vAlign w:val="bottom"/>
            <w:shd w:val="clear" w:color="auto" w:fill="F7F1EC"/>
          </w:tcPr>
          <w:p>
            <w:pPr>
              <w:spacing w:after="0"/>
              <w:rPr>
                <w:sz w:val="21"/>
                <w:szCs w:val="21"/>
                <w:color w:val="auto"/>
              </w:rPr>
            </w:pPr>
          </w:p>
        </w:tc>
        <w:tc>
          <w:tcPr>
            <w:tcW w:w="960" w:type="dxa"/>
            <w:vAlign w:val="bottom"/>
            <w:shd w:val="clear" w:color="auto" w:fill="F7F1EC"/>
          </w:tcPr>
          <w:p>
            <w:pPr>
              <w:spacing w:after="0"/>
              <w:rPr>
                <w:sz w:val="21"/>
                <w:szCs w:val="21"/>
                <w:color w:val="auto"/>
              </w:rPr>
            </w:pPr>
          </w:p>
        </w:tc>
        <w:tc>
          <w:tcPr>
            <w:tcW w:w="760" w:type="dxa"/>
            <w:vAlign w:val="bottom"/>
            <w:shd w:val="clear" w:color="auto" w:fill="F7F1EC"/>
          </w:tcPr>
          <w:p>
            <w:pPr>
              <w:spacing w:after="0"/>
              <w:rPr>
                <w:sz w:val="21"/>
                <w:szCs w:val="21"/>
                <w:color w:val="auto"/>
              </w:rPr>
            </w:pPr>
          </w:p>
        </w:tc>
        <w:tc>
          <w:tcPr>
            <w:tcW w:w="1360" w:type="dxa"/>
            <w:vAlign w:val="bottom"/>
            <w:shd w:val="clear" w:color="auto" w:fill="F7F1EC"/>
          </w:tcPr>
          <w:p>
            <w:pPr>
              <w:spacing w:after="0"/>
              <w:rPr>
                <w:sz w:val="21"/>
                <w:szCs w:val="21"/>
                <w:color w:val="auto"/>
              </w:rPr>
            </w:pPr>
          </w:p>
        </w:tc>
        <w:tc>
          <w:tcPr>
            <w:tcW w:w="1140" w:type="dxa"/>
            <w:vAlign w:val="bottom"/>
            <w:shd w:val="clear" w:color="auto" w:fill="F7F1EC"/>
          </w:tcPr>
          <w:p>
            <w:pPr>
              <w:spacing w:after="0"/>
              <w:rPr>
                <w:sz w:val="21"/>
                <w:szCs w:val="21"/>
                <w:color w:val="auto"/>
              </w:rPr>
            </w:pPr>
          </w:p>
        </w:tc>
      </w:tr>
      <w:tr>
        <w:trPr>
          <w:trHeight w:val="179"/>
        </w:trPr>
        <w:tc>
          <w:tcPr>
            <w:tcW w:w="2340" w:type="dxa"/>
            <w:vAlign w:val="bottom"/>
            <w:shd w:val="clear" w:color="auto" w:fill="F7F1EC"/>
          </w:tcPr>
          <w:p>
            <w:pPr>
              <w:ind w:left="400"/>
              <w:spacing w:after="0"/>
              <w:rPr>
                <w:sz w:val="20"/>
                <w:szCs w:val="20"/>
                <w:color w:val="auto"/>
              </w:rPr>
            </w:pPr>
            <w:r>
              <w:rPr>
                <w:rFonts w:ascii="Arial" w:cs="Arial" w:eastAsia="Arial" w:hAnsi="Arial"/>
                <w:sz w:val="15"/>
                <w:szCs w:val="15"/>
                <w:color w:val="auto"/>
              </w:rPr>
              <w:t>executive officers as a</w:t>
            </w:r>
          </w:p>
        </w:tc>
        <w:tc>
          <w:tcPr>
            <w:tcW w:w="1400" w:type="dxa"/>
            <w:vAlign w:val="bottom"/>
            <w:shd w:val="clear" w:color="auto" w:fill="F7F1EC"/>
          </w:tcPr>
          <w:p>
            <w:pPr>
              <w:spacing w:after="0"/>
              <w:rPr>
                <w:sz w:val="15"/>
                <w:szCs w:val="15"/>
                <w:color w:val="auto"/>
              </w:rPr>
            </w:pPr>
          </w:p>
        </w:tc>
        <w:tc>
          <w:tcPr>
            <w:tcW w:w="960" w:type="dxa"/>
            <w:vAlign w:val="bottom"/>
            <w:shd w:val="clear" w:color="auto" w:fill="F7F1EC"/>
          </w:tcPr>
          <w:p>
            <w:pPr>
              <w:spacing w:after="0"/>
              <w:rPr>
                <w:sz w:val="15"/>
                <w:szCs w:val="15"/>
                <w:color w:val="auto"/>
              </w:rPr>
            </w:pPr>
          </w:p>
        </w:tc>
        <w:tc>
          <w:tcPr>
            <w:tcW w:w="760" w:type="dxa"/>
            <w:vAlign w:val="bottom"/>
            <w:shd w:val="clear" w:color="auto" w:fill="F7F1EC"/>
          </w:tcPr>
          <w:p>
            <w:pPr>
              <w:spacing w:after="0"/>
              <w:rPr>
                <w:sz w:val="15"/>
                <w:szCs w:val="15"/>
                <w:color w:val="auto"/>
              </w:rPr>
            </w:pPr>
          </w:p>
        </w:tc>
        <w:tc>
          <w:tcPr>
            <w:tcW w:w="1360" w:type="dxa"/>
            <w:vAlign w:val="bottom"/>
            <w:shd w:val="clear" w:color="auto" w:fill="F7F1EC"/>
          </w:tcPr>
          <w:p>
            <w:pPr>
              <w:spacing w:after="0"/>
              <w:rPr>
                <w:sz w:val="15"/>
                <w:szCs w:val="15"/>
                <w:color w:val="auto"/>
              </w:rPr>
            </w:pPr>
          </w:p>
        </w:tc>
        <w:tc>
          <w:tcPr>
            <w:tcW w:w="1140" w:type="dxa"/>
            <w:vAlign w:val="bottom"/>
            <w:shd w:val="clear" w:color="auto" w:fill="F7F1EC"/>
          </w:tcPr>
          <w:p>
            <w:pPr>
              <w:spacing w:after="0"/>
              <w:rPr>
                <w:sz w:val="15"/>
                <w:szCs w:val="15"/>
                <w:color w:val="auto"/>
              </w:rPr>
            </w:pPr>
          </w:p>
        </w:tc>
      </w:tr>
      <w:tr>
        <w:trPr>
          <w:trHeight w:val="201"/>
        </w:trPr>
        <w:tc>
          <w:tcPr>
            <w:tcW w:w="2340" w:type="dxa"/>
            <w:vAlign w:val="bottom"/>
            <w:shd w:val="clear" w:color="auto" w:fill="F7F1EC"/>
          </w:tcPr>
          <w:p>
            <w:pPr>
              <w:ind w:left="400"/>
              <w:spacing w:after="0"/>
              <w:rPr>
                <w:sz w:val="20"/>
                <w:szCs w:val="20"/>
                <w:color w:val="auto"/>
              </w:rPr>
            </w:pPr>
            <w:r>
              <w:rPr>
                <w:rFonts w:ascii="Arial" w:cs="Arial" w:eastAsia="Arial" w:hAnsi="Arial"/>
                <w:sz w:val="15"/>
                <w:szCs w:val="15"/>
                <w:color w:val="auto"/>
              </w:rPr>
              <w:t>group</w:t>
            </w:r>
          </w:p>
        </w:tc>
        <w:tc>
          <w:tcPr>
            <w:tcW w:w="1400" w:type="dxa"/>
            <w:vAlign w:val="bottom"/>
            <w:shd w:val="clear" w:color="auto" w:fill="F7F1EC"/>
          </w:tcPr>
          <w:p>
            <w:pPr>
              <w:jc w:val="right"/>
              <w:ind w:right="287"/>
              <w:spacing w:after="0"/>
              <w:rPr>
                <w:sz w:val="20"/>
                <w:szCs w:val="20"/>
                <w:color w:val="auto"/>
              </w:rPr>
            </w:pPr>
            <w:r>
              <w:rPr>
                <w:rFonts w:ascii="Arial" w:cs="Arial" w:eastAsia="Arial" w:hAnsi="Arial"/>
                <w:sz w:val="15"/>
                <w:szCs w:val="15"/>
                <w:color w:val="auto"/>
              </w:rPr>
              <w:t>296,850</w:t>
            </w:r>
          </w:p>
        </w:tc>
        <w:tc>
          <w:tcPr>
            <w:tcW w:w="960" w:type="dxa"/>
            <w:vAlign w:val="bottom"/>
            <w:shd w:val="clear" w:color="auto" w:fill="F7F1EC"/>
          </w:tcPr>
          <w:p>
            <w:pPr>
              <w:jc w:val="right"/>
              <w:ind w:right="127"/>
              <w:spacing w:after="0"/>
              <w:rPr>
                <w:sz w:val="20"/>
                <w:szCs w:val="20"/>
                <w:color w:val="auto"/>
              </w:rPr>
            </w:pPr>
            <w:r>
              <w:rPr>
                <w:rFonts w:ascii="Arial" w:cs="Arial" w:eastAsia="Arial" w:hAnsi="Arial"/>
                <w:sz w:val="15"/>
                <w:szCs w:val="15"/>
                <w:color w:val="auto"/>
              </w:rPr>
              <w:t>120,121</w:t>
            </w:r>
          </w:p>
        </w:tc>
        <w:tc>
          <w:tcPr>
            <w:tcW w:w="760" w:type="dxa"/>
            <w:vAlign w:val="bottom"/>
            <w:shd w:val="clear" w:color="auto" w:fill="F7F1EC"/>
          </w:tcPr>
          <w:p>
            <w:pPr>
              <w:jc w:val="right"/>
              <w:ind w:right="206"/>
              <w:spacing w:after="0"/>
              <w:rPr>
                <w:sz w:val="20"/>
                <w:szCs w:val="20"/>
                <w:color w:val="auto"/>
              </w:rPr>
            </w:pPr>
            <w:r>
              <w:rPr>
                <w:rFonts w:ascii="Arial" w:cs="Arial" w:eastAsia="Arial" w:hAnsi="Arial"/>
                <w:sz w:val="15"/>
                <w:szCs w:val="15"/>
                <w:color w:val="auto"/>
              </w:rPr>
              <w:t>—</w:t>
            </w:r>
          </w:p>
        </w:tc>
        <w:tc>
          <w:tcPr>
            <w:tcW w:w="1360" w:type="dxa"/>
            <w:vAlign w:val="bottom"/>
            <w:shd w:val="clear" w:color="auto" w:fill="F7F1EC"/>
          </w:tcPr>
          <w:p>
            <w:pPr>
              <w:jc w:val="right"/>
              <w:ind w:right="88"/>
              <w:spacing w:after="0"/>
              <w:rPr>
                <w:sz w:val="20"/>
                <w:szCs w:val="20"/>
                <w:color w:val="auto"/>
              </w:rPr>
            </w:pPr>
            <w:r>
              <w:rPr>
                <w:rFonts w:ascii="Arial" w:cs="Arial" w:eastAsia="Arial" w:hAnsi="Arial"/>
                <w:sz w:val="15"/>
                <w:szCs w:val="15"/>
                <w:color w:val="auto"/>
              </w:rPr>
              <w:t>416,971</w:t>
            </w:r>
          </w:p>
        </w:tc>
        <w:tc>
          <w:tcPr>
            <w:tcW w:w="1140" w:type="dxa"/>
            <w:vAlign w:val="bottom"/>
            <w:shd w:val="clear" w:color="auto" w:fill="F7F1EC"/>
          </w:tcPr>
          <w:p>
            <w:pPr>
              <w:jc w:val="right"/>
              <w:ind w:right="127"/>
              <w:spacing w:after="0"/>
              <w:rPr>
                <w:sz w:val="20"/>
                <w:szCs w:val="20"/>
                <w:color w:val="auto"/>
              </w:rPr>
            </w:pPr>
            <w:r>
              <w:rPr>
                <w:rFonts w:ascii="Arial" w:cs="Arial" w:eastAsia="Arial" w:hAnsi="Arial"/>
                <w:sz w:val="15"/>
                <w:szCs w:val="15"/>
                <w:color w:val="auto"/>
              </w:rPr>
              <w:t>0.6%</w:t>
            </w:r>
          </w:p>
        </w:tc>
      </w:tr>
      <w:tr>
        <w:trPr>
          <w:trHeight w:val="41"/>
        </w:trPr>
        <w:tc>
          <w:tcPr>
            <w:tcW w:w="2340" w:type="dxa"/>
            <w:vAlign w:val="bottom"/>
            <w:shd w:val="clear" w:color="auto" w:fill="F7F1EC"/>
          </w:tcPr>
          <w:p>
            <w:pPr>
              <w:spacing w:after="0"/>
              <w:rPr>
                <w:sz w:val="3"/>
                <w:szCs w:val="3"/>
                <w:color w:val="auto"/>
              </w:rPr>
            </w:pPr>
          </w:p>
        </w:tc>
        <w:tc>
          <w:tcPr>
            <w:tcW w:w="1400" w:type="dxa"/>
            <w:vAlign w:val="bottom"/>
            <w:shd w:val="clear" w:color="auto" w:fill="F7F1EC"/>
          </w:tcPr>
          <w:p>
            <w:pPr>
              <w:spacing w:after="0"/>
              <w:rPr>
                <w:sz w:val="3"/>
                <w:szCs w:val="3"/>
                <w:color w:val="auto"/>
              </w:rPr>
            </w:pPr>
          </w:p>
        </w:tc>
        <w:tc>
          <w:tcPr>
            <w:tcW w:w="960" w:type="dxa"/>
            <w:vAlign w:val="bottom"/>
            <w:shd w:val="clear" w:color="auto" w:fill="F7F1EC"/>
          </w:tcPr>
          <w:p>
            <w:pPr>
              <w:spacing w:after="0"/>
              <w:rPr>
                <w:sz w:val="3"/>
                <w:szCs w:val="3"/>
                <w:color w:val="auto"/>
              </w:rPr>
            </w:pPr>
          </w:p>
        </w:tc>
        <w:tc>
          <w:tcPr>
            <w:tcW w:w="760" w:type="dxa"/>
            <w:vAlign w:val="bottom"/>
            <w:shd w:val="clear" w:color="auto" w:fill="F7F1EC"/>
          </w:tcPr>
          <w:p>
            <w:pPr>
              <w:spacing w:after="0"/>
              <w:rPr>
                <w:sz w:val="3"/>
                <w:szCs w:val="3"/>
                <w:color w:val="auto"/>
              </w:rPr>
            </w:pPr>
          </w:p>
        </w:tc>
        <w:tc>
          <w:tcPr>
            <w:tcW w:w="1360" w:type="dxa"/>
            <w:vAlign w:val="bottom"/>
            <w:shd w:val="clear" w:color="auto" w:fill="F7F1EC"/>
          </w:tcPr>
          <w:p>
            <w:pPr>
              <w:spacing w:after="0"/>
              <w:rPr>
                <w:sz w:val="3"/>
                <w:szCs w:val="3"/>
                <w:color w:val="auto"/>
              </w:rPr>
            </w:pPr>
          </w:p>
        </w:tc>
        <w:tc>
          <w:tcPr>
            <w:tcW w:w="1140" w:type="dxa"/>
            <w:vAlign w:val="bottom"/>
            <w:shd w:val="clear" w:color="auto" w:fill="F7F1EC"/>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-1742440</wp:posOffset>
            </wp:positionH>
            <wp:positionV relativeFrom="paragraph">
              <wp:posOffset>-2454910</wp:posOffset>
            </wp:positionV>
            <wp:extent cx="7181215" cy="5334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81215" cy="53340"/>
                    </a:xfrm>
                    <a:prstGeom prst="rect">
                      <a:avLst/>
                    </a:prstGeom>
                    <a:noFill/>
                  </pic:spPr>
                </pic:pic>
              </a:graphicData>
            </a:graphic>
          </wp:anchor>
        </w:drawing>
      </w:r>
    </w:p>
    <w:p>
      <w:pPr>
        <w:spacing w:after="0" w:line="77" w:lineRule="exact"/>
        <w:rPr>
          <w:sz w:val="20"/>
          <w:szCs w:val="20"/>
          <w:color w:val="auto"/>
        </w:rPr>
      </w:pPr>
    </w:p>
    <w:p>
      <w:pPr>
        <w:ind w:left="233" w:hanging="233"/>
        <w:spacing w:after="0"/>
        <w:tabs>
          <w:tab w:leader="none" w:pos="233" w:val="left"/>
        </w:tabs>
        <w:numPr>
          <w:ilvl w:val="0"/>
          <w:numId w:val="122"/>
        </w:numPr>
        <w:rPr>
          <w:rFonts w:ascii="Arial" w:cs="Arial" w:eastAsia="Arial" w:hAnsi="Arial"/>
          <w:sz w:val="12"/>
          <w:szCs w:val="12"/>
          <w:color w:val="auto"/>
        </w:rPr>
      </w:pPr>
      <w:r>
        <w:rPr>
          <w:rFonts w:ascii="Arial" w:cs="Arial" w:eastAsia="Arial" w:hAnsi="Arial"/>
          <w:sz w:val="12"/>
          <w:szCs w:val="12"/>
          <w:color w:val="auto"/>
        </w:rPr>
        <w:t>Less than 1%</w:t>
      </w:r>
    </w:p>
    <w:p>
      <w:pPr>
        <w:spacing w:after="0" w:line="53" w:lineRule="exact"/>
        <w:rPr>
          <w:sz w:val="20"/>
          <w:szCs w:val="20"/>
          <w:color w:val="auto"/>
        </w:rPr>
      </w:pPr>
    </w:p>
    <w:p>
      <w:pPr>
        <w:ind w:left="233" w:right="80" w:hanging="233"/>
        <w:spacing w:after="0" w:line="239" w:lineRule="auto"/>
        <w:tabs>
          <w:tab w:leader="none" w:pos="233" w:val="left"/>
        </w:tabs>
        <w:numPr>
          <w:ilvl w:val="0"/>
          <w:numId w:val="123"/>
        </w:numPr>
        <w:rPr>
          <w:rFonts w:ascii="Arial" w:cs="Arial" w:eastAsia="Arial" w:hAnsi="Arial"/>
          <w:sz w:val="12"/>
          <w:szCs w:val="12"/>
          <w:color w:val="auto"/>
        </w:rPr>
      </w:pPr>
      <w:r>
        <w:rPr>
          <w:rFonts w:ascii="Arial" w:cs="Arial" w:eastAsia="Arial" w:hAnsi="Arial"/>
          <w:sz w:val="12"/>
          <w:szCs w:val="12"/>
          <w:color w:val="auto"/>
        </w:rPr>
        <w:t>Consists of Common Stock which the named individual or group has the right to acquire within 60 days of March 16, 2026 through (i) the exercise of vested or vesting stock options, (ii) vesting RSUs or (iii) vested or vesting deferred stock units granted under our Non-Employee Director Deferred Compensation Plan.</w:t>
      </w:r>
    </w:p>
    <w:p>
      <w:pPr>
        <w:spacing w:after="0" w:line="34" w:lineRule="exact"/>
        <w:rPr>
          <w:rFonts w:ascii="Arial" w:cs="Arial" w:eastAsia="Arial" w:hAnsi="Arial"/>
          <w:sz w:val="12"/>
          <w:szCs w:val="12"/>
          <w:color w:val="auto"/>
        </w:rPr>
      </w:pPr>
    </w:p>
    <w:p>
      <w:pPr>
        <w:ind w:left="233" w:right="120" w:hanging="233"/>
        <w:spacing w:after="0" w:line="256" w:lineRule="auto"/>
        <w:tabs>
          <w:tab w:leader="none" w:pos="233" w:val="left"/>
        </w:tabs>
        <w:numPr>
          <w:ilvl w:val="0"/>
          <w:numId w:val="123"/>
        </w:numPr>
        <w:rPr>
          <w:rFonts w:ascii="Arial" w:cs="Arial" w:eastAsia="Arial" w:hAnsi="Arial"/>
          <w:sz w:val="12"/>
          <w:szCs w:val="12"/>
          <w:color w:val="auto"/>
        </w:rPr>
      </w:pPr>
      <w:r>
        <w:rPr>
          <w:rFonts w:ascii="Arial" w:cs="Arial" w:eastAsia="Arial" w:hAnsi="Arial"/>
          <w:sz w:val="12"/>
          <w:szCs w:val="12"/>
          <w:color w:val="auto"/>
        </w:rPr>
        <w:t>This information is based on a Schedule 13G/A filed by the Vanguard Group, Inc. on August 7, 2025 with the SEC. The address of The Vanguard Group, Inc. is 100 Vanguard Blvd., Malvern, PA 19355.</w:t>
      </w:r>
    </w:p>
    <w:p>
      <w:pPr>
        <w:spacing w:after="0" w:line="24" w:lineRule="exact"/>
        <w:rPr>
          <w:rFonts w:ascii="Arial" w:cs="Arial" w:eastAsia="Arial" w:hAnsi="Arial"/>
          <w:sz w:val="12"/>
          <w:szCs w:val="12"/>
          <w:color w:val="auto"/>
        </w:rPr>
      </w:pPr>
    </w:p>
    <w:p>
      <w:pPr>
        <w:ind w:left="233" w:hanging="233"/>
        <w:spacing w:after="0"/>
        <w:tabs>
          <w:tab w:leader="none" w:pos="233" w:val="left"/>
        </w:tabs>
        <w:numPr>
          <w:ilvl w:val="0"/>
          <w:numId w:val="123"/>
        </w:numPr>
        <w:rPr>
          <w:rFonts w:ascii="Arial" w:cs="Arial" w:eastAsia="Arial" w:hAnsi="Arial"/>
          <w:sz w:val="12"/>
          <w:szCs w:val="12"/>
          <w:color w:val="auto"/>
        </w:rPr>
      </w:pPr>
      <w:r>
        <w:rPr>
          <w:rFonts w:ascii="Arial" w:cs="Arial" w:eastAsia="Arial" w:hAnsi="Arial"/>
          <w:sz w:val="12"/>
          <w:szCs w:val="12"/>
          <w:color w:val="auto"/>
        </w:rPr>
        <w:t>Includes 514,126 shares subject to shared voting power and 669,202 shares subject to shared dispositive power.</w:t>
      </w:r>
    </w:p>
    <w:p>
      <w:pPr>
        <w:spacing w:after="0" w:line="53" w:lineRule="exact"/>
        <w:rPr>
          <w:rFonts w:ascii="Arial" w:cs="Arial" w:eastAsia="Arial" w:hAnsi="Arial"/>
          <w:sz w:val="12"/>
          <w:szCs w:val="12"/>
          <w:color w:val="auto"/>
        </w:rPr>
      </w:pPr>
    </w:p>
    <w:p>
      <w:pPr>
        <w:ind w:left="233" w:right="20" w:hanging="233"/>
        <w:spacing w:after="0" w:line="256" w:lineRule="auto"/>
        <w:tabs>
          <w:tab w:leader="none" w:pos="233" w:val="left"/>
        </w:tabs>
        <w:numPr>
          <w:ilvl w:val="0"/>
          <w:numId w:val="123"/>
        </w:numPr>
        <w:rPr>
          <w:rFonts w:ascii="Arial" w:cs="Arial" w:eastAsia="Arial" w:hAnsi="Arial"/>
          <w:sz w:val="12"/>
          <w:szCs w:val="12"/>
          <w:color w:val="auto"/>
        </w:rPr>
      </w:pPr>
      <w:r>
        <w:rPr>
          <w:rFonts w:ascii="Arial" w:cs="Arial" w:eastAsia="Arial" w:hAnsi="Arial"/>
          <w:sz w:val="12"/>
          <w:szCs w:val="12"/>
          <w:color w:val="auto"/>
        </w:rPr>
        <w:t>This information is based on a Schedule 13G/A filed by BlackRock, Inc. on November 12, 2024 with the SEC. The address of BlackRock, Inc. is 50 Hudson Yards, New York, NY 10001.</w:t>
      </w:r>
    </w:p>
    <w:p>
      <w:pPr>
        <w:spacing w:after="0" w:line="24" w:lineRule="exact"/>
        <w:rPr>
          <w:rFonts w:ascii="Arial" w:cs="Arial" w:eastAsia="Arial" w:hAnsi="Arial"/>
          <w:sz w:val="12"/>
          <w:szCs w:val="12"/>
          <w:color w:val="auto"/>
        </w:rPr>
      </w:pPr>
    </w:p>
    <w:p>
      <w:pPr>
        <w:ind w:left="233" w:right="400" w:hanging="233"/>
        <w:spacing w:after="0" w:line="256" w:lineRule="auto"/>
        <w:tabs>
          <w:tab w:leader="none" w:pos="233" w:val="left"/>
        </w:tabs>
        <w:numPr>
          <w:ilvl w:val="0"/>
          <w:numId w:val="123"/>
        </w:numPr>
        <w:rPr>
          <w:rFonts w:ascii="Arial" w:cs="Arial" w:eastAsia="Arial" w:hAnsi="Arial"/>
          <w:sz w:val="12"/>
          <w:szCs w:val="12"/>
          <w:color w:val="auto"/>
        </w:rPr>
      </w:pPr>
      <w:r>
        <w:rPr>
          <w:rFonts w:ascii="Arial" w:cs="Arial" w:eastAsia="Arial" w:hAnsi="Arial"/>
          <w:sz w:val="12"/>
          <w:szCs w:val="12"/>
          <w:color w:val="auto"/>
        </w:rPr>
        <w:t>Consists of (i) 5,699 shares of Common Stock held directly and (ii) 35,971 shares of Common Stock held indirectly through a trust for which Mr. Bernard is a trustee and disclaims beneficial ownership.</w:t>
      </w:r>
    </w:p>
    <w:p>
      <w:pPr>
        <w:spacing w:after="0" w:line="24" w:lineRule="exact"/>
        <w:rPr>
          <w:rFonts w:ascii="Arial" w:cs="Arial" w:eastAsia="Arial" w:hAnsi="Arial"/>
          <w:sz w:val="12"/>
          <w:szCs w:val="12"/>
          <w:color w:val="auto"/>
        </w:rPr>
      </w:pPr>
    </w:p>
    <w:p>
      <w:pPr>
        <w:ind w:left="233" w:hanging="233"/>
        <w:spacing w:after="0"/>
        <w:tabs>
          <w:tab w:leader="none" w:pos="233" w:val="left"/>
        </w:tabs>
        <w:numPr>
          <w:ilvl w:val="0"/>
          <w:numId w:val="123"/>
        </w:numPr>
        <w:rPr>
          <w:rFonts w:ascii="Arial" w:cs="Arial" w:eastAsia="Arial" w:hAnsi="Arial"/>
          <w:sz w:val="12"/>
          <w:szCs w:val="12"/>
          <w:color w:val="auto"/>
        </w:rPr>
      </w:pPr>
      <w:r>
        <w:rPr>
          <w:rFonts w:ascii="Arial" w:cs="Arial" w:eastAsia="Arial" w:hAnsi="Arial"/>
          <w:sz w:val="12"/>
          <w:szCs w:val="12"/>
          <w:color w:val="auto"/>
        </w:rPr>
        <w:t>Consists of 2,775 shares of Common Stock held indirectly through spouse’s trust. Mr. Glavin disclaims beneficial ownership of such securities.</w:t>
      </w:r>
    </w:p>
    <w:p>
      <w:pPr>
        <w:spacing w:after="0" w:line="53" w:lineRule="exact"/>
        <w:rPr>
          <w:rFonts w:ascii="Arial" w:cs="Arial" w:eastAsia="Arial" w:hAnsi="Arial"/>
          <w:sz w:val="12"/>
          <w:szCs w:val="12"/>
          <w:color w:val="auto"/>
        </w:rPr>
      </w:pPr>
    </w:p>
    <w:p>
      <w:pPr>
        <w:ind w:left="233" w:hanging="233"/>
        <w:spacing w:after="0"/>
        <w:tabs>
          <w:tab w:leader="none" w:pos="233" w:val="left"/>
        </w:tabs>
        <w:numPr>
          <w:ilvl w:val="0"/>
          <w:numId w:val="123"/>
        </w:numPr>
        <w:rPr>
          <w:rFonts w:ascii="Arial" w:cs="Arial" w:eastAsia="Arial" w:hAnsi="Arial"/>
          <w:sz w:val="11"/>
          <w:szCs w:val="11"/>
          <w:color w:val="auto"/>
        </w:rPr>
      </w:pPr>
      <w:r>
        <w:rPr>
          <w:rFonts w:ascii="Arial" w:cs="Arial" w:eastAsia="Arial" w:hAnsi="Arial"/>
          <w:sz w:val="11"/>
          <w:szCs w:val="11"/>
          <w:color w:val="auto"/>
        </w:rPr>
        <w:t>Mr. Putnam holds 57,161 shares of Common Stock through James S. Putnam TTEE for Putnam Family Trust Dated 1699 Separate Property Trust.</w:t>
      </w:r>
    </w:p>
    <w:p>
      <w:pPr>
        <w:spacing w:after="0" w:line="64" w:lineRule="exact"/>
        <w:rPr>
          <w:rFonts w:ascii="Arial" w:cs="Arial" w:eastAsia="Arial" w:hAnsi="Arial"/>
          <w:sz w:val="11"/>
          <w:szCs w:val="11"/>
          <w:color w:val="auto"/>
        </w:rPr>
      </w:pPr>
    </w:p>
    <w:p>
      <w:pPr>
        <w:ind w:left="233" w:right="60" w:hanging="233"/>
        <w:spacing w:after="0" w:line="256" w:lineRule="auto"/>
        <w:tabs>
          <w:tab w:leader="none" w:pos="233" w:val="left"/>
        </w:tabs>
        <w:numPr>
          <w:ilvl w:val="0"/>
          <w:numId w:val="123"/>
        </w:numPr>
        <w:rPr>
          <w:rFonts w:ascii="Arial" w:cs="Arial" w:eastAsia="Arial" w:hAnsi="Arial"/>
          <w:sz w:val="12"/>
          <w:szCs w:val="12"/>
          <w:color w:val="auto"/>
        </w:rPr>
      </w:pPr>
      <w:r>
        <w:rPr>
          <w:rFonts w:ascii="Arial" w:cs="Arial" w:eastAsia="Arial" w:hAnsi="Arial"/>
          <w:sz w:val="12"/>
          <w:szCs w:val="12"/>
          <w:color w:val="auto"/>
        </w:rPr>
        <w:t>Consists of (i) 10,177 shares of Common Stock held directly and (ii) 4,840 shares of Common Stock held indirectly through trusts for Mr. Schifter’s grandchildren and for which Mr. Schifter is a co-trustee.</w:t>
      </w:r>
    </w:p>
    <w:p>
      <w:pPr>
        <w:spacing w:after="0" w:line="5786" w:lineRule="exact"/>
        <w:rPr>
          <w:sz w:val="20"/>
          <w:szCs w:val="20"/>
          <w:color w:val="auto"/>
        </w:rPr>
      </w:pPr>
    </w:p>
    <w:p>
      <w:pPr>
        <w:sectPr>
          <w:pgSz w:w="11900" w:h="16838" w:orient="portrait"/>
          <w:cols w:equalWidth="0" w:num="2">
            <w:col w:w="2160" w:space="567"/>
            <w:col w:w="7973"/>
          </w:cols>
          <w:pgMar w:left="320" w:top="464" w:right="879" w:bottom="1440" w:gutter="0" w:footer="0" w:header="0"/>
        </w:sectPr>
      </w:pPr>
    </w:p>
    <w:p>
      <w:pPr>
        <w:spacing w:after="0" w:line="200" w:lineRule="exact"/>
        <w:rPr>
          <w:sz w:val="20"/>
          <w:szCs w:val="20"/>
          <w:color w:val="auto"/>
        </w:rPr>
      </w:pPr>
    </w:p>
    <w:p>
      <w:pPr>
        <w:spacing w:after="0" w:line="385" w:lineRule="exact"/>
        <w:rPr>
          <w:sz w:val="20"/>
          <w:szCs w:val="20"/>
          <w:color w:val="auto"/>
        </w:rPr>
      </w:pPr>
    </w:p>
    <w:p>
      <w:pPr>
        <w:ind w:left="420"/>
        <w:spacing w:after="0"/>
        <w:tabs>
          <w:tab w:leader="none" w:pos="2380" w:val="left"/>
          <w:tab w:leader="none" w:pos="2800" w:val="left"/>
        </w:tabs>
        <w:rPr>
          <w:sz w:val="20"/>
          <w:szCs w:val="20"/>
          <w:color w:val="auto"/>
        </w:rPr>
      </w:pPr>
      <w:r>
        <w:rPr>
          <w:rFonts w:ascii="Arial" w:cs="Arial" w:eastAsia="Arial" w:hAnsi="Arial"/>
          <w:sz w:val="30"/>
          <w:szCs w:val="30"/>
          <w:color w:val="000000"/>
          <w:vertAlign w:val="superscript"/>
        </w:rPr>
        <w:t xml:space="preserve">             </w:t>
      </w:r>
      <w:r>
        <w:rPr>
          <w:sz w:val="20"/>
          <w:szCs w:val="20"/>
          <w:color w:val="auto"/>
        </w:rPr>
        <w:tab/>
      </w:r>
      <w:r>
        <w:rPr>
          <w:rFonts w:ascii="Arial" w:cs="Arial" w:eastAsia="Arial" w:hAnsi="Arial"/>
          <w:sz w:val="31"/>
          <w:szCs w:val="31"/>
          <w:color w:val="auto"/>
          <w:vertAlign w:val="superscript"/>
        </w:rPr>
        <w:t xml:space="preserve">    </w:t>
      </w:r>
      <w:r>
        <w:rPr>
          <w:sz w:val="20"/>
          <w:szCs w:val="20"/>
          <w:color w:val="auto"/>
        </w:rPr>
        <w:tab/>
      </w:r>
      <w:r>
        <w:rPr>
          <w:rFonts w:ascii="Arial" w:cs="Arial" w:eastAsia="Arial" w:hAnsi="Arial"/>
          <w:sz w:val="15"/>
          <w:szCs w:val="15"/>
          <w:b w:val="1"/>
          <w:bCs w:val="1"/>
          <w:color w:val="002B5F"/>
        </w:rPr>
        <w:t xml:space="preserve">80  </w:t>
      </w:r>
      <w:r>
        <w:rPr>
          <w:rFonts w:ascii="Arial" w:cs="Arial" w:eastAsia="Arial" w:hAnsi="Arial"/>
          <w:sz w:val="20"/>
          <w:szCs w:val="20"/>
          <w:color w:val="002B5F"/>
        </w:rPr>
        <w:t>|</w:t>
      </w:r>
      <w:r>
        <w:rPr>
          <w:rFonts w:ascii="Arial" w:cs="Arial" w:eastAsia="Arial" w:hAnsi="Arial"/>
          <w:sz w:val="15"/>
          <w:szCs w:val="15"/>
          <w:b w:val="1"/>
          <w:bCs w:val="1"/>
          <w:color w:val="002B5F"/>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6111875</wp:posOffset>
            </wp:positionH>
            <wp:positionV relativeFrom="paragraph">
              <wp:posOffset>-208915</wp:posOffset>
            </wp:positionV>
            <wp:extent cx="769620" cy="971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69620" cy="97155"/>
                    </a:xfrm>
                    <a:prstGeom prst="rect">
                      <a:avLst/>
                    </a:prstGeom>
                    <a:noFill/>
                  </pic:spPr>
                </pic:pic>
              </a:graphicData>
            </a:graphic>
          </wp:anchor>
        </w:drawing>
      </w:r>
    </w:p>
    <w:p>
      <w:pPr>
        <w:sectPr>
          <w:pgSz w:w="11900" w:h="16838" w:orient="portrait"/>
          <w:cols w:equalWidth="0" w:num="1">
            <w:col w:w="10700"/>
          </w:cols>
          <w:pgMar w:left="320" w:top="464" w:right="879" w:bottom="1440" w:gutter="0" w:footer="0" w:header="0"/>
          <w:type w:val="continuous"/>
        </w:sectPr>
      </w:pPr>
    </w:p>
    <w:bookmarkStart w:id="88" w:name="page89"/>
    <w:bookmarkEnd w:id="8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5334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81215" cy="5334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5617845</wp:posOffset>
            </wp:positionH>
            <wp:positionV relativeFrom="paragraph">
              <wp:posOffset>253365</wp:posOffset>
            </wp:positionV>
            <wp:extent cx="1256030" cy="74720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1256030" cy="7472045"/>
                    </a:xfrm>
                    <a:prstGeom prst="rect">
                      <a:avLst/>
                    </a:prstGeom>
                    <a:noFill/>
                  </pic:spPr>
                </pic:pic>
              </a:graphicData>
            </a:graphic>
          </wp:anchor>
        </w:drawing>
      </w:r>
    </w:p>
    <w:p>
      <w:pPr>
        <w:spacing w:after="0" w:line="166" w:lineRule="exact"/>
        <w:rPr>
          <w:sz w:val="20"/>
          <w:szCs w:val="20"/>
          <w:color w:val="auto"/>
        </w:rPr>
      </w:pPr>
    </w:p>
    <w:tbl>
      <w:tblPr>
        <w:tblLayout w:type="fixed"/>
        <w:tblInd w:w="540" w:type="dxa"/>
        <w:tblCellMar>
          <w:top w:w="0" w:type="dxa"/>
          <w:left w:w="0" w:type="dxa"/>
          <w:bottom w:w="0" w:type="dxa"/>
          <w:right w:w="0" w:type="dxa"/>
        </w:tblCellMar>
      </w:tblPr>
      <w:tr>
        <w:trPr>
          <w:trHeight w:val="552"/>
        </w:trPr>
        <w:tc>
          <w:tcPr>
            <w:tcW w:w="7880" w:type="dxa"/>
            <w:vAlign w:val="bottom"/>
          </w:tcPr>
          <w:p>
            <w:pPr>
              <w:spacing w:after="0"/>
              <w:rPr>
                <w:sz w:val="20"/>
                <w:szCs w:val="20"/>
                <w:color w:val="auto"/>
              </w:rPr>
            </w:pPr>
            <w:r>
              <w:rPr>
                <w:rFonts w:ascii="Times New Roman" w:cs="Times New Roman" w:eastAsia="Times New Roman" w:hAnsi="Times New Roman"/>
                <w:sz w:val="48"/>
                <w:szCs w:val="48"/>
                <w:b w:val="1"/>
                <w:bCs w:val="1"/>
                <w:color w:val="002B5F"/>
              </w:rPr>
              <w:t>Certain Relationships and Related</w:t>
            </w:r>
          </w:p>
        </w:tc>
        <w:tc>
          <w:tcPr>
            <w:tcW w:w="660" w:type="dxa"/>
            <w:vAlign w:val="bottom"/>
            <w:vMerge w:val="restart"/>
          </w:tcPr>
          <w:p>
            <w:pPr>
              <w:ind w:left="460"/>
              <w:spacing w:after="0"/>
              <w:rPr>
                <w:sz w:val="20"/>
                <w:szCs w:val="20"/>
                <w:color w:val="auto"/>
              </w:rPr>
            </w:pPr>
            <w:r>
              <w:rPr>
                <w:rFonts w:ascii="Arial" w:cs="Arial" w:eastAsia="Arial" w:hAnsi="Arial"/>
                <w:sz w:val="15"/>
                <w:szCs w:val="15"/>
                <w:color w:val="auto"/>
              </w:rPr>
              <w:t> </w:t>
            </w:r>
          </w:p>
        </w:tc>
        <w:tc>
          <w:tcPr>
            <w:tcW w:w="1280" w:type="dxa"/>
            <w:vAlign w:val="bottom"/>
          </w:tcPr>
          <w:p>
            <w:pPr>
              <w:ind w:left="140"/>
              <w:spacing w:after="0"/>
              <w:rPr>
                <w:sz w:val="20"/>
                <w:szCs w:val="20"/>
                <w:color w:val="auto"/>
              </w:rPr>
            </w:pPr>
            <w:r>
              <w:rPr>
                <w:rFonts w:ascii="Arial" w:cs="Arial" w:eastAsia="Arial" w:hAnsi="Arial"/>
                <w:sz w:val="12"/>
                <w:szCs w:val="12"/>
                <w:color w:val="FFFFFF"/>
              </w:rPr>
              <w:t>Information</w:t>
            </w:r>
          </w:p>
        </w:tc>
        <w:tc>
          <w:tcPr>
            <w:tcW w:w="440" w:type="dxa"/>
            <w:vAlign w:val="bottom"/>
            <w:vMerge w:val="restart"/>
          </w:tcPr>
          <w:p>
            <w:pPr>
              <w:ind w:left="80"/>
              <w:spacing w:after="0"/>
              <w:rPr>
                <w:sz w:val="20"/>
                <w:szCs w:val="20"/>
                <w:color w:val="auto"/>
              </w:rPr>
            </w:pPr>
            <w:r>
              <w:rPr>
                <w:rFonts w:ascii="Arial" w:cs="Arial" w:eastAsia="Arial" w:hAnsi="Arial"/>
                <w:sz w:val="15"/>
                <w:szCs w:val="15"/>
                <w:color w:val="auto"/>
              </w:rPr>
              <w:t xml:space="preserve">       </w:t>
            </w:r>
          </w:p>
        </w:tc>
        <w:tc>
          <w:tcPr>
            <w:tcW w:w="0" w:type="dxa"/>
            <w:vAlign w:val="bottom"/>
          </w:tcPr>
          <w:p>
            <w:pPr>
              <w:spacing w:after="0"/>
              <w:rPr>
                <w:sz w:val="1"/>
                <w:szCs w:val="1"/>
                <w:color w:val="auto"/>
              </w:rPr>
            </w:pPr>
          </w:p>
        </w:tc>
      </w:tr>
      <w:tr>
        <w:trPr>
          <w:trHeight w:val="194"/>
        </w:trPr>
        <w:tc>
          <w:tcPr>
            <w:tcW w:w="7880" w:type="dxa"/>
            <w:vAlign w:val="bottom"/>
            <w:vMerge w:val="restart"/>
          </w:tcPr>
          <w:p>
            <w:pPr>
              <w:spacing w:after="0" w:line="421" w:lineRule="exact"/>
              <w:rPr>
                <w:sz w:val="20"/>
                <w:szCs w:val="20"/>
                <w:color w:val="auto"/>
              </w:rPr>
            </w:pPr>
            <w:r>
              <w:rPr>
                <w:rFonts w:ascii="Times New Roman" w:cs="Times New Roman" w:eastAsia="Times New Roman" w:hAnsi="Times New Roman"/>
                <w:sz w:val="48"/>
                <w:szCs w:val="48"/>
                <w:b w:val="1"/>
                <w:bCs w:val="1"/>
                <w:color w:val="002B5F"/>
              </w:rPr>
              <w:t>Party Transactions</w:t>
            </w:r>
          </w:p>
        </w:tc>
        <w:tc>
          <w:tcPr>
            <w:tcW w:w="660" w:type="dxa"/>
            <w:vAlign w:val="bottom"/>
            <w:vMerge w:val="continue"/>
          </w:tcPr>
          <w:p>
            <w:pPr>
              <w:spacing w:after="0"/>
              <w:rPr>
                <w:sz w:val="16"/>
                <w:szCs w:val="16"/>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General</w:t>
            </w:r>
          </w:p>
        </w:tc>
        <w:tc>
          <w:tcPr>
            <w:tcW w:w="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788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Governance</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6"/>
        </w:trPr>
        <w:tc>
          <w:tcPr>
            <w:tcW w:w="78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80" w:type="dxa"/>
            <w:vAlign w:val="bottom"/>
          </w:tcPr>
          <w:p>
            <w:pPr>
              <w:ind w:left="140"/>
              <w:spacing w:after="0" w:line="116" w:lineRule="exact"/>
              <w:rPr>
                <w:sz w:val="20"/>
                <w:szCs w:val="20"/>
                <w:color w:val="auto"/>
              </w:rPr>
            </w:pPr>
            <w:r>
              <w:rPr>
                <w:rFonts w:ascii="Arial" w:cs="Arial" w:eastAsia="Arial" w:hAnsi="Arial"/>
                <w:sz w:val="12"/>
                <w:szCs w:val="12"/>
                <w:color w:val="FFFFFF"/>
              </w:rPr>
              <w:t>General Information</w:t>
            </w: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78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About Corporate</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7880" w:type="dxa"/>
            <w:vAlign w:val="bottom"/>
            <w:tcBorders>
              <w:bottom w:val="single" w:sz="8" w:color="auto"/>
            </w:tcBorders>
          </w:tcPr>
          <w:p>
            <w:pPr>
              <w:spacing w:after="0"/>
              <w:rPr>
                <w:sz w:val="17"/>
                <w:szCs w:val="17"/>
                <w:color w:val="auto"/>
              </w:rPr>
            </w:pPr>
          </w:p>
        </w:tc>
        <w:tc>
          <w:tcPr>
            <w:tcW w:w="660" w:type="dxa"/>
            <w:vAlign w:val="bottom"/>
          </w:tcPr>
          <w:p>
            <w:pPr>
              <w:spacing w:after="0"/>
              <w:rPr>
                <w:sz w:val="17"/>
                <w:szCs w:val="17"/>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and the Board of</w:t>
            </w: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8"/>
        </w:trPr>
        <w:tc>
          <w:tcPr>
            <w:tcW w:w="78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Directors</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6" w:lineRule="exact"/>
        <w:rPr>
          <w:sz w:val="20"/>
          <w:szCs w:val="20"/>
          <w:color w:val="auto"/>
        </w:rPr>
      </w:pPr>
    </w:p>
    <w:p>
      <w:pPr>
        <w:sectPr>
          <w:pgSz w:w="11900" w:h="16838" w:orient="portrait"/>
          <w:cols w:equalWidth="0" w:num="1">
            <w:col w:w="10800"/>
          </w:cols>
          <w:pgMar w:left="320" w:top="464" w:right="779" w:bottom="1440" w:gutter="0" w:footer="0" w:header="0"/>
        </w:sectPr>
      </w:pPr>
    </w:p>
    <w:p>
      <w:pPr>
        <w:ind w:left="540"/>
        <w:spacing w:after="0"/>
        <w:rPr>
          <w:sz w:val="20"/>
          <w:szCs w:val="20"/>
          <w:color w:val="auto"/>
        </w:rPr>
      </w:pPr>
      <w:r>
        <w:rPr>
          <w:rFonts w:ascii="Arial" w:cs="Arial" w:eastAsia="Arial" w:hAnsi="Arial"/>
          <w:sz w:val="24"/>
          <w:szCs w:val="24"/>
          <w:color w:val="B95827"/>
        </w:rPr>
        <w:t>Review, Approval or Ratification of Transactions with Related Persons</w:t>
      </w:r>
    </w:p>
    <w:p>
      <w:pPr>
        <w:spacing w:after="0" w:line="117" w:lineRule="exact"/>
        <w:rPr>
          <w:sz w:val="20"/>
          <w:szCs w:val="20"/>
          <w:color w:val="auto"/>
        </w:rPr>
      </w:pPr>
    </w:p>
    <w:p>
      <w:pPr>
        <w:ind w:left="540" w:right="140"/>
        <w:spacing w:after="0" w:line="261" w:lineRule="auto"/>
        <w:rPr>
          <w:sz w:val="20"/>
          <w:szCs w:val="20"/>
          <w:color w:val="auto"/>
        </w:rPr>
      </w:pPr>
      <w:r>
        <w:rPr>
          <w:rFonts w:ascii="Arial" w:cs="Arial" w:eastAsia="Arial" w:hAnsi="Arial"/>
          <w:sz w:val="15"/>
          <w:szCs w:val="15"/>
          <w:color w:val="auto"/>
        </w:rPr>
        <w:t>In accordance with the charter of the Audit and Risk Committee and our written policy, the Audit and Risk Committee is responsible for reviewing and approving related party transactions. If it is not feasible to approve related party transactions in advance, the Audit and Risk Committee is permitted to ratify such transactions after the Company has entered into them, subject to the procedures and considerations described below.</w:t>
      </w:r>
    </w:p>
    <w:p>
      <w:pPr>
        <w:spacing w:after="0" w:line="67" w:lineRule="exact"/>
        <w:rPr>
          <w:sz w:val="20"/>
          <w:szCs w:val="20"/>
          <w:color w:val="auto"/>
        </w:rPr>
      </w:pPr>
    </w:p>
    <w:p>
      <w:pPr>
        <w:ind w:left="540" w:right="520"/>
        <w:spacing w:after="0" w:line="268" w:lineRule="auto"/>
        <w:rPr>
          <w:sz w:val="20"/>
          <w:szCs w:val="20"/>
          <w:color w:val="auto"/>
        </w:rPr>
      </w:pPr>
      <w:r>
        <w:rPr>
          <w:rFonts w:ascii="Arial" w:cs="Arial" w:eastAsia="Arial" w:hAnsi="Arial"/>
          <w:sz w:val="15"/>
          <w:szCs w:val="15"/>
          <w:color w:val="auto"/>
        </w:rPr>
        <w:t>The policy with respect to related party transactions applies to any transaction, arrangement or relationship, or series of similar transactions, arrangements or relationships (including any indebtedness or guarantee of indebtedness) in which:</w:t>
      </w:r>
    </w:p>
    <w:p>
      <w:pPr>
        <w:spacing w:after="0" w:line="73" w:lineRule="exact"/>
        <w:rPr>
          <w:sz w:val="20"/>
          <w:szCs w:val="20"/>
          <w:color w:val="auto"/>
        </w:rPr>
      </w:pPr>
    </w:p>
    <w:p>
      <w:pPr>
        <w:ind w:left="800" w:hanging="261"/>
        <w:spacing w:after="0"/>
        <w:tabs>
          <w:tab w:leader="none" w:pos="800" w:val="left"/>
        </w:tabs>
        <w:numPr>
          <w:ilvl w:val="0"/>
          <w:numId w:val="124"/>
        </w:numPr>
        <w:rPr>
          <w:rFonts w:ascii="Arial" w:cs="Arial" w:eastAsia="Arial" w:hAnsi="Arial"/>
          <w:sz w:val="15"/>
          <w:szCs w:val="15"/>
          <w:color w:val="auto"/>
        </w:rPr>
      </w:pPr>
      <w:r>
        <w:rPr>
          <w:rFonts w:ascii="Arial" w:cs="Arial" w:eastAsia="Arial" w:hAnsi="Arial"/>
          <w:sz w:val="15"/>
          <w:szCs w:val="15"/>
          <w:color w:val="auto"/>
        </w:rPr>
        <w:t>the aggregate amount involved exceeds or is expected to exceed $120,000;</w:t>
      </w:r>
    </w:p>
    <w:p>
      <w:pPr>
        <w:spacing w:after="0" w:line="121" w:lineRule="exact"/>
        <w:rPr>
          <w:rFonts w:ascii="Arial" w:cs="Arial" w:eastAsia="Arial" w:hAnsi="Arial"/>
          <w:sz w:val="15"/>
          <w:szCs w:val="15"/>
          <w:color w:val="auto"/>
        </w:rPr>
      </w:pPr>
    </w:p>
    <w:p>
      <w:pPr>
        <w:ind w:left="800" w:hanging="261"/>
        <w:spacing w:after="0"/>
        <w:tabs>
          <w:tab w:leader="none" w:pos="800" w:val="left"/>
        </w:tabs>
        <w:numPr>
          <w:ilvl w:val="0"/>
          <w:numId w:val="124"/>
        </w:numPr>
        <w:rPr>
          <w:rFonts w:ascii="Arial" w:cs="Arial" w:eastAsia="Arial" w:hAnsi="Arial"/>
          <w:sz w:val="15"/>
          <w:szCs w:val="15"/>
          <w:color w:val="auto"/>
        </w:rPr>
      </w:pPr>
      <w:r>
        <w:rPr>
          <w:rFonts w:ascii="Arial" w:cs="Arial" w:eastAsia="Arial" w:hAnsi="Arial"/>
          <w:sz w:val="15"/>
          <w:szCs w:val="15"/>
          <w:color w:val="auto"/>
        </w:rPr>
        <w:t>the Company or any of its subsidiaries is a participant; and</w:t>
      </w:r>
    </w:p>
    <w:p>
      <w:pPr>
        <w:spacing w:after="0" w:line="121" w:lineRule="exact"/>
        <w:rPr>
          <w:rFonts w:ascii="Arial" w:cs="Arial" w:eastAsia="Arial" w:hAnsi="Arial"/>
          <w:sz w:val="15"/>
          <w:szCs w:val="15"/>
          <w:color w:val="auto"/>
        </w:rPr>
      </w:pPr>
    </w:p>
    <w:p>
      <w:pPr>
        <w:ind w:left="800" w:hanging="261"/>
        <w:spacing w:after="0"/>
        <w:tabs>
          <w:tab w:leader="none" w:pos="800" w:val="left"/>
        </w:tabs>
        <w:numPr>
          <w:ilvl w:val="0"/>
          <w:numId w:val="124"/>
        </w:numPr>
        <w:rPr>
          <w:rFonts w:ascii="Arial" w:cs="Arial" w:eastAsia="Arial" w:hAnsi="Arial"/>
          <w:sz w:val="15"/>
          <w:szCs w:val="15"/>
          <w:color w:val="auto"/>
        </w:rPr>
      </w:pPr>
      <w:r>
        <w:rPr>
          <w:rFonts w:ascii="Arial" w:cs="Arial" w:eastAsia="Arial" w:hAnsi="Arial"/>
          <w:sz w:val="15"/>
          <w:szCs w:val="15"/>
          <w:color w:val="auto"/>
        </w:rPr>
        <w:t>a related person has or will have a direct or indirect interest.</w:t>
      </w:r>
    </w:p>
    <w:p>
      <w:pPr>
        <w:spacing w:after="0" w:line="108" w:lineRule="exact"/>
        <w:rPr>
          <w:sz w:val="20"/>
          <w:szCs w:val="20"/>
          <w:color w:val="auto"/>
        </w:rPr>
      </w:pPr>
    </w:p>
    <w:p>
      <w:pPr>
        <w:ind w:left="540"/>
        <w:spacing w:after="0"/>
        <w:rPr>
          <w:sz w:val="20"/>
          <w:szCs w:val="20"/>
          <w:color w:val="auto"/>
        </w:rPr>
      </w:pPr>
      <w:r>
        <w:rPr>
          <w:rFonts w:ascii="Arial" w:cs="Arial" w:eastAsia="Arial" w:hAnsi="Arial"/>
          <w:sz w:val="15"/>
          <w:szCs w:val="15"/>
          <w:color w:val="auto"/>
        </w:rPr>
        <w:t>A related person is:</w:t>
      </w:r>
    </w:p>
    <w:p>
      <w:pPr>
        <w:spacing w:after="0" w:line="121" w:lineRule="exact"/>
        <w:rPr>
          <w:sz w:val="20"/>
          <w:szCs w:val="20"/>
          <w:color w:val="auto"/>
        </w:rPr>
      </w:pPr>
    </w:p>
    <w:p>
      <w:pPr>
        <w:ind w:left="800" w:right="100" w:hanging="261"/>
        <w:spacing w:after="0" w:line="287" w:lineRule="auto"/>
        <w:tabs>
          <w:tab w:leader="none" w:pos="800" w:val="left"/>
        </w:tabs>
        <w:numPr>
          <w:ilvl w:val="0"/>
          <w:numId w:val="125"/>
        </w:numPr>
        <w:rPr>
          <w:rFonts w:ascii="Arial" w:cs="Arial" w:eastAsia="Arial" w:hAnsi="Arial"/>
          <w:sz w:val="15"/>
          <w:szCs w:val="15"/>
          <w:color w:val="auto"/>
        </w:rPr>
      </w:pPr>
      <w:r>
        <w:rPr>
          <w:rFonts w:ascii="Arial" w:cs="Arial" w:eastAsia="Arial" w:hAnsi="Arial"/>
          <w:sz w:val="15"/>
          <w:szCs w:val="15"/>
          <w:color w:val="auto"/>
        </w:rPr>
        <w:t>any person who is, or at any time since the beginning of our last fiscal year was, a director or executive officer of the Company, or a nominee for election as a director of the Company;</w:t>
      </w:r>
    </w:p>
    <w:p>
      <w:pPr>
        <w:spacing w:after="0" w:line="59" w:lineRule="exact"/>
        <w:rPr>
          <w:rFonts w:ascii="Arial" w:cs="Arial" w:eastAsia="Arial" w:hAnsi="Arial"/>
          <w:sz w:val="15"/>
          <w:szCs w:val="15"/>
          <w:color w:val="auto"/>
        </w:rPr>
      </w:pPr>
    </w:p>
    <w:p>
      <w:pPr>
        <w:ind w:left="800" w:hanging="261"/>
        <w:spacing w:after="0"/>
        <w:tabs>
          <w:tab w:leader="none" w:pos="800" w:val="left"/>
        </w:tabs>
        <w:numPr>
          <w:ilvl w:val="0"/>
          <w:numId w:val="125"/>
        </w:numPr>
        <w:rPr>
          <w:rFonts w:ascii="Arial" w:cs="Arial" w:eastAsia="Arial" w:hAnsi="Arial"/>
          <w:sz w:val="15"/>
          <w:szCs w:val="15"/>
          <w:color w:val="auto"/>
        </w:rPr>
      </w:pPr>
      <w:r>
        <w:rPr>
          <w:rFonts w:ascii="Arial" w:cs="Arial" w:eastAsia="Arial" w:hAnsi="Arial"/>
          <w:sz w:val="15"/>
          <w:szCs w:val="15"/>
          <w:color w:val="auto"/>
        </w:rPr>
        <w:t>any beneficial owner of more than five percent of our Common Stock; or</w:t>
      </w:r>
    </w:p>
    <w:p>
      <w:pPr>
        <w:spacing w:after="0" w:line="121" w:lineRule="exact"/>
        <w:rPr>
          <w:rFonts w:ascii="Arial" w:cs="Arial" w:eastAsia="Arial" w:hAnsi="Arial"/>
          <w:sz w:val="15"/>
          <w:szCs w:val="15"/>
          <w:color w:val="auto"/>
        </w:rPr>
      </w:pPr>
    </w:p>
    <w:p>
      <w:pPr>
        <w:ind w:left="800" w:hanging="261"/>
        <w:spacing w:after="0"/>
        <w:tabs>
          <w:tab w:leader="none" w:pos="800" w:val="left"/>
        </w:tabs>
        <w:numPr>
          <w:ilvl w:val="0"/>
          <w:numId w:val="125"/>
        </w:numPr>
        <w:rPr>
          <w:rFonts w:ascii="Arial" w:cs="Arial" w:eastAsia="Arial" w:hAnsi="Arial"/>
          <w:sz w:val="15"/>
          <w:szCs w:val="15"/>
          <w:color w:val="auto"/>
        </w:rPr>
      </w:pPr>
      <w:r>
        <w:rPr>
          <w:rFonts w:ascii="Arial" w:cs="Arial" w:eastAsia="Arial" w:hAnsi="Arial"/>
          <w:sz w:val="15"/>
          <w:szCs w:val="15"/>
          <w:color w:val="auto"/>
        </w:rPr>
        <w:t>any immediate family member of the foregoing persons.</w:t>
      </w:r>
    </w:p>
    <w:p>
      <w:pPr>
        <w:spacing w:after="0" w:line="108" w:lineRule="exact"/>
        <w:rPr>
          <w:sz w:val="20"/>
          <w:szCs w:val="20"/>
          <w:color w:val="auto"/>
        </w:rPr>
      </w:pPr>
    </w:p>
    <w:p>
      <w:pPr>
        <w:ind w:left="540" w:right="120"/>
        <w:spacing w:after="0" w:line="258" w:lineRule="auto"/>
        <w:rPr>
          <w:sz w:val="20"/>
          <w:szCs w:val="20"/>
          <w:color w:val="auto"/>
        </w:rPr>
      </w:pPr>
      <w:r>
        <w:rPr>
          <w:rFonts w:ascii="Arial" w:cs="Arial" w:eastAsia="Arial" w:hAnsi="Arial"/>
          <w:sz w:val="15"/>
          <w:szCs w:val="15"/>
          <w:color w:val="auto"/>
        </w:rPr>
        <w:t>The Audit and Risk Committee is provided with the material facts of all transactions that require the Audit and Risk Committee’s approval under the policy. In determining whether to approve or ratify a particular transaction, the Audit and Risk Committee will take into account, among other factors it deems appropriate, whether the transaction is on terms no less favorable than terms generally available to an unaffiliated third party under the same or similar circumstances and the extent of the related person’s interest in the transaction.</w:t>
      </w:r>
    </w:p>
    <w:p>
      <w:pPr>
        <w:spacing w:after="0" w:line="68" w:lineRule="exact"/>
        <w:rPr>
          <w:sz w:val="20"/>
          <w:szCs w:val="20"/>
          <w:color w:val="auto"/>
        </w:rPr>
      </w:pPr>
    </w:p>
    <w:p>
      <w:pPr>
        <w:ind w:left="540" w:right="160"/>
        <w:spacing w:after="0" w:line="256" w:lineRule="auto"/>
        <w:rPr>
          <w:sz w:val="20"/>
          <w:szCs w:val="20"/>
          <w:color w:val="auto"/>
        </w:rPr>
      </w:pPr>
      <w:r>
        <w:rPr>
          <w:rFonts w:ascii="Arial" w:cs="Arial" w:eastAsia="Arial" w:hAnsi="Arial"/>
          <w:sz w:val="15"/>
          <w:szCs w:val="15"/>
          <w:color w:val="auto"/>
        </w:rPr>
        <w:t>Under the policy, a director is not permitted to participate in any discussion or approval of a transaction for which he or she (or an immediate family member) is the related person, and such director must provide the Audit and Risk Committee with all material information concerning the transaction. If an approved transaction is ongoing, the Audit and Risk Committee may establish guidelines for management to follow in its dealings with such person and will annually review and assess compliance with such guidelines, and whether the transaction remains appropriate for the Company.</w:t>
      </w:r>
    </w:p>
    <w:p>
      <w:pPr>
        <w:spacing w:after="0" w:line="162" w:lineRule="exact"/>
        <w:rPr>
          <w:sz w:val="20"/>
          <w:szCs w:val="20"/>
          <w:color w:val="auto"/>
        </w:rPr>
      </w:pPr>
    </w:p>
    <w:p>
      <w:pPr>
        <w:ind w:left="540"/>
        <w:spacing w:after="0"/>
        <w:rPr>
          <w:sz w:val="20"/>
          <w:szCs w:val="20"/>
          <w:color w:val="auto"/>
        </w:rPr>
      </w:pPr>
      <w:r>
        <w:rPr>
          <w:rFonts w:ascii="Arial" w:cs="Arial" w:eastAsia="Arial" w:hAnsi="Arial"/>
          <w:sz w:val="24"/>
          <w:szCs w:val="24"/>
          <w:color w:val="B95827"/>
        </w:rPr>
        <w:t>Business Transactions with Certain Stockholders</w:t>
      </w:r>
    </w:p>
    <w:p>
      <w:pPr>
        <w:spacing w:after="0" w:line="20" w:lineRule="exact"/>
        <w:rPr>
          <w:sz w:val="20"/>
          <w:szCs w:val="20"/>
          <w:color w:val="auto"/>
        </w:rPr>
      </w:pPr>
      <w:r>
        <w:rPr>
          <w:sz w:val="20"/>
          <w:szCs w:val="20"/>
          <w:color w:val="auto"/>
        </w:rPr>
        <w:br w:type="column"/>
      </w:r>
    </w:p>
    <w:p>
      <w:pPr>
        <w:spacing w:after="0" w:line="100" w:lineRule="exact"/>
        <w:rPr>
          <w:sz w:val="20"/>
          <w:szCs w:val="20"/>
          <w:color w:val="auto"/>
        </w:rPr>
      </w:pPr>
    </w:p>
    <w:p>
      <w:pPr>
        <w:spacing w:after="0"/>
        <w:rPr>
          <w:sz w:val="20"/>
          <w:szCs w:val="20"/>
          <w:color w:val="auto"/>
        </w:rPr>
      </w:pPr>
      <w:r>
        <w:rPr>
          <w:rFonts w:ascii="Arial" w:cs="Arial" w:eastAsia="Arial" w:hAnsi="Arial"/>
          <w:sz w:val="12"/>
          <w:szCs w:val="12"/>
          <w:color w:val="FFFFFF"/>
        </w:rPr>
        <w:t>Proposal 1</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FFFFFF"/>
        </w:rPr>
        <w:t>Information</w:t>
      </w:r>
    </w:p>
    <w:p>
      <w:pPr>
        <w:spacing w:after="0" w:line="224" w:lineRule="auto"/>
        <w:rPr>
          <w:sz w:val="20"/>
          <w:szCs w:val="20"/>
          <w:color w:val="auto"/>
        </w:rPr>
      </w:pPr>
      <w:r>
        <w:rPr>
          <w:rFonts w:ascii="Arial" w:cs="Arial" w:eastAsia="Arial" w:hAnsi="Arial"/>
          <w:sz w:val="12"/>
          <w:szCs w:val="12"/>
          <w:color w:val="FFFFFF"/>
        </w:rPr>
        <w:t>Regarding Board</w:t>
      </w:r>
    </w:p>
    <w:p>
      <w:pPr>
        <w:spacing w:after="0" w:line="222" w:lineRule="auto"/>
        <w:rPr>
          <w:sz w:val="20"/>
          <w:szCs w:val="20"/>
          <w:color w:val="auto"/>
        </w:rPr>
      </w:pPr>
      <w:r>
        <w:rPr>
          <w:rFonts w:ascii="Arial" w:cs="Arial" w:eastAsia="Arial" w:hAnsi="Arial"/>
          <w:sz w:val="12"/>
          <w:szCs w:val="12"/>
          <w:color w:val="FFFFFF"/>
        </w:rPr>
        <w:t>and Committee</w:t>
      </w:r>
    </w:p>
    <w:p>
      <w:pPr>
        <w:spacing w:after="0"/>
        <w:rPr>
          <w:sz w:val="20"/>
          <w:szCs w:val="20"/>
          <w:color w:val="auto"/>
        </w:rPr>
      </w:pPr>
      <w:r>
        <w:rPr>
          <w:rFonts w:ascii="Arial" w:cs="Arial" w:eastAsia="Arial" w:hAnsi="Arial"/>
          <w:sz w:val="12"/>
          <w:szCs w:val="12"/>
          <w:color w:val="FFFFFF"/>
        </w:rPr>
        <w:t>Structure</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Board of Directors</w:t>
      </w:r>
    </w:p>
    <w:p>
      <w:pPr>
        <w:spacing w:after="0" w:line="2" w:lineRule="exact"/>
        <w:rPr>
          <w:sz w:val="20"/>
          <w:szCs w:val="20"/>
          <w:color w:val="auto"/>
        </w:rPr>
      </w:pPr>
    </w:p>
    <w:p>
      <w:pPr>
        <w:spacing w:after="0"/>
        <w:rPr>
          <w:sz w:val="20"/>
          <w:szCs w:val="20"/>
          <w:color w:val="auto"/>
        </w:rPr>
      </w:pPr>
      <w:r>
        <w:rPr>
          <w:rFonts w:ascii="Arial" w:cs="Arial" w:eastAsia="Arial" w:hAnsi="Arial"/>
          <w:sz w:val="12"/>
          <w:szCs w:val="12"/>
          <w:color w:val="FFFFFF"/>
        </w:rPr>
        <w:t>Compensation</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Compensation</w:t>
      </w:r>
    </w:p>
    <w:p>
      <w:pPr>
        <w:spacing w:after="0" w:line="224" w:lineRule="auto"/>
        <w:rPr>
          <w:sz w:val="20"/>
          <w:szCs w:val="20"/>
          <w:color w:val="auto"/>
        </w:rPr>
      </w:pPr>
      <w:r>
        <w:rPr>
          <w:rFonts w:ascii="Arial" w:cs="Arial" w:eastAsia="Arial" w:hAnsi="Arial"/>
          <w:sz w:val="12"/>
          <w:szCs w:val="12"/>
          <w:color w:val="FFFFFF"/>
        </w:rPr>
        <w:t>Discussion and</w:t>
      </w:r>
    </w:p>
    <w:p>
      <w:pPr>
        <w:spacing w:after="0"/>
        <w:rPr>
          <w:sz w:val="20"/>
          <w:szCs w:val="20"/>
          <w:color w:val="auto"/>
        </w:rPr>
      </w:pPr>
      <w:r>
        <w:rPr>
          <w:rFonts w:ascii="Arial" w:cs="Arial" w:eastAsia="Arial" w:hAnsi="Arial"/>
          <w:sz w:val="12"/>
          <w:szCs w:val="12"/>
          <w:color w:val="FFFFFF"/>
        </w:rPr>
        <w:t>Analysis</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Report of the</w:t>
      </w:r>
    </w:p>
    <w:p>
      <w:pPr>
        <w:spacing w:after="0" w:line="224" w:lineRule="auto"/>
        <w:rPr>
          <w:sz w:val="20"/>
          <w:szCs w:val="20"/>
          <w:color w:val="auto"/>
        </w:rPr>
      </w:pPr>
      <w:r>
        <w:rPr>
          <w:rFonts w:ascii="Arial" w:cs="Arial" w:eastAsia="Arial" w:hAnsi="Arial"/>
          <w:sz w:val="12"/>
          <w:szCs w:val="12"/>
          <w:color w:val="FFFFFF"/>
        </w:rPr>
        <w:t>Compensation</w:t>
      </w:r>
    </w:p>
    <w:p>
      <w:pPr>
        <w:spacing w:after="0" w:line="222" w:lineRule="auto"/>
        <w:rPr>
          <w:sz w:val="20"/>
          <w:szCs w:val="20"/>
          <w:color w:val="auto"/>
        </w:rPr>
      </w:pPr>
      <w:r>
        <w:rPr>
          <w:rFonts w:ascii="Arial" w:cs="Arial" w:eastAsia="Arial" w:hAnsi="Arial"/>
          <w:sz w:val="12"/>
          <w:szCs w:val="12"/>
          <w:color w:val="FFFFFF"/>
        </w:rPr>
        <w:t>and Human</w:t>
      </w:r>
    </w:p>
    <w:p>
      <w:pPr>
        <w:spacing w:after="0" w:line="222" w:lineRule="auto"/>
        <w:rPr>
          <w:sz w:val="20"/>
          <w:szCs w:val="20"/>
          <w:color w:val="auto"/>
        </w:rPr>
      </w:pPr>
      <w:r>
        <w:rPr>
          <w:rFonts w:ascii="Arial" w:cs="Arial" w:eastAsia="Arial" w:hAnsi="Arial"/>
          <w:sz w:val="12"/>
          <w:szCs w:val="12"/>
          <w:color w:val="FFFFFF"/>
        </w:rPr>
        <w:t>Resources</w:t>
      </w:r>
    </w:p>
    <w:p>
      <w:pPr>
        <w:spacing w:after="0" w:line="222" w:lineRule="auto"/>
        <w:rPr>
          <w:sz w:val="20"/>
          <w:szCs w:val="20"/>
          <w:color w:val="auto"/>
        </w:rPr>
      </w:pPr>
      <w:r>
        <w:rPr>
          <w:rFonts w:ascii="Arial" w:cs="Arial" w:eastAsia="Arial" w:hAnsi="Arial"/>
          <w:sz w:val="12"/>
          <w:szCs w:val="12"/>
          <w:color w:val="FFFFFF"/>
        </w:rPr>
        <w:t>Committee of the</w:t>
      </w:r>
    </w:p>
    <w:p>
      <w:pPr>
        <w:spacing w:after="0"/>
        <w:rPr>
          <w:sz w:val="20"/>
          <w:szCs w:val="20"/>
          <w:color w:val="auto"/>
        </w:rPr>
      </w:pPr>
      <w:r>
        <w:rPr>
          <w:rFonts w:ascii="Arial" w:cs="Arial" w:eastAsia="Arial" w:hAnsi="Arial"/>
          <w:sz w:val="12"/>
          <w:szCs w:val="12"/>
          <w:color w:val="FFFFFF"/>
        </w:rPr>
        <w:t>Board of Directors</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Compensation of</w:t>
      </w:r>
    </w:p>
    <w:p>
      <w:pPr>
        <w:spacing w:after="0" w:line="224" w:lineRule="auto"/>
        <w:rPr>
          <w:sz w:val="20"/>
          <w:szCs w:val="20"/>
          <w:color w:val="auto"/>
        </w:rPr>
      </w:pPr>
      <w:r>
        <w:rPr>
          <w:rFonts w:ascii="Arial" w:cs="Arial" w:eastAsia="Arial" w:hAnsi="Arial"/>
          <w:sz w:val="12"/>
          <w:szCs w:val="12"/>
          <w:color w:val="FFFFFF"/>
        </w:rPr>
        <w:t>Named Executive</w:t>
      </w:r>
    </w:p>
    <w:p>
      <w:pPr>
        <w:spacing w:after="0"/>
        <w:rPr>
          <w:sz w:val="20"/>
          <w:szCs w:val="20"/>
          <w:color w:val="auto"/>
        </w:rPr>
      </w:pPr>
      <w:r>
        <w:rPr>
          <w:rFonts w:ascii="Arial" w:cs="Arial" w:eastAsia="Arial" w:hAnsi="Arial"/>
          <w:sz w:val="12"/>
          <w:szCs w:val="12"/>
          <w:color w:val="FFFFFF"/>
        </w:rPr>
        <w:t>Officers</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Pay Versus</w:t>
      </w:r>
    </w:p>
    <w:p>
      <w:pPr>
        <w:spacing w:after="0" w:line="224" w:lineRule="auto"/>
        <w:rPr>
          <w:sz w:val="20"/>
          <w:szCs w:val="20"/>
          <w:color w:val="auto"/>
        </w:rPr>
      </w:pPr>
      <w:r>
        <w:rPr>
          <w:rFonts w:ascii="Arial" w:cs="Arial" w:eastAsia="Arial" w:hAnsi="Arial"/>
          <w:sz w:val="12"/>
          <w:szCs w:val="12"/>
          <w:color w:val="FFFFFF"/>
        </w:rPr>
        <w:t>Performance</w:t>
      </w:r>
    </w:p>
    <w:p>
      <w:pPr>
        <w:spacing w:after="0"/>
        <w:rPr>
          <w:sz w:val="20"/>
          <w:szCs w:val="20"/>
          <w:color w:val="auto"/>
        </w:rPr>
      </w:pPr>
      <w:r>
        <w:rPr>
          <w:rFonts w:ascii="Arial" w:cs="Arial" w:eastAsia="Arial" w:hAnsi="Arial"/>
          <w:sz w:val="12"/>
          <w:szCs w:val="12"/>
          <w:color w:val="FFFFFF"/>
        </w:rPr>
        <w:t>Disclosure</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Security</w:t>
      </w:r>
    </w:p>
    <w:p>
      <w:pPr>
        <w:spacing w:after="0" w:line="224" w:lineRule="auto"/>
        <w:rPr>
          <w:sz w:val="20"/>
          <w:szCs w:val="20"/>
          <w:color w:val="auto"/>
        </w:rPr>
      </w:pPr>
      <w:r>
        <w:rPr>
          <w:rFonts w:ascii="Arial" w:cs="Arial" w:eastAsia="Arial" w:hAnsi="Arial"/>
          <w:sz w:val="12"/>
          <w:szCs w:val="12"/>
          <w:color w:val="FFFFFF"/>
        </w:rPr>
        <w:t>Ownership of</w:t>
      </w:r>
    </w:p>
    <w:p>
      <w:pPr>
        <w:spacing w:after="0" w:line="222" w:lineRule="auto"/>
        <w:rPr>
          <w:sz w:val="20"/>
          <w:szCs w:val="20"/>
          <w:color w:val="auto"/>
        </w:rPr>
      </w:pPr>
      <w:r>
        <w:rPr>
          <w:rFonts w:ascii="Arial" w:cs="Arial" w:eastAsia="Arial" w:hAnsi="Arial"/>
          <w:sz w:val="12"/>
          <w:szCs w:val="12"/>
          <w:color w:val="FFFFFF"/>
        </w:rPr>
        <w:t>Certain Beneficial</w:t>
      </w:r>
    </w:p>
    <w:p>
      <w:pPr>
        <w:spacing w:after="0" w:line="222" w:lineRule="auto"/>
        <w:rPr>
          <w:sz w:val="20"/>
          <w:szCs w:val="20"/>
          <w:color w:val="auto"/>
        </w:rPr>
      </w:pPr>
      <w:r>
        <w:rPr>
          <w:rFonts w:ascii="Arial" w:cs="Arial" w:eastAsia="Arial" w:hAnsi="Arial"/>
          <w:sz w:val="12"/>
          <w:szCs w:val="12"/>
          <w:color w:val="FFFFFF"/>
        </w:rPr>
        <w:t>Owners and</w:t>
      </w:r>
    </w:p>
    <w:p>
      <w:pPr>
        <w:spacing w:after="0"/>
        <w:rPr>
          <w:sz w:val="20"/>
          <w:szCs w:val="20"/>
          <w:color w:val="auto"/>
        </w:rPr>
      </w:pPr>
      <w:r>
        <w:rPr>
          <w:rFonts w:ascii="Arial" w:cs="Arial" w:eastAsia="Arial" w:hAnsi="Arial"/>
          <w:sz w:val="12"/>
          <w:szCs w:val="12"/>
          <w:color w:val="FFFFFF"/>
        </w:rPr>
        <w:t>Management</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b w:val="1"/>
          <w:bCs w:val="1"/>
          <w:color w:val="FFFFFF"/>
        </w:rPr>
        <w:t>Certain</w:t>
      </w:r>
    </w:p>
    <w:p>
      <w:pPr>
        <w:spacing w:after="0" w:line="224" w:lineRule="auto"/>
        <w:rPr>
          <w:sz w:val="20"/>
          <w:szCs w:val="20"/>
          <w:color w:val="auto"/>
        </w:rPr>
      </w:pPr>
      <w:r>
        <w:rPr>
          <w:rFonts w:ascii="Arial" w:cs="Arial" w:eastAsia="Arial" w:hAnsi="Arial"/>
          <w:sz w:val="12"/>
          <w:szCs w:val="12"/>
          <w:b w:val="1"/>
          <w:bCs w:val="1"/>
          <w:color w:val="FFFFFF"/>
        </w:rPr>
        <w:t>Relationships and</w:t>
      </w:r>
    </w:p>
    <w:p>
      <w:pPr>
        <w:spacing w:after="0" w:line="222" w:lineRule="auto"/>
        <w:rPr>
          <w:sz w:val="20"/>
          <w:szCs w:val="20"/>
          <w:color w:val="auto"/>
        </w:rPr>
      </w:pPr>
      <w:r>
        <w:rPr>
          <w:rFonts w:ascii="Arial" w:cs="Arial" w:eastAsia="Arial" w:hAnsi="Arial"/>
          <w:sz w:val="12"/>
          <w:szCs w:val="12"/>
          <w:b w:val="1"/>
          <w:bCs w:val="1"/>
          <w:color w:val="FFFFFF"/>
        </w:rPr>
        <w:t>Related Party</w:t>
      </w:r>
    </w:p>
    <w:p>
      <w:pPr>
        <w:spacing w:after="0"/>
        <w:rPr>
          <w:sz w:val="20"/>
          <w:szCs w:val="20"/>
          <w:color w:val="auto"/>
        </w:rPr>
      </w:pPr>
      <w:r>
        <w:rPr>
          <w:rFonts w:ascii="Arial" w:cs="Arial" w:eastAsia="Arial" w:hAnsi="Arial"/>
          <w:sz w:val="12"/>
          <w:szCs w:val="12"/>
          <w:b w:val="1"/>
          <w:bCs w:val="1"/>
          <w:color w:val="FFFFFF"/>
        </w:rPr>
        <w:t>Transactions</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Proposal 2</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FFFFFF"/>
        </w:rPr>
        <w:t>Report of the</w:t>
      </w:r>
    </w:p>
    <w:p>
      <w:pPr>
        <w:spacing w:after="0" w:line="224" w:lineRule="auto"/>
        <w:rPr>
          <w:sz w:val="20"/>
          <w:szCs w:val="20"/>
          <w:color w:val="auto"/>
        </w:rPr>
      </w:pPr>
      <w:r>
        <w:rPr>
          <w:rFonts w:ascii="Arial" w:cs="Arial" w:eastAsia="Arial" w:hAnsi="Arial"/>
          <w:sz w:val="12"/>
          <w:szCs w:val="12"/>
          <w:color w:val="FFFFFF"/>
        </w:rPr>
        <w:t>Audit and Risk</w:t>
      </w:r>
    </w:p>
    <w:p>
      <w:pPr>
        <w:spacing w:after="0" w:line="222" w:lineRule="auto"/>
        <w:rPr>
          <w:sz w:val="20"/>
          <w:szCs w:val="20"/>
          <w:color w:val="auto"/>
        </w:rPr>
      </w:pPr>
      <w:r>
        <w:rPr>
          <w:rFonts w:ascii="Arial" w:cs="Arial" w:eastAsia="Arial" w:hAnsi="Arial"/>
          <w:sz w:val="12"/>
          <w:szCs w:val="12"/>
          <w:color w:val="FFFFFF"/>
        </w:rPr>
        <w:t>Committee of the</w:t>
      </w:r>
    </w:p>
    <w:p>
      <w:pPr>
        <w:spacing w:after="0"/>
        <w:rPr>
          <w:sz w:val="20"/>
          <w:szCs w:val="20"/>
          <w:color w:val="auto"/>
        </w:rPr>
      </w:pPr>
      <w:r>
        <w:rPr>
          <w:rFonts w:ascii="Arial" w:cs="Arial" w:eastAsia="Arial" w:hAnsi="Arial"/>
          <w:sz w:val="12"/>
          <w:szCs w:val="12"/>
          <w:color w:val="FFFFFF"/>
        </w:rPr>
        <w:t>Board of Directors</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Proposal 3</w:t>
      </w:r>
    </w:p>
    <w:p>
      <w:pPr>
        <w:spacing w:after="0" w:line="46" w:lineRule="exact"/>
        <w:rPr>
          <w:sz w:val="20"/>
          <w:szCs w:val="20"/>
          <w:color w:val="auto"/>
        </w:rPr>
      </w:pPr>
    </w:p>
    <w:p>
      <w:pPr>
        <w:sectPr>
          <w:pgSz w:w="11900" w:h="16838" w:orient="portrait"/>
          <w:cols w:equalWidth="0" w:num="2">
            <w:col w:w="8500" w:space="720"/>
            <w:col w:w="1580"/>
          </w:cols>
          <w:pgMar w:left="320" w:top="464" w:right="779" w:bottom="1440" w:gutter="0" w:footer="0" w:header="0"/>
          <w:type w:val="continuous"/>
        </w:sectPr>
      </w:pPr>
    </w:p>
    <w:p>
      <w:pPr>
        <w:ind w:left="540" w:right="100"/>
        <w:spacing w:after="0" w:line="258" w:lineRule="auto"/>
        <w:rPr>
          <w:sz w:val="20"/>
          <w:szCs w:val="20"/>
          <w:color w:val="auto"/>
        </w:rPr>
      </w:pPr>
      <w:r>
        <w:rPr>
          <w:rFonts w:ascii="Arial" w:cs="Arial" w:eastAsia="Arial" w:hAnsi="Arial"/>
          <w:sz w:val="15"/>
          <w:szCs w:val="15"/>
          <w:color w:val="auto"/>
        </w:rPr>
        <w:t>Each of Vanguard Group, Inc. (“Vanguard”) and BlackRock, Inc. (“BlackRock”) considered itself the direct or indirect beneficial owner of more than five percent of our Common Stock during 2025. The Company has entered into certain agreements in the ordinary course of business with affiliates of each of Vanguard and BlackRock, and during the year ended December 31, 2025 received revenue of approximately $0.2 million and $30.6 million from Vanguard and BlackRock, respectively, under such agreements.</w:t>
      </w:r>
    </w:p>
    <w:p>
      <w:pPr>
        <w:spacing w:after="0" w:line="20" w:lineRule="exact"/>
        <w:rPr>
          <w:sz w:val="20"/>
          <w:szCs w:val="20"/>
          <w:color w:val="auto"/>
        </w:rPr>
      </w:pPr>
      <w:r>
        <w:rPr>
          <w:sz w:val="20"/>
          <w:szCs w:val="20"/>
          <w:color w:val="auto"/>
        </w:rPr>
        <w:br w:type="column"/>
      </w:r>
    </w:p>
    <w:p>
      <w:pPr>
        <w:spacing w:after="0" w:line="90" w:lineRule="exact"/>
        <w:rPr>
          <w:sz w:val="20"/>
          <w:szCs w:val="20"/>
          <w:color w:val="auto"/>
        </w:rPr>
      </w:pPr>
    </w:p>
    <w:p>
      <w:pPr>
        <w:spacing w:after="0"/>
        <w:rPr>
          <w:sz w:val="20"/>
          <w:szCs w:val="20"/>
          <w:color w:val="auto"/>
        </w:rPr>
      </w:pPr>
      <w:r>
        <w:rPr>
          <w:rFonts w:ascii="Arial" w:cs="Arial" w:eastAsia="Arial" w:hAnsi="Arial"/>
          <w:sz w:val="12"/>
          <w:szCs w:val="12"/>
          <w:color w:val="FFFFFF"/>
        </w:rPr>
        <w:t>Proposal 4</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FFFFFF"/>
        </w:rPr>
        <w:t>Proposal 5</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FFFFFF"/>
        </w:rPr>
        <w:t>Proposal 6</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FFFFFF"/>
        </w:rPr>
        <w:t>Stockholder</w:t>
      </w:r>
    </w:p>
    <w:p>
      <w:pPr>
        <w:spacing w:after="0" w:line="2" w:lineRule="exact"/>
        <w:rPr>
          <w:sz w:val="20"/>
          <w:szCs w:val="20"/>
          <w:color w:val="auto"/>
        </w:rPr>
      </w:pPr>
    </w:p>
    <w:p>
      <w:pPr>
        <w:spacing w:after="0"/>
        <w:rPr>
          <w:sz w:val="20"/>
          <w:szCs w:val="20"/>
          <w:color w:val="auto"/>
        </w:rPr>
      </w:pPr>
      <w:r>
        <w:rPr>
          <w:rFonts w:ascii="Arial" w:cs="Arial" w:eastAsia="Arial" w:hAnsi="Arial"/>
          <w:sz w:val="11"/>
          <w:szCs w:val="11"/>
          <w:color w:val="FFFFFF"/>
        </w:rPr>
        <w:t>Proposals and</w:t>
      </w:r>
    </w:p>
    <w:p>
      <w:pPr>
        <w:spacing w:after="0" w:line="1" w:lineRule="exact"/>
        <w:rPr>
          <w:sz w:val="20"/>
          <w:szCs w:val="20"/>
          <w:color w:val="auto"/>
        </w:rPr>
      </w:pPr>
    </w:p>
    <w:p>
      <w:pPr>
        <w:spacing w:after="0"/>
        <w:rPr>
          <w:sz w:val="20"/>
          <w:szCs w:val="20"/>
          <w:color w:val="auto"/>
        </w:rPr>
      </w:pPr>
      <w:r>
        <w:rPr>
          <w:rFonts w:ascii="Arial" w:cs="Arial" w:eastAsia="Arial" w:hAnsi="Arial"/>
          <w:sz w:val="12"/>
          <w:szCs w:val="12"/>
          <w:color w:val="FFFFFF"/>
        </w:rPr>
        <w:t>Other Matters</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Delinquent</w:t>
      </w:r>
    </w:p>
    <w:p>
      <w:pPr>
        <w:spacing w:after="0" w:line="224" w:lineRule="auto"/>
        <w:rPr>
          <w:sz w:val="20"/>
          <w:szCs w:val="20"/>
          <w:color w:val="auto"/>
        </w:rPr>
      </w:pPr>
      <w:r>
        <w:rPr>
          <w:rFonts w:ascii="Arial" w:cs="Arial" w:eastAsia="Arial" w:hAnsi="Arial"/>
          <w:sz w:val="12"/>
          <w:szCs w:val="12"/>
          <w:color w:val="FFFFFF"/>
        </w:rPr>
        <w:t>Section 16(a)</w:t>
      </w:r>
    </w:p>
    <w:p>
      <w:pPr>
        <w:spacing w:after="0"/>
        <w:rPr>
          <w:sz w:val="20"/>
          <w:szCs w:val="20"/>
          <w:color w:val="auto"/>
        </w:rPr>
      </w:pPr>
      <w:r>
        <w:rPr>
          <w:rFonts w:ascii="Arial" w:cs="Arial" w:eastAsia="Arial" w:hAnsi="Arial"/>
          <w:sz w:val="12"/>
          <w:szCs w:val="12"/>
          <w:color w:val="FFFFFF"/>
        </w:rPr>
        <w:t>Reports</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Other</w:t>
      </w:r>
    </w:p>
    <w:p>
      <w:pPr>
        <w:spacing w:after="0" w:line="2" w:lineRule="exact"/>
        <w:rPr>
          <w:sz w:val="20"/>
          <w:szCs w:val="20"/>
          <w:color w:val="auto"/>
        </w:rPr>
      </w:pPr>
    </w:p>
    <w:p>
      <w:pPr>
        <w:spacing w:after="0"/>
        <w:rPr>
          <w:sz w:val="20"/>
          <w:szCs w:val="20"/>
          <w:color w:val="auto"/>
        </w:rPr>
      </w:pPr>
      <w:r>
        <w:rPr>
          <w:rFonts w:ascii="Arial" w:cs="Arial" w:eastAsia="Arial" w:hAnsi="Arial"/>
          <w:sz w:val="12"/>
          <w:szCs w:val="12"/>
          <w:color w:val="FFFFFF"/>
        </w:rPr>
        <w:t>Information</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Appendix A</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FFFFFF"/>
        </w:rPr>
        <w:t>Appendix B</w:t>
      </w:r>
    </w:p>
    <w:p>
      <w:pPr>
        <w:spacing w:after="0" w:line="200" w:lineRule="exact"/>
        <w:rPr>
          <w:sz w:val="20"/>
          <w:szCs w:val="20"/>
          <w:color w:val="auto"/>
        </w:rPr>
      </w:pPr>
    </w:p>
    <w:p>
      <w:pPr>
        <w:sectPr>
          <w:pgSz w:w="11900" w:h="16838" w:orient="portrait"/>
          <w:cols w:equalWidth="0" w:num="2">
            <w:col w:w="8500" w:space="720"/>
            <w:col w:w="1580"/>
          </w:cols>
          <w:pgMar w:left="320" w:top="464" w:right="7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6380"/>
        <w:spacing w:after="0"/>
        <w:tabs>
          <w:tab w:leader="none" w:pos="8500" w:val="left"/>
          <w:tab w:leader="none" w:pos="9960" w:val="left"/>
        </w:tabs>
        <w:rPr>
          <w:sz w:val="20"/>
          <w:szCs w:val="20"/>
          <w:color w:val="auto"/>
        </w:rPr>
      </w:pPr>
      <w:r>
        <w:rPr>
          <w:rFonts w:ascii="Arial" w:cs="Arial" w:eastAsia="Arial" w:hAnsi="Arial"/>
          <w:sz w:val="15"/>
          <w:szCs w:val="15"/>
          <w:b w:val="1"/>
          <w:bCs w:val="1"/>
          <w:color w:val="002B5F"/>
        </w:rPr>
        <w:t xml:space="preserve">2026 Proxy Statement  </w:t>
      </w:r>
      <w:r>
        <w:rPr>
          <w:rFonts w:ascii="Arial" w:cs="Arial" w:eastAsia="Arial" w:hAnsi="Arial"/>
          <w:sz w:val="20"/>
          <w:szCs w:val="20"/>
          <w:color w:val="002B5F"/>
        </w:rPr>
        <w:t>|</w:t>
      </w:r>
      <w:r>
        <w:rPr>
          <w:rFonts w:ascii="Arial" w:cs="Arial" w:eastAsia="Arial" w:hAnsi="Arial"/>
          <w:sz w:val="15"/>
          <w:szCs w:val="15"/>
          <w:b w:val="1"/>
          <w:bCs w:val="1"/>
          <w:color w:val="002B5F"/>
        </w:rPr>
        <w:t xml:space="preserve">  81</w:t>
      </w:r>
      <w:r>
        <w:rPr>
          <w:sz w:val="20"/>
          <w:szCs w:val="20"/>
          <w:color w:val="auto"/>
        </w:rPr>
        <w:tab/>
      </w:r>
      <w:r>
        <w:rPr>
          <w:rFonts w:ascii="Arial" w:cs="Arial" w:eastAsia="Arial" w:hAnsi="Arial"/>
          <w:sz w:val="17"/>
          <w:szCs w:val="17"/>
          <w:color w:val="auto"/>
        </w:rPr>
        <w:t xml:space="preserve">    </w:t>
      </w:r>
      <w:r>
        <w:rPr>
          <w:sz w:val="20"/>
          <w:szCs w:val="20"/>
          <w:color w:val="auto"/>
        </w:rPr>
        <w:tab/>
      </w:r>
      <w:r>
        <w:rPr>
          <w:rFonts w:ascii="Arial" w:cs="Arial" w:eastAsia="Arial" w:hAnsi="Arial"/>
          <w:sz w:val="17"/>
          <w:szCs w:val="17"/>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268605</wp:posOffset>
            </wp:positionH>
            <wp:positionV relativeFrom="paragraph">
              <wp:posOffset>-128905</wp:posOffset>
            </wp:positionV>
            <wp:extent cx="762000" cy="971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62000" cy="97155"/>
                    </a:xfrm>
                    <a:prstGeom prst="rect">
                      <a:avLst/>
                    </a:prstGeom>
                    <a:noFill/>
                  </pic:spPr>
                </pic:pic>
              </a:graphicData>
            </a:graphic>
          </wp:anchor>
        </w:drawing>
      </w:r>
    </w:p>
    <w:p>
      <w:pPr>
        <w:sectPr>
          <w:pgSz w:w="11900" w:h="16838" w:orient="portrait"/>
          <w:cols w:equalWidth="0" w:num="1">
            <w:col w:w="10800"/>
          </w:cols>
          <w:pgMar w:left="320" w:top="464" w:right="779" w:bottom="1440" w:gutter="0" w:footer="0" w:header="0"/>
          <w:type w:val="continuous"/>
        </w:sectPr>
      </w:pPr>
    </w:p>
    <w:bookmarkStart w:id="89" w:name="page90"/>
    <w:bookmarkEnd w:id="89"/>
    <w:p>
      <w:pPr>
        <w:spacing w:after="0"/>
        <w:rPr>
          <w:sz w:val="20"/>
          <w:szCs w:val="20"/>
          <w:color w:val="auto"/>
        </w:rPr>
      </w:pPr>
      <w:r>
        <w:rPr>
          <w:rFonts w:ascii="Times New Roman" w:cs="Times New Roman" w:eastAsia="Times New Roman" w:hAnsi="Times New Roman"/>
          <w:sz w:val="17"/>
          <w:szCs w:val="17"/>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268605</wp:posOffset>
            </wp:positionH>
            <wp:positionV relativeFrom="paragraph">
              <wp:posOffset>253365</wp:posOffset>
            </wp:positionV>
            <wp:extent cx="1183005" cy="745617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1183005" cy="7456170"/>
                    </a:xfrm>
                    <a:prstGeom prst="rect">
                      <a:avLst/>
                    </a:prstGeom>
                    <a:noFill/>
                  </pic:spPr>
                </pic:pic>
              </a:graphicData>
            </a:graphic>
          </wp:anchor>
        </w:drawing>
      </w:r>
    </w:p>
    <w:p>
      <w:pPr>
        <w:spacing w:after="0" w:line="200" w:lineRule="exact"/>
        <w:rPr>
          <w:sz w:val="20"/>
          <w:szCs w:val="20"/>
          <w:color w:val="auto"/>
        </w:rPr>
      </w:pPr>
    </w:p>
    <w:p>
      <w:pPr>
        <w:spacing w:after="0" w:line="304" w:lineRule="exact"/>
        <w:rPr>
          <w:sz w:val="20"/>
          <w:szCs w:val="20"/>
          <w:color w:val="auto"/>
        </w:rPr>
      </w:pPr>
    </w:p>
    <w:p>
      <w:pPr>
        <w:ind w:left="1120" w:right="460" w:hanging="672"/>
        <w:spacing w:after="0" w:line="382" w:lineRule="auto"/>
        <w:tabs>
          <w:tab w:leader="none" w:pos="610" w:val="left"/>
        </w:tabs>
        <w:numPr>
          <w:ilvl w:val="0"/>
          <w:numId w:val="126"/>
        </w:numPr>
        <w:rPr>
          <w:rFonts w:ascii="Arial" w:cs="Arial" w:eastAsia="Arial" w:hAnsi="Arial"/>
          <w:sz w:val="24"/>
          <w:szCs w:val="24"/>
          <w:color w:val="auto"/>
          <w:vertAlign w:val="subscript"/>
        </w:rPr>
      </w:pPr>
      <w:r>
        <w:rPr>
          <w:rFonts w:ascii="Arial" w:cs="Arial" w:eastAsia="Arial" w:hAnsi="Arial"/>
          <w:sz w:val="24"/>
          <w:szCs w:val="24"/>
          <w:color w:val="000000"/>
          <w:vertAlign w:val="subscript"/>
        </w:rPr>
        <w:t xml:space="preserve">     </w:t>
      </w:r>
      <w:r>
        <w:rPr>
          <w:rFonts w:ascii="Arial" w:cs="Arial" w:eastAsia="Arial" w:hAnsi="Arial"/>
          <w:sz w:val="10"/>
          <w:szCs w:val="10"/>
          <w:color w:val="FFFFFF"/>
        </w:rPr>
        <w:t xml:space="preserve"> General Information</w:t>
      </w:r>
    </w:p>
    <w:p>
      <w:pPr>
        <w:spacing w:after="0" w:line="1" w:lineRule="exact"/>
        <w:rPr>
          <w:sz w:val="20"/>
          <w:szCs w:val="20"/>
          <w:color w:val="auto"/>
        </w:rPr>
      </w:pPr>
    </w:p>
    <w:p>
      <w:pPr>
        <w:ind w:left="1120"/>
        <w:spacing w:after="0"/>
        <w:rPr>
          <w:sz w:val="20"/>
          <w:szCs w:val="20"/>
          <w:color w:val="auto"/>
        </w:rPr>
      </w:pPr>
      <w:r>
        <w:rPr>
          <w:rFonts w:ascii="Arial" w:cs="Arial" w:eastAsia="Arial" w:hAnsi="Arial"/>
          <w:sz w:val="11"/>
          <w:szCs w:val="11"/>
          <w:color w:val="FFFFFF"/>
        </w:rPr>
        <w:t>General Information</w:t>
      </w:r>
    </w:p>
    <w:p>
      <w:pPr>
        <w:spacing w:after="0" w:line="3"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About Corporate</w:t>
      </w:r>
    </w:p>
    <w:p>
      <w:pPr>
        <w:ind w:left="1120"/>
        <w:spacing w:after="0" w:line="221" w:lineRule="auto"/>
        <w:rPr>
          <w:sz w:val="20"/>
          <w:szCs w:val="20"/>
          <w:color w:val="auto"/>
        </w:rPr>
      </w:pPr>
      <w:r>
        <w:rPr>
          <w:rFonts w:ascii="Arial" w:cs="Arial" w:eastAsia="Arial" w:hAnsi="Arial"/>
          <w:sz w:val="12"/>
          <w:szCs w:val="12"/>
          <w:color w:val="FFFFFF"/>
        </w:rPr>
        <w:t>Governance</w:t>
      </w:r>
    </w:p>
    <w:p>
      <w:pPr>
        <w:ind w:left="1120"/>
        <w:spacing w:after="0" w:line="222" w:lineRule="auto"/>
        <w:rPr>
          <w:sz w:val="20"/>
          <w:szCs w:val="20"/>
          <w:color w:val="auto"/>
        </w:rPr>
      </w:pPr>
      <w:r>
        <w:rPr>
          <w:rFonts w:ascii="Arial" w:cs="Arial" w:eastAsia="Arial" w:hAnsi="Arial"/>
          <w:sz w:val="12"/>
          <w:szCs w:val="12"/>
          <w:color w:val="FFFFFF"/>
        </w:rPr>
        <w:t>and the Board of</w:t>
      </w:r>
    </w:p>
    <w:p>
      <w:pPr>
        <w:spacing w:after="0" w:line="1"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Directors</w:t>
      </w:r>
    </w:p>
    <w:p>
      <w:pPr>
        <w:spacing w:after="0" w:line="144" w:lineRule="exact"/>
        <w:rPr>
          <w:sz w:val="20"/>
          <w:szCs w:val="20"/>
          <w:color w:val="auto"/>
        </w:rPr>
      </w:pPr>
    </w:p>
    <w:p>
      <w:pPr>
        <w:jc w:val="center"/>
        <w:ind w:left="620"/>
        <w:spacing w:after="0"/>
        <w:rPr>
          <w:sz w:val="20"/>
          <w:szCs w:val="20"/>
          <w:color w:val="auto"/>
        </w:rPr>
      </w:pPr>
      <w:r>
        <w:rPr>
          <w:rFonts w:ascii="Arial" w:cs="Arial" w:eastAsia="Arial" w:hAnsi="Arial"/>
          <w:sz w:val="12"/>
          <w:szCs w:val="12"/>
          <w:color w:val="FFFFFF"/>
        </w:rPr>
        <w:t>Proposal 1</w:t>
      </w:r>
    </w:p>
    <w:p>
      <w:pPr>
        <w:spacing w:after="0" w:line="156"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Information</w:t>
      </w:r>
    </w:p>
    <w:p>
      <w:pPr>
        <w:ind w:left="1120"/>
        <w:spacing w:after="0" w:line="224" w:lineRule="auto"/>
        <w:rPr>
          <w:sz w:val="20"/>
          <w:szCs w:val="20"/>
          <w:color w:val="auto"/>
        </w:rPr>
      </w:pPr>
      <w:r>
        <w:rPr>
          <w:rFonts w:ascii="Arial" w:cs="Arial" w:eastAsia="Arial" w:hAnsi="Arial"/>
          <w:sz w:val="12"/>
          <w:szCs w:val="12"/>
          <w:color w:val="FFFFFF"/>
        </w:rPr>
        <w:t>Regarding Board</w:t>
      </w:r>
    </w:p>
    <w:p>
      <w:pPr>
        <w:ind w:left="1120"/>
        <w:spacing w:after="0" w:line="222" w:lineRule="auto"/>
        <w:rPr>
          <w:sz w:val="20"/>
          <w:szCs w:val="20"/>
          <w:color w:val="auto"/>
        </w:rPr>
      </w:pPr>
      <w:r>
        <w:rPr>
          <w:rFonts w:ascii="Arial" w:cs="Arial" w:eastAsia="Arial" w:hAnsi="Arial"/>
          <w:sz w:val="12"/>
          <w:szCs w:val="12"/>
          <w:color w:val="FFFFFF"/>
        </w:rPr>
        <w:t>and Committee</w:t>
      </w:r>
    </w:p>
    <w:p>
      <w:pPr>
        <w:ind w:left="1120"/>
        <w:spacing w:after="0"/>
        <w:rPr>
          <w:sz w:val="20"/>
          <w:szCs w:val="20"/>
          <w:color w:val="auto"/>
        </w:rPr>
      </w:pPr>
      <w:r>
        <w:rPr>
          <w:rFonts w:ascii="Arial" w:cs="Arial" w:eastAsia="Arial" w:hAnsi="Arial"/>
          <w:sz w:val="12"/>
          <w:szCs w:val="12"/>
          <w:color w:val="FFFFFF"/>
        </w:rPr>
        <w:t>Structure</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Board of Directors</w:t>
      </w:r>
    </w:p>
    <w:p>
      <w:pPr>
        <w:spacing w:after="0" w:line="2"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Compensation</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Compensation</w:t>
      </w:r>
    </w:p>
    <w:p>
      <w:pPr>
        <w:ind w:left="1120"/>
        <w:spacing w:after="0" w:line="224" w:lineRule="auto"/>
        <w:rPr>
          <w:sz w:val="20"/>
          <w:szCs w:val="20"/>
          <w:color w:val="auto"/>
        </w:rPr>
      </w:pPr>
      <w:r>
        <w:rPr>
          <w:rFonts w:ascii="Arial" w:cs="Arial" w:eastAsia="Arial" w:hAnsi="Arial"/>
          <w:sz w:val="12"/>
          <w:szCs w:val="12"/>
          <w:color w:val="FFFFFF"/>
        </w:rPr>
        <w:t>Discussion and</w:t>
      </w:r>
    </w:p>
    <w:p>
      <w:pPr>
        <w:ind w:left="1120"/>
        <w:spacing w:after="0"/>
        <w:rPr>
          <w:sz w:val="20"/>
          <w:szCs w:val="20"/>
          <w:color w:val="auto"/>
        </w:rPr>
      </w:pPr>
      <w:r>
        <w:rPr>
          <w:rFonts w:ascii="Arial" w:cs="Arial" w:eastAsia="Arial" w:hAnsi="Arial"/>
          <w:sz w:val="12"/>
          <w:szCs w:val="12"/>
          <w:color w:val="FFFFFF"/>
        </w:rPr>
        <w:t>Analysis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Report of the</w:t>
      </w:r>
    </w:p>
    <w:p>
      <w:pPr>
        <w:ind w:left="1120"/>
        <w:spacing w:after="0" w:line="224" w:lineRule="auto"/>
        <w:rPr>
          <w:sz w:val="20"/>
          <w:szCs w:val="20"/>
          <w:color w:val="auto"/>
        </w:rPr>
      </w:pPr>
      <w:r>
        <w:rPr>
          <w:rFonts w:ascii="Arial" w:cs="Arial" w:eastAsia="Arial" w:hAnsi="Arial"/>
          <w:sz w:val="12"/>
          <w:szCs w:val="12"/>
          <w:color w:val="FFFFFF"/>
        </w:rPr>
        <w:t>Compensation</w:t>
      </w:r>
    </w:p>
    <w:p>
      <w:pPr>
        <w:ind w:left="1120"/>
        <w:spacing w:after="0" w:line="222" w:lineRule="auto"/>
        <w:rPr>
          <w:sz w:val="20"/>
          <w:szCs w:val="20"/>
          <w:color w:val="auto"/>
        </w:rPr>
      </w:pPr>
      <w:r>
        <w:rPr>
          <w:rFonts w:ascii="Arial" w:cs="Arial" w:eastAsia="Arial" w:hAnsi="Arial"/>
          <w:sz w:val="12"/>
          <w:szCs w:val="12"/>
          <w:color w:val="FFFFFF"/>
        </w:rPr>
        <w:t>and Human</w:t>
      </w:r>
    </w:p>
    <w:p>
      <w:pPr>
        <w:ind w:left="1120"/>
        <w:spacing w:after="0" w:line="222" w:lineRule="auto"/>
        <w:rPr>
          <w:sz w:val="20"/>
          <w:szCs w:val="20"/>
          <w:color w:val="auto"/>
        </w:rPr>
      </w:pPr>
      <w:r>
        <w:rPr>
          <w:rFonts w:ascii="Arial" w:cs="Arial" w:eastAsia="Arial" w:hAnsi="Arial"/>
          <w:sz w:val="12"/>
          <w:szCs w:val="12"/>
          <w:color w:val="FFFFFF"/>
        </w:rPr>
        <w:t>Resources</w:t>
      </w:r>
    </w:p>
    <w:p>
      <w:pPr>
        <w:ind w:left="1120"/>
        <w:spacing w:after="0" w:line="222" w:lineRule="auto"/>
        <w:rPr>
          <w:sz w:val="20"/>
          <w:szCs w:val="20"/>
          <w:color w:val="auto"/>
        </w:rPr>
      </w:pPr>
      <w:r>
        <w:rPr>
          <w:rFonts w:ascii="Arial" w:cs="Arial" w:eastAsia="Arial" w:hAnsi="Arial"/>
          <w:sz w:val="12"/>
          <w:szCs w:val="12"/>
          <w:color w:val="FFFFFF"/>
        </w:rPr>
        <w:t>Committee of the</w:t>
      </w:r>
    </w:p>
    <w:p>
      <w:pPr>
        <w:ind w:left="1120"/>
        <w:spacing w:after="0"/>
        <w:rPr>
          <w:sz w:val="20"/>
          <w:szCs w:val="20"/>
          <w:color w:val="auto"/>
        </w:rPr>
      </w:pPr>
      <w:r>
        <w:rPr>
          <w:rFonts w:ascii="Arial" w:cs="Arial" w:eastAsia="Arial" w:hAnsi="Arial"/>
          <w:sz w:val="12"/>
          <w:szCs w:val="12"/>
          <w:color w:val="FFFFFF"/>
        </w:rPr>
        <w:t>Board of Directors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Compensation of</w:t>
      </w:r>
    </w:p>
    <w:p>
      <w:pPr>
        <w:ind w:left="1120"/>
        <w:spacing w:after="0" w:line="224" w:lineRule="auto"/>
        <w:rPr>
          <w:sz w:val="20"/>
          <w:szCs w:val="20"/>
          <w:color w:val="auto"/>
        </w:rPr>
      </w:pPr>
      <w:r>
        <w:rPr>
          <w:rFonts w:ascii="Arial" w:cs="Arial" w:eastAsia="Arial" w:hAnsi="Arial"/>
          <w:sz w:val="12"/>
          <w:szCs w:val="12"/>
          <w:color w:val="FFFFFF"/>
        </w:rPr>
        <w:t>Named Executive</w:t>
      </w:r>
    </w:p>
    <w:p>
      <w:pPr>
        <w:ind w:left="1120"/>
        <w:spacing w:after="0"/>
        <w:rPr>
          <w:sz w:val="20"/>
          <w:szCs w:val="20"/>
          <w:color w:val="auto"/>
        </w:rPr>
      </w:pPr>
      <w:r>
        <w:rPr>
          <w:rFonts w:ascii="Arial" w:cs="Arial" w:eastAsia="Arial" w:hAnsi="Arial"/>
          <w:sz w:val="12"/>
          <w:szCs w:val="12"/>
          <w:color w:val="FFFFFF"/>
        </w:rPr>
        <w:t>Officers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Pay Versus</w:t>
      </w:r>
    </w:p>
    <w:p>
      <w:pPr>
        <w:ind w:left="1120"/>
        <w:spacing w:after="0" w:line="224" w:lineRule="auto"/>
        <w:rPr>
          <w:sz w:val="20"/>
          <w:szCs w:val="20"/>
          <w:color w:val="auto"/>
        </w:rPr>
      </w:pPr>
      <w:r>
        <w:rPr>
          <w:rFonts w:ascii="Arial" w:cs="Arial" w:eastAsia="Arial" w:hAnsi="Arial"/>
          <w:sz w:val="12"/>
          <w:szCs w:val="12"/>
          <w:color w:val="FFFFFF"/>
        </w:rPr>
        <w:t>Performance</w:t>
      </w:r>
    </w:p>
    <w:p>
      <w:pPr>
        <w:ind w:left="1120"/>
        <w:spacing w:after="0"/>
        <w:rPr>
          <w:sz w:val="20"/>
          <w:szCs w:val="20"/>
          <w:color w:val="auto"/>
        </w:rPr>
      </w:pPr>
      <w:r>
        <w:rPr>
          <w:rFonts w:ascii="Arial" w:cs="Arial" w:eastAsia="Arial" w:hAnsi="Arial"/>
          <w:sz w:val="12"/>
          <w:szCs w:val="12"/>
          <w:color w:val="FFFFFF"/>
        </w:rPr>
        <w:t>Disclosure</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Security</w:t>
      </w:r>
    </w:p>
    <w:p>
      <w:pPr>
        <w:ind w:left="1120"/>
        <w:spacing w:after="0" w:line="224" w:lineRule="auto"/>
        <w:rPr>
          <w:sz w:val="20"/>
          <w:szCs w:val="20"/>
          <w:color w:val="auto"/>
        </w:rPr>
      </w:pPr>
      <w:r>
        <w:rPr>
          <w:rFonts w:ascii="Arial" w:cs="Arial" w:eastAsia="Arial" w:hAnsi="Arial"/>
          <w:sz w:val="12"/>
          <w:szCs w:val="12"/>
          <w:color w:val="FFFFFF"/>
        </w:rPr>
        <w:t>Ownership of</w:t>
      </w:r>
    </w:p>
    <w:p>
      <w:pPr>
        <w:ind w:left="1120"/>
        <w:spacing w:after="0" w:line="222" w:lineRule="auto"/>
        <w:rPr>
          <w:sz w:val="20"/>
          <w:szCs w:val="20"/>
          <w:color w:val="auto"/>
        </w:rPr>
      </w:pPr>
      <w:r>
        <w:rPr>
          <w:rFonts w:ascii="Arial" w:cs="Arial" w:eastAsia="Arial" w:hAnsi="Arial"/>
          <w:sz w:val="12"/>
          <w:szCs w:val="12"/>
          <w:color w:val="FFFFFF"/>
        </w:rPr>
        <w:t>Certain Beneficial</w:t>
      </w:r>
    </w:p>
    <w:p>
      <w:pPr>
        <w:ind w:left="1120"/>
        <w:spacing w:after="0" w:line="222" w:lineRule="auto"/>
        <w:rPr>
          <w:sz w:val="20"/>
          <w:szCs w:val="20"/>
          <w:color w:val="auto"/>
        </w:rPr>
      </w:pPr>
      <w:r>
        <w:rPr>
          <w:rFonts w:ascii="Arial" w:cs="Arial" w:eastAsia="Arial" w:hAnsi="Arial"/>
          <w:sz w:val="12"/>
          <w:szCs w:val="12"/>
          <w:color w:val="FFFFFF"/>
        </w:rPr>
        <w:t>Owners and</w:t>
      </w:r>
    </w:p>
    <w:p>
      <w:pPr>
        <w:ind w:left="1120"/>
        <w:spacing w:after="0"/>
        <w:rPr>
          <w:sz w:val="20"/>
          <w:szCs w:val="20"/>
          <w:color w:val="auto"/>
        </w:rPr>
      </w:pPr>
      <w:r>
        <w:rPr>
          <w:rFonts w:ascii="Arial" w:cs="Arial" w:eastAsia="Arial" w:hAnsi="Arial"/>
          <w:sz w:val="12"/>
          <w:szCs w:val="12"/>
          <w:color w:val="FFFFFF"/>
        </w:rPr>
        <w:t>Management</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Certain</w:t>
      </w:r>
    </w:p>
    <w:p>
      <w:pPr>
        <w:ind w:left="1120"/>
        <w:spacing w:after="0" w:line="224" w:lineRule="auto"/>
        <w:rPr>
          <w:sz w:val="20"/>
          <w:szCs w:val="20"/>
          <w:color w:val="auto"/>
        </w:rPr>
      </w:pPr>
      <w:r>
        <w:rPr>
          <w:rFonts w:ascii="Arial" w:cs="Arial" w:eastAsia="Arial" w:hAnsi="Arial"/>
          <w:sz w:val="12"/>
          <w:szCs w:val="12"/>
          <w:color w:val="FFFFFF"/>
        </w:rPr>
        <w:t>Relationships and</w:t>
      </w:r>
    </w:p>
    <w:p>
      <w:pPr>
        <w:ind w:left="1120"/>
        <w:spacing w:after="0" w:line="222" w:lineRule="auto"/>
        <w:rPr>
          <w:sz w:val="20"/>
          <w:szCs w:val="20"/>
          <w:color w:val="auto"/>
        </w:rPr>
      </w:pPr>
      <w:r>
        <w:rPr>
          <w:rFonts w:ascii="Arial" w:cs="Arial" w:eastAsia="Arial" w:hAnsi="Arial"/>
          <w:sz w:val="12"/>
          <w:szCs w:val="12"/>
          <w:color w:val="FFFFFF"/>
        </w:rPr>
        <w:t>Related Party</w:t>
      </w:r>
    </w:p>
    <w:p>
      <w:pPr>
        <w:ind w:left="1120"/>
        <w:spacing w:after="0"/>
        <w:rPr>
          <w:sz w:val="20"/>
          <w:szCs w:val="20"/>
          <w:color w:val="auto"/>
        </w:rPr>
      </w:pPr>
      <w:r>
        <w:rPr>
          <w:rFonts w:ascii="Arial" w:cs="Arial" w:eastAsia="Arial" w:hAnsi="Arial"/>
          <w:sz w:val="12"/>
          <w:szCs w:val="12"/>
          <w:color w:val="FFFFFF"/>
        </w:rPr>
        <w:t>Transactions</w:t>
      </w:r>
    </w:p>
    <w:p>
      <w:pPr>
        <w:spacing w:after="0" w:line="141" w:lineRule="exact"/>
        <w:rPr>
          <w:sz w:val="20"/>
          <w:szCs w:val="20"/>
          <w:color w:val="auto"/>
        </w:rPr>
      </w:pPr>
    </w:p>
    <w:p>
      <w:pPr>
        <w:ind w:left="980"/>
        <w:spacing w:after="0"/>
        <w:rPr>
          <w:sz w:val="20"/>
          <w:szCs w:val="20"/>
          <w:color w:val="auto"/>
        </w:rPr>
      </w:pPr>
      <w:r>
        <w:rPr>
          <w:sz w:val="1"/>
          <w:szCs w:val="1"/>
          <w:color w:val="auto"/>
        </w:rPr>
        <w:drawing>
          <wp:inline distT="0" distB="0" distL="0" distR="0">
            <wp:extent cx="56515" cy="88900"/>
            <wp:effectExtent l="0" t="0" r="0" b="0"/>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56515" cy="88900"/>
                    </a:xfrm>
                    <a:prstGeom prst="rect">
                      <a:avLst/>
                    </a:prstGeom>
                    <a:noFill/>
                    <a:ln>
                      <a:noFill/>
                    </a:ln>
                  </pic:spPr>
                </pic:pic>
              </a:graphicData>
            </a:graphic>
          </wp:inline>
        </w:drawing>
      </w:r>
      <w:r>
        <w:rPr>
          <w:rFonts w:ascii="Arial" w:cs="Arial" w:eastAsia="Arial" w:hAnsi="Arial"/>
          <w:sz w:val="12"/>
          <w:szCs w:val="12"/>
          <w:b w:val="1"/>
          <w:bCs w:val="1"/>
          <w:color w:val="FFFFFF"/>
        </w:rPr>
        <w:t xml:space="preserve"> Proposal 2</w:t>
      </w:r>
    </w:p>
    <w:p>
      <w:pPr>
        <w:spacing w:after="0" w:line="130"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Report of the</w:t>
      </w:r>
    </w:p>
    <w:p>
      <w:pPr>
        <w:ind w:left="1120"/>
        <w:spacing w:after="0" w:line="224" w:lineRule="auto"/>
        <w:rPr>
          <w:sz w:val="20"/>
          <w:szCs w:val="20"/>
          <w:color w:val="auto"/>
        </w:rPr>
      </w:pPr>
      <w:r>
        <w:rPr>
          <w:rFonts w:ascii="Arial" w:cs="Arial" w:eastAsia="Arial" w:hAnsi="Arial"/>
          <w:sz w:val="12"/>
          <w:szCs w:val="12"/>
          <w:color w:val="FFFFFF"/>
        </w:rPr>
        <w:t>Audit and Risk</w:t>
      </w:r>
    </w:p>
    <w:p>
      <w:pPr>
        <w:ind w:left="1120"/>
        <w:spacing w:after="0" w:line="222" w:lineRule="auto"/>
        <w:rPr>
          <w:sz w:val="20"/>
          <w:szCs w:val="20"/>
          <w:color w:val="auto"/>
        </w:rPr>
      </w:pPr>
      <w:r>
        <w:rPr>
          <w:rFonts w:ascii="Arial" w:cs="Arial" w:eastAsia="Arial" w:hAnsi="Arial"/>
          <w:sz w:val="12"/>
          <w:szCs w:val="12"/>
          <w:color w:val="FFFFFF"/>
        </w:rPr>
        <w:t>Committee of the</w:t>
      </w:r>
    </w:p>
    <w:p>
      <w:pPr>
        <w:ind w:left="1120"/>
        <w:spacing w:after="0"/>
        <w:rPr>
          <w:sz w:val="20"/>
          <w:szCs w:val="20"/>
          <w:color w:val="auto"/>
        </w:rPr>
      </w:pPr>
      <w:r>
        <w:rPr>
          <w:rFonts w:ascii="Arial" w:cs="Arial" w:eastAsia="Arial" w:hAnsi="Arial"/>
          <w:sz w:val="12"/>
          <w:szCs w:val="12"/>
          <w:color w:val="FFFFFF"/>
        </w:rPr>
        <w:t>Board of Directors</w:t>
      </w:r>
    </w:p>
    <w:p>
      <w:pPr>
        <w:spacing w:after="0" w:line="144" w:lineRule="exact"/>
        <w:rPr>
          <w:sz w:val="20"/>
          <w:szCs w:val="20"/>
          <w:color w:val="auto"/>
        </w:rPr>
      </w:pPr>
    </w:p>
    <w:p>
      <w:pPr>
        <w:jc w:val="center"/>
        <w:ind w:left="620"/>
        <w:spacing w:after="0"/>
        <w:rPr>
          <w:sz w:val="20"/>
          <w:szCs w:val="20"/>
          <w:color w:val="auto"/>
        </w:rPr>
      </w:pPr>
      <w:r>
        <w:rPr>
          <w:rFonts w:ascii="Arial" w:cs="Arial" w:eastAsia="Arial" w:hAnsi="Arial"/>
          <w:sz w:val="12"/>
          <w:szCs w:val="12"/>
          <w:color w:val="FFFFFF"/>
        </w:rPr>
        <w:t>Proposal 3</w:t>
      </w:r>
    </w:p>
    <w:p>
      <w:pPr>
        <w:spacing w:after="0" w:line="156" w:lineRule="exact"/>
        <w:rPr>
          <w:sz w:val="20"/>
          <w:szCs w:val="20"/>
          <w:color w:val="auto"/>
        </w:rPr>
      </w:pPr>
    </w:p>
    <w:p>
      <w:pPr>
        <w:jc w:val="center"/>
        <w:ind w:left="620"/>
        <w:spacing w:after="0"/>
        <w:rPr>
          <w:sz w:val="20"/>
          <w:szCs w:val="20"/>
          <w:color w:val="auto"/>
        </w:rPr>
      </w:pPr>
      <w:r>
        <w:rPr>
          <w:rFonts w:ascii="Arial" w:cs="Arial" w:eastAsia="Arial" w:hAnsi="Arial"/>
          <w:sz w:val="12"/>
          <w:szCs w:val="12"/>
          <w:color w:val="FFFFFF"/>
        </w:rPr>
        <w:t>Proposal 4</w:t>
      </w:r>
    </w:p>
    <w:p>
      <w:pPr>
        <w:spacing w:after="0" w:line="156" w:lineRule="exact"/>
        <w:rPr>
          <w:sz w:val="20"/>
          <w:szCs w:val="20"/>
          <w:color w:val="auto"/>
        </w:rPr>
      </w:pPr>
    </w:p>
    <w:p>
      <w:pPr>
        <w:jc w:val="center"/>
        <w:ind w:left="620"/>
        <w:spacing w:after="0"/>
        <w:rPr>
          <w:sz w:val="20"/>
          <w:szCs w:val="20"/>
          <w:color w:val="auto"/>
        </w:rPr>
      </w:pPr>
      <w:r>
        <w:rPr>
          <w:rFonts w:ascii="Arial" w:cs="Arial" w:eastAsia="Arial" w:hAnsi="Arial"/>
          <w:sz w:val="12"/>
          <w:szCs w:val="12"/>
          <w:color w:val="FFFFFF"/>
        </w:rPr>
        <w:t>Proposal 5</w:t>
      </w:r>
    </w:p>
    <w:p>
      <w:pPr>
        <w:spacing w:after="0" w:line="156"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Proposal 6</w:t>
      </w:r>
    </w:p>
    <w:p>
      <w:pPr>
        <w:spacing w:after="0" w:line="156"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Stockholder</w:t>
      </w:r>
    </w:p>
    <w:p>
      <w:pPr>
        <w:ind w:left="1120"/>
        <w:spacing w:after="0" w:line="224" w:lineRule="auto"/>
        <w:rPr>
          <w:sz w:val="20"/>
          <w:szCs w:val="20"/>
          <w:color w:val="auto"/>
        </w:rPr>
      </w:pPr>
      <w:r>
        <w:rPr>
          <w:rFonts w:ascii="Arial" w:cs="Arial" w:eastAsia="Arial" w:hAnsi="Arial"/>
          <w:sz w:val="12"/>
          <w:szCs w:val="12"/>
          <w:color w:val="FFFFFF"/>
        </w:rPr>
        <w:t>Proposals and</w:t>
      </w:r>
    </w:p>
    <w:p>
      <w:pPr>
        <w:ind w:left="1120"/>
        <w:spacing w:after="0"/>
        <w:rPr>
          <w:sz w:val="20"/>
          <w:szCs w:val="20"/>
          <w:color w:val="auto"/>
        </w:rPr>
      </w:pPr>
      <w:r>
        <w:rPr>
          <w:rFonts w:ascii="Arial" w:cs="Arial" w:eastAsia="Arial" w:hAnsi="Arial"/>
          <w:sz w:val="12"/>
          <w:szCs w:val="12"/>
          <w:color w:val="FFFFFF"/>
        </w:rPr>
        <w:t>Other Matters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Delinquent</w:t>
      </w:r>
    </w:p>
    <w:p>
      <w:pPr>
        <w:ind w:left="1120"/>
        <w:spacing w:after="0" w:line="224" w:lineRule="auto"/>
        <w:rPr>
          <w:sz w:val="20"/>
          <w:szCs w:val="20"/>
          <w:color w:val="auto"/>
        </w:rPr>
      </w:pPr>
      <w:r>
        <w:rPr>
          <w:rFonts w:ascii="Arial" w:cs="Arial" w:eastAsia="Arial" w:hAnsi="Arial"/>
          <w:sz w:val="12"/>
          <w:szCs w:val="12"/>
          <w:color w:val="FFFFFF"/>
        </w:rPr>
        <w:t>Section 16(a)</w:t>
      </w:r>
    </w:p>
    <w:p>
      <w:pPr>
        <w:ind w:left="1120"/>
        <w:spacing w:after="0"/>
        <w:rPr>
          <w:sz w:val="20"/>
          <w:szCs w:val="20"/>
          <w:color w:val="auto"/>
        </w:rPr>
      </w:pPr>
      <w:r>
        <w:rPr>
          <w:rFonts w:ascii="Arial" w:cs="Arial" w:eastAsia="Arial" w:hAnsi="Arial"/>
          <w:sz w:val="12"/>
          <w:szCs w:val="12"/>
          <w:color w:val="FFFFFF"/>
        </w:rPr>
        <w:t>Reports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Other</w:t>
      </w:r>
    </w:p>
    <w:p>
      <w:pPr>
        <w:spacing w:after="0" w:line="2"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Information</w:t>
      </w:r>
    </w:p>
    <w:p>
      <w:pPr>
        <w:spacing w:after="0" w:line="144" w:lineRule="exact"/>
        <w:rPr>
          <w:sz w:val="20"/>
          <w:szCs w:val="20"/>
          <w:color w:val="auto"/>
        </w:rPr>
      </w:pPr>
    </w:p>
    <w:p>
      <w:pPr>
        <w:jc w:val="center"/>
        <w:ind w:left="660"/>
        <w:spacing w:after="0"/>
        <w:rPr>
          <w:sz w:val="20"/>
          <w:szCs w:val="20"/>
          <w:color w:val="auto"/>
        </w:rPr>
      </w:pPr>
      <w:r>
        <w:rPr>
          <w:rFonts w:ascii="Arial" w:cs="Arial" w:eastAsia="Arial" w:hAnsi="Arial"/>
          <w:sz w:val="12"/>
          <w:szCs w:val="12"/>
          <w:color w:val="FFFFFF"/>
        </w:rPr>
        <w:t>Appendix A</w:t>
      </w:r>
    </w:p>
    <w:p>
      <w:pPr>
        <w:spacing w:after="0" w:line="156" w:lineRule="exact"/>
        <w:rPr>
          <w:sz w:val="20"/>
          <w:szCs w:val="20"/>
          <w:color w:val="auto"/>
        </w:rPr>
      </w:pPr>
    </w:p>
    <w:p>
      <w:pPr>
        <w:jc w:val="center"/>
        <w:ind w:left="660"/>
        <w:spacing w:after="0"/>
        <w:rPr>
          <w:sz w:val="20"/>
          <w:szCs w:val="20"/>
          <w:color w:val="auto"/>
        </w:rPr>
      </w:pPr>
      <w:r>
        <w:rPr>
          <w:rFonts w:ascii="Arial" w:cs="Arial" w:eastAsia="Arial" w:hAnsi="Arial"/>
          <w:sz w:val="12"/>
          <w:szCs w:val="12"/>
          <w:color w:val="FFFFFF"/>
        </w:rPr>
        <w:t>Appendix 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26"/>
          <w:szCs w:val="26"/>
          <w:color w:val="B95827"/>
        </w:rPr>
        <w:t>PROPOSAL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-1737995</wp:posOffset>
            </wp:positionH>
            <wp:positionV relativeFrom="paragraph">
              <wp:posOffset>-813435</wp:posOffset>
            </wp:positionV>
            <wp:extent cx="7181215" cy="5334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81215" cy="53340"/>
                    </a:xfrm>
                    <a:prstGeom prst="rect">
                      <a:avLst/>
                    </a:prstGeom>
                    <a:noFill/>
                  </pic:spPr>
                </pic:pic>
              </a:graphicData>
            </a:graphic>
          </wp:anchor>
        </w:drawing>
      </w:r>
    </w:p>
    <w:p>
      <w:pPr>
        <w:spacing w:after="0" w:line="18" w:lineRule="exact"/>
        <w:rPr>
          <w:sz w:val="20"/>
          <w:szCs w:val="20"/>
          <w:color w:val="auto"/>
        </w:rPr>
      </w:pPr>
    </w:p>
    <w:p>
      <w:pPr>
        <w:ind w:right="540"/>
        <w:spacing w:after="0" w:line="251" w:lineRule="auto"/>
        <w:rPr>
          <w:sz w:val="20"/>
          <w:szCs w:val="20"/>
          <w:color w:val="auto"/>
        </w:rPr>
      </w:pPr>
      <w:r>
        <w:rPr>
          <w:rFonts w:ascii="Times New Roman" w:cs="Times New Roman" w:eastAsia="Times New Roman" w:hAnsi="Times New Roman"/>
          <w:sz w:val="47"/>
          <w:szCs w:val="47"/>
          <w:b w:val="1"/>
          <w:bCs w:val="1"/>
          <w:color w:val="002B5F"/>
        </w:rPr>
        <w:t>Ratification of the Appointment of Deloitte &amp; Touche LLP by the Audit and Risk Committee of the Board of Directors as Our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1270</wp:posOffset>
            </wp:positionV>
            <wp:extent cx="5065395"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5065395" cy="8255"/>
                    </a:xfrm>
                    <a:prstGeom prst="rect">
                      <a:avLst/>
                    </a:prstGeom>
                    <a:noFill/>
                  </pic:spPr>
                </pic:pic>
              </a:graphicData>
            </a:graphic>
          </wp:anchor>
        </w:drawing>
      </w:r>
    </w:p>
    <w:p>
      <w:pPr>
        <w:spacing w:after="0" w:line="186" w:lineRule="exact"/>
        <w:rPr>
          <w:sz w:val="20"/>
          <w:szCs w:val="20"/>
          <w:color w:val="auto"/>
        </w:rPr>
      </w:pPr>
    </w:p>
    <w:p>
      <w:pPr>
        <w:ind w:right="140"/>
        <w:spacing w:after="0" w:line="261" w:lineRule="auto"/>
        <w:rPr>
          <w:sz w:val="20"/>
          <w:szCs w:val="20"/>
          <w:color w:val="auto"/>
        </w:rPr>
      </w:pPr>
      <w:r>
        <w:rPr>
          <w:rFonts w:ascii="Arial" w:cs="Arial" w:eastAsia="Arial" w:hAnsi="Arial"/>
          <w:sz w:val="15"/>
          <w:szCs w:val="15"/>
          <w:color w:val="auto"/>
        </w:rPr>
        <w:t>The Audit and Risk Committee has appointed Deloitte as our independent registered public accounting firm for the fiscal year ending December 31, 2026, and the Board has directed that management submit the appointment of the independent registered public accounting firm for ratification by stockholders at the Annual Meeting. Deloitte has served as our independent registered public accounting firm since 2001.</w:t>
      </w:r>
    </w:p>
    <w:p>
      <w:pPr>
        <w:spacing w:after="0" w:line="67" w:lineRule="exact"/>
        <w:rPr>
          <w:sz w:val="20"/>
          <w:szCs w:val="20"/>
          <w:color w:val="auto"/>
        </w:rPr>
      </w:pPr>
    </w:p>
    <w:p>
      <w:pPr>
        <w:ind w:right="20"/>
        <w:spacing w:after="0" w:line="256" w:lineRule="auto"/>
        <w:rPr>
          <w:sz w:val="20"/>
          <w:szCs w:val="20"/>
          <w:color w:val="auto"/>
        </w:rPr>
      </w:pPr>
      <w:r>
        <w:rPr>
          <w:rFonts w:ascii="Arial" w:cs="Arial" w:eastAsia="Arial" w:hAnsi="Arial"/>
          <w:sz w:val="15"/>
          <w:szCs w:val="15"/>
          <w:color w:val="auto"/>
        </w:rPr>
        <w:t>Although stockholder ratification of the selection of Deloitte is not required by our by laws or otherwise, upon the recommendation of the Audit and Risk Committee, the Board is submitting the appointment of Deloitte to the stockholders for ratification as a matter of good corporate practice. The Board and the Audit and Risk Committee believe they have undertaken appropriate steps with respect to oversight of Deloitte’s independence and that the continued retention of Deloitte to serve as our independent registered public accounting firm is in the best interests of the Company and its stockholders.</w:t>
      </w:r>
    </w:p>
    <w:p>
      <w:pPr>
        <w:spacing w:after="0" w:line="70" w:lineRule="exact"/>
        <w:rPr>
          <w:sz w:val="20"/>
          <w:szCs w:val="20"/>
          <w:color w:val="auto"/>
        </w:rPr>
      </w:pPr>
    </w:p>
    <w:p>
      <w:pPr>
        <w:ind w:right="120"/>
        <w:spacing w:after="0" w:line="261" w:lineRule="auto"/>
        <w:rPr>
          <w:sz w:val="20"/>
          <w:szCs w:val="20"/>
          <w:color w:val="auto"/>
        </w:rPr>
      </w:pPr>
      <w:r>
        <w:rPr>
          <w:rFonts w:ascii="Arial" w:cs="Arial" w:eastAsia="Arial" w:hAnsi="Arial"/>
          <w:sz w:val="15"/>
          <w:szCs w:val="15"/>
          <w:color w:val="auto"/>
        </w:rPr>
        <w:t>If the stockholders fail to ratify the appointment, the Audit and Risk Committee will reconsider the matter. Even if the appointment is ratified, the Audit and Risk Committee, in its discretion, may direct the appointment of a different independent registered public accounting firm at any time if it determines that such a change would be in the best interests of the Company and its stockholders.</w:t>
      </w:r>
    </w:p>
    <w:p>
      <w:pPr>
        <w:spacing w:after="0" w:line="67" w:lineRule="exact"/>
        <w:rPr>
          <w:sz w:val="20"/>
          <w:szCs w:val="20"/>
          <w:color w:val="auto"/>
        </w:rPr>
      </w:pPr>
    </w:p>
    <w:p>
      <w:pPr>
        <w:spacing w:after="0" w:line="287" w:lineRule="auto"/>
        <w:rPr>
          <w:sz w:val="20"/>
          <w:szCs w:val="20"/>
          <w:color w:val="auto"/>
        </w:rPr>
      </w:pPr>
      <w:r>
        <w:rPr>
          <w:rFonts w:ascii="Arial" w:cs="Arial" w:eastAsia="Arial" w:hAnsi="Arial"/>
          <w:sz w:val="15"/>
          <w:szCs w:val="15"/>
          <w:color w:val="auto"/>
        </w:rPr>
        <w:t>Representatives of Deloitte are expected to be present at the Annual Meeting and will have the opportunity to make a statement and respond to appropriate questions from stockholders.</w:t>
      </w:r>
    </w:p>
    <w:p>
      <w:pPr>
        <w:spacing w:after="0" w:line="144" w:lineRule="exact"/>
        <w:rPr>
          <w:sz w:val="20"/>
          <w:szCs w:val="20"/>
          <w:color w:val="auto"/>
        </w:rPr>
      </w:pPr>
    </w:p>
    <w:p>
      <w:pPr>
        <w:ind w:left="800"/>
        <w:spacing w:after="0"/>
        <w:rPr>
          <w:sz w:val="20"/>
          <w:szCs w:val="20"/>
          <w:color w:val="auto"/>
        </w:rPr>
      </w:pPr>
      <w:r>
        <w:rPr>
          <w:rFonts w:ascii="Arial" w:cs="Arial" w:eastAsia="Arial" w:hAnsi="Arial"/>
          <w:sz w:val="17"/>
          <w:szCs w:val="17"/>
          <w:b w:val="1"/>
          <w:bCs w:val="1"/>
          <w:color w:val="B95827"/>
        </w:rPr>
        <w:t>THE BOARD OF DIRECTORS RECOMMENDS A VOTE “FOR” THIS PROPOSAL.</w:t>
      </w:r>
    </w:p>
    <w:p>
      <w:pPr>
        <w:spacing w:after="0" w:line="4302" w:lineRule="exact"/>
        <w:rPr>
          <w:sz w:val="20"/>
          <w:szCs w:val="20"/>
          <w:color w:val="auto"/>
        </w:rPr>
      </w:pPr>
    </w:p>
    <w:p>
      <w:pPr>
        <w:sectPr>
          <w:pgSz w:w="11900" w:h="16838" w:orient="portrait"/>
          <w:cols w:equalWidth="0" w:num="2">
            <w:col w:w="2160" w:space="560"/>
            <w:col w:w="7940"/>
          </w:cols>
          <w:pgMar w:left="320" w:top="463" w:right="919" w:bottom="1440" w:gutter="0" w:footer="0" w:header="0"/>
        </w:sectPr>
      </w:pPr>
    </w:p>
    <w:p>
      <w:pPr>
        <w:spacing w:after="0" w:line="200" w:lineRule="exact"/>
        <w:rPr>
          <w:sz w:val="20"/>
          <w:szCs w:val="20"/>
          <w:color w:val="auto"/>
        </w:rPr>
      </w:pPr>
    </w:p>
    <w:p>
      <w:pPr>
        <w:spacing w:after="0" w:line="385" w:lineRule="exact"/>
        <w:rPr>
          <w:sz w:val="20"/>
          <w:szCs w:val="20"/>
          <w:color w:val="auto"/>
        </w:rPr>
      </w:pPr>
    </w:p>
    <w:p>
      <w:pPr>
        <w:ind w:left="420"/>
        <w:spacing w:after="0"/>
        <w:tabs>
          <w:tab w:leader="none" w:pos="2380" w:val="left"/>
          <w:tab w:leader="none" w:pos="2800" w:val="left"/>
        </w:tabs>
        <w:rPr>
          <w:sz w:val="20"/>
          <w:szCs w:val="20"/>
          <w:color w:val="auto"/>
        </w:rPr>
      </w:pPr>
      <w:r>
        <w:rPr>
          <w:rFonts w:ascii="Arial" w:cs="Arial" w:eastAsia="Arial" w:hAnsi="Arial"/>
          <w:sz w:val="30"/>
          <w:szCs w:val="30"/>
          <w:color w:val="000000"/>
          <w:vertAlign w:val="superscript"/>
        </w:rPr>
        <w:t xml:space="preserve">             </w:t>
      </w:r>
      <w:r>
        <w:rPr>
          <w:sz w:val="20"/>
          <w:szCs w:val="20"/>
          <w:color w:val="auto"/>
        </w:rPr>
        <w:tab/>
      </w:r>
      <w:r>
        <w:rPr>
          <w:rFonts w:ascii="Arial" w:cs="Arial" w:eastAsia="Arial" w:hAnsi="Arial"/>
          <w:sz w:val="31"/>
          <w:szCs w:val="31"/>
          <w:color w:val="auto"/>
          <w:vertAlign w:val="superscript"/>
        </w:rPr>
        <w:t xml:space="preserve">    </w:t>
      </w:r>
      <w:r>
        <w:rPr>
          <w:sz w:val="20"/>
          <w:szCs w:val="20"/>
          <w:color w:val="auto"/>
        </w:rPr>
        <w:tab/>
      </w:r>
      <w:r>
        <w:rPr>
          <w:rFonts w:ascii="Arial" w:cs="Arial" w:eastAsia="Arial" w:hAnsi="Arial"/>
          <w:sz w:val="15"/>
          <w:szCs w:val="15"/>
          <w:b w:val="1"/>
          <w:bCs w:val="1"/>
          <w:color w:val="002B5F"/>
        </w:rPr>
        <w:t xml:space="preserve">82  </w:t>
      </w:r>
      <w:r>
        <w:rPr>
          <w:rFonts w:ascii="Arial" w:cs="Arial" w:eastAsia="Arial" w:hAnsi="Arial"/>
          <w:sz w:val="20"/>
          <w:szCs w:val="20"/>
          <w:color w:val="002B5F"/>
        </w:rPr>
        <w:t>|</w:t>
      </w:r>
      <w:r>
        <w:rPr>
          <w:rFonts w:ascii="Arial" w:cs="Arial" w:eastAsia="Arial" w:hAnsi="Arial"/>
          <w:sz w:val="15"/>
          <w:szCs w:val="15"/>
          <w:b w:val="1"/>
          <w:bCs w:val="1"/>
          <w:color w:val="002B5F"/>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6111875</wp:posOffset>
            </wp:positionH>
            <wp:positionV relativeFrom="paragraph">
              <wp:posOffset>-208915</wp:posOffset>
            </wp:positionV>
            <wp:extent cx="769620" cy="971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69620" cy="97155"/>
                    </a:xfrm>
                    <a:prstGeom prst="rect">
                      <a:avLst/>
                    </a:prstGeom>
                    <a:noFill/>
                  </pic:spPr>
                </pic:pic>
              </a:graphicData>
            </a:graphic>
          </wp:anchor>
        </w:drawing>
      </w:r>
    </w:p>
    <w:p>
      <w:pPr>
        <w:sectPr>
          <w:pgSz w:w="11900" w:h="16838" w:orient="portrait"/>
          <w:cols w:equalWidth="0" w:num="1">
            <w:col w:w="10660"/>
          </w:cols>
          <w:pgMar w:left="320" w:top="463" w:right="919" w:bottom="1440" w:gutter="0" w:footer="0" w:header="0"/>
          <w:type w:val="continuous"/>
        </w:sectPr>
      </w:pPr>
    </w:p>
    <w:bookmarkStart w:id="90" w:name="page91"/>
    <w:bookmarkEnd w:id="9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5334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81215" cy="5334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5617845</wp:posOffset>
            </wp:positionH>
            <wp:positionV relativeFrom="paragraph">
              <wp:posOffset>253365</wp:posOffset>
            </wp:positionV>
            <wp:extent cx="1256030" cy="74720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1256030" cy="7472045"/>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ind w:left="540"/>
        <w:spacing w:after="0"/>
        <w:rPr>
          <w:sz w:val="20"/>
          <w:szCs w:val="20"/>
          <w:color w:val="auto"/>
        </w:rPr>
      </w:pPr>
      <w:r>
        <w:rPr>
          <w:rFonts w:ascii="Arial" w:cs="Arial" w:eastAsia="Arial" w:hAnsi="Arial"/>
          <w:sz w:val="24"/>
          <w:szCs w:val="24"/>
          <w:color w:val="B95827"/>
        </w:rPr>
        <w:t>Fees Paid to Independent Registered Public Accounting Firm</w:t>
      </w:r>
    </w:p>
    <w:tbl>
      <w:tblPr>
        <w:tblLayout w:type="fixed"/>
        <w:tblInd w:w="540" w:type="dxa"/>
        <w:tblCellMar>
          <w:top w:w="0" w:type="dxa"/>
          <w:left w:w="0" w:type="dxa"/>
          <w:bottom w:w="0" w:type="dxa"/>
          <w:right w:w="0" w:type="dxa"/>
        </w:tblCellMar>
      </w:tblPr>
      <w:tr>
        <w:trPr>
          <w:trHeight w:val="146"/>
        </w:trPr>
        <w:tc>
          <w:tcPr>
            <w:tcW w:w="5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ind w:left="460"/>
              <w:spacing w:after="0" w:line="146" w:lineRule="exact"/>
              <w:rPr>
                <w:sz w:val="20"/>
                <w:szCs w:val="20"/>
                <w:color w:val="auto"/>
              </w:rPr>
            </w:pPr>
            <w:r>
              <w:rPr>
                <w:rFonts w:ascii="Arial" w:cs="Arial" w:eastAsia="Arial" w:hAnsi="Arial"/>
                <w:sz w:val="15"/>
                <w:szCs w:val="15"/>
                <w:color w:val="auto"/>
              </w:rPr>
              <w:t> </w:t>
            </w:r>
          </w:p>
        </w:tc>
        <w:tc>
          <w:tcPr>
            <w:tcW w:w="1280" w:type="dxa"/>
            <w:vAlign w:val="bottom"/>
          </w:tcPr>
          <w:p>
            <w:pPr>
              <w:ind w:left="140"/>
              <w:spacing w:after="0"/>
              <w:rPr>
                <w:sz w:val="20"/>
                <w:szCs w:val="20"/>
                <w:color w:val="auto"/>
              </w:rPr>
            </w:pPr>
            <w:r>
              <w:rPr>
                <w:rFonts w:ascii="Arial" w:cs="Arial" w:eastAsia="Arial" w:hAnsi="Arial"/>
                <w:sz w:val="12"/>
                <w:szCs w:val="12"/>
                <w:color w:val="FFFFFF"/>
              </w:rPr>
              <w:t>General</w:t>
            </w:r>
          </w:p>
        </w:tc>
        <w:tc>
          <w:tcPr>
            <w:tcW w:w="440" w:type="dxa"/>
            <w:vAlign w:val="bottom"/>
          </w:tcPr>
          <w:p>
            <w:pPr>
              <w:ind w:left="80"/>
              <w:spacing w:after="0" w:line="146" w:lineRule="exact"/>
              <w:rPr>
                <w:sz w:val="20"/>
                <w:szCs w:val="20"/>
                <w:color w:val="auto"/>
              </w:rPr>
            </w:pPr>
            <w:r>
              <w:rPr>
                <w:rFonts w:ascii="Arial" w:cs="Arial" w:eastAsia="Arial" w:hAnsi="Arial"/>
                <w:sz w:val="15"/>
                <w:szCs w:val="15"/>
                <w:color w:val="auto"/>
              </w:rPr>
              <w:t xml:space="preserve">       </w:t>
            </w:r>
          </w:p>
        </w:tc>
        <w:tc>
          <w:tcPr>
            <w:tcW w:w="0" w:type="dxa"/>
            <w:vAlign w:val="bottom"/>
          </w:tcPr>
          <w:p>
            <w:pPr>
              <w:spacing w:after="0"/>
              <w:rPr>
                <w:sz w:val="1"/>
                <w:szCs w:val="1"/>
                <w:color w:val="auto"/>
              </w:rPr>
            </w:pPr>
          </w:p>
        </w:tc>
      </w:tr>
      <w:tr>
        <w:trPr>
          <w:trHeight w:val="154"/>
        </w:trPr>
        <w:tc>
          <w:tcPr>
            <w:tcW w:w="8540" w:type="dxa"/>
            <w:vAlign w:val="bottom"/>
            <w:gridSpan w:val="6"/>
          </w:tcPr>
          <w:p>
            <w:pPr>
              <w:spacing w:after="0" w:line="154" w:lineRule="exact"/>
              <w:rPr>
                <w:sz w:val="20"/>
                <w:szCs w:val="20"/>
                <w:color w:val="auto"/>
              </w:rPr>
            </w:pPr>
            <w:r>
              <w:rPr>
                <w:rFonts w:ascii="Arial" w:cs="Arial" w:eastAsia="Arial" w:hAnsi="Arial"/>
                <w:sz w:val="15"/>
                <w:szCs w:val="15"/>
                <w:color w:val="auto"/>
              </w:rPr>
              <w:t>Aggregate fees for professional services rendered by Deloitte as of and for the years ended December 31, 2025 and</w:t>
            </w:r>
          </w:p>
        </w:tc>
        <w:tc>
          <w:tcPr>
            <w:tcW w:w="1280" w:type="dxa"/>
            <w:vAlign w:val="bottom"/>
          </w:tcPr>
          <w:p>
            <w:pPr>
              <w:ind w:left="140"/>
              <w:spacing w:after="0"/>
              <w:rPr>
                <w:sz w:val="20"/>
                <w:szCs w:val="20"/>
                <w:color w:val="auto"/>
              </w:rPr>
            </w:pPr>
            <w:r>
              <w:rPr>
                <w:rFonts w:ascii="Arial" w:cs="Arial" w:eastAsia="Arial" w:hAnsi="Arial"/>
                <w:sz w:val="12"/>
                <w:szCs w:val="12"/>
                <w:color w:val="FFFFFF"/>
              </w:rPr>
              <w:t>Information</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1"/>
        </w:trPr>
        <w:tc>
          <w:tcPr>
            <w:tcW w:w="5940" w:type="dxa"/>
            <w:vAlign w:val="bottom"/>
          </w:tcPr>
          <w:p>
            <w:pPr>
              <w:spacing w:after="0"/>
              <w:rPr>
                <w:sz w:val="20"/>
                <w:szCs w:val="20"/>
                <w:color w:val="auto"/>
              </w:rPr>
            </w:pPr>
            <w:r>
              <w:rPr>
                <w:rFonts w:ascii="Arial" w:cs="Arial" w:eastAsia="Arial" w:hAnsi="Arial"/>
                <w:sz w:val="15"/>
                <w:szCs w:val="15"/>
                <w:color w:val="auto"/>
              </w:rPr>
              <w:t>2024 were as follows:</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80" w:type="dxa"/>
            <w:vAlign w:val="bottom"/>
            <w:vMerge w:val="restart"/>
          </w:tcPr>
          <w:p>
            <w:pPr>
              <w:ind w:left="140"/>
              <w:spacing w:after="0"/>
              <w:rPr>
                <w:sz w:val="20"/>
                <w:szCs w:val="20"/>
                <w:color w:val="auto"/>
              </w:rPr>
            </w:pPr>
            <w:r>
              <w:rPr>
                <w:rFonts w:ascii="Arial" w:cs="Arial" w:eastAsia="Arial" w:hAnsi="Arial"/>
                <w:sz w:val="12"/>
                <w:szCs w:val="12"/>
                <w:color w:val="FFFFFF"/>
              </w:rPr>
              <w:t>General Information</w:t>
            </w: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6"/>
        </w:trPr>
        <w:tc>
          <w:tcPr>
            <w:tcW w:w="59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6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59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80" w:type="dxa"/>
            <w:vAlign w:val="bottom"/>
          </w:tcPr>
          <w:p>
            <w:pPr>
              <w:ind w:left="140"/>
              <w:spacing w:after="0" w:line="128" w:lineRule="exact"/>
              <w:rPr>
                <w:sz w:val="20"/>
                <w:szCs w:val="20"/>
                <w:color w:val="auto"/>
              </w:rPr>
            </w:pPr>
            <w:r>
              <w:rPr>
                <w:rFonts w:ascii="Arial" w:cs="Arial" w:eastAsia="Arial" w:hAnsi="Arial"/>
                <w:sz w:val="12"/>
                <w:szCs w:val="12"/>
                <w:color w:val="FFFFFF"/>
              </w:rPr>
              <w:t>About Corporate</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5940" w:type="dxa"/>
            <w:vAlign w:val="bottom"/>
            <w:vMerge w:val="restart"/>
          </w:tcPr>
          <w:p>
            <w:pPr>
              <w:ind w:left="60"/>
              <w:spacing w:after="0"/>
              <w:rPr>
                <w:sz w:val="20"/>
                <w:szCs w:val="20"/>
                <w:color w:val="auto"/>
              </w:rPr>
            </w:pPr>
            <w:r>
              <w:rPr>
                <w:rFonts w:ascii="Arial" w:cs="Arial" w:eastAsia="Arial" w:hAnsi="Arial"/>
                <w:sz w:val="14"/>
                <w:szCs w:val="14"/>
                <w:b w:val="1"/>
                <w:bCs w:val="1"/>
                <w:color w:val="002B5F"/>
              </w:rPr>
              <w:t>Type of Services</w:t>
            </w:r>
          </w:p>
        </w:tc>
        <w:tc>
          <w:tcPr>
            <w:tcW w:w="102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002B5F"/>
              </w:rPr>
              <w:t>2025</w:t>
            </w:r>
          </w:p>
        </w:tc>
        <w:tc>
          <w:tcPr>
            <w:tcW w:w="840" w:type="dxa"/>
            <w:vAlign w:val="bottom"/>
            <w:vMerge w:val="restart"/>
          </w:tcPr>
          <w:p>
            <w:pPr>
              <w:jc w:val="right"/>
              <w:ind w:right="165"/>
              <w:spacing w:after="0"/>
              <w:rPr>
                <w:sz w:val="20"/>
                <w:szCs w:val="20"/>
                <w:color w:val="auto"/>
              </w:rPr>
            </w:pPr>
            <w:r>
              <w:rPr>
                <w:rFonts w:ascii="Arial" w:cs="Arial" w:eastAsia="Arial" w:hAnsi="Arial"/>
                <w:sz w:val="14"/>
                <w:szCs w:val="14"/>
                <w:b w:val="1"/>
                <w:bCs w:val="1"/>
                <w:color w:val="002B5F"/>
              </w:rPr>
              <w:t>2024</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80" w:type="dxa"/>
            <w:vAlign w:val="bottom"/>
          </w:tcPr>
          <w:p>
            <w:pPr>
              <w:ind w:left="140"/>
              <w:spacing w:after="0" w:line="128" w:lineRule="exact"/>
              <w:rPr>
                <w:sz w:val="20"/>
                <w:szCs w:val="20"/>
                <w:color w:val="auto"/>
              </w:rPr>
            </w:pPr>
            <w:r>
              <w:rPr>
                <w:rFonts w:ascii="Arial" w:cs="Arial" w:eastAsia="Arial" w:hAnsi="Arial"/>
                <w:sz w:val="12"/>
                <w:szCs w:val="12"/>
                <w:color w:val="FFFFFF"/>
              </w:rPr>
              <w:t>Governance</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3"/>
        </w:trPr>
        <w:tc>
          <w:tcPr>
            <w:tcW w:w="5940" w:type="dxa"/>
            <w:vAlign w:val="bottom"/>
            <w:tcBorders>
              <w:bottom w:val="single" w:sz="8" w:color="002B5F"/>
            </w:tcBorders>
            <w:vMerge w:val="continue"/>
          </w:tcPr>
          <w:p>
            <w:pPr>
              <w:spacing w:after="0"/>
              <w:rPr>
                <w:sz w:val="9"/>
                <w:szCs w:val="9"/>
                <w:color w:val="auto"/>
              </w:rPr>
            </w:pPr>
          </w:p>
        </w:tc>
        <w:tc>
          <w:tcPr>
            <w:tcW w:w="1020" w:type="dxa"/>
            <w:vAlign w:val="bottom"/>
            <w:tcBorders>
              <w:bottom w:val="single" w:sz="8" w:color="002B5F"/>
            </w:tcBorders>
            <w:gridSpan w:val="2"/>
            <w:vMerge w:val="continue"/>
          </w:tcPr>
          <w:p>
            <w:pPr>
              <w:spacing w:after="0"/>
              <w:rPr>
                <w:sz w:val="9"/>
                <w:szCs w:val="9"/>
                <w:color w:val="auto"/>
              </w:rPr>
            </w:pPr>
          </w:p>
        </w:tc>
        <w:tc>
          <w:tcPr>
            <w:tcW w:w="840" w:type="dxa"/>
            <w:vAlign w:val="bottom"/>
            <w:tcBorders>
              <w:bottom w:val="single" w:sz="8" w:color="002B5F"/>
            </w:tcBorders>
            <w:vMerge w:val="continue"/>
          </w:tcPr>
          <w:p>
            <w:pPr>
              <w:spacing w:after="0"/>
              <w:rPr>
                <w:sz w:val="9"/>
                <w:szCs w:val="9"/>
                <w:color w:val="auto"/>
              </w:rPr>
            </w:pPr>
          </w:p>
        </w:tc>
        <w:tc>
          <w:tcPr>
            <w:tcW w:w="80" w:type="dxa"/>
            <w:vAlign w:val="bottom"/>
            <w:tcBorders>
              <w:bottom w:val="single" w:sz="8" w:color="002B5F"/>
            </w:tcBorders>
          </w:tcPr>
          <w:p>
            <w:pPr>
              <w:spacing w:after="0"/>
              <w:rPr>
                <w:sz w:val="9"/>
                <w:szCs w:val="9"/>
                <w:color w:val="auto"/>
              </w:rPr>
            </w:pPr>
          </w:p>
        </w:tc>
        <w:tc>
          <w:tcPr>
            <w:tcW w:w="660" w:type="dxa"/>
            <w:vAlign w:val="bottom"/>
          </w:tcPr>
          <w:p>
            <w:pPr>
              <w:spacing w:after="0"/>
              <w:rPr>
                <w:sz w:val="9"/>
                <w:szCs w:val="9"/>
                <w:color w:val="auto"/>
              </w:rPr>
            </w:pPr>
          </w:p>
        </w:tc>
        <w:tc>
          <w:tcPr>
            <w:tcW w:w="1280" w:type="dxa"/>
            <w:vAlign w:val="bottom"/>
          </w:tcPr>
          <w:p>
            <w:pPr>
              <w:ind w:left="140"/>
              <w:spacing w:after="0" w:line="113" w:lineRule="exact"/>
              <w:rPr>
                <w:sz w:val="20"/>
                <w:szCs w:val="20"/>
                <w:color w:val="auto"/>
              </w:rPr>
            </w:pPr>
            <w:r>
              <w:rPr>
                <w:rFonts w:ascii="Arial" w:cs="Arial" w:eastAsia="Arial" w:hAnsi="Arial"/>
                <w:sz w:val="12"/>
                <w:szCs w:val="12"/>
                <w:color w:val="FFFFFF"/>
              </w:rPr>
              <w:t>and the Board of</w:t>
            </w: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5940" w:type="dxa"/>
            <w:vAlign w:val="bottom"/>
            <w:vMerge w:val="restart"/>
            <w:shd w:val="clear" w:color="auto" w:fill="F7F1EC"/>
          </w:tcPr>
          <w:p>
            <w:pPr>
              <w:ind w:left="60"/>
              <w:spacing w:after="0"/>
              <w:rPr>
                <w:sz w:val="20"/>
                <w:szCs w:val="20"/>
                <w:color w:val="auto"/>
              </w:rPr>
            </w:pPr>
            <w:r>
              <w:rPr>
                <w:rFonts w:ascii="Arial" w:cs="Arial" w:eastAsia="Arial" w:hAnsi="Arial"/>
                <w:sz w:val="15"/>
                <w:szCs w:val="15"/>
                <w:color w:val="auto"/>
              </w:rPr>
              <w:t>Audit Fees</w:t>
            </w:r>
            <w:r>
              <w:rPr>
                <w:rFonts w:ascii="Arial" w:cs="Arial" w:eastAsia="Arial" w:hAnsi="Arial"/>
                <w:sz w:val="22"/>
                <w:szCs w:val="22"/>
                <w:color w:val="auto"/>
                <w:vertAlign w:val="superscript"/>
              </w:rPr>
              <w:t>(1)</w:t>
            </w:r>
          </w:p>
        </w:tc>
        <w:tc>
          <w:tcPr>
            <w:tcW w:w="1020" w:type="dxa"/>
            <w:vAlign w:val="bottom"/>
            <w:gridSpan w:val="2"/>
            <w:vMerge w:val="restart"/>
            <w:shd w:val="clear" w:color="auto" w:fill="F7F1EC"/>
          </w:tcPr>
          <w:p>
            <w:pPr>
              <w:jc w:val="right"/>
              <w:ind w:right="80"/>
              <w:spacing w:after="0"/>
              <w:rPr>
                <w:sz w:val="20"/>
                <w:szCs w:val="20"/>
                <w:color w:val="auto"/>
              </w:rPr>
            </w:pPr>
            <w:r>
              <w:rPr>
                <w:rFonts w:ascii="Arial" w:cs="Arial" w:eastAsia="Arial" w:hAnsi="Arial"/>
                <w:sz w:val="15"/>
                <w:szCs w:val="15"/>
                <w:color w:val="auto"/>
              </w:rPr>
              <w:t>$5,600,000</w:t>
            </w:r>
          </w:p>
        </w:tc>
        <w:tc>
          <w:tcPr>
            <w:tcW w:w="920" w:type="dxa"/>
            <w:vAlign w:val="bottom"/>
            <w:gridSpan w:val="2"/>
            <w:vMerge w:val="restart"/>
            <w:shd w:val="clear" w:color="auto" w:fill="F7F1EC"/>
          </w:tcPr>
          <w:p>
            <w:pPr>
              <w:jc w:val="right"/>
              <w:ind w:right="80"/>
              <w:spacing w:after="0"/>
              <w:rPr>
                <w:sz w:val="20"/>
                <w:szCs w:val="20"/>
                <w:color w:val="auto"/>
              </w:rPr>
            </w:pPr>
            <w:r>
              <w:rPr>
                <w:rFonts w:ascii="Arial" w:cs="Arial" w:eastAsia="Arial" w:hAnsi="Arial"/>
                <w:sz w:val="15"/>
                <w:szCs w:val="15"/>
                <w:color w:val="auto"/>
              </w:rPr>
              <w:t>$5,018,000</w:t>
            </w:r>
          </w:p>
        </w:tc>
        <w:tc>
          <w:tcPr>
            <w:tcW w:w="660" w:type="dxa"/>
            <w:vAlign w:val="bottom"/>
          </w:tcPr>
          <w:p>
            <w:pPr>
              <w:spacing w:after="0"/>
              <w:rPr>
                <w:sz w:val="13"/>
                <w:szCs w:val="13"/>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Directors</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5940" w:type="dxa"/>
            <w:vAlign w:val="bottom"/>
            <w:vMerge w:val="continue"/>
            <w:shd w:val="clear" w:color="auto" w:fill="F7F1EC"/>
          </w:tcPr>
          <w:p>
            <w:pPr>
              <w:spacing w:after="0"/>
              <w:rPr>
                <w:sz w:val="11"/>
                <w:szCs w:val="11"/>
                <w:color w:val="auto"/>
              </w:rPr>
            </w:pPr>
          </w:p>
        </w:tc>
        <w:tc>
          <w:tcPr>
            <w:tcW w:w="1020" w:type="dxa"/>
            <w:vAlign w:val="bottom"/>
            <w:gridSpan w:val="2"/>
            <w:vMerge w:val="continue"/>
            <w:shd w:val="clear" w:color="auto" w:fill="F7F1EC"/>
          </w:tcPr>
          <w:p>
            <w:pPr>
              <w:spacing w:after="0"/>
              <w:rPr>
                <w:sz w:val="11"/>
                <w:szCs w:val="11"/>
                <w:color w:val="auto"/>
              </w:rPr>
            </w:pPr>
          </w:p>
        </w:tc>
        <w:tc>
          <w:tcPr>
            <w:tcW w:w="920" w:type="dxa"/>
            <w:vAlign w:val="bottom"/>
            <w:gridSpan w:val="2"/>
            <w:vMerge w:val="continue"/>
            <w:shd w:val="clear" w:color="auto" w:fill="F7F1EC"/>
          </w:tcPr>
          <w:p>
            <w:pPr>
              <w:spacing w:after="0"/>
              <w:rPr>
                <w:sz w:val="11"/>
                <w:szCs w:val="11"/>
                <w:color w:val="auto"/>
              </w:rPr>
            </w:pPr>
          </w:p>
        </w:tc>
        <w:tc>
          <w:tcPr>
            <w:tcW w:w="6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5940" w:type="dxa"/>
            <w:vAlign w:val="bottom"/>
            <w:vMerge w:val="restart"/>
          </w:tcPr>
          <w:p>
            <w:pPr>
              <w:ind w:left="60"/>
              <w:spacing w:after="0"/>
              <w:rPr>
                <w:sz w:val="20"/>
                <w:szCs w:val="20"/>
                <w:color w:val="auto"/>
              </w:rPr>
            </w:pPr>
            <w:r>
              <w:rPr>
                <w:rFonts w:ascii="Arial" w:cs="Arial" w:eastAsia="Arial" w:hAnsi="Arial"/>
                <w:sz w:val="15"/>
                <w:szCs w:val="15"/>
                <w:color w:val="auto"/>
              </w:rPr>
              <w:t>Audit Related Fees</w:t>
            </w:r>
            <w:r>
              <w:rPr>
                <w:rFonts w:ascii="Arial" w:cs="Arial" w:eastAsia="Arial" w:hAnsi="Arial"/>
                <w:sz w:val="22"/>
                <w:szCs w:val="22"/>
                <w:color w:val="auto"/>
                <w:vertAlign w:val="superscript"/>
              </w:rPr>
              <w:t>(2)</w:t>
            </w:r>
          </w:p>
        </w:tc>
        <w:tc>
          <w:tcPr>
            <w:tcW w:w="1020" w:type="dxa"/>
            <w:vAlign w:val="bottom"/>
            <w:gridSpan w:val="2"/>
            <w:vMerge w:val="restart"/>
          </w:tcPr>
          <w:p>
            <w:pPr>
              <w:jc w:val="right"/>
              <w:ind w:right="80"/>
              <w:spacing w:after="0"/>
              <w:rPr>
                <w:sz w:val="20"/>
                <w:szCs w:val="20"/>
                <w:color w:val="auto"/>
              </w:rPr>
            </w:pPr>
            <w:r>
              <w:rPr>
                <w:rFonts w:ascii="Arial" w:cs="Arial" w:eastAsia="Arial" w:hAnsi="Arial"/>
                <w:sz w:val="15"/>
                <w:szCs w:val="15"/>
                <w:color w:val="auto"/>
              </w:rPr>
              <w:t>1,669,500</w:t>
            </w:r>
          </w:p>
        </w:tc>
        <w:tc>
          <w:tcPr>
            <w:tcW w:w="920" w:type="dxa"/>
            <w:vAlign w:val="bottom"/>
            <w:gridSpan w:val="2"/>
            <w:vMerge w:val="restart"/>
          </w:tcPr>
          <w:p>
            <w:pPr>
              <w:jc w:val="right"/>
              <w:ind w:right="80"/>
              <w:spacing w:after="0"/>
              <w:rPr>
                <w:sz w:val="20"/>
                <w:szCs w:val="20"/>
                <w:color w:val="auto"/>
              </w:rPr>
            </w:pPr>
            <w:r>
              <w:rPr>
                <w:rFonts w:ascii="Arial" w:cs="Arial" w:eastAsia="Arial" w:hAnsi="Arial"/>
                <w:sz w:val="15"/>
                <w:szCs w:val="15"/>
                <w:color w:val="auto"/>
              </w:rPr>
              <w:t>956,500</w:t>
            </w:r>
          </w:p>
        </w:tc>
        <w:tc>
          <w:tcPr>
            <w:tcW w:w="660" w:type="dxa"/>
            <w:vAlign w:val="bottom"/>
          </w:tcPr>
          <w:p>
            <w:pPr>
              <w:spacing w:after="0"/>
              <w:rPr>
                <w:sz w:val="13"/>
                <w:szCs w:val="13"/>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Proposal 1</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5940" w:type="dxa"/>
            <w:vAlign w:val="bottom"/>
            <w:vMerge w:val="continue"/>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6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5940" w:type="dxa"/>
            <w:vAlign w:val="bottom"/>
            <w:vMerge w:val="restart"/>
            <w:shd w:val="clear" w:color="auto" w:fill="F7F1EC"/>
          </w:tcPr>
          <w:p>
            <w:pPr>
              <w:ind w:left="60"/>
              <w:spacing w:after="0"/>
              <w:rPr>
                <w:sz w:val="20"/>
                <w:szCs w:val="20"/>
                <w:color w:val="auto"/>
              </w:rPr>
            </w:pPr>
            <w:r>
              <w:rPr>
                <w:rFonts w:ascii="Arial" w:cs="Arial" w:eastAsia="Arial" w:hAnsi="Arial"/>
                <w:sz w:val="15"/>
                <w:szCs w:val="15"/>
                <w:color w:val="auto"/>
              </w:rPr>
              <w:t>Tax Fees</w:t>
            </w:r>
            <w:r>
              <w:rPr>
                <w:rFonts w:ascii="Arial" w:cs="Arial" w:eastAsia="Arial" w:hAnsi="Arial"/>
                <w:sz w:val="22"/>
                <w:szCs w:val="22"/>
                <w:color w:val="auto"/>
                <w:vertAlign w:val="superscript"/>
              </w:rPr>
              <w:t>(3)</w:t>
            </w:r>
          </w:p>
        </w:tc>
        <w:tc>
          <w:tcPr>
            <w:tcW w:w="1020" w:type="dxa"/>
            <w:vAlign w:val="bottom"/>
            <w:gridSpan w:val="2"/>
            <w:vMerge w:val="restart"/>
            <w:shd w:val="clear" w:color="auto" w:fill="F7F1EC"/>
          </w:tcPr>
          <w:p>
            <w:pPr>
              <w:jc w:val="right"/>
              <w:ind w:right="80"/>
              <w:spacing w:after="0"/>
              <w:rPr>
                <w:sz w:val="20"/>
                <w:szCs w:val="20"/>
                <w:color w:val="auto"/>
              </w:rPr>
            </w:pPr>
            <w:r>
              <w:rPr>
                <w:rFonts w:ascii="Arial" w:cs="Arial" w:eastAsia="Arial" w:hAnsi="Arial"/>
                <w:sz w:val="15"/>
                <w:szCs w:val="15"/>
                <w:color w:val="auto"/>
              </w:rPr>
              <w:t>533,500</w:t>
            </w:r>
          </w:p>
        </w:tc>
        <w:tc>
          <w:tcPr>
            <w:tcW w:w="920" w:type="dxa"/>
            <w:vAlign w:val="bottom"/>
            <w:gridSpan w:val="2"/>
            <w:vMerge w:val="restart"/>
            <w:shd w:val="clear" w:color="auto" w:fill="F7F1EC"/>
          </w:tcPr>
          <w:p>
            <w:pPr>
              <w:jc w:val="right"/>
              <w:ind w:right="80"/>
              <w:spacing w:after="0"/>
              <w:rPr>
                <w:sz w:val="20"/>
                <w:szCs w:val="20"/>
                <w:color w:val="auto"/>
              </w:rPr>
            </w:pPr>
            <w:r>
              <w:rPr>
                <w:rFonts w:ascii="Arial" w:cs="Arial" w:eastAsia="Arial" w:hAnsi="Arial"/>
                <w:sz w:val="15"/>
                <w:szCs w:val="15"/>
                <w:color w:val="auto"/>
              </w:rPr>
              <w:t>281,075</w:t>
            </w:r>
          </w:p>
        </w:tc>
        <w:tc>
          <w:tcPr>
            <w:tcW w:w="660" w:type="dxa"/>
            <w:vAlign w:val="bottom"/>
          </w:tcPr>
          <w:p>
            <w:pPr>
              <w:spacing w:after="0"/>
              <w:rPr>
                <w:sz w:val="11"/>
                <w:szCs w:val="11"/>
                <w:color w:val="auto"/>
              </w:rPr>
            </w:pPr>
          </w:p>
        </w:tc>
        <w:tc>
          <w:tcPr>
            <w:tcW w:w="1280" w:type="dxa"/>
            <w:vAlign w:val="bottom"/>
          </w:tcPr>
          <w:p>
            <w:pPr>
              <w:ind w:left="140"/>
              <w:spacing w:after="0" w:line="128" w:lineRule="exact"/>
              <w:rPr>
                <w:sz w:val="20"/>
                <w:szCs w:val="20"/>
                <w:color w:val="auto"/>
              </w:rPr>
            </w:pPr>
            <w:r>
              <w:rPr>
                <w:rFonts w:ascii="Arial" w:cs="Arial" w:eastAsia="Arial" w:hAnsi="Arial"/>
                <w:sz w:val="12"/>
                <w:szCs w:val="12"/>
                <w:color w:val="FFFFFF"/>
              </w:rPr>
              <w:t>Information</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5940" w:type="dxa"/>
            <w:vAlign w:val="bottom"/>
            <w:vMerge w:val="continue"/>
            <w:shd w:val="clear" w:color="auto" w:fill="F7F1EC"/>
          </w:tcPr>
          <w:p>
            <w:pPr>
              <w:spacing w:after="0"/>
              <w:rPr>
                <w:sz w:val="11"/>
                <w:szCs w:val="11"/>
                <w:color w:val="auto"/>
              </w:rPr>
            </w:pPr>
          </w:p>
        </w:tc>
        <w:tc>
          <w:tcPr>
            <w:tcW w:w="1020" w:type="dxa"/>
            <w:vAlign w:val="bottom"/>
            <w:gridSpan w:val="2"/>
            <w:vMerge w:val="continue"/>
            <w:shd w:val="clear" w:color="auto" w:fill="F7F1EC"/>
          </w:tcPr>
          <w:p>
            <w:pPr>
              <w:spacing w:after="0"/>
              <w:rPr>
                <w:sz w:val="11"/>
                <w:szCs w:val="11"/>
                <w:color w:val="auto"/>
              </w:rPr>
            </w:pPr>
          </w:p>
        </w:tc>
        <w:tc>
          <w:tcPr>
            <w:tcW w:w="920" w:type="dxa"/>
            <w:vAlign w:val="bottom"/>
            <w:gridSpan w:val="2"/>
            <w:vMerge w:val="continue"/>
            <w:shd w:val="clear" w:color="auto" w:fill="F7F1EC"/>
          </w:tcPr>
          <w:p>
            <w:pPr>
              <w:spacing w:after="0"/>
              <w:rPr>
                <w:sz w:val="11"/>
                <w:szCs w:val="11"/>
                <w:color w:val="auto"/>
              </w:rPr>
            </w:pPr>
          </w:p>
        </w:tc>
        <w:tc>
          <w:tcPr>
            <w:tcW w:w="660" w:type="dxa"/>
            <w:vAlign w:val="bottom"/>
          </w:tcPr>
          <w:p>
            <w:pPr>
              <w:spacing w:after="0"/>
              <w:rPr>
                <w:sz w:val="11"/>
                <w:szCs w:val="11"/>
                <w:color w:val="auto"/>
              </w:rPr>
            </w:pPr>
          </w:p>
        </w:tc>
        <w:tc>
          <w:tcPr>
            <w:tcW w:w="1280" w:type="dxa"/>
            <w:vAlign w:val="bottom"/>
          </w:tcPr>
          <w:p>
            <w:pPr>
              <w:ind w:left="140"/>
              <w:spacing w:after="0" w:line="128" w:lineRule="exact"/>
              <w:rPr>
                <w:sz w:val="20"/>
                <w:szCs w:val="20"/>
                <w:color w:val="auto"/>
              </w:rPr>
            </w:pPr>
            <w:r>
              <w:rPr>
                <w:rFonts w:ascii="Arial" w:cs="Arial" w:eastAsia="Arial" w:hAnsi="Arial"/>
                <w:sz w:val="12"/>
                <w:szCs w:val="12"/>
                <w:color w:val="FFFFFF"/>
              </w:rPr>
              <w:t>Regarding Board</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9"/>
        </w:trPr>
        <w:tc>
          <w:tcPr>
            <w:tcW w:w="5940" w:type="dxa"/>
            <w:vAlign w:val="bottom"/>
            <w:shd w:val="clear" w:color="auto" w:fill="F7F1EC"/>
          </w:tcPr>
          <w:p>
            <w:pPr>
              <w:spacing w:after="0"/>
              <w:rPr>
                <w:sz w:val="5"/>
                <w:szCs w:val="5"/>
                <w:color w:val="auto"/>
              </w:rPr>
            </w:pPr>
          </w:p>
        </w:tc>
        <w:tc>
          <w:tcPr>
            <w:tcW w:w="160" w:type="dxa"/>
            <w:vAlign w:val="bottom"/>
            <w:shd w:val="clear" w:color="auto" w:fill="F7F1EC"/>
          </w:tcPr>
          <w:p>
            <w:pPr>
              <w:spacing w:after="0"/>
              <w:rPr>
                <w:sz w:val="5"/>
                <w:szCs w:val="5"/>
                <w:color w:val="auto"/>
              </w:rPr>
            </w:pPr>
          </w:p>
        </w:tc>
        <w:tc>
          <w:tcPr>
            <w:tcW w:w="860" w:type="dxa"/>
            <w:vAlign w:val="bottom"/>
            <w:shd w:val="clear" w:color="auto" w:fill="F7F1EC"/>
          </w:tcPr>
          <w:p>
            <w:pPr>
              <w:spacing w:after="0"/>
              <w:rPr>
                <w:sz w:val="5"/>
                <w:szCs w:val="5"/>
                <w:color w:val="auto"/>
              </w:rPr>
            </w:pPr>
          </w:p>
        </w:tc>
        <w:tc>
          <w:tcPr>
            <w:tcW w:w="840" w:type="dxa"/>
            <w:vAlign w:val="bottom"/>
            <w:shd w:val="clear" w:color="auto" w:fill="F7F1EC"/>
          </w:tcPr>
          <w:p>
            <w:pPr>
              <w:spacing w:after="0"/>
              <w:rPr>
                <w:sz w:val="5"/>
                <w:szCs w:val="5"/>
                <w:color w:val="auto"/>
              </w:rPr>
            </w:pPr>
          </w:p>
        </w:tc>
        <w:tc>
          <w:tcPr>
            <w:tcW w:w="80" w:type="dxa"/>
            <w:vAlign w:val="bottom"/>
            <w:shd w:val="clear" w:color="auto" w:fill="F7F1EC"/>
          </w:tcPr>
          <w:p>
            <w:pPr>
              <w:spacing w:after="0"/>
              <w:rPr>
                <w:sz w:val="5"/>
                <w:szCs w:val="5"/>
                <w:color w:val="auto"/>
              </w:rPr>
            </w:pPr>
          </w:p>
        </w:tc>
        <w:tc>
          <w:tcPr>
            <w:tcW w:w="660" w:type="dxa"/>
            <w:vAlign w:val="bottom"/>
          </w:tcPr>
          <w:p>
            <w:pPr>
              <w:spacing w:after="0"/>
              <w:rPr>
                <w:sz w:val="5"/>
                <w:szCs w:val="5"/>
                <w:color w:val="auto"/>
              </w:rPr>
            </w:pPr>
          </w:p>
        </w:tc>
        <w:tc>
          <w:tcPr>
            <w:tcW w:w="1280" w:type="dxa"/>
            <w:vAlign w:val="bottom"/>
            <w:vMerge w:val="restart"/>
          </w:tcPr>
          <w:p>
            <w:pPr>
              <w:ind w:left="140"/>
              <w:spacing w:after="0" w:line="128" w:lineRule="exact"/>
              <w:rPr>
                <w:sz w:val="20"/>
                <w:szCs w:val="20"/>
                <w:color w:val="auto"/>
              </w:rPr>
            </w:pPr>
            <w:r>
              <w:rPr>
                <w:rFonts w:ascii="Arial" w:cs="Arial" w:eastAsia="Arial" w:hAnsi="Arial"/>
                <w:sz w:val="12"/>
                <w:szCs w:val="12"/>
                <w:color w:val="FFFFFF"/>
              </w:rPr>
              <w:t>and Committee</w:t>
            </w:r>
          </w:p>
        </w:tc>
        <w:tc>
          <w:tcPr>
            <w:tcW w:w="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9"/>
        </w:trPr>
        <w:tc>
          <w:tcPr>
            <w:tcW w:w="5940" w:type="dxa"/>
            <w:vAlign w:val="bottom"/>
          </w:tcPr>
          <w:p>
            <w:pPr>
              <w:spacing w:after="0"/>
              <w:rPr>
                <w:sz w:val="5"/>
                <w:szCs w:val="5"/>
                <w:color w:val="auto"/>
              </w:rPr>
            </w:pPr>
          </w:p>
        </w:tc>
        <w:tc>
          <w:tcPr>
            <w:tcW w:w="160" w:type="dxa"/>
            <w:vAlign w:val="bottom"/>
          </w:tcPr>
          <w:p>
            <w:pPr>
              <w:spacing w:after="0"/>
              <w:rPr>
                <w:sz w:val="5"/>
                <w:szCs w:val="5"/>
                <w:color w:val="auto"/>
              </w:rPr>
            </w:pPr>
          </w:p>
        </w:tc>
        <w:tc>
          <w:tcPr>
            <w:tcW w:w="86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660" w:type="dxa"/>
            <w:vAlign w:val="bottom"/>
          </w:tcPr>
          <w:p>
            <w:pPr>
              <w:spacing w:after="0"/>
              <w:rPr>
                <w:sz w:val="5"/>
                <w:szCs w:val="5"/>
                <w:color w:val="auto"/>
              </w:rPr>
            </w:pPr>
          </w:p>
        </w:tc>
        <w:tc>
          <w:tcPr>
            <w:tcW w:w="128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7"/>
        </w:trPr>
        <w:tc>
          <w:tcPr>
            <w:tcW w:w="5940" w:type="dxa"/>
            <w:vAlign w:val="bottom"/>
          </w:tcPr>
          <w:p>
            <w:pPr>
              <w:ind w:left="60"/>
              <w:spacing w:after="0" w:line="247" w:lineRule="exact"/>
              <w:rPr>
                <w:sz w:val="20"/>
                <w:szCs w:val="20"/>
                <w:color w:val="auto"/>
              </w:rPr>
            </w:pPr>
            <w:r>
              <w:rPr>
                <w:rFonts w:ascii="Arial" w:cs="Arial" w:eastAsia="Arial" w:hAnsi="Arial"/>
                <w:sz w:val="15"/>
                <w:szCs w:val="15"/>
                <w:color w:val="auto"/>
              </w:rPr>
              <w:t>All Other Fees</w:t>
            </w:r>
            <w:r>
              <w:rPr>
                <w:rFonts w:ascii="Arial" w:cs="Arial" w:eastAsia="Arial" w:hAnsi="Arial"/>
                <w:sz w:val="22"/>
                <w:szCs w:val="22"/>
                <w:color w:val="auto"/>
                <w:vertAlign w:val="superscript"/>
              </w:rPr>
              <w:t>(4)</w:t>
            </w:r>
          </w:p>
        </w:tc>
        <w:tc>
          <w:tcPr>
            <w:tcW w:w="1020" w:type="dxa"/>
            <w:vAlign w:val="bottom"/>
            <w:gridSpan w:val="2"/>
          </w:tcPr>
          <w:p>
            <w:pPr>
              <w:jc w:val="right"/>
              <w:ind w:right="80"/>
              <w:spacing w:after="0"/>
              <w:rPr>
                <w:sz w:val="20"/>
                <w:szCs w:val="20"/>
                <w:color w:val="auto"/>
              </w:rPr>
            </w:pPr>
            <w:r>
              <w:rPr>
                <w:rFonts w:ascii="Arial" w:cs="Arial" w:eastAsia="Arial" w:hAnsi="Arial"/>
                <w:sz w:val="15"/>
                <w:szCs w:val="15"/>
                <w:color w:val="auto"/>
              </w:rPr>
              <w:t>5,685</w:t>
            </w:r>
          </w:p>
        </w:tc>
        <w:tc>
          <w:tcPr>
            <w:tcW w:w="920" w:type="dxa"/>
            <w:vAlign w:val="bottom"/>
            <w:gridSpan w:val="2"/>
          </w:tcPr>
          <w:p>
            <w:pPr>
              <w:jc w:val="right"/>
              <w:ind w:right="80"/>
              <w:spacing w:after="0"/>
              <w:rPr>
                <w:sz w:val="20"/>
                <w:szCs w:val="20"/>
                <w:color w:val="auto"/>
              </w:rPr>
            </w:pPr>
            <w:r>
              <w:rPr>
                <w:rFonts w:ascii="Arial" w:cs="Arial" w:eastAsia="Arial" w:hAnsi="Arial"/>
                <w:sz w:val="15"/>
                <w:szCs w:val="15"/>
                <w:color w:val="auto"/>
              </w:rPr>
              <w:t>5,685</w:t>
            </w:r>
          </w:p>
        </w:tc>
        <w:tc>
          <w:tcPr>
            <w:tcW w:w="660" w:type="dxa"/>
            <w:vAlign w:val="bottom"/>
          </w:tcPr>
          <w:p>
            <w:pPr>
              <w:spacing w:after="0"/>
              <w:rPr>
                <w:sz w:val="21"/>
                <w:szCs w:val="21"/>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Structure</w:t>
            </w: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top w:val="single" w:sz="8" w:color="002B5F"/>
            </w:tcBorders>
          </w:tcPr>
          <w:p>
            <w:pPr>
              <w:spacing w:after="0" w:line="20" w:lineRule="exact"/>
              <w:rPr>
                <w:sz w:val="1"/>
                <w:szCs w:val="1"/>
                <w:color w:val="auto"/>
              </w:rPr>
            </w:pPr>
          </w:p>
        </w:tc>
        <w:tc>
          <w:tcPr>
            <w:tcW w:w="840" w:type="dxa"/>
            <w:vAlign w:val="bottom"/>
            <w:tcBorders>
              <w:top w:val="single" w:sz="8" w:color="002B5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80" w:type="dxa"/>
            <w:vAlign w:val="bottom"/>
            <w:vMerge w:val="restart"/>
          </w:tcPr>
          <w:p>
            <w:pPr>
              <w:ind w:left="140"/>
              <w:spacing w:after="0"/>
              <w:rPr>
                <w:sz w:val="20"/>
                <w:szCs w:val="20"/>
                <w:color w:val="auto"/>
              </w:rPr>
            </w:pPr>
            <w:r>
              <w:rPr>
                <w:rFonts w:ascii="Arial" w:cs="Arial" w:eastAsia="Arial" w:hAnsi="Arial"/>
                <w:sz w:val="12"/>
                <w:szCs w:val="12"/>
                <w:color w:val="FFFFFF"/>
              </w:rPr>
              <w:t>Board of Directors</w:t>
            </w: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5940" w:type="dxa"/>
            <w:vAlign w:val="bottom"/>
            <w:vMerge w:val="restart"/>
            <w:shd w:val="clear" w:color="auto" w:fill="F7F1EC"/>
          </w:tcPr>
          <w:p>
            <w:pPr>
              <w:ind w:left="60"/>
              <w:spacing w:after="0"/>
              <w:rPr>
                <w:sz w:val="20"/>
                <w:szCs w:val="20"/>
                <w:color w:val="auto"/>
              </w:rPr>
            </w:pPr>
            <w:r>
              <w:rPr>
                <w:rFonts w:ascii="Arial" w:cs="Arial" w:eastAsia="Arial" w:hAnsi="Arial"/>
                <w:sz w:val="15"/>
                <w:szCs w:val="15"/>
                <w:color w:val="auto"/>
              </w:rPr>
              <w:t>Total</w:t>
            </w:r>
          </w:p>
        </w:tc>
        <w:tc>
          <w:tcPr>
            <w:tcW w:w="1020" w:type="dxa"/>
            <w:vAlign w:val="bottom"/>
            <w:gridSpan w:val="2"/>
            <w:vMerge w:val="restart"/>
            <w:shd w:val="clear" w:color="auto" w:fill="F7F1EC"/>
          </w:tcPr>
          <w:p>
            <w:pPr>
              <w:jc w:val="right"/>
              <w:ind w:right="80"/>
              <w:spacing w:after="0"/>
              <w:rPr>
                <w:sz w:val="20"/>
                <w:szCs w:val="20"/>
                <w:color w:val="auto"/>
              </w:rPr>
            </w:pPr>
            <w:r>
              <w:rPr>
                <w:rFonts w:ascii="Arial" w:cs="Arial" w:eastAsia="Arial" w:hAnsi="Arial"/>
                <w:sz w:val="15"/>
                <w:szCs w:val="15"/>
                <w:color w:val="auto"/>
              </w:rPr>
              <w:t>$7,808,685</w:t>
            </w:r>
          </w:p>
        </w:tc>
        <w:tc>
          <w:tcPr>
            <w:tcW w:w="920" w:type="dxa"/>
            <w:vAlign w:val="bottom"/>
            <w:gridSpan w:val="2"/>
            <w:vMerge w:val="restart"/>
            <w:shd w:val="clear" w:color="auto" w:fill="F7F1EC"/>
          </w:tcPr>
          <w:p>
            <w:pPr>
              <w:jc w:val="right"/>
              <w:ind w:right="80"/>
              <w:spacing w:after="0"/>
              <w:rPr>
                <w:sz w:val="20"/>
                <w:szCs w:val="20"/>
                <w:color w:val="auto"/>
              </w:rPr>
            </w:pPr>
            <w:r>
              <w:rPr>
                <w:rFonts w:ascii="Arial" w:cs="Arial" w:eastAsia="Arial" w:hAnsi="Arial"/>
                <w:sz w:val="15"/>
                <w:szCs w:val="15"/>
                <w:color w:val="auto"/>
              </w:rPr>
              <w:t>$6,261,260</w:t>
            </w:r>
          </w:p>
        </w:tc>
        <w:tc>
          <w:tcPr>
            <w:tcW w:w="660" w:type="dxa"/>
            <w:vAlign w:val="bottom"/>
          </w:tcPr>
          <w:p>
            <w:pPr>
              <w:spacing w:after="0"/>
              <w:rPr>
                <w:sz w:val="11"/>
                <w:szCs w:val="11"/>
                <w:color w:val="auto"/>
              </w:rPr>
            </w:pPr>
          </w:p>
        </w:tc>
        <w:tc>
          <w:tcPr>
            <w:tcW w:w="1280" w:type="dxa"/>
            <w:vAlign w:val="bottom"/>
            <w:vMerge w:val="continue"/>
          </w:tcPr>
          <w:p>
            <w:pPr>
              <w:spacing w:after="0"/>
              <w:rPr>
                <w:sz w:val="11"/>
                <w:szCs w:val="11"/>
                <w:color w:val="auto"/>
              </w:rPr>
            </w:pP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5940" w:type="dxa"/>
            <w:vAlign w:val="bottom"/>
            <w:tcBorders>
              <w:bottom w:val="single" w:sz="8" w:color="F7F1EC"/>
            </w:tcBorders>
            <w:vMerge w:val="continue"/>
            <w:shd w:val="clear" w:color="auto" w:fill="F7F1EC"/>
          </w:tcPr>
          <w:p>
            <w:pPr>
              <w:spacing w:after="0"/>
              <w:rPr>
                <w:sz w:val="12"/>
                <w:szCs w:val="12"/>
                <w:color w:val="auto"/>
              </w:rPr>
            </w:pPr>
          </w:p>
        </w:tc>
        <w:tc>
          <w:tcPr>
            <w:tcW w:w="1020" w:type="dxa"/>
            <w:vAlign w:val="bottom"/>
            <w:tcBorders>
              <w:bottom w:val="single" w:sz="8" w:color="F7F1EC"/>
            </w:tcBorders>
            <w:gridSpan w:val="2"/>
            <w:vMerge w:val="continue"/>
            <w:shd w:val="clear" w:color="auto" w:fill="F7F1EC"/>
          </w:tcPr>
          <w:p>
            <w:pPr>
              <w:spacing w:after="0"/>
              <w:rPr>
                <w:sz w:val="12"/>
                <w:szCs w:val="12"/>
                <w:color w:val="auto"/>
              </w:rPr>
            </w:pPr>
          </w:p>
        </w:tc>
        <w:tc>
          <w:tcPr>
            <w:tcW w:w="920" w:type="dxa"/>
            <w:vAlign w:val="bottom"/>
            <w:tcBorders>
              <w:bottom w:val="single" w:sz="8" w:color="F7F1EC"/>
            </w:tcBorders>
            <w:gridSpan w:val="2"/>
            <w:vMerge w:val="continue"/>
            <w:shd w:val="clear" w:color="auto" w:fill="F7F1EC"/>
          </w:tcPr>
          <w:p>
            <w:pPr>
              <w:spacing w:after="0"/>
              <w:rPr>
                <w:sz w:val="12"/>
                <w:szCs w:val="12"/>
                <w:color w:val="auto"/>
              </w:rPr>
            </w:pPr>
          </w:p>
        </w:tc>
        <w:tc>
          <w:tcPr>
            <w:tcW w:w="660" w:type="dxa"/>
            <w:vAlign w:val="bottom"/>
          </w:tcPr>
          <w:p>
            <w:pPr>
              <w:spacing w:after="0"/>
              <w:rPr>
                <w:sz w:val="12"/>
                <w:szCs w:val="12"/>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Compensation</w:t>
            </w: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5"/>
        </w:trPr>
        <w:tc>
          <w:tcPr>
            <w:tcW w:w="8540" w:type="dxa"/>
            <w:vAlign w:val="bottom"/>
            <w:gridSpan w:val="6"/>
          </w:tcPr>
          <w:p>
            <w:pPr>
              <w:spacing w:after="0"/>
              <w:rPr>
                <w:sz w:val="20"/>
                <w:szCs w:val="20"/>
                <w:color w:val="auto"/>
              </w:rPr>
            </w:pPr>
            <w:r>
              <w:rPr>
                <w:rFonts w:ascii="Arial" w:cs="Arial" w:eastAsia="Arial" w:hAnsi="Arial"/>
                <w:sz w:val="12"/>
                <w:szCs w:val="12"/>
                <w:color w:val="auto"/>
              </w:rPr>
              <w:t>(1)  These fees include services performed in connection with the audit of our annual consolidated financial statements included in our annual reports</w:t>
            </w:r>
          </w:p>
        </w:tc>
        <w:tc>
          <w:tcPr>
            <w:tcW w:w="1280" w:type="dxa"/>
            <w:vAlign w:val="bottom"/>
          </w:tcPr>
          <w:p>
            <w:pPr>
              <w:ind w:left="140"/>
              <w:spacing w:after="0"/>
              <w:rPr>
                <w:sz w:val="20"/>
                <w:szCs w:val="20"/>
                <w:color w:val="auto"/>
              </w:rPr>
            </w:pPr>
            <w:r>
              <w:rPr>
                <w:rFonts w:ascii="Arial" w:cs="Arial" w:eastAsia="Arial" w:hAnsi="Arial"/>
                <w:sz w:val="12"/>
                <w:szCs w:val="12"/>
                <w:color w:val="FFFFFF"/>
              </w:rPr>
              <w:t>Compensation</w:t>
            </w:r>
          </w:p>
        </w:tc>
        <w:tc>
          <w:tcPr>
            <w:tcW w:w="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8"/>
        </w:trPr>
        <w:tc>
          <w:tcPr>
            <w:tcW w:w="8540" w:type="dxa"/>
            <w:vAlign w:val="bottom"/>
            <w:gridSpan w:val="6"/>
          </w:tcPr>
          <w:p>
            <w:pPr>
              <w:ind w:left="240"/>
              <w:spacing w:after="0" w:line="128" w:lineRule="exact"/>
              <w:rPr>
                <w:sz w:val="20"/>
                <w:szCs w:val="20"/>
                <w:color w:val="auto"/>
              </w:rPr>
            </w:pPr>
            <w:r>
              <w:rPr>
                <w:rFonts w:ascii="Arial" w:cs="Arial" w:eastAsia="Arial" w:hAnsi="Arial"/>
                <w:sz w:val="12"/>
                <w:szCs w:val="12"/>
                <w:color w:val="auto"/>
              </w:rPr>
              <w:t>on Form 10-K; the review of our interim condensed consolidated financial statements as included in our quarterly reports on Form 10-Q; comfort</w:t>
            </w:r>
          </w:p>
        </w:tc>
        <w:tc>
          <w:tcPr>
            <w:tcW w:w="1280" w:type="dxa"/>
            <w:vAlign w:val="bottom"/>
          </w:tcPr>
          <w:p>
            <w:pPr>
              <w:ind w:left="140"/>
              <w:spacing w:after="0" w:line="128" w:lineRule="exact"/>
              <w:rPr>
                <w:sz w:val="20"/>
                <w:szCs w:val="20"/>
                <w:color w:val="auto"/>
              </w:rPr>
            </w:pPr>
            <w:r>
              <w:rPr>
                <w:rFonts w:ascii="Arial" w:cs="Arial" w:eastAsia="Arial" w:hAnsi="Arial"/>
                <w:sz w:val="12"/>
                <w:szCs w:val="12"/>
                <w:color w:val="FFFFFF"/>
              </w:rPr>
              <w:t>Discussion and</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540" w:type="dxa"/>
            <w:vAlign w:val="bottom"/>
            <w:gridSpan w:val="6"/>
          </w:tcPr>
          <w:p>
            <w:pPr>
              <w:ind w:left="240"/>
              <w:spacing w:after="0" w:line="128" w:lineRule="exact"/>
              <w:rPr>
                <w:sz w:val="20"/>
                <w:szCs w:val="20"/>
                <w:color w:val="auto"/>
              </w:rPr>
            </w:pPr>
            <w:r>
              <w:rPr>
                <w:rFonts w:ascii="Arial" w:cs="Arial" w:eastAsia="Arial" w:hAnsi="Arial"/>
                <w:sz w:val="12"/>
                <w:szCs w:val="12"/>
                <w:color w:val="auto"/>
              </w:rPr>
              <w:t>letters and consents; and audits provided by Deloitte in connection with statutory and regulatory filings or engagements. The 2025 and 2024</w:t>
            </w:r>
          </w:p>
        </w:tc>
        <w:tc>
          <w:tcPr>
            <w:tcW w:w="1280" w:type="dxa"/>
            <w:vAlign w:val="bottom"/>
          </w:tcPr>
          <w:p>
            <w:pPr>
              <w:ind w:left="140"/>
              <w:spacing w:after="0" w:line="128" w:lineRule="exact"/>
              <w:rPr>
                <w:sz w:val="20"/>
                <w:szCs w:val="20"/>
                <w:color w:val="auto"/>
              </w:rPr>
            </w:pPr>
            <w:r>
              <w:rPr>
                <w:rFonts w:ascii="Arial" w:cs="Arial" w:eastAsia="Arial" w:hAnsi="Arial"/>
                <w:sz w:val="12"/>
                <w:szCs w:val="12"/>
                <w:color w:val="FFFFFF"/>
              </w:rPr>
              <w:t>Analysis</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6960" w:type="dxa"/>
            <w:vAlign w:val="bottom"/>
            <w:gridSpan w:val="3"/>
          </w:tcPr>
          <w:p>
            <w:pPr>
              <w:ind w:left="240"/>
              <w:spacing w:after="0"/>
              <w:rPr>
                <w:sz w:val="20"/>
                <w:szCs w:val="20"/>
                <w:color w:val="auto"/>
              </w:rPr>
            </w:pPr>
            <w:r>
              <w:rPr>
                <w:rFonts w:ascii="Arial" w:cs="Arial" w:eastAsia="Arial" w:hAnsi="Arial"/>
                <w:sz w:val="12"/>
                <w:szCs w:val="12"/>
                <w:color w:val="auto"/>
              </w:rPr>
              <w:t>columns include amounts billed in 2026 and 2025, respectively, related to 2025 and 2024 audit fees, respectively.</w:t>
            </w: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3" w:lineRule="exact"/>
        <w:rPr>
          <w:sz w:val="20"/>
          <w:szCs w:val="20"/>
          <w:color w:val="auto"/>
        </w:rPr>
      </w:pPr>
    </w:p>
    <w:p>
      <w:pPr>
        <w:sectPr>
          <w:pgSz w:w="11900" w:h="16838" w:orient="portrait"/>
          <w:cols w:equalWidth="0" w:num="1">
            <w:col w:w="10800"/>
          </w:cols>
          <w:pgMar w:left="320" w:top="464" w:right="779" w:bottom="1440" w:gutter="0" w:footer="0" w:header="0"/>
        </w:sectPr>
      </w:pPr>
    </w:p>
    <w:p>
      <w:pPr>
        <w:ind w:left="780" w:right="140" w:hanging="241"/>
        <w:spacing w:after="0" w:line="301" w:lineRule="auto"/>
        <w:tabs>
          <w:tab w:leader="none" w:pos="780" w:val="left"/>
        </w:tabs>
        <w:numPr>
          <w:ilvl w:val="0"/>
          <w:numId w:val="127"/>
        </w:numPr>
        <w:rPr>
          <w:rFonts w:ascii="Arial" w:cs="Arial" w:eastAsia="Arial" w:hAnsi="Arial"/>
          <w:sz w:val="11"/>
          <w:szCs w:val="11"/>
          <w:color w:val="auto"/>
        </w:rPr>
      </w:pPr>
      <w:r>
        <w:rPr>
          <w:rFonts w:ascii="Arial" w:cs="Arial" w:eastAsia="Arial" w:hAnsi="Arial"/>
          <w:sz w:val="11"/>
          <w:szCs w:val="11"/>
          <w:color w:val="auto"/>
        </w:rPr>
        <w:t>These fees are for services provided for other assurance and attestation services, including amounts incurred by the Company and paid to Deloitte in connection with our service auditor attest reports of internal controls, custody and other examinations and agreed-upon procedures.</w:t>
      </w:r>
    </w:p>
    <w:p>
      <w:pPr>
        <w:spacing w:after="0" w:line="1" w:lineRule="exact"/>
        <w:rPr>
          <w:rFonts w:ascii="Arial" w:cs="Arial" w:eastAsia="Arial" w:hAnsi="Arial"/>
          <w:sz w:val="11"/>
          <w:szCs w:val="11"/>
          <w:color w:val="auto"/>
        </w:rPr>
      </w:pPr>
    </w:p>
    <w:p>
      <w:pPr>
        <w:ind w:left="780" w:hanging="241"/>
        <w:spacing w:after="0" w:line="256" w:lineRule="auto"/>
        <w:tabs>
          <w:tab w:leader="none" w:pos="780" w:val="left"/>
        </w:tabs>
        <w:numPr>
          <w:ilvl w:val="0"/>
          <w:numId w:val="127"/>
        </w:numPr>
        <w:rPr>
          <w:rFonts w:ascii="Arial" w:cs="Arial" w:eastAsia="Arial" w:hAnsi="Arial"/>
          <w:sz w:val="12"/>
          <w:szCs w:val="12"/>
          <w:color w:val="auto"/>
        </w:rPr>
      </w:pPr>
      <w:r>
        <w:rPr>
          <w:rFonts w:ascii="Arial" w:cs="Arial" w:eastAsia="Arial" w:hAnsi="Arial"/>
          <w:sz w:val="12"/>
          <w:szCs w:val="12"/>
          <w:color w:val="auto"/>
        </w:rPr>
        <w:t>These fees include all services performed for non-audit related tax advice, planning and compliance services. The fees include amounts incurred by the Company and paid to Deloitte for tax compliance and advisory services.</w:t>
      </w:r>
    </w:p>
    <w:p>
      <w:pPr>
        <w:spacing w:after="0" w:line="24" w:lineRule="exact"/>
        <w:rPr>
          <w:rFonts w:ascii="Arial" w:cs="Arial" w:eastAsia="Arial" w:hAnsi="Arial"/>
          <w:sz w:val="12"/>
          <w:szCs w:val="12"/>
          <w:color w:val="auto"/>
        </w:rPr>
      </w:pPr>
    </w:p>
    <w:p>
      <w:pPr>
        <w:ind w:left="780" w:hanging="241"/>
        <w:spacing w:after="0"/>
        <w:tabs>
          <w:tab w:leader="none" w:pos="780" w:val="left"/>
        </w:tabs>
        <w:numPr>
          <w:ilvl w:val="0"/>
          <w:numId w:val="127"/>
        </w:numPr>
        <w:rPr>
          <w:rFonts w:ascii="Arial" w:cs="Arial" w:eastAsia="Arial" w:hAnsi="Arial"/>
          <w:sz w:val="12"/>
          <w:szCs w:val="12"/>
          <w:color w:val="auto"/>
        </w:rPr>
      </w:pPr>
      <w:r>
        <w:rPr>
          <w:rFonts w:ascii="Arial" w:cs="Arial" w:eastAsia="Arial" w:hAnsi="Arial"/>
          <w:sz w:val="12"/>
          <w:szCs w:val="12"/>
          <w:color w:val="auto"/>
        </w:rPr>
        <w:t>These fees represent subscriptions for research and guidance tools provided to the Company in both periods.</w:t>
      </w:r>
    </w:p>
    <w:p>
      <w:pPr>
        <w:spacing w:after="0" w:line="189" w:lineRule="exact"/>
        <w:rPr>
          <w:sz w:val="20"/>
          <w:szCs w:val="20"/>
          <w:color w:val="auto"/>
        </w:rPr>
      </w:pPr>
    </w:p>
    <w:p>
      <w:pPr>
        <w:ind w:left="540"/>
        <w:spacing w:after="0"/>
        <w:rPr>
          <w:sz w:val="20"/>
          <w:szCs w:val="20"/>
          <w:color w:val="auto"/>
        </w:rPr>
      </w:pPr>
      <w:r>
        <w:rPr>
          <w:rFonts w:ascii="Arial" w:cs="Arial" w:eastAsia="Arial" w:hAnsi="Arial"/>
          <w:sz w:val="24"/>
          <w:szCs w:val="24"/>
          <w:color w:val="B95827"/>
        </w:rPr>
        <w:t>Pre-Approval Policies and Procedures</w:t>
      </w:r>
    </w:p>
    <w:p>
      <w:pPr>
        <w:spacing w:after="0" w:line="117" w:lineRule="exact"/>
        <w:rPr>
          <w:sz w:val="20"/>
          <w:szCs w:val="20"/>
          <w:color w:val="auto"/>
        </w:rPr>
      </w:pPr>
    </w:p>
    <w:p>
      <w:pPr>
        <w:ind w:left="540" w:right="100"/>
        <w:spacing w:after="0" w:line="255" w:lineRule="auto"/>
        <w:rPr>
          <w:sz w:val="20"/>
          <w:szCs w:val="20"/>
          <w:color w:val="auto"/>
        </w:rPr>
      </w:pPr>
      <w:r>
        <w:rPr>
          <w:rFonts w:ascii="Arial" w:cs="Arial" w:eastAsia="Arial" w:hAnsi="Arial"/>
          <w:sz w:val="15"/>
          <w:szCs w:val="15"/>
          <w:color w:val="auto"/>
        </w:rPr>
        <w:t>The Audit and Risk Committee pre-approves all audit, audit-related and permissible non-audit services provided by our independent registered public accounting firm. The Audit and Risk Committee has also adopted policies and procedures that permit it to delegate its approval of certain engagements to its chair and to pre-approve certain permissible audit, audit-related and non-audit related services (which include tax and consulting services) (“Pre-approved Services”) for a particular year. On an annual basis, the Audit and Risk Committee reviews and pre-approves the scope and dollar limits associated with the various Pre-approved Services, as well as an overall pre-approved dollar limit for all engagements with the auditors, for the fiscal year.</w:t>
      </w:r>
    </w:p>
    <w:p>
      <w:pPr>
        <w:spacing w:after="0" w:line="70" w:lineRule="exact"/>
        <w:rPr>
          <w:sz w:val="20"/>
          <w:szCs w:val="20"/>
          <w:color w:val="auto"/>
        </w:rPr>
      </w:pPr>
    </w:p>
    <w:p>
      <w:pPr>
        <w:ind w:left="540" w:right="740"/>
        <w:spacing w:after="0" w:line="287" w:lineRule="auto"/>
        <w:rPr>
          <w:sz w:val="20"/>
          <w:szCs w:val="20"/>
          <w:color w:val="auto"/>
        </w:rPr>
      </w:pPr>
      <w:r>
        <w:rPr>
          <w:rFonts w:ascii="Arial" w:cs="Arial" w:eastAsia="Arial" w:hAnsi="Arial"/>
          <w:sz w:val="15"/>
          <w:szCs w:val="15"/>
          <w:color w:val="auto"/>
        </w:rPr>
        <w:t>Under its pre-approval policy, the following engagements must be pre-approved by the full Audit and Risk Committee (and cannot be delegated to the Audit and Risk Committee chair) for:</w:t>
      </w:r>
    </w:p>
    <w:p>
      <w:pPr>
        <w:spacing w:after="0" w:line="60" w:lineRule="exact"/>
        <w:rPr>
          <w:sz w:val="20"/>
          <w:szCs w:val="20"/>
          <w:color w:val="auto"/>
        </w:rPr>
      </w:pPr>
    </w:p>
    <w:p>
      <w:pPr>
        <w:ind w:left="800" w:hanging="261"/>
        <w:spacing w:after="0"/>
        <w:tabs>
          <w:tab w:leader="none" w:pos="800" w:val="left"/>
        </w:tabs>
        <w:numPr>
          <w:ilvl w:val="0"/>
          <w:numId w:val="128"/>
        </w:numPr>
        <w:rPr>
          <w:rFonts w:ascii="Arial" w:cs="Arial" w:eastAsia="Arial" w:hAnsi="Arial"/>
          <w:sz w:val="15"/>
          <w:szCs w:val="15"/>
          <w:color w:val="auto"/>
        </w:rPr>
      </w:pPr>
      <w:r>
        <w:rPr>
          <w:rFonts w:ascii="Arial" w:cs="Arial" w:eastAsia="Arial" w:hAnsi="Arial"/>
          <w:sz w:val="15"/>
          <w:szCs w:val="15"/>
          <w:color w:val="auto"/>
        </w:rPr>
        <w:t>the annual audit engagement;</w:t>
      </w:r>
    </w:p>
    <w:p>
      <w:pPr>
        <w:spacing w:after="0" w:line="121" w:lineRule="exact"/>
        <w:rPr>
          <w:rFonts w:ascii="Arial" w:cs="Arial" w:eastAsia="Arial" w:hAnsi="Arial"/>
          <w:sz w:val="15"/>
          <w:szCs w:val="15"/>
          <w:color w:val="auto"/>
        </w:rPr>
      </w:pPr>
    </w:p>
    <w:p>
      <w:pPr>
        <w:ind w:left="800" w:hanging="261"/>
        <w:spacing w:after="0"/>
        <w:tabs>
          <w:tab w:leader="none" w:pos="800" w:val="left"/>
        </w:tabs>
        <w:numPr>
          <w:ilvl w:val="0"/>
          <w:numId w:val="128"/>
        </w:numPr>
        <w:rPr>
          <w:rFonts w:ascii="Arial" w:cs="Arial" w:eastAsia="Arial" w:hAnsi="Arial"/>
          <w:sz w:val="15"/>
          <w:szCs w:val="15"/>
          <w:color w:val="auto"/>
        </w:rPr>
      </w:pPr>
      <w:r>
        <w:rPr>
          <w:rFonts w:ascii="Arial" w:cs="Arial" w:eastAsia="Arial" w:hAnsi="Arial"/>
          <w:sz w:val="15"/>
          <w:szCs w:val="15"/>
          <w:color w:val="auto"/>
        </w:rPr>
        <w:t>any engagement for services with proposed fees expected to exceed $200,000; or</w:t>
      </w:r>
    </w:p>
    <w:p>
      <w:pPr>
        <w:spacing w:after="0" w:line="121" w:lineRule="exact"/>
        <w:rPr>
          <w:rFonts w:ascii="Arial" w:cs="Arial" w:eastAsia="Arial" w:hAnsi="Arial"/>
          <w:sz w:val="15"/>
          <w:szCs w:val="15"/>
          <w:color w:val="auto"/>
        </w:rPr>
      </w:pPr>
    </w:p>
    <w:p>
      <w:pPr>
        <w:ind w:left="800" w:right="320" w:hanging="261"/>
        <w:spacing w:after="0" w:line="287" w:lineRule="auto"/>
        <w:tabs>
          <w:tab w:leader="none" w:pos="800" w:val="left"/>
        </w:tabs>
        <w:numPr>
          <w:ilvl w:val="0"/>
          <w:numId w:val="128"/>
        </w:numPr>
        <w:rPr>
          <w:rFonts w:ascii="Arial" w:cs="Arial" w:eastAsia="Arial" w:hAnsi="Arial"/>
          <w:sz w:val="15"/>
          <w:szCs w:val="15"/>
          <w:color w:val="auto"/>
        </w:rPr>
      </w:pPr>
      <w:r>
        <w:rPr>
          <w:rFonts w:ascii="Arial" w:cs="Arial" w:eastAsia="Arial" w:hAnsi="Arial"/>
          <w:sz w:val="15"/>
          <w:szCs w:val="15"/>
          <w:color w:val="auto"/>
        </w:rPr>
        <w:t>all engagements for internal control-related services (other than those performed as part of the annual audit engagement).</w:t>
      </w:r>
    </w:p>
    <w:p>
      <w:pPr>
        <w:spacing w:after="0" w:line="47" w:lineRule="exact"/>
        <w:rPr>
          <w:sz w:val="20"/>
          <w:szCs w:val="20"/>
          <w:color w:val="auto"/>
        </w:rPr>
      </w:pPr>
    </w:p>
    <w:p>
      <w:pPr>
        <w:ind w:left="540" w:right="20"/>
        <w:spacing w:after="0" w:line="261" w:lineRule="auto"/>
        <w:rPr>
          <w:sz w:val="20"/>
          <w:szCs w:val="20"/>
          <w:color w:val="auto"/>
        </w:rPr>
      </w:pPr>
      <w:r>
        <w:rPr>
          <w:rFonts w:ascii="Arial" w:cs="Arial" w:eastAsia="Arial" w:hAnsi="Arial"/>
          <w:sz w:val="15"/>
          <w:szCs w:val="15"/>
          <w:color w:val="auto"/>
        </w:rPr>
        <w:t>Any engagement of the independent auditors for a specific service that does not require pre-approval from the Audit and Risk Committee may be pre-approved by the chair of the Audit and Risk Committee. Aggregate engagements for services approved in a fiscal year shall be subject to the aggregate dollar limit, and any such engagements will be communicated to the Audit and Risk Committee at its next regular scheduled meeting.</w:t>
      </w:r>
    </w:p>
    <w:p>
      <w:pPr>
        <w:spacing w:after="0" w:line="66" w:lineRule="exact"/>
        <w:rPr>
          <w:sz w:val="20"/>
          <w:szCs w:val="20"/>
          <w:color w:val="auto"/>
        </w:rPr>
      </w:pPr>
    </w:p>
    <w:p>
      <w:pPr>
        <w:ind w:left="540" w:right="80"/>
        <w:spacing w:after="0" w:line="255" w:lineRule="auto"/>
        <w:rPr>
          <w:sz w:val="20"/>
          <w:szCs w:val="20"/>
          <w:color w:val="auto"/>
        </w:rPr>
      </w:pPr>
      <w:r>
        <w:rPr>
          <w:rFonts w:ascii="Arial" w:cs="Arial" w:eastAsia="Arial" w:hAnsi="Arial"/>
          <w:sz w:val="15"/>
          <w:szCs w:val="15"/>
          <w:color w:val="auto"/>
        </w:rPr>
        <w:t>The policy also requires that prior to the provision of any tax services or engagements for internal controls, written documentation must be provided by the independent registered public accounting firm describing the scope and nature of the proposed engagement. In addition, the potential effects of the engagement on the auditors’ independence must be discussed with the Audit and Risk Committee. With respect to tax services engagements, the auditors must also provide descriptions of the fee structure and any other written agreement or amendment to an existing engagement letter relating to the provision of the tax service, and descriptions of the involvement of any third party.</w:t>
      </w:r>
    </w:p>
    <w:p>
      <w:pPr>
        <w:spacing w:after="0" w:line="20" w:lineRule="exact"/>
        <w:rPr>
          <w:sz w:val="20"/>
          <w:szCs w:val="20"/>
          <w:color w:val="auto"/>
        </w:rPr>
      </w:pPr>
      <w:r>
        <w:rPr>
          <w:sz w:val="20"/>
          <w:szCs w:val="20"/>
          <w:color w:val="auto"/>
        </w:rPr>
        <w:br w:type="column"/>
      </w:r>
    </w:p>
    <w:p>
      <w:pPr>
        <w:ind w:left="140"/>
        <w:spacing w:after="0"/>
        <w:rPr>
          <w:sz w:val="20"/>
          <w:szCs w:val="20"/>
          <w:color w:val="auto"/>
        </w:rPr>
      </w:pPr>
      <w:r>
        <w:rPr>
          <w:rFonts w:ascii="Arial" w:cs="Arial" w:eastAsia="Arial" w:hAnsi="Arial"/>
          <w:sz w:val="12"/>
          <w:szCs w:val="12"/>
          <w:color w:val="FFFFFF"/>
        </w:rPr>
        <w:t>Report of the</w:t>
      </w:r>
    </w:p>
    <w:p>
      <w:pPr>
        <w:ind w:left="140"/>
        <w:spacing w:after="0" w:line="224" w:lineRule="auto"/>
        <w:rPr>
          <w:sz w:val="20"/>
          <w:szCs w:val="20"/>
          <w:color w:val="auto"/>
        </w:rPr>
      </w:pPr>
      <w:r>
        <w:rPr>
          <w:rFonts w:ascii="Arial" w:cs="Arial" w:eastAsia="Arial" w:hAnsi="Arial"/>
          <w:sz w:val="12"/>
          <w:szCs w:val="12"/>
          <w:color w:val="FFFFFF"/>
        </w:rPr>
        <w:t>Compensation</w:t>
      </w:r>
    </w:p>
    <w:p>
      <w:pPr>
        <w:ind w:left="140"/>
        <w:spacing w:after="0" w:line="222" w:lineRule="auto"/>
        <w:rPr>
          <w:sz w:val="20"/>
          <w:szCs w:val="20"/>
          <w:color w:val="auto"/>
        </w:rPr>
      </w:pPr>
      <w:r>
        <w:rPr>
          <w:rFonts w:ascii="Arial" w:cs="Arial" w:eastAsia="Arial" w:hAnsi="Arial"/>
          <w:sz w:val="12"/>
          <w:szCs w:val="12"/>
          <w:color w:val="FFFFFF"/>
        </w:rPr>
        <w:t>and Human</w:t>
      </w:r>
    </w:p>
    <w:p>
      <w:pPr>
        <w:ind w:left="140"/>
        <w:spacing w:after="0" w:line="222" w:lineRule="auto"/>
        <w:rPr>
          <w:sz w:val="20"/>
          <w:szCs w:val="20"/>
          <w:color w:val="auto"/>
        </w:rPr>
      </w:pPr>
      <w:r>
        <w:rPr>
          <w:rFonts w:ascii="Arial" w:cs="Arial" w:eastAsia="Arial" w:hAnsi="Arial"/>
          <w:sz w:val="12"/>
          <w:szCs w:val="12"/>
          <w:color w:val="FFFFFF"/>
        </w:rPr>
        <w:t>Resources</w:t>
      </w:r>
    </w:p>
    <w:p>
      <w:pPr>
        <w:ind w:left="140"/>
        <w:spacing w:after="0" w:line="222" w:lineRule="auto"/>
        <w:rPr>
          <w:sz w:val="20"/>
          <w:szCs w:val="20"/>
          <w:color w:val="auto"/>
        </w:rPr>
      </w:pPr>
      <w:r>
        <w:rPr>
          <w:rFonts w:ascii="Arial" w:cs="Arial" w:eastAsia="Arial" w:hAnsi="Arial"/>
          <w:sz w:val="12"/>
          <w:szCs w:val="12"/>
          <w:color w:val="FFFFFF"/>
        </w:rPr>
        <w:t>Committee of the</w:t>
      </w:r>
    </w:p>
    <w:p>
      <w:pPr>
        <w:ind w:left="140"/>
        <w:spacing w:after="0"/>
        <w:rPr>
          <w:sz w:val="20"/>
          <w:szCs w:val="20"/>
          <w:color w:val="auto"/>
        </w:rPr>
      </w:pPr>
      <w:r>
        <w:rPr>
          <w:rFonts w:ascii="Arial" w:cs="Arial" w:eastAsia="Arial" w:hAnsi="Arial"/>
          <w:sz w:val="11"/>
          <w:szCs w:val="11"/>
          <w:color w:val="FFFFFF"/>
        </w:rPr>
        <w:t>Board of Directors</w:t>
      </w:r>
    </w:p>
    <w:p>
      <w:pPr>
        <w:spacing w:after="0" w:line="155" w:lineRule="exact"/>
        <w:rPr>
          <w:sz w:val="20"/>
          <w:szCs w:val="20"/>
          <w:color w:val="auto"/>
        </w:rPr>
      </w:pPr>
    </w:p>
    <w:p>
      <w:pPr>
        <w:ind w:left="140"/>
        <w:spacing w:after="0"/>
        <w:rPr>
          <w:sz w:val="20"/>
          <w:szCs w:val="20"/>
          <w:color w:val="auto"/>
        </w:rPr>
      </w:pPr>
      <w:r>
        <w:rPr>
          <w:rFonts w:ascii="Arial" w:cs="Arial" w:eastAsia="Arial" w:hAnsi="Arial"/>
          <w:sz w:val="12"/>
          <w:szCs w:val="12"/>
          <w:color w:val="FFFFFF"/>
        </w:rPr>
        <w:t>Compensation of</w:t>
      </w:r>
    </w:p>
    <w:p>
      <w:pPr>
        <w:ind w:left="140"/>
        <w:spacing w:after="0" w:line="224" w:lineRule="auto"/>
        <w:rPr>
          <w:sz w:val="20"/>
          <w:szCs w:val="20"/>
          <w:color w:val="auto"/>
        </w:rPr>
      </w:pPr>
      <w:r>
        <w:rPr>
          <w:rFonts w:ascii="Arial" w:cs="Arial" w:eastAsia="Arial" w:hAnsi="Arial"/>
          <w:sz w:val="12"/>
          <w:szCs w:val="12"/>
          <w:color w:val="FFFFFF"/>
        </w:rPr>
        <w:t>Named Executive</w:t>
      </w:r>
    </w:p>
    <w:p>
      <w:pPr>
        <w:ind w:left="140"/>
        <w:spacing w:after="0"/>
        <w:rPr>
          <w:sz w:val="20"/>
          <w:szCs w:val="20"/>
          <w:color w:val="auto"/>
        </w:rPr>
      </w:pPr>
      <w:r>
        <w:rPr>
          <w:rFonts w:ascii="Arial" w:cs="Arial" w:eastAsia="Arial" w:hAnsi="Arial"/>
          <w:sz w:val="12"/>
          <w:szCs w:val="12"/>
          <w:color w:val="FFFFFF"/>
        </w:rPr>
        <w:t>Officers</w:t>
      </w:r>
    </w:p>
    <w:p>
      <w:pPr>
        <w:spacing w:after="0" w:line="144" w:lineRule="exact"/>
        <w:rPr>
          <w:sz w:val="20"/>
          <w:szCs w:val="20"/>
          <w:color w:val="auto"/>
        </w:rPr>
      </w:pPr>
    </w:p>
    <w:p>
      <w:pPr>
        <w:ind w:left="140"/>
        <w:spacing w:after="0"/>
        <w:rPr>
          <w:sz w:val="20"/>
          <w:szCs w:val="20"/>
          <w:color w:val="auto"/>
        </w:rPr>
      </w:pPr>
      <w:r>
        <w:rPr>
          <w:rFonts w:ascii="Arial" w:cs="Arial" w:eastAsia="Arial" w:hAnsi="Arial"/>
          <w:sz w:val="12"/>
          <w:szCs w:val="12"/>
          <w:color w:val="FFFFFF"/>
        </w:rPr>
        <w:t>Pay Versus</w:t>
      </w:r>
    </w:p>
    <w:p>
      <w:pPr>
        <w:ind w:left="140"/>
        <w:spacing w:after="0" w:line="224" w:lineRule="auto"/>
        <w:rPr>
          <w:sz w:val="20"/>
          <w:szCs w:val="20"/>
          <w:color w:val="auto"/>
        </w:rPr>
      </w:pPr>
      <w:r>
        <w:rPr>
          <w:rFonts w:ascii="Arial" w:cs="Arial" w:eastAsia="Arial" w:hAnsi="Arial"/>
          <w:sz w:val="12"/>
          <w:szCs w:val="12"/>
          <w:color w:val="FFFFFF"/>
        </w:rPr>
        <w:t>Performance</w:t>
      </w:r>
    </w:p>
    <w:p>
      <w:pPr>
        <w:ind w:left="140"/>
        <w:spacing w:after="0"/>
        <w:rPr>
          <w:sz w:val="20"/>
          <w:szCs w:val="20"/>
          <w:color w:val="auto"/>
        </w:rPr>
      </w:pPr>
      <w:r>
        <w:rPr>
          <w:rFonts w:ascii="Arial" w:cs="Arial" w:eastAsia="Arial" w:hAnsi="Arial"/>
          <w:sz w:val="12"/>
          <w:szCs w:val="12"/>
          <w:color w:val="FFFFFF"/>
        </w:rPr>
        <w:t>Disclosure</w:t>
      </w:r>
    </w:p>
    <w:p>
      <w:pPr>
        <w:spacing w:after="0" w:line="144" w:lineRule="exact"/>
        <w:rPr>
          <w:sz w:val="20"/>
          <w:szCs w:val="20"/>
          <w:color w:val="auto"/>
        </w:rPr>
      </w:pPr>
    </w:p>
    <w:p>
      <w:pPr>
        <w:ind w:left="140"/>
        <w:spacing w:after="0"/>
        <w:rPr>
          <w:sz w:val="20"/>
          <w:szCs w:val="20"/>
          <w:color w:val="auto"/>
        </w:rPr>
      </w:pPr>
      <w:r>
        <w:rPr>
          <w:rFonts w:ascii="Arial" w:cs="Arial" w:eastAsia="Arial" w:hAnsi="Arial"/>
          <w:sz w:val="12"/>
          <w:szCs w:val="12"/>
          <w:color w:val="FFFFFF"/>
        </w:rPr>
        <w:t>Security</w:t>
      </w:r>
    </w:p>
    <w:p>
      <w:pPr>
        <w:ind w:left="140"/>
        <w:spacing w:after="0" w:line="224" w:lineRule="auto"/>
        <w:rPr>
          <w:sz w:val="20"/>
          <w:szCs w:val="20"/>
          <w:color w:val="auto"/>
        </w:rPr>
      </w:pPr>
      <w:r>
        <w:rPr>
          <w:rFonts w:ascii="Arial" w:cs="Arial" w:eastAsia="Arial" w:hAnsi="Arial"/>
          <w:sz w:val="12"/>
          <w:szCs w:val="12"/>
          <w:color w:val="FFFFFF"/>
        </w:rPr>
        <w:t>Ownership of</w:t>
      </w:r>
    </w:p>
    <w:p>
      <w:pPr>
        <w:ind w:left="140"/>
        <w:spacing w:after="0" w:line="222" w:lineRule="auto"/>
        <w:rPr>
          <w:sz w:val="20"/>
          <w:szCs w:val="20"/>
          <w:color w:val="auto"/>
        </w:rPr>
      </w:pPr>
      <w:r>
        <w:rPr>
          <w:rFonts w:ascii="Arial" w:cs="Arial" w:eastAsia="Arial" w:hAnsi="Arial"/>
          <w:sz w:val="12"/>
          <w:szCs w:val="12"/>
          <w:color w:val="FFFFFF"/>
        </w:rPr>
        <w:t>Certain Beneficial</w:t>
      </w:r>
    </w:p>
    <w:p>
      <w:pPr>
        <w:ind w:left="140"/>
        <w:spacing w:after="0" w:line="222" w:lineRule="auto"/>
        <w:rPr>
          <w:sz w:val="20"/>
          <w:szCs w:val="20"/>
          <w:color w:val="auto"/>
        </w:rPr>
      </w:pPr>
      <w:r>
        <w:rPr>
          <w:rFonts w:ascii="Arial" w:cs="Arial" w:eastAsia="Arial" w:hAnsi="Arial"/>
          <w:sz w:val="12"/>
          <w:szCs w:val="12"/>
          <w:color w:val="FFFFFF"/>
        </w:rPr>
        <w:t>Owners and</w:t>
      </w:r>
    </w:p>
    <w:p>
      <w:pPr>
        <w:ind w:left="140"/>
        <w:spacing w:after="0"/>
        <w:rPr>
          <w:sz w:val="20"/>
          <w:szCs w:val="20"/>
          <w:color w:val="auto"/>
        </w:rPr>
      </w:pPr>
      <w:r>
        <w:rPr>
          <w:rFonts w:ascii="Arial" w:cs="Arial" w:eastAsia="Arial" w:hAnsi="Arial"/>
          <w:sz w:val="12"/>
          <w:szCs w:val="12"/>
          <w:color w:val="FFFFFF"/>
        </w:rPr>
        <w:t>Management</w:t>
      </w:r>
    </w:p>
    <w:p>
      <w:pPr>
        <w:spacing w:after="0" w:line="144" w:lineRule="exact"/>
        <w:rPr>
          <w:sz w:val="20"/>
          <w:szCs w:val="20"/>
          <w:color w:val="auto"/>
        </w:rPr>
      </w:pPr>
    </w:p>
    <w:p>
      <w:pPr>
        <w:ind w:left="140"/>
        <w:spacing w:after="0"/>
        <w:rPr>
          <w:sz w:val="20"/>
          <w:szCs w:val="20"/>
          <w:color w:val="auto"/>
        </w:rPr>
      </w:pPr>
      <w:r>
        <w:rPr>
          <w:rFonts w:ascii="Arial" w:cs="Arial" w:eastAsia="Arial" w:hAnsi="Arial"/>
          <w:sz w:val="12"/>
          <w:szCs w:val="12"/>
          <w:color w:val="FFFFFF"/>
        </w:rPr>
        <w:t>Certain</w:t>
      </w:r>
    </w:p>
    <w:p>
      <w:pPr>
        <w:ind w:left="140"/>
        <w:spacing w:after="0" w:line="224" w:lineRule="auto"/>
        <w:rPr>
          <w:sz w:val="20"/>
          <w:szCs w:val="20"/>
          <w:color w:val="auto"/>
        </w:rPr>
      </w:pPr>
      <w:r>
        <w:rPr>
          <w:rFonts w:ascii="Arial" w:cs="Arial" w:eastAsia="Arial" w:hAnsi="Arial"/>
          <w:sz w:val="12"/>
          <w:szCs w:val="12"/>
          <w:color w:val="FFFFFF"/>
        </w:rPr>
        <w:t>Relationships and</w:t>
      </w:r>
    </w:p>
    <w:p>
      <w:pPr>
        <w:ind w:left="140"/>
        <w:spacing w:after="0" w:line="222" w:lineRule="auto"/>
        <w:rPr>
          <w:sz w:val="20"/>
          <w:szCs w:val="20"/>
          <w:color w:val="auto"/>
        </w:rPr>
      </w:pPr>
      <w:r>
        <w:rPr>
          <w:rFonts w:ascii="Arial" w:cs="Arial" w:eastAsia="Arial" w:hAnsi="Arial"/>
          <w:sz w:val="12"/>
          <w:szCs w:val="12"/>
          <w:color w:val="FFFFFF"/>
        </w:rPr>
        <w:t>Related Party</w:t>
      </w:r>
    </w:p>
    <w:p>
      <w:pPr>
        <w:ind w:left="140"/>
        <w:spacing w:after="0"/>
        <w:rPr>
          <w:sz w:val="20"/>
          <w:szCs w:val="20"/>
          <w:color w:val="auto"/>
        </w:rPr>
      </w:pPr>
      <w:r>
        <w:rPr>
          <w:rFonts w:ascii="Arial" w:cs="Arial" w:eastAsia="Arial" w:hAnsi="Arial"/>
          <w:sz w:val="12"/>
          <w:szCs w:val="12"/>
          <w:color w:val="FFFFFF"/>
        </w:rPr>
        <w:t>Transactions</w:t>
      </w:r>
    </w:p>
    <w:p>
      <w:pPr>
        <w:spacing w:after="0" w:line="141" w:lineRule="exact"/>
        <w:rPr>
          <w:sz w:val="20"/>
          <w:szCs w:val="20"/>
          <w:color w:val="auto"/>
        </w:rPr>
      </w:pPr>
    </w:p>
    <w:p>
      <w:pPr>
        <w:spacing w:after="0"/>
        <w:rPr>
          <w:sz w:val="20"/>
          <w:szCs w:val="20"/>
          <w:color w:val="auto"/>
        </w:rPr>
      </w:pPr>
      <w:r>
        <w:rPr>
          <w:sz w:val="1"/>
          <w:szCs w:val="1"/>
          <w:color w:val="auto"/>
        </w:rPr>
        <w:drawing>
          <wp:inline distT="0" distB="0" distL="0" distR="0">
            <wp:extent cx="56515" cy="88900"/>
            <wp:effectExtent l="0" t="0" r="0" b="0"/>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56515" cy="88900"/>
                    </a:xfrm>
                    <a:prstGeom prst="rect">
                      <a:avLst/>
                    </a:prstGeom>
                    <a:noFill/>
                    <a:ln>
                      <a:noFill/>
                    </a:ln>
                  </pic:spPr>
                </pic:pic>
              </a:graphicData>
            </a:graphic>
          </wp:inline>
        </w:drawing>
      </w:r>
      <w:r>
        <w:rPr>
          <w:rFonts w:ascii="Arial" w:cs="Arial" w:eastAsia="Arial" w:hAnsi="Arial"/>
          <w:sz w:val="12"/>
          <w:szCs w:val="12"/>
          <w:b w:val="1"/>
          <w:bCs w:val="1"/>
          <w:color w:val="FFFFFF"/>
        </w:rPr>
        <w:t xml:space="preserve"> Proposal 2</w:t>
      </w:r>
    </w:p>
    <w:p>
      <w:pPr>
        <w:spacing w:after="0" w:line="130" w:lineRule="exact"/>
        <w:rPr>
          <w:sz w:val="20"/>
          <w:szCs w:val="20"/>
          <w:color w:val="auto"/>
        </w:rPr>
      </w:pPr>
    </w:p>
    <w:p>
      <w:pPr>
        <w:ind w:left="140"/>
        <w:spacing w:after="0"/>
        <w:rPr>
          <w:sz w:val="20"/>
          <w:szCs w:val="20"/>
          <w:color w:val="auto"/>
        </w:rPr>
      </w:pPr>
      <w:r>
        <w:rPr>
          <w:rFonts w:ascii="Arial" w:cs="Arial" w:eastAsia="Arial" w:hAnsi="Arial"/>
          <w:sz w:val="12"/>
          <w:szCs w:val="12"/>
          <w:color w:val="FFFFFF"/>
        </w:rPr>
        <w:t>Report of the</w:t>
      </w:r>
    </w:p>
    <w:p>
      <w:pPr>
        <w:ind w:left="140"/>
        <w:spacing w:after="0" w:line="224" w:lineRule="auto"/>
        <w:rPr>
          <w:sz w:val="20"/>
          <w:szCs w:val="20"/>
          <w:color w:val="auto"/>
        </w:rPr>
      </w:pPr>
      <w:r>
        <w:rPr>
          <w:rFonts w:ascii="Arial" w:cs="Arial" w:eastAsia="Arial" w:hAnsi="Arial"/>
          <w:sz w:val="12"/>
          <w:szCs w:val="12"/>
          <w:color w:val="FFFFFF"/>
        </w:rPr>
        <w:t>Audit and Risk</w:t>
      </w:r>
    </w:p>
    <w:p>
      <w:pPr>
        <w:ind w:left="140"/>
        <w:spacing w:after="0" w:line="222" w:lineRule="auto"/>
        <w:rPr>
          <w:sz w:val="20"/>
          <w:szCs w:val="20"/>
          <w:color w:val="auto"/>
        </w:rPr>
      </w:pPr>
      <w:r>
        <w:rPr>
          <w:rFonts w:ascii="Arial" w:cs="Arial" w:eastAsia="Arial" w:hAnsi="Arial"/>
          <w:sz w:val="12"/>
          <w:szCs w:val="12"/>
          <w:color w:val="FFFFFF"/>
        </w:rPr>
        <w:t>Committee of the</w:t>
      </w:r>
    </w:p>
    <w:p>
      <w:pPr>
        <w:ind w:left="140"/>
        <w:spacing w:after="0"/>
        <w:rPr>
          <w:sz w:val="20"/>
          <w:szCs w:val="20"/>
          <w:color w:val="auto"/>
        </w:rPr>
      </w:pPr>
      <w:r>
        <w:rPr>
          <w:rFonts w:ascii="Arial" w:cs="Arial" w:eastAsia="Arial" w:hAnsi="Arial"/>
          <w:sz w:val="11"/>
          <w:szCs w:val="11"/>
          <w:color w:val="FFFFFF"/>
        </w:rPr>
        <w:t>Board of Directors</w:t>
      </w:r>
    </w:p>
    <w:p>
      <w:pPr>
        <w:spacing w:after="0" w:line="155" w:lineRule="exact"/>
        <w:rPr>
          <w:sz w:val="20"/>
          <w:szCs w:val="20"/>
          <w:color w:val="auto"/>
        </w:rPr>
      </w:pPr>
    </w:p>
    <w:p>
      <w:pPr>
        <w:ind w:left="140"/>
        <w:spacing w:after="0"/>
        <w:rPr>
          <w:sz w:val="20"/>
          <w:szCs w:val="20"/>
          <w:color w:val="auto"/>
        </w:rPr>
      </w:pPr>
      <w:r>
        <w:rPr>
          <w:rFonts w:ascii="Arial" w:cs="Arial" w:eastAsia="Arial" w:hAnsi="Arial"/>
          <w:sz w:val="12"/>
          <w:szCs w:val="12"/>
          <w:color w:val="FFFFFF"/>
        </w:rPr>
        <w:t>Proposal 3</w:t>
      </w:r>
    </w:p>
    <w:p>
      <w:pPr>
        <w:spacing w:after="0" w:line="156" w:lineRule="exact"/>
        <w:rPr>
          <w:sz w:val="20"/>
          <w:szCs w:val="20"/>
          <w:color w:val="auto"/>
        </w:rPr>
      </w:pPr>
    </w:p>
    <w:p>
      <w:pPr>
        <w:ind w:left="140"/>
        <w:spacing w:after="0"/>
        <w:rPr>
          <w:sz w:val="20"/>
          <w:szCs w:val="20"/>
          <w:color w:val="auto"/>
        </w:rPr>
      </w:pPr>
      <w:r>
        <w:rPr>
          <w:rFonts w:ascii="Arial" w:cs="Arial" w:eastAsia="Arial" w:hAnsi="Arial"/>
          <w:sz w:val="12"/>
          <w:szCs w:val="12"/>
          <w:color w:val="FFFFFF"/>
        </w:rPr>
        <w:t>Proposal 4</w:t>
      </w:r>
    </w:p>
    <w:p>
      <w:pPr>
        <w:spacing w:after="0" w:line="156" w:lineRule="exact"/>
        <w:rPr>
          <w:sz w:val="20"/>
          <w:szCs w:val="20"/>
          <w:color w:val="auto"/>
        </w:rPr>
      </w:pPr>
    </w:p>
    <w:p>
      <w:pPr>
        <w:ind w:left="140"/>
        <w:spacing w:after="0"/>
        <w:rPr>
          <w:sz w:val="20"/>
          <w:szCs w:val="20"/>
          <w:color w:val="auto"/>
        </w:rPr>
      </w:pPr>
      <w:r>
        <w:rPr>
          <w:rFonts w:ascii="Arial" w:cs="Arial" w:eastAsia="Arial" w:hAnsi="Arial"/>
          <w:sz w:val="12"/>
          <w:szCs w:val="12"/>
          <w:color w:val="FFFFFF"/>
        </w:rPr>
        <w:t>Proposal 5</w:t>
      </w:r>
    </w:p>
    <w:p>
      <w:pPr>
        <w:spacing w:after="0" w:line="156" w:lineRule="exact"/>
        <w:rPr>
          <w:sz w:val="20"/>
          <w:szCs w:val="20"/>
          <w:color w:val="auto"/>
        </w:rPr>
      </w:pPr>
    </w:p>
    <w:p>
      <w:pPr>
        <w:ind w:left="140"/>
        <w:spacing w:after="0"/>
        <w:rPr>
          <w:sz w:val="20"/>
          <w:szCs w:val="20"/>
          <w:color w:val="auto"/>
        </w:rPr>
      </w:pPr>
      <w:r>
        <w:rPr>
          <w:rFonts w:ascii="Arial" w:cs="Arial" w:eastAsia="Arial" w:hAnsi="Arial"/>
          <w:sz w:val="12"/>
          <w:szCs w:val="12"/>
          <w:color w:val="FFFFFF"/>
        </w:rPr>
        <w:t>Proposal 6</w:t>
      </w:r>
    </w:p>
    <w:p>
      <w:pPr>
        <w:spacing w:after="0" w:line="156" w:lineRule="exact"/>
        <w:rPr>
          <w:sz w:val="20"/>
          <w:szCs w:val="20"/>
          <w:color w:val="auto"/>
        </w:rPr>
      </w:pPr>
    </w:p>
    <w:p>
      <w:pPr>
        <w:ind w:left="140"/>
        <w:spacing w:after="0"/>
        <w:rPr>
          <w:sz w:val="20"/>
          <w:szCs w:val="20"/>
          <w:color w:val="auto"/>
        </w:rPr>
      </w:pPr>
      <w:r>
        <w:rPr>
          <w:rFonts w:ascii="Arial" w:cs="Arial" w:eastAsia="Arial" w:hAnsi="Arial"/>
          <w:sz w:val="12"/>
          <w:szCs w:val="12"/>
          <w:color w:val="FFFFFF"/>
        </w:rPr>
        <w:t>Stockholder</w:t>
      </w:r>
    </w:p>
    <w:p>
      <w:pPr>
        <w:ind w:left="140"/>
        <w:spacing w:after="0" w:line="224" w:lineRule="auto"/>
        <w:rPr>
          <w:sz w:val="20"/>
          <w:szCs w:val="20"/>
          <w:color w:val="auto"/>
        </w:rPr>
      </w:pPr>
      <w:r>
        <w:rPr>
          <w:rFonts w:ascii="Arial" w:cs="Arial" w:eastAsia="Arial" w:hAnsi="Arial"/>
          <w:sz w:val="12"/>
          <w:szCs w:val="12"/>
          <w:color w:val="FFFFFF"/>
        </w:rPr>
        <w:t>Proposals and</w:t>
      </w:r>
    </w:p>
    <w:p>
      <w:pPr>
        <w:ind w:left="140"/>
        <w:spacing w:after="0"/>
        <w:rPr>
          <w:sz w:val="20"/>
          <w:szCs w:val="20"/>
          <w:color w:val="auto"/>
        </w:rPr>
      </w:pPr>
      <w:r>
        <w:rPr>
          <w:rFonts w:ascii="Arial" w:cs="Arial" w:eastAsia="Arial" w:hAnsi="Arial"/>
          <w:sz w:val="12"/>
          <w:szCs w:val="12"/>
          <w:color w:val="FFFFFF"/>
        </w:rPr>
        <w:t>Other Matters</w:t>
      </w:r>
    </w:p>
    <w:p>
      <w:pPr>
        <w:spacing w:after="0" w:line="144" w:lineRule="exact"/>
        <w:rPr>
          <w:sz w:val="20"/>
          <w:szCs w:val="20"/>
          <w:color w:val="auto"/>
        </w:rPr>
      </w:pPr>
    </w:p>
    <w:p>
      <w:pPr>
        <w:ind w:left="140"/>
        <w:spacing w:after="0"/>
        <w:rPr>
          <w:sz w:val="20"/>
          <w:szCs w:val="20"/>
          <w:color w:val="auto"/>
        </w:rPr>
      </w:pPr>
      <w:r>
        <w:rPr>
          <w:rFonts w:ascii="Arial" w:cs="Arial" w:eastAsia="Arial" w:hAnsi="Arial"/>
          <w:sz w:val="12"/>
          <w:szCs w:val="12"/>
          <w:color w:val="FFFFFF"/>
        </w:rPr>
        <w:t>Delinquent</w:t>
      </w:r>
    </w:p>
    <w:p>
      <w:pPr>
        <w:ind w:left="140"/>
        <w:spacing w:after="0" w:line="224" w:lineRule="auto"/>
        <w:rPr>
          <w:sz w:val="20"/>
          <w:szCs w:val="20"/>
          <w:color w:val="auto"/>
        </w:rPr>
      </w:pPr>
      <w:r>
        <w:rPr>
          <w:rFonts w:ascii="Arial" w:cs="Arial" w:eastAsia="Arial" w:hAnsi="Arial"/>
          <w:sz w:val="12"/>
          <w:szCs w:val="12"/>
          <w:color w:val="FFFFFF"/>
        </w:rPr>
        <w:t>Section 16(a)</w:t>
      </w:r>
    </w:p>
    <w:p>
      <w:pPr>
        <w:ind w:left="140"/>
        <w:spacing w:after="0"/>
        <w:rPr>
          <w:sz w:val="20"/>
          <w:szCs w:val="20"/>
          <w:color w:val="auto"/>
        </w:rPr>
      </w:pPr>
      <w:r>
        <w:rPr>
          <w:rFonts w:ascii="Arial" w:cs="Arial" w:eastAsia="Arial" w:hAnsi="Arial"/>
          <w:sz w:val="12"/>
          <w:szCs w:val="12"/>
          <w:color w:val="FFFFFF"/>
        </w:rPr>
        <w:t>Reports</w:t>
      </w:r>
    </w:p>
    <w:p>
      <w:pPr>
        <w:spacing w:after="0" w:line="144" w:lineRule="exact"/>
        <w:rPr>
          <w:sz w:val="20"/>
          <w:szCs w:val="20"/>
          <w:color w:val="auto"/>
        </w:rPr>
      </w:pPr>
    </w:p>
    <w:p>
      <w:pPr>
        <w:ind w:left="140"/>
        <w:spacing w:after="0"/>
        <w:rPr>
          <w:sz w:val="20"/>
          <w:szCs w:val="20"/>
          <w:color w:val="auto"/>
        </w:rPr>
      </w:pPr>
      <w:r>
        <w:rPr>
          <w:rFonts w:ascii="Arial" w:cs="Arial" w:eastAsia="Arial" w:hAnsi="Arial"/>
          <w:sz w:val="12"/>
          <w:szCs w:val="12"/>
          <w:color w:val="FFFFFF"/>
        </w:rPr>
        <w:t>Other</w:t>
      </w:r>
    </w:p>
    <w:p>
      <w:pPr>
        <w:spacing w:after="0" w:line="2" w:lineRule="exact"/>
        <w:rPr>
          <w:sz w:val="20"/>
          <w:szCs w:val="20"/>
          <w:color w:val="auto"/>
        </w:rPr>
      </w:pPr>
    </w:p>
    <w:p>
      <w:pPr>
        <w:ind w:left="140"/>
        <w:spacing w:after="0"/>
        <w:rPr>
          <w:sz w:val="20"/>
          <w:szCs w:val="20"/>
          <w:color w:val="auto"/>
        </w:rPr>
      </w:pPr>
      <w:r>
        <w:rPr>
          <w:rFonts w:ascii="Arial" w:cs="Arial" w:eastAsia="Arial" w:hAnsi="Arial"/>
          <w:sz w:val="12"/>
          <w:szCs w:val="12"/>
          <w:color w:val="FFFFFF"/>
        </w:rPr>
        <w:t>Information</w:t>
      </w:r>
    </w:p>
    <w:p>
      <w:pPr>
        <w:spacing w:after="0" w:line="144" w:lineRule="exact"/>
        <w:rPr>
          <w:sz w:val="20"/>
          <w:szCs w:val="20"/>
          <w:color w:val="auto"/>
        </w:rPr>
      </w:pPr>
    </w:p>
    <w:p>
      <w:pPr>
        <w:ind w:left="140"/>
        <w:spacing w:after="0"/>
        <w:rPr>
          <w:sz w:val="20"/>
          <w:szCs w:val="20"/>
          <w:color w:val="auto"/>
        </w:rPr>
      </w:pPr>
      <w:r>
        <w:rPr>
          <w:rFonts w:ascii="Arial" w:cs="Arial" w:eastAsia="Arial" w:hAnsi="Arial"/>
          <w:sz w:val="12"/>
          <w:szCs w:val="12"/>
          <w:color w:val="FFFFFF"/>
        </w:rPr>
        <w:t>Appendix A</w:t>
      </w:r>
    </w:p>
    <w:p>
      <w:pPr>
        <w:spacing w:after="0" w:line="156" w:lineRule="exact"/>
        <w:rPr>
          <w:sz w:val="20"/>
          <w:szCs w:val="20"/>
          <w:color w:val="auto"/>
        </w:rPr>
      </w:pPr>
    </w:p>
    <w:p>
      <w:pPr>
        <w:ind w:left="140"/>
        <w:spacing w:after="0"/>
        <w:rPr>
          <w:sz w:val="20"/>
          <w:szCs w:val="20"/>
          <w:color w:val="auto"/>
        </w:rPr>
      </w:pPr>
      <w:r>
        <w:rPr>
          <w:rFonts w:ascii="Arial" w:cs="Arial" w:eastAsia="Arial" w:hAnsi="Arial"/>
          <w:sz w:val="12"/>
          <w:szCs w:val="12"/>
          <w:color w:val="FFFFFF"/>
        </w:rPr>
        <w:t>Appendix B</w:t>
      </w:r>
    </w:p>
    <w:p>
      <w:pPr>
        <w:spacing w:after="0" w:line="200" w:lineRule="exact"/>
        <w:rPr>
          <w:sz w:val="20"/>
          <w:szCs w:val="20"/>
          <w:color w:val="auto"/>
        </w:rPr>
      </w:pPr>
    </w:p>
    <w:p>
      <w:pPr>
        <w:sectPr>
          <w:pgSz w:w="11900" w:h="16838" w:orient="portrait"/>
          <w:cols w:equalWidth="0" w:num="2">
            <w:col w:w="8400" w:space="680"/>
            <w:col w:w="1720"/>
          </w:cols>
          <w:pgMar w:left="320" w:top="464" w:right="7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6380"/>
        <w:spacing w:after="0"/>
        <w:tabs>
          <w:tab w:leader="none" w:pos="8500" w:val="left"/>
          <w:tab w:leader="none" w:pos="9960" w:val="left"/>
        </w:tabs>
        <w:rPr>
          <w:sz w:val="20"/>
          <w:szCs w:val="20"/>
          <w:color w:val="auto"/>
        </w:rPr>
      </w:pPr>
      <w:r>
        <w:rPr>
          <w:rFonts w:ascii="Arial" w:cs="Arial" w:eastAsia="Arial" w:hAnsi="Arial"/>
          <w:sz w:val="15"/>
          <w:szCs w:val="15"/>
          <w:b w:val="1"/>
          <w:bCs w:val="1"/>
          <w:color w:val="002B5F"/>
        </w:rPr>
        <w:t xml:space="preserve">2026 Proxy Statement  </w:t>
      </w:r>
      <w:r>
        <w:rPr>
          <w:rFonts w:ascii="Arial" w:cs="Arial" w:eastAsia="Arial" w:hAnsi="Arial"/>
          <w:sz w:val="20"/>
          <w:szCs w:val="20"/>
          <w:color w:val="002B5F"/>
        </w:rPr>
        <w:t>|</w:t>
      </w:r>
      <w:r>
        <w:rPr>
          <w:rFonts w:ascii="Arial" w:cs="Arial" w:eastAsia="Arial" w:hAnsi="Arial"/>
          <w:sz w:val="15"/>
          <w:szCs w:val="15"/>
          <w:b w:val="1"/>
          <w:bCs w:val="1"/>
          <w:color w:val="002B5F"/>
        </w:rPr>
        <w:t xml:space="preserve">  83</w:t>
      </w:r>
      <w:r>
        <w:rPr>
          <w:sz w:val="20"/>
          <w:szCs w:val="20"/>
          <w:color w:val="auto"/>
        </w:rPr>
        <w:tab/>
      </w:r>
      <w:r>
        <w:rPr>
          <w:rFonts w:ascii="Arial" w:cs="Arial" w:eastAsia="Arial" w:hAnsi="Arial"/>
          <w:sz w:val="17"/>
          <w:szCs w:val="17"/>
          <w:color w:val="auto"/>
        </w:rPr>
        <w:t xml:space="preserve">    </w:t>
      </w:r>
      <w:r>
        <w:rPr>
          <w:sz w:val="20"/>
          <w:szCs w:val="20"/>
          <w:color w:val="auto"/>
        </w:rPr>
        <w:tab/>
      </w:r>
      <w:r>
        <w:rPr>
          <w:rFonts w:ascii="Arial" w:cs="Arial" w:eastAsia="Arial" w:hAnsi="Arial"/>
          <w:sz w:val="17"/>
          <w:szCs w:val="17"/>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268605</wp:posOffset>
            </wp:positionH>
            <wp:positionV relativeFrom="paragraph">
              <wp:posOffset>-128905</wp:posOffset>
            </wp:positionV>
            <wp:extent cx="762000" cy="971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62000" cy="97155"/>
                    </a:xfrm>
                    <a:prstGeom prst="rect">
                      <a:avLst/>
                    </a:prstGeom>
                    <a:noFill/>
                  </pic:spPr>
                </pic:pic>
              </a:graphicData>
            </a:graphic>
          </wp:anchor>
        </w:drawing>
      </w:r>
    </w:p>
    <w:p>
      <w:pPr>
        <w:sectPr>
          <w:pgSz w:w="11900" w:h="16838" w:orient="portrait"/>
          <w:cols w:equalWidth="0" w:num="1">
            <w:col w:w="10800"/>
          </w:cols>
          <w:pgMar w:left="320" w:top="464" w:right="779" w:bottom="1440" w:gutter="0" w:footer="0" w:header="0"/>
          <w:type w:val="continuous"/>
        </w:sectPr>
      </w:pPr>
    </w:p>
    <w:bookmarkStart w:id="91" w:name="page92"/>
    <w:bookmarkEnd w:id="91"/>
    <w:p>
      <w:pPr>
        <w:spacing w:after="0"/>
        <w:rPr>
          <w:sz w:val="20"/>
          <w:szCs w:val="20"/>
          <w:color w:val="auto"/>
        </w:rPr>
      </w:pPr>
      <w:r>
        <w:rPr>
          <w:rFonts w:ascii="Times New Roman" w:cs="Times New Roman" w:eastAsia="Times New Roman" w:hAnsi="Times New Roman"/>
          <w:sz w:val="17"/>
          <w:szCs w:val="17"/>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268605</wp:posOffset>
            </wp:positionH>
            <wp:positionV relativeFrom="paragraph">
              <wp:posOffset>253365</wp:posOffset>
            </wp:positionV>
            <wp:extent cx="1183005" cy="768286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1183005" cy="7682865"/>
                    </a:xfrm>
                    <a:prstGeom prst="rect">
                      <a:avLst/>
                    </a:prstGeom>
                    <a:noFill/>
                  </pic:spPr>
                </pic:pic>
              </a:graphicData>
            </a:graphic>
          </wp:anchor>
        </w:drawing>
      </w:r>
    </w:p>
    <w:p>
      <w:pPr>
        <w:spacing w:after="0" w:line="200" w:lineRule="exact"/>
        <w:rPr>
          <w:sz w:val="20"/>
          <w:szCs w:val="20"/>
          <w:color w:val="auto"/>
        </w:rPr>
      </w:pPr>
    </w:p>
    <w:p>
      <w:pPr>
        <w:spacing w:after="0" w:line="304" w:lineRule="exact"/>
        <w:rPr>
          <w:sz w:val="20"/>
          <w:szCs w:val="20"/>
          <w:color w:val="auto"/>
        </w:rPr>
      </w:pPr>
    </w:p>
    <w:p>
      <w:pPr>
        <w:ind w:left="1120" w:right="460" w:hanging="672"/>
        <w:spacing w:after="0" w:line="382" w:lineRule="auto"/>
        <w:tabs>
          <w:tab w:leader="none" w:pos="610" w:val="left"/>
        </w:tabs>
        <w:numPr>
          <w:ilvl w:val="0"/>
          <w:numId w:val="129"/>
        </w:numPr>
        <w:rPr>
          <w:rFonts w:ascii="Arial" w:cs="Arial" w:eastAsia="Arial" w:hAnsi="Arial"/>
          <w:sz w:val="24"/>
          <w:szCs w:val="24"/>
          <w:color w:val="auto"/>
          <w:vertAlign w:val="subscript"/>
        </w:rPr>
      </w:pPr>
      <w:r>
        <w:rPr>
          <w:rFonts w:ascii="Arial" w:cs="Arial" w:eastAsia="Arial" w:hAnsi="Arial"/>
          <w:sz w:val="24"/>
          <w:szCs w:val="24"/>
          <w:color w:val="000000"/>
          <w:vertAlign w:val="subscript"/>
        </w:rPr>
        <w:t xml:space="preserve">     </w:t>
      </w:r>
      <w:r>
        <w:rPr>
          <w:rFonts w:ascii="Arial" w:cs="Arial" w:eastAsia="Arial" w:hAnsi="Arial"/>
          <w:sz w:val="10"/>
          <w:szCs w:val="10"/>
          <w:color w:val="FFFFFF"/>
        </w:rPr>
        <w:t xml:space="preserve"> General Information</w:t>
      </w:r>
    </w:p>
    <w:p>
      <w:pPr>
        <w:spacing w:after="0" w:line="1" w:lineRule="exact"/>
        <w:rPr>
          <w:sz w:val="20"/>
          <w:szCs w:val="20"/>
          <w:color w:val="auto"/>
        </w:rPr>
      </w:pPr>
    </w:p>
    <w:p>
      <w:pPr>
        <w:ind w:left="1120"/>
        <w:spacing w:after="0"/>
        <w:rPr>
          <w:sz w:val="20"/>
          <w:szCs w:val="20"/>
          <w:color w:val="auto"/>
        </w:rPr>
      </w:pPr>
      <w:r>
        <w:rPr>
          <w:rFonts w:ascii="Arial" w:cs="Arial" w:eastAsia="Arial" w:hAnsi="Arial"/>
          <w:sz w:val="11"/>
          <w:szCs w:val="11"/>
          <w:color w:val="FFFFFF"/>
        </w:rPr>
        <w:t>General Information</w:t>
      </w:r>
    </w:p>
    <w:p>
      <w:pPr>
        <w:spacing w:after="0" w:line="3"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About Corporate</w:t>
      </w:r>
    </w:p>
    <w:p>
      <w:pPr>
        <w:ind w:left="1120"/>
        <w:spacing w:after="0" w:line="221" w:lineRule="auto"/>
        <w:rPr>
          <w:sz w:val="20"/>
          <w:szCs w:val="20"/>
          <w:color w:val="auto"/>
        </w:rPr>
      </w:pPr>
      <w:r>
        <w:rPr>
          <w:rFonts w:ascii="Arial" w:cs="Arial" w:eastAsia="Arial" w:hAnsi="Arial"/>
          <w:sz w:val="12"/>
          <w:szCs w:val="12"/>
          <w:color w:val="FFFFFF"/>
        </w:rPr>
        <w:t>Governance</w:t>
      </w:r>
    </w:p>
    <w:p>
      <w:pPr>
        <w:ind w:left="1120"/>
        <w:spacing w:after="0" w:line="222" w:lineRule="auto"/>
        <w:rPr>
          <w:sz w:val="20"/>
          <w:szCs w:val="20"/>
          <w:color w:val="auto"/>
        </w:rPr>
      </w:pPr>
      <w:r>
        <w:rPr>
          <w:rFonts w:ascii="Arial" w:cs="Arial" w:eastAsia="Arial" w:hAnsi="Arial"/>
          <w:sz w:val="12"/>
          <w:szCs w:val="12"/>
          <w:color w:val="FFFFFF"/>
        </w:rPr>
        <w:t>and the Board of</w:t>
      </w:r>
    </w:p>
    <w:p>
      <w:pPr>
        <w:spacing w:after="0" w:line="1"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Directors</w:t>
      </w:r>
    </w:p>
    <w:p>
      <w:pPr>
        <w:spacing w:after="0" w:line="169" w:lineRule="exact"/>
        <w:rPr>
          <w:sz w:val="20"/>
          <w:szCs w:val="20"/>
          <w:color w:val="auto"/>
        </w:rPr>
      </w:pPr>
    </w:p>
    <w:p>
      <w:pPr>
        <w:jc w:val="center"/>
        <w:ind w:left="620"/>
        <w:spacing w:after="0"/>
        <w:rPr>
          <w:sz w:val="20"/>
          <w:szCs w:val="20"/>
          <w:color w:val="auto"/>
        </w:rPr>
      </w:pPr>
      <w:r>
        <w:rPr>
          <w:rFonts w:ascii="Arial" w:cs="Arial" w:eastAsia="Arial" w:hAnsi="Arial"/>
          <w:sz w:val="12"/>
          <w:szCs w:val="12"/>
          <w:color w:val="FFFFFF"/>
        </w:rPr>
        <w:t>Proposal 1</w:t>
      </w:r>
    </w:p>
    <w:p>
      <w:pPr>
        <w:spacing w:after="0" w:line="181"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Information</w:t>
      </w:r>
    </w:p>
    <w:p>
      <w:pPr>
        <w:ind w:left="1120"/>
        <w:spacing w:after="0" w:line="224" w:lineRule="auto"/>
        <w:rPr>
          <w:sz w:val="20"/>
          <w:szCs w:val="20"/>
          <w:color w:val="auto"/>
        </w:rPr>
      </w:pPr>
      <w:r>
        <w:rPr>
          <w:rFonts w:ascii="Arial" w:cs="Arial" w:eastAsia="Arial" w:hAnsi="Arial"/>
          <w:sz w:val="12"/>
          <w:szCs w:val="12"/>
          <w:color w:val="FFFFFF"/>
        </w:rPr>
        <w:t>Regarding Board</w:t>
      </w:r>
    </w:p>
    <w:p>
      <w:pPr>
        <w:ind w:left="1120"/>
        <w:spacing w:after="0" w:line="222" w:lineRule="auto"/>
        <w:rPr>
          <w:sz w:val="20"/>
          <w:szCs w:val="20"/>
          <w:color w:val="auto"/>
        </w:rPr>
      </w:pPr>
      <w:r>
        <w:rPr>
          <w:rFonts w:ascii="Arial" w:cs="Arial" w:eastAsia="Arial" w:hAnsi="Arial"/>
          <w:sz w:val="12"/>
          <w:szCs w:val="12"/>
          <w:color w:val="FFFFFF"/>
        </w:rPr>
        <w:t>and Committee</w:t>
      </w:r>
    </w:p>
    <w:p>
      <w:pPr>
        <w:ind w:left="1120"/>
        <w:spacing w:after="0"/>
        <w:rPr>
          <w:sz w:val="20"/>
          <w:szCs w:val="20"/>
          <w:color w:val="auto"/>
        </w:rPr>
      </w:pPr>
      <w:r>
        <w:rPr>
          <w:rFonts w:ascii="Arial" w:cs="Arial" w:eastAsia="Arial" w:hAnsi="Arial"/>
          <w:sz w:val="12"/>
          <w:szCs w:val="12"/>
          <w:color w:val="FFFFFF"/>
        </w:rPr>
        <w:t>Structure</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Board of Directors</w:t>
      </w:r>
    </w:p>
    <w:p>
      <w:pPr>
        <w:spacing w:after="0" w:line="2"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Compensation</w:t>
      </w:r>
    </w:p>
    <w:p>
      <w:pPr>
        <w:spacing w:after="0" w:line="169"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Compensation</w:t>
      </w:r>
    </w:p>
    <w:p>
      <w:pPr>
        <w:ind w:left="1120"/>
        <w:spacing w:after="0" w:line="224" w:lineRule="auto"/>
        <w:rPr>
          <w:sz w:val="20"/>
          <w:szCs w:val="20"/>
          <w:color w:val="auto"/>
        </w:rPr>
      </w:pPr>
      <w:r>
        <w:rPr>
          <w:rFonts w:ascii="Arial" w:cs="Arial" w:eastAsia="Arial" w:hAnsi="Arial"/>
          <w:sz w:val="12"/>
          <w:szCs w:val="12"/>
          <w:color w:val="FFFFFF"/>
        </w:rPr>
        <w:t>Discussion and</w:t>
      </w:r>
    </w:p>
    <w:p>
      <w:pPr>
        <w:ind w:left="1120"/>
        <w:spacing w:after="0"/>
        <w:rPr>
          <w:sz w:val="20"/>
          <w:szCs w:val="20"/>
          <w:color w:val="auto"/>
        </w:rPr>
      </w:pPr>
      <w:r>
        <w:rPr>
          <w:rFonts w:ascii="Arial" w:cs="Arial" w:eastAsia="Arial" w:hAnsi="Arial"/>
          <w:sz w:val="12"/>
          <w:szCs w:val="12"/>
          <w:color w:val="FFFFFF"/>
        </w:rPr>
        <w:t>Analysis</w:t>
      </w:r>
    </w:p>
    <w:p>
      <w:pPr>
        <w:spacing w:after="0" w:line="169"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Report of the</w:t>
      </w:r>
    </w:p>
    <w:p>
      <w:pPr>
        <w:ind w:left="1120"/>
        <w:spacing w:after="0" w:line="224" w:lineRule="auto"/>
        <w:rPr>
          <w:sz w:val="20"/>
          <w:szCs w:val="20"/>
          <w:color w:val="auto"/>
        </w:rPr>
      </w:pPr>
      <w:r>
        <w:rPr>
          <w:rFonts w:ascii="Arial" w:cs="Arial" w:eastAsia="Arial" w:hAnsi="Arial"/>
          <w:sz w:val="12"/>
          <w:szCs w:val="12"/>
          <w:color w:val="FFFFFF"/>
        </w:rPr>
        <w:t>Compensation</w:t>
      </w:r>
    </w:p>
    <w:p>
      <w:pPr>
        <w:ind w:left="1120"/>
        <w:spacing w:after="0" w:line="222" w:lineRule="auto"/>
        <w:rPr>
          <w:sz w:val="20"/>
          <w:szCs w:val="20"/>
          <w:color w:val="auto"/>
        </w:rPr>
      </w:pPr>
      <w:r>
        <w:rPr>
          <w:rFonts w:ascii="Arial" w:cs="Arial" w:eastAsia="Arial" w:hAnsi="Arial"/>
          <w:sz w:val="12"/>
          <w:szCs w:val="12"/>
          <w:color w:val="FFFFFF"/>
        </w:rPr>
        <w:t>and Human</w:t>
      </w:r>
    </w:p>
    <w:p>
      <w:pPr>
        <w:ind w:left="1120"/>
        <w:spacing w:after="0" w:line="222" w:lineRule="auto"/>
        <w:rPr>
          <w:sz w:val="20"/>
          <w:szCs w:val="20"/>
          <w:color w:val="auto"/>
        </w:rPr>
      </w:pPr>
      <w:r>
        <w:rPr>
          <w:rFonts w:ascii="Arial" w:cs="Arial" w:eastAsia="Arial" w:hAnsi="Arial"/>
          <w:sz w:val="12"/>
          <w:szCs w:val="12"/>
          <w:color w:val="FFFFFF"/>
        </w:rPr>
        <w:t>Resources</w:t>
      </w:r>
    </w:p>
    <w:p>
      <w:pPr>
        <w:ind w:left="1120"/>
        <w:spacing w:after="0" w:line="222" w:lineRule="auto"/>
        <w:rPr>
          <w:sz w:val="20"/>
          <w:szCs w:val="20"/>
          <w:color w:val="auto"/>
        </w:rPr>
      </w:pPr>
      <w:r>
        <w:rPr>
          <w:rFonts w:ascii="Arial" w:cs="Arial" w:eastAsia="Arial" w:hAnsi="Arial"/>
          <w:sz w:val="12"/>
          <w:szCs w:val="12"/>
          <w:color w:val="FFFFFF"/>
        </w:rPr>
        <w:t>Committee of the</w:t>
      </w:r>
    </w:p>
    <w:p>
      <w:pPr>
        <w:ind w:left="1120"/>
        <w:spacing w:after="0"/>
        <w:rPr>
          <w:sz w:val="20"/>
          <w:szCs w:val="20"/>
          <w:color w:val="auto"/>
        </w:rPr>
      </w:pPr>
      <w:r>
        <w:rPr>
          <w:rFonts w:ascii="Arial" w:cs="Arial" w:eastAsia="Arial" w:hAnsi="Arial"/>
          <w:sz w:val="12"/>
          <w:szCs w:val="12"/>
          <w:color w:val="FFFFFF"/>
        </w:rPr>
        <w:t>Board of Directors</w:t>
      </w:r>
    </w:p>
    <w:p>
      <w:pPr>
        <w:spacing w:after="0" w:line="169"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Compensation of</w:t>
      </w:r>
    </w:p>
    <w:p>
      <w:pPr>
        <w:ind w:left="1120"/>
        <w:spacing w:after="0" w:line="224" w:lineRule="auto"/>
        <w:rPr>
          <w:sz w:val="20"/>
          <w:szCs w:val="20"/>
          <w:color w:val="auto"/>
        </w:rPr>
      </w:pPr>
      <w:r>
        <w:rPr>
          <w:rFonts w:ascii="Arial" w:cs="Arial" w:eastAsia="Arial" w:hAnsi="Arial"/>
          <w:sz w:val="12"/>
          <w:szCs w:val="12"/>
          <w:color w:val="FFFFFF"/>
        </w:rPr>
        <w:t>Named Executive</w:t>
      </w:r>
    </w:p>
    <w:p>
      <w:pPr>
        <w:ind w:left="1120"/>
        <w:spacing w:after="0"/>
        <w:rPr>
          <w:sz w:val="20"/>
          <w:szCs w:val="20"/>
          <w:color w:val="auto"/>
        </w:rPr>
      </w:pPr>
      <w:r>
        <w:rPr>
          <w:rFonts w:ascii="Arial" w:cs="Arial" w:eastAsia="Arial" w:hAnsi="Arial"/>
          <w:sz w:val="12"/>
          <w:szCs w:val="12"/>
          <w:color w:val="FFFFFF"/>
        </w:rPr>
        <w:t>Officers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Pay Versus</w:t>
      </w:r>
    </w:p>
    <w:p>
      <w:pPr>
        <w:ind w:left="1120"/>
        <w:spacing w:after="0" w:line="224" w:lineRule="auto"/>
        <w:rPr>
          <w:sz w:val="20"/>
          <w:szCs w:val="20"/>
          <w:color w:val="auto"/>
        </w:rPr>
      </w:pPr>
      <w:r>
        <w:rPr>
          <w:rFonts w:ascii="Arial" w:cs="Arial" w:eastAsia="Arial" w:hAnsi="Arial"/>
          <w:sz w:val="12"/>
          <w:szCs w:val="12"/>
          <w:color w:val="FFFFFF"/>
        </w:rPr>
        <w:t>Performance</w:t>
      </w:r>
    </w:p>
    <w:p>
      <w:pPr>
        <w:ind w:left="1120"/>
        <w:spacing w:after="0"/>
        <w:rPr>
          <w:sz w:val="20"/>
          <w:szCs w:val="20"/>
          <w:color w:val="auto"/>
        </w:rPr>
      </w:pPr>
      <w:r>
        <w:rPr>
          <w:rFonts w:ascii="Arial" w:cs="Arial" w:eastAsia="Arial" w:hAnsi="Arial"/>
          <w:sz w:val="12"/>
          <w:szCs w:val="12"/>
          <w:color w:val="FFFFFF"/>
        </w:rPr>
        <w:t>Disclosure</w:t>
      </w:r>
    </w:p>
    <w:p>
      <w:pPr>
        <w:spacing w:after="0" w:line="169"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Security</w:t>
      </w:r>
    </w:p>
    <w:p>
      <w:pPr>
        <w:ind w:left="1120"/>
        <w:spacing w:after="0" w:line="224" w:lineRule="auto"/>
        <w:rPr>
          <w:sz w:val="20"/>
          <w:szCs w:val="20"/>
          <w:color w:val="auto"/>
        </w:rPr>
      </w:pPr>
      <w:r>
        <w:rPr>
          <w:rFonts w:ascii="Arial" w:cs="Arial" w:eastAsia="Arial" w:hAnsi="Arial"/>
          <w:sz w:val="12"/>
          <w:szCs w:val="12"/>
          <w:color w:val="FFFFFF"/>
        </w:rPr>
        <w:t>Ownership of</w:t>
      </w:r>
    </w:p>
    <w:p>
      <w:pPr>
        <w:ind w:left="1120"/>
        <w:spacing w:after="0" w:line="222" w:lineRule="auto"/>
        <w:rPr>
          <w:sz w:val="20"/>
          <w:szCs w:val="20"/>
          <w:color w:val="auto"/>
        </w:rPr>
      </w:pPr>
      <w:r>
        <w:rPr>
          <w:rFonts w:ascii="Arial" w:cs="Arial" w:eastAsia="Arial" w:hAnsi="Arial"/>
          <w:sz w:val="12"/>
          <w:szCs w:val="12"/>
          <w:color w:val="FFFFFF"/>
        </w:rPr>
        <w:t>Certain Beneficial</w:t>
      </w:r>
    </w:p>
    <w:p>
      <w:pPr>
        <w:ind w:left="1120"/>
        <w:spacing w:after="0" w:line="222" w:lineRule="auto"/>
        <w:rPr>
          <w:sz w:val="20"/>
          <w:szCs w:val="20"/>
          <w:color w:val="auto"/>
        </w:rPr>
      </w:pPr>
      <w:r>
        <w:rPr>
          <w:rFonts w:ascii="Arial" w:cs="Arial" w:eastAsia="Arial" w:hAnsi="Arial"/>
          <w:sz w:val="12"/>
          <w:szCs w:val="12"/>
          <w:color w:val="FFFFFF"/>
        </w:rPr>
        <w:t>Owners and</w:t>
      </w:r>
    </w:p>
    <w:p>
      <w:pPr>
        <w:ind w:left="1120"/>
        <w:spacing w:after="0"/>
        <w:rPr>
          <w:sz w:val="20"/>
          <w:szCs w:val="20"/>
          <w:color w:val="auto"/>
        </w:rPr>
      </w:pPr>
      <w:r>
        <w:rPr>
          <w:rFonts w:ascii="Arial" w:cs="Arial" w:eastAsia="Arial" w:hAnsi="Arial"/>
          <w:sz w:val="12"/>
          <w:szCs w:val="12"/>
          <w:color w:val="FFFFFF"/>
        </w:rPr>
        <w:t>Management</w:t>
      </w:r>
    </w:p>
    <w:p>
      <w:pPr>
        <w:spacing w:after="0" w:line="169"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Certain</w:t>
      </w:r>
    </w:p>
    <w:p>
      <w:pPr>
        <w:ind w:left="1120"/>
        <w:spacing w:after="0" w:line="224" w:lineRule="auto"/>
        <w:rPr>
          <w:sz w:val="20"/>
          <w:szCs w:val="20"/>
          <w:color w:val="auto"/>
        </w:rPr>
      </w:pPr>
      <w:r>
        <w:rPr>
          <w:rFonts w:ascii="Arial" w:cs="Arial" w:eastAsia="Arial" w:hAnsi="Arial"/>
          <w:sz w:val="12"/>
          <w:szCs w:val="12"/>
          <w:color w:val="FFFFFF"/>
        </w:rPr>
        <w:t>Relationships and</w:t>
      </w:r>
    </w:p>
    <w:p>
      <w:pPr>
        <w:ind w:left="1120"/>
        <w:spacing w:after="0" w:line="222" w:lineRule="auto"/>
        <w:rPr>
          <w:sz w:val="20"/>
          <w:szCs w:val="20"/>
          <w:color w:val="auto"/>
        </w:rPr>
      </w:pPr>
      <w:r>
        <w:rPr>
          <w:rFonts w:ascii="Arial" w:cs="Arial" w:eastAsia="Arial" w:hAnsi="Arial"/>
          <w:sz w:val="12"/>
          <w:szCs w:val="12"/>
          <w:color w:val="FFFFFF"/>
        </w:rPr>
        <w:t>Related Party</w:t>
      </w:r>
    </w:p>
    <w:p>
      <w:pPr>
        <w:ind w:left="1120"/>
        <w:spacing w:after="0"/>
        <w:rPr>
          <w:sz w:val="20"/>
          <w:szCs w:val="20"/>
          <w:color w:val="auto"/>
        </w:rPr>
      </w:pPr>
      <w:r>
        <w:rPr>
          <w:rFonts w:ascii="Arial" w:cs="Arial" w:eastAsia="Arial" w:hAnsi="Arial"/>
          <w:sz w:val="12"/>
          <w:szCs w:val="12"/>
          <w:color w:val="FFFFFF"/>
        </w:rPr>
        <w:t>Transactions</w:t>
      </w:r>
    </w:p>
    <w:p>
      <w:pPr>
        <w:spacing w:after="0" w:line="169"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Proposal 2</w:t>
      </w:r>
    </w:p>
    <w:p>
      <w:pPr>
        <w:spacing w:after="0" w:line="156" w:lineRule="exact"/>
        <w:rPr>
          <w:sz w:val="20"/>
          <w:szCs w:val="20"/>
          <w:color w:val="auto"/>
        </w:rPr>
      </w:pPr>
    </w:p>
    <w:p>
      <w:pPr>
        <w:ind w:left="1120"/>
        <w:spacing w:after="0" w:line="265" w:lineRule="auto"/>
        <w:rPr>
          <w:sz w:val="20"/>
          <w:szCs w:val="20"/>
          <w:color w:val="auto"/>
        </w:rPr>
      </w:pPr>
      <w:r>
        <w:rPr>
          <w:rFonts w:ascii="Arial" w:cs="Arial" w:eastAsia="Arial" w:hAnsi="Arial"/>
          <w:sz w:val="11"/>
          <w:szCs w:val="11"/>
          <w:b w:val="1"/>
          <w:bCs w:val="1"/>
          <w:color w:val="FFFFFF"/>
        </w:rPr>
        <w:t>Report of the Audit and Risk Committee of the Board of Directors</w:t>
      </w:r>
    </w:p>
    <w:p>
      <w:pPr>
        <w:spacing w:after="0" w:line="143" w:lineRule="exact"/>
        <w:rPr>
          <w:sz w:val="20"/>
          <w:szCs w:val="20"/>
          <w:color w:val="auto"/>
        </w:rPr>
      </w:pPr>
    </w:p>
    <w:p>
      <w:pPr>
        <w:jc w:val="center"/>
        <w:ind w:left="620"/>
        <w:spacing w:after="0"/>
        <w:rPr>
          <w:sz w:val="20"/>
          <w:szCs w:val="20"/>
          <w:color w:val="auto"/>
        </w:rPr>
      </w:pPr>
      <w:r>
        <w:rPr>
          <w:rFonts w:ascii="Arial" w:cs="Arial" w:eastAsia="Arial" w:hAnsi="Arial"/>
          <w:sz w:val="12"/>
          <w:szCs w:val="12"/>
          <w:color w:val="FFFFFF"/>
        </w:rPr>
        <w:t>Proposal 3</w:t>
      </w:r>
    </w:p>
    <w:p>
      <w:pPr>
        <w:spacing w:after="0" w:line="156" w:lineRule="exact"/>
        <w:rPr>
          <w:sz w:val="20"/>
          <w:szCs w:val="20"/>
          <w:color w:val="auto"/>
        </w:rPr>
      </w:pPr>
    </w:p>
    <w:p>
      <w:pPr>
        <w:jc w:val="center"/>
        <w:ind w:left="620"/>
        <w:spacing w:after="0"/>
        <w:rPr>
          <w:sz w:val="20"/>
          <w:szCs w:val="20"/>
          <w:color w:val="auto"/>
        </w:rPr>
      </w:pPr>
      <w:r>
        <w:rPr>
          <w:rFonts w:ascii="Arial" w:cs="Arial" w:eastAsia="Arial" w:hAnsi="Arial"/>
          <w:sz w:val="12"/>
          <w:szCs w:val="12"/>
          <w:color w:val="FFFFFF"/>
        </w:rPr>
        <w:t>Proposal 4</w:t>
      </w:r>
    </w:p>
    <w:p>
      <w:pPr>
        <w:spacing w:after="0" w:line="181" w:lineRule="exact"/>
        <w:rPr>
          <w:sz w:val="20"/>
          <w:szCs w:val="20"/>
          <w:color w:val="auto"/>
        </w:rPr>
      </w:pPr>
    </w:p>
    <w:p>
      <w:pPr>
        <w:jc w:val="center"/>
        <w:ind w:left="620"/>
        <w:spacing w:after="0"/>
        <w:rPr>
          <w:sz w:val="20"/>
          <w:szCs w:val="20"/>
          <w:color w:val="auto"/>
        </w:rPr>
      </w:pPr>
      <w:r>
        <w:rPr>
          <w:rFonts w:ascii="Arial" w:cs="Arial" w:eastAsia="Arial" w:hAnsi="Arial"/>
          <w:sz w:val="12"/>
          <w:szCs w:val="12"/>
          <w:color w:val="FFFFFF"/>
        </w:rPr>
        <w:t>Proposal 5</w:t>
      </w:r>
    </w:p>
    <w:p>
      <w:pPr>
        <w:spacing w:after="0" w:line="156"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Proposal 6</w:t>
      </w:r>
    </w:p>
    <w:p>
      <w:pPr>
        <w:spacing w:after="0" w:line="181"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Stockholder</w:t>
      </w:r>
    </w:p>
    <w:p>
      <w:pPr>
        <w:ind w:left="1120"/>
        <w:spacing w:after="0" w:line="224" w:lineRule="auto"/>
        <w:rPr>
          <w:sz w:val="20"/>
          <w:szCs w:val="20"/>
          <w:color w:val="auto"/>
        </w:rPr>
      </w:pPr>
      <w:r>
        <w:rPr>
          <w:rFonts w:ascii="Arial" w:cs="Arial" w:eastAsia="Arial" w:hAnsi="Arial"/>
          <w:sz w:val="12"/>
          <w:szCs w:val="12"/>
          <w:color w:val="FFFFFF"/>
        </w:rPr>
        <w:t>Proposals and</w:t>
      </w:r>
    </w:p>
    <w:p>
      <w:pPr>
        <w:ind w:left="1120"/>
        <w:spacing w:after="0"/>
        <w:rPr>
          <w:sz w:val="20"/>
          <w:szCs w:val="20"/>
          <w:color w:val="auto"/>
        </w:rPr>
      </w:pPr>
      <w:r>
        <w:rPr>
          <w:rFonts w:ascii="Arial" w:cs="Arial" w:eastAsia="Arial" w:hAnsi="Arial"/>
          <w:sz w:val="12"/>
          <w:szCs w:val="12"/>
          <w:color w:val="FFFFFF"/>
        </w:rPr>
        <w:t>Other Matters</w:t>
      </w:r>
    </w:p>
    <w:p>
      <w:pPr>
        <w:spacing w:after="0" w:line="169"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Delinquent</w:t>
      </w:r>
    </w:p>
    <w:p>
      <w:pPr>
        <w:ind w:left="1120"/>
        <w:spacing w:after="0" w:line="224" w:lineRule="auto"/>
        <w:rPr>
          <w:sz w:val="20"/>
          <w:szCs w:val="20"/>
          <w:color w:val="auto"/>
        </w:rPr>
      </w:pPr>
      <w:r>
        <w:rPr>
          <w:rFonts w:ascii="Arial" w:cs="Arial" w:eastAsia="Arial" w:hAnsi="Arial"/>
          <w:sz w:val="12"/>
          <w:szCs w:val="12"/>
          <w:color w:val="FFFFFF"/>
        </w:rPr>
        <w:t>Section 16(a)</w:t>
      </w:r>
    </w:p>
    <w:p>
      <w:pPr>
        <w:ind w:left="1120"/>
        <w:spacing w:after="0"/>
        <w:rPr>
          <w:sz w:val="20"/>
          <w:szCs w:val="20"/>
          <w:color w:val="auto"/>
        </w:rPr>
      </w:pPr>
      <w:r>
        <w:rPr>
          <w:rFonts w:ascii="Arial" w:cs="Arial" w:eastAsia="Arial" w:hAnsi="Arial"/>
          <w:sz w:val="12"/>
          <w:szCs w:val="12"/>
          <w:color w:val="FFFFFF"/>
        </w:rPr>
        <w:t>Reports</w:t>
      </w:r>
    </w:p>
    <w:p>
      <w:pPr>
        <w:spacing w:after="0" w:line="169"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Other</w:t>
      </w:r>
    </w:p>
    <w:p>
      <w:pPr>
        <w:spacing w:after="0" w:line="2"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Information</w:t>
      </w:r>
    </w:p>
    <w:p>
      <w:pPr>
        <w:spacing w:after="0" w:line="144" w:lineRule="exact"/>
        <w:rPr>
          <w:sz w:val="20"/>
          <w:szCs w:val="20"/>
          <w:color w:val="auto"/>
        </w:rPr>
      </w:pPr>
    </w:p>
    <w:p>
      <w:pPr>
        <w:jc w:val="center"/>
        <w:ind w:left="660"/>
        <w:spacing w:after="0"/>
        <w:rPr>
          <w:sz w:val="20"/>
          <w:szCs w:val="20"/>
          <w:color w:val="auto"/>
        </w:rPr>
      </w:pPr>
      <w:r>
        <w:rPr>
          <w:rFonts w:ascii="Arial" w:cs="Arial" w:eastAsia="Arial" w:hAnsi="Arial"/>
          <w:sz w:val="12"/>
          <w:szCs w:val="12"/>
          <w:color w:val="FFFFFF"/>
        </w:rPr>
        <w:t>Appendix A</w:t>
      </w:r>
    </w:p>
    <w:p>
      <w:pPr>
        <w:spacing w:after="0" w:line="181" w:lineRule="exact"/>
        <w:rPr>
          <w:sz w:val="20"/>
          <w:szCs w:val="20"/>
          <w:color w:val="auto"/>
        </w:rPr>
      </w:pPr>
    </w:p>
    <w:p>
      <w:pPr>
        <w:jc w:val="center"/>
        <w:ind w:left="660"/>
        <w:spacing w:after="0"/>
        <w:rPr>
          <w:sz w:val="20"/>
          <w:szCs w:val="20"/>
          <w:color w:val="auto"/>
        </w:rPr>
      </w:pPr>
      <w:r>
        <w:rPr>
          <w:rFonts w:ascii="Arial" w:cs="Arial" w:eastAsia="Arial" w:hAnsi="Arial"/>
          <w:sz w:val="12"/>
          <w:szCs w:val="12"/>
          <w:color w:val="FFFFFF"/>
        </w:rPr>
        <w:t>Appendix 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right="540"/>
        <w:spacing w:after="0" w:line="284" w:lineRule="auto"/>
        <w:rPr>
          <w:sz w:val="20"/>
          <w:szCs w:val="20"/>
          <w:color w:val="auto"/>
        </w:rPr>
      </w:pPr>
      <w:r>
        <w:rPr>
          <w:rFonts w:ascii="Times New Roman" w:cs="Times New Roman" w:eastAsia="Times New Roman" w:hAnsi="Times New Roman"/>
          <w:sz w:val="47"/>
          <w:szCs w:val="47"/>
          <w:b w:val="1"/>
          <w:bCs w:val="1"/>
          <w:color w:val="002B5F"/>
        </w:rPr>
        <w:t>Report of the Audit and Risk Committee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-1737995</wp:posOffset>
            </wp:positionH>
            <wp:positionV relativeFrom="paragraph">
              <wp:posOffset>-1417320</wp:posOffset>
            </wp:positionV>
            <wp:extent cx="7181215" cy="5334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81215" cy="5334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-47625</wp:posOffset>
            </wp:positionV>
            <wp:extent cx="5065395"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5065395" cy="8255"/>
                    </a:xfrm>
                    <a:prstGeom prst="rect">
                      <a:avLst/>
                    </a:prstGeom>
                    <a:noFill/>
                  </pic:spPr>
                </pic:pic>
              </a:graphicData>
            </a:graphic>
          </wp:anchor>
        </w:drawing>
      </w:r>
    </w:p>
    <w:p>
      <w:pPr>
        <w:spacing w:after="0" w:line="109" w:lineRule="exact"/>
        <w:rPr>
          <w:sz w:val="20"/>
          <w:szCs w:val="20"/>
          <w:color w:val="auto"/>
        </w:rPr>
      </w:pPr>
    </w:p>
    <w:p>
      <w:pPr>
        <w:ind w:right="140"/>
        <w:spacing w:after="0" w:line="261" w:lineRule="auto"/>
        <w:rPr>
          <w:sz w:val="20"/>
          <w:szCs w:val="20"/>
          <w:color w:val="auto"/>
        </w:rPr>
      </w:pPr>
      <w:r>
        <w:rPr>
          <w:rFonts w:ascii="Arial" w:cs="Arial" w:eastAsia="Arial" w:hAnsi="Arial"/>
          <w:sz w:val="15"/>
          <w:szCs w:val="15"/>
          <w:color w:val="auto"/>
        </w:rPr>
        <w:t>The Audit and Risk Committee of the Board of Directors (the “Audit Committee”) comprises the five directors named below. Each member of the Audit Committee is an independent director (as independence is defined in the listing standards of the Nasdaq Global Select Market and Rule 10A-3 under the Exchange Act with respect to membership on audit committees).</w:t>
      </w:r>
    </w:p>
    <w:p>
      <w:pPr>
        <w:spacing w:after="0" w:line="67" w:lineRule="exact"/>
        <w:rPr>
          <w:sz w:val="20"/>
          <w:szCs w:val="20"/>
          <w:color w:val="auto"/>
        </w:rPr>
      </w:pPr>
    </w:p>
    <w:p>
      <w:pPr>
        <w:spacing w:after="0" w:line="250" w:lineRule="auto"/>
        <w:rPr>
          <w:sz w:val="20"/>
          <w:szCs w:val="20"/>
          <w:color w:val="auto"/>
        </w:rPr>
      </w:pPr>
      <w:r>
        <w:rPr>
          <w:rFonts w:ascii="Arial" w:cs="Arial" w:eastAsia="Arial" w:hAnsi="Arial"/>
          <w:sz w:val="15"/>
          <w:szCs w:val="15"/>
          <w:color w:val="auto"/>
        </w:rPr>
        <w:t xml:space="preserve">The Audit Committee has adopted a written charter, which has been approved by the Board of Directors. The Audit Committee has reviewed and discussed the Company’s audited consolidated financial statements with management, which has primary responsibility for the consolidated financial statements, and with the Company’s independent registered public accounting firm. The Company’s independent registered public accounting firm is responsible for expressing opinions on the conformity of the Company’s audited consolidated financial statements with generally accepted accounting principles and on the Company’s internal control over financial reporting. The Audit Committee has discussed with the Company’s independent registered public accounting firm, which was Deloitte &amp; Touche LLP and the member firms of Deloitte Touche Tohmatsu (collectively referred to as “Deloitte”) for 2025 and 2024, the matters that are required to be discussed by applicable standards of the Public Company Accounting Oversight Board (“PCAOB”), including Auditing Standard 1301, </w:t>
      </w:r>
      <w:r>
        <w:rPr>
          <w:rFonts w:ascii="Arial" w:cs="Arial" w:eastAsia="Arial" w:hAnsi="Arial"/>
          <w:sz w:val="15"/>
          <w:szCs w:val="15"/>
          <w:i w:val="1"/>
          <w:iCs w:val="1"/>
          <w:color w:val="auto"/>
        </w:rPr>
        <w:t>Communications with Audit Committees,</w:t>
      </w:r>
      <w:r>
        <w:rPr>
          <w:rFonts w:ascii="Arial" w:cs="Arial" w:eastAsia="Arial" w:hAnsi="Arial"/>
          <w:sz w:val="15"/>
          <w:szCs w:val="15"/>
          <w:color w:val="auto"/>
        </w:rPr>
        <w:t xml:space="preserve"> as adopted by the PCAOB, as well as Rule 2-07 of Regulation S-X of the SEC — </w:t>
      </w:r>
      <w:r>
        <w:rPr>
          <w:rFonts w:ascii="Arial" w:cs="Arial" w:eastAsia="Arial" w:hAnsi="Arial"/>
          <w:sz w:val="15"/>
          <w:szCs w:val="15"/>
          <w:i w:val="1"/>
          <w:iCs w:val="1"/>
          <w:color w:val="auto"/>
        </w:rPr>
        <w:t>Communication with Audit Committees</w:t>
      </w:r>
      <w:r>
        <w:rPr>
          <w:rFonts w:ascii="Arial" w:cs="Arial" w:eastAsia="Arial" w:hAnsi="Arial"/>
          <w:sz w:val="15"/>
          <w:szCs w:val="15"/>
          <w:color w:val="auto"/>
        </w:rPr>
        <w:t xml:space="preserve">. Deloitte has also provided to the Audit Committee their communication required by PCAOB Ethics and Independence Rule 3526, </w:t>
      </w:r>
      <w:r>
        <w:rPr>
          <w:rFonts w:ascii="Arial" w:cs="Arial" w:eastAsia="Arial" w:hAnsi="Arial"/>
          <w:sz w:val="15"/>
          <w:szCs w:val="15"/>
          <w:i w:val="1"/>
          <w:iCs w:val="1"/>
          <w:color w:val="auto"/>
        </w:rPr>
        <w:t>Communications with Audit Committees Concerning Independence</w:t>
      </w:r>
      <w:r>
        <w:rPr>
          <w:rFonts w:ascii="Arial" w:cs="Arial" w:eastAsia="Arial" w:hAnsi="Arial"/>
          <w:sz w:val="15"/>
          <w:szCs w:val="15"/>
          <w:color w:val="auto"/>
        </w:rPr>
        <w:t>, and the Audit Committee discussed with Deloitte</w:t>
      </w:r>
      <w:r>
        <w:rPr>
          <w:rFonts w:ascii="Arial" w:cs="Arial" w:eastAsia="Arial" w:hAnsi="Arial"/>
          <w:sz w:val="15"/>
          <w:szCs w:val="15"/>
          <w:i w:val="1"/>
          <w:iCs w:val="1"/>
          <w:color w:val="auto"/>
        </w:rPr>
        <w:t xml:space="preserve"> </w:t>
      </w:r>
      <w:r>
        <w:rPr>
          <w:rFonts w:ascii="Arial" w:cs="Arial" w:eastAsia="Arial" w:hAnsi="Arial"/>
          <w:sz w:val="15"/>
          <w:szCs w:val="15"/>
          <w:color w:val="auto"/>
        </w:rPr>
        <w:t>the firm’s independence. The Audit Committee also considered and determined that the provision by Deloitte of non-audit related services in 2025, which consisted of tax compliance and advisory services, is consistent with the SEC and PCAOB rules on auditor independence. Based on the foregoing review and discussions, the Audit Committee recommended to the Board of Directors that the consolidated financial statements audited by Deloitte for 2025 and 2024 be included in the Company’s Annual Report on Form 10-K for 2025, and the Audit Committee has appointed Deloitte as the Company’s independent registered public accounting firm for 2026.</w:t>
      </w:r>
    </w:p>
    <w:p>
      <w:pPr>
        <w:spacing w:after="0" w:line="185" w:lineRule="exact"/>
        <w:rPr>
          <w:sz w:val="20"/>
          <w:szCs w:val="20"/>
          <w:color w:val="auto"/>
        </w:rPr>
      </w:pPr>
    </w:p>
    <w:p>
      <w:pPr>
        <w:jc w:val="center"/>
        <w:ind w:left="-3599"/>
        <w:spacing w:after="0"/>
        <w:rPr>
          <w:sz w:val="20"/>
          <w:szCs w:val="20"/>
          <w:color w:val="auto"/>
        </w:rPr>
      </w:pPr>
      <w:r>
        <w:rPr>
          <w:rFonts w:ascii="Arial" w:cs="Arial" w:eastAsia="Arial" w:hAnsi="Arial"/>
          <w:sz w:val="15"/>
          <w:szCs w:val="15"/>
          <w:color w:val="auto"/>
        </w:rPr>
        <w:t>H. Paulett Eberhart, Chair</w:t>
      </w:r>
    </w:p>
    <w:p>
      <w:pPr>
        <w:spacing w:after="0" w:line="20" w:lineRule="exact"/>
        <w:rPr>
          <w:sz w:val="20"/>
          <w:szCs w:val="20"/>
          <w:color w:val="auto"/>
        </w:rPr>
      </w:pPr>
    </w:p>
    <w:p>
      <w:pPr>
        <w:jc w:val="center"/>
        <w:ind w:left="-3599"/>
        <w:spacing w:after="0"/>
        <w:rPr>
          <w:sz w:val="20"/>
          <w:szCs w:val="20"/>
          <w:color w:val="auto"/>
        </w:rPr>
      </w:pPr>
      <w:r>
        <w:rPr>
          <w:rFonts w:ascii="Arial" w:cs="Arial" w:eastAsia="Arial" w:hAnsi="Arial"/>
          <w:sz w:val="15"/>
          <w:szCs w:val="15"/>
          <w:color w:val="auto"/>
        </w:rPr>
        <w:t>Edward C. Bernard</w:t>
      </w:r>
    </w:p>
    <w:p>
      <w:pPr>
        <w:spacing w:after="0" w:line="6" w:lineRule="exact"/>
        <w:rPr>
          <w:sz w:val="20"/>
          <w:szCs w:val="20"/>
          <w:color w:val="auto"/>
        </w:rPr>
      </w:pPr>
    </w:p>
    <w:p>
      <w:pPr>
        <w:jc w:val="center"/>
        <w:ind w:left="-3599"/>
        <w:spacing w:after="0"/>
        <w:rPr>
          <w:sz w:val="20"/>
          <w:szCs w:val="20"/>
          <w:color w:val="auto"/>
        </w:rPr>
      </w:pPr>
      <w:r>
        <w:rPr>
          <w:rFonts w:ascii="Arial" w:cs="Arial" w:eastAsia="Arial" w:hAnsi="Arial"/>
          <w:sz w:val="15"/>
          <w:szCs w:val="15"/>
          <w:color w:val="auto"/>
        </w:rPr>
        <w:t>Albert J. Ko</w:t>
      </w:r>
    </w:p>
    <w:p>
      <w:pPr>
        <w:spacing w:after="0" w:line="6" w:lineRule="exact"/>
        <w:rPr>
          <w:sz w:val="20"/>
          <w:szCs w:val="20"/>
          <w:color w:val="auto"/>
        </w:rPr>
      </w:pPr>
    </w:p>
    <w:p>
      <w:pPr>
        <w:jc w:val="center"/>
        <w:ind w:left="-3599"/>
        <w:spacing w:after="0"/>
        <w:rPr>
          <w:sz w:val="20"/>
          <w:szCs w:val="20"/>
          <w:color w:val="auto"/>
        </w:rPr>
      </w:pPr>
      <w:r>
        <w:rPr>
          <w:rFonts w:ascii="Arial" w:cs="Arial" w:eastAsia="Arial" w:hAnsi="Arial"/>
          <w:sz w:val="15"/>
          <w:szCs w:val="15"/>
          <w:color w:val="auto"/>
        </w:rPr>
        <w:t>Richard P. Schifter</w:t>
      </w:r>
    </w:p>
    <w:p>
      <w:pPr>
        <w:spacing w:after="0" w:line="6" w:lineRule="exact"/>
        <w:rPr>
          <w:sz w:val="20"/>
          <w:szCs w:val="20"/>
          <w:color w:val="auto"/>
        </w:rPr>
      </w:pPr>
    </w:p>
    <w:p>
      <w:pPr>
        <w:jc w:val="center"/>
        <w:ind w:left="-3599"/>
        <w:spacing w:after="0"/>
        <w:rPr>
          <w:sz w:val="20"/>
          <w:szCs w:val="20"/>
          <w:color w:val="auto"/>
        </w:rPr>
      </w:pPr>
      <w:r>
        <w:rPr>
          <w:rFonts w:ascii="Arial" w:cs="Arial" w:eastAsia="Arial" w:hAnsi="Arial"/>
          <w:sz w:val="15"/>
          <w:szCs w:val="15"/>
          <w:color w:val="auto"/>
        </w:rPr>
        <w:t>Corey E. Thomas</w:t>
      </w:r>
    </w:p>
    <w:p>
      <w:pPr>
        <w:spacing w:after="0" w:line="6" w:lineRule="exact"/>
        <w:rPr>
          <w:sz w:val="20"/>
          <w:szCs w:val="20"/>
          <w:color w:val="auto"/>
        </w:rPr>
      </w:pPr>
    </w:p>
    <w:p>
      <w:pPr>
        <w:jc w:val="center"/>
        <w:ind w:left="-3599"/>
        <w:spacing w:after="0"/>
        <w:rPr>
          <w:sz w:val="20"/>
          <w:szCs w:val="20"/>
          <w:color w:val="auto"/>
        </w:rPr>
      </w:pPr>
      <w:r>
        <w:rPr>
          <w:rFonts w:ascii="Arial" w:cs="Arial" w:eastAsia="Arial" w:hAnsi="Arial"/>
          <w:sz w:val="15"/>
          <w:szCs w:val="15"/>
          <w:color w:val="auto"/>
        </w:rPr>
        <w:t>[</w:t>
      </w:r>
      <w:r>
        <w:rPr>
          <w:rFonts w:ascii="Times New Roman" w:cs="Times New Roman" w:eastAsia="Times New Roman" w:hAnsi="Times New Roman"/>
          <w:sz w:val="15"/>
          <w:szCs w:val="15"/>
          <w:color w:val="auto"/>
        </w:rPr>
        <w:t>●</w:t>
      </w:r>
      <w:r>
        <w:rPr>
          <w:rFonts w:ascii="Arial" w:cs="Arial" w:eastAsia="Arial" w:hAnsi="Arial"/>
          <w:sz w:val="15"/>
          <w:szCs w:val="15"/>
          <w:color w:val="auto"/>
        </w:rPr>
        <w:t>], 2026</w:t>
      </w:r>
    </w:p>
    <w:p>
      <w:pPr>
        <w:spacing w:after="0" w:line="4714" w:lineRule="exact"/>
        <w:rPr>
          <w:sz w:val="20"/>
          <w:szCs w:val="20"/>
          <w:color w:val="auto"/>
        </w:rPr>
      </w:pPr>
    </w:p>
    <w:p>
      <w:pPr>
        <w:sectPr>
          <w:pgSz w:w="11900" w:h="16838" w:orient="portrait"/>
          <w:cols w:equalWidth="0" w:num="2">
            <w:col w:w="2160" w:space="560"/>
            <w:col w:w="7980"/>
          </w:cols>
          <w:pgMar w:left="320" w:top="463" w:right="879" w:bottom="1440" w:gutter="0" w:footer="0" w:header="0"/>
        </w:sectPr>
      </w:pPr>
    </w:p>
    <w:p>
      <w:pPr>
        <w:spacing w:after="0" w:line="200" w:lineRule="exact"/>
        <w:rPr>
          <w:sz w:val="20"/>
          <w:szCs w:val="20"/>
          <w:color w:val="auto"/>
        </w:rPr>
      </w:pPr>
    </w:p>
    <w:p>
      <w:pPr>
        <w:spacing w:after="0" w:line="385" w:lineRule="exact"/>
        <w:rPr>
          <w:sz w:val="20"/>
          <w:szCs w:val="20"/>
          <w:color w:val="auto"/>
        </w:rPr>
      </w:pPr>
    </w:p>
    <w:p>
      <w:pPr>
        <w:ind w:left="420"/>
        <w:spacing w:after="0"/>
        <w:tabs>
          <w:tab w:leader="none" w:pos="2380" w:val="left"/>
          <w:tab w:leader="none" w:pos="2800" w:val="left"/>
        </w:tabs>
        <w:rPr>
          <w:sz w:val="20"/>
          <w:szCs w:val="20"/>
          <w:color w:val="auto"/>
        </w:rPr>
      </w:pPr>
      <w:r>
        <w:rPr>
          <w:rFonts w:ascii="Arial" w:cs="Arial" w:eastAsia="Arial" w:hAnsi="Arial"/>
          <w:sz w:val="30"/>
          <w:szCs w:val="30"/>
          <w:color w:val="000000"/>
          <w:vertAlign w:val="superscript"/>
        </w:rPr>
        <w:t xml:space="preserve">             </w:t>
      </w:r>
      <w:r>
        <w:rPr>
          <w:sz w:val="20"/>
          <w:szCs w:val="20"/>
          <w:color w:val="auto"/>
        </w:rPr>
        <w:tab/>
      </w:r>
      <w:r>
        <w:rPr>
          <w:rFonts w:ascii="Arial" w:cs="Arial" w:eastAsia="Arial" w:hAnsi="Arial"/>
          <w:sz w:val="31"/>
          <w:szCs w:val="31"/>
          <w:color w:val="auto"/>
          <w:vertAlign w:val="superscript"/>
        </w:rPr>
        <w:t xml:space="preserve">    </w:t>
      </w:r>
      <w:r>
        <w:rPr>
          <w:sz w:val="20"/>
          <w:szCs w:val="20"/>
          <w:color w:val="auto"/>
        </w:rPr>
        <w:tab/>
      </w:r>
      <w:r>
        <w:rPr>
          <w:rFonts w:ascii="Arial" w:cs="Arial" w:eastAsia="Arial" w:hAnsi="Arial"/>
          <w:sz w:val="15"/>
          <w:szCs w:val="15"/>
          <w:b w:val="1"/>
          <w:bCs w:val="1"/>
          <w:color w:val="002B5F"/>
        </w:rPr>
        <w:t xml:space="preserve">84  </w:t>
      </w:r>
      <w:r>
        <w:rPr>
          <w:rFonts w:ascii="Arial" w:cs="Arial" w:eastAsia="Arial" w:hAnsi="Arial"/>
          <w:sz w:val="20"/>
          <w:szCs w:val="20"/>
          <w:color w:val="002B5F"/>
        </w:rPr>
        <w:t>|</w:t>
      </w:r>
      <w:r>
        <w:rPr>
          <w:rFonts w:ascii="Arial" w:cs="Arial" w:eastAsia="Arial" w:hAnsi="Arial"/>
          <w:sz w:val="15"/>
          <w:szCs w:val="15"/>
          <w:b w:val="1"/>
          <w:bCs w:val="1"/>
          <w:color w:val="002B5F"/>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6111875</wp:posOffset>
            </wp:positionH>
            <wp:positionV relativeFrom="paragraph">
              <wp:posOffset>-208915</wp:posOffset>
            </wp:positionV>
            <wp:extent cx="769620" cy="971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69620" cy="97155"/>
                    </a:xfrm>
                    <a:prstGeom prst="rect">
                      <a:avLst/>
                    </a:prstGeom>
                    <a:noFill/>
                  </pic:spPr>
                </pic:pic>
              </a:graphicData>
            </a:graphic>
          </wp:anchor>
        </w:drawing>
      </w:r>
    </w:p>
    <w:p>
      <w:pPr>
        <w:sectPr>
          <w:pgSz w:w="11900" w:h="16838" w:orient="portrait"/>
          <w:cols w:equalWidth="0" w:num="1">
            <w:col w:w="10700"/>
          </w:cols>
          <w:pgMar w:left="320" w:top="463" w:right="879" w:bottom="1440" w:gutter="0" w:footer="0" w:header="0"/>
          <w:type w:val="continuous"/>
        </w:sectPr>
      </w:pPr>
    </w:p>
    <w:bookmarkStart w:id="92" w:name="page93"/>
    <w:bookmarkEnd w:id="9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5334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181215" cy="5334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5617845</wp:posOffset>
            </wp:positionH>
            <wp:positionV relativeFrom="paragraph">
              <wp:posOffset>253365</wp:posOffset>
            </wp:positionV>
            <wp:extent cx="1256030" cy="74720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1256030" cy="7472045"/>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ind w:left="540"/>
        <w:spacing w:after="0"/>
        <w:rPr>
          <w:sz w:val="20"/>
          <w:szCs w:val="20"/>
          <w:color w:val="auto"/>
        </w:rPr>
      </w:pPr>
      <w:r>
        <w:rPr>
          <w:rFonts w:ascii="Arial" w:cs="Arial" w:eastAsia="Arial" w:hAnsi="Arial"/>
          <w:sz w:val="26"/>
          <w:szCs w:val="26"/>
          <w:color w:val="B95827"/>
        </w:rPr>
        <w:t>PROPOSAL 3</w:t>
      </w:r>
    </w:p>
    <w:tbl>
      <w:tblPr>
        <w:tblLayout w:type="fixed"/>
        <w:tblInd w:w="540" w:type="dxa"/>
        <w:tblCellMar>
          <w:top w:w="0" w:type="dxa"/>
          <w:left w:w="0" w:type="dxa"/>
          <w:bottom w:w="0" w:type="dxa"/>
          <w:right w:w="0" w:type="dxa"/>
        </w:tblCellMar>
      </w:tblPr>
      <w:tr>
        <w:trPr>
          <w:trHeight w:val="191"/>
        </w:trPr>
        <w:tc>
          <w:tcPr>
            <w:tcW w:w="7880" w:type="dxa"/>
            <w:vAlign w:val="bottom"/>
            <w:vMerge w:val="restart"/>
          </w:tcPr>
          <w:p>
            <w:pPr>
              <w:spacing w:after="0" w:line="190" w:lineRule="exact"/>
              <w:rPr>
                <w:sz w:val="20"/>
                <w:szCs w:val="20"/>
                <w:color w:val="auto"/>
              </w:rPr>
            </w:pPr>
            <w:r>
              <w:rPr>
                <w:rFonts w:ascii="Times New Roman" w:cs="Times New Roman" w:eastAsia="Times New Roman" w:hAnsi="Times New Roman"/>
                <w:sz w:val="22"/>
                <w:szCs w:val="22"/>
                <w:b w:val="1"/>
                <w:bCs w:val="1"/>
                <w:color w:val="002B5F"/>
              </w:rPr>
              <w:t>Approval, in an Advisory Vote, of the</w:t>
            </w:r>
          </w:p>
        </w:tc>
        <w:tc>
          <w:tcPr>
            <w:tcW w:w="660" w:type="dxa"/>
            <w:vAlign w:val="bottom"/>
          </w:tcPr>
          <w:p>
            <w:pPr>
              <w:ind w:left="460"/>
              <w:spacing w:after="0"/>
              <w:rPr>
                <w:sz w:val="20"/>
                <w:szCs w:val="20"/>
                <w:color w:val="auto"/>
              </w:rPr>
            </w:pPr>
            <w:r>
              <w:rPr>
                <w:rFonts w:ascii="Arial" w:cs="Arial" w:eastAsia="Arial" w:hAnsi="Arial"/>
                <w:sz w:val="15"/>
                <w:szCs w:val="15"/>
                <w:color w:val="auto"/>
              </w:rPr>
              <w:t> </w:t>
            </w:r>
          </w:p>
        </w:tc>
        <w:tc>
          <w:tcPr>
            <w:tcW w:w="1280" w:type="dxa"/>
            <w:vAlign w:val="bottom"/>
          </w:tcPr>
          <w:p>
            <w:pPr>
              <w:ind w:left="140"/>
              <w:spacing w:after="0"/>
              <w:rPr>
                <w:sz w:val="20"/>
                <w:szCs w:val="20"/>
                <w:color w:val="auto"/>
              </w:rPr>
            </w:pPr>
            <w:r>
              <w:rPr>
                <w:rFonts w:ascii="Arial" w:cs="Arial" w:eastAsia="Arial" w:hAnsi="Arial"/>
                <w:sz w:val="12"/>
                <w:szCs w:val="12"/>
                <w:color w:val="FFFFFF"/>
              </w:rPr>
              <w:t>General</w:t>
            </w:r>
          </w:p>
        </w:tc>
        <w:tc>
          <w:tcPr>
            <w:tcW w:w="440" w:type="dxa"/>
            <w:vAlign w:val="bottom"/>
          </w:tcPr>
          <w:p>
            <w:pPr>
              <w:ind w:left="80"/>
              <w:spacing w:after="0"/>
              <w:rPr>
                <w:sz w:val="20"/>
                <w:szCs w:val="20"/>
                <w:color w:val="auto"/>
              </w:rPr>
            </w:pPr>
            <w:r>
              <w:rPr>
                <w:rFonts w:ascii="Arial" w:cs="Arial" w:eastAsia="Arial" w:hAnsi="Arial"/>
                <w:sz w:val="15"/>
                <w:szCs w:val="15"/>
                <w:color w:val="auto"/>
              </w:rPr>
              <w:t xml:space="preserve">       </w:t>
            </w:r>
          </w:p>
        </w:tc>
        <w:tc>
          <w:tcPr>
            <w:tcW w:w="0" w:type="dxa"/>
            <w:vAlign w:val="bottom"/>
          </w:tcPr>
          <w:p>
            <w:pPr>
              <w:spacing w:after="0"/>
              <w:rPr>
                <w:sz w:val="1"/>
                <w:szCs w:val="1"/>
                <w:color w:val="auto"/>
              </w:rPr>
            </w:pPr>
          </w:p>
        </w:tc>
      </w:tr>
      <w:tr>
        <w:trPr>
          <w:trHeight w:val="0"/>
        </w:trPr>
        <w:tc>
          <w:tcPr>
            <w:tcW w:w="7880" w:type="dxa"/>
            <w:vAlign w:val="bottom"/>
            <w:vMerge w:val="continu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80" w:type="dxa"/>
            <w:vAlign w:val="bottom"/>
          </w:tcPr>
          <w:p>
            <w:pPr>
              <w:ind w:left="140"/>
              <w:spacing w:after="0" w:line="1" w:lineRule="exact"/>
              <w:rPr>
                <w:sz w:val="20"/>
                <w:szCs w:val="20"/>
                <w:color w:val="auto"/>
              </w:rPr>
            </w:pPr>
            <w:r>
              <w:rPr>
                <w:rFonts w:ascii="Arial" w:cs="Arial" w:eastAsia="Arial" w:hAnsi="Arial"/>
                <w:sz w:val="1"/>
                <w:szCs w:val="1"/>
                <w:color w:val="FFFFFF"/>
              </w:rPr>
              <w:t>General Information</w:t>
            </w: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78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Information</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6"/>
        </w:trPr>
        <w:tc>
          <w:tcPr>
            <w:tcW w:w="7880" w:type="dxa"/>
            <w:vAlign w:val="bottom"/>
            <w:vMerge w:val="restart"/>
          </w:tcPr>
          <w:p>
            <w:pPr>
              <w:spacing w:after="0" w:line="435" w:lineRule="exact"/>
              <w:rPr>
                <w:sz w:val="20"/>
                <w:szCs w:val="20"/>
                <w:color w:val="auto"/>
              </w:rPr>
            </w:pPr>
            <w:r>
              <w:rPr>
                <w:rFonts w:ascii="Times New Roman" w:cs="Times New Roman" w:eastAsia="Times New Roman" w:hAnsi="Times New Roman"/>
                <w:sz w:val="48"/>
                <w:szCs w:val="48"/>
                <w:b w:val="1"/>
                <w:bCs w:val="1"/>
                <w:color w:val="002B5F"/>
              </w:rPr>
              <w:t>Compensation Paid to Our Named</w:t>
            </w:r>
          </w:p>
        </w:tc>
        <w:tc>
          <w:tcPr>
            <w:tcW w:w="660" w:type="dxa"/>
            <w:vAlign w:val="bottom"/>
          </w:tcPr>
          <w:p>
            <w:pPr>
              <w:spacing w:after="0"/>
              <w:rPr>
                <w:sz w:val="24"/>
                <w:szCs w:val="24"/>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About Corporate</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7880" w:type="dxa"/>
            <w:vAlign w:val="bottom"/>
            <w:vMerge w:val="continue"/>
          </w:tcPr>
          <w:p>
            <w:pPr>
              <w:spacing w:after="0"/>
              <w:rPr>
                <w:sz w:val="11"/>
                <w:szCs w:val="11"/>
                <w:color w:val="auto"/>
              </w:rPr>
            </w:pPr>
          </w:p>
        </w:tc>
        <w:tc>
          <w:tcPr>
            <w:tcW w:w="660" w:type="dxa"/>
            <w:vAlign w:val="bottom"/>
          </w:tcPr>
          <w:p>
            <w:pPr>
              <w:spacing w:after="0"/>
              <w:rPr>
                <w:sz w:val="11"/>
                <w:szCs w:val="11"/>
                <w:color w:val="auto"/>
              </w:rPr>
            </w:pPr>
          </w:p>
        </w:tc>
        <w:tc>
          <w:tcPr>
            <w:tcW w:w="1280" w:type="dxa"/>
            <w:vAlign w:val="bottom"/>
          </w:tcPr>
          <w:p>
            <w:pPr>
              <w:ind w:left="140"/>
              <w:spacing w:after="0" w:line="128" w:lineRule="exact"/>
              <w:rPr>
                <w:sz w:val="20"/>
                <w:szCs w:val="20"/>
                <w:color w:val="auto"/>
              </w:rPr>
            </w:pPr>
            <w:r>
              <w:rPr>
                <w:rFonts w:ascii="Arial" w:cs="Arial" w:eastAsia="Arial" w:hAnsi="Arial"/>
                <w:sz w:val="12"/>
                <w:szCs w:val="12"/>
                <w:color w:val="FFFFFF"/>
              </w:rPr>
              <w:t>Governance</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78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80" w:type="dxa"/>
            <w:vAlign w:val="bottom"/>
          </w:tcPr>
          <w:p>
            <w:pPr>
              <w:ind w:left="140"/>
              <w:spacing w:after="0" w:line="128" w:lineRule="exact"/>
              <w:rPr>
                <w:sz w:val="20"/>
                <w:szCs w:val="20"/>
                <w:color w:val="auto"/>
              </w:rPr>
            </w:pPr>
            <w:r>
              <w:rPr>
                <w:rFonts w:ascii="Arial" w:cs="Arial" w:eastAsia="Arial" w:hAnsi="Arial"/>
                <w:sz w:val="12"/>
                <w:szCs w:val="12"/>
                <w:color w:val="FFFFFF"/>
              </w:rPr>
              <w:t>and the Board of</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7880" w:type="dxa"/>
            <w:vAlign w:val="bottom"/>
            <w:vMerge w:val="restart"/>
          </w:tcPr>
          <w:p>
            <w:pPr>
              <w:spacing w:after="0" w:line="306" w:lineRule="exact"/>
              <w:rPr>
                <w:sz w:val="20"/>
                <w:szCs w:val="20"/>
                <w:color w:val="auto"/>
              </w:rPr>
            </w:pPr>
            <w:r>
              <w:rPr>
                <w:rFonts w:ascii="Times New Roman" w:cs="Times New Roman" w:eastAsia="Times New Roman" w:hAnsi="Times New Roman"/>
                <w:sz w:val="35"/>
                <w:szCs w:val="35"/>
                <w:b w:val="1"/>
                <w:bCs w:val="1"/>
                <w:color w:val="002B5F"/>
              </w:rPr>
              <w:t>Executive Officers</w:t>
            </w:r>
          </w:p>
        </w:tc>
        <w:tc>
          <w:tcPr>
            <w:tcW w:w="660" w:type="dxa"/>
            <w:vAlign w:val="bottom"/>
          </w:tcPr>
          <w:p>
            <w:pPr>
              <w:spacing w:after="0"/>
              <w:rPr>
                <w:sz w:val="13"/>
                <w:szCs w:val="13"/>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Directors</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7880" w:type="dxa"/>
            <w:vAlign w:val="bottom"/>
            <w:vMerge w:val="continue"/>
          </w:tcPr>
          <w:p>
            <w:pPr>
              <w:spacing w:after="0"/>
              <w:rPr>
                <w:sz w:val="12"/>
                <w:szCs w:val="12"/>
                <w:color w:val="auto"/>
              </w:rPr>
            </w:pPr>
          </w:p>
        </w:tc>
        <w:tc>
          <w:tcPr>
            <w:tcW w:w="660" w:type="dxa"/>
            <w:vAlign w:val="bottom"/>
          </w:tcPr>
          <w:p>
            <w:pPr>
              <w:spacing w:after="0"/>
              <w:rPr>
                <w:sz w:val="12"/>
                <w:szCs w:val="12"/>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Information</w:t>
            </w: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78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Proposal 1</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79"/>
        </w:trPr>
        <w:tc>
          <w:tcPr>
            <w:tcW w:w="78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Regarding Board</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7880" w:type="dxa"/>
            <w:vAlign w:val="bottom"/>
            <w:tcBorders>
              <w:bottom w:val="single" w:sz="8" w:color="auto"/>
            </w:tcBorders>
          </w:tcPr>
          <w:p>
            <w:pPr>
              <w:spacing w:after="0"/>
              <w:rPr>
                <w:sz w:val="2"/>
                <w:szCs w:val="2"/>
                <w:color w:val="auto"/>
              </w:rPr>
            </w:pPr>
          </w:p>
        </w:tc>
        <w:tc>
          <w:tcPr>
            <w:tcW w:w="660" w:type="dxa"/>
            <w:vAlign w:val="bottom"/>
          </w:tcPr>
          <w:p>
            <w:pPr>
              <w:spacing w:after="0"/>
              <w:rPr>
                <w:sz w:val="2"/>
                <w:szCs w:val="2"/>
                <w:color w:val="auto"/>
              </w:rPr>
            </w:pPr>
          </w:p>
        </w:tc>
        <w:tc>
          <w:tcPr>
            <w:tcW w:w="1280" w:type="dxa"/>
            <w:vAlign w:val="bottom"/>
            <w:vMerge w:val="restart"/>
          </w:tcPr>
          <w:p>
            <w:pPr>
              <w:ind w:left="140"/>
              <w:spacing w:after="0" w:line="128" w:lineRule="exact"/>
              <w:rPr>
                <w:sz w:val="20"/>
                <w:szCs w:val="20"/>
                <w:color w:val="auto"/>
              </w:rPr>
            </w:pPr>
            <w:r>
              <w:rPr>
                <w:rFonts w:ascii="Arial" w:cs="Arial" w:eastAsia="Arial" w:hAnsi="Arial"/>
                <w:sz w:val="12"/>
                <w:szCs w:val="12"/>
                <w:color w:val="FFFFFF"/>
              </w:rPr>
              <w:t>and Committee</w:t>
            </w:r>
          </w:p>
        </w:tc>
        <w:tc>
          <w:tcPr>
            <w:tcW w:w="4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7"/>
        </w:trPr>
        <w:tc>
          <w:tcPr>
            <w:tcW w:w="788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8"/>
        </w:trPr>
        <w:tc>
          <w:tcPr>
            <w:tcW w:w="7880" w:type="dxa"/>
            <w:vAlign w:val="bottom"/>
            <w:vMerge w:val="restart"/>
          </w:tcPr>
          <w:p>
            <w:pPr>
              <w:spacing w:after="0"/>
              <w:rPr>
                <w:sz w:val="20"/>
                <w:szCs w:val="20"/>
                <w:color w:val="auto"/>
              </w:rPr>
            </w:pPr>
            <w:r>
              <w:rPr>
                <w:rFonts w:ascii="Arial" w:cs="Arial" w:eastAsia="Arial" w:hAnsi="Arial"/>
                <w:sz w:val="15"/>
                <w:szCs w:val="15"/>
                <w:color w:val="auto"/>
              </w:rPr>
              <w:t>The Compensation Discussion and Analysis beginning on page 38 of this proxy statement describes our executive</w:t>
            </w:r>
          </w:p>
        </w:tc>
        <w:tc>
          <w:tcPr>
            <w:tcW w:w="660" w:type="dxa"/>
            <w:vAlign w:val="bottom"/>
          </w:tcPr>
          <w:p>
            <w:pPr>
              <w:spacing w:after="0"/>
              <w:rPr>
                <w:sz w:val="13"/>
                <w:szCs w:val="13"/>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Structure</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7880" w:type="dxa"/>
            <w:vAlign w:val="bottom"/>
            <w:vMerge w:val="continue"/>
          </w:tcPr>
          <w:p>
            <w:pPr>
              <w:spacing w:after="0"/>
              <w:rPr>
                <w:sz w:val="11"/>
                <w:szCs w:val="11"/>
                <w:color w:val="auto"/>
              </w:rPr>
            </w:pPr>
          </w:p>
        </w:tc>
        <w:tc>
          <w:tcPr>
            <w:tcW w:w="6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7880" w:type="dxa"/>
            <w:vAlign w:val="bottom"/>
          </w:tcPr>
          <w:p>
            <w:pPr>
              <w:spacing w:after="0" w:line="153" w:lineRule="exact"/>
              <w:rPr>
                <w:sz w:val="20"/>
                <w:szCs w:val="20"/>
                <w:color w:val="auto"/>
              </w:rPr>
            </w:pPr>
            <w:r>
              <w:rPr>
                <w:rFonts w:ascii="Arial" w:cs="Arial" w:eastAsia="Arial" w:hAnsi="Arial"/>
                <w:sz w:val="15"/>
                <w:szCs w:val="15"/>
                <w:color w:val="auto"/>
              </w:rPr>
              <w:t>compensation program and the compensation decisions that the Compensation Committee and Board of Directors</w:t>
            </w:r>
          </w:p>
        </w:tc>
        <w:tc>
          <w:tcPr>
            <w:tcW w:w="660" w:type="dxa"/>
            <w:vAlign w:val="bottom"/>
          </w:tcPr>
          <w:p>
            <w:pPr>
              <w:spacing w:after="0"/>
              <w:rPr>
                <w:sz w:val="13"/>
                <w:szCs w:val="13"/>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Board of Directors</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7880" w:type="dxa"/>
            <w:vAlign w:val="bottom"/>
            <w:vMerge w:val="restart"/>
          </w:tcPr>
          <w:p>
            <w:pPr>
              <w:spacing w:after="0"/>
              <w:rPr>
                <w:sz w:val="20"/>
                <w:szCs w:val="20"/>
                <w:color w:val="auto"/>
              </w:rPr>
            </w:pPr>
            <w:r>
              <w:rPr>
                <w:rFonts w:ascii="Arial" w:cs="Arial" w:eastAsia="Arial" w:hAnsi="Arial"/>
                <w:sz w:val="15"/>
                <w:szCs w:val="15"/>
                <w:color w:val="auto"/>
              </w:rPr>
              <w:t>made in 2025 with respect to the compensation of our NEOs. The Board of Directors is asking stockholders to cast</w:t>
            </w:r>
          </w:p>
        </w:tc>
        <w:tc>
          <w:tcPr>
            <w:tcW w:w="660" w:type="dxa"/>
            <w:vAlign w:val="bottom"/>
          </w:tcPr>
          <w:p>
            <w:pPr>
              <w:spacing w:after="0"/>
              <w:rPr>
                <w:sz w:val="13"/>
                <w:szCs w:val="13"/>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Compensation</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5"/>
        </w:trPr>
        <w:tc>
          <w:tcPr>
            <w:tcW w:w="7880" w:type="dxa"/>
            <w:vAlign w:val="bottom"/>
            <w:vMerge w:val="continue"/>
          </w:tcPr>
          <w:p>
            <w:pPr>
              <w:spacing w:after="0"/>
              <w:rPr>
                <w:sz w:val="3"/>
                <w:szCs w:val="3"/>
                <w:color w:val="auto"/>
              </w:rPr>
            </w:pPr>
          </w:p>
        </w:tc>
        <w:tc>
          <w:tcPr>
            <w:tcW w:w="660" w:type="dxa"/>
            <w:vAlign w:val="bottom"/>
          </w:tcPr>
          <w:p>
            <w:pPr>
              <w:spacing w:after="0"/>
              <w:rPr>
                <w:sz w:val="3"/>
                <w:szCs w:val="3"/>
                <w:color w:val="auto"/>
              </w:rPr>
            </w:pPr>
          </w:p>
        </w:tc>
        <w:tc>
          <w:tcPr>
            <w:tcW w:w="1280" w:type="dxa"/>
            <w:vAlign w:val="bottom"/>
          </w:tcPr>
          <w:p>
            <w:pPr>
              <w:spacing w:after="0"/>
              <w:rPr>
                <w:sz w:val="3"/>
                <w:szCs w:val="3"/>
                <w:color w:val="auto"/>
              </w:rPr>
            </w:pPr>
          </w:p>
        </w:tc>
        <w:tc>
          <w:tcPr>
            <w:tcW w:w="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1"/>
        </w:trPr>
        <w:tc>
          <w:tcPr>
            <w:tcW w:w="7880" w:type="dxa"/>
            <w:vAlign w:val="bottom"/>
          </w:tcPr>
          <w:p>
            <w:pPr>
              <w:spacing w:after="0"/>
              <w:rPr>
                <w:sz w:val="20"/>
                <w:szCs w:val="20"/>
                <w:color w:val="auto"/>
              </w:rPr>
            </w:pPr>
            <w:r>
              <w:rPr>
                <w:rFonts w:ascii="Arial" w:cs="Arial" w:eastAsia="Arial" w:hAnsi="Arial"/>
                <w:sz w:val="15"/>
                <w:szCs w:val="15"/>
                <w:color w:val="auto"/>
              </w:rPr>
              <w:t xml:space="preserve">a non-binding, advisory vote </w:t>
            </w:r>
            <w:r>
              <w:rPr>
                <w:rFonts w:ascii="Arial" w:cs="Arial" w:eastAsia="Arial" w:hAnsi="Arial"/>
                <w:sz w:val="15"/>
                <w:szCs w:val="15"/>
                <w:b w:val="1"/>
                <w:bCs w:val="1"/>
                <w:color w:val="B95827"/>
              </w:rPr>
              <w:t>“FOR”</w:t>
            </w:r>
            <w:r>
              <w:rPr>
                <w:rFonts w:ascii="Arial" w:cs="Arial" w:eastAsia="Arial" w:hAnsi="Arial"/>
                <w:sz w:val="15"/>
                <w:szCs w:val="15"/>
                <w:color w:val="auto"/>
              </w:rPr>
              <w:t xml:space="preserve"> the following resolution:</w:t>
            </w:r>
          </w:p>
        </w:tc>
        <w:tc>
          <w:tcPr>
            <w:tcW w:w="660" w:type="dxa"/>
            <w:vAlign w:val="bottom"/>
          </w:tcPr>
          <w:p>
            <w:pPr>
              <w:spacing w:after="0"/>
              <w:rPr>
                <w:sz w:val="17"/>
                <w:szCs w:val="17"/>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Compensation</w:t>
            </w: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7880" w:type="dxa"/>
            <w:vAlign w:val="bottom"/>
            <w:tcBorders>
              <w:bottom w:val="single" w:sz="8" w:color="002B5F"/>
            </w:tcBorders>
          </w:tcPr>
          <w:p>
            <w:pPr>
              <w:spacing w:after="0"/>
              <w:rPr>
                <w:sz w:val="9"/>
                <w:szCs w:val="9"/>
                <w:color w:val="auto"/>
              </w:rPr>
            </w:pPr>
          </w:p>
        </w:tc>
        <w:tc>
          <w:tcPr>
            <w:tcW w:w="660" w:type="dxa"/>
            <w:vAlign w:val="bottom"/>
          </w:tcPr>
          <w:p>
            <w:pPr>
              <w:spacing w:after="0"/>
              <w:rPr>
                <w:sz w:val="9"/>
                <w:szCs w:val="9"/>
                <w:color w:val="auto"/>
              </w:rPr>
            </w:pPr>
          </w:p>
        </w:tc>
        <w:tc>
          <w:tcPr>
            <w:tcW w:w="1280" w:type="dxa"/>
            <w:vAlign w:val="bottom"/>
          </w:tcPr>
          <w:p>
            <w:pPr>
              <w:ind w:left="140"/>
              <w:spacing w:after="0" w:line="108" w:lineRule="exact"/>
              <w:rPr>
                <w:sz w:val="20"/>
                <w:szCs w:val="20"/>
                <w:color w:val="auto"/>
              </w:rPr>
            </w:pPr>
            <w:r>
              <w:rPr>
                <w:rFonts w:ascii="Arial" w:cs="Arial" w:eastAsia="Arial" w:hAnsi="Arial"/>
                <w:sz w:val="12"/>
                <w:szCs w:val="12"/>
                <w:color w:val="FFFFFF"/>
              </w:rPr>
              <w:t>Discussion and</w:t>
            </w: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7880" w:type="dxa"/>
            <w:vAlign w:val="bottom"/>
            <w:shd w:val="clear" w:color="auto" w:fill="002B5F"/>
          </w:tcPr>
          <w:p>
            <w:pPr>
              <w:ind w:left="80"/>
              <w:spacing w:after="0"/>
              <w:rPr>
                <w:sz w:val="20"/>
                <w:szCs w:val="20"/>
                <w:color w:val="auto"/>
              </w:rPr>
            </w:pPr>
            <w:r>
              <w:rPr>
                <w:rFonts w:ascii="Arial" w:cs="Arial" w:eastAsia="Arial" w:hAnsi="Arial"/>
                <w:sz w:val="15"/>
                <w:szCs w:val="15"/>
                <w:b w:val="1"/>
                <w:bCs w:val="1"/>
                <w:color w:val="FFFFFF"/>
              </w:rPr>
              <w:t>RESOLVED</w:t>
            </w:r>
            <w:r>
              <w:rPr>
                <w:rFonts w:ascii="Arial" w:cs="Arial" w:eastAsia="Arial" w:hAnsi="Arial"/>
                <w:sz w:val="15"/>
                <w:szCs w:val="15"/>
                <w:color w:val="FFFFFF"/>
              </w:rPr>
              <w:t>, that the compensation paid to the Company’s named executive officers, as disclosed pursuant to</w:t>
            </w:r>
          </w:p>
        </w:tc>
        <w:tc>
          <w:tcPr>
            <w:tcW w:w="660" w:type="dxa"/>
            <w:vAlign w:val="bottom"/>
          </w:tcPr>
          <w:p>
            <w:pPr>
              <w:spacing w:after="0"/>
              <w:rPr>
                <w:sz w:val="18"/>
                <w:szCs w:val="18"/>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Analysis</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7880" w:type="dxa"/>
            <w:vAlign w:val="bottom"/>
            <w:shd w:val="clear" w:color="auto" w:fill="002B5F"/>
          </w:tcPr>
          <w:p>
            <w:pPr>
              <w:ind w:left="80"/>
              <w:spacing w:after="0"/>
              <w:rPr>
                <w:sz w:val="20"/>
                <w:szCs w:val="20"/>
                <w:color w:val="auto"/>
              </w:rPr>
            </w:pPr>
            <w:r>
              <w:rPr>
                <w:rFonts w:ascii="Arial" w:cs="Arial" w:eastAsia="Arial" w:hAnsi="Arial"/>
                <w:sz w:val="15"/>
                <w:szCs w:val="15"/>
                <w:color w:val="FFFFFF"/>
              </w:rPr>
              <w:t>Item 402 of Regulation S-K, including the Compensation Discussion and Analysis, compensation tables and</w:t>
            </w:r>
          </w:p>
        </w:tc>
        <w:tc>
          <w:tcPr>
            <w:tcW w:w="660" w:type="dxa"/>
            <w:vAlign w:val="bottom"/>
          </w:tcPr>
          <w:p>
            <w:pPr>
              <w:spacing w:after="0"/>
              <w:rPr>
                <w:sz w:val="17"/>
                <w:szCs w:val="17"/>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Report of the</w:t>
            </w: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7880" w:type="dxa"/>
            <w:vAlign w:val="bottom"/>
            <w:shd w:val="clear" w:color="auto" w:fill="002B5F"/>
          </w:tcPr>
          <w:p>
            <w:pPr>
              <w:ind w:left="80"/>
              <w:spacing w:after="0" w:line="136" w:lineRule="exact"/>
              <w:rPr>
                <w:sz w:val="20"/>
                <w:szCs w:val="20"/>
                <w:color w:val="auto"/>
              </w:rPr>
            </w:pPr>
            <w:r>
              <w:rPr>
                <w:rFonts w:ascii="Arial" w:cs="Arial" w:eastAsia="Arial" w:hAnsi="Arial"/>
                <w:sz w:val="15"/>
                <w:szCs w:val="15"/>
                <w:color w:val="FFFFFF"/>
              </w:rPr>
              <w:t xml:space="preserve">narrative discussion, is hereby </w:t>
            </w:r>
            <w:r>
              <w:rPr>
                <w:rFonts w:ascii="Arial" w:cs="Arial" w:eastAsia="Arial" w:hAnsi="Arial"/>
                <w:sz w:val="15"/>
                <w:szCs w:val="15"/>
                <w:b w:val="1"/>
                <w:bCs w:val="1"/>
                <w:color w:val="FFFFFF"/>
              </w:rPr>
              <w:t>APPROVED</w:t>
            </w:r>
            <w:r>
              <w:rPr>
                <w:rFonts w:ascii="Arial" w:cs="Arial" w:eastAsia="Arial" w:hAnsi="Arial"/>
                <w:sz w:val="15"/>
                <w:szCs w:val="15"/>
                <w:color w:val="FFFFFF"/>
              </w:rPr>
              <w:t>.</w:t>
            </w:r>
          </w:p>
        </w:tc>
        <w:tc>
          <w:tcPr>
            <w:tcW w:w="660" w:type="dxa"/>
            <w:vAlign w:val="bottom"/>
          </w:tcPr>
          <w:p>
            <w:pPr>
              <w:spacing w:after="0"/>
              <w:rPr>
                <w:sz w:val="11"/>
                <w:szCs w:val="11"/>
                <w:color w:val="auto"/>
              </w:rPr>
            </w:pPr>
          </w:p>
        </w:tc>
        <w:tc>
          <w:tcPr>
            <w:tcW w:w="1280" w:type="dxa"/>
            <w:vAlign w:val="bottom"/>
          </w:tcPr>
          <w:p>
            <w:pPr>
              <w:ind w:left="140"/>
              <w:spacing w:after="0" w:line="136" w:lineRule="exact"/>
              <w:rPr>
                <w:sz w:val="20"/>
                <w:szCs w:val="20"/>
                <w:color w:val="auto"/>
              </w:rPr>
            </w:pPr>
            <w:r>
              <w:rPr>
                <w:rFonts w:ascii="Arial" w:cs="Arial" w:eastAsia="Arial" w:hAnsi="Arial"/>
                <w:sz w:val="12"/>
                <w:szCs w:val="12"/>
                <w:color w:val="FFFFFF"/>
              </w:rPr>
              <w:t>Compensation</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7880" w:type="dxa"/>
            <w:vAlign w:val="bottom"/>
            <w:shd w:val="clear" w:color="auto" w:fill="002B5F"/>
          </w:tcPr>
          <w:p>
            <w:pPr>
              <w:spacing w:after="0"/>
              <w:rPr>
                <w:sz w:val="9"/>
                <w:szCs w:val="9"/>
                <w:color w:val="auto"/>
              </w:rPr>
            </w:pPr>
          </w:p>
        </w:tc>
        <w:tc>
          <w:tcPr>
            <w:tcW w:w="660" w:type="dxa"/>
            <w:vAlign w:val="bottom"/>
          </w:tcPr>
          <w:p>
            <w:pPr>
              <w:spacing w:after="0"/>
              <w:rPr>
                <w:sz w:val="9"/>
                <w:szCs w:val="9"/>
                <w:color w:val="auto"/>
              </w:rPr>
            </w:pPr>
          </w:p>
        </w:tc>
        <w:tc>
          <w:tcPr>
            <w:tcW w:w="1280" w:type="dxa"/>
            <w:vAlign w:val="bottom"/>
            <w:vMerge w:val="restart"/>
          </w:tcPr>
          <w:p>
            <w:pPr>
              <w:ind w:left="140"/>
              <w:spacing w:after="0" w:line="128" w:lineRule="exact"/>
              <w:rPr>
                <w:sz w:val="20"/>
                <w:szCs w:val="20"/>
                <w:color w:val="auto"/>
              </w:rPr>
            </w:pPr>
            <w:r>
              <w:rPr>
                <w:rFonts w:ascii="Arial" w:cs="Arial" w:eastAsia="Arial" w:hAnsi="Arial"/>
                <w:sz w:val="12"/>
                <w:szCs w:val="12"/>
                <w:color w:val="FFFFFF"/>
              </w:rPr>
              <w:t>and Human</w:t>
            </w: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78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80" w:type="dxa"/>
            <w:vAlign w:val="bottom"/>
            <w:vMerge w:val="continu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7880" w:type="dxa"/>
            <w:vAlign w:val="bottom"/>
            <w:vMerge w:val="restart"/>
          </w:tcPr>
          <w:p>
            <w:pPr>
              <w:spacing w:after="0"/>
              <w:rPr>
                <w:sz w:val="20"/>
                <w:szCs w:val="20"/>
                <w:color w:val="auto"/>
              </w:rPr>
            </w:pPr>
            <w:r>
              <w:rPr>
                <w:rFonts w:ascii="Arial" w:cs="Arial" w:eastAsia="Arial" w:hAnsi="Arial"/>
                <w:sz w:val="15"/>
                <w:szCs w:val="15"/>
                <w:color w:val="auto"/>
              </w:rPr>
              <w:t>As we describe in the Compensation Discussion and Analysis, our NEO compensation is designed to closely align</w:t>
            </w:r>
          </w:p>
        </w:tc>
        <w:tc>
          <w:tcPr>
            <w:tcW w:w="660" w:type="dxa"/>
            <w:vAlign w:val="bottom"/>
          </w:tcPr>
          <w:p>
            <w:pPr>
              <w:spacing w:after="0"/>
              <w:rPr>
                <w:sz w:val="11"/>
                <w:szCs w:val="11"/>
                <w:color w:val="auto"/>
              </w:rPr>
            </w:pPr>
          </w:p>
        </w:tc>
        <w:tc>
          <w:tcPr>
            <w:tcW w:w="1280" w:type="dxa"/>
            <w:vAlign w:val="bottom"/>
          </w:tcPr>
          <w:p>
            <w:pPr>
              <w:ind w:left="140"/>
              <w:spacing w:after="0" w:line="128" w:lineRule="exact"/>
              <w:rPr>
                <w:sz w:val="20"/>
                <w:szCs w:val="20"/>
                <w:color w:val="auto"/>
              </w:rPr>
            </w:pPr>
            <w:r>
              <w:rPr>
                <w:rFonts w:ascii="Arial" w:cs="Arial" w:eastAsia="Arial" w:hAnsi="Arial"/>
                <w:sz w:val="12"/>
                <w:szCs w:val="12"/>
                <w:color w:val="FFFFFF"/>
              </w:rPr>
              <w:t>Resources</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7880" w:type="dxa"/>
            <w:vAlign w:val="bottom"/>
            <w:vMerge w:val="continue"/>
          </w:tcPr>
          <w:p>
            <w:pPr>
              <w:spacing w:after="0"/>
              <w:rPr>
                <w:sz w:val="10"/>
                <w:szCs w:val="10"/>
                <w:color w:val="auto"/>
              </w:rPr>
            </w:pPr>
          </w:p>
        </w:tc>
        <w:tc>
          <w:tcPr>
            <w:tcW w:w="660" w:type="dxa"/>
            <w:vAlign w:val="bottom"/>
          </w:tcPr>
          <w:p>
            <w:pPr>
              <w:spacing w:after="0"/>
              <w:rPr>
                <w:sz w:val="10"/>
                <w:szCs w:val="10"/>
                <w:color w:val="auto"/>
              </w:rPr>
            </w:pPr>
          </w:p>
        </w:tc>
        <w:tc>
          <w:tcPr>
            <w:tcW w:w="1280" w:type="dxa"/>
            <w:vAlign w:val="bottom"/>
          </w:tcPr>
          <w:p>
            <w:pPr>
              <w:ind w:left="140"/>
              <w:spacing w:after="0" w:line="121" w:lineRule="exact"/>
              <w:rPr>
                <w:sz w:val="20"/>
                <w:szCs w:val="20"/>
                <w:color w:val="auto"/>
              </w:rPr>
            </w:pPr>
            <w:r>
              <w:rPr>
                <w:rFonts w:ascii="Arial" w:cs="Arial" w:eastAsia="Arial" w:hAnsi="Arial"/>
                <w:sz w:val="12"/>
                <w:szCs w:val="12"/>
                <w:color w:val="FFFFFF"/>
              </w:rPr>
              <w:t>Committee of the</w:t>
            </w: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9"/>
        </w:trPr>
        <w:tc>
          <w:tcPr>
            <w:tcW w:w="7880" w:type="dxa"/>
            <w:vAlign w:val="bottom"/>
          </w:tcPr>
          <w:p>
            <w:pPr>
              <w:spacing w:after="0"/>
              <w:rPr>
                <w:sz w:val="20"/>
                <w:szCs w:val="20"/>
                <w:color w:val="auto"/>
              </w:rPr>
            </w:pPr>
            <w:r>
              <w:rPr>
                <w:rFonts w:ascii="Arial" w:cs="Arial" w:eastAsia="Arial" w:hAnsi="Arial"/>
                <w:sz w:val="15"/>
                <w:szCs w:val="15"/>
                <w:color w:val="auto"/>
              </w:rPr>
              <w:t>the interests of our NEOs with those of our stockholders on both a short-term and long-term basis, and to attract and</w:t>
            </w:r>
          </w:p>
        </w:tc>
        <w:tc>
          <w:tcPr>
            <w:tcW w:w="660" w:type="dxa"/>
            <w:vAlign w:val="bottom"/>
          </w:tcPr>
          <w:p>
            <w:pPr>
              <w:spacing w:after="0"/>
              <w:rPr>
                <w:sz w:val="15"/>
                <w:szCs w:val="15"/>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Board of Directors</w:t>
            </w: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7880" w:type="dxa"/>
            <w:vAlign w:val="bottom"/>
          </w:tcPr>
          <w:p>
            <w:pPr>
              <w:spacing w:after="0"/>
              <w:rPr>
                <w:sz w:val="20"/>
                <w:szCs w:val="20"/>
                <w:color w:val="auto"/>
              </w:rPr>
            </w:pPr>
            <w:r>
              <w:rPr>
                <w:rFonts w:ascii="Arial" w:cs="Arial" w:eastAsia="Arial" w:hAnsi="Arial"/>
                <w:sz w:val="15"/>
                <w:szCs w:val="15"/>
                <w:color w:val="auto"/>
              </w:rPr>
              <w:t>retain key executives critical to our success.</w:t>
            </w:r>
          </w:p>
        </w:tc>
        <w:tc>
          <w:tcPr>
            <w:tcW w:w="660" w:type="dxa"/>
            <w:vAlign w:val="bottom"/>
          </w:tcPr>
          <w:p>
            <w:pPr>
              <w:spacing w:after="0"/>
              <w:rPr>
                <w:sz w:val="17"/>
                <w:szCs w:val="17"/>
                <w:color w:val="auto"/>
              </w:rPr>
            </w:pPr>
          </w:p>
        </w:tc>
        <w:tc>
          <w:tcPr>
            <w:tcW w:w="1280" w:type="dxa"/>
            <w:vAlign w:val="bottom"/>
            <w:vMerge w:val="restart"/>
          </w:tcPr>
          <w:p>
            <w:pPr>
              <w:ind w:left="140"/>
              <w:spacing w:after="0"/>
              <w:rPr>
                <w:sz w:val="20"/>
                <w:szCs w:val="20"/>
                <w:color w:val="auto"/>
              </w:rPr>
            </w:pPr>
            <w:r>
              <w:rPr>
                <w:rFonts w:ascii="Arial" w:cs="Arial" w:eastAsia="Arial" w:hAnsi="Arial"/>
                <w:sz w:val="12"/>
                <w:szCs w:val="12"/>
                <w:color w:val="FFFFFF"/>
              </w:rPr>
              <w:t>Compensation of</w:t>
            </w: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9"/>
        </w:trPr>
        <w:tc>
          <w:tcPr>
            <w:tcW w:w="7880" w:type="dxa"/>
            <w:vAlign w:val="bottom"/>
          </w:tcPr>
          <w:p>
            <w:pPr>
              <w:spacing w:after="0"/>
              <w:rPr>
                <w:sz w:val="4"/>
                <w:szCs w:val="4"/>
                <w:color w:val="auto"/>
              </w:rPr>
            </w:pPr>
          </w:p>
        </w:tc>
        <w:tc>
          <w:tcPr>
            <w:tcW w:w="660" w:type="dxa"/>
            <w:vAlign w:val="bottom"/>
          </w:tcPr>
          <w:p>
            <w:pPr>
              <w:spacing w:after="0"/>
              <w:rPr>
                <w:sz w:val="4"/>
                <w:szCs w:val="4"/>
                <w:color w:val="auto"/>
              </w:rPr>
            </w:pPr>
          </w:p>
        </w:tc>
        <w:tc>
          <w:tcPr>
            <w:tcW w:w="1280" w:type="dxa"/>
            <w:vAlign w:val="bottom"/>
            <w:vMerge w:val="continue"/>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4"/>
        </w:trPr>
        <w:tc>
          <w:tcPr>
            <w:tcW w:w="7880" w:type="dxa"/>
            <w:vAlign w:val="bottom"/>
          </w:tcPr>
          <w:p>
            <w:pPr>
              <w:spacing w:after="0"/>
              <w:rPr>
                <w:sz w:val="20"/>
                <w:szCs w:val="20"/>
                <w:color w:val="auto"/>
              </w:rPr>
            </w:pPr>
            <w:r>
              <w:rPr>
                <w:rFonts w:ascii="Arial" w:cs="Arial" w:eastAsia="Arial" w:hAnsi="Arial"/>
                <w:sz w:val="15"/>
                <w:szCs w:val="15"/>
                <w:color w:val="auto"/>
              </w:rPr>
              <w:t>We urge stockholders to read the Compensation Discussion and Analysis beginning on page 38 of this proxy</w:t>
            </w:r>
          </w:p>
        </w:tc>
        <w:tc>
          <w:tcPr>
            <w:tcW w:w="660" w:type="dxa"/>
            <w:vAlign w:val="bottom"/>
          </w:tcPr>
          <w:p>
            <w:pPr>
              <w:spacing w:after="0"/>
              <w:rPr>
                <w:sz w:val="15"/>
                <w:szCs w:val="15"/>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Named Executive</w:t>
            </w: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8"/>
        </w:trPr>
        <w:tc>
          <w:tcPr>
            <w:tcW w:w="7880" w:type="dxa"/>
            <w:vAlign w:val="bottom"/>
            <w:vMerge w:val="restart"/>
          </w:tcPr>
          <w:p>
            <w:pPr>
              <w:spacing w:after="0"/>
              <w:rPr>
                <w:sz w:val="20"/>
                <w:szCs w:val="20"/>
                <w:color w:val="auto"/>
              </w:rPr>
            </w:pPr>
            <w:r>
              <w:rPr>
                <w:rFonts w:ascii="Arial" w:cs="Arial" w:eastAsia="Arial" w:hAnsi="Arial"/>
                <w:sz w:val="15"/>
                <w:szCs w:val="15"/>
                <w:color w:val="auto"/>
              </w:rPr>
              <w:t>statement and to review the 2025 Summary Compensation Table and related compensation tables and discussion,</w:t>
            </w:r>
          </w:p>
        </w:tc>
        <w:tc>
          <w:tcPr>
            <w:tcW w:w="660" w:type="dxa"/>
            <w:vAlign w:val="bottom"/>
          </w:tcPr>
          <w:p>
            <w:pPr>
              <w:spacing w:after="0"/>
              <w:rPr>
                <w:sz w:val="13"/>
                <w:szCs w:val="13"/>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Officers</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7"/>
        </w:trPr>
        <w:tc>
          <w:tcPr>
            <w:tcW w:w="7880" w:type="dxa"/>
            <w:vAlign w:val="bottom"/>
            <w:vMerge w:val="continue"/>
          </w:tcPr>
          <w:p>
            <w:pPr>
              <w:spacing w:after="0"/>
              <w:rPr>
                <w:sz w:val="4"/>
                <w:szCs w:val="4"/>
                <w:color w:val="auto"/>
              </w:rPr>
            </w:pPr>
          </w:p>
        </w:tc>
        <w:tc>
          <w:tcPr>
            <w:tcW w:w="660" w:type="dxa"/>
            <w:vAlign w:val="bottom"/>
          </w:tcPr>
          <w:p>
            <w:pPr>
              <w:spacing w:after="0"/>
              <w:rPr>
                <w:sz w:val="4"/>
                <w:szCs w:val="4"/>
                <w:color w:val="auto"/>
              </w:rPr>
            </w:pPr>
          </w:p>
        </w:tc>
        <w:tc>
          <w:tcPr>
            <w:tcW w:w="128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0"/>
        </w:trPr>
        <w:tc>
          <w:tcPr>
            <w:tcW w:w="7880" w:type="dxa"/>
            <w:vAlign w:val="bottom"/>
          </w:tcPr>
          <w:p>
            <w:pPr>
              <w:spacing w:after="0" w:line="161" w:lineRule="exact"/>
              <w:rPr>
                <w:sz w:val="20"/>
                <w:szCs w:val="20"/>
                <w:color w:val="auto"/>
              </w:rPr>
            </w:pPr>
            <w:r>
              <w:rPr>
                <w:rFonts w:ascii="Arial" w:cs="Arial" w:eastAsia="Arial" w:hAnsi="Arial"/>
                <w:sz w:val="15"/>
                <w:szCs w:val="15"/>
                <w:color w:val="auto"/>
              </w:rPr>
              <w:t>beginning on page 60, which provide detailed information on the Company’s compensation policies and practices.</w:t>
            </w:r>
          </w:p>
        </w:tc>
        <w:tc>
          <w:tcPr>
            <w:tcW w:w="660" w:type="dxa"/>
            <w:vAlign w:val="bottom"/>
          </w:tcPr>
          <w:p>
            <w:pPr>
              <w:spacing w:after="0"/>
              <w:rPr>
                <w:sz w:val="13"/>
                <w:szCs w:val="13"/>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Pay Versus</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7880" w:type="dxa"/>
            <w:vAlign w:val="bottom"/>
          </w:tcPr>
          <w:p>
            <w:pPr>
              <w:spacing w:after="0" w:line="171" w:lineRule="exact"/>
              <w:rPr>
                <w:sz w:val="20"/>
                <w:szCs w:val="20"/>
                <w:color w:val="auto"/>
              </w:rPr>
            </w:pPr>
            <w:r>
              <w:rPr>
                <w:rFonts w:ascii="Arial" w:cs="Arial" w:eastAsia="Arial" w:hAnsi="Arial"/>
                <w:sz w:val="15"/>
                <w:szCs w:val="15"/>
                <w:color w:val="auto"/>
              </w:rPr>
              <w:t>We believe stockholders should focus on the following areas when reviewing our NEO compensation:</w:t>
            </w:r>
          </w:p>
        </w:tc>
        <w:tc>
          <w:tcPr>
            <w:tcW w:w="660" w:type="dxa"/>
            <w:vAlign w:val="bottom"/>
          </w:tcPr>
          <w:p>
            <w:pPr>
              <w:spacing w:after="0"/>
              <w:rPr>
                <w:sz w:val="14"/>
                <w:szCs w:val="14"/>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Performance</w:t>
            </w: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78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Disclosure</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6"/>
        </w:trPr>
        <w:tc>
          <w:tcPr>
            <w:tcW w:w="7880" w:type="dxa"/>
            <w:vAlign w:val="bottom"/>
            <w:tcBorders>
              <w:bottom w:val="single" w:sz="8" w:color="002B5F"/>
            </w:tcBorders>
          </w:tcPr>
          <w:p>
            <w:pPr>
              <w:spacing w:after="0"/>
              <w:rPr>
                <w:sz w:val="10"/>
                <w:szCs w:val="10"/>
                <w:color w:val="auto"/>
              </w:rPr>
            </w:pPr>
          </w:p>
        </w:tc>
        <w:tc>
          <w:tcPr>
            <w:tcW w:w="660" w:type="dxa"/>
            <w:vAlign w:val="bottom"/>
          </w:tcPr>
          <w:p>
            <w:pPr>
              <w:spacing w:after="0"/>
              <w:rPr>
                <w:sz w:val="10"/>
                <w:szCs w:val="10"/>
                <w:color w:val="auto"/>
              </w:rPr>
            </w:pPr>
          </w:p>
        </w:tc>
        <w:tc>
          <w:tcPr>
            <w:tcW w:w="1280" w:type="dxa"/>
            <w:vAlign w:val="bottom"/>
            <w:vMerge w:val="restart"/>
          </w:tcPr>
          <w:p>
            <w:pPr>
              <w:ind w:left="140"/>
              <w:spacing w:after="0"/>
              <w:rPr>
                <w:sz w:val="20"/>
                <w:szCs w:val="20"/>
                <w:color w:val="auto"/>
              </w:rPr>
            </w:pPr>
            <w:r>
              <w:rPr>
                <w:rFonts w:ascii="Arial" w:cs="Arial" w:eastAsia="Arial" w:hAnsi="Arial"/>
                <w:sz w:val="12"/>
                <w:szCs w:val="12"/>
                <w:color w:val="FFFFFF"/>
              </w:rPr>
              <w:t>Security</w:t>
            </w: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4"/>
        </w:trPr>
        <w:tc>
          <w:tcPr>
            <w:tcW w:w="7880" w:type="dxa"/>
            <w:vAlign w:val="bottom"/>
            <w:shd w:val="clear" w:color="auto" w:fill="F7F1EC"/>
          </w:tcPr>
          <w:p>
            <w:pPr>
              <w:spacing w:after="0"/>
              <w:rPr>
                <w:sz w:val="7"/>
                <w:szCs w:val="7"/>
                <w:color w:val="auto"/>
              </w:rPr>
            </w:pPr>
          </w:p>
        </w:tc>
        <w:tc>
          <w:tcPr>
            <w:tcW w:w="660" w:type="dxa"/>
            <w:vAlign w:val="bottom"/>
          </w:tcPr>
          <w:p>
            <w:pPr>
              <w:spacing w:after="0"/>
              <w:rPr>
                <w:sz w:val="7"/>
                <w:szCs w:val="7"/>
                <w:color w:val="auto"/>
              </w:rPr>
            </w:pPr>
          </w:p>
        </w:tc>
        <w:tc>
          <w:tcPr>
            <w:tcW w:w="1280" w:type="dxa"/>
            <w:vAlign w:val="bottom"/>
            <w:vMerge w:val="continue"/>
          </w:tcPr>
          <w:p>
            <w:pPr>
              <w:spacing w:after="0"/>
              <w:rPr>
                <w:sz w:val="7"/>
                <w:szCs w:val="7"/>
                <w:color w:val="auto"/>
              </w:rPr>
            </w:pPr>
          </w:p>
        </w:tc>
        <w:tc>
          <w:tcPr>
            <w:tcW w:w="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8"/>
        </w:trPr>
        <w:tc>
          <w:tcPr>
            <w:tcW w:w="7880" w:type="dxa"/>
            <w:vAlign w:val="bottom"/>
            <w:vMerge w:val="restart"/>
            <w:shd w:val="clear" w:color="auto" w:fill="F7F1EC"/>
          </w:tcPr>
          <w:p>
            <w:pPr>
              <w:ind w:left="80"/>
              <w:spacing w:after="0"/>
              <w:rPr>
                <w:sz w:val="20"/>
                <w:szCs w:val="20"/>
                <w:color w:val="auto"/>
              </w:rPr>
            </w:pPr>
            <w:r>
              <w:rPr>
                <w:rFonts w:ascii="Arial" w:cs="Arial" w:eastAsia="Arial" w:hAnsi="Arial"/>
                <w:sz w:val="17"/>
                <w:szCs w:val="17"/>
                <w:b w:val="1"/>
                <w:bCs w:val="1"/>
                <w:color w:val="002B5F"/>
              </w:rPr>
              <w:t>PAY FOR PERFORMANCE</w:t>
            </w:r>
          </w:p>
        </w:tc>
        <w:tc>
          <w:tcPr>
            <w:tcW w:w="660" w:type="dxa"/>
            <w:vAlign w:val="bottom"/>
          </w:tcPr>
          <w:p>
            <w:pPr>
              <w:spacing w:after="0"/>
              <w:rPr>
                <w:sz w:val="11"/>
                <w:szCs w:val="11"/>
                <w:color w:val="auto"/>
              </w:rPr>
            </w:pPr>
          </w:p>
        </w:tc>
        <w:tc>
          <w:tcPr>
            <w:tcW w:w="1280" w:type="dxa"/>
            <w:vAlign w:val="bottom"/>
          </w:tcPr>
          <w:p>
            <w:pPr>
              <w:ind w:left="140"/>
              <w:spacing w:after="0" w:line="128" w:lineRule="exact"/>
              <w:rPr>
                <w:sz w:val="20"/>
                <w:szCs w:val="20"/>
                <w:color w:val="auto"/>
              </w:rPr>
            </w:pPr>
            <w:r>
              <w:rPr>
                <w:rFonts w:ascii="Arial" w:cs="Arial" w:eastAsia="Arial" w:hAnsi="Arial"/>
                <w:sz w:val="12"/>
                <w:szCs w:val="12"/>
                <w:color w:val="FFFFFF"/>
              </w:rPr>
              <w:t>Ownership of</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7880" w:type="dxa"/>
            <w:vAlign w:val="bottom"/>
            <w:vMerge w:val="continue"/>
            <w:shd w:val="clear" w:color="auto" w:fill="F7F1EC"/>
          </w:tcPr>
          <w:p>
            <w:pPr>
              <w:spacing w:after="0"/>
              <w:rPr>
                <w:sz w:val="11"/>
                <w:szCs w:val="11"/>
                <w:color w:val="auto"/>
              </w:rPr>
            </w:pPr>
          </w:p>
        </w:tc>
        <w:tc>
          <w:tcPr>
            <w:tcW w:w="660" w:type="dxa"/>
            <w:vAlign w:val="bottom"/>
          </w:tcPr>
          <w:p>
            <w:pPr>
              <w:spacing w:after="0"/>
              <w:rPr>
                <w:sz w:val="11"/>
                <w:szCs w:val="11"/>
                <w:color w:val="auto"/>
              </w:rPr>
            </w:pPr>
          </w:p>
        </w:tc>
        <w:tc>
          <w:tcPr>
            <w:tcW w:w="1280" w:type="dxa"/>
            <w:vAlign w:val="bottom"/>
          </w:tcPr>
          <w:p>
            <w:pPr>
              <w:ind w:left="140"/>
              <w:spacing w:after="0" w:line="133" w:lineRule="exact"/>
              <w:rPr>
                <w:sz w:val="20"/>
                <w:szCs w:val="20"/>
                <w:color w:val="auto"/>
              </w:rPr>
            </w:pPr>
            <w:r>
              <w:rPr>
                <w:rFonts w:ascii="Arial" w:cs="Arial" w:eastAsia="Arial" w:hAnsi="Arial"/>
                <w:sz w:val="12"/>
                <w:szCs w:val="12"/>
                <w:color w:val="FFFFFF"/>
              </w:rPr>
              <w:t>Certain Beneficial</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3"/>
        </w:trPr>
        <w:tc>
          <w:tcPr>
            <w:tcW w:w="7880" w:type="dxa"/>
            <w:vAlign w:val="bottom"/>
            <w:shd w:val="clear" w:color="auto" w:fill="F7F1EC"/>
          </w:tcPr>
          <w:p>
            <w:pPr>
              <w:spacing w:after="0"/>
              <w:rPr>
                <w:sz w:val="10"/>
                <w:szCs w:val="10"/>
                <w:color w:val="auto"/>
              </w:rPr>
            </w:pPr>
          </w:p>
        </w:tc>
        <w:tc>
          <w:tcPr>
            <w:tcW w:w="660" w:type="dxa"/>
            <w:vAlign w:val="bottom"/>
          </w:tcPr>
          <w:p>
            <w:pPr>
              <w:spacing w:after="0"/>
              <w:rPr>
                <w:sz w:val="10"/>
                <w:szCs w:val="10"/>
                <w:color w:val="auto"/>
              </w:rPr>
            </w:pPr>
          </w:p>
        </w:tc>
        <w:tc>
          <w:tcPr>
            <w:tcW w:w="1280" w:type="dxa"/>
            <w:vAlign w:val="bottom"/>
          </w:tcPr>
          <w:p>
            <w:pPr>
              <w:ind w:left="140"/>
              <w:spacing w:after="0" w:line="123" w:lineRule="exact"/>
              <w:rPr>
                <w:sz w:val="20"/>
                <w:szCs w:val="20"/>
                <w:color w:val="auto"/>
              </w:rPr>
            </w:pPr>
            <w:r>
              <w:rPr>
                <w:rFonts w:ascii="Arial" w:cs="Arial" w:eastAsia="Arial" w:hAnsi="Arial"/>
                <w:sz w:val="12"/>
                <w:szCs w:val="12"/>
                <w:color w:val="FFFFFF"/>
              </w:rPr>
              <w:t>Owners and</w:t>
            </w: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4"/>
        </w:trPr>
        <w:tc>
          <w:tcPr>
            <w:tcW w:w="7880" w:type="dxa"/>
            <w:vAlign w:val="bottom"/>
            <w:shd w:val="clear" w:color="auto" w:fill="F7F1EC"/>
          </w:tcPr>
          <w:p>
            <w:pPr>
              <w:ind w:left="80"/>
              <w:spacing w:after="0"/>
              <w:rPr>
                <w:sz w:val="20"/>
                <w:szCs w:val="20"/>
                <w:color w:val="auto"/>
              </w:rPr>
            </w:pPr>
            <w:r>
              <w:rPr>
                <w:rFonts w:ascii="Arial" w:cs="Arial" w:eastAsia="Arial" w:hAnsi="Arial"/>
                <w:sz w:val="15"/>
                <w:szCs w:val="15"/>
                <w:i w:val="1"/>
                <w:iCs w:val="1"/>
                <w:color w:val="B95827"/>
              </w:rPr>
              <w:t xml:space="preserve">Annual Cash Bonus Opportunities. </w:t>
            </w:r>
            <w:r>
              <w:rPr>
                <w:rFonts w:ascii="Arial" w:cs="Arial" w:eastAsia="Arial" w:hAnsi="Arial"/>
                <w:sz w:val="15"/>
                <w:szCs w:val="15"/>
                <w:color w:val="000000"/>
              </w:rPr>
              <w:t>We provide annual cash bonus awards in order to tie a significant portion of</w:t>
            </w:r>
          </w:p>
        </w:tc>
        <w:tc>
          <w:tcPr>
            <w:tcW w:w="660" w:type="dxa"/>
            <w:vAlign w:val="bottom"/>
          </w:tcPr>
          <w:p>
            <w:pPr>
              <w:spacing w:after="0"/>
              <w:rPr>
                <w:sz w:val="16"/>
                <w:szCs w:val="16"/>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Management</w:t>
            </w: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7880" w:type="dxa"/>
            <w:vAlign w:val="bottom"/>
            <w:shd w:val="clear" w:color="auto" w:fill="F7F1EC"/>
          </w:tcPr>
          <w:p>
            <w:pPr>
              <w:ind w:left="80"/>
              <w:spacing w:after="0"/>
              <w:rPr>
                <w:sz w:val="20"/>
                <w:szCs w:val="20"/>
                <w:color w:val="auto"/>
              </w:rPr>
            </w:pPr>
            <w:r>
              <w:rPr>
                <w:rFonts w:ascii="Arial" w:cs="Arial" w:eastAsia="Arial" w:hAnsi="Arial"/>
                <w:sz w:val="15"/>
                <w:szCs w:val="15"/>
                <w:color w:val="auto"/>
              </w:rPr>
              <w:t>the overall cash compensation of each of our NEOs to the achievement of annually established, key short-term</w:t>
            </w:r>
          </w:p>
        </w:tc>
        <w:tc>
          <w:tcPr>
            <w:tcW w:w="660" w:type="dxa"/>
            <w:vAlign w:val="bottom"/>
          </w:tcPr>
          <w:p>
            <w:pPr>
              <w:spacing w:after="0"/>
              <w:rPr>
                <w:sz w:val="15"/>
                <w:szCs w:val="15"/>
                <w:color w:val="auto"/>
              </w:rPr>
            </w:pPr>
          </w:p>
        </w:tc>
        <w:tc>
          <w:tcPr>
            <w:tcW w:w="1280" w:type="dxa"/>
            <w:vAlign w:val="bottom"/>
            <w:vMerge w:val="restart"/>
          </w:tcPr>
          <w:p>
            <w:pPr>
              <w:ind w:left="140"/>
              <w:spacing w:after="0"/>
              <w:rPr>
                <w:sz w:val="20"/>
                <w:szCs w:val="20"/>
                <w:color w:val="auto"/>
              </w:rPr>
            </w:pPr>
            <w:r>
              <w:rPr>
                <w:rFonts w:ascii="Arial" w:cs="Arial" w:eastAsia="Arial" w:hAnsi="Arial"/>
                <w:sz w:val="12"/>
                <w:szCs w:val="12"/>
                <w:color w:val="FFFFFF"/>
              </w:rPr>
              <w:t>Certain</w:t>
            </w: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8"/>
        </w:trPr>
        <w:tc>
          <w:tcPr>
            <w:tcW w:w="7880" w:type="dxa"/>
            <w:vAlign w:val="bottom"/>
            <w:vMerge w:val="restart"/>
            <w:shd w:val="clear" w:color="auto" w:fill="F7F1EC"/>
          </w:tcPr>
          <w:p>
            <w:pPr>
              <w:ind w:left="80"/>
              <w:spacing w:after="0"/>
              <w:rPr>
                <w:sz w:val="20"/>
                <w:szCs w:val="20"/>
                <w:color w:val="auto"/>
              </w:rPr>
            </w:pPr>
            <w:r>
              <w:rPr>
                <w:rFonts w:ascii="Arial" w:cs="Arial" w:eastAsia="Arial" w:hAnsi="Arial"/>
                <w:sz w:val="15"/>
                <w:szCs w:val="15"/>
                <w:color w:val="auto"/>
              </w:rPr>
              <w:t>corporate objectives and financial goals of the Company, as well as to recognize individual performance. At the</w:t>
            </w:r>
          </w:p>
        </w:tc>
        <w:tc>
          <w:tcPr>
            <w:tcW w:w="660" w:type="dxa"/>
            <w:vAlign w:val="bottom"/>
          </w:tcPr>
          <w:p>
            <w:pPr>
              <w:spacing w:after="0"/>
              <w:rPr>
                <w:sz w:val="5"/>
                <w:szCs w:val="5"/>
                <w:color w:val="auto"/>
              </w:rPr>
            </w:pPr>
          </w:p>
        </w:tc>
        <w:tc>
          <w:tcPr>
            <w:tcW w:w="128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0"/>
        </w:trPr>
        <w:tc>
          <w:tcPr>
            <w:tcW w:w="7880" w:type="dxa"/>
            <w:vAlign w:val="bottom"/>
            <w:vMerge w:val="continue"/>
            <w:shd w:val="clear" w:color="auto" w:fill="F7F1EC"/>
          </w:tcPr>
          <w:p>
            <w:pPr>
              <w:spacing w:after="0"/>
              <w:rPr>
                <w:sz w:val="10"/>
                <w:szCs w:val="10"/>
                <w:color w:val="auto"/>
              </w:rPr>
            </w:pPr>
          </w:p>
        </w:tc>
        <w:tc>
          <w:tcPr>
            <w:tcW w:w="660" w:type="dxa"/>
            <w:vAlign w:val="bottom"/>
          </w:tcPr>
          <w:p>
            <w:pPr>
              <w:spacing w:after="0"/>
              <w:rPr>
                <w:sz w:val="10"/>
                <w:szCs w:val="10"/>
                <w:color w:val="auto"/>
              </w:rPr>
            </w:pPr>
          </w:p>
        </w:tc>
        <w:tc>
          <w:tcPr>
            <w:tcW w:w="1280" w:type="dxa"/>
            <w:vAlign w:val="bottom"/>
          </w:tcPr>
          <w:p>
            <w:pPr>
              <w:ind w:left="140"/>
              <w:spacing w:after="0" w:line="121" w:lineRule="exact"/>
              <w:rPr>
                <w:sz w:val="20"/>
                <w:szCs w:val="20"/>
                <w:color w:val="auto"/>
              </w:rPr>
            </w:pPr>
            <w:r>
              <w:rPr>
                <w:rFonts w:ascii="Arial" w:cs="Arial" w:eastAsia="Arial" w:hAnsi="Arial"/>
                <w:sz w:val="12"/>
                <w:szCs w:val="12"/>
                <w:color w:val="FFFFFF"/>
              </w:rPr>
              <w:t>Relationships and</w:t>
            </w: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7880" w:type="dxa"/>
            <w:vAlign w:val="bottom"/>
            <w:shd w:val="clear" w:color="auto" w:fill="F7F1EC"/>
          </w:tcPr>
          <w:p>
            <w:pPr>
              <w:ind w:left="80"/>
              <w:spacing w:after="0" w:line="153" w:lineRule="exact"/>
              <w:rPr>
                <w:sz w:val="20"/>
                <w:szCs w:val="20"/>
                <w:color w:val="auto"/>
              </w:rPr>
            </w:pPr>
            <w:r>
              <w:rPr>
                <w:rFonts w:ascii="Arial" w:cs="Arial" w:eastAsia="Arial" w:hAnsi="Arial"/>
                <w:sz w:val="15"/>
                <w:szCs w:val="15"/>
                <w:color w:val="auto"/>
              </w:rPr>
              <w:t>beginning of 2025, the Compensation Committee established a bonus funding framework based on the</w:t>
            </w:r>
          </w:p>
        </w:tc>
        <w:tc>
          <w:tcPr>
            <w:tcW w:w="660" w:type="dxa"/>
            <w:vAlign w:val="bottom"/>
          </w:tcPr>
          <w:p>
            <w:pPr>
              <w:spacing w:after="0"/>
              <w:rPr>
                <w:sz w:val="13"/>
                <w:szCs w:val="13"/>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Related Party</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7880" w:type="dxa"/>
            <w:vAlign w:val="bottom"/>
            <w:vMerge w:val="restart"/>
            <w:shd w:val="clear" w:color="auto" w:fill="F7F1EC"/>
          </w:tcPr>
          <w:p>
            <w:pPr>
              <w:ind w:left="80"/>
              <w:spacing w:after="0"/>
              <w:rPr>
                <w:sz w:val="20"/>
                <w:szCs w:val="20"/>
                <w:color w:val="auto"/>
              </w:rPr>
            </w:pPr>
            <w:r>
              <w:rPr>
                <w:rFonts w:ascii="Arial" w:cs="Arial" w:eastAsia="Arial" w:hAnsi="Arial"/>
                <w:sz w:val="15"/>
                <w:szCs w:val="15"/>
                <w:color w:val="auto"/>
              </w:rPr>
              <w:t>Company’s achievement of pre-established financial and business goals for 2025. Each NEO’s individual target</w:t>
            </w:r>
          </w:p>
        </w:tc>
        <w:tc>
          <w:tcPr>
            <w:tcW w:w="660" w:type="dxa"/>
            <w:vAlign w:val="bottom"/>
          </w:tcPr>
          <w:p>
            <w:pPr>
              <w:spacing w:after="0"/>
              <w:rPr>
                <w:sz w:val="13"/>
                <w:szCs w:val="13"/>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Transactions</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7"/>
        </w:trPr>
        <w:tc>
          <w:tcPr>
            <w:tcW w:w="7880" w:type="dxa"/>
            <w:vAlign w:val="bottom"/>
            <w:vMerge w:val="continue"/>
            <w:shd w:val="clear" w:color="auto" w:fill="F7F1EC"/>
          </w:tcPr>
          <w:p>
            <w:pPr>
              <w:spacing w:after="0"/>
              <w:rPr>
                <w:sz w:val="4"/>
                <w:szCs w:val="4"/>
                <w:color w:val="auto"/>
              </w:rPr>
            </w:pPr>
          </w:p>
        </w:tc>
        <w:tc>
          <w:tcPr>
            <w:tcW w:w="660" w:type="dxa"/>
            <w:vAlign w:val="bottom"/>
          </w:tcPr>
          <w:p>
            <w:pPr>
              <w:spacing w:after="0"/>
              <w:rPr>
                <w:sz w:val="4"/>
                <w:szCs w:val="4"/>
                <w:color w:val="auto"/>
              </w:rPr>
            </w:pPr>
          </w:p>
        </w:tc>
        <w:tc>
          <w:tcPr>
            <w:tcW w:w="128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7880" w:type="dxa"/>
            <w:vAlign w:val="bottom"/>
            <w:shd w:val="clear" w:color="auto" w:fill="F7F1EC"/>
          </w:tcPr>
          <w:p>
            <w:pPr>
              <w:ind w:left="80"/>
              <w:spacing w:after="0"/>
              <w:rPr>
                <w:sz w:val="20"/>
                <w:szCs w:val="20"/>
                <w:color w:val="auto"/>
              </w:rPr>
            </w:pPr>
            <w:r>
              <w:rPr>
                <w:rFonts w:ascii="Arial" w:cs="Arial" w:eastAsia="Arial" w:hAnsi="Arial"/>
                <w:sz w:val="15"/>
                <w:szCs w:val="15"/>
                <w:color w:val="auto"/>
              </w:rPr>
              <w:t>award amount was set by the Compensation Committee after consideration of benchmarking data consisting of</w:t>
            </w:r>
          </w:p>
        </w:tc>
        <w:tc>
          <w:tcPr>
            <w:tcW w:w="660" w:type="dxa"/>
            <w:vAlign w:val="bottom"/>
          </w:tcPr>
          <w:p>
            <w:pPr>
              <w:spacing w:after="0"/>
              <w:rPr>
                <w:sz w:val="16"/>
                <w:szCs w:val="16"/>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Proposal 2</w:t>
            </w: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7880" w:type="dxa"/>
            <w:vAlign w:val="bottom"/>
            <w:shd w:val="clear" w:color="auto" w:fill="F7F1EC"/>
          </w:tcPr>
          <w:p>
            <w:pPr>
              <w:ind w:left="80"/>
              <w:spacing w:after="0" w:line="167" w:lineRule="exact"/>
              <w:rPr>
                <w:sz w:val="20"/>
                <w:szCs w:val="20"/>
                <w:color w:val="auto"/>
              </w:rPr>
            </w:pPr>
            <w:r>
              <w:rPr>
                <w:rFonts w:ascii="Arial" w:cs="Arial" w:eastAsia="Arial" w:hAnsi="Arial"/>
                <w:sz w:val="15"/>
                <w:szCs w:val="15"/>
                <w:color w:val="auto"/>
              </w:rPr>
              <w:t>compensation information for comparable roles at relevant peer companies and other survey data, as well as the</w:t>
            </w:r>
          </w:p>
        </w:tc>
        <w:tc>
          <w:tcPr>
            <w:tcW w:w="6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7880" w:type="dxa"/>
            <w:vAlign w:val="bottom"/>
            <w:shd w:val="clear" w:color="auto" w:fill="F7F1EC"/>
          </w:tcPr>
          <w:p>
            <w:pPr>
              <w:ind w:left="80"/>
              <w:spacing w:after="0" w:line="153" w:lineRule="exact"/>
              <w:rPr>
                <w:sz w:val="20"/>
                <w:szCs w:val="20"/>
                <w:color w:val="auto"/>
              </w:rPr>
            </w:pPr>
            <w:r>
              <w:rPr>
                <w:rFonts w:ascii="Arial" w:cs="Arial" w:eastAsia="Arial" w:hAnsi="Arial"/>
                <w:sz w:val="15"/>
                <w:szCs w:val="15"/>
                <w:color w:val="auto"/>
              </w:rPr>
              <w:t>NEO’s responsibilities, tenure and performance. By emphasizing executives’ contributions to the Company’s</w:t>
            </w:r>
          </w:p>
        </w:tc>
        <w:tc>
          <w:tcPr>
            <w:tcW w:w="660" w:type="dxa"/>
            <w:vAlign w:val="bottom"/>
          </w:tcPr>
          <w:p>
            <w:pPr>
              <w:spacing w:after="0"/>
              <w:rPr>
                <w:sz w:val="13"/>
                <w:szCs w:val="13"/>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Report of the</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0"/>
        </w:trPr>
        <w:tc>
          <w:tcPr>
            <w:tcW w:w="7880" w:type="dxa"/>
            <w:vAlign w:val="bottom"/>
            <w:vMerge w:val="restart"/>
            <w:shd w:val="clear" w:color="auto" w:fill="F7F1EC"/>
          </w:tcPr>
          <w:p>
            <w:pPr>
              <w:ind w:left="80"/>
              <w:spacing w:after="0"/>
              <w:rPr>
                <w:sz w:val="20"/>
                <w:szCs w:val="20"/>
                <w:color w:val="auto"/>
              </w:rPr>
            </w:pPr>
            <w:r>
              <w:rPr>
                <w:rFonts w:ascii="Arial" w:cs="Arial" w:eastAsia="Arial" w:hAnsi="Arial"/>
                <w:sz w:val="15"/>
                <w:szCs w:val="15"/>
                <w:color w:val="auto"/>
              </w:rPr>
              <w:t>overall performance rather than focusing only on their individual business or function, we believe that these cash</w:t>
            </w:r>
          </w:p>
        </w:tc>
        <w:tc>
          <w:tcPr>
            <w:tcW w:w="660" w:type="dxa"/>
            <w:vAlign w:val="bottom"/>
          </w:tcPr>
          <w:p>
            <w:pPr>
              <w:spacing w:after="0"/>
              <w:rPr>
                <w:sz w:val="9"/>
                <w:szCs w:val="9"/>
                <w:color w:val="auto"/>
              </w:rPr>
            </w:pPr>
          </w:p>
        </w:tc>
        <w:tc>
          <w:tcPr>
            <w:tcW w:w="1280" w:type="dxa"/>
            <w:vAlign w:val="bottom"/>
          </w:tcPr>
          <w:p>
            <w:pPr>
              <w:ind w:left="140"/>
              <w:spacing w:after="0" w:line="110" w:lineRule="exact"/>
              <w:rPr>
                <w:sz w:val="20"/>
                <w:szCs w:val="20"/>
                <w:color w:val="auto"/>
              </w:rPr>
            </w:pPr>
            <w:r>
              <w:rPr>
                <w:rFonts w:ascii="Arial" w:cs="Arial" w:eastAsia="Arial" w:hAnsi="Arial"/>
                <w:sz w:val="12"/>
                <w:szCs w:val="12"/>
                <w:color w:val="FFFFFF"/>
              </w:rPr>
              <w:t>Audit and Risk</w:t>
            </w: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7880" w:type="dxa"/>
            <w:vAlign w:val="bottom"/>
            <w:vMerge w:val="continue"/>
            <w:shd w:val="clear" w:color="auto" w:fill="F7F1EC"/>
          </w:tcPr>
          <w:p>
            <w:pPr>
              <w:spacing w:after="0"/>
              <w:rPr>
                <w:sz w:val="10"/>
                <w:szCs w:val="10"/>
                <w:color w:val="auto"/>
              </w:rPr>
            </w:pPr>
          </w:p>
        </w:tc>
        <w:tc>
          <w:tcPr>
            <w:tcW w:w="660" w:type="dxa"/>
            <w:vAlign w:val="bottom"/>
          </w:tcPr>
          <w:p>
            <w:pPr>
              <w:spacing w:after="0"/>
              <w:rPr>
                <w:sz w:val="10"/>
                <w:szCs w:val="10"/>
                <w:color w:val="auto"/>
              </w:rPr>
            </w:pPr>
          </w:p>
        </w:tc>
        <w:tc>
          <w:tcPr>
            <w:tcW w:w="1280" w:type="dxa"/>
            <w:vAlign w:val="bottom"/>
          </w:tcPr>
          <w:p>
            <w:pPr>
              <w:ind w:left="140"/>
              <w:spacing w:after="0" w:line="120" w:lineRule="exact"/>
              <w:rPr>
                <w:sz w:val="20"/>
                <w:szCs w:val="20"/>
                <w:color w:val="auto"/>
              </w:rPr>
            </w:pPr>
            <w:r>
              <w:rPr>
                <w:rFonts w:ascii="Arial" w:cs="Arial" w:eastAsia="Arial" w:hAnsi="Arial"/>
                <w:sz w:val="12"/>
                <w:szCs w:val="12"/>
                <w:color w:val="FFFFFF"/>
              </w:rPr>
              <w:t>Committee of the</w:t>
            </w: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1"/>
        </w:trPr>
        <w:tc>
          <w:tcPr>
            <w:tcW w:w="7880" w:type="dxa"/>
            <w:vAlign w:val="bottom"/>
            <w:shd w:val="clear" w:color="auto" w:fill="F7F1EC"/>
          </w:tcPr>
          <w:p>
            <w:pPr>
              <w:ind w:left="80"/>
              <w:spacing w:after="0"/>
              <w:rPr>
                <w:sz w:val="20"/>
                <w:szCs w:val="20"/>
                <w:color w:val="auto"/>
              </w:rPr>
            </w:pPr>
            <w:r>
              <w:rPr>
                <w:rFonts w:ascii="Arial" w:cs="Arial" w:eastAsia="Arial" w:hAnsi="Arial"/>
                <w:sz w:val="15"/>
                <w:szCs w:val="15"/>
                <w:color w:val="auto"/>
              </w:rPr>
              <w:t>bonuses provided a significant incentive to our NEOs to work towards achieving our overall Company objectives.</w:t>
            </w:r>
          </w:p>
        </w:tc>
        <w:tc>
          <w:tcPr>
            <w:tcW w:w="660" w:type="dxa"/>
            <w:vAlign w:val="bottom"/>
          </w:tcPr>
          <w:p>
            <w:pPr>
              <w:spacing w:after="0"/>
              <w:rPr>
                <w:sz w:val="17"/>
                <w:szCs w:val="17"/>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Board of Directors</w:t>
            </w: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880" w:type="dxa"/>
            <w:vAlign w:val="bottom"/>
            <w:shd w:val="clear" w:color="auto" w:fill="F7F1EC"/>
          </w:tcPr>
          <w:p>
            <w:pPr>
              <w:ind w:left="80"/>
              <w:spacing w:after="0"/>
              <w:rPr>
                <w:sz w:val="20"/>
                <w:szCs w:val="20"/>
                <w:color w:val="auto"/>
              </w:rPr>
            </w:pPr>
            <w:r>
              <w:rPr>
                <w:rFonts w:ascii="Arial" w:cs="Arial" w:eastAsia="Arial" w:hAnsi="Arial"/>
                <w:sz w:val="15"/>
                <w:szCs w:val="15"/>
                <w:i w:val="1"/>
                <w:iCs w:val="1"/>
                <w:color w:val="B95827"/>
              </w:rPr>
              <w:t xml:space="preserve">Long-Term Incentives. </w:t>
            </w:r>
            <w:r>
              <w:rPr>
                <w:rFonts w:ascii="Arial" w:cs="Arial" w:eastAsia="Arial" w:hAnsi="Arial"/>
                <w:sz w:val="15"/>
                <w:szCs w:val="15"/>
                <w:color w:val="000000"/>
              </w:rPr>
              <w:t>The purposes of our long-term equity incentive program are to promote achievement of</w:t>
            </w:r>
          </w:p>
        </w:tc>
        <w:tc>
          <w:tcPr>
            <w:tcW w:w="660" w:type="dxa"/>
            <w:vAlign w:val="bottom"/>
          </w:tcPr>
          <w:p>
            <w:pPr>
              <w:spacing w:after="0"/>
              <w:rPr>
                <w:sz w:val="20"/>
                <w:szCs w:val="20"/>
                <w:color w:val="auto"/>
              </w:rPr>
            </w:pPr>
          </w:p>
        </w:tc>
        <w:tc>
          <w:tcPr>
            <w:tcW w:w="1280" w:type="dxa"/>
            <w:vAlign w:val="bottom"/>
          </w:tcPr>
          <w:p>
            <w:pPr>
              <w:ind w:left="140"/>
              <w:spacing w:after="0"/>
              <w:rPr>
                <w:sz w:val="20"/>
                <w:szCs w:val="20"/>
                <w:color w:val="auto"/>
              </w:rPr>
            </w:pPr>
            <w:r>
              <w:rPr>
                <w:rFonts w:ascii="Arial" w:cs="Arial" w:eastAsia="Arial" w:hAnsi="Arial"/>
                <w:sz w:val="12"/>
                <w:szCs w:val="12"/>
                <w:b w:val="1"/>
                <w:bCs w:val="1"/>
                <w:color w:val="FFFFFF"/>
              </w:rPr>
              <w:t>Proposal 3</w:t>
            </w: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9"/>
        </w:trPr>
        <w:tc>
          <w:tcPr>
            <w:tcW w:w="7880" w:type="dxa"/>
            <w:vAlign w:val="bottom"/>
            <w:shd w:val="clear" w:color="auto" w:fill="F7F1EC"/>
          </w:tcPr>
          <w:p>
            <w:pPr>
              <w:ind w:left="80"/>
              <w:spacing w:after="0"/>
              <w:rPr>
                <w:sz w:val="20"/>
                <w:szCs w:val="20"/>
                <w:color w:val="auto"/>
              </w:rPr>
            </w:pPr>
            <w:r>
              <w:rPr>
                <w:rFonts w:ascii="Arial" w:cs="Arial" w:eastAsia="Arial" w:hAnsi="Arial"/>
                <w:sz w:val="15"/>
                <w:szCs w:val="15"/>
                <w:color w:val="auto"/>
              </w:rPr>
              <w:t>corporate goals that drive long-term stockholder value, to align the interests of our executive officers and other</w:t>
            </w:r>
          </w:p>
        </w:tc>
        <w:tc>
          <w:tcPr>
            <w:tcW w:w="660" w:type="dxa"/>
            <w:vAlign w:val="bottom"/>
          </w:tcPr>
          <w:p>
            <w:pPr>
              <w:spacing w:after="0"/>
              <w:rPr>
                <w:sz w:val="15"/>
                <w:szCs w:val="15"/>
                <w:color w:val="auto"/>
              </w:rPr>
            </w:pPr>
          </w:p>
        </w:tc>
        <w:tc>
          <w:tcPr>
            <w:tcW w:w="1280" w:type="dxa"/>
            <w:vAlign w:val="bottom"/>
            <w:vMerge w:val="restart"/>
          </w:tcPr>
          <w:p>
            <w:pPr>
              <w:ind w:left="140"/>
              <w:spacing w:after="0"/>
              <w:rPr>
                <w:sz w:val="20"/>
                <w:szCs w:val="20"/>
                <w:color w:val="auto"/>
              </w:rPr>
            </w:pPr>
            <w:r>
              <w:rPr>
                <w:rFonts w:ascii="Arial" w:cs="Arial" w:eastAsia="Arial" w:hAnsi="Arial"/>
                <w:sz w:val="12"/>
                <w:szCs w:val="12"/>
                <w:color w:val="FFFFFF"/>
              </w:rPr>
              <w:t>Proposal 4</w:t>
            </w: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7880" w:type="dxa"/>
            <w:vAlign w:val="bottom"/>
            <w:shd w:val="clear" w:color="auto" w:fill="F7F1EC"/>
          </w:tcPr>
          <w:p>
            <w:pPr>
              <w:ind w:left="80"/>
              <w:spacing w:after="0"/>
              <w:rPr>
                <w:sz w:val="20"/>
                <w:szCs w:val="20"/>
                <w:color w:val="auto"/>
              </w:rPr>
            </w:pPr>
            <w:r>
              <w:rPr>
                <w:rFonts w:ascii="Arial" w:cs="Arial" w:eastAsia="Arial" w:hAnsi="Arial"/>
                <w:sz w:val="15"/>
                <w:szCs w:val="15"/>
                <w:color w:val="auto"/>
              </w:rPr>
              <w:t>key employees with our stakeholders and to retain key executives. We provide stock-based, long-term</w:t>
            </w:r>
          </w:p>
        </w:tc>
        <w:tc>
          <w:tcPr>
            <w:tcW w:w="660" w:type="dxa"/>
            <w:vAlign w:val="bottom"/>
          </w:tcPr>
          <w:p>
            <w:pPr>
              <w:spacing w:after="0"/>
              <w:rPr>
                <w:sz w:val="15"/>
                <w:szCs w:val="15"/>
                <w:color w:val="auto"/>
              </w:rPr>
            </w:pPr>
          </w:p>
        </w:tc>
        <w:tc>
          <w:tcPr>
            <w:tcW w:w="1280" w:type="dxa"/>
            <w:vAlign w:val="bottom"/>
            <w:vMerge w:val="continue"/>
          </w:tcPr>
          <w:p>
            <w:pPr>
              <w:spacing w:after="0"/>
              <w:rPr>
                <w:sz w:val="15"/>
                <w:szCs w:val="15"/>
                <w:color w:val="auto"/>
              </w:rPr>
            </w:pP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7880" w:type="dxa"/>
            <w:vAlign w:val="bottom"/>
            <w:shd w:val="clear" w:color="auto" w:fill="F7F1EC"/>
          </w:tcPr>
          <w:p>
            <w:pPr>
              <w:ind w:left="80"/>
              <w:spacing w:after="0"/>
              <w:rPr>
                <w:sz w:val="20"/>
                <w:szCs w:val="20"/>
                <w:color w:val="auto"/>
              </w:rPr>
            </w:pPr>
            <w:r>
              <w:rPr>
                <w:rFonts w:ascii="Arial" w:cs="Arial" w:eastAsia="Arial" w:hAnsi="Arial"/>
                <w:sz w:val="15"/>
                <w:szCs w:val="15"/>
                <w:color w:val="auto"/>
              </w:rPr>
              <w:t>compensation to our NEOs through equity awards under our stockholder-approved equity plans. We believe this</w:t>
            </w:r>
          </w:p>
        </w:tc>
        <w:tc>
          <w:tcPr>
            <w:tcW w:w="660" w:type="dxa"/>
            <w:vAlign w:val="bottom"/>
          </w:tcPr>
          <w:p>
            <w:pPr>
              <w:spacing w:after="0"/>
              <w:rPr>
                <w:sz w:val="15"/>
                <w:szCs w:val="15"/>
                <w:color w:val="auto"/>
              </w:rPr>
            </w:pPr>
          </w:p>
        </w:tc>
        <w:tc>
          <w:tcPr>
            <w:tcW w:w="1280" w:type="dxa"/>
            <w:vAlign w:val="bottom"/>
            <w:vMerge w:val="restart"/>
          </w:tcPr>
          <w:p>
            <w:pPr>
              <w:ind w:left="140"/>
              <w:spacing w:after="0"/>
              <w:rPr>
                <w:sz w:val="20"/>
                <w:szCs w:val="20"/>
                <w:color w:val="auto"/>
              </w:rPr>
            </w:pPr>
            <w:r>
              <w:rPr>
                <w:rFonts w:ascii="Arial" w:cs="Arial" w:eastAsia="Arial" w:hAnsi="Arial"/>
                <w:sz w:val="12"/>
                <w:szCs w:val="12"/>
                <w:color w:val="FFFFFF"/>
              </w:rPr>
              <w:t>Proposal 5</w:t>
            </w: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6"/>
        </w:trPr>
        <w:tc>
          <w:tcPr>
            <w:tcW w:w="7880" w:type="dxa"/>
            <w:vAlign w:val="bottom"/>
            <w:vMerge w:val="restart"/>
            <w:shd w:val="clear" w:color="auto" w:fill="F7F1EC"/>
          </w:tcPr>
          <w:p>
            <w:pPr>
              <w:ind w:left="80"/>
              <w:spacing w:after="0"/>
              <w:rPr>
                <w:sz w:val="20"/>
                <w:szCs w:val="20"/>
                <w:color w:val="auto"/>
              </w:rPr>
            </w:pPr>
            <w:r>
              <w:rPr>
                <w:rFonts w:ascii="Arial" w:cs="Arial" w:eastAsia="Arial" w:hAnsi="Arial"/>
                <w:sz w:val="15"/>
                <w:szCs w:val="15"/>
                <w:color w:val="auto"/>
              </w:rPr>
              <w:t>long-term incentive compensation, which includes performance stock units keyed to our total shareholder return</w:t>
            </w:r>
          </w:p>
        </w:tc>
        <w:tc>
          <w:tcPr>
            <w:tcW w:w="66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3"/>
        </w:trPr>
        <w:tc>
          <w:tcPr>
            <w:tcW w:w="7880" w:type="dxa"/>
            <w:vAlign w:val="bottom"/>
            <w:vMerge w:val="continue"/>
            <w:shd w:val="clear" w:color="auto" w:fill="F7F1EC"/>
          </w:tcPr>
          <w:p>
            <w:pPr>
              <w:spacing w:after="0"/>
              <w:rPr>
                <w:sz w:val="8"/>
                <w:szCs w:val="8"/>
                <w:color w:val="auto"/>
              </w:rPr>
            </w:pPr>
          </w:p>
        </w:tc>
        <w:tc>
          <w:tcPr>
            <w:tcW w:w="660" w:type="dxa"/>
            <w:vAlign w:val="bottom"/>
          </w:tcPr>
          <w:p>
            <w:pPr>
              <w:spacing w:after="0"/>
              <w:rPr>
                <w:sz w:val="8"/>
                <w:szCs w:val="8"/>
                <w:color w:val="auto"/>
              </w:rPr>
            </w:pPr>
          </w:p>
        </w:tc>
        <w:tc>
          <w:tcPr>
            <w:tcW w:w="1280" w:type="dxa"/>
            <w:vAlign w:val="bottom"/>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9"/>
        </w:trPr>
        <w:tc>
          <w:tcPr>
            <w:tcW w:w="7880" w:type="dxa"/>
            <w:vAlign w:val="bottom"/>
            <w:shd w:val="clear" w:color="auto" w:fill="F7F1EC"/>
          </w:tcPr>
          <w:p>
            <w:pPr>
              <w:ind w:left="80"/>
              <w:spacing w:after="0"/>
              <w:rPr>
                <w:sz w:val="20"/>
                <w:szCs w:val="20"/>
                <w:color w:val="auto"/>
              </w:rPr>
            </w:pPr>
            <w:r>
              <w:rPr>
                <w:rFonts w:ascii="Arial" w:cs="Arial" w:eastAsia="Arial" w:hAnsi="Arial"/>
                <w:sz w:val="15"/>
                <w:szCs w:val="15"/>
                <w:color w:val="auto"/>
              </w:rPr>
              <w:t>relative to a predetermined comparator group over a three-year performance period, motivates our NEOs to</w:t>
            </w:r>
          </w:p>
        </w:tc>
        <w:tc>
          <w:tcPr>
            <w:tcW w:w="660" w:type="dxa"/>
            <w:vAlign w:val="bottom"/>
          </w:tcPr>
          <w:p>
            <w:pPr>
              <w:spacing w:after="0"/>
              <w:rPr>
                <w:sz w:val="15"/>
                <w:szCs w:val="15"/>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Proposal 6</w:t>
            </w: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7880" w:type="dxa"/>
            <w:vAlign w:val="bottom"/>
            <w:shd w:val="clear" w:color="auto" w:fill="F7F1EC"/>
          </w:tcPr>
          <w:p>
            <w:pPr>
              <w:ind w:left="80"/>
              <w:spacing w:after="0"/>
              <w:rPr>
                <w:sz w:val="20"/>
                <w:szCs w:val="20"/>
                <w:color w:val="auto"/>
              </w:rPr>
            </w:pPr>
            <w:r>
              <w:rPr>
                <w:rFonts w:ascii="Arial" w:cs="Arial" w:eastAsia="Arial" w:hAnsi="Arial"/>
                <w:sz w:val="15"/>
                <w:szCs w:val="15"/>
                <w:color w:val="auto"/>
              </w:rPr>
              <w:t>sustain longer-term financial and operational performance and rewards them when such efforts lead to increases</w:t>
            </w:r>
          </w:p>
        </w:tc>
        <w:tc>
          <w:tcPr>
            <w:tcW w:w="660" w:type="dxa"/>
            <w:vAlign w:val="bottom"/>
          </w:tcPr>
          <w:p>
            <w:pPr>
              <w:spacing w:after="0"/>
              <w:rPr>
                <w:sz w:val="15"/>
                <w:szCs w:val="15"/>
                <w:color w:val="auto"/>
              </w:rPr>
            </w:pPr>
          </w:p>
        </w:tc>
        <w:tc>
          <w:tcPr>
            <w:tcW w:w="1280" w:type="dxa"/>
            <w:vAlign w:val="bottom"/>
            <w:vMerge w:val="restart"/>
          </w:tcPr>
          <w:p>
            <w:pPr>
              <w:ind w:left="140"/>
              <w:spacing w:after="0"/>
              <w:rPr>
                <w:sz w:val="20"/>
                <w:szCs w:val="20"/>
                <w:color w:val="auto"/>
              </w:rPr>
            </w:pPr>
            <w:r>
              <w:rPr>
                <w:rFonts w:ascii="Arial" w:cs="Arial" w:eastAsia="Arial" w:hAnsi="Arial"/>
                <w:sz w:val="12"/>
                <w:szCs w:val="12"/>
                <w:color w:val="FFFFFF"/>
              </w:rPr>
              <w:t>Stockholder</w:t>
            </w: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7880" w:type="dxa"/>
            <w:vAlign w:val="bottom"/>
            <w:shd w:val="clear" w:color="auto" w:fill="F7F1EC"/>
          </w:tcPr>
          <w:p>
            <w:pPr>
              <w:ind w:left="80"/>
              <w:spacing w:after="0" w:line="153" w:lineRule="exact"/>
              <w:rPr>
                <w:sz w:val="20"/>
                <w:szCs w:val="20"/>
                <w:color w:val="auto"/>
              </w:rPr>
            </w:pPr>
            <w:r>
              <w:rPr>
                <w:rFonts w:ascii="Arial" w:cs="Arial" w:eastAsia="Arial" w:hAnsi="Arial"/>
                <w:sz w:val="15"/>
                <w:szCs w:val="15"/>
                <w:color w:val="auto"/>
              </w:rPr>
              <w:t>in stockholder value.</w:t>
            </w:r>
          </w:p>
        </w:tc>
        <w:tc>
          <w:tcPr>
            <w:tcW w:w="660" w:type="dxa"/>
            <w:vAlign w:val="bottom"/>
          </w:tcPr>
          <w:p>
            <w:pPr>
              <w:spacing w:after="0"/>
              <w:rPr>
                <w:sz w:val="13"/>
                <w:szCs w:val="13"/>
                <w:color w:val="auto"/>
              </w:rPr>
            </w:pPr>
          </w:p>
        </w:tc>
        <w:tc>
          <w:tcPr>
            <w:tcW w:w="1280" w:type="dxa"/>
            <w:vAlign w:val="bottom"/>
            <w:vMerge w:val="continue"/>
          </w:tcPr>
          <w:p>
            <w:pPr>
              <w:spacing w:after="0"/>
              <w:rPr>
                <w:sz w:val="13"/>
                <w:szCs w:val="13"/>
                <w:color w:val="auto"/>
              </w:rPr>
            </w:pP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2"/>
        </w:trPr>
        <w:tc>
          <w:tcPr>
            <w:tcW w:w="7880" w:type="dxa"/>
            <w:vAlign w:val="bottom"/>
            <w:shd w:val="clear" w:color="auto" w:fill="F7F1EC"/>
          </w:tcPr>
          <w:p>
            <w:pPr>
              <w:spacing w:after="0"/>
              <w:rPr>
                <w:sz w:val="6"/>
                <w:szCs w:val="6"/>
                <w:color w:val="auto"/>
              </w:rPr>
            </w:pPr>
          </w:p>
        </w:tc>
        <w:tc>
          <w:tcPr>
            <w:tcW w:w="660" w:type="dxa"/>
            <w:vAlign w:val="bottom"/>
          </w:tcPr>
          <w:p>
            <w:pPr>
              <w:spacing w:after="0"/>
              <w:rPr>
                <w:sz w:val="6"/>
                <w:szCs w:val="6"/>
                <w:color w:val="auto"/>
              </w:rPr>
            </w:pPr>
          </w:p>
        </w:tc>
        <w:tc>
          <w:tcPr>
            <w:tcW w:w="1280" w:type="dxa"/>
            <w:vAlign w:val="bottom"/>
          </w:tcPr>
          <w:p>
            <w:pPr>
              <w:ind w:left="140"/>
              <w:spacing w:after="0" w:line="72" w:lineRule="exact"/>
              <w:rPr>
                <w:sz w:val="20"/>
                <w:szCs w:val="20"/>
                <w:color w:val="auto"/>
              </w:rPr>
            </w:pPr>
            <w:r>
              <w:rPr>
                <w:rFonts w:ascii="Arial" w:cs="Arial" w:eastAsia="Arial" w:hAnsi="Arial"/>
                <w:sz w:val="8"/>
                <w:szCs w:val="8"/>
                <w:color w:val="FFFFFF"/>
              </w:rPr>
              <w:t>Proposals and</w:t>
            </w:r>
          </w:p>
        </w:tc>
        <w:tc>
          <w:tcPr>
            <w:tcW w:w="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9"/>
        </w:trPr>
        <w:tc>
          <w:tcPr>
            <w:tcW w:w="7880" w:type="dxa"/>
            <w:vAlign w:val="bottom"/>
            <w:shd w:val="clear" w:color="auto" w:fill="F7F1EC"/>
          </w:tcPr>
          <w:p>
            <w:pPr>
              <w:spacing w:after="0"/>
              <w:rPr>
                <w:sz w:val="5"/>
                <w:szCs w:val="5"/>
                <w:color w:val="auto"/>
              </w:rPr>
            </w:pPr>
          </w:p>
        </w:tc>
        <w:tc>
          <w:tcPr>
            <w:tcW w:w="660" w:type="dxa"/>
            <w:vAlign w:val="bottom"/>
          </w:tcPr>
          <w:p>
            <w:pPr>
              <w:spacing w:after="0"/>
              <w:rPr>
                <w:sz w:val="5"/>
                <w:szCs w:val="5"/>
                <w:color w:val="auto"/>
              </w:rPr>
            </w:pPr>
          </w:p>
        </w:tc>
        <w:tc>
          <w:tcPr>
            <w:tcW w:w="1280" w:type="dxa"/>
            <w:vAlign w:val="bottom"/>
            <w:vMerge w:val="restart"/>
          </w:tcPr>
          <w:p>
            <w:pPr>
              <w:ind w:left="140"/>
              <w:spacing w:after="0"/>
              <w:rPr>
                <w:sz w:val="20"/>
                <w:szCs w:val="20"/>
                <w:color w:val="auto"/>
              </w:rPr>
            </w:pPr>
            <w:r>
              <w:rPr>
                <w:rFonts w:ascii="Arial" w:cs="Arial" w:eastAsia="Arial" w:hAnsi="Arial"/>
                <w:sz w:val="12"/>
                <w:szCs w:val="12"/>
                <w:color w:val="FFFFFF"/>
              </w:rPr>
              <w:t>Other Matters</w:t>
            </w:r>
          </w:p>
        </w:tc>
        <w:tc>
          <w:tcPr>
            <w:tcW w:w="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9"/>
        </w:trPr>
        <w:tc>
          <w:tcPr>
            <w:tcW w:w="7880" w:type="dxa"/>
            <w:vAlign w:val="bottom"/>
          </w:tcPr>
          <w:p>
            <w:pPr>
              <w:spacing w:after="0"/>
              <w:rPr>
                <w:sz w:val="7"/>
                <w:szCs w:val="7"/>
                <w:color w:val="auto"/>
              </w:rPr>
            </w:pPr>
          </w:p>
        </w:tc>
        <w:tc>
          <w:tcPr>
            <w:tcW w:w="660" w:type="dxa"/>
            <w:vAlign w:val="bottom"/>
          </w:tcPr>
          <w:p>
            <w:pPr>
              <w:spacing w:after="0"/>
              <w:rPr>
                <w:sz w:val="7"/>
                <w:szCs w:val="7"/>
                <w:color w:val="auto"/>
              </w:rPr>
            </w:pPr>
          </w:p>
        </w:tc>
        <w:tc>
          <w:tcPr>
            <w:tcW w:w="1280" w:type="dxa"/>
            <w:vAlign w:val="bottom"/>
            <w:vMerge w:val="continue"/>
          </w:tcPr>
          <w:p>
            <w:pPr>
              <w:spacing w:after="0"/>
              <w:rPr>
                <w:sz w:val="7"/>
                <w:szCs w:val="7"/>
                <w:color w:val="auto"/>
              </w:rPr>
            </w:pPr>
          </w:p>
        </w:tc>
        <w:tc>
          <w:tcPr>
            <w:tcW w:w="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3"/>
        </w:trPr>
        <w:tc>
          <w:tcPr>
            <w:tcW w:w="78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Delinquent</w:t>
            </w:r>
          </w:p>
        </w:tc>
        <w:tc>
          <w:tcPr>
            <w:tcW w:w="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8"/>
        </w:trPr>
        <w:tc>
          <w:tcPr>
            <w:tcW w:w="78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80" w:type="dxa"/>
            <w:vAlign w:val="bottom"/>
          </w:tcPr>
          <w:p>
            <w:pPr>
              <w:ind w:left="140"/>
              <w:spacing w:after="0" w:line="128" w:lineRule="exact"/>
              <w:rPr>
                <w:sz w:val="20"/>
                <w:szCs w:val="20"/>
                <w:color w:val="auto"/>
              </w:rPr>
            </w:pPr>
            <w:r>
              <w:rPr>
                <w:rFonts w:ascii="Arial" w:cs="Arial" w:eastAsia="Arial" w:hAnsi="Arial"/>
                <w:sz w:val="12"/>
                <w:szCs w:val="12"/>
                <w:color w:val="FFFFFF"/>
              </w:rPr>
              <w:t>Section 16(a)</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78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Reports</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78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Other</w:t>
            </w:r>
          </w:p>
        </w:tc>
        <w:tc>
          <w:tcPr>
            <w:tcW w:w="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8"/>
        </w:trPr>
        <w:tc>
          <w:tcPr>
            <w:tcW w:w="78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Information</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4"/>
        </w:trPr>
        <w:tc>
          <w:tcPr>
            <w:tcW w:w="78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Appendix A</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78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Appendix B</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6380"/>
        <w:spacing w:after="0"/>
        <w:tabs>
          <w:tab w:leader="none" w:pos="8500" w:val="left"/>
          <w:tab w:leader="none" w:pos="9960" w:val="left"/>
        </w:tabs>
        <w:rPr>
          <w:sz w:val="20"/>
          <w:szCs w:val="20"/>
          <w:color w:val="auto"/>
        </w:rPr>
      </w:pPr>
      <w:r>
        <w:rPr>
          <w:rFonts w:ascii="Arial" w:cs="Arial" w:eastAsia="Arial" w:hAnsi="Arial"/>
          <w:sz w:val="15"/>
          <w:szCs w:val="15"/>
          <w:b w:val="1"/>
          <w:bCs w:val="1"/>
          <w:color w:val="002B5F"/>
        </w:rPr>
        <w:t xml:space="preserve">2026 Proxy Statement  </w:t>
      </w:r>
      <w:r>
        <w:rPr>
          <w:rFonts w:ascii="Arial" w:cs="Arial" w:eastAsia="Arial" w:hAnsi="Arial"/>
          <w:sz w:val="20"/>
          <w:szCs w:val="20"/>
          <w:color w:val="002B5F"/>
        </w:rPr>
        <w:t>|</w:t>
      </w:r>
      <w:r>
        <w:rPr>
          <w:rFonts w:ascii="Arial" w:cs="Arial" w:eastAsia="Arial" w:hAnsi="Arial"/>
          <w:sz w:val="15"/>
          <w:szCs w:val="15"/>
          <w:b w:val="1"/>
          <w:bCs w:val="1"/>
          <w:color w:val="002B5F"/>
        </w:rPr>
        <w:t xml:space="preserve">  85</w:t>
      </w:r>
      <w:r>
        <w:rPr>
          <w:sz w:val="20"/>
          <w:szCs w:val="20"/>
          <w:color w:val="auto"/>
        </w:rPr>
        <w:tab/>
      </w:r>
      <w:r>
        <w:rPr>
          <w:rFonts w:ascii="Arial" w:cs="Arial" w:eastAsia="Arial" w:hAnsi="Arial"/>
          <w:sz w:val="17"/>
          <w:szCs w:val="17"/>
          <w:color w:val="auto"/>
        </w:rPr>
        <w:t xml:space="preserve">    </w:t>
      </w:r>
      <w:r>
        <w:rPr>
          <w:sz w:val="20"/>
          <w:szCs w:val="20"/>
          <w:color w:val="auto"/>
        </w:rPr>
        <w:tab/>
      </w:r>
      <w:r>
        <w:rPr>
          <w:rFonts w:ascii="Arial" w:cs="Arial" w:eastAsia="Arial" w:hAnsi="Arial"/>
          <w:sz w:val="17"/>
          <w:szCs w:val="17"/>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268605</wp:posOffset>
            </wp:positionH>
            <wp:positionV relativeFrom="paragraph">
              <wp:posOffset>-128905</wp:posOffset>
            </wp:positionV>
            <wp:extent cx="762000" cy="971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62000" cy="97155"/>
                    </a:xfrm>
                    <a:prstGeom prst="rect">
                      <a:avLst/>
                    </a:prstGeom>
                    <a:noFill/>
                  </pic:spPr>
                </pic:pic>
              </a:graphicData>
            </a:graphic>
          </wp:anchor>
        </w:drawing>
      </w:r>
    </w:p>
    <w:p>
      <w:pPr>
        <w:sectPr>
          <w:pgSz w:w="11900" w:h="16838" w:orient="portrait"/>
          <w:cols w:equalWidth="0" w:num="1">
            <w:col w:w="10800"/>
          </w:cols>
          <w:pgMar w:left="320" w:top="464" w:right="77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7"/>
          <w:szCs w:val="17"/>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268605</wp:posOffset>
            </wp:positionH>
            <wp:positionV relativeFrom="paragraph">
              <wp:posOffset>253365</wp:posOffset>
            </wp:positionV>
            <wp:extent cx="1183005" cy="76663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1183005" cy="7666355"/>
                    </a:xfrm>
                    <a:prstGeom prst="rect">
                      <a:avLst/>
                    </a:prstGeom>
                    <a:noFill/>
                  </pic:spPr>
                </pic:pic>
              </a:graphicData>
            </a:graphic>
          </wp:anchor>
        </w:drawing>
      </w:r>
    </w:p>
    <w:p>
      <w:pPr>
        <w:spacing w:after="0" w:line="200" w:lineRule="exact"/>
        <w:rPr>
          <w:sz w:val="20"/>
          <w:szCs w:val="20"/>
          <w:color w:val="auto"/>
        </w:rPr>
      </w:pPr>
    </w:p>
    <w:p>
      <w:pPr>
        <w:spacing w:after="0" w:line="304" w:lineRule="exact"/>
        <w:rPr>
          <w:sz w:val="20"/>
          <w:szCs w:val="20"/>
          <w:color w:val="auto"/>
        </w:rPr>
      </w:pPr>
    </w:p>
    <w:p>
      <w:pPr>
        <w:ind w:left="1120" w:right="460" w:hanging="672"/>
        <w:spacing w:after="0" w:line="382" w:lineRule="auto"/>
        <w:tabs>
          <w:tab w:leader="none" w:pos="610" w:val="left"/>
        </w:tabs>
        <w:numPr>
          <w:ilvl w:val="0"/>
          <w:numId w:val="130"/>
        </w:numPr>
        <w:rPr>
          <w:rFonts w:ascii="Arial" w:cs="Arial" w:eastAsia="Arial" w:hAnsi="Arial"/>
          <w:sz w:val="24"/>
          <w:szCs w:val="24"/>
          <w:color w:val="auto"/>
          <w:vertAlign w:val="subscript"/>
        </w:rPr>
      </w:pPr>
      <w:r>
        <w:rPr>
          <w:rFonts w:ascii="Arial" w:cs="Arial" w:eastAsia="Arial" w:hAnsi="Arial"/>
          <w:sz w:val="24"/>
          <w:szCs w:val="24"/>
          <w:color w:val="000000"/>
          <w:vertAlign w:val="subscript"/>
        </w:rPr>
        <w:t xml:space="preserve">     </w:t>
      </w:r>
      <w:r>
        <w:rPr>
          <w:rFonts w:ascii="Arial" w:cs="Arial" w:eastAsia="Arial" w:hAnsi="Arial"/>
          <w:sz w:val="10"/>
          <w:szCs w:val="10"/>
          <w:color w:val="FFFFFF"/>
        </w:rPr>
        <w:t xml:space="preserve"> General Information</w:t>
      </w:r>
    </w:p>
    <w:p>
      <w:pPr>
        <w:spacing w:after="0" w:line="1" w:lineRule="exact"/>
        <w:rPr>
          <w:sz w:val="20"/>
          <w:szCs w:val="20"/>
          <w:color w:val="auto"/>
        </w:rPr>
      </w:pPr>
    </w:p>
    <w:p>
      <w:pPr>
        <w:ind w:left="1120"/>
        <w:spacing w:after="0"/>
        <w:rPr>
          <w:sz w:val="20"/>
          <w:szCs w:val="20"/>
          <w:color w:val="auto"/>
        </w:rPr>
      </w:pPr>
      <w:r>
        <w:rPr>
          <w:rFonts w:ascii="Arial" w:cs="Arial" w:eastAsia="Arial" w:hAnsi="Arial"/>
          <w:sz w:val="11"/>
          <w:szCs w:val="11"/>
          <w:color w:val="FFFFFF"/>
        </w:rPr>
        <w:t>General Information</w:t>
      </w:r>
    </w:p>
    <w:p>
      <w:pPr>
        <w:spacing w:after="0" w:line="3"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About Corporate</w:t>
      </w:r>
    </w:p>
    <w:p>
      <w:pPr>
        <w:ind w:left="1120"/>
        <w:spacing w:after="0" w:line="221" w:lineRule="auto"/>
        <w:rPr>
          <w:sz w:val="20"/>
          <w:szCs w:val="20"/>
          <w:color w:val="auto"/>
        </w:rPr>
      </w:pPr>
      <w:r>
        <w:rPr>
          <w:rFonts w:ascii="Arial" w:cs="Arial" w:eastAsia="Arial" w:hAnsi="Arial"/>
          <w:sz w:val="12"/>
          <w:szCs w:val="12"/>
          <w:color w:val="FFFFFF"/>
        </w:rPr>
        <w:t>Governance</w:t>
      </w:r>
    </w:p>
    <w:p>
      <w:pPr>
        <w:ind w:left="1120"/>
        <w:spacing w:after="0" w:line="222" w:lineRule="auto"/>
        <w:rPr>
          <w:sz w:val="20"/>
          <w:szCs w:val="20"/>
          <w:color w:val="auto"/>
        </w:rPr>
      </w:pPr>
      <w:r>
        <w:rPr>
          <w:rFonts w:ascii="Arial" w:cs="Arial" w:eastAsia="Arial" w:hAnsi="Arial"/>
          <w:sz w:val="12"/>
          <w:szCs w:val="12"/>
          <w:color w:val="FFFFFF"/>
        </w:rPr>
        <w:t>and the Board of</w:t>
      </w:r>
    </w:p>
    <w:p>
      <w:pPr>
        <w:spacing w:after="0" w:line="1"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Directors</w:t>
      </w:r>
    </w:p>
    <w:p>
      <w:pPr>
        <w:spacing w:after="0" w:line="169" w:lineRule="exact"/>
        <w:rPr>
          <w:sz w:val="20"/>
          <w:szCs w:val="20"/>
          <w:color w:val="auto"/>
        </w:rPr>
      </w:pPr>
    </w:p>
    <w:p>
      <w:pPr>
        <w:jc w:val="center"/>
        <w:ind w:left="620"/>
        <w:spacing w:after="0"/>
        <w:rPr>
          <w:sz w:val="20"/>
          <w:szCs w:val="20"/>
          <w:color w:val="auto"/>
        </w:rPr>
      </w:pPr>
      <w:r>
        <w:rPr>
          <w:rFonts w:ascii="Arial" w:cs="Arial" w:eastAsia="Arial" w:hAnsi="Arial"/>
          <w:sz w:val="12"/>
          <w:szCs w:val="12"/>
          <w:color w:val="FFFFFF"/>
        </w:rPr>
        <w:t>Proposal 1</w:t>
      </w:r>
    </w:p>
    <w:p>
      <w:pPr>
        <w:spacing w:after="0" w:line="181"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Information</w:t>
      </w:r>
    </w:p>
    <w:p>
      <w:pPr>
        <w:ind w:left="1120"/>
        <w:spacing w:after="0" w:line="224" w:lineRule="auto"/>
        <w:rPr>
          <w:sz w:val="20"/>
          <w:szCs w:val="20"/>
          <w:color w:val="auto"/>
        </w:rPr>
      </w:pPr>
      <w:r>
        <w:rPr>
          <w:rFonts w:ascii="Arial" w:cs="Arial" w:eastAsia="Arial" w:hAnsi="Arial"/>
          <w:sz w:val="12"/>
          <w:szCs w:val="12"/>
          <w:color w:val="FFFFFF"/>
        </w:rPr>
        <w:t>Regarding Board</w:t>
      </w:r>
    </w:p>
    <w:p>
      <w:pPr>
        <w:ind w:left="1120"/>
        <w:spacing w:after="0" w:line="222" w:lineRule="auto"/>
        <w:rPr>
          <w:sz w:val="20"/>
          <w:szCs w:val="20"/>
          <w:color w:val="auto"/>
        </w:rPr>
      </w:pPr>
      <w:r>
        <w:rPr>
          <w:rFonts w:ascii="Arial" w:cs="Arial" w:eastAsia="Arial" w:hAnsi="Arial"/>
          <w:sz w:val="12"/>
          <w:szCs w:val="12"/>
          <w:color w:val="FFFFFF"/>
        </w:rPr>
        <w:t>and Committee</w:t>
      </w:r>
    </w:p>
    <w:p>
      <w:pPr>
        <w:ind w:left="1120"/>
        <w:spacing w:after="0"/>
        <w:rPr>
          <w:sz w:val="20"/>
          <w:szCs w:val="20"/>
          <w:color w:val="auto"/>
        </w:rPr>
      </w:pPr>
      <w:r>
        <w:rPr>
          <w:rFonts w:ascii="Arial" w:cs="Arial" w:eastAsia="Arial" w:hAnsi="Arial"/>
          <w:sz w:val="12"/>
          <w:szCs w:val="12"/>
          <w:color w:val="FFFFFF"/>
        </w:rPr>
        <w:t>Structure</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Board of Directors</w:t>
      </w:r>
    </w:p>
    <w:p>
      <w:pPr>
        <w:spacing w:after="0" w:line="2"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Compensation</w:t>
      </w:r>
    </w:p>
    <w:p>
      <w:pPr>
        <w:spacing w:after="0" w:line="169"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Compensation</w:t>
      </w:r>
    </w:p>
    <w:p>
      <w:pPr>
        <w:ind w:left="1120"/>
        <w:spacing w:after="0" w:line="224" w:lineRule="auto"/>
        <w:rPr>
          <w:sz w:val="20"/>
          <w:szCs w:val="20"/>
          <w:color w:val="auto"/>
        </w:rPr>
      </w:pPr>
      <w:r>
        <w:rPr>
          <w:rFonts w:ascii="Arial" w:cs="Arial" w:eastAsia="Arial" w:hAnsi="Arial"/>
          <w:sz w:val="12"/>
          <w:szCs w:val="12"/>
          <w:color w:val="FFFFFF"/>
        </w:rPr>
        <w:t>Discussion and</w:t>
      </w:r>
    </w:p>
    <w:p>
      <w:pPr>
        <w:ind w:left="1120"/>
        <w:spacing w:after="0"/>
        <w:rPr>
          <w:sz w:val="20"/>
          <w:szCs w:val="20"/>
          <w:color w:val="auto"/>
        </w:rPr>
      </w:pPr>
      <w:r>
        <w:rPr>
          <w:rFonts w:ascii="Arial" w:cs="Arial" w:eastAsia="Arial" w:hAnsi="Arial"/>
          <w:sz w:val="12"/>
          <w:szCs w:val="12"/>
          <w:color w:val="FFFFFF"/>
        </w:rPr>
        <w:t>Analysis</w:t>
      </w:r>
    </w:p>
    <w:p>
      <w:pPr>
        <w:spacing w:after="0" w:line="169"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Report of the</w:t>
      </w:r>
    </w:p>
    <w:p>
      <w:pPr>
        <w:ind w:left="1120"/>
        <w:spacing w:after="0" w:line="224" w:lineRule="auto"/>
        <w:rPr>
          <w:sz w:val="20"/>
          <w:szCs w:val="20"/>
          <w:color w:val="auto"/>
        </w:rPr>
      </w:pPr>
      <w:r>
        <w:rPr>
          <w:rFonts w:ascii="Arial" w:cs="Arial" w:eastAsia="Arial" w:hAnsi="Arial"/>
          <w:sz w:val="12"/>
          <w:szCs w:val="12"/>
          <w:color w:val="FFFFFF"/>
        </w:rPr>
        <w:t>Compensation</w:t>
      </w:r>
    </w:p>
    <w:p>
      <w:pPr>
        <w:ind w:left="1120"/>
        <w:spacing w:after="0" w:line="222" w:lineRule="auto"/>
        <w:rPr>
          <w:sz w:val="20"/>
          <w:szCs w:val="20"/>
          <w:color w:val="auto"/>
        </w:rPr>
      </w:pPr>
      <w:r>
        <w:rPr>
          <w:rFonts w:ascii="Arial" w:cs="Arial" w:eastAsia="Arial" w:hAnsi="Arial"/>
          <w:sz w:val="12"/>
          <w:szCs w:val="12"/>
          <w:color w:val="FFFFFF"/>
        </w:rPr>
        <w:t>and Human</w:t>
      </w:r>
    </w:p>
    <w:p>
      <w:pPr>
        <w:ind w:left="1120"/>
        <w:spacing w:after="0" w:line="222" w:lineRule="auto"/>
        <w:rPr>
          <w:sz w:val="20"/>
          <w:szCs w:val="20"/>
          <w:color w:val="auto"/>
        </w:rPr>
      </w:pPr>
      <w:r>
        <w:rPr>
          <w:rFonts w:ascii="Arial" w:cs="Arial" w:eastAsia="Arial" w:hAnsi="Arial"/>
          <w:sz w:val="12"/>
          <w:szCs w:val="12"/>
          <w:color w:val="FFFFFF"/>
        </w:rPr>
        <w:t>Resources</w:t>
      </w:r>
    </w:p>
    <w:p>
      <w:pPr>
        <w:ind w:left="1120"/>
        <w:spacing w:after="0" w:line="222" w:lineRule="auto"/>
        <w:rPr>
          <w:sz w:val="20"/>
          <w:szCs w:val="20"/>
          <w:color w:val="auto"/>
        </w:rPr>
      </w:pPr>
      <w:r>
        <w:rPr>
          <w:rFonts w:ascii="Arial" w:cs="Arial" w:eastAsia="Arial" w:hAnsi="Arial"/>
          <w:sz w:val="12"/>
          <w:szCs w:val="12"/>
          <w:color w:val="FFFFFF"/>
        </w:rPr>
        <w:t>Committee of the</w:t>
      </w:r>
    </w:p>
    <w:p>
      <w:pPr>
        <w:ind w:left="1120"/>
        <w:spacing w:after="0"/>
        <w:rPr>
          <w:sz w:val="20"/>
          <w:szCs w:val="20"/>
          <w:color w:val="auto"/>
        </w:rPr>
      </w:pPr>
      <w:r>
        <w:rPr>
          <w:rFonts w:ascii="Arial" w:cs="Arial" w:eastAsia="Arial" w:hAnsi="Arial"/>
          <w:sz w:val="12"/>
          <w:szCs w:val="12"/>
          <w:color w:val="FFFFFF"/>
        </w:rPr>
        <w:t>Board of Directors</w:t>
      </w:r>
    </w:p>
    <w:p>
      <w:pPr>
        <w:spacing w:after="0" w:line="169"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Compensation of</w:t>
      </w:r>
    </w:p>
    <w:p>
      <w:pPr>
        <w:ind w:left="1120"/>
        <w:spacing w:after="0" w:line="224" w:lineRule="auto"/>
        <w:rPr>
          <w:sz w:val="20"/>
          <w:szCs w:val="20"/>
          <w:color w:val="auto"/>
        </w:rPr>
      </w:pPr>
      <w:r>
        <w:rPr>
          <w:rFonts w:ascii="Arial" w:cs="Arial" w:eastAsia="Arial" w:hAnsi="Arial"/>
          <w:sz w:val="12"/>
          <w:szCs w:val="12"/>
          <w:color w:val="FFFFFF"/>
        </w:rPr>
        <w:t>Named Executive</w:t>
      </w:r>
    </w:p>
    <w:p>
      <w:pPr>
        <w:ind w:left="1120"/>
        <w:spacing w:after="0"/>
        <w:rPr>
          <w:sz w:val="20"/>
          <w:szCs w:val="20"/>
          <w:color w:val="auto"/>
        </w:rPr>
      </w:pPr>
      <w:r>
        <w:rPr>
          <w:rFonts w:ascii="Arial" w:cs="Arial" w:eastAsia="Arial" w:hAnsi="Arial"/>
          <w:sz w:val="12"/>
          <w:szCs w:val="12"/>
          <w:color w:val="FFFFFF"/>
        </w:rPr>
        <w:t>Officers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Pay Versus</w:t>
      </w:r>
    </w:p>
    <w:p>
      <w:pPr>
        <w:ind w:left="1120"/>
        <w:spacing w:after="0" w:line="224" w:lineRule="auto"/>
        <w:rPr>
          <w:sz w:val="20"/>
          <w:szCs w:val="20"/>
          <w:color w:val="auto"/>
        </w:rPr>
      </w:pPr>
      <w:r>
        <w:rPr>
          <w:rFonts w:ascii="Arial" w:cs="Arial" w:eastAsia="Arial" w:hAnsi="Arial"/>
          <w:sz w:val="12"/>
          <w:szCs w:val="12"/>
          <w:color w:val="FFFFFF"/>
        </w:rPr>
        <w:t>Performance</w:t>
      </w:r>
    </w:p>
    <w:p>
      <w:pPr>
        <w:ind w:left="1120"/>
        <w:spacing w:after="0"/>
        <w:rPr>
          <w:sz w:val="20"/>
          <w:szCs w:val="20"/>
          <w:color w:val="auto"/>
        </w:rPr>
      </w:pPr>
      <w:r>
        <w:rPr>
          <w:rFonts w:ascii="Arial" w:cs="Arial" w:eastAsia="Arial" w:hAnsi="Arial"/>
          <w:sz w:val="12"/>
          <w:szCs w:val="12"/>
          <w:color w:val="FFFFFF"/>
        </w:rPr>
        <w:t>Disclosure</w:t>
      </w:r>
    </w:p>
    <w:p>
      <w:pPr>
        <w:spacing w:after="0" w:line="169"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Security</w:t>
      </w:r>
    </w:p>
    <w:p>
      <w:pPr>
        <w:ind w:left="1120"/>
        <w:spacing w:after="0" w:line="224" w:lineRule="auto"/>
        <w:rPr>
          <w:sz w:val="20"/>
          <w:szCs w:val="20"/>
          <w:color w:val="auto"/>
        </w:rPr>
      </w:pPr>
      <w:r>
        <w:rPr>
          <w:rFonts w:ascii="Arial" w:cs="Arial" w:eastAsia="Arial" w:hAnsi="Arial"/>
          <w:sz w:val="12"/>
          <w:szCs w:val="12"/>
          <w:color w:val="FFFFFF"/>
        </w:rPr>
        <w:t>Ownership of</w:t>
      </w:r>
    </w:p>
    <w:p>
      <w:pPr>
        <w:ind w:left="1120"/>
        <w:spacing w:after="0" w:line="222" w:lineRule="auto"/>
        <w:rPr>
          <w:sz w:val="20"/>
          <w:szCs w:val="20"/>
          <w:color w:val="auto"/>
        </w:rPr>
      </w:pPr>
      <w:r>
        <w:rPr>
          <w:rFonts w:ascii="Arial" w:cs="Arial" w:eastAsia="Arial" w:hAnsi="Arial"/>
          <w:sz w:val="12"/>
          <w:szCs w:val="12"/>
          <w:color w:val="FFFFFF"/>
        </w:rPr>
        <w:t>Certain Beneficial</w:t>
      </w:r>
    </w:p>
    <w:p>
      <w:pPr>
        <w:ind w:left="1120"/>
        <w:spacing w:after="0" w:line="222" w:lineRule="auto"/>
        <w:rPr>
          <w:sz w:val="20"/>
          <w:szCs w:val="20"/>
          <w:color w:val="auto"/>
        </w:rPr>
      </w:pPr>
      <w:r>
        <w:rPr>
          <w:rFonts w:ascii="Arial" w:cs="Arial" w:eastAsia="Arial" w:hAnsi="Arial"/>
          <w:sz w:val="12"/>
          <w:szCs w:val="12"/>
          <w:color w:val="FFFFFF"/>
        </w:rPr>
        <w:t>Owners and</w:t>
      </w:r>
    </w:p>
    <w:p>
      <w:pPr>
        <w:ind w:left="1120"/>
        <w:spacing w:after="0"/>
        <w:rPr>
          <w:sz w:val="20"/>
          <w:szCs w:val="20"/>
          <w:color w:val="auto"/>
        </w:rPr>
      </w:pPr>
      <w:r>
        <w:rPr>
          <w:rFonts w:ascii="Arial" w:cs="Arial" w:eastAsia="Arial" w:hAnsi="Arial"/>
          <w:sz w:val="12"/>
          <w:szCs w:val="12"/>
          <w:color w:val="FFFFFF"/>
        </w:rPr>
        <w:t>Management</w:t>
      </w:r>
    </w:p>
    <w:p>
      <w:pPr>
        <w:spacing w:after="0" w:line="169"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Certain</w:t>
      </w:r>
    </w:p>
    <w:p>
      <w:pPr>
        <w:ind w:left="1120"/>
        <w:spacing w:after="0" w:line="224" w:lineRule="auto"/>
        <w:rPr>
          <w:sz w:val="20"/>
          <w:szCs w:val="20"/>
          <w:color w:val="auto"/>
        </w:rPr>
      </w:pPr>
      <w:r>
        <w:rPr>
          <w:rFonts w:ascii="Arial" w:cs="Arial" w:eastAsia="Arial" w:hAnsi="Arial"/>
          <w:sz w:val="12"/>
          <w:szCs w:val="12"/>
          <w:color w:val="FFFFFF"/>
        </w:rPr>
        <w:t>Relationships and</w:t>
      </w:r>
    </w:p>
    <w:p>
      <w:pPr>
        <w:ind w:left="1120"/>
        <w:spacing w:after="0" w:line="222" w:lineRule="auto"/>
        <w:rPr>
          <w:sz w:val="20"/>
          <w:szCs w:val="20"/>
          <w:color w:val="auto"/>
        </w:rPr>
      </w:pPr>
      <w:r>
        <w:rPr>
          <w:rFonts w:ascii="Arial" w:cs="Arial" w:eastAsia="Arial" w:hAnsi="Arial"/>
          <w:sz w:val="12"/>
          <w:szCs w:val="12"/>
          <w:color w:val="FFFFFF"/>
        </w:rPr>
        <w:t>Related Party</w:t>
      </w:r>
    </w:p>
    <w:p>
      <w:pPr>
        <w:ind w:left="1120"/>
        <w:spacing w:after="0"/>
        <w:rPr>
          <w:sz w:val="20"/>
          <w:szCs w:val="20"/>
          <w:color w:val="auto"/>
        </w:rPr>
      </w:pPr>
      <w:r>
        <w:rPr>
          <w:rFonts w:ascii="Arial" w:cs="Arial" w:eastAsia="Arial" w:hAnsi="Arial"/>
          <w:sz w:val="12"/>
          <w:szCs w:val="12"/>
          <w:color w:val="FFFFFF"/>
        </w:rPr>
        <w:t>Transactions</w:t>
      </w:r>
    </w:p>
    <w:p>
      <w:pPr>
        <w:spacing w:after="0" w:line="169"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Proposal 2</w:t>
      </w:r>
    </w:p>
    <w:p>
      <w:pPr>
        <w:spacing w:after="0" w:line="156"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Report of the</w:t>
      </w:r>
    </w:p>
    <w:p>
      <w:pPr>
        <w:ind w:left="1120"/>
        <w:spacing w:after="0" w:line="224" w:lineRule="auto"/>
        <w:rPr>
          <w:sz w:val="20"/>
          <w:szCs w:val="20"/>
          <w:color w:val="auto"/>
        </w:rPr>
      </w:pPr>
      <w:r>
        <w:rPr>
          <w:rFonts w:ascii="Arial" w:cs="Arial" w:eastAsia="Arial" w:hAnsi="Arial"/>
          <w:sz w:val="12"/>
          <w:szCs w:val="12"/>
          <w:color w:val="FFFFFF"/>
        </w:rPr>
        <w:t>Audit and Risk</w:t>
      </w:r>
    </w:p>
    <w:p>
      <w:pPr>
        <w:ind w:left="1120"/>
        <w:spacing w:after="0" w:line="222" w:lineRule="auto"/>
        <w:rPr>
          <w:sz w:val="20"/>
          <w:szCs w:val="20"/>
          <w:color w:val="auto"/>
        </w:rPr>
      </w:pPr>
      <w:r>
        <w:rPr>
          <w:rFonts w:ascii="Arial" w:cs="Arial" w:eastAsia="Arial" w:hAnsi="Arial"/>
          <w:sz w:val="12"/>
          <w:szCs w:val="12"/>
          <w:color w:val="FFFFFF"/>
        </w:rPr>
        <w:t>Committee of the</w:t>
      </w:r>
    </w:p>
    <w:p>
      <w:pPr>
        <w:ind w:left="1120"/>
        <w:spacing w:after="0"/>
        <w:rPr>
          <w:sz w:val="20"/>
          <w:szCs w:val="20"/>
          <w:color w:val="auto"/>
        </w:rPr>
      </w:pPr>
      <w:r>
        <w:rPr>
          <w:rFonts w:ascii="Arial" w:cs="Arial" w:eastAsia="Arial" w:hAnsi="Arial"/>
          <w:sz w:val="12"/>
          <w:szCs w:val="12"/>
          <w:color w:val="FFFFFF"/>
        </w:rPr>
        <w:t>Board of Directors</w:t>
      </w:r>
    </w:p>
    <w:p>
      <w:pPr>
        <w:spacing w:after="0" w:line="167" w:lineRule="exact"/>
        <w:rPr>
          <w:sz w:val="20"/>
          <w:szCs w:val="20"/>
          <w:color w:val="auto"/>
        </w:rPr>
      </w:pPr>
    </w:p>
    <w:p>
      <w:pPr>
        <w:jc w:val="right"/>
        <w:ind w:right="440"/>
        <w:spacing w:after="0"/>
        <w:rPr>
          <w:sz w:val="20"/>
          <w:szCs w:val="20"/>
          <w:color w:val="auto"/>
        </w:rPr>
      </w:pPr>
      <w:r>
        <w:rPr>
          <w:sz w:val="1"/>
          <w:szCs w:val="1"/>
          <w:color w:val="auto"/>
        </w:rPr>
        <w:drawing>
          <wp:inline distT="0" distB="0" distL="0" distR="0">
            <wp:extent cx="56515" cy="88900"/>
            <wp:effectExtent l="0" t="0" r="0" b="0"/>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56515" cy="88900"/>
                    </a:xfrm>
                    <a:prstGeom prst="rect">
                      <a:avLst/>
                    </a:prstGeom>
                    <a:noFill/>
                    <a:ln>
                      <a:noFill/>
                    </a:ln>
                  </pic:spPr>
                </pic:pic>
              </a:graphicData>
            </a:graphic>
          </wp:inline>
        </w:drawing>
      </w:r>
      <w:r>
        <w:rPr>
          <w:rFonts w:ascii="Arial" w:cs="Arial" w:eastAsia="Arial" w:hAnsi="Arial"/>
          <w:sz w:val="12"/>
          <w:szCs w:val="12"/>
          <w:b w:val="1"/>
          <w:bCs w:val="1"/>
          <w:color w:val="FFFFFF"/>
        </w:rPr>
        <w:t xml:space="preserve"> Proposal 3</w:t>
      </w:r>
    </w:p>
    <w:p>
      <w:pPr>
        <w:spacing w:after="0" w:line="130" w:lineRule="exact"/>
        <w:rPr>
          <w:sz w:val="20"/>
          <w:szCs w:val="20"/>
          <w:color w:val="auto"/>
        </w:rPr>
      </w:pPr>
    </w:p>
    <w:p>
      <w:pPr>
        <w:jc w:val="right"/>
        <w:ind w:right="480"/>
        <w:spacing w:after="0"/>
        <w:rPr>
          <w:sz w:val="20"/>
          <w:szCs w:val="20"/>
          <w:color w:val="auto"/>
        </w:rPr>
      </w:pPr>
      <w:r>
        <w:rPr>
          <w:rFonts w:ascii="Arial" w:cs="Arial" w:eastAsia="Arial" w:hAnsi="Arial"/>
          <w:sz w:val="12"/>
          <w:szCs w:val="12"/>
          <w:color w:val="FFFFFF"/>
        </w:rPr>
        <w:t>Proposal 4</w:t>
      </w:r>
    </w:p>
    <w:p>
      <w:pPr>
        <w:spacing w:after="0" w:line="156" w:lineRule="exact"/>
        <w:rPr>
          <w:sz w:val="20"/>
          <w:szCs w:val="20"/>
          <w:color w:val="auto"/>
        </w:rPr>
      </w:pPr>
    </w:p>
    <w:p>
      <w:pPr>
        <w:jc w:val="center"/>
        <w:ind w:left="620"/>
        <w:spacing w:after="0"/>
        <w:rPr>
          <w:sz w:val="20"/>
          <w:szCs w:val="20"/>
          <w:color w:val="auto"/>
        </w:rPr>
      </w:pPr>
      <w:r>
        <w:rPr>
          <w:rFonts w:ascii="Arial" w:cs="Arial" w:eastAsia="Arial" w:hAnsi="Arial"/>
          <w:sz w:val="12"/>
          <w:szCs w:val="12"/>
          <w:color w:val="FFFFFF"/>
        </w:rPr>
        <w:t>Proposal 5</w:t>
      </w:r>
    </w:p>
    <w:p>
      <w:pPr>
        <w:spacing w:after="0" w:line="156"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Proposal 6</w:t>
      </w:r>
    </w:p>
    <w:p>
      <w:pPr>
        <w:spacing w:after="0" w:line="181"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Stockholder</w:t>
      </w:r>
    </w:p>
    <w:p>
      <w:pPr>
        <w:ind w:left="1120"/>
        <w:spacing w:after="0" w:line="224" w:lineRule="auto"/>
        <w:rPr>
          <w:sz w:val="20"/>
          <w:szCs w:val="20"/>
          <w:color w:val="auto"/>
        </w:rPr>
      </w:pPr>
      <w:r>
        <w:rPr>
          <w:rFonts w:ascii="Arial" w:cs="Arial" w:eastAsia="Arial" w:hAnsi="Arial"/>
          <w:sz w:val="12"/>
          <w:szCs w:val="12"/>
          <w:color w:val="FFFFFF"/>
        </w:rPr>
        <w:t>Proposals and</w:t>
      </w:r>
    </w:p>
    <w:p>
      <w:pPr>
        <w:ind w:left="1120"/>
        <w:spacing w:after="0"/>
        <w:rPr>
          <w:sz w:val="20"/>
          <w:szCs w:val="20"/>
          <w:color w:val="auto"/>
        </w:rPr>
      </w:pPr>
      <w:r>
        <w:rPr>
          <w:rFonts w:ascii="Arial" w:cs="Arial" w:eastAsia="Arial" w:hAnsi="Arial"/>
          <w:sz w:val="12"/>
          <w:szCs w:val="12"/>
          <w:color w:val="FFFFFF"/>
        </w:rPr>
        <w:t>Other Matters</w:t>
      </w:r>
    </w:p>
    <w:p>
      <w:pPr>
        <w:spacing w:after="0" w:line="169"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Delinquent</w:t>
      </w:r>
    </w:p>
    <w:p>
      <w:pPr>
        <w:ind w:left="1120"/>
        <w:spacing w:after="0" w:line="224" w:lineRule="auto"/>
        <w:rPr>
          <w:sz w:val="20"/>
          <w:szCs w:val="20"/>
          <w:color w:val="auto"/>
        </w:rPr>
      </w:pPr>
      <w:r>
        <w:rPr>
          <w:rFonts w:ascii="Arial" w:cs="Arial" w:eastAsia="Arial" w:hAnsi="Arial"/>
          <w:sz w:val="12"/>
          <w:szCs w:val="12"/>
          <w:color w:val="FFFFFF"/>
        </w:rPr>
        <w:t>Section 16(a)</w:t>
      </w:r>
    </w:p>
    <w:p>
      <w:pPr>
        <w:ind w:left="1120"/>
        <w:spacing w:after="0"/>
        <w:rPr>
          <w:sz w:val="20"/>
          <w:szCs w:val="20"/>
          <w:color w:val="auto"/>
        </w:rPr>
      </w:pPr>
      <w:r>
        <w:rPr>
          <w:rFonts w:ascii="Arial" w:cs="Arial" w:eastAsia="Arial" w:hAnsi="Arial"/>
          <w:sz w:val="12"/>
          <w:szCs w:val="12"/>
          <w:color w:val="FFFFFF"/>
        </w:rPr>
        <w:t>Reports</w:t>
      </w:r>
    </w:p>
    <w:p>
      <w:pPr>
        <w:spacing w:after="0" w:line="169"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Other</w:t>
      </w:r>
    </w:p>
    <w:p>
      <w:pPr>
        <w:spacing w:after="0" w:line="2"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Information</w:t>
      </w:r>
    </w:p>
    <w:p>
      <w:pPr>
        <w:spacing w:after="0" w:line="144" w:lineRule="exact"/>
        <w:rPr>
          <w:sz w:val="20"/>
          <w:szCs w:val="20"/>
          <w:color w:val="auto"/>
        </w:rPr>
      </w:pPr>
    </w:p>
    <w:p>
      <w:pPr>
        <w:jc w:val="center"/>
        <w:ind w:left="660"/>
        <w:spacing w:after="0"/>
        <w:rPr>
          <w:sz w:val="20"/>
          <w:szCs w:val="20"/>
          <w:color w:val="auto"/>
        </w:rPr>
      </w:pPr>
      <w:r>
        <w:rPr>
          <w:rFonts w:ascii="Arial" w:cs="Arial" w:eastAsia="Arial" w:hAnsi="Arial"/>
          <w:sz w:val="12"/>
          <w:szCs w:val="12"/>
          <w:color w:val="FFFFFF"/>
        </w:rPr>
        <w:t>Appendix A</w:t>
      </w:r>
    </w:p>
    <w:p>
      <w:pPr>
        <w:spacing w:after="0" w:line="181" w:lineRule="exact"/>
        <w:rPr>
          <w:sz w:val="20"/>
          <w:szCs w:val="20"/>
          <w:color w:val="auto"/>
        </w:rPr>
      </w:pPr>
    </w:p>
    <w:p>
      <w:pPr>
        <w:jc w:val="center"/>
        <w:ind w:left="660"/>
        <w:spacing w:after="0"/>
        <w:rPr>
          <w:sz w:val="20"/>
          <w:szCs w:val="20"/>
          <w:color w:val="auto"/>
        </w:rPr>
      </w:pPr>
      <w:r>
        <w:rPr>
          <w:rFonts w:ascii="Arial" w:cs="Arial" w:eastAsia="Arial" w:hAnsi="Arial"/>
          <w:sz w:val="12"/>
          <w:szCs w:val="12"/>
          <w:color w:val="FFFFFF"/>
        </w:rPr>
        <w:t>Appendix 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7"/>
          <w:szCs w:val="17"/>
          <w:b w:val="1"/>
          <w:bCs w:val="1"/>
          <w:color w:val="002B5F"/>
        </w:rPr>
        <w:t>ALIGNMENT WITH LONG-TERM STAKEHOLDER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-1801495</wp:posOffset>
            </wp:positionH>
            <wp:positionV relativeFrom="paragraph">
              <wp:posOffset>-890905</wp:posOffset>
            </wp:positionV>
            <wp:extent cx="7181215" cy="5334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181215" cy="53340"/>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-250825</wp:posOffset>
            </wp:positionV>
            <wp:extent cx="5065395" cy="421449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5065395" cy="4214495"/>
                    </a:xfrm>
                    <a:prstGeom prst="rect">
                      <a:avLst/>
                    </a:prstGeom>
                    <a:noFill/>
                  </pic:spPr>
                </pic:pic>
              </a:graphicData>
            </a:graphic>
          </wp:anchor>
        </w:drawing>
      </w:r>
    </w:p>
    <w:p>
      <w:pPr>
        <w:spacing w:after="0" w:line="83" w:lineRule="exact"/>
        <w:rPr>
          <w:sz w:val="20"/>
          <w:szCs w:val="20"/>
          <w:color w:val="auto"/>
        </w:rPr>
      </w:pPr>
    </w:p>
    <w:p>
      <w:pPr>
        <w:ind w:right="40"/>
        <w:spacing w:after="0" w:line="277" w:lineRule="auto"/>
        <w:rPr>
          <w:sz w:val="20"/>
          <w:szCs w:val="20"/>
          <w:color w:val="auto"/>
        </w:rPr>
      </w:pPr>
      <w:r>
        <w:rPr>
          <w:rFonts w:ascii="Arial" w:cs="Arial" w:eastAsia="Arial" w:hAnsi="Arial"/>
          <w:sz w:val="15"/>
          <w:szCs w:val="15"/>
          <w:color w:val="auto"/>
        </w:rPr>
        <w:t>Our executive compensation is weighted towards variable, at-risk pay in the form of annual and long-term incentives, with a significant portion of executive compensation tied to long-term performance. In addition, we have adopted:</w:t>
      </w:r>
    </w:p>
    <w:p>
      <w:pPr>
        <w:spacing w:after="0" w:line="240" w:lineRule="exact"/>
        <w:rPr>
          <w:sz w:val="20"/>
          <w:szCs w:val="20"/>
          <w:color w:val="auto"/>
        </w:rPr>
      </w:pPr>
    </w:p>
    <w:p>
      <w:pPr>
        <w:ind w:right="600"/>
        <w:spacing w:after="0" w:line="287" w:lineRule="auto"/>
        <w:rPr>
          <w:sz w:val="20"/>
          <w:szCs w:val="20"/>
          <w:color w:val="auto"/>
        </w:rPr>
      </w:pPr>
      <w:r>
        <w:rPr>
          <w:rFonts w:ascii="Arial" w:cs="Arial" w:eastAsia="Arial" w:hAnsi="Arial"/>
          <w:sz w:val="15"/>
          <w:szCs w:val="15"/>
          <w:i w:val="1"/>
          <w:iCs w:val="1"/>
          <w:color w:val="B95827"/>
        </w:rPr>
        <w:t xml:space="preserve">Equity Ownership Guidelines. </w:t>
      </w:r>
      <w:r>
        <w:rPr>
          <w:rFonts w:ascii="Arial" w:cs="Arial" w:eastAsia="Arial" w:hAnsi="Arial"/>
          <w:sz w:val="15"/>
          <w:szCs w:val="15"/>
          <w:color w:val="000000"/>
        </w:rPr>
        <w:t>We focus our executives on long-term stockholder value by requiring that all</w:t>
      </w:r>
      <w:r>
        <w:rPr>
          <w:rFonts w:ascii="Arial" w:cs="Arial" w:eastAsia="Arial" w:hAnsi="Arial"/>
          <w:sz w:val="15"/>
          <w:szCs w:val="15"/>
          <w:i w:val="1"/>
          <w:iCs w:val="1"/>
          <w:color w:val="B95827"/>
        </w:rPr>
        <w:t xml:space="preserve"> </w:t>
      </w:r>
      <w:r>
        <w:rPr>
          <w:rFonts w:ascii="Arial" w:cs="Arial" w:eastAsia="Arial" w:hAnsi="Arial"/>
          <w:sz w:val="15"/>
          <w:szCs w:val="15"/>
          <w:color w:val="000000"/>
        </w:rPr>
        <w:t>executive officers own a significant amount of our equity.</w:t>
      </w:r>
    </w:p>
    <w:p>
      <w:pPr>
        <w:spacing w:after="0" w:line="47" w:lineRule="exact"/>
        <w:rPr>
          <w:sz w:val="20"/>
          <w:szCs w:val="20"/>
          <w:color w:val="auto"/>
        </w:rPr>
      </w:pPr>
    </w:p>
    <w:p>
      <w:pPr>
        <w:ind w:right="40"/>
        <w:spacing w:after="0" w:line="256" w:lineRule="auto"/>
        <w:rPr>
          <w:sz w:val="20"/>
          <w:szCs w:val="20"/>
          <w:color w:val="auto"/>
        </w:rPr>
      </w:pPr>
      <w:r>
        <w:rPr>
          <w:rFonts w:ascii="Arial" w:cs="Arial" w:eastAsia="Arial" w:hAnsi="Arial"/>
          <w:sz w:val="15"/>
          <w:szCs w:val="15"/>
          <w:i w:val="1"/>
          <w:iCs w:val="1"/>
          <w:color w:val="B95827"/>
        </w:rPr>
        <w:t xml:space="preserve">Performance-Based Annual LTI Awards. </w:t>
      </w:r>
      <w:r>
        <w:rPr>
          <w:rFonts w:ascii="Arial" w:cs="Arial" w:eastAsia="Arial" w:hAnsi="Arial"/>
          <w:sz w:val="15"/>
          <w:szCs w:val="15"/>
          <w:color w:val="000000"/>
        </w:rPr>
        <w:t>In 2025, our annual equity grants to our chief executive officer consisted</w:t>
      </w:r>
      <w:r>
        <w:rPr>
          <w:rFonts w:ascii="Arial" w:cs="Arial" w:eastAsia="Arial" w:hAnsi="Arial"/>
          <w:sz w:val="15"/>
          <w:szCs w:val="15"/>
          <w:i w:val="1"/>
          <w:iCs w:val="1"/>
          <w:color w:val="B95827"/>
        </w:rPr>
        <w:t xml:space="preserve"> </w:t>
      </w:r>
      <w:r>
        <w:rPr>
          <w:rFonts w:ascii="Arial" w:cs="Arial" w:eastAsia="Arial" w:hAnsi="Arial"/>
          <w:sz w:val="15"/>
          <w:szCs w:val="15"/>
          <w:color w:val="000000"/>
        </w:rPr>
        <w:t>of 70% PSUs and 30% RSUs (by grant date value), and our annual equity grants to our other NEOs consisted of 60% PSUs and 40% RSUs. We believe that this blended approach aligned with our pay-for-performance principles and provided appropriate incentives for long-term stockholder value creation while also serving as a retention tool for the Company. The use of PSUs puts appropriate focus on long-term alignment and pay relative both to market peers and stockholder returns.</w:t>
      </w:r>
    </w:p>
    <w:p>
      <w:pPr>
        <w:spacing w:after="0" w:line="70" w:lineRule="exact"/>
        <w:rPr>
          <w:sz w:val="20"/>
          <w:szCs w:val="20"/>
          <w:color w:val="auto"/>
        </w:rPr>
      </w:pPr>
    </w:p>
    <w:p>
      <w:pPr>
        <w:spacing w:after="0" w:line="252" w:lineRule="auto"/>
        <w:rPr>
          <w:sz w:val="20"/>
          <w:szCs w:val="20"/>
          <w:color w:val="auto"/>
        </w:rPr>
      </w:pPr>
      <w:r>
        <w:rPr>
          <w:rFonts w:ascii="Arial" w:cs="Arial" w:eastAsia="Arial" w:hAnsi="Arial"/>
          <w:sz w:val="15"/>
          <w:szCs w:val="15"/>
          <w:i w:val="1"/>
          <w:iCs w:val="1"/>
          <w:color w:val="B95827"/>
        </w:rPr>
        <w:t xml:space="preserve">Clawback Policy. </w:t>
      </w:r>
      <w:r>
        <w:rPr>
          <w:rFonts w:ascii="Arial" w:cs="Arial" w:eastAsia="Arial" w:hAnsi="Arial"/>
          <w:sz w:val="15"/>
          <w:szCs w:val="15"/>
          <w:color w:val="000000"/>
        </w:rPr>
        <w:t>We have adopted a clawback policy aligned with the SEC’s rules under the Dodd-Frank Act. Our</w:t>
      </w:r>
      <w:r>
        <w:rPr>
          <w:rFonts w:ascii="Arial" w:cs="Arial" w:eastAsia="Arial" w:hAnsi="Arial"/>
          <w:sz w:val="15"/>
          <w:szCs w:val="15"/>
          <w:i w:val="1"/>
          <w:iCs w:val="1"/>
          <w:color w:val="B95827"/>
        </w:rPr>
        <w:t xml:space="preserve"> </w:t>
      </w:r>
      <w:r>
        <w:rPr>
          <w:rFonts w:ascii="Arial" w:cs="Arial" w:eastAsia="Arial" w:hAnsi="Arial"/>
          <w:sz w:val="15"/>
          <w:szCs w:val="15"/>
          <w:color w:val="000000"/>
        </w:rPr>
        <w:t>clawback policy requires current and former executive officers of the Company to return erroneously awarded incentive-based compensation in the event the Company is required to restate its financial statements due to material noncompliance with financial reporting requirements under federal securities laws. Under the policy, incentive-based compensation includes any cash or equity compensation based on the attainment of a financial reporting measure, including stock price and total shareholder return. If the amount of the incentive-based compensation received by a covered executive during the three completed fiscal years preceding the date the Company is required to restate its financial statements would have been lower based on the restated financial results, the Compensation Committee will seek recovery from the covered executive of the excess amount in accordance with the policy. In addition, we have adopted a supplemental compensation clawback policy that allows the Company to recoup cash and both time- and incentive-based equity compensation from executive officers in broader circumstances, including willful misconduct.</w:t>
      </w:r>
    </w:p>
    <w:p>
      <w:pPr>
        <w:spacing w:after="0" w:line="73" w:lineRule="exact"/>
        <w:rPr>
          <w:sz w:val="20"/>
          <w:szCs w:val="20"/>
          <w:color w:val="auto"/>
        </w:rPr>
      </w:pPr>
    </w:p>
    <w:p>
      <w:pPr>
        <w:ind w:right="40"/>
        <w:spacing w:after="0" w:line="253" w:lineRule="auto"/>
        <w:rPr>
          <w:sz w:val="20"/>
          <w:szCs w:val="20"/>
          <w:color w:val="auto"/>
        </w:rPr>
      </w:pPr>
      <w:r>
        <w:rPr>
          <w:rFonts w:ascii="Arial" w:cs="Arial" w:eastAsia="Arial" w:hAnsi="Arial"/>
          <w:sz w:val="15"/>
          <w:szCs w:val="15"/>
          <w:i w:val="1"/>
          <w:iCs w:val="1"/>
          <w:color w:val="B95827"/>
        </w:rPr>
        <w:t xml:space="preserve">Anti-Hedging and Anti-Pledging Policy. </w:t>
      </w:r>
      <w:r>
        <w:rPr>
          <w:rFonts w:ascii="Arial" w:cs="Arial" w:eastAsia="Arial" w:hAnsi="Arial"/>
          <w:sz w:val="15"/>
          <w:szCs w:val="15"/>
          <w:color w:val="000000"/>
        </w:rPr>
        <w:t>We believe that hedging transactions may permit executives to own</w:t>
      </w:r>
      <w:r>
        <w:rPr>
          <w:rFonts w:ascii="Arial" w:cs="Arial" w:eastAsia="Arial" w:hAnsi="Arial"/>
          <w:sz w:val="15"/>
          <w:szCs w:val="15"/>
          <w:i w:val="1"/>
          <w:iCs w:val="1"/>
          <w:color w:val="B95827"/>
        </w:rPr>
        <w:t xml:space="preserve"> </w:t>
      </w:r>
      <w:r>
        <w:rPr>
          <w:rFonts w:ascii="Arial" w:cs="Arial" w:eastAsia="Arial" w:hAnsi="Arial"/>
          <w:sz w:val="15"/>
          <w:szCs w:val="15"/>
          <w:color w:val="000000"/>
        </w:rPr>
        <w:t>Company securities obtained through our executive compensation program or otherwise without the full risks and rewards of ownership. When that occurs, an executive may no longer have the same objectives as the Company’s other stockholders. As a result, we have adopted a policy, included within our Insider Trading Policy and applicable to all employees, officers, directors and consultants of the Company, which prohibits short sales, hedging or engaging in monetization transactions, including through the use of put and call options, collars, prepaid variable forwards and equity swaps. The policy also prohibits holding Company securities in a margin account or pledging Company securities as collateral for a loan, because a margin or foreclosure sale may occur when an executive is aware of material nonpublic information or otherwise not permitted to trade.</w:t>
      </w:r>
    </w:p>
    <w:p>
      <w:pPr>
        <w:spacing w:after="0" w:line="171" w:lineRule="exact"/>
        <w:rPr>
          <w:sz w:val="20"/>
          <w:szCs w:val="20"/>
          <w:color w:val="auto"/>
        </w:rPr>
      </w:pPr>
    </w:p>
    <w:p>
      <w:pPr>
        <w:ind w:left="760"/>
        <w:spacing w:after="0"/>
        <w:rPr>
          <w:sz w:val="20"/>
          <w:szCs w:val="20"/>
          <w:color w:val="auto"/>
        </w:rPr>
      </w:pPr>
      <w:r>
        <w:rPr>
          <w:rFonts w:ascii="Arial" w:cs="Arial" w:eastAsia="Arial" w:hAnsi="Arial"/>
          <w:sz w:val="17"/>
          <w:szCs w:val="17"/>
          <w:color w:val="B95827"/>
        </w:rPr>
        <w:t>THE BOARD OF DIRECTORS RECOMMENDS A VOTE “FOR” THIS PROPOSAL.</w:t>
      </w:r>
    </w:p>
    <w:p>
      <w:pPr>
        <w:spacing w:after="0" w:line="4519" w:lineRule="exact"/>
        <w:rPr>
          <w:sz w:val="20"/>
          <w:szCs w:val="20"/>
          <w:color w:val="auto"/>
        </w:rPr>
      </w:pPr>
    </w:p>
    <w:p>
      <w:pPr>
        <w:sectPr>
          <w:pgSz w:w="11900" w:h="16838" w:orient="portrait"/>
          <w:cols w:equalWidth="0" w:num="2">
            <w:col w:w="2160" w:space="660"/>
            <w:col w:w="7780"/>
          </w:cols>
          <w:pgMar w:left="320" w:top="464" w:right="979" w:bottom="1440" w:gutter="0" w:footer="0" w:header="0"/>
        </w:sectPr>
      </w:pPr>
    </w:p>
    <w:p>
      <w:pPr>
        <w:spacing w:after="0" w:line="200" w:lineRule="exact"/>
        <w:rPr>
          <w:sz w:val="20"/>
          <w:szCs w:val="20"/>
          <w:color w:val="auto"/>
        </w:rPr>
      </w:pPr>
    </w:p>
    <w:p>
      <w:pPr>
        <w:spacing w:after="0" w:line="385" w:lineRule="exact"/>
        <w:rPr>
          <w:sz w:val="20"/>
          <w:szCs w:val="20"/>
          <w:color w:val="auto"/>
        </w:rPr>
      </w:pPr>
    </w:p>
    <w:p>
      <w:pPr>
        <w:ind w:left="420"/>
        <w:spacing w:after="0"/>
        <w:tabs>
          <w:tab w:leader="none" w:pos="2380" w:val="left"/>
          <w:tab w:leader="none" w:pos="2800" w:val="left"/>
        </w:tabs>
        <w:rPr>
          <w:sz w:val="20"/>
          <w:szCs w:val="20"/>
          <w:color w:val="auto"/>
        </w:rPr>
      </w:pPr>
      <w:r>
        <w:rPr>
          <w:rFonts w:ascii="Arial" w:cs="Arial" w:eastAsia="Arial" w:hAnsi="Arial"/>
          <w:sz w:val="30"/>
          <w:szCs w:val="30"/>
          <w:color w:val="000000"/>
          <w:vertAlign w:val="superscript"/>
        </w:rPr>
        <w:t xml:space="preserve">             </w:t>
      </w:r>
      <w:r>
        <w:rPr>
          <w:sz w:val="20"/>
          <w:szCs w:val="20"/>
          <w:color w:val="auto"/>
        </w:rPr>
        <w:tab/>
      </w:r>
      <w:r>
        <w:rPr>
          <w:rFonts w:ascii="Arial" w:cs="Arial" w:eastAsia="Arial" w:hAnsi="Arial"/>
          <w:sz w:val="31"/>
          <w:szCs w:val="31"/>
          <w:color w:val="auto"/>
          <w:vertAlign w:val="superscript"/>
        </w:rPr>
        <w:t xml:space="preserve">    </w:t>
      </w:r>
      <w:r>
        <w:rPr>
          <w:sz w:val="20"/>
          <w:szCs w:val="20"/>
          <w:color w:val="auto"/>
        </w:rPr>
        <w:tab/>
      </w:r>
      <w:r>
        <w:rPr>
          <w:rFonts w:ascii="Arial" w:cs="Arial" w:eastAsia="Arial" w:hAnsi="Arial"/>
          <w:sz w:val="15"/>
          <w:szCs w:val="15"/>
          <w:b w:val="1"/>
          <w:bCs w:val="1"/>
          <w:color w:val="002B5F"/>
        </w:rPr>
        <w:t xml:space="preserve">86  </w:t>
      </w:r>
      <w:r>
        <w:rPr>
          <w:rFonts w:ascii="Arial" w:cs="Arial" w:eastAsia="Arial" w:hAnsi="Arial"/>
          <w:sz w:val="20"/>
          <w:szCs w:val="20"/>
          <w:color w:val="002B5F"/>
        </w:rPr>
        <w:t>|</w:t>
      </w:r>
      <w:r>
        <w:rPr>
          <w:rFonts w:ascii="Arial" w:cs="Arial" w:eastAsia="Arial" w:hAnsi="Arial"/>
          <w:sz w:val="15"/>
          <w:szCs w:val="15"/>
          <w:b w:val="1"/>
          <w:bCs w:val="1"/>
          <w:color w:val="002B5F"/>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6111875</wp:posOffset>
            </wp:positionH>
            <wp:positionV relativeFrom="paragraph">
              <wp:posOffset>-208915</wp:posOffset>
            </wp:positionV>
            <wp:extent cx="769620" cy="971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69620" cy="97155"/>
                    </a:xfrm>
                    <a:prstGeom prst="rect">
                      <a:avLst/>
                    </a:prstGeom>
                    <a:noFill/>
                  </pic:spPr>
                </pic:pic>
              </a:graphicData>
            </a:graphic>
          </wp:anchor>
        </w:drawing>
      </w:r>
    </w:p>
    <w:p>
      <w:pPr>
        <w:sectPr>
          <w:pgSz w:w="11900" w:h="16838" w:orient="portrait"/>
          <w:cols w:equalWidth="0" w:num="1">
            <w:col w:w="10600"/>
          </w:cols>
          <w:pgMar w:left="320" w:top="464" w:right="979" w:bottom="1440" w:gutter="0" w:footer="0" w:header="0"/>
          <w:type w:val="continuous"/>
        </w:sectPr>
      </w:pPr>
    </w:p>
    <w:bookmarkStart w:id="94" w:name="page95"/>
    <w:bookmarkEnd w:id="9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5334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181215" cy="5334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5617845</wp:posOffset>
            </wp:positionH>
            <wp:positionV relativeFrom="paragraph">
              <wp:posOffset>253365</wp:posOffset>
            </wp:positionV>
            <wp:extent cx="1256030" cy="74720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1256030" cy="7472045"/>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ind w:left="540"/>
        <w:spacing w:after="0"/>
        <w:rPr>
          <w:sz w:val="20"/>
          <w:szCs w:val="20"/>
          <w:color w:val="auto"/>
        </w:rPr>
      </w:pPr>
      <w:r>
        <w:rPr>
          <w:rFonts w:ascii="Arial" w:cs="Arial" w:eastAsia="Arial" w:hAnsi="Arial"/>
          <w:sz w:val="26"/>
          <w:szCs w:val="26"/>
          <w:color w:val="B95827"/>
        </w:rPr>
        <w:t>PROPOSAL 4</w:t>
      </w:r>
    </w:p>
    <w:tbl>
      <w:tblPr>
        <w:tblLayout w:type="fixed"/>
        <w:tblInd w:w="540" w:type="dxa"/>
        <w:tblCellMar>
          <w:top w:w="0" w:type="dxa"/>
          <w:left w:w="0" w:type="dxa"/>
          <w:bottom w:w="0" w:type="dxa"/>
          <w:right w:w="0" w:type="dxa"/>
        </w:tblCellMar>
      </w:tblPr>
      <w:tr>
        <w:trPr>
          <w:trHeight w:val="191"/>
        </w:trPr>
        <w:tc>
          <w:tcPr>
            <w:tcW w:w="7880" w:type="dxa"/>
            <w:vAlign w:val="bottom"/>
            <w:vMerge w:val="restart"/>
          </w:tcPr>
          <w:p>
            <w:pPr>
              <w:spacing w:after="0" w:line="190" w:lineRule="exact"/>
              <w:rPr>
                <w:sz w:val="20"/>
                <w:szCs w:val="20"/>
                <w:color w:val="auto"/>
              </w:rPr>
            </w:pPr>
            <w:r>
              <w:rPr>
                <w:rFonts w:ascii="Times New Roman" w:cs="Times New Roman" w:eastAsia="Times New Roman" w:hAnsi="Times New Roman"/>
                <w:sz w:val="22"/>
                <w:szCs w:val="22"/>
                <w:b w:val="1"/>
                <w:bCs w:val="1"/>
                <w:color w:val="002B5F"/>
              </w:rPr>
              <w:t>Adoption of an Amendment and</w:t>
            </w:r>
          </w:p>
        </w:tc>
        <w:tc>
          <w:tcPr>
            <w:tcW w:w="660" w:type="dxa"/>
            <w:vAlign w:val="bottom"/>
          </w:tcPr>
          <w:p>
            <w:pPr>
              <w:ind w:left="460"/>
              <w:spacing w:after="0"/>
              <w:rPr>
                <w:sz w:val="20"/>
                <w:szCs w:val="20"/>
                <w:color w:val="auto"/>
              </w:rPr>
            </w:pPr>
            <w:r>
              <w:rPr>
                <w:rFonts w:ascii="Arial" w:cs="Arial" w:eastAsia="Arial" w:hAnsi="Arial"/>
                <w:sz w:val="15"/>
                <w:szCs w:val="15"/>
                <w:color w:val="auto"/>
              </w:rPr>
              <w:t> </w:t>
            </w:r>
          </w:p>
        </w:tc>
        <w:tc>
          <w:tcPr>
            <w:tcW w:w="1280" w:type="dxa"/>
            <w:vAlign w:val="bottom"/>
          </w:tcPr>
          <w:p>
            <w:pPr>
              <w:ind w:left="140"/>
              <w:spacing w:after="0"/>
              <w:rPr>
                <w:sz w:val="20"/>
                <w:szCs w:val="20"/>
                <w:color w:val="auto"/>
              </w:rPr>
            </w:pPr>
            <w:r>
              <w:rPr>
                <w:rFonts w:ascii="Arial" w:cs="Arial" w:eastAsia="Arial" w:hAnsi="Arial"/>
                <w:sz w:val="12"/>
                <w:szCs w:val="12"/>
                <w:color w:val="FFFFFF"/>
              </w:rPr>
              <w:t>General</w:t>
            </w:r>
          </w:p>
        </w:tc>
        <w:tc>
          <w:tcPr>
            <w:tcW w:w="440" w:type="dxa"/>
            <w:vAlign w:val="bottom"/>
          </w:tcPr>
          <w:p>
            <w:pPr>
              <w:ind w:left="80"/>
              <w:spacing w:after="0"/>
              <w:rPr>
                <w:sz w:val="20"/>
                <w:szCs w:val="20"/>
                <w:color w:val="auto"/>
              </w:rPr>
            </w:pPr>
            <w:r>
              <w:rPr>
                <w:rFonts w:ascii="Arial" w:cs="Arial" w:eastAsia="Arial" w:hAnsi="Arial"/>
                <w:sz w:val="15"/>
                <w:szCs w:val="15"/>
                <w:color w:val="auto"/>
              </w:rPr>
              <w:t xml:space="preserve">       </w:t>
            </w:r>
          </w:p>
        </w:tc>
        <w:tc>
          <w:tcPr>
            <w:tcW w:w="0" w:type="dxa"/>
            <w:vAlign w:val="bottom"/>
          </w:tcPr>
          <w:p>
            <w:pPr>
              <w:spacing w:after="0"/>
              <w:rPr>
                <w:sz w:val="1"/>
                <w:szCs w:val="1"/>
                <w:color w:val="auto"/>
              </w:rPr>
            </w:pPr>
          </w:p>
        </w:tc>
      </w:tr>
      <w:tr>
        <w:trPr>
          <w:trHeight w:val="0"/>
        </w:trPr>
        <w:tc>
          <w:tcPr>
            <w:tcW w:w="7880" w:type="dxa"/>
            <w:vAlign w:val="bottom"/>
            <w:vMerge w:val="continu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80" w:type="dxa"/>
            <w:vAlign w:val="bottom"/>
          </w:tcPr>
          <w:p>
            <w:pPr>
              <w:ind w:left="140"/>
              <w:spacing w:after="0" w:line="1" w:lineRule="exact"/>
              <w:rPr>
                <w:sz w:val="20"/>
                <w:szCs w:val="20"/>
                <w:color w:val="auto"/>
              </w:rPr>
            </w:pPr>
            <w:r>
              <w:rPr>
                <w:rFonts w:ascii="Arial" w:cs="Arial" w:eastAsia="Arial" w:hAnsi="Arial"/>
                <w:sz w:val="1"/>
                <w:szCs w:val="1"/>
                <w:color w:val="FFFFFF"/>
              </w:rPr>
              <w:t>General Information</w:t>
            </w: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78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Information</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6"/>
        </w:trPr>
        <w:tc>
          <w:tcPr>
            <w:tcW w:w="7880" w:type="dxa"/>
            <w:vAlign w:val="bottom"/>
            <w:vMerge w:val="restart"/>
          </w:tcPr>
          <w:p>
            <w:pPr>
              <w:spacing w:after="0" w:line="435" w:lineRule="exact"/>
              <w:rPr>
                <w:sz w:val="20"/>
                <w:szCs w:val="20"/>
                <w:color w:val="auto"/>
              </w:rPr>
            </w:pPr>
            <w:r>
              <w:rPr>
                <w:rFonts w:ascii="Times New Roman" w:cs="Times New Roman" w:eastAsia="Times New Roman" w:hAnsi="Times New Roman"/>
                <w:sz w:val="48"/>
                <w:szCs w:val="48"/>
                <w:b w:val="1"/>
                <w:bCs w:val="1"/>
                <w:color w:val="002B5F"/>
              </w:rPr>
              <w:t>Restatement of Our Charter to</w:t>
            </w:r>
          </w:p>
        </w:tc>
        <w:tc>
          <w:tcPr>
            <w:tcW w:w="660" w:type="dxa"/>
            <w:vAlign w:val="bottom"/>
          </w:tcPr>
          <w:p>
            <w:pPr>
              <w:spacing w:after="0"/>
              <w:rPr>
                <w:sz w:val="24"/>
                <w:szCs w:val="24"/>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About Corporate</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7880" w:type="dxa"/>
            <w:vAlign w:val="bottom"/>
            <w:vMerge w:val="continue"/>
          </w:tcPr>
          <w:p>
            <w:pPr>
              <w:spacing w:after="0"/>
              <w:rPr>
                <w:sz w:val="11"/>
                <w:szCs w:val="11"/>
                <w:color w:val="auto"/>
              </w:rPr>
            </w:pPr>
          </w:p>
        </w:tc>
        <w:tc>
          <w:tcPr>
            <w:tcW w:w="660" w:type="dxa"/>
            <w:vAlign w:val="bottom"/>
          </w:tcPr>
          <w:p>
            <w:pPr>
              <w:spacing w:after="0"/>
              <w:rPr>
                <w:sz w:val="11"/>
                <w:szCs w:val="11"/>
                <w:color w:val="auto"/>
              </w:rPr>
            </w:pPr>
          </w:p>
        </w:tc>
        <w:tc>
          <w:tcPr>
            <w:tcW w:w="1280" w:type="dxa"/>
            <w:vAlign w:val="bottom"/>
          </w:tcPr>
          <w:p>
            <w:pPr>
              <w:ind w:left="140"/>
              <w:spacing w:after="0" w:line="128" w:lineRule="exact"/>
              <w:rPr>
                <w:sz w:val="20"/>
                <w:szCs w:val="20"/>
                <w:color w:val="auto"/>
              </w:rPr>
            </w:pPr>
            <w:r>
              <w:rPr>
                <w:rFonts w:ascii="Arial" w:cs="Arial" w:eastAsia="Arial" w:hAnsi="Arial"/>
                <w:sz w:val="12"/>
                <w:szCs w:val="12"/>
                <w:color w:val="FFFFFF"/>
              </w:rPr>
              <w:t>Governance</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78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80" w:type="dxa"/>
            <w:vAlign w:val="bottom"/>
          </w:tcPr>
          <w:p>
            <w:pPr>
              <w:ind w:left="140"/>
              <w:spacing w:after="0" w:line="128" w:lineRule="exact"/>
              <w:rPr>
                <w:sz w:val="20"/>
                <w:szCs w:val="20"/>
                <w:color w:val="auto"/>
              </w:rPr>
            </w:pPr>
            <w:r>
              <w:rPr>
                <w:rFonts w:ascii="Arial" w:cs="Arial" w:eastAsia="Arial" w:hAnsi="Arial"/>
                <w:sz w:val="12"/>
                <w:szCs w:val="12"/>
                <w:color w:val="FFFFFF"/>
              </w:rPr>
              <w:t>and the Board of</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7880" w:type="dxa"/>
            <w:vAlign w:val="bottom"/>
            <w:vMerge w:val="restart"/>
          </w:tcPr>
          <w:p>
            <w:pPr>
              <w:spacing w:after="0" w:line="306" w:lineRule="exact"/>
              <w:rPr>
                <w:sz w:val="20"/>
                <w:szCs w:val="20"/>
                <w:color w:val="auto"/>
              </w:rPr>
            </w:pPr>
            <w:r>
              <w:rPr>
                <w:rFonts w:ascii="Times New Roman" w:cs="Times New Roman" w:eastAsia="Times New Roman" w:hAnsi="Times New Roman"/>
                <w:sz w:val="35"/>
                <w:szCs w:val="35"/>
                <w:b w:val="1"/>
                <w:bCs w:val="1"/>
                <w:color w:val="002B5F"/>
              </w:rPr>
              <w:t>Eliminate Supermajority Voting</w:t>
            </w:r>
          </w:p>
        </w:tc>
        <w:tc>
          <w:tcPr>
            <w:tcW w:w="660" w:type="dxa"/>
            <w:vAlign w:val="bottom"/>
          </w:tcPr>
          <w:p>
            <w:pPr>
              <w:spacing w:after="0"/>
              <w:rPr>
                <w:sz w:val="13"/>
                <w:szCs w:val="13"/>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Directors</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7880" w:type="dxa"/>
            <w:vAlign w:val="bottom"/>
            <w:vMerge w:val="continue"/>
          </w:tcPr>
          <w:p>
            <w:pPr>
              <w:spacing w:after="0"/>
              <w:rPr>
                <w:sz w:val="12"/>
                <w:szCs w:val="12"/>
                <w:color w:val="auto"/>
              </w:rPr>
            </w:pPr>
          </w:p>
        </w:tc>
        <w:tc>
          <w:tcPr>
            <w:tcW w:w="660" w:type="dxa"/>
            <w:vAlign w:val="bottom"/>
          </w:tcPr>
          <w:p>
            <w:pPr>
              <w:spacing w:after="0"/>
              <w:rPr>
                <w:sz w:val="12"/>
                <w:szCs w:val="12"/>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Information</w:t>
            </w: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78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Proposal 1</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1"/>
        </w:trPr>
        <w:tc>
          <w:tcPr>
            <w:tcW w:w="7880" w:type="dxa"/>
            <w:vAlign w:val="bottom"/>
            <w:vMerge w:val="restart"/>
          </w:tcPr>
          <w:p>
            <w:pPr>
              <w:spacing w:after="0" w:line="391" w:lineRule="exact"/>
              <w:rPr>
                <w:sz w:val="20"/>
                <w:szCs w:val="20"/>
                <w:color w:val="auto"/>
              </w:rPr>
            </w:pPr>
            <w:r>
              <w:rPr>
                <w:rFonts w:ascii="Times New Roman" w:cs="Times New Roman" w:eastAsia="Times New Roman" w:hAnsi="Times New Roman"/>
                <w:sz w:val="45"/>
                <w:szCs w:val="45"/>
                <w:b w:val="1"/>
                <w:bCs w:val="1"/>
                <w:color w:val="002B5F"/>
              </w:rPr>
              <w:t>Requirements, Eliminate Obsolete</w:t>
            </w:r>
          </w:p>
        </w:tc>
        <w:tc>
          <w:tcPr>
            <w:tcW w:w="660" w:type="dxa"/>
            <w:vAlign w:val="bottom"/>
          </w:tcPr>
          <w:p>
            <w:pPr>
              <w:spacing w:after="0"/>
              <w:rPr>
                <w:sz w:val="24"/>
                <w:szCs w:val="24"/>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Regarding Board</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0"/>
        </w:trPr>
        <w:tc>
          <w:tcPr>
            <w:tcW w:w="7880" w:type="dxa"/>
            <w:vAlign w:val="bottom"/>
            <w:vMerge w:val="continu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80" w:type="dxa"/>
            <w:vAlign w:val="bottom"/>
          </w:tcPr>
          <w:p>
            <w:pPr>
              <w:ind w:left="140"/>
              <w:spacing w:after="0" w:line="1" w:lineRule="exact"/>
              <w:rPr>
                <w:sz w:val="20"/>
                <w:szCs w:val="20"/>
                <w:color w:val="auto"/>
              </w:rPr>
            </w:pPr>
            <w:r>
              <w:rPr>
                <w:rFonts w:ascii="Arial" w:cs="Arial" w:eastAsia="Arial" w:hAnsi="Arial"/>
                <w:sz w:val="1"/>
                <w:szCs w:val="1"/>
                <w:color w:val="FFFFFF"/>
              </w:rPr>
              <w:t>Board of Directors</w:t>
            </w: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78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80" w:type="dxa"/>
            <w:vAlign w:val="bottom"/>
          </w:tcPr>
          <w:p>
            <w:pPr>
              <w:ind w:left="140"/>
              <w:spacing w:after="0" w:line="116" w:lineRule="exact"/>
              <w:rPr>
                <w:sz w:val="20"/>
                <w:szCs w:val="20"/>
                <w:color w:val="auto"/>
              </w:rPr>
            </w:pPr>
            <w:r>
              <w:rPr>
                <w:rFonts w:ascii="Arial" w:cs="Arial" w:eastAsia="Arial" w:hAnsi="Arial"/>
                <w:sz w:val="12"/>
                <w:szCs w:val="12"/>
                <w:color w:val="FFFFFF"/>
              </w:rPr>
              <w:t>and Committee</w:t>
            </w: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7880" w:type="dxa"/>
            <w:vAlign w:val="bottom"/>
            <w:vMerge w:val="restart"/>
          </w:tcPr>
          <w:p>
            <w:pPr>
              <w:spacing w:after="0" w:line="433" w:lineRule="exact"/>
              <w:rPr>
                <w:sz w:val="20"/>
                <w:szCs w:val="20"/>
                <w:color w:val="auto"/>
              </w:rPr>
            </w:pPr>
            <w:r>
              <w:rPr>
                <w:rFonts w:ascii="Times New Roman" w:cs="Times New Roman" w:eastAsia="Times New Roman" w:hAnsi="Times New Roman"/>
                <w:sz w:val="48"/>
                <w:szCs w:val="48"/>
                <w:b w:val="1"/>
                <w:bCs w:val="1"/>
                <w:color w:val="002B5F"/>
              </w:rPr>
              <w:t>Provisions and Make Certain</w:t>
            </w:r>
          </w:p>
        </w:tc>
        <w:tc>
          <w:tcPr>
            <w:tcW w:w="660" w:type="dxa"/>
            <w:vAlign w:val="bottom"/>
          </w:tcPr>
          <w:p>
            <w:pPr>
              <w:spacing w:after="0"/>
              <w:rPr>
                <w:sz w:val="13"/>
                <w:szCs w:val="13"/>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Structure</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5"/>
        </w:trPr>
        <w:tc>
          <w:tcPr>
            <w:tcW w:w="7880" w:type="dxa"/>
            <w:vAlign w:val="bottom"/>
            <w:vMerge w:val="continue"/>
          </w:tcPr>
          <w:p>
            <w:pPr>
              <w:spacing w:after="0"/>
              <w:rPr>
                <w:sz w:val="23"/>
                <w:szCs w:val="23"/>
                <w:color w:val="auto"/>
              </w:rPr>
            </w:pPr>
          </w:p>
        </w:tc>
        <w:tc>
          <w:tcPr>
            <w:tcW w:w="660" w:type="dxa"/>
            <w:vAlign w:val="bottom"/>
          </w:tcPr>
          <w:p>
            <w:pPr>
              <w:spacing w:after="0"/>
              <w:rPr>
                <w:sz w:val="23"/>
                <w:szCs w:val="23"/>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Compensation</w:t>
            </w:r>
          </w:p>
        </w:tc>
        <w:tc>
          <w:tcPr>
            <w:tcW w:w="4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78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Compensation</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1"/>
        </w:trPr>
        <w:tc>
          <w:tcPr>
            <w:tcW w:w="7880" w:type="dxa"/>
            <w:vAlign w:val="bottom"/>
            <w:vMerge w:val="restart"/>
          </w:tcPr>
          <w:p>
            <w:pPr>
              <w:spacing w:after="0" w:line="391" w:lineRule="exact"/>
              <w:rPr>
                <w:sz w:val="20"/>
                <w:szCs w:val="20"/>
                <w:color w:val="auto"/>
              </w:rPr>
            </w:pPr>
            <w:r>
              <w:rPr>
                <w:rFonts w:ascii="Times New Roman" w:cs="Times New Roman" w:eastAsia="Times New Roman" w:hAnsi="Times New Roman"/>
                <w:sz w:val="45"/>
                <w:szCs w:val="45"/>
                <w:b w:val="1"/>
                <w:bCs w:val="1"/>
                <w:color w:val="002B5F"/>
              </w:rPr>
              <w:t>Non-Substantive Changes</w:t>
            </w:r>
          </w:p>
        </w:tc>
        <w:tc>
          <w:tcPr>
            <w:tcW w:w="660" w:type="dxa"/>
            <w:vAlign w:val="bottom"/>
          </w:tcPr>
          <w:p>
            <w:pPr>
              <w:spacing w:after="0"/>
              <w:rPr>
                <w:sz w:val="24"/>
                <w:szCs w:val="24"/>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Discussion and</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0"/>
        </w:trPr>
        <w:tc>
          <w:tcPr>
            <w:tcW w:w="7880" w:type="dxa"/>
            <w:vAlign w:val="bottom"/>
            <w:vMerge w:val="continu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80" w:type="dxa"/>
            <w:vAlign w:val="bottom"/>
          </w:tcPr>
          <w:p>
            <w:pPr>
              <w:ind w:left="140"/>
              <w:spacing w:after="0" w:line="1" w:lineRule="exact"/>
              <w:rPr>
                <w:sz w:val="20"/>
                <w:szCs w:val="20"/>
                <w:color w:val="auto"/>
              </w:rPr>
            </w:pPr>
            <w:r>
              <w:rPr>
                <w:rFonts w:ascii="Arial" w:cs="Arial" w:eastAsia="Arial" w:hAnsi="Arial"/>
                <w:sz w:val="1"/>
                <w:szCs w:val="1"/>
                <w:color w:val="FFFFFF"/>
              </w:rPr>
              <w:t>Report of the</w:t>
            </w: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78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Analysis</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79"/>
        </w:trPr>
        <w:tc>
          <w:tcPr>
            <w:tcW w:w="78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Compensation</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7880" w:type="dxa"/>
            <w:vAlign w:val="bottom"/>
            <w:tcBorders>
              <w:bottom w:val="single" w:sz="8" w:color="auto"/>
            </w:tcBorders>
          </w:tcPr>
          <w:p>
            <w:pPr>
              <w:spacing w:after="0"/>
              <w:rPr>
                <w:sz w:val="2"/>
                <w:szCs w:val="2"/>
                <w:color w:val="auto"/>
              </w:rPr>
            </w:pPr>
          </w:p>
        </w:tc>
        <w:tc>
          <w:tcPr>
            <w:tcW w:w="660" w:type="dxa"/>
            <w:vAlign w:val="bottom"/>
          </w:tcPr>
          <w:p>
            <w:pPr>
              <w:spacing w:after="0"/>
              <w:rPr>
                <w:sz w:val="2"/>
                <w:szCs w:val="2"/>
                <w:color w:val="auto"/>
              </w:rPr>
            </w:pPr>
          </w:p>
        </w:tc>
        <w:tc>
          <w:tcPr>
            <w:tcW w:w="1280" w:type="dxa"/>
            <w:vAlign w:val="bottom"/>
            <w:vMerge w:val="restart"/>
          </w:tcPr>
          <w:p>
            <w:pPr>
              <w:ind w:left="140"/>
              <w:spacing w:after="0" w:line="128" w:lineRule="exact"/>
              <w:rPr>
                <w:sz w:val="20"/>
                <w:szCs w:val="20"/>
                <w:color w:val="auto"/>
              </w:rPr>
            </w:pPr>
            <w:r>
              <w:rPr>
                <w:rFonts w:ascii="Arial" w:cs="Arial" w:eastAsia="Arial" w:hAnsi="Arial"/>
                <w:sz w:val="12"/>
                <w:szCs w:val="12"/>
                <w:color w:val="FFFFFF"/>
              </w:rPr>
              <w:t>and Human</w:t>
            </w:r>
          </w:p>
        </w:tc>
        <w:tc>
          <w:tcPr>
            <w:tcW w:w="4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7"/>
        </w:trPr>
        <w:tc>
          <w:tcPr>
            <w:tcW w:w="788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8"/>
        </w:trPr>
        <w:tc>
          <w:tcPr>
            <w:tcW w:w="7880" w:type="dxa"/>
            <w:vAlign w:val="bottom"/>
            <w:vMerge w:val="restart"/>
          </w:tcPr>
          <w:p>
            <w:pPr>
              <w:spacing w:after="0"/>
              <w:rPr>
                <w:sz w:val="20"/>
                <w:szCs w:val="20"/>
                <w:color w:val="auto"/>
              </w:rPr>
            </w:pPr>
            <w:r>
              <w:rPr>
                <w:rFonts w:ascii="Arial" w:cs="Arial" w:eastAsia="Arial" w:hAnsi="Arial"/>
                <w:sz w:val="15"/>
                <w:szCs w:val="15"/>
                <w:color w:val="auto"/>
              </w:rPr>
              <w:t>Our Board has unanimously approved and adopted, and unanimously recommends that all stockholders adopt, an</w:t>
            </w:r>
          </w:p>
        </w:tc>
        <w:tc>
          <w:tcPr>
            <w:tcW w:w="660" w:type="dxa"/>
            <w:vAlign w:val="bottom"/>
          </w:tcPr>
          <w:p>
            <w:pPr>
              <w:spacing w:after="0"/>
              <w:rPr>
                <w:sz w:val="11"/>
                <w:szCs w:val="11"/>
                <w:color w:val="auto"/>
              </w:rPr>
            </w:pPr>
          </w:p>
        </w:tc>
        <w:tc>
          <w:tcPr>
            <w:tcW w:w="1280" w:type="dxa"/>
            <w:vAlign w:val="bottom"/>
          </w:tcPr>
          <w:p>
            <w:pPr>
              <w:ind w:left="140"/>
              <w:spacing w:after="0" w:line="128" w:lineRule="exact"/>
              <w:rPr>
                <w:sz w:val="20"/>
                <w:szCs w:val="20"/>
                <w:color w:val="auto"/>
              </w:rPr>
            </w:pPr>
            <w:r>
              <w:rPr>
                <w:rFonts w:ascii="Arial" w:cs="Arial" w:eastAsia="Arial" w:hAnsi="Arial"/>
                <w:sz w:val="12"/>
                <w:szCs w:val="12"/>
                <w:color w:val="FFFFFF"/>
              </w:rPr>
              <w:t>Resources</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7880" w:type="dxa"/>
            <w:vAlign w:val="bottom"/>
            <w:vMerge w:val="continue"/>
          </w:tcPr>
          <w:p>
            <w:pPr>
              <w:spacing w:after="0"/>
              <w:rPr>
                <w:sz w:val="11"/>
                <w:szCs w:val="11"/>
                <w:color w:val="auto"/>
              </w:rPr>
            </w:pPr>
          </w:p>
        </w:tc>
        <w:tc>
          <w:tcPr>
            <w:tcW w:w="660" w:type="dxa"/>
            <w:vAlign w:val="bottom"/>
          </w:tcPr>
          <w:p>
            <w:pPr>
              <w:spacing w:after="0"/>
              <w:rPr>
                <w:sz w:val="11"/>
                <w:szCs w:val="11"/>
                <w:color w:val="auto"/>
              </w:rPr>
            </w:pPr>
          </w:p>
        </w:tc>
        <w:tc>
          <w:tcPr>
            <w:tcW w:w="1280" w:type="dxa"/>
            <w:vAlign w:val="bottom"/>
          </w:tcPr>
          <w:p>
            <w:pPr>
              <w:ind w:left="140"/>
              <w:spacing w:after="0" w:line="133" w:lineRule="exact"/>
              <w:rPr>
                <w:sz w:val="20"/>
                <w:szCs w:val="20"/>
                <w:color w:val="auto"/>
              </w:rPr>
            </w:pPr>
            <w:r>
              <w:rPr>
                <w:rFonts w:ascii="Arial" w:cs="Arial" w:eastAsia="Arial" w:hAnsi="Arial"/>
                <w:sz w:val="12"/>
                <w:szCs w:val="12"/>
                <w:color w:val="FFFFFF"/>
              </w:rPr>
              <w:t>Committee of the</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5"/>
        </w:trPr>
        <w:tc>
          <w:tcPr>
            <w:tcW w:w="7880" w:type="dxa"/>
            <w:vAlign w:val="bottom"/>
          </w:tcPr>
          <w:p>
            <w:pPr>
              <w:spacing w:after="0"/>
              <w:rPr>
                <w:sz w:val="20"/>
                <w:szCs w:val="20"/>
                <w:color w:val="auto"/>
              </w:rPr>
            </w:pPr>
            <w:r>
              <w:rPr>
                <w:rFonts w:ascii="Arial" w:cs="Arial" w:eastAsia="Arial" w:hAnsi="Arial"/>
                <w:sz w:val="15"/>
                <w:szCs w:val="15"/>
                <w:color w:val="auto"/>
              </w:rPr>
              <w:t>amendment and restatement of our Charter to eliminate supermajority voting requirements, eliminate obsolete</w:t>
            </w:r>
          </w:p>
        </w:tc>
        <w:tc>
          <w:tcPr>
            <w:tcW w:w="660" w:type="dxa"/>
            <w:vAlign w:val="bottom"/>
          </w:tcPr>
          <w:p>
            <w:pPr>
              <w:spacing w:after="0"/>
              <w:rPr>
                <w:sz w:val="17"/>
                <w:szCs w:val="17"/>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Board of Directors</w:t>
            </w: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7880" w:type="dxa"/>
            <w:vAlign w:val="bottom"/>
          </w:tcPr>
          <w:p>
            <w:pPr>
              <w:spacing w:after="0"/>
              <w:rPr>
                <w:sz w:val="20"/>
                <w:szCs w:val="20"/>
                <w:color w:val="auto"/>
              </w:rPr>
            </w:pPr>
            <w:r>
              <w:rPr>
                <w:rFonts w:ascii="Arial" w:cs="Arial" w:eastAsia="Arial" w:hAnsi="Arial"/>
                <w:sz w:val="15"/>
                <w:szCs w:val="15"/>
                <w:color w:val="auto"/>
              </w:rPr>
              <w:t>provisions and make certain non-substantive changes (collectively, the “Majority Voting Amendment”).</w:t>
            </w:r>
          </w:p>
        </w:tc>
        <w:tc>
          <w:tcPr>
            <w:tcW w:w="660" w:type="dxa"/>
            <w:vAlign w:val="bottom"/>
          </w:tcPr>
          <w:p>
            <w:pPr>
              <w:spacing w:after="0"/>
              <w:rPr>
                <w:sz w:val="18"/>
                <w:szCs w:val="18"/>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Compensation of</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8"/>
        </w:trPr>
        <w:tc>
          <w:tcPr>
            <w:tcW w:w="78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80" w:type="dxa"/>
            <w:vAlign w:val="bottom"/>
          </w:tcPr>
          <w:p>
            <w:pPr>
              <w:ind w:left="140"/>
              <w:spacing w:after="0" w:line="128" w:lineRule="exact"/>
              <w:rPr>
                <w:sz w:val="20"/>
                <w:szCs w:val="20"/>
                <w:color w:val="auto"/>
              </w:rPr>
            </w:pPr>
            <w:r>
              <w:rPr>
                <w:rFonts w:ascii="Arial" w:cs="Arial" w:eastAsia="Arial" w:hAnsi="Arial"/>
                <w:sz w:val="12"/>
                <w:szCs w:val="12"/>
                <w:color w:val="FFFFFF"/>
              </w:rPr>
              <w:t>Named Executive</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7880" w:type="dxa"/>
            <w:vAlign w:val="bottom"/>
            <w:tcBorders>
              <w:bottom w:val="single" w:sz="8" w:color="002B5F"/>
            </w:tcBorders>
          </w:tcPr>
          <w:p>
            <w:pPr>
              <w:spacing w:after="0"/>
              <w:rPr>
                <w:sz w:val="7"/>
                <w:szCs w:val="7"/>
                <w:color w:val="auto"/>
              </w:rPr>
            </w:pPr>
          </w:p>
        </w:tc>
        <w:tc>
          <w:tcPr>
            <w:tcW w:w="660" w:type="dxa"/>
            <w:vAlign w:val="bottom"/>
          </w:tcPr>
          <w:p>
            <w:pPr>
              <w:spacing w:after="0"/>
              <w:rPr>
                <w:sz w:val="7"/>
                <w:szCs w:val="7"/>
                <w:color w:val="auto"/>
              </w:rPr>
            </w:pPr>
          </w:p>
        </w:tc>
        <w:tc>
          <w:tcPr>
            <w:tcW w:w="1280" w:type="dxa"/>
            <w:vAlign w:val="bottom"/>
            <w:vMerge w:val="restart"/>
          </w:tcPr>
          <w:p>
            <w:pPr>
              <w:ind w:left="140"/>
              <w:spacing w:after="0"/>
              <w:rPr>
                <w:sz w:val="20"/>
                <w:szCs w:val="20"/>
                <w:color w:val="auto"/>
              </w:rPr>
            </w:pPr>
            <w:r>
              <w:rPr>
                <w:rFonts w:ascii="Arial" w:cs="Arial" w:eastAsia="Arial" w:hAnsi="Arial"/>
                <w:sz w:val="12"/>
                <w:szCs w:val="12"/>
                <w:color w:val="FFFFFF"/>
              </w:rPr>
              <w:t>Officers</w:t>
            </w:r>
          </w:p>
        </w:tc>
        <w:tc>
          <w:tcPr>
            <w:tcW w:w="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1"/>
        </w:trPr>
        <w:tc>
          <w:tcPr>
            <w:tcW w:w="7880" w:type="dxa"/>
            <w:vAlign w:val="bottom"/>
          </w:tcPr>
          <w:p>
            <w:pPr>
              <w:spacing w:after="0"/>
              <w:rPr>
                <w:sz w:val="4"/>
                <w:szCs w:val="4"/>
                <w:color w:val="auto"/>
              </w:rPr>
            </w:pPr>
          </w:p>
        </w:tc>
        <w:tc>
          <w:tcPr>
            <w:tcW w:w="660" w:type="dxa"/>
            <w:vAlign w:val="bottom"/>
          </w:tcPr>
          <w:p>
            <w:pPr>
              <w:spacing w:after="0"/>
              <w:rPr>
                <w:sz w:val="4"/>
                <w:szCs w:val="4"/>
                <w:color w:val="auto"/>
              </w:rPr>
            </w:pPr>
          </w:p>
        </w:tc>
        <w:tc>
          <w:tcPr>
            <w:tcW w:w="1280" w:type="dxa"/>
            <w:vAlign w:val="bottom"/>
            <w:vMerge w:val="continue"/>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341630</wp:posOffset>
            </wp:positionH>
            <wp:positionV relativeFrom="paragraph">
              <wp:posOffset>-40005</wp:posOffset>
            </wp:positionV>
            <wp:extent cx="4999990" cy="335534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4999990" cy="3355340"/>
                    </a:xfrm>
                    <a:prstGeom prst="rect">
                      <a:avLst/>
                    </a:prstGeom>
                    <a:noFill/>
                  </pic:spPr>
                </pic:pic>
              </a:graphicData>
            </a:graphic>
          </wp:anchor>
        </w:drawing>
      </w:r>
    </w:p>
    <w:p>
      <w:pPr>
        <w:sectPr>
          <w:pgSz w:w="11900" w:h="16838" w:orient="portrait"/>
          <w:cols w:equalWidth="0" w:num="1">
            <w:col w:w="10800"/>
          </w:cols>
          <w:pgMar w:left="320" w:top="464" w:right="779" w:bottom="1440" w:gutter="0" w:footer="0" w:header="0"/>
        </w:sectPr>
      </w:pPr>
    </w:p>
    <w:p>
      <w:pPr>
        <w:spacing w:after="0" w:line="124"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002B5F"/>
        </w:rPr>
        <w:t>THE PROPOSED AMENDMENT AND RESTATEMENT</w:t>
      </w:r>
    </w:p>
    <w:p>
      <w:pPr>
        <w:spacing w:after="0" w:line="103" w:lineRule="exact"/>
        <w:rPr>
          <w:sz w:val="20"/>
          <w:szCs w:val="20"/>
          <w:color w:val="auto"/>
        </w:rPr>
      </w:pPr>
    </w:p>
    <w:p>
      <w:pPr>
        <w:ind w:left="620"/>
        <w:spacing w:after="0"/>
        <w:rPr>
          <w:sz w:val="20"/>
          <w:szCs w:val="20"/>
          <w:color w:val="auto"/>
        </w:rPr>
      </w:pPr>
      <w:r>
        <w:rPr>
          <w:rFonts w:ascii="Arial" w:cs="Arial" w:eastAsia="Arial" w:hAnsi="Arial"/>
          <w:sz w:val="15"/>
          <w:szCs w:val="15"/>
          <w:color w:val="auto"/>
        </w:rPr>
        <w:t>The Majority Voting Amendment would modify our Charter such that:</w:t>
      </w:r>
    </w:p>
    <w:p>
      <w:pPr>
        <w:spacing w:after="0" w:line="70" w:lineRule="exact"/>
        <w:rPr>
          <w:sz w:val="20"/>
          <w:szCs w:val="20"/>
          <w:color w:val="auto"/>
        </w:rPr>
      </w:pPr>
    </w:p>
    <w:p>
      <w:pPr>
        <w:ind w:left="840" w:right="40" w:hanging="206"/>
        <w:spacing w:after="0" w:line="211" w:lineRule="auto"/>
        <w:tabs>
          <w:tab w:leader="none" w:pos="840" w:val="left"/>
        </w:tabs>
        <w:numPr>
          <w:ilvl w:val="0"/>
          <w:numId w:val="131"/>
        </w:numPr>
        <w:rPr>
          <w:rFonts w:ascii="Arial" w:cs="Arial" w:eastAsia="Arial" w:hAnsi="Arial"/>
          <w:sz w:val="15"/>
          <w:szCs w:val="15"/>
          <w:color w:val="auto"/>
        </w:rPr>
      </w:pPr>
      <w:r>
        <w:rPr>
          <w:rFonts w:ascii="Arial" w:cs="Arial" w:eastAsia="Arial" w:hAnsi="Arial"/>
          <w:sz w:val="15"/>
          <w:szCs w:val="15"/>
          <w:color w:val="auto"/>
        </w:rPr>
        <w:t xml:space="preserve">Removal of directors would require the affirmative vote of the holders of at least a majority (rather than at least 66 </w:t>
      </w:r>
      <w:r>
        <w:rPr>
          <w:rFonts w:ascii="Arial" w:cs="Arial" w:eastAsia="Arial" w:hAnsi="Arial"/>
          <w:sz w:val="25"/>
          <w:szCs w:val="25"/>
          <w:color w:val="auto"/>
          <w:vertAlign w:val="superscript"/>
        </w:rPr>
        <w:t>2</w:t>
      </w:r>
      <w:r>
        <w:rPr>
          <w:rFonts w:ascii="Arial" w:cs="Arial" w:eastAsia="Arial" w:hAnsi="Arial"/>
          <w:sz w:val="15"/>
          <w:szCs w:val="15"/>
          <w:color w:val="auto"/>
        </w:rPr>
        <w:t>⁄</w:t>
      </w:r>
      <w:r>
        <w:rPr>
          <w:rFonts w:ascii="Arial" w:cs="Arial" w:eastAsia="Arial" w:hAnsi="Arial"/>
          <w:sz w:val="12"/>
          <w:szCs w:val="12"/>
          <w:color w:val="auto"/>
        </w:rPr>
        <w:t>3</w:t>
      </w:r>
      <w:r>
        <w:rPr>
          <w:rFonts w:ascii="Arial" w:cs="Arial" w:eastAsia="Arial" w:hAnsi="Arial"/>
          <w:sz w:val="15"/>
          <w:szCs w:val="15"/>
          <w:color w:val="auto"/>
        </w:rPr>
        <w:t>%) of the voting power of the outstanding shares of capital stock of the Company entitled to vote generally in the election of directors, voting together as a single class;</w:t>
      </w:r>
    </w:p>
    <w:p>
      <w:pPr>
        <w:spacing w:after="0" w:line="43" w:lineRule="exact"/>
        <w:rPr>
          <w:rFonts w:ascii="Arial" w:cs="Arial" w:eastAsia="Arial" w:hAnsi="Arial"/>
          <w:sz w:val="15"/>
          <w:szCs w:val="15"/>
          <w:color w:val="auto"/>
        </w:rPr>
      </w:pPr>
    </w:p>
    <w:p>
      <w:pPr>
        <w:ind w:left="840" w:right="60" w:hanging="206"/>
        <w:spacing w:after="0" w:line="211" w:lineRule="auto"/>
        <w:tabs>
          <w:tab w:leader="none" w:pos="840" w:val="left"/>
        </w:tabs>
        <w:numPr>
          <w:ilvl w:val="0"/>
          <w:numId w:val="131"/>
        </w:numPr>
        <w:rPr>
          <w:rFonts w:ascii="Arial" w:cs="Arial" w:eastAsia="Arial" w:hAnsi="Arial"/>
          <w:sz w:val="15"/>
          <w:szCs w:val="15"/>
          <w:color w:val="auto"/>
        </w:rPr>
      </w:pPr>
      <w:r>
        <w:rPr>
          <w:rFonts w:ascii="Arial" w:cs="Arial" w:eastAsia="Arial" w:hAnsi="Arial"/>
          <w:sz w:val="15"/>
          <w:szCs w:val="15"/>
          <w:color w:val="auto"/>
        </w:rPr>
        <w:t>The alteration, amendment or repeal of our Bylaws by our stockholders would require the affirmative vote of the holders of at least a majority (rather than at least 66</w:t>
      </w:r>
      <w:r>
        <w:rPr>
          <w:rFonts w:ascii="Arial" w:cs="Arial" w:eastAsia="Arial" w:hAnsi="Arial"/>
          <w:sz w:val="25"/>
          <w:szCs w:val="25"/>
          <w:color w:val="auto"/>
          <w:vertAlign w:val="superscript"/>
        </w:rPr>
        <w:t>2</w:t>
      </w:r>
      <w:r>
        <w:rPr>
          <w:rFonts w:ascii="Arial" w:cs="Arial" w:eastAsia="Arial" w:hAnsi="Arial"/>
          <w:sz w:val="15"/>
          <w:szCs w:val="15"/>
          <w:color w:val="auto"/>
        </w:rPr>
        <w:t>⁄</w:t>
      </w:r>
      <w:r>
        <w:rPr>
          <w:rFonts w:ascii="Arial" w:cs="Arial" w:eastAsia="Arial" w:hAnsi="Arial"/>
          <w:sz w:val="12"/>
          <w:szCs w:val="12"/>
          <w:color w:val="auto"/>
        </w:rPr>
        <w:t>3</w:t>
      </w:r>
      <w:r>
        <w:rPr>
          <w:rFonts w:ascii="Arial" w:cs="Arial" w:eastAsia="Arial" w:hAnsi="Arial"/>
          <w:sz w:val="15"/>
          <w:szCs w:val="15"/>
          <w:color w:val="auto"/>
        </w:rPr>
        <w:t>%) of the voting power of the outstanding shares of Common Stock; and</w:t>
      </w:r>
    </w:p>
    <w:p>
      <w:pPr>
        <w:spacing w:after="0" w:line="43" w:lineRule="exact"/>
        <w:rPr>
          <w:rFonts w:ascii="Arial" w:cs="Arial" w:eastAsia="Arial" w:hAnsi="Arial"/>
          <w:sz w:val="15"/>
          <w:szCs w:val="15"/>
          <w:color w:val="auto"/>
        </w:rPr>
      </w:pPr>
    </w:p>
    <w:p>
      <w:pPr>
        <w:ind w:left="840" w:hanging="206"/>
        <w:spacing w:after="0" w:line="258" w:lineRule="auto"/>
        <w:tabs>
          <w:tab w:leader="none" w:pos="840" w:val="left"/>
        </w:tabs>
        <w:numPr>
          <w:ilvl w:val="0"/>
          <w:numId w:val="131"/>
        </w:numPr>
        <w:rPr>
          <w:rFonts w:ascii="Arial" w:cs="Arial" w:eastAsia="Arial" w:hAnsi="Arial"/>
          <w:sz w:val="15"/>
          <w:szCs w:val="15"/>
          <w:color w:val="auto"/>
        </w:rPr>
      </w:pPr>
      <w:r>
        <w:rPr>
          <w:rFonts w:ascii="Arial" w:cs="Arial" w:eastAsia="Arial" w:hAnsi="Arial"/>
          <w:sz w:val="15"/>
          <w:szCs w:val="15"/>
          <w:color w:val="auto"/>
        </w:rPr>
        <w:t>The alteration, amendment or repeal of, or the adoption of any bylaw inconsistent with, Article V (related to number of directors, board vacancies, newly created directorships and removal of directors), paragraphs (a) and</w:t>
      </w:r>
    </w:p>
    <w:p>
      <w:pPr>
        <w:ind w:left="840" w:right="100"/>
        <w:spacing w:after="0" w:line="221" w:lineRule="auto"/>
        <w:rPr>
          <w:rFonts w:ascii="Arial" w:cs="Arial" w:eastAsia="Arial" w:hAnsi="Arial"/>
          <w:sz w:val="15"/>
          <w:szCs w:val="15"/>
          <w:color w:val="auto"/>
        </w:rPr>
      </w:pPr>
      <w:r>
        <w:rPr>
          <w:rFonts w:ascii="Arial" w:cs="Arial" w:eastAsia="Arial" w:hAnsi="Arial"/>
          <w:sz w:val="15"/>
          <w:szCs w:val="15"/>
          <w:color w:val="auto"/>
        </w:rPr>
        <w:t xml:space="preserve">(b) of Article VII (related to stockholder action by written consent and special stockholder meetings), Article VIII (related to amendments to our Bylaws and our Charter) and Article IX (related to business combinations with interested stockholders) of our Charter would require, in addition to any other vote otherwise required by law, the affirmative vote of the holders of at least a majority (rather than at least 66 </w:t>
      </w:r>
      <w:r>
        <w:rPr>
          <w:rFonts w:ascii="Arial" w:cs="Arial" w:eastAsia="Arial" w:hAnsi="Arial"/>
          <w:sz w:val="25"/>
          <w:szCs w:val="25"/>
          <w:color w:val="auto"/>
          <w:vertAlign w:val="superscript"/>
        </w:rPr>
        <w:t>2</w:t>
      </w:r>
      <w:r>
        <w:rPr>
          <w:rFonts w:ascii="Arial" w:cs="Arial" w:eastAsia="Arial" w:hAnsi="Arial"/>
          <w:sz w:val="15"/>
          <w:szCs w:val="15"/>
          <w:color w:val="auto"/>
        </w:rPr>
        <w:t>⁄</w:t>
      </w:r>
      <w:r>
        <w:rPr>
          <w:rFonts w:ascii="Arial" w:cs="Arial" w:eastAsia="Arial" w:hAnsi="Arial"/>
          <w:sz w:val="12"/>
          <w:szCs w:val="12"/>
          <w:color w:val="auto"/>
        </w:rPr>
        <w:t>3</w:t>
      </w:r>
      <w:r>
        <w:rPr>
          <w:rFonts w:ascii="Arial" w:cs="Arial" w:eastAsia="Arial" w:hAnsi="Arial"/>
          <w:sz w:val="15"/>
          <w:szCs w:val="15"/>
          <w:color w:val="auto"/>
        </w:rPr>
        <w:t>%) of the voting power of the outstanding shares of Common Stock.</w:t>
      </w:r>
    </w:p>
    <w:p>
      <w:pPr>
        <w:spacing w:after="0" w:line="81" w:lineRule="exact"/>
        <w:rPr>
          <w:sz w:val="20"/>
          <w:szCs w:val="20"/>
          <w:color w:val="auto"/>
        </w:rPr>
      </w:pPr>
    </w:p>
    <w:p>
      <w:pPr>
        <w:ind w:left="620" w:right="140"/>
        <w:spacing w:after="0" w:line="258" w:lineRule="auto"/>
        <w:rPr>
          <w:sz w:val="20"/>
          <w:szCs w:val="20"/>
          <w:color w:val="auto"/>
        </w:rPr>
      </w:pPr>
      <w:r>
        <w:rPr>
          <w:rFonts w:ascii="Arial" w:cs="Arial" w:eastAsia="Arial" w:hAnsi="Arial"/>
          <w:sz w:val="15"/>
          <w:szCs w:val="15"/>
          <w:color w:val="auto"/>
        </w:rPr>
        <w:t>In addition, the Majority Voting Amendment would remove obsolete language reflecting rights of our former equity sponsors, which rights expired effective on the date on which they ceased collectively to beneficially own specified percentages of the outstanding shares of Common Stock (Articles V, VII and VIII). The Majority Voting Amendment would also change references to the “Amended and Restated Certificate of Incorporation” to references to the “Second Amended and Restated Certificate of Incorporation” (Articles IV, VIII, XI and XII).</w:t>
      </w:r>
    </w:p>
    <w:p>
      <w:pPr>
        <w:spacing w:after="0" w:line="68" w:lineRule="exact"/>
        <w:rPr>
          <w:sz w:val="20"/>
          <w:szCs w:val="20"/>
          <w:color w:val="auto"/>
        </w:rPr>
      </w:pPr>
    </w:p>
    <w:p>
      <w:pPr>
        <w:ind w:left="620" w:right="180"/>
        <w:spacing w:after="0" w:line="258" w:lineRule="auto"/>
        <w:rPr>
          <w:sz w:val="20"/>
          <w:szCs w:val="20"/>
          <w:color w:val="auto"/>
        </w:rPr>
      </w:pPr>
      <w:r>
        <w:rPr>
          <w:rFonts w:ascii="Arial" w:cs="Arial" w:eastAsia="Arial" w:hAnsi="Arial"/>
          <w:sz w:val="15"/>
          <w:szCs w:val="15"/>
          <w:color w:val="auto"/>
        </w:rPr>
        <w:t>This general description of the Majority Voting Amendment is qualified in its entirety by reference to the complete text of the Majority Voting Amendment, which is incorporated herein by reference and consists of all of the changes shown in Appendix B other than the changes to Article VI and Article X, which are discussed separately in Proposal 5 and Proposal 6 below. In Appendix B, additions are indicated by bold and underlined text, and deletions are indicated in bold and strike-through text.</w:t>
      </w:r>
    </w:p>
    <w:p>
      <w:pPr>
        <w:spacing w:after="0" w:line="20" w:lineRule="exact"/>
        <w:rPr>
          <w:sz w:val="20"/>
          <w:szCs w:val="20"/>
          <w:color w:val="auto"/>
        </w:rPr>
      </w:pPr>
      <w:r>
        <w:rPr>
          <w:sz w:val="20"/>
          <w:szCs w:val="20"/>
          <w:color w:val="auto"/>
        </w:rPr>
        <w:br w:type="column"/>
      </w:r>
    </w:p>
    <w:p>
      <w:pPr>
        <w:spacing w:after="0" w:line="116" w:lineRule="exact"/>
        <w:rPr>
          <w:sz w:val="20"/>
          <w:szCs w:val="20"/>
          <w:color w:val="auto"/>
        </w:rPr>
      </w:pPr>
    </w:p>
    <w:p>
      <w:pPr>
        <w:ind w:left="140"/>
        <w:spacing w:after="0"/>
        <w:rPr>
          <w:sz w:val="20"/>
          <w:szCs w:val="20"/>
          <w:color w:val="auto"/>
        </w:rPr>
      </w:pPr>
      <w:r>
        <w:rPr>
          <w:rFonts w:ascii="Arial" w:cs="Arial" w:eastAsia="Arial" w:hAnsi="Arial"/>
          <w:sz w:val="12"/>
          <w:szCs w:val="12"/>
          <w:color w:val="FFFFFF"/>
        </w:rPr>
        <w:t>Pay Versus</w:t>
      </w:r>
    </w:p>
    <w:p>
      <w:pPr>
        <w:ind w:left="140"/>
        <w:spacing w:after="0" w:line="224" w:lineRule="auto"/>
        <w:rPr>
          <w:sz w:val="20"/>
          <w:szCs w:val="20"/>
          <w:color w:val="auto"/>
        </w:rPr>
      </w:pPr>
      <w:r>
        <w:rPr>
          <w:rFonts w:ascii="Arial" w:cs="Arial" w:eastAsia="Arial" w:hAnsi="Arial"/>
          <w:sz w:val="12"/>
          <w:szCs w:val="12"/>
          <w:color w:val="FFFFFF"/>
        </w:rPr>
        <w:t>Performance</w:t>
      </w:r>
    </w:p>
    <w:p>
      <w:pPr>
        <w:ind w:left="140"/>
        <w:spacing w:after="0"/>
        <w:rPr>
          <w:sz w:val="20"/>
          <w:szCs w:val="20"/>
          <w:color w:val="auto"/>
        </w:rPr>
      </w:pPr>
      <w:r>
        <w:rPr>
          <w:rFonts w:ascii="Arial" w:cs="Arial" w:eastAsia="Arial" w:hAnsi="Arial"/>
          <w:sz w:val="12"/>
          <w:szCs w:val="12"/>
          <w:color w:val="FFFFFF"/>
        </w:rPr>
        <w:t>Disclosure</w:t>
      </w:r>
    </w:p>
    <w:p>
      <w:pPr>
        <w:spacing w:after="0" w:line="144" w:lineRule="exact"/>
        <w:rPr>
          <w:sz w:val="20"/>
          <w:szCs w:val="20"/>
          <w:color w:val="auto"/>
        </w:rPr>
      </w:pPr>
    </w:p>
    <w:p>
      <w:pPr>
        <w:ind w:left="140"/>
        <w:spacing w:after="0"/>
        <w:rPr>
          <w:sz w:val="20"/>
          <w:szCs w:val="20"/>
          <w:color w:val="auto"/>
        </w:rPr>
      </w:pPr>
      <w:r>
        <w:rPr>
          <w:rFonts w:ascii="Arial" w:cs="Arial" w:eastAsia="Arial" w:hAnsi="Arial"/>
          <w:sz w:val="12"/>
          <w:szCs w:val="12"/>
          <w:color w:val="FFFFFF"/>
        </w:rPr>
        <w:t>Security</w:t>
      </w:r>
    </w:p>
    <w:p>
      <w:pPr>
        <w:ind w:left="140"/>
        <w:spacing w:after="0" w:line="224" w:lineRule="auto"/>
        <w:rPr>
          <w:sz w:val="20"/>
          <w:szCs w:val="20"/>
          <w:color w:val="auto"/>
        </w:rPr>
      </w:pPr>
      <w:r>
        <w:rPr>
          <w:rFonts w:ascii="Arial" w:cs="Arial" w:eastAsia="Arial" w:hAnsi="Arial"/>
          <w:sz w:val="12"/>
          <w:szCs w:val="12"/>
          <w:color w:val="FFFFFF"/>
        </w:rPr>
        <w:t>Ownership of</w:t>
      </w:r>
    </w:p>
    <w:p>
      <w:pPr>
        <w:ind w:left="140"/>
        <w:spacing w:after="0" w:line="222" w:lineRule="auto"/>
        <w:rPr>
          <w:sz w:val="20"/>
          <w:szCs w:val="20"/>
          <w:color w:val="auto"/>
        </w:rPr>
      </w:pPr>
      <w:r>
        <w:rPr>
          <w:rFonts w:ascii="Arial" w:cs="Arial" w:eastAsia="Arial" w:hAnsi="Arial"/>
          <w:sz w:val="12"/>
          <w:szCs w:val="12"/>
          <w:color w:val="FFFFFF"/>
        </w:rPr>
        <w:t>Certain Beneficial</w:t>
      </w:r>
    </w:p>
    <w:p>
      <w:pPr>
        <w:ind w:left="140"/>
        <w:spacing w:after="0" w:line="222" w:lineRule="auto"/>
        <w:rPr>
          <w:sz w:val="20"/>
          <w:szCs w:val="20"/>
          <w:color w:val="auto"/>
        </w:rPr>
      </w:pPr>
      <w:r>
        <w:rPr>
          <w:rFonts w:ascii="Arial" w:cs="Arial" w:eastAsia="Arial" w:hAnsi="Arial"/>
          <w:sz w:val="12"/>
          <w:szCs w:val="12"/>
          <w:color w:val="FFFFFF"/>
        </w:rPr>
        <w:t>Owners and</w:t>
      </w:r>
    </w:p>
    <w:p>
      <w:pPr>
        <w:ind w:left="140"/>
        <w:spacing w:after="0"/>
        <w:rPr>
          <w:sz w:val="20"/>
          <w:szCs w:val="20"/>
          <w:color w:val="auto"/>
        </w:rPr>
      </w:pPr>
      <w:r>
        <w:rPr>
          <w:rFonts w:ascii="Arial" w:cs="Arial" w:eastAsia="Arial" w:hAnsi="Arial"/>
          <w:sz w:val="12"/>
          <w:szCs w:val="12"/>
          <w:color w:val="FFFFFF"/>
        </w:rPr>
        <w:t>Management</w:t>
      </w:r>
    </w:p>
    <w:p>
      <w:pPr>
        <w:spacing w:after="0" w:line="144" w:lineRule="exact"/>
        <w:rPr>
          <w:sz w:val="20"/>
          <w:szCs w:val="20"/>
          <w:color w:val="auto"/>
        </w:rPr>
      </w:pPr>
    </w:p>
    <w:p>
      <w:pPr>
        <w:ind w:left="140"/>
        <w:spacing w:after="0"/>
        <w:rPr>
          <w:sz w:val="20"/>
          <w:szCs w:val="20"/>
          <w:color w:val="auto"/>
        </w:rPr>
      </w:pPr>
      <w:r>
        <w:rPr>
          <w:rFonts w:ascii="Arial" w:cs="Arial" w:eastAsia="Arial" w:hAnsi="Arial"/>
          <w:sz w:val="12"/>
          <w:szCs w:val="12"/>
          <w:color w:val="FFFFFF"/>
        </w:rPr>
        <w:t>Certain</w:t>
      </w:r>
    </w:p>
    <w:p>
      <w:pPr>
        <w:ind w:left="140"/>
        <w:spacing w:after="0" w:line="224" w:lineRule="auto"/>
        <w:rPr>
          <w:sz w:val="20"/>
          <w:szCs w:val="20"/>
          <w:color w:val="auto"/>
        </w:rPr>
      </w:pPr>
      <w:r>
        <w:rPr>
          <w:rFonts w:ascii="Arial" w:cs="Arial" w:eastAsia="Arial" w:hAnsi="Arial"/>
          <w:sz w:val="12"/>
          <w:szCs w:val="12"/>
          <w:color w:val="FFFFFF"/>
        </w:rPr>
        <w:t>Relationships and</w:t>
      </w:r>
    </w:p>
    <w:p>
      <w:pPr>
        <w:ind w:left="140"/>
        <w:spacing w:after="0" w:line="222" w:lineRule="auto"/>
        <w:rPr>
          <w:sz w:val="20"/>
          <w:szCs w:val="20"/>
          <w:color w:val="auto"/>
        </w:rPr>
      </w:pPr>
      <w:r>
        <w:rPr>
          <w:rFonts w:ascii="Arial" w:cs="Arial" w:eastAsia="Arial" w:hAnsi="Arial"/>
          <w:sz w:val="12"/>
          <w:szCs w:val="12"/>
          <w:color w:val="FFFFFF"/>
        </w:rPr>
        <w:t>Related Party</w:t>
      </w:r>
    </w:p>
    <w:p>
      <w:pPr>
        <w:ind w:left="140"/>
        <w:spacing w:after="0"/>
        <w:rPr>
          <w:sz w:val="20"/>
          <w:szCs w:val="20"/>
          <w:color w:val="auto"/>
        </w:rPr>
      </w:pPr>
      <w:r>
        <w:rPr>
          <w:rFonts w:ascii="Arial" w:cs="Arial" w:eastAsia="Arial" w:hAnsi="Arial"/>
          <w:sz w:val="12"/>
          <w:szCs w:val="12"/>
          <w:color w:val="FFFFFF"/>
        </w:rPr>
        <w:t>Transactions</w:t>
      </w:r>
    </w:p>
    <w:p>
      <w:pPr>
        <w:spacing w:after="0" w:line="144" w:lineRule="exact"/>
        <w:rPr>
          <w:sz w:val="20"/>
          <w:szCs w:val="20"/>
          <w:color w:val="auto"/>
        </w:rPr>
      </w:pPr>
    </w:p>
    <w:p>
      <w:pPr>
        <w:ind w:left="140"/>
        <w:spacing w:after="0"/>
        <w:rPr>
          <w:sz w:val="20"/>
          <w:szCs w:val="20"/>
          <w:color w:val="auto"/>
        </w:rPr>
      </w:pPr>
      <w:r>
        <w:rPr>
          <w:rFonts w:ascii="Arial" w:cs="Arial" w:eastAsia="Arial" w:hAnsi="Arial"/>
          <w:sz w:val="12"/>
          <w:szCs w:val="12"/>
          <w:color w:val="FFFFFF"/>
        </w:rPr>
        <w:t>Proposal 2</w:t>
      </w:r>
    </w:p>
    <w:p>
      <w:pPr>
        <w:spacing w:after="0" w:line="156" w:lineRule="exact"/>
        <w:rPr>
          <w:sz w:val="20"/>
          <w:szCs w:val="20"/>
          <w:color w:val="auto"/>
        </w:rPr>
      </w:pPr>
    </w:p>
    <w:p>
      <w:pPr>
        <w:ind w:left="140"/>
        <w:spacing w:after="0"/>
        <w:rPr>
          <w:sz w:val="20"/>
          <w:szCs w:val="20"/>
          <w:color w:val="auto"/>
        </w:rPr>
      </w:pPr>
      <w:r>
        <w:rPr>
          <w:rFonts w:ascii="Arial" w:cs="Arial" w:eastAsia="Arial" w:hAnsi="Arial"/>
          <w:sz w:val="12"/>
          <w:szCs w:val="12"/>
          <w:color w:val="FFFFFF"/>
        </w:rPr>
        <w:t>Report of the</w:t>
      </w:r>
    </w:p>
    <w:p>
      <w:pPr>
        <w:ind w:left="140"/>
        <w:spacing w:after="0" w:line="224" w:lineRule="auto"/>
        <w:rPr>
          <w:sz w:val="20"/>
          <w:szCs w:val="20"/>
          <w:color w:val="auto"/>
        </w:rPr>
      </w:pPr>
      <w:r>
        <w:rPr>
          <w:rFonts w:ascii="Arial" w:cs="Arial" w:eastAsia="Arial" w:hAnsi="Arial"/>
          <w:sz w:val="12"/>
          <w:szCs w:val="12"/>
          <w:color w:val="FFFFFF"/>
        </w:rPr>
        <w:t>Audit and Risk</w:t>
      </w:r>
    </w:p>
    <w:p>
      <w:pPr>
        <w:ind w:left="140"/>
        <w:spacing w:after="0" w:line="222" w:lineRule="auto"/>
        <w:rPr>
          <w:sz w:val="20"/>
          <w:szCs w:val="20"/>
          <w:color w:val="auto"/>
        </w:rPr>
      </w:pPr>
      <w:r>
        <w:rPr>
          <w:rFonts w:ascii="Arial" w:cs="Arial" w:eastAsia="Arial" w:hAnsi="Arial"/>
          <w:sz w:val="12"/>
          <w:szCs w:val="12"/>
          <w:color w:val="FFFFFF"/>
        </w:rPr>
        <w:t>Committee of the</w:t>
      </w:r>
    </w:p>
    <w:p>
      <w:pPr>
        <w:ind w:left="140"/>
        <w:spacing w:after="0"/>
        <w:rPr>
          <w:sz w:val="20"/>
          <w:szCs w:val="20"/>
          <w:color w:val="auto"/>
        </w:rPr>
      </w:pPr>
      <w:r>
        <w:rPr>
          <w:rFonts w:ascii="Arial" w:cs="Arial" w:eastAsia="Arial" w:hAnsi="Arial"/>
          <w:sz w:val="11"/>
          <w:szCs w:val="11"/>
          <w:color w:val="FFFFFF"/>
        </w:rPr>
        <w:t>Board of Directors</w:t>
      </w:r>
    </w:p>
    <w:p>
      <w:pPr>
        <w:spacing w:after="0" w:line="155" w:lineRule="exact"/>
        <w:rPr>
          <w:sz w:val="20"/>
          <w:szCs w:val="20"/>
          <w:color w:val="auto"/>
        </w:rPr>
      </w:pPr>
    </w:p>
    <w:p>
      <w:pPr>
        <w:ind w:left="140"/>
        <w:spacing w:after="0"/>
        <w:rPr>
          <w:sz w:val="20"/>
          <w:szCs w:val="20"/>
          <w:color w:val="auto"/>
        </w:rPr>
      </w:pPr>
      <w:r>
        <w:rPr>
          <w:rFonts w:ascii="Arial" w:cs="Arial" w:eastAsia="Arial" w:hAnsi="Arial"/>
          <w:sz w:val="12"/>
          <w:szCs w:val="12"/>
          <w:color w:val="FFFFFF"/>
        </w:rPr>
        <w:t>Proposal 3</w:t>
      </w:r>
    </w:p>
    <w:p>
      <w:pPr>
        <w:spacing w:after="0" w:line="156" w:lineRule="exact"/>
        <w:rPr>
          <w:sz w:val="20"/>
          <w:szCs w:val="20"/>
          <w:color w:val="auto"/>
        </w:rPr>
      </w:pPr>
    </w:p>
    <w:p>
      <w:pPr>
        <w:jc w:val="right"/>
        <w:ind w:right="960"/>
        <w:spacing w:after="0"/>
        <w:rPr>
          <w:sz w:val="20"/>
          <w:szCs w:val="20"/>
          <w:color w:val="auto"/>
        </w:rPr>
      </w:pPr>
      <w:r>
        <w:rPr>
          <w:sz w:val="1"/>
          <w:szCs w:val="1"/>
          <w:color w:val="auto"/>
        </w:rPr>
        <w:drawing>
          <wp:inline distT="0" distB="0" distL="0" distR="0">
            <wp:extent cx="56515" cy="88900"/>
            <wp:effectExtent l="0" t="0" r="0" b="0"/>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56515" cy="88900"/>
                    </a:xfrm>
                    <a:prstGeom prst="rect">
                      <a:avLst/>
                    </a:prstGeom>
                    <a:noFill/>
                    <a:ln>
                      <a:noFill/>
                    </a:ln>
                  </pic:spPr>
                </pic:pic>
              </a:graphicData>
            </a:graphic>
          </wp:inline>
        </w:drawing>
      </w:r>
      <w:r>
        <w:rPr>
          <w:rFonts w:ascii="Arial" w:cs="Arial" w:eastAsia="Arial" w:hAnsi="Arial"/>
          <w:sz w:val="11"/>
          <w:szCs w:val="11"/>
          <w:b w:val="1"/>
          <w:bCs w:val="1"/>
          <w:color w:val="FFFFFF"/>
        </w:rPr>
        <w:t xml:space="preserve"> Proposal 4</w:t>
      </w:r>
    </w:p>
    <w:p>
      <w:pPr>
        <w:spacing w:after="0" w:line="130" w:lineRule="exact"/>
        <w:rPr>
          <w:sz w:val="20"/>
          <w:szCs w:val="20"/>
          <w:color w:val="auto"/>
        </w:rPr>
      </w:pPr>
    </w:p>
    <w:p>
      <w:pPr>
        <w:jc w:val="right"/>
        <w:ind w:right="1000"/>
        <w:spacing w:after="0"/>
        <w:rPr>
          <w:sz w:val="20"/>
          <w:szCs w:val="20"/>
          <w:color w:val="auto"/>
        </w:rPr>
      </w:pPr>
      <w:r>
        <w:rPr>
          <w:rFonts w:ascii="Arial" w:cs="Arial" w:eastAsia="Arial" w:hAnsi="Arial"/>
          <w:sz w:val="12"/>
          <w:szCs w:val="12"/>
          <w:color w:val="FFFFFF"/>
        </w:rPr>
        <w:t>Proposal 5</w:t>
      </w:r>
    </w:p>
    <w:p>
      <w:pPr>
        <w:spacing w:after="0" w:line="156" w:lineRule="exact"/>
        <w:rPr>
          <w:sz w:val="20"/>
          <w:szCs w:val="20"/>
          <w:color w:val="auto"/>
        </w:rPr>
      </w:pPr>
    </w:p>
    <w:p>
      <w:pPr>
        <w:ind w:left="140"/>
        <w:spacing w:after="0"/>
        <w:rPr>
          <w:sz w:val="20"/>
          <w:szCs w:val="20"/>
          <w:color w:val="auto"/>
        </w:rPr>
      </w:pPr>
      <w:r>
        <w:rPr>
          <w:rFonts w:ascii="Arial" w:cs="Arial" w:eastAsia="Arial" w:hAnsi="Arial"/>
          <w:sz w:val="12"/>
          <w:szCs w:val="12"/>
          <w:color w:val="FFFFFF"/>
        </w:rPr>
        <w:t>Proposal 6</w:t>
      </w:r>
    </w:p>
    <w:p>
      <w:pPr>
        <w:spacing w:after="0" w:line="156" w:lineRule="exact"/>
        <w:rPr>
          <w:sz w:val="20"/>
          <w:szCs w:val="20"/>
          <w:color w:val="auto"/>
        </w:rPr>
      </w:pPr>
    </w:p>
    <w:p>
      <w:pPr>
        <w:ind w:left="140"/>
        <w:spacing w:after="0"/>
        <w:rPr>
          <w:sz w:val="20"/>
          <w:szCs w:val="20"/>
          <w:color w:val="auto"/>
        </w:rPr>
      </w:pPr>
      <w:r>
        <w:rPr>
          <w:rFonts w:ascii="Arial" w:cs="Arial" w:eastAsia="Arial" w:hAnsi="Arial"/>
          <w:sz w:val="12"/>
          <w:szCs w:val="12"/>
          <w:color w:val="FFFFFF"/>
        </w:rPr>
        <w:t>Stockholder</w:t>
      </w:r>
    </w:p>
    <w:p>
      <w:pPr>
        <w:ind w:left="140"/>
        <w:spacing w:after="0" w:line="224" w:lineRule="auto"/>
        <w:rPr>
          <w:sz w:val="20"/>
          <w:szCs w:val="20"/>
          <w:color w:val="auto"/>
        </w:rPr>
      </w:pPr>
      <w:r>
        <w:rPr>
          <w:rFonts w:ascii="Arial" w:cs="Arial" w:eastAsia="Arial" w:hAnsi="Arial"/>
          <w:sz w:val="12"/>
          <w:szCs w:val="12"/>
          <w:color w:val="FFFFFF"/>
        </w:rPr>
        <w:t>Proposals and</w:t>
      </w:r>
    </w:p>
    <w:p>
      <w:pPr>
        <w:ind w:left="140"/>
        <w:spacing w:after="0"/>
        <w:rPr>
          <w:sz w:val="20"/>
          <w:szCs w:val="20"/>
          <w:color w:val="auto"/>
        </w:rPr>
      </w:pPr>
      <w:r>
        <w:rPr>
          <w:rFonts w:ascii="Arial" w:cs="Arial" w:eastAsia="Arial" w:hAnsi="Arial"/>
          <w:sz w:val="12"/>
          <w:szCs w:val="12"/>
          <w:color w:val="FFFFFF"/>
        </w:rPr>
        <w:t>Other Matters</w:t>
      </w:r>
    </w:p>
    <w:p>
      <w:pPr>
        <w:spacing w:after="0" w:line="144" w:lineRule="exact"/>
        <w:rPr>
          <w:sz w:val="20"/>
          <w:szCs w:val="20"/>
          <w:color w:val="auto"/>
        </w:rPr>
      </w:pPr>
    </w:p>
    <w:p>
      <w:pPr>
        <w:ind w:left="140"/>
        <w:spacing w:after="0"/>
        <w:rPr>
          <w:sz w:val="20"/>
          <w:szCs w:val="20"/>
          <w:color w:val="auto"/>
        </w:rPr>
      </w:pPr>
      <w:r>
        <w:rPr>
          <w:rFonts w:ascii="Arial" w:cs="Arial" w:eastAsia="Arial" w:hAnsi="Arial"/>
          <w:sz w:val="12"/>
          <w:szCs w:val="12"/>
          <w:color w:val="FFFFFF"/>
        </w:rPr>
        <w:t>Delinquent</w:t>
      </w:r>
    </w:p>
    <w:p>
      <w:pPr>
        <w:ind w:left="140"/>
        <w:spacing w:after="0" w:line="224" w:lineRule="auto"/>
        <w:rPr>
          <w:sz w:val="20"/>
          <w:szCs w:val="20"/>
          <w:color w:val="auto"/>
        </w:rPr>
      </w:pPr>
      <w:r>
        <w:rPr>
          <w:rFonts w:ascii="Arial" w:cs="Arial" w:eastAsia="Arial" w:hAnsi="Arial"/>
          <w:sz w:val="12"/>
          <w:szCs w:val="12"/>
          <w:color w:val="FFFFFF"/>
        </w:rPr>
        <w:t>Section 16(a)</w:t>
      </w:r>
    </w:p>
    <w:p>
      <w:pPr>
        <w:ind w:left="140"/>
        <w:spacing w:after="0"/>
        <w:rPr>
          <w:sz w:val="20"/>
          <w:szCs w:val="20"/>
          <w:color w:val="auto"/>
        </w:rPr>
      </w:pPr>
      <w:r>
        <w:rPr>
          <w:rFonts w:ascii="Arial" w:cs="Arial" w:eastAsia="Arial" w:hAnsi="Arial"/>
          <w:sz w:val="12"/>
          <w:szCs w:val="12"/>
          <w:color w:val="FFFFFF"/>
        </w:rPr>
        <w:t>Reports</w:t>
      </w:r>
    </w:p>
    <w:p>
      <w:pPr>
        <w:spacing w:after="0" w:line="144" w:lineRule="exact"/>
        <w:rPr>
          <w:sz w:val="20"/>
          <w:szCs w:val="20"/>
          <w:color w:val="auto"/>
        </w:rPr>
      </w:pPr>
    </w:p>
    <w:p>
      <w:pPr>
        <w:ind w:left="140"/>
        <w:spacing w:after="0"/>
        <w:rPr>
          <w:sz w:val="20"/>
          <w:szCs w:val="20"/>
          <w:color w:val="auto"/>
        </w:rPr>
      </w:pPr>
      <w:r>
        <w:rPr>
          <w:rFonts w:ascii="Arial" w:cs="Arial" w:eastAsia="Arial" w:hAnsi="Arial"/>
          <w:sz w:val="12"/>
          <w:szCs w:val="12"/>
          <w:color w:val="FFFFFF"/>
        </w:rPr>
        <w:t>Other</w:t>
      </w:r>
    </w:p>
    <w:p>
      <w:pPr>
        <w:spacing w:after="0" w:line="2" w:lineRule="exact"/>
        <w:rPr>
          <w:sz w:val="20"/>
          <w:szCs w:val="20"/>
          <w:color w:val="auto"/>
        </w:rPr>
      </w:pPr>
    </w:p>
    <w:p>
      <w:pPr>
        <w:ind w:left="140"/>
        <w:spacing w:after="0"/>
        <w:rPr>
          <w:sz w:val="20"/>
          <w:szCs w:val="20"/>
          <w:color w:val="auto"/>
        </w:rPr>
      </w:pPr>
      <w:r>
        <w:rPr>
          <w:rFonts w:ascii="Arial" w:cs="Arial" w:eastAsia="Arial" w:hAnsi="Arial"/>
          <w:sz w:val="12"/>
          <w:szCs w:val="12"/>
          <w:color w:val="FFFFFF"/>
        </w:rPr>
        <w:t>Information</w:t>
      </w:r>
    </w:p>
    <w:p>
      <w:pPr>
        <w:spacing w:after="0" w:line="144" w:lineRule="exact"/>
        <w:rPr>
          <w:sz w:val="20"/>
          <w:szCs w:val="20"/>
          <w:color w:val="auto"/>
        </w:rPr>
      </w:pPr>
    </w:p>
    <w:p>
      <w:pPr>
        <w:ind w:left="140"/>
        <w:spacing w:after="0"/>
        <w:rPr>
          <w:sz w:val="20"/>
          <w:szCs w:val="20"/>
          <w:color w:val="auto"/>
        </w:rPr>
      </w:pPr>
      <w:r>
        <w:rPr>
          <w:rFonts w:ascii="Arial" w:cs="Arial" w:eastAsia="Arial" w:hAnsi="Arial"/>
          <w:sz w:val="12"/>
          <w:szCs w:val="12"/>
          <w:color w:val="FFFFFF"/>
        </w:rPr>
        <w:t>Appendix A</w:t>
      </w:r>
    </w:p>
    <w:p>
      <w:pPr>
        <w:spacing w:after="0" w:line="156" w:lineRule="exact"/>
        <w:rPr>
          <w:sz w:val="20"/>
          <w:szCs w:val="20"/>
          <w:color w:val="auto"/>
        </w:rPr>
      </w:pPr>
    </w:p>
    <w:p>
      <w:pPr>
        <w:ind w:left="140"/>
        <w:spacing w:after="0"/>
        <w:rPr>
          <w:sz w:val="20"/>
          <w:szCs w:val="20"/>
          <w:color w:val="auto"/>
        </w:rPr>
      </w:pPr>
      <w:r>
        <w:rPr>
          <w:rFonts w:ascii="Arial" w:cs="Arial" w:eastAsia="Arial" w:hAnsi="Arial"/>
          <w:sz w:val="12"/>
          <w:szCs w:val="12"/>
          <w:color w:val="FFFFFF"/>
        </w:rPr>
        <w:t>Appendix B</w:t>
      </w:r>
    </w:p>
    <w:p>
      <w:pPr>
        <w:spacing w:after="0" w:line="200" w:lineRule="exact"/>
        <w:rPr>
          <w:sz w:val="20"/>
          <w:szCs w:val="20"/>
          <w:color w:val="auto"/>
        </w:rPr>
      </w:pPr>
    </w:p>
    <w:p>
      <w:pPr>
        <w:sectPr>
          <w:pgSz w:w="11900" w:h="16838" w:orient="portrait"/>
          <w:cols w:equalWidth="0" w:num="2">
            <w:col w:w="8420" w:space="660"/>
            <w:col w:w="1720"/>
          </w:cols>
          <w:pgMar w:left="320" w:top="464" w:right="7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6380"/>
        <w:spacing w:after="0"/>
        <w:tabs>
          <w:tab w:leader="none" w:pos="8500" w:val="left"/>
          <w:tab w:leader="none" w:pos="9960" w:val="left"/>
        </w:tabs>
        <w:rPr>
          <w:sz w:val="20"/>
          <w:szCs w:val="20"/>
          <w:color w:val="auto"/>
        </w:rPr>
      </w:pPr>
      <w:r>
        <w:rPr>
          <w:rFonts w:ascii="Arial" w:cs="Arial" w:eastAsia="Arial" w:hAnsi="Arial"/>
          <w:sz w:val="15"/>
          <w:szCs w:val="15"/>
          <w:b w:val="1"/>
          <w:bCs w:val="1"/>
          <w:color w:val="002B5F"/>
        </w:rPr>
        <w:t xml:space="preserve">2026 Proxy Statement  </w:t>
      </w:r>
      <w:r>
        <w:rPr>
          <w:rFonts w:ascii="Arial" w:cs="Arial" w:eastAsia="Arial" w:hAnsi="Arial"/>
          <w:sz w:val="20"/>
          <w:szCs w:val="20"/>
          <w:color w:val="002B5F"/>
        </w:rPr>
        <w:t>|</w:t>
      </w:r>
      <w:r>
        <w:rPr>
          <w:rFonts w:ascii="Arial" w:cs="Arial" w:eastAsia="Arial" w:hAnsi="Arial"/>
          <w:sz w:val="15"/>
          <w:szCs w:val="15"/>
          <w:b w:val="1"/>
          <w:bCs w:val="1"/>
          <w:color w:val="002B5F"/>
        </w:rPr>
        <w:t xml:space="preserve">  87</w:t>
      </w:r>
      <w:r>
        <w:rPr>
          <w:sz w:val="20"/>
          <w:szCs w:val="20"/>
          <w:color w:val="auto"/>
        </w:rPr>
        <w:tab/>
      </w:r>
      <w:r>
        <w:rPr>
          <w:rFonts w:ascii="Arial" w:cs="Arial" w:eastAsia="Arial" w:hAnsi="Arial"/>
          <w:sz w:val="17"/>
          <w:szCs w:val="17"/>
          <w:color w:val="auto"/>
        </w:rPr>
        <w:t xml:space="preserve">    </w:t>
      </w:r>
      <w:r>
        <w:rPr>
          <w:sz w:val="20"/>
          <w:szCs w:val="20"/>
          <w:color w:val="auto"/>
        </w:rPr>
        <w:tab/>
      </w:r>
      <w:r>
        <w:rPr>
          <w:rFonts w:ascii="Arial" w:cs="Arial" w:eastAsia="Arial" w:hAnsi="Arial"/>
          <w:sz w:val="17"/>
          <w:szCs w:val="17"/>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268605</wp:posOffset>
            </wp:positionH>
            <wp:positionV relativeFrom="paragraph">
              <wp:posOffset>-128905</wp:posOffset>
            </wp:positionV>
            <wp:extent cx="762000" cy="971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62000" cy="97155"/>
                    </a:xfrm>
                    <a:prstGeom prst="rect">
                      <a:avLst/>
                    </a:prstGeom>
                    <a:noFill/>
                  </pic:spPr>
                </pic:pic>
              </a:graphicData>
            </a:graphic>
          </wp:anchor>
        </w:drawing>
      </w:r>
    </w:p>
    <w:p>
      <w:pPr>
        <w:sectPr>
          <w:pgSz w:w="11900" w:h="16838" w:orient="portrait"/>
          <w:cols w:equalWidth="0" w:num="1">
            <w:col w:w="10800"/>
          </w:cols>
          <w:pgMar w:left="320" w:top="464" w:right="779" w:bottom="1440" w:gutter="0" w:footer="0" w:header="0"/>
          <w:type w:val="continuous"/>
        </w:sectPr>
      </w:pPr>
    </w:p>
    <w:bookmarkStart w:id="95" w:name="page96"/>
    <w:bookmarkEnd w:id="95"/>
    <w:p>
      <w:pPr>
        <w:spacing w:after="0"/>
        <w:rPr>
          <w:sz w:val="20"/>
          <w:szCs w:val="20"/>
          <w:color w:val="auto"/>
        </w:rPr>
      </w:pPr>
      <w:r>
        <w:rPr>
          <w:rFonts w:ascii="Times New Roman" w:cs="Times New Roman" w:eastAsia="Times New Roman" w:hAnsi="Times New Roman"/>
          <w:sz w:val="17"/>
          <w:szCs w:val="17"/>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268605</wp:posOffset>
            </wp:positionH>
            <wp:positionV relativeFrom="paragraph">
              <wp:posOffset>253365</wp:posOffset>
            </wp:positionV>
            <wp:extent cx="1183005" cy="76663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1183005" cy="7666355"/>
                    </a:xfrm>
                    <a:prstGeom prst="rect">
                      <a:avLst/>
                    </a:prstGeom>
                    <a:noFill/>
                  </pic:spPr>
                </pic:pic>
              </a:graphicData>
            </a:graphic>
          </wp:anchor>
        </w:drawing>
      </w:r>
    </w:p>
    <w:p>
      <w:pPr>
        <w:spacing w:after="0" w:line="200" w:lineRule="exact"/>
        <w:rPr>
          <w:sz w:val="20"/>
          <w:szCs w:val="20"/>
          <w:color w:val="auto"/>
        </w:rPr>
      </w:pPr>
    </w:p>
    <w:p>
      <w:pPr>
        <w:spacing w:after="0" w:line="304" w:lineRule="exact"/>
        <w:rPr>
          <w:sz w:val="20"/>
          <w:szCs w:val="20"/>
          <w:color w:val="auto"/>
        </w:rPr>
      </w:pPr>
    </w:p>
    <w:p>
      <w:pPr>
        <w:ind w:left="1120" w:right="460" w:hanging="672"/>
        <w:spacing w:after="0" w:line="382" w:lineRule="auto"/>
        <w:tabs>
          <w:tab w:leader="none" w:pos="610" w:val="left"/>
        </w:tabs>
        <w:numPr>
          <w:ilvl w:val="0"/>
          <w:numId w:val="132"/>
        </w:numPr>
        <w:rPr>
          <w:rFonts w:ascii="Arial" w:cs="Arial" w:eastAsia="Arial" w:hAnsi="Arial"/>
          <w:sz w:val="24"/>
          <w:szCs w:val="24"/>
          <w:color w:val="auto"/>
          <w:vertAlign w:val="subscript"/>
        </w:rPr>
      </w:pPr>
      <w:r>
        <w:rPr>
          <w:rFonts w:ascii="Arial" w:cs="Arial" w:eastAsia="Arial" w:hAnsi="Arial"/>
          <w:sz w:val="24"/>
          <w:szCs w:val="24"/>
          <w:color w:val="000000"/>
          <w:vertAlign w:val="subscript"/>
        </w:rPr>
        <w:t xml:space="preserve">     </w:t>
      </w:r>
      <w:r>
        <w:rPr>
          <w:rFonts w:ascii="Arial" w:cs="Arial" w:eastAsia="Arial" w:hAnsi="Arial"/>
          <w:sz w:val="10"/>
          <w:szCs w:val="10"/>
          <w:color w:val="FFFFFF"/>
        </w:rPr>
        <w:t xml:space="preserve"> General Information</w:t>
      </w:r>
    </w:p>
    <w:p>
      <w:pPr>
        <w:spacing w:after="0" w:line="1" w:lineRule="exact"/>
        <w:rPr>
          <w:sz w:val="20"/>
          <w:szCs w:val="20"/>
          <w:color w:val="auto"/>
        </w:rPr>
      </w:pPr>
    </w:p>
    <w:p>
      <w:pPr>
        <w:ind w:left="1120"/>
        <w:spacing w:after="0"/>
        <w:rPr>
          <w:sz w:val="20"/>
          <w:szCs w:val="20"/>
          <w:color w:val="auto"/>
        </w:rPr>
      </w:pPr>
      <w:r>
        <w:rPr>
          <w:rFonts w:ascii="Arial" w:cs="Arial" w:eastAsia="Arial" w:hAnsi="Arial"/>
          <w:sz w:val="11"/>
          <w:szCs w:val="11"/>
          <w:color w:val="FFFFFF"/>
        </w:rPr>
        <w:t>General Information</w:t>
      </w:r>
    </w:p>
    <w:p>
      <w:pPr>
        <w:spacing w:after="0" w:line="3"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About Corporate</w:t>
      </w:r>
    </w:p>
    <w:p>
      <w:pPr>
        <w:ind w:left="1120"/>
        <w:spacing w:after="0" w:line="221" w:lineRule="auto"/>
        <w:rPr>
          <w:sz w:val="20"/>
          <w:szCs w:val="20"/>
          <w:color w:val="auto"/>
        </w:rPr>
      </w:pPr>
      <w:r>
        <w:rPr>
          <w:rFonts w:ascii="Arial" w:cs="Arial" w:eastAsia="Arial" w:hAnsi="Arial"/>
          <w:sz w:val="12"/>
          <w:szCs w:val="12"/>
          <w:color w:val="FFFFFF"/>
        </w:rPr>
        <w:t>Governance</w:t>
      </w:r>
    </w:p>
    <w:p>
      <w:pPr>
        <w:ind w:left="1120"/>
        <w:spacing w:after="0" w:line="222" w:lineRule="auto"/>
        <w:rPr>
          <w:sz w:val="20"/>
          <w:szCs w:val="20"/>
          <w:color w:val="auto"/>
        </w:rPr>
      </w:pPr>
      <w:r>
        <w:rPr>
          <w:rFonts w:ascii="Arial" w:cs="Arial" w:eastAsia="Arial" w:hAnsi="Arial"/>
          <w:sz w:val="12"/>
          <w:szCs w:val="12"/>
          <w:color w:val="FFFFFF"/>
        </w:rPr>
        <w:t>and the Board of</w:t>
      </w:r>
    </w:p>
    <w:p>
      <w:pPr>
        <w:spacing w:after="0" w:line="1"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Directors</w:t>
      </w:r>
    </w:p>
    <w:p>
      <w:pPr>
        <w:spacing w:after="0" w:line="169" w:lineRule="exact"/>
        <w:rPr>
          <w:sz w:val="20"/>
          <w:szCs w:val="20"/>
          <w:color w:val="auto"/>
        </w:rPr>
      </w:pPr>
    </w:p>
    <w:p>
      <w:pPr>
        <w:jc w:val="center"/>
        <w:ind w:left="620"/>
        <w:spacing w:after="0"/>
        <w:rPr>
          <w:sz w:val="20"/>
          <w:szCs w:val="20"/>
          <w:color w:val="auto"/>
        </w:rPr>
      </w:pPr>
      <w:r>
        <w:rPr>
          <w:rFonts w:ascii="Arial" w:cs="Arial" w:eastAsia="Arial" w:hAnsi="Arial"/>
          <w:sz w:val="12"/>
          <w:szCs w:val="12"/>
          <w:color w:val="FFFFFF"/>
        </w:rPr>
        <w:t>Proposal 1</w:t>
      </w:r>
    </w:p>
    <w:p>
      <w:pPr>
        <w:spacing w:after="0" w:line="181"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Information</w:t>
      </w:r>
    </w:p>
    <w:p>
      <w:pPr>
        <w:ind w:left="1120"/>
        <w:spacing w:after="0" w:line="224" w:lineRule="auto"/>
        <w:rPr>
          <w:sz w:val="20"/>
          <w:szCs w:val="20"/>
          <w:color w:val="auto"/>
        </w:rPr>
      </w:pPr>
      <w:r>
        <w:rPr>
          <w:rFonts w:ascii="Arial" w:cs="Arial" w:eastAsia="Arial" w:hAnsi="Arial"/>
          <w:sz w:val="12"/>
          <w:szCs w:val="12"/>
          <w:color w:val="FFFFFF"/>
        </w:rPr>
        <w:t>Regarding Board</w:t>
      </w:r>
    </w:p>
    <w:p>
      <w:pPr>
        <w:ind w:left="1120"/>
        <w:spacing w:after="0" w:line="222" w:lineRule="auto"/>
        <w:rPr>
          <w:sz w:val="20"/>
          <w:szCs w:val="20"/>
          <w:color w:val="auto"/>
        </w:rPr>
      </w:pPr>
      <w:r>
        <w:rPr>
          <w:rFonts w:ascii="Arial" w:cs="Arial" w:eastAsia="Arial" w:hAnsi="Arial"/>
          <w:sz w:val="12"/>
          <w:szCs w:val="12"/>
          <w:color w:val="FFFFFF"/>
        </w:rPr>
        <w:t>and Committee</w:t>
      </w:r>
    </w:p>
    <w:p>
      <w:pPr>
        <w:ind w:left="1120"/>
        <w:spacing w:after="0"/>
        <w:rPr>
          <w:sz w:val="20"/>
          <w:szCs w:val="20"/>
          <w:color w:val="auto"/>
        </w:rPr>
      </w:pPr>
      <w:r>
        <w:rPr>
          <w:rFonts w:ascii="Arial" w:cs="Arial" w:eastAsia="Arial" w:hAnsi="Arial"/>
          <w:sz w:val="12"/>
          <w:szCs w:val="12"/>
          <w:color w:val="FFFFFF"/>
        </w:rPr>
        <w:t>Structure</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Board of Directors</w:t>
      </w:r>
    </w:p>
    <w:p>
      <w:pPr>
        <w:spacing w:after="0" w:line="2"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Compensation</w:t>
      </w:r>
    </w:p>
    <w:p>
      <w:pPr>
        <w:spacing w:after="0" w:line="169"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Compensation</w:t>
      </w:r>
    </w:p>
    <w:p>
      <w:pPr>
        <w:ind w:left="1120"/>
        <w:spacing w:after="0" w:line="224" w:lineRule="auto"/>
        <w:rPr>
          <w:sz w:val="20"/>
          <w:szCs w:val="20"/>
          <w:color w:val="auto"/>
        </w:rPr>
      </w:pPr>
      <w:r>
        <w:rPr>
          <w:rFonts w:ascii="Arial" w:cs="Arial" w:eastAsia="Arial" w:hAnsi="Arial"/>
          <w:sz w:val="12"/>
          <w:szCs w:val="12"/>
          <w:color w:val="FFFFFF"/>
        </w:rPr>
        <w:t>Discussion and</w:t>
      </w:r>
    </w:p>
    <w:p>
      <w:pPr>
        <w:ind w:left="1120"/>
        <w:spacing w:after="0"/>
        <w:rPr>
          <w:sz w:val="20"/>
          <w:szCs w:val="20"/>
          <w:color w:val="auto"/>
        </w:rPr>
      </w:pPr>
      <w:r>
        <w:rPr>
          <w:rFonts w:ascii="Arial" w:cs="Arial" w:eastAsia="Arial" w:hAnsi="Arial"/>
          <w:sz w:val="12"/>
          <w:szCs w:val="12"/>
          <w:color w:val="FFFFFF"/>
        </w:rPr>
        <w:t>Analysis</w:t>
      </w:r>
    </w:p>
    <w:p>
      <w:pPr>
        <w:spacing w:after="0" w:line="169"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Report of the</w:t>
      </w:r>
    </w:p>
    <w:p>
      <w:pPr>
        <w:ind w:left="1120"/>
        <w:spacing w:after="0" w:line="224" w:lineRule="auto"/>
        <w:rPr>
          <w:sz w:val="20"/>
          <w:szCs w:val="20"/>
          <w:color w:val="auto"/>
        </w:rPr>
      </w:pPr>
      <w:r>
        <w:rPr>
          <w:rFonts w:ascii="Arial" w:cs="Arial" w:eastAsia="Arial" w:hAnsi="Arial"/>
          <w:sz w:val="12"/>
          <w:szCs w:val="12"/>
          <w:color w:val="FFFFFF"/>
        </w:rPr>
        <w:t>Compensation</w:t>
      </w:r>
    </w:p>
    <w:p>
      <w:pPr>
        <w:ind w:left="1120"/>
        <w:spacing w:after="0" w:line="222" w:lineRule="auto"/>
        <w:rPr>
          <w:sz w:val="20"/>
          <w:szCs w:val="20"/>
          <w:color w:val="auto"/>
        </w:rPr>
      </w:pPr>
      <w:r>
        <w:rPr>
          <w:rFonts w:ascii="Arial" w:cs="Arial" w:eastAsia="Arial" w:hAnsi="Arial"/>
          <w:sz w:val="12"/>
          <w:szCs w:val="12"/>
          <w:color w:val="FFFFFF"/>
        </w:rPr>
        <w:t>and Human</w:t>
      </w:r>
    </w:p>
    <w:p>
      <w:pPr>
        <w:ind w:left="1120"/>
        <w:spacing w:after="0" w:line="222" w:lineRule="auto"/>
        <w:rPr>
          <w:sz w:val="20"/>
          <w:szCs w:val="20"/>
          <w:color w:val="auto"/>
        </w:rPr>
      </w:pPr>
      <w:r>
        <w:rPr>
          <w:rFonts w:ascii="Arial" w:cs="Arial" w:eastAsia="Arial" w:hAnsi="Arial"/>
          <w:sz w:val="12"/>
          <w:szCs w:val="12"/>
          <w:color w:val="FFFFFF"/>
        </w:rPr>
        <w:t>Resources</w:t>
      </w:r>
    </w:p>
    <w:p>
      <w:pPr>
        <w:ind w:left="1120"/>
        <w:spacing w:after="0" w:line="222" w:lineRule="auto"/>
        <w:rPr>
          <w:sz w:val="20"/>
          <w:szCs w:val="20"/>
          <w:color w:val="auto"/>
        </w:rPr>
      </w:pPr>
      <w:r>
        <w:rPr>
          <w:rFonts w:ascii="Arial" w:cs="Arial" w:eastAsia="Arial" w:hAnsi="Arial"/>
          <w:sz w:val="12"/>
          <w:szCs w:val="12"/>
          <w:color w:val="FFFFFF"/>
        </w:rPr>
        <w:t>Committee of the</w:t>
      </w:r>
    </w:p>
    <w:p>
      <w:pPr>
        <w:ind w:left="1120"/>
        <w:spacing w:after="0"/>
        <w:rPr>
          <w:sz w:val="20"/>
          <w:szCs w:val="20"/>
          <w:color w:val="auto"/>
        </w:rPr>
      </w:pPr>
      <w:r>
        <w:rPr>
          <w:rFonts w:ascii="Arial" w:cs="Arial" w:eastAsia="Arial" w:hAnsi="Arial"/>
          <w:sz w:val="12"/>
          <w:szCs w:val="12"/>
          <w:color w:val="FFFFFF"/>
        </w:rPr>
        <w:t>Board of Directors</w:t>
      </w:r>
    </w:p>
    <w:p>
      <w:pPr>
        <w:spacing w:after="0" w:line="169"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Compensation of</w:t>
      </w:r>
    </w:p>
    <w:p>
      <w:pPr>
        <w:ind w:left="1120"/>
        <w:spacing w:after="0" w:line="224" w:lineRule="auto"/>
        <w:rPr>
          <w:sz w:val="20"/>
          <w:szCs w:val="20"/>
          <w:color w:val="auto"/>
        </w:rPr>
      </w:pPr>
      <w:r>
        <w:rPr>
          <w:rFonts w:ascii="Arial" w:cs="Arial" w:eastAsia="Arial" w:hAnsi="Arial"/>
          <w:sz w:val="12"/>
          <w:szCs w:val="12"/>
          <w:color w:val="FFFFFF"/>
        </w:rPr>
        <w:t>Named Executive</w:t>
      </w:r>
    </w:p>
    <w:p>
      <w:pPr>
        <w:ind w:left="1120"/>
        <w:spacing w:after="0"/>
        <w:rPr>
          <w:sz w:val="20"/>
          <w:szCs w:val="20"/>
          <w:color w:val="auto"/>
        </w:rPr>
      </w:pPr>
      <w:r>
        <w:rPr>
          <w:rFonts w:ascii="Arial" w:cs="Arial" w:eastAsia="Arial" w:hAnsi="Arial"/>
          <w:sz w:val="12"/>
          <w:szCs w:val="12"/>
          <w:color w:val="FFFFFF"/>
        </w:rPr>
        <w:t>Officers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Pay Versus</w:t>
      </w:r>
    </w:p>
    <w:p>
      <w:pPr>
        <w:ind w:left="1120"/>
        <w:spacing w:after="0" w:line="224" w:lineRule="auto"/>
        <w:rPr>
          <w:sz w:val="20"/>
          <w:szCs w:val="20"/>
          <w:color w:val="auto"/>
        </w:rPr>
      </w:pPr>
      <w:r>
        <w:rPr>
          <w:rFonts w:ascii="Arial" w:cs="Arial" w:eastAsia="Arial" w:hAnsi="Arial"/>
          <w:sz w:val="12"/>
          <w:szCs w:val="12"/>
          <w:color w:val="FFFFFF"/>
        </w:rPr>
        <w:t>Performance</w:t>
      </w:r>
    </w:p>
    <w:p>
      <w:pPr>
        <w:ind w:left="1120"/>
        <w:spacing w:after="0"/>
        <w:rPr>
          <w:sz w:val="20"/>
          <w:szCs w:val="20"/>
          <w:color w:val="auto"/>
        </w:rPr>
      </w:pPr>
      <w:r>
        <w:rPr>
          <w:rFonts w:ascii="Arial" w:cs="Arial" w:eastAsia="Arial" w:hAnsi="Arial"/>
          <w:sz w:val="12"/>
          <w:szCs w:val="12"/>
          <w:color w:val="FFFFFF"/>
        </w:rPr>
        <w:t>Disclosure</w:t>
      </w:r>
    </w:p>
    <w:p>
      <w:pPr>
        <w:spacing w:after="0" w:line="169"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Security</w:t>
      </w:r>
    </w:p>
    <w:p>
      <w:pPr>
        <w:ind w:left="1120"/>
        <w:spacing w:after="0" w:line="224" w:lineRule="auto"/>
        <w:rPr>
          <w:sz w:val="20"/>
          <w:szCs w:val="20"/>
          <w:color w:val="auto"/>
        </w:rPr>
      </w:pPr>
      <w:r>
        <w:rPr>
          <w:rFonts w:ascii="Arial" w:cs="Arial" w:eastAsia="Arial" w:hAnsi="Arial"/>
          <w:sz w:val="12"/>
          <w:szCs w:val="12"/>
          <w:color w:val="FFFFFF"/>
        </w:rPr>
        <w:t>Ownership of</w:t>
      </w:r>
    </w:p>
    <w:p>
      <w:pPr>
        <w:ind w:left="1120"/>
        <w:spacing w:after="0" w:line="222" w:lineRule="auto"/>
        <w:rPr>
          <w:sz w:val="20"/>
          <w:szCs w:val="20"/>
          <w:color w:val="auto"/>
        </w:rPr>
      </w:pPr>
      <w:r>
        <w:rPr>
          <w:rFonts w:ascii="Arial" w:cs="Arial" w:eastAsia="Arial" w:hAnsi="Arial"/>
          <w:sz w:val="12"/>
          <w:szCs w:val="12"/>
          <w:color w:val="FFFFFF"/>
        </w:rPr>
        <w:t>Certain Beneficial</w:t>
      </w:r>
    </w:p>
    <w:p>
      <w:pPr>
        <w:ind w:left="1120"/>
        <w:spacing w:after="0" w:line="222" w:lineRule="auto"/>
        <w:rPr>
          <w:sz w:val="20"/>
          <w:szCs w:val="20"/>
          <w:color w:val="auto"/>
        </w:rPr>
      </w:pPr>
      <w:r>
        <w:rPr>
          <w:rFonts w:ascii="Arial" w:cs="Arial" w:eastAsia="Arial" w:hAnsi="Arial"/>
          <w:sz w:val="12"/>
          <w:szCs w:val="12"/>
          <w:color w:val="FFFFFF"/>
        </w:rPr>
        <w:t>Owners and</w:t>
      </w:r>
    </w:p>
    <w:p>
      <w:pPr>
        <w:ind w:left="1120"/>
        <w:spacing w:after="0"/>
        <w:rPr>
          <w:sz w:val="20"/>
          <w:szCs w:val="20"/>
          <w:color w:val="auto"/>
        </w:rPr>
      </w:pPr>
      <w:r>
        <w:rPr>
          <w:rFonts w:ascii="Arial" w:cs="Arial" w:eastAsia="Arial" w:hAnsi="Arial"/>
          <w:sz w:val="12"/>
          <w:szCs w:val="12"/>
          <w:color w:val="FFFFFF"/>
        </w:rPr>
        <w:t>Management</w:t>
      </w:r>
    </w:p>
    <w:p>
      <w:pPr>
        <w:spacing w:after="0" w:line="169"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Certain</w:t>
      </w:r>
    </w:p>
    <w:p>
      <w:pPr>
        <w:ind w:left="1120"/>
        <w:spacing w:after="0" w:line="224" w:lineRule="auto"/>
        <w:rPr>
          <w:sz w:val="20"/>
          <w:szCs w:val="20"/>
          <w:color w:val="auto"/>
        </w:rPr>
      </w:pPr>
      <w:r>
        <w:rPr>
          <w:rFonts w:ascii="Arial" w:cs="Arial" w:eastAsia="Arial" w:hAnsi="Arial"/>
          <w:sz w:val="12"/>
          <w:szCs w:val="12"/>
          <w:color w:val="FFFFFF"/>
        </w:rPr>
        <w:t>Relationships and</w:t>
      </w:r>
    </w:p>
    <w:p>
      <w:pPr>
        <w:ind w:left="1120"/>
        <w:spacing w:after="0" w:line="222" w:lineRule="auto"/>
        <w:rPr>
          <w:sz w:val="20"/>
          <w:szCs w:val="20"/>
          <w:color w:val="auto"/>
        </w:rPr>
      </w:pPr>
      <w:r>
        <w:rPr>
          <w:rFonts w:ascii="Arial" w:cs="Arial" w:eastAsia="Arial" w:hAnsi="Arial"/>
          <w:sz w:val="12"/>
          <w:szCs w:val="12"/>
          <w:color w:val="FFFFFF"/>
        </w:rPr>
        <w:t>Related Party</w:t>
      </w:r>
    </w:p>
    <w:p>
      <w:pPr>
        <w:ind w:left="1120"/>
        <w:spacing w:after="0"/>
        <w:rPr>
          <w:sz w:val="20"/>
          <w:szCs w:val="20"/>
          <w:color w:val="auto"/>
        </w:rPr>
      </w:pPr>
      <w:r>
        <w:rPr>
          <w:rFonts w:ascii="Arial" w:cs="Arial" w:eastAsia="Arial" w:hAnsi="Arial"/>
          <w:sz w:val="12"/>
          <w:szCs w:val="12"/>
          <w:color w:val="FFFFFF"/>
        </w:rPr>
        <w:t>Transactions</w:t>
      </w:r>
    </w:p>
    <w:p>
      <w:pPr>
        <w:spacing w:after="0" w:line="169"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Proposal 2</w:t>
      </w:r>
    </w:p>
    <w:p>
      <w:pPr>
        <w:spacing w:after="0" w:line="156"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Report of the</w:t>
      </w:r>
    </w:p>
    <w:p>
      <w:pPr>
        <w:ind w:left="1120"/>
        <w:spacing w:after="0" w:line="224" w:lineRule="auto"/>
        <w:rPr>
          <w:sz w:val="20"/>
          <w:szCs w:val="20"/>
          <w:color w:val="auto"/>
        </w:rPr>
      </w:pPr>
      <w:r>
        <w:rPr>
          <w:rFonts w:ascii="Arial" w:cs="Arial" w:eastAsia="Arial" w:hAnsi="Arial"/>
          <w:sz w:val="12"/>
          <w:szCs w:val="12"/>
          <w:color w:val="FFFFFF"/>
        </w:rPr>
        <w:t>Audit and Risk</w:t>
      </w:r>
    </w:p>
    <w:p>
      <w:pPr>
        <w:ind w:left="1120"/>
        <w:spacing w:after="0" w:line="222" w:lineRule="auto"/>
        <w:rPr>
          <w:sz w:val="20"/>
          <w:szCs w:val="20"/>
          <w:color w:val="auto"/>
        </w:rPr>
      </w:pPr>
      <w:r>
        <w:rPr>
          <w:rFonts w:ascii="Arial" w:cs="Arial" w:eastAsia="Arial" w:hAnsi="Arial"/>
          <w:sz w:val="12"/>
          <w:szCs w:val="12"/>
          <w:color w:val="FFFFFF"/>
        </w:rPr>
        <w:t>Committee of the</w:t>
      </w:r>
    </w:p>
    <w:p>
      <w:pPr>
        <w:ind w:left="1120"/>
        <w:spacing w:after="0"/>
        <w:rPr>
          <w:sz w:val="20"/>
          <w:szCs w:val="20"/>
          <w:color w:val="auto"/>
        </w:rPr>
      </w:pPr>
      <w:r>
        <w:rPr>
          <w:rFonts w:ascii="Arial" w:cs="Arial" w:eastAsia="Arial" w:hAnsi="Arial"/>
          <w:sz w:val="12"/>
          <w:szCs w:val="12"/>
          <w:color w:val="FFFFFF"/>
        </w:rPr>
        <w:t>Board of Directors</w:t>
      </w:r>
    </w:p>
    <w:p>
      <w:pPr>
        <w:spacing w:after="0" w:line="169" w:lineRule="exact"/>
        <w:rPr>
          <w:sz w:val="20"/>
          <w:szCs w:val="20"/>
          <w:color w:val="auto"/>
        </w:rPr>
      </w:pPr>
    </w:p>
    <w:p>
      <w:pPr>
        <w:jc w:val="center"/>
        <w:ind w:left="620"/>
        <w:spacing w:after="0"/>
        <w:rPr>
          <w:sz w:val="20"/>
          <w:szCs w:val="20"/>
          <w:color w:val="auto"/>
        </w:rPr>
      </w:pPr>
      <w:r>
        <w:rPr>
          <w:rFonts w:ascii="Arial" w:cs="Arial" w:eastAsia="Arial" w:hAnsi="Arial"/>
          <w:sz w:val="12"/>
          <w:szCs w:val="12"/>
          <w:color w:val="FFFFFF"/>
        </w:rPr>
        <w:t>Proposal 3</w:t>
      </w:r>
    </w:p>
    <w:p>
      <w:pPr>
        <w:spacing w:after="0" w:line="153" w:lineRule="exact"/>
        <w:rPr>
          <w:sz w:val="20"/>
          <w:szCs w:val="20"/>
          <w:color w:val="auto"/>
        </w:rPr>
      </w:pPr>
    </w:p>
    <w:p>
      <w:pPr>
        <w:jc w:val="right"/>
        <w:ind w:right="440"/>
        <w:spacing w:after="0"/>
        <w:rPr>
          <w:sz w:val="20"/>
          <w:szCs w:val="20"/>
          <w:color w:val="auto"/>
        </w:rPr>
      </w:pPr>
      <w:r>
        <w:rPr>
          <w:sz w:val="1"/>
          <w:szCs w:val="1"/>
          <w:color w:val="auto"/>
        </w:rPr>
        <w:drawing>
          <wp:inline distT="0" distB="0" distL="0" distR="0">
            <wp:extent cx="56515" cy="88900"/>
            <wp:effectExtent l="0" t="0" r="0" b="0"/>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56515" cy="88900"/>
                    </a:xfrm>
                    <a:prstGeom prst="rect">
                      <a:avLst/>
                    </a:prstGeom>
                    <a:noFill/>
                    <a:ln>
                      <a:noFill/>
                    </a:ln>
                  </pic:spPr>
                </pic:pic>
              </a:graphicData>
            </a:graphic>
          </wp:inline>
        </w:drawing>
      </w:r>
      <w:r>
        <w:rPr>
          <w:rFonts w:ascii="Arial" w:cs="Arial" w:eastAsia="Arial" w:hAnsi="Arial"/>
          <w:sz w:val="12"/>
          <w:szCs w:val="12"/>
          <w:b w:val="1"/>
          <w:bCs w:val="1"/>
          <w:color w:val="FFFFFF"/>
        </w:rPr>
        <w:t xml:space="preserve"> Proposal 4</w:t>
      </w:r>
    </w:p>
    <w:p>
      <w:pPr>
        <w:spacing w:after="0" w:line="130" w:lineRule="exact"/>
        <w:rPr>
          <w:sz w:val="20"/>
          <w:szCs w:val="20"/>
          <w:color w:val="auto"/>
        </w:rPr>
      </w:pPr>
    </w:p>
    <w:p>
      <w:pPr>
        <w:jc w:val="right"/>
        <w:ind w:right="480"/>
        <w:spacing w:after="0"/>
        <w:rPr>
          <w:sz w:val="20"/>
          <w:szCs w:val="20"/>
          <w:color w:val="auto"/>
        </w:rPr>
      </w:pPr>
      <w:r>
        <w:rPr>
          <w:rFonts w:ascii="Arial" w:cs="Arial" w:eastAsia="Arial" w:hAnsi="Arial"/>
          <w:sz w:val="12"/>
          <w:szCs w:val="12"/>
          <w:color w:val="FFFFFF"/>
        </w:rPr>
        <w:t>Proposal 5</w:t>
      </w:r>
    </w:p>
    <w:p>
      <w:pPr>
        <w:spacing w:after="0" w:line="156"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Proposal 6</w:t>
      </w:r>
    </w:p>
    <w:p>
      <w:pPr>
        <w:spacing w:after="0" w:line="181"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Stockholder</w:t>
      </w:r>
    </w:p>
    <w:p>
      <w:pPr>
        <w:ind w:left="1120"/>
        <w:spacing w:after="0" w:line="224" w:lineRule="auto"/>
        <w:rPr>
          <w:sz w:val="20"/>
          <w:szCs w:val="20"/>
          <w:color w:val="auto"/>
        </w:rPr>
      </w:pPr>
      <w:r>
        <w:rPr>
          <w:rFonts w:ascii="Arial" w:cs="Arial" w:eastAsia="Arial" w:hAnsi="Arial"/>
          <w:sz w:val="12"/>
          <w:szCs w:val="12"/>
          <w:color w:val="FFFFFF"/>
        </w:rPr>
        <w:t>Proposals and</w:t>
      </w:r>
    </w:p>
    <w:p>
      <w:pPr>
        <w:ind w:left="1120"/>
        <w:spacing w:after="0"/>
        <w:rPr>
          <w:sz w:val="20"/>
          <w:szCs w:val="20"/>
          <w:color w:val="auto"/>
        </w:rPr>
      </w:pPr>
      <w:r>
        <w:rPr>
          <w:rFonts w:ascii="Arial" w:cs="Arial" w:eastAsia="Arial" w:hAnsi="Arial"/>
          <w:sz w:val="12"/>
          <w:szCs w:val="12"/>
          <w:color w:val="FFFFFF"/>
        </w:rPr>
        <w:t>Other Matters</w:t>
      </w:r>
    </w:p>
    <w:p>
      <w:pPr>
        <w:spacing w:after="0" w:line="169"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Delinquent</w:t>
      </w:r>
    </w:p>
    <w:p>
      <w:pPr>
        <w:ind w:left="1120"/>
        <w:spacing w:after="0" w:line="224" w:lineRule="auto"/>
        <w:rPr>
          <w:sz w:val="20"/>
          <w:szCs w:val="20"/>
          <w:color w:val="auto"/>
        </w:rPr>
      </w:pPr>
      <w:r>
        <w:rPr>
          <w:rFonts w:ascii="Arial" w:cs="Arial" w:eastAsia="Arial" w:hAnsi="Arial"/>
          <w:sz w:val="12"/>
          <w:szCs w:val="12"/>
          <w:color w:val="FFFFFF"/>
        </w:rPr>
        <w:t>Section 16(a)</w:t>
      </w:r>
    </w:p>
    <w:p>
      <w:pPr>
        <w:ind w:left="1120"/>
        <w:spacing w:after="0"/>
        <w:rPr>
          <w:sz w:val="20"/>
          <w:szCs w:val="20"/>
          <w:color w:val="auto"/>
        </w:rPr>
      </w:pPr>
      <w:r>
        <w:rPr>
          <w:rFonts w:ascii="Arial" w:cs="Arial" w:eastAsia="Arial" w:hAnsi="Arial"/>
          <w:sz w:val="12"/>
          <w:szCs w:val="12"/>
          <w:color w:val="FFFFFF"/>
        </w:rPr>
        <w:t>Reports</w:t>
      </w:r>
    </w:p>
    <w:p>
      <w:pPr>
        <w:spacing w:after="0" w:line="169"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Other</w:t>
      </w:r>
    </w:p>
    <w:p>
      <w:pPr>
        <w:spacing w:after="0" w:line="2"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Information</w:t>
      </w:r>
    </w:p>
    <w:p>
      <w:pPr>
        <w:spacing w:after="0" w:line="144" w:lineRule="exact"/>
        <w:rPr>
          <w:sz w:val="20"/>
          <w:szCs w:val="20"/>
          <w:color w:val="auto"/>
        </w:rPr>
      </w:pPr>
    </w:p>
    <w:p>
      <w:pPr>
        <w:jc w:val="center"/>
        <w:ind w:left="660"/>
        <w:spacing w:after="0"/>
        <w:rPr>
          <w:sz w:val="20"/>
          <w:szCs w:val="20"/>
          <w:color w:val="auto"/>
        </w:rPr>
      </w:pPr>
      <w:r>
        <w:rPr>
          <w:rFonts w:ascii="Arial" w:cs="Arial" w:eastAsia="Arial" w:hAnsi="Arial"/>
          <w:sz w:val="12"/>
          <w:szCs w:val="12"/>
          <w:color w:val="FFFFFF"/>
        </w:rPr>
        <w:t>Appendix A</w:t>
      </w:r>
    </w:p>
    <w:p>
      <w:pPr>
        <w:spacing w:after="0" w:line="181" w:lineRule="exact"/>
        <w:rPr>
          <w:sz w:val="20"/>
          <w:szCs w:val="20"/>
          <w:color w:val="auto"/>
        </w:rPr>
      </w:pPr>
    </w:p>
    <w:p>
      <w:pPr>
        <w:jc w:val="center"/>
        <w:ind w:left="660"/>
        <w:spacing w:after="0"/>
        <w:rPr>
          <w:sz w:val="20"/>
          <w:szCs w:val="20"/>
          <w:color w:val="auto"/>
        </w:rPr>
      </w:pPr>
      <w:r>
        <w:rPr>
          <w:rFonts w:ascii="Arial" w:cs="Arial" w:eastAsia="Arial" w:hAnsi="Arial"/>
          <w:sz w:val="12"/>
          <w:szCs w:val="12"/>
          <w:color w:val="FFFFFF"/>
        </w:rPr>
        <w:t>Appendix 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7"/>
          <w:szCs w:val="17"/>
          <w:b w:val="1"/>
          <w:bCs w:val="1"/>
          <w:color w:val="002B5F"/>
        </w:rPr>
        <w:t>REASONS FOR THE AMENDMENT AND RESTATEMENT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-1801495</wp:posOffset>
            </wp:positionH>
            <wp:positionV relativeFrom="paragraph">
              <wp:posOffset>-890905</wp:posOffset>
            </wp:positionV>
            <wp:extent cx="7181215" cy="5334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181215" cy="53340"/>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-250825</wp:posOffset>
            </wp:positionV>
            <wp:extent cx="5065395" cy="326580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5065395" cy="3265805"/>
                    </a:xfrm>
                    <a:prstGeom prst="rect">
                      <a:avLst/>
                    </a:prstGeom>
                    <a:noFill/>
                  </pic:spPr>
                </pic:pic>
              </a:graphicData>
            </a:graphic>
          </wp:anchor>
        </w:drawing>
      </w:r>
    </w:p>
    <w:p>
      <w:pPr>
        <w:spacing w:after="0" w:line="83" w:lineRule="exact"/>
        <w:rPr>
          <w:sz w:val="20"/>
          <w:szCs w:val="20"/>
          <w:color w:val="auto"/>
        </w:rPr>
      </w:pPr>
    </w:p>
    <w:p>
      <w:pPr>
        <w:ind w:right="40"/>
        <w:spacing w:after="0" w:line="251" w:lineRule="auto"/>
        <w:rPr>
          <w:sz w:val="20"/>
          <w:szCs w:val="20"/>
          <w:color w:val="auto"/>
        </w:rPr>
      </w:pPr>
      <w:r>
        <w:rPr>
          <w:rFonts w:ascii="Arial" w:cs="Arial" w:eastAsia="Arial" w:hAnsi="Arial"/>
          <w:sz w:val="15"/>
          <w:szCs w:val="15"/>
          <w:color w:val="auto"/>
        </w:rPr>
        <w:t>The Nominating and Governance Committee regularly evaluates our corporate governance practices and reviews corporate governance trends. In connection with this review, the Nominating and Governance Committee considered the advantages and disadvantages of the supermajority voting requirements in our Charter. In particular, it noted that supermajority voting requirements can promote stability and protect stockholder value by requiring broad stockholder support for certain significant changes and making it more difficult for one or a few large stockholders to facilitate a takeover of the Company. At the same time, the committee also recognized that many stockholders disfavor such supermajority voting requirements, and that other public companies’ proposals to remove them have generally received strong stockholder support. In evaluating the Majority Voting Amendment, our Board considered the recommendation of the Nominating and Governance Committee and that, even without the supermajority vote, the Company has other safeguards to protect the interests of stockholders from, and help the Board respond to, proposals from a would-be acquirer that are opportunistic or that undervalue the Company. These safeguards include other provisions of our Charter and our Bylaws as well as certain provisions of Delaware law. After balancing these interests, our Board determined that the benefits of removing the supermajority voting requirements currently outweigh the benefits of retaining them.</w:t>
      </w:r>
    </w:p>
    <w:p>
      <w:pPr>
        <w:spacing w:after="0" w:line="91" w:lineRule="exact"/>
        <w:rPr>
          <w:sz w:val="20"/>
          <w:szCs w:val="20"/>
          <w:color w:val="auto"/>
        </w:rPr>
      </w:pPr>
    </w:p>
    <w:p>
      <w:pPr>
        <w:ind w:right="240"/>
        <w:spacing w:after="0" w:line="261" w:lineRule="auto"/>
        <w:rPr>
          <w:sz w:val="20"/>
          <w:szCs w:val="20"/>
          <w:color w:val="auto"/>
        </w:rPr>
      </w:pPr>
      <w:r>
        <w:rPr>
          <w:rFonts w:ascii="Arial" w:cs="Arial" w:eastAsia="Arial" w:hAnsi="Arial"/>
          <w:sz w:val="15"/>
          <w:szCs w:val="15"/>
          <w:color w:val="auto"/>
        </w:rPr>
        <w:t>Our Charter has not been amended and restated since 2010 and currently includes many provisions and references that are no longer applicable to the Company. The Majority Voting Amendment would streamline and clarify our Charter to make it easier for stockholders and other stakeholders to read and understand what provisions are currently operative.</w:t>
      </w:r>
    </w:p>
    <w:p>
      <w:pPr>
        <w:spacing w:after="0" w:line="79" w:lineRule="exact"/>
        <w:rPr>
          <w:sz w:val="20"/>
          <w:szCs w:val="20"/>
          <w:color w:val="auto"/>
        </w:rPr>
      </w:pPr>
    </w:p>
    <w:p>
      <w:pPr>
        <w:ind w:right="100"/>
        <w:spacing w:after="0" w:line="256" w:lineRule="auto"/>
        <w:rPr>
          <w:sz w:val="20"/>
          <w:szCs w:val="20"/>
          <w:color w:val="auto"/>
        </w:rPr>
      </w:pPr>
      <w:r>
        <w:rPr>
          <w:rFonts w:ascii="Arial" w:cs="Arial" w:eastAsia="Arial" w:hAnsi="Arial"/>
          <w:sz w:val="15"/>
          <w:szCs w:val="15"/>
          <w:color w:val="auto"/>
        </w:rPr>
        <w:t>After careful consideration, and upon the recommendation of the Nominating and Governance Committee, our Board determined that it would be in the best interests of the Company and our stockholders to eliminate supermajority voting requirements in favor of majority voting requirements and while doing so effectuate additional clean-up changes. Accordingly, our Board has unanimously approved and adopted the Majority Voting Amendment, declared the Majority Voting Amendment advisable and recommended that our stockholders vote in favor of the adoption of the Majority Voting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wp:posOffset>
            </wp:positionH>
            <wp:positionV relativeFrom="paragraph">
              <wp:posOffset>206375</wp:posOffset>
            </wp:positionV>
            <wp:extent cx="5065395" cy="186372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5065395" cy="1863725"/>
                    </a:xfrm>
                    <a:prstGeom prst="rect">
                      <a:avLst/>
                    </a:prstGeom>
                    <a:noFill/>
                  </pic:spPr>
                </pic:pic>
              </a:graphicData>
            </a:graphic>
          </wp:anchor>
        </w:drawing>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7"/>
          <w:szCs w:val="17"/>
          <w:b w:val="1"/>
          <w:bCs w:val="1"/>
          <w:color w:val="002B5F"/>
        </w:rPr>
        <w:t>EFFECTIVENESS OF THE AMENDMENT AND RESTATEMENT</w:t>
      </w:r>
    </w:p>
    <w:p>
      <w:pPr>
        <w:spacing w:after="0" w:line="103" w:lineRule="exact"/>
        <w:rPr>
          <w:sz w:val="20"/>
          <w:szCs w:val="20"/>
          <w:color w:val="auto"/>
        </w:rPr>
      </w:pPr>
    </w:p>
    <w:p>
      <w:pPr>
        <w:spacing w:after="0" w:line="251" w:lineRule="auto"/>
        <w:rPr>
          <w:sz w:val="20"/>
          <w:szCs w:val="20"/>
          <w:color w:val="auto"/>
        </w:rPr>
      </w:pPr>
      <w:r>
        <w:rPr>
          <w:rFonts w:ascii="Arial" w:cs="Arial" w:eastAsia="Arial" w:hAnsi="Arial"/>
          <w:sz w:val="15"/>
          <w:szCs w:val="15"/>
          <w:color w:val="auto"/>
        </w:rPr>
        <w:t>Neither the approval of Proposal 4 nor the approval of Proposal 5 or Proposal 6 is conditioned on the approval of any of the others. If Proposal 4 is approved by the requisite vote of our stockholders, and thus our stockholders adopt the Majority Voting Amendment, the Company will file an amended and restated certificate of incorporation reflecting the revisions to Articles IV, V, VII, VIII, XI and XII of our Charter contemplated by the Majority Voting Amendment and all prior amendments to the Company’s Amended and Restated Incorporation such as the amendment to change the Company’s name (and, if Proposal 5 or Proposal 6 is approved by the requisite vote of our stockholders, Proposal 5 and/or Proposal 6, as applicable). The Majority Voting Amendment will become effective upon the filing of such amended and restated certificate of incorporation with the Delaware Secretary of State, which is anticipated to occur promptly after the Annual Meeting. If our stockholders do not approve Proposal 4, no filing with the Delaware Secretary of State will be made effectuating the Majority Voting Amendment, and Article IV, Article V, Article VII, Article VIII, Article XI and Article XII of our Charter will remain unchanged. Our Board reserves the right to abandon the Majority Voting Amendment at any time before it becomes effective even if Proposal 4 is approved by the requisite vote of our stockholders.</w:t>
      </w:r>
    </w:p>
    <w:p>
      <w:pPr>
        <w:spacing w:after="0" w:line="279" w:lineRule="exact"/>
        <w:rPr>
          <w:sz w:val="20"/>
          <w:szCs w:val="20"/>
          <w:color w:val="auto"/>
        </w:rPr>
      </w:pPr>
    </w:p>
    <w:p>
      <w:pPr>
        <w:ind w:left="760"/>
        <w:spacing w:after="0"/>
        <w:rPr>
          <w:sz w:val="20"/>
          <w:szCs w:val="20"/>
          <w:color w:val="auto"/>
        </w:rPr>
      </w:pPr>
      <w:r>
        <w:rPr>
          <w:rFonts w:ascii="Arial" w:cs="Arial" w:eastAsia="Arial" w:hAnsi="Arial"/>
          <w:sz w:val="17"/>
          <w:szCs w:val="17"/>
          <w:color w:val="B95827"/>
        </w:rPr>
        <w:t>THE BOARD OF DIRECTORS RECOMMENDS A VOTE “FOR” THIS PROPOSAL.</w:t>
      </w:r>
    </w:p>
    <w:p>
      <w:pPr>
        <w:spacing w:after="0" w:line="2847" w:lineRule="exact"/>
        <w:rPr>
          <w:sz w:val="20"/>
          <w:szCs w:val="20"/>
          <w:color w:val="auto"/>
        </w:rPr>
      </w:pPr>
    </w:p>
    <w:p>
      <w:pPr>
        <w:sectPr>
          <w:pgSz w:w="11900" w:h="16838" w:orient="portrait"/>
          <w:cols w:equalWidth="0" w:num="2">
            <w:col w:w="2160" w:space="660"/>
            <w:col w:w="7800"/>
          </w:cols>
          <w:pgMar w:left="320" w:top="464" w:right="959" w:bottom="1440" w:gutter="0" w:footer="0" w:header="0"/>
        </w:sectPr>
      </w:pPr>
    </w:p>
    <w:p>
      <w:pPr>
        <w:spacing w:after="0" w:line="200" w:lineRule="exact"/>
        <w:rPr>
          <w:sz w:val="20"/>
          <w:szCs w:val="20"/>
          <w:color w:val="auto"/>
        </w:rPr>
      </w:pPr>
    </w:p>
    <w:p>
      <w:pPr>
        <w:spacing w:after="0" w:line="385" w:lineRule="exact"/>
        <w:rPr>
          <w:sz w:val="20"/>
          <w:szCs w:val="20"/>
          <w:color w:val="auto"/>
        </w:rPr>
      </w:pPr>
    </w:p>
    <w:p>
      <w:pPr>
        <w:ind w:left="420"/>
        <w:spacing w:after="0"/>
        <w:tabs>
          <w:tab w:leader="none" w:pos="2380" w:val="left"/>
          <w:tab w:leader="none" w:pos="2800" w:val="left"/>
        </w:tabs>
        <w:rPr>
          <w:sz w:val="20"/>
          <w:szCs w:val="20"/>
          <w:color w:val="auto"/>
        </w:rPr>
      </w:pPr>
      <w:r>
        <w:rPr>
          <w:rFonts w:ascii="Arial" w:cs="Arial" w:eastAsia="Arial" w:hAnsi="Arial"/>
          <w:sz w:val="30"/>
          <w:szCs w:val="30"/>
          <w:color w:val="000000"/>
          <w:vertAlign w:val="superscript"/>
        </w:rPr>
        <w:t xml:space="preserve">             </w:t>
      </w:r>
      <w:r>
        <w:rPr>
          <w:sz w:val="20"/>
          <w:szCs w:val="20"/>
          <w:color w:val="auto"/>
        </w:rPr>
        <w:tab/>
      </w:r>
      <w:r>
        <w:rPr>
          <w:rFonts w:ascii="Arial" w:cs="Arial" w:eastAsia="Arial" w:hAnsi="Arial"/>
          <w:sz w:val="31"/>
          <w:szCs w:val="31"/>
          <w:color w:val="auto"/>
          <w:vertAlign w:val="superscript"/>
        </w:rPr>
        <w:t xml:space="preserve">    </w:t>
      </w:r>
      <w:r>
        <w:rPr>
          <w:sz w:val="20"/>
          <w:szCs w:val="20"/>
          <w:color w:val="auto"/>
        </w:rPr>
        <w:tab/>
      </w:r>
      <w:r>
        <w:rPr>
          <w:rFonts w:ascii="Arial" w:cs="Arial" w:eastAsia="Arial" w:hAnsi="Arial"/>
          <w:sz w:val="15"/>
          <w:szCs w:val="15"/>
          <w:b w:val="1"/>
          <w:bCs w:val="1"/>
          <w:color w:val="002B5F"/>
        </w:rPr>
        <w:t xml:space="preserve">88  </w:t>
      </w:r>
      <w:r>
        <w:rPr>
          <w:rFonts w:ascii="Arial" w:cs="Arial" w:eastAsia="Arial" w:hAnsi="Arial"/>
          <w:sz w:val="20"/>
          <w:szCs w:val="20"/>
          <w:color w:val="002B5F"/>
        </w:rPr>
        <w:t>|</w:t>
      </w:r>
      <w:r>
        <w:rPr>
          <w:rFonts w:ascii="Arial" w:cs="Arial" w:eastAsia="Arial" w:hAnsi="Arial"/>
          <w:sz w:val="15"/>
          <w:szCs w:val="15"/>
          <w:b w:val="1"/>
          <w:bCs w:val="1"/>
          <w:color w:val="002B5F"/>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6111875</wp:posOffset>
            </wp:positionH>
            <wp:positionV relativeFrom="paragraph">
              <wp:posOffset>-208915</wp:posOffset>
            </wp:positionV>
            <wp:extent cx="769620" cy="971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69620" cy="97155"/>
                    </a:xfrm>
                    <a:prstGeom prst="rect">
                      <a:avLst/>
                    </a:prstGeom>
                    <a:noFill/>
                  </pic:spPr>
                </pic:pic>
              </a:graphicData>
            </a:graphic>
          </wp:anchor>
        </w:drawing>
      </w:r>
    </w:p>
    <w:p>
      <w:pPr>
        <w:sectPr>
          <w:pgSz w:w="11900" w:h="16838" w:orient="portrait"/>
          <w:cols w:equalWidth="0" w:num="1">
            <w:col w:w="10620"/>
          </w:cols>
          <w:pgMar w:left="320" w:top="464" w:right="959" w:bottom="1440" w:gutter="0" w:footer="0" w:header="0"/>
          <w:type w:val="continuous"/>
        </w:sectPr>
      </w:pPr>
    </w:p>
    <w:bookmarkStart w:id="96" w:name="page97"/>
    <w:bookmarkEnd w:id="9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5334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181215" cy="5334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5617845</wp:posOffset>
            </wp:positionH>
            <wp:positionV relativeFrom="paragraph">
              <wp:posOffset>253365</wp:posOffset>
            </wp:positionV>
            <wp:extent cx="1256030" cy="74720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1256030" cy="7472045"/>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ind w:left="540"/>
        <w:spacing w:after="0"/>
        <w:rPr>
          <w:sz w:val="20"/>
          <w:szCs w:val="20"/>
          <w:color w:val="auto"/>
        </w:rPr>
      </w:pPr>
      <w:r>
        <w:rPr>
          <w:rFonts w:ascii="Arial" w:cs="Arial" w:eastAsia="Arial" w:hAnsi="Arial"/>
          <w:sz w:val="26"/>
          <w:szCs w:val="26"/>
          <w:color w:val="B95827"/>
        </w:rPr>
        <w:t>PROPOSAL 5</w:t>
      </w:r>
    </w:p>
    <w:tbl>
      <w:tblPr>
        <w:tblLayout w:type="fixed"/>
        <w:tblInd w:w="540" w:type="dxa"/>
        <w:tblCellMar>
          <w:top w:w="0" w:type="dxa"/>
          <w:left w:w="0" w:type="dxa"/>
          <w:bottom w:w="0" w:type="dxa"/>
          <w:right w:w="0" w:type="dxa"/>
        </w:tblCellMar>
      </w:tblPr>
      <w:tr>
        <w:trPr>
          <w:trHeight w:val="191"/>
        </w:trPr>
        <w:tc>
          <w:tcPr>
            <w:tcW w:w="7880" w:type="dxa"/>
            <w:vAlign w:val="bottom"/>
            <w:vMerge w:val="restart"/>
          </w:tcPr>
          <w:p>
            <w:pPr>
              <w:spacing w:after="0" w:line="190" w:lineRule="exact"/>
              <w:rPr>
                <w:sz w:val="20"/>
                <w:szCs w:val="20"/>
                <w:color w:val="auto"/>
              </w:rPr>
            </w:pPr>
            <w:r>
              <w:rPr>
                <w:rFonts w:ascii="Times New Roman" w:cs="Times New Roman" w:eastAsia="Times New Roman" w:hAnsi="Times New Roman"/>
                <w:sz w:val="22"/>
                <w:szCs w:val="22"/>
                <w:b w:val="1"/>
                <w:bCs w:val="1"/>
                <w:color w:val="002B5F"/>
              </w:rPr>
              <w:t>Adoption of Amendments to Our</w:t>
            </w:r>
          </w:p>
        </w:tc>
        <w:tc>
          <w:tcPr>
            <w:tcW w:w="660" w:type="dxa"/>
            <w:vAlign w:val="bottom"/>
          </w:tcPr>
          <w:p>
            <w:pPr>
              <w:ind w:left="460"/>
              <w:spacing w:after="0"/>
              <w:rPr>
                <w:sz w:val="20"/>
                <w:szCs w:val="20"/>
                <w:color w:val="auto"/>
              </w:rPr>
            </w:pPr>
            <w:r>
              <w:rPr>
                <w:rFonts w:ascii="Arial" w:cs="Arial" w:eastAsia="Arial" w:hAnsi="Arial"/>
                <w:sz w:val="15"/>
                <w:szCs w:val="15"/>
                <w:color w:val="auto"/>
              </w:rPr>
              <w:t> </w:t>
            </w:r>
          </w:p>
        </w:tc>
        <w:tc>
          <w:tcPr>
            <w:tcW w:w="1280" w:type="dxa"/>
            <w:vAlign w:val="bottom"/>
          </w:tcPr>
          <w:p>
            <w:pPr>
              <w:ind w:left="140"/>
              <w:spacing w:after="0"/>
              <w:rPr>
                <w:sz w:val="20"/>
                <w:szCs w:val="20"/>
                <w:color w:val="auto"/>
              </w:rPr>
            </w:pPr>
            <w:r>
              <w:rPr>
                <w:rFonts w:ascii="Arial" w:cs="Arial" w:eastAsia="Arial" w:hAnsi="Arial"/>
                <w:sz w:val="12"/>
                <w:szCs w:val="12"/>
                <w:color w:val="FFFFFF"/>
              </w:rPr>
              <w:t>General</w:t>
            </w:r>
          </w:p>
        </w:tc>
        <w:tc>
          <w:tcPr>
            <w:tcW w:w="440" w:type="dxa"/>
            <w:vAlign w:val="bottom"/>
          </w:tcPr>
          <w:p>
            <w:pPr>
              <w:ind w:left="80"/>
              <w:spacing w:after="0"/>
              <w:rPr>
                <w:sz w:val="20"/>
                <w:szCs w:val="20"/>
                <w:color w:val="auto"/>
              </w:rPr>
            </w:pPr>
            <w:r>
              <w:rPr>
                <w:rFonts w:ascii="Arial" w:cs="Arial" w:eastAsia="Arial" w:hAnsi="Arial"/>
                <w:sz w:val="15"/>
                <w:szCs w:val="15"/>
                <w:color w:val="auto"/>
              </w:rPr>
              <w:t xml:space="preserve">       </w:t>
            </w:r>
          </w:p>
        </w:tc>
        <w:tc>
          <w:tcPr>
            <w:tcW w:w="0" w:type="dxa"/>
            <w:vAlign w:val="bottom"/>
          </w:tcPr>
          <w:p>
            <w:pPr>
              <w:spacing w:after="0"/>
              <w:rPr>
                <w:sz w:val="1"/>
                <w:szCs w:val="1"/>
                <w:color w:val="auto"/>
              </w:rPr>
            </w:pPr>
          </w:p>
        </w:tc>
      </w:tr>
      <w:tr>
        <w:trPr>
          <w:trHeight w:val="0"/>
        </w:trPr>
        <w:tc>
          <w:tcPr>
            <w:tcW w:w="7880" w:type="dxa"/>
            <w:vAlign w:val="bottom"/>
            <w:vMerge w:val="continu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80" w:type="dxa"/>
            <w:vAlign w:val="bottom"/>
          </w:tcPr>
          <w:p>
            <w:pPr>
              <w:ind w:left="140"/>
              <w:spacing w:after="0" w:line="1" w:lineRule="exact"/>
              <w:rPr>
                <w:sz w:val="20"/>
                <w:szCs w:val="20"/>
                <w:color w:val="auto"/>
              </w:rPr>
            </w:pPr>
            <w:r>
              <w:rPr>
                <w:rFonts w:ascii="Arial" w:cs="Arial" w:eastAsia="Arial" w:hAnsi="Arial"/>
                <w:sz w:val="1"/>
                <w:szCs w:val="1"/>
                <w:color w:val="FFFFFF"/>
              </w:rPr>
              <w:t>General Information</w:t>
            </w: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78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Information</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6"/>
        </w:trPr>
        <w:tc>
          <w:tcPr>
            <w:tcW w:w="7880" w:type="dxa"/>
            <w:vAlign w:val="bottom"/>
            <w:vMerge w:val="restart"/>
          </w:tcPr>
          <w:p>
            <w:pPr>
              <w:spacing w:after="0" w:line="435" w:lineRule="exact"/>
              <w:rPr>
                <w:sz w:val="20"/>
                <w:szCs w:val="20"/>
                <w:color w:val="auto"/>
              </w:rPr>
            </w:pPr>
            <w:r>
              <w:rPr>
                <w:rFonts w:ascii="Times New Roman" w:cs="Times New Roman" w:eastAsia="Times New Roman" w:hAnsi="Times New Roman"/>
                <w:sz w:val="48"/>
                <w:szCs w:val="48"/>
                <w:b w:val="1"/>
                <w:bCs w:val="1"/>
                <w:color w:val="002B5F"/>
              </w:rPr>
              <w:t>Charter to Provide for Officer</w:t>
            </w:r>
          </w:p>
        </w:tc>
        <w:tc>
          <w:tcPr>
            <w:tcW w:w="660" w:type="dxa"/>
            <w:vAlign w:val="bottom"/>
          </w:tcPr>
          <w:p>
            <w:pPr>
              <w:spacing w:after="0"/>
              <w:rPr>
                <w:sz w:val="24"/>
                <w:szCs w:val="24"/>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About Corporate</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7880" w:type="dxa"/>
            <w:vAlign w:val="bottom"/>
            <w:vMerge w:val="continue"/>
          </w:tcPr>
          <w:p>
            <w:pPr>
              <w:spacing w:after="0"/>
              <w:rPr>
                <w:sz w:val="11"/>
                <w:szCs w:val="11"/>
                <w:color w:val="auto"/>
              </w:rPr>
            </w:pPr>
          </w:p>
        </w:tc>
        <w:tc>
          <w:tcPr>
            <w:tcW w:w="660" w:type="dxa"/>
            <w:vAlign w:val="bottom"/>
          </w:tcPr>
          <w:p>
            <w:pPr>
              <w:spacing w:after="0"/>
              <w:rPr>
                <w:sz w:val="11"/>
                <w:szCs w:val="11"/>
                <w:color w:val="auto"/>
              </w:rPr>
            </w:pPr>
          </w:p>
        </w:tc>
        <w:tc>
          <w:tcPr>
            <w:tcW w:w="1280" w:type="dxa"/>
            <w:vAlign w:val="bottom"/>
          </w:tcPr>
          <w:p>
            <w:pPr>
              <w:ind w:left="140"/>
              <w:spacing w:after="0" w:line="128" w:lineRule="exact"/>
              <w:rPr>
                <w:sz w:val="20"/>
                <w:szCs w:val="20"/>
                <w:color w:val="auto"/>
              </w:rPr>
            </w:pPr>
            <w:r>
              <w:rPr>
                <w:rFonts w:ascii="Arial" w:cs="Arial" w:eastAsia="Arial" w:hAnsi="Arial"/>
                <w:sz w:val="12"/>
                <w:szCs w:val="12"/>
                <w:color w:val="FFFFFF"/>
              </w:rPr>
              <w:t>Governance</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78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80" w:type="dxa"/>
            <w:vAlign w:val="bottom"/>
          </w:tcPr>
          <w:p>
            <w:pPr>
              <w:ind w:left="140"/>
              <w:spacing w:after="0" w:line="128" w:lineRule="exact"/>
              <w:rPr>
                <w:sz w:val="20"/>
                <w:szCs w:val="20"/>
                <w:color w:val="auto"/>
              </w:rPr>
            </w:pPr>
            <w:r>
              <w:rPr>
                <w:rFonts w:ascii="Arial" w:cs="Arial" w:eastAsia="Arial" w:hAnsi="Arial"/>
                <w:sz w:val="12"/>
                <w:szCs w:val="12"/>
                <w:color w:val="FFFFFF"/>
              </w:rPr>
              <w:t>and the Board of</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7880" w:type="dxa"/>
            <w:vAlign w:val="bottom"/>
            <w:vMerge w:val="restart"/>
          </w:tcPr>
          <w:p>
            <w:pPr>
              <w:spacing w:after="0" w:line="306" w:lineRule="exact"/>
              <w:rPr>
                <w:sz w:val="20"/>
                <w:szCs w:val="20"/>
                <w:color w:val="auto"/>
              </w:rPr>
            </w:pPr>
            <w:r>
              <w:rPr>
                <w:rFonts w:ascii="Times New Roman" w:cs="Times New Roman" w:eastAsia="Times New Roman" w:hAnsi="Times New Roman"/>
                <w:sz w:val="35"/>
                <w:szCs w:val="35"/>
                <w:b w:val="1"/>
                <w:bCs w:val="1"/>
                <w:color w:val="002B5F"/>
              </w:rPr>
              <w:t>Exculpation</w:t>
            </w:r>
          </w:p>
        </w:tc>
        <w:tc>
          <w:tcPr>
            <w:tcW w:w="660" w:type="dxa"/>
            <w:vAlign w:val="bottom"/>
          </w:tcPr>
          <w:p>
            <w:pPr>
              <w:spacing w:after="0"/>
              <w:rPr>
                <w:sz w:val="13"/>
                <w:szCs w:val="13"/>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Directors</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7880" w:type="dxa"/>
            <w:vAlign w:val="bottom"/>
            <w:vMerge w:val="continue"/>
          </w:tcPr>
          <w:p>
            <w:pPr>
              <w:spacing w:after="0"/>
              <w:rPr>
                <w:sz w:val="12"/>
                <w:szCs w:val="12"/>
                <w:color w:val="auto"/>
              </w:rPr>
            </w:pPr>
          </w:p>
        </w:tc>
        <w:tc>
          <w:tcPr>
            <w:tcW w:w="660" w:type="dxa"/>
            <w:vAlign w:val="bottom"/>
          </w:tcPr>
          <w:p>
            <w:pPr>
              <w:spacing w:after="0"/>
              <w:rPr>
                <w:sz w:val="12"/>
                <w:szCs w:val="12"/>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Information</w:t>
            </w: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78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Proposal 1</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79"/>
        </w:trPr>
        <w:tc>
          <w:tcPr>
            <w:tcW w:w="78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Regarding Board</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7880" w:type="dxa"/>
            <w:vAlign w:val="bottom"/>
            <w:tcBorders>
              <w:bottom w:val="single" w:sz="8" w:color="auto"/>
            </w:tcBorders>
          </w:tcPr>
          <w:p>
            <w:pPr>
              <w:spacing w:after="0"/>
              <w:rPr>
                <w:sz w:val="2"/>
                <w:szCs w:val="2"/>
                <w:color w:val="auto"/>
              </w:rPr>
            </w:pPr>
          </w:p>
        </w:tc>
        <w:tc>
          <w:tcPr>
            <w:tcW w:w="660" w:type="dxa"/>
            <w:vAlign w:val="bottom"/>
          </w:tcPr>
          <w:p>
            <w:pPr>
              <w:spacing w:after="0"/>
              <w:rPr>
                <w:sz w:val="2"/>
                <w:szCs w:val="2"/>
                <w:color w:val="auto"/>
              </w:rPr>
            </w:pPr>
          </w:p>
        </w:tc>
        <w:tc>
          <w:tcPr>
            <w:tcW w:w="1280" w:type="dxa"/>
            <w:vAlign w:val="bottom"/>
            <w:vMerge w:val="restart"/>
          </w:tcPr>
          <w:p>
            <w:pPr>
              <w:ind w:left="140"/>
              <w:spacing w:after="0" w:line="128" w:lineRule="exact"/>
              <w:rPr>
                <w:sz w:val="20"/>
                <w:szCs w:val="20"/>
                <w:color w:val="auto"/>
              </w:rPr>
            </w:pPr>
            <w:r>
              <w:rPr>
                <w:rFonts w:ascii="Arial" w:cs="Arial" w:eastAsia="Arial" w:hAnsi="Arial"/>
                <w:sz w:val="12"/>
                <w:szCs w:val="12"/>
                <w:color w:val="FFFFFF"/>
              </w:rPr>
              <w:t>and Committee</w:t>
            </w:r>
          </w:p>
        </w:tc>
        <w:tc>
          <w:tcPr>
            <w:tcW w:w="4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7"/>
        </w:trPr>
        <w:tc>
          <w:tcPr>
            <w:tcW w:w="788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4"/>
        </w:trPr>
        <w:tc>
          <w:tcPr>
            <w:tcW w:w="7880" w:type="dxa"/>
            <w:vAlign w:val="bottom"/>
          </w:tcPr>
          <w:p>
            <w:pPr>
              <w:spacing w:after="0"/>
              <w:rPr>
                <w:sz w:val="20"/>
                <w:szCs w:val="20"/>
                <w:color w:val="auto"/>
              </w:rPr>
            </w:pPr>
            <w:r>
              <w:rPr>
                <w:rFonts w:ascii="Arial" w:cs="Arial" w:eastAsia="Arial" w:hAnsi="Arial"/>
                <w:sz w:val="15"/>
                <w:szCs w:val="15"/>
                <w:color w:val="auto"/>
              </w:rPr>
              <w:t>Our Board has unanimously approved and adopted, and unanimously recommends that all stockholders adopt,</w:t>
            </w:r>
          </w:p>
        </w:tc>
        <w:tc>
          <w:tcPr>
            <w:tcW w:w="660" w:type="dxa"/>
            <w:vAlign w:val="bottom"/>
          </w:tcPr>
          <w:p>
            <w:pPr>
              <w:spacing w:after="0"/>
              <w:rPr>
                <w:sz w:val="16"/>
                <w:szCs w:val="16"/>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Structure</w:t>
            </w: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7880" w:type="dxa"/>
            <w:vAlign w:val="bottom"/>
          </w:tcPr>
          <w:p>
            <w:pPr>
              <w:spacing w:after="0"/>
              <w:rPr>
                <w:sz w:val="20"/>
                <w:szCs w:val="20"/>
                <w:color w:val="auto"/>
              </w:rPr>
            </w:pPr>
            <w:r>
              <w:rPr>
                <w:rFonts w:ascii="Arial" w:cs="Arial" w:eastAsia="Arial" w:hAnsi="Arial"/>
                <w:sz w:val="15"/>
                <w:szCs w:val="15"/>
                <w:color w:val="auto"/>
              </w:rPr>
              <w:t>amendments to our Charter to provide for officer exculpation to the fullest extent permitted by Delaware law (the</w:t>
            </w:r>
          </w:p>
        </w:tc>
        <w:tc>
          <w:tcPr>
            <w:tcW w:w="660" w:type="dxa"/>
            <w:vAlign w:val="bottom"/>
          </w:tcPr>
          <w:p>
            <w:pPr>
              <w:spacing w:after="0"/>
              <w:rPr>
                <w:sz w:val="15"/>
                <w:szCs w:val="15"/>
                <w:color w:val="auto"/>
              </w:rPr>
            </w:pPr>
          </w:p>
        </w:tc>
        <w:tc>
          <w:tcPr>
            <w:tcW w:w="1280" w:type="dxa"/>
            <w:vAlign w:val="bottom"/>
            <w:vMerge w:val="restart"/>
          </w:tcPr>
          <w:p>
            <w:pPr>
              <w:ind w:left="140"/>
              <w:spacing w:after="0"/>
              <w:rPr>
                <w:sz w:val="20"/>
                <w:szCs w:val="20"/>
                <w:color w:val="auto"/>
              </w:rPr>
            </w:pPr>
            <w:r>
              <w:rPr>
                <w:rFonts w:ascii="Arial" w:cs="Arial" w:eastAsia="Arial" w:hAnsi="Arial"/>
                <w:sz w:val="12"/>
                <w:szCs w:val="12"/>
                <w:color w:val="FFFFFF"/>
              </w:rPr>
              <w:t>Board of Directors</w:t>
            </w: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8"/>
        </w:trPr>
        <w:tc>
          <w:tcPr>
            <w:tcW w:w="7880" w:type="dxa"/>
            <w:vAlign w:val="bottom"/>
            <w:vMerge w:val="restart"/>
          </w:tcPr>
          <w:p>
            <w:pPr>
              <w:spacing w:after="0"/>
              <w:rPr>
                <w:sz w:val="20"/>
                <w:szCs w:val="20"/>
                <w:color w:val="auto"/>
              </w:rPr>
            </w:pPr>
            <w:r>
              <w:rPr>
                <w:rFonts w:ascii="Arial" w:cs="Arial" w:eastAsia="Arial" w:hAnsi="Arial"/>
                <w:sz w:val="15"/>
                <w:szCs w:val="15"/>
                <w:color w:val="auto"/>
              </w:rPr>
              <w:t>“Exculpation Amendment”).</w:t>
            </w:r>
          </w:p>
        </w:tc>
        <w:tc>
          <w:tcPr>
            <w:tcW w:w="660" w:type="dxa"/>
            <w:vAlign w:val="bottom"/>
          </w:tcPr>
          <w:p>
            <w:pPr>
              <w:spacing w:after="0"/>
              <w:rPr>
                <w:sz w:val="5"/>
                <w:szCs w:val="5"/>
                <w:color w:val="auto"/>
              </w:rPr>
            </w:pPr>
          </w:p>
        </w:tc>
        <w:tc>
          <w:tcPr>
            <w:tcW w:w="128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8"/>
        </w:trPr>
        <w:tc>
          <w:tcPr>
            <w:tcW w:w="7880" w:type="dxa"/>
            <w:vAlign w:val="bottom"/>
            <w:vMerge w:val="continue"/>
          </w:tcPr>
          <w:p>
            <w:pPr>
              <w:spacing w:after="0"/>
              <w:rPr>
                <w:sz w:val="13"/>
                <w:szCs w:val="13"/>
                <w:color w:val="auto"/>
              </w:rPr>
            </w:pPr>
          </w:p>
        </w:tc>
        <w:tc>
          <w:tcPr>
            <w:tcW w:w="660" w:type="dxa"/>
            <w:vAlign w:val="bottom"/>
          </w:tcPr>
          <w:p>
            <w:pPr>
              <w:spacing w:after="0"/>
              <w:rPr>
                <w:sz w:val="13"/>
                <w:szCs w:val="13"/>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Compensation</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7880" w:type="dxa"/>
            <w:vAlign w:val="bottom"/>
            <w:tcBorders>
              <w:bottom w:val="single" w:sz="8" w:color="002B5F"/>
            </w:tcBorders>
          </w:tcPr>
          <w:p>
            <w:pPr>
              <w:spacing w:after="0"/>
              <w:rPr>
                <w:sz w:val="18"/>
                <w:szCs w:val="18"/>
                <w:color w:val="auto"/>
              </w:rPr>
            </w:pPr>
          </w:p>
        </w:tc>
        <w:tc>
          <w:tcPr>
            <w:tcW w:w="660" w:type="dxa"/>
            <w:vAlign w:val="bottom"/>
          </w:tcPr>
          <w:p>
            <w:pPr>
              <w:spacing w:after="0"/>
              <w:rPr>
                <w:sz w:val="18"/>
                <w:szCs w:val="18"/>
                <w:color w:val="auto"/>
              </w:rPr>
            </w:pPr>
          </w:p>
        </w:tc>
        <w:tc>
          <w:tcPr>
            <w:tcW w:w="1280" w:type="dxa"/>
            <w:vAlign w:val="bottom"/>
            <w:vMerge w:val="restart"/>
          </w:tcPr>
          <w:p>
            <w:pPr>
              <w:ind w:left="140"/>
              <w:spacing w:after="0"/>
              <w:rPr>
                <w:sz w:val="20"/>
                <w:szCs w:val="20"/>
                <w:color w:val="auto"/>
              </w:rPr>
            </w:pPr>
            <w:r>
              <w:rPr>
                <w:rFonts w:ascii="Arial" w:cs="Arial" w:eastAsia="Arial" w:hAnsi="Arial"/>
                <w:sz w:val="12"/>
                <w:szCs w:val="12"/>
                <w:color w:val="FFFFFF"/>
              </w:rPr>
              <w:t>Compensation</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78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8"/>
        </w:trPr>
        <w:tc>
          <w:tcPr>
            <w:tcW w:w="78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80" w:type="dxa"/>
            <w:vAlign w:val="bottom"/>
          </w:tcPr>
          <w:p>
            <w:pPr>
              <w:ind w:left="140"/>
              <w:spacing w:after="0" w:line="128" w:lineRule="exact"/>
              <w:rPr>
                <w:sz w:val="20"/>
                <w:szCs w:val="20"/>
                <w:color w:val="auto"/>
              </w:rPr>
            </w:pPr>
            <w:r>
              <w:rPr>
                <w:rFonts w:ascii="Arial" w:cs="Arial" w:eastAsia="Arial" w:hAnsi="Arial"/>
                <w:sz w:val="12"/>
                <w:szCs w:val="12"/>
                <w:color w:val="FFFFFF"/>
              </w:rPr>
              <w:t>Discussion and</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7880" w:type="dxa"/>
            <w:vAlign w:val="bottom"/>
            <w:vMerge w:val="restart"/>
          </w:tcPr>
          <w:p>
            <w:pPr>
              <w:ind w:left="80"/>
              <w:spacing w:after="0"/>
              <w:rPr>
                <w:sz w:val="20"/>
                <w:szCs w:val="20"/>
                <w:color w:val="auto"/>
              </w:rPr>
            </w:pPr>
            <w:r>
              <w:rPr>
                <w:rFonts w:ascii="Arial" w:cs="Arial" w:eastAsia="Arial" w:hAnsi="Arial"/>
                <w:sz w:val="17"/>
                <w:szCs w:val="17"/>
                <w:b w:val="1"/>
                <w:bCs w:val="1"/>
                <w:color w:val="002B5F"/>
              </w:rPr>
              <w:t>THE PROPOSED AMENDMENT</w:t>
            </w:r>
          </w:p>
        </w:tc>
        <w:tc>
          <w:tcPr>
            <w:tcW w:w="660" w:type="dxa"/>
            <w:vAlign w:val="bottom"/>
          </w:tcPr>
          <w:p>
            <w:pPr>
              <w:spacing w:after="0"/>
              <w:rPr>
                <w:sz w:val="13"/>
                <w:szCs w:val="13"/>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Analysis</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8"/>
        </w:trPr>
        <w:tc>
          <w:tcPr>
            <w:tcW w:w="7880" w:type="dxa"/>
            <w:vAlign w:val="bottom"/>
            <w:vMerge w:val="continue"/>
          </w:tcPr>
          <w:p>
            <w:pPr>
              <w:spacing w:after="0"/>
              <w:rPr>
                <w:sz w:val="7"/>
                <w:szCs w:val="7"/>
                <w:color w:val="auto"/>
              </w:rPr>
            </w:pPr>
          </w:p>
        </w:tc>
        <w:tc>
          <w:tcPr>
            <w:tcW w:w="660" w:type="dxa"/>
            <w:vAlign w:val="bottom"/>
          </w:tcPr>
          <w:p>
            <w:pPr>
              <w:spacing w:after="0"/>
              <w:rPr>
                <w:sz w:val="7"/>
                <w:szCs w:val="7"/>
                <w:color w:val="auto"/>
              </w:rPr>
            </w:pPr>
          </w:p>
        </w:tc>
        <w:tc>
          <w:tcPr>
            <w:tcW w:w="1280" w:type="dxa"/>
            <w:vAlign w:val="bottom"/>
          </w:tcPr>
          <w:p>
            <w:pPr>
              <w:spacing w:after="0"/>
              <w:rPr>
                <w:sz w:val="7"/>
                <w:szCs w:val="7"/>
                <w:color w:val="auto"/>
              </w:rPr>
            </w:pPr>
          </w:p>
        </w:tc>
        <w:tc>
          <w:tcPr>
            <w:tcW w:w="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9"/>
        </w:trPr>
        <w:tc>
          <w:tcPr>
            <w:tcW w:w="7880" w:type="dxa"/>
            <w:vAlign w:val="bottom"/>
          </w:tcPr>
          <w:p>
            <w:pPr>
              <w:ind w:left="80"/>
              <w:spacing w:after="0"/>
              <w:rPr>
                <w:sz w:val="20"/>
                <w:szCs w:val="20"/>
                <w:color w:val="auto"/>
              </w:rPr>
            </w:pPr>
            <w:r>
              <w:rPr>
                <w:rFonts w:ascii="Arial" w:cs="Arial" w:eastAsia="Arial" w:hAnsi="Arial"/>
                <w:sz w:val="15"/>
                <w:szCs w:val="15"/>
                <w:color w:val="auto"/>
              </w:rPr>
              <w:t>The Exculpation Amendment would modify our Charter to provide for exculpation for certain corporate officers of</w:t>
            </w:r>
          </w:p>
        </w:tc>
        <w:tc>
          <w:tcPr>
            <w:tcW w:w="660" w:type="dxa"/>
            <w:vAlign w:val="bottom"/>
          </w:tcPr>
          <w:p>
            <w:pPr>
              <w:spacing w:after="0"/>
              <w:rPr>
                <w:sz w:val="19"/>
                <w:szCs w:val="19"/>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Report of the</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4"/>
        </w:trPr>
        <w:tc>
          <w:tcPr>
            <w:tcW w:w="7880" w:type="dxa"/>
            <w:vAlign w:val="bottom"/>
            <w:vMerge w:val="restart"/>
          </w:tcPr>
          <w:p>
            <w:pPr>
              <w:ind w:left="80"/>
              <w:spacing w:after="0"/>
              <w:rPr>
                <w:sz w:val="20"/>
                <w:szCs w:val="20"/>
                <w:color w:val="auto"/>
              </w:rPr>
            </w:pPr>
            <w:r>
              <w:rPr>
                <w:rFonts w:ascii="Arial" w:cs="Arial" w:eastAsia="Arial" w:hAnsi="Arial"/>
                <w:sz w:val="15"/>
                <w:szCs w:val="15"/>
                <w:color w:val="auto"/>
              </w:rPr>
              <w:t>the Company for monetary damages resulting from a breach of the fiduciary duty of care, subject to certain</w:t>
            </w:r>
          </w:p>
        </w:tc>
        <w:tc>
          <w:tcPr>
            <w:tcW w:w="660" w:type="dxa"/>
            <w:vAlign w:val="bottom"/>
          </w:tcPr>
          <w:p>
            <w:pPr>
              <w:spacing w:after="0"/>
              <w:rPr>
                <w:sz w:val="7"/>
                <w:szCs w:val="7"/>
                <w:color w:val="auto"/>
              </w:rPr>
            </w:pPr>
          </w:p>
        </w:tc>
        <w:tc>
          <w:tcPr>
            <w:tcW w:w="1280" w:type="dxa"/>
            <w:vAlign w:val="bottom"/>
          </w:tcPr>
          <w:p>
            <w:pPr>
              <w:ind w:left="140"/>
              <w:spacing w:after="0" w:line="85" w:lineRule="exact"/>
              <w:rPr>
                <w:sz w:val="20"/>
                <w:szCs w:val="20"/>
                <w:color w:val="auto"/>
              </w:rPr>
            </w:pPr>
            <w:r>
              <w:rPr>
                <w:rFonts w:ascii="Arial" w:cs="Arial" w:eastAsia="Arial" w:hAnsi="Arial"/>
                <w:sz w:val="8"/>
                <w:szCs w:val="8"/>
                <w:color w:val="FFFFFF"/>
              </w:rPr>
              <w:t>Compensation</w:t>
            </w:r>
          </w:p>
        </w:tc>
        <w:tc>
          <w:tcPr>
            <w:tcW w:w="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0"/>
        </w:trPr>
        <w:tc>
          <w:tcPr>
            <w:tcW w:w="7880" w:type="dxa"/>
            <w:vAlign w:val="bottom"/>
            <w:vMerge w:val="continue"/>
          </w:tcPr>
          <w:p>
            <w:pPr>
              <w:spacing w:after="0"/>
              <w:rPr>
                <w:sz w:val="10"/>
                <w:szCs w:val="10"/>
                <w:color w:val="auto"/>
              </w:rPr>
            </w:pPr>
          </w:p>
        </w:tc>
        <w:tc>
          <w:tcPr>
            <w:tcW w:w="660" w:type="dxa"/>
            <w:vAlign w:val="bottom"/>
          </w:tcPr>
          <w:p>
            <w:pPr>
              <w:spacing w:after="0"/>
              <w:rPr>
                <w:sz w:val="10"/>
                <w:szCs w:val="10"/>
                <w:color w:val="auto"/>
              </w:rPr>
            </w:pPr>
          </w:p>
        </w:tc>
        <w:tc>
          <w:tcPr>
            <w:tcW w:w="1280" w:type="dxa"/>
            <w:vAlign w:val="bottom"/>
          </w:tcPr>
          <w:p>
            <w:pPr>
              <w:ind w:left="140"/>
              <w:spacing w:after="0" w:line="121" w:lineRule="exact"/>
              <w:rPr>
                <w:sz w:val="20"/>
                <w:szCs w:val="20"/>
                <w:color w:val="auto"/>
              </w:rPr>
            </w:pPr>
            <w:r>
              <w:rPr>
                <w:rFonts w:ascii="Arial" w:cs="Arial" w:eastAsia="Arial" w:hAnsi="Arial"/>
                <w:sz w:val="12"/>
                <w:szCs w:val="12"/>
                <w:color w:val="FFFFFF"/>
              </w:rPr>
              <w:t>and Human</w:t>
            </w: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7880" w:type="dxa"/>
            <w:vAlign w:val="bottom"/>
          </w:tcPr>
          <w:p>
            <w:pPr>
              <w:ind w:left="80"/>
              <w:spacing w:after="0" w:line="153" w:lineRule="exact"/>
              <w:rPr>
                <w:sz w:val="20"/>
                <w:szCs w:val="20"/>
                <w:color w:val="auto"/>
              </w:rPr>
            </w:pPr>
            <w:r>
              <w:rPr>
                <w:rFonts w:ascii="Arial" w:cs="Arial" w:eastAsia="Arial" w:hAnsi="Arial"/>
                <w:sz w:val="15"/>
                <w:szCs w:val="15"/>
                <w:color w:val="auto"/>
              </w:rPr>
              <w:t>limitations, as permitted by a 2022 amendment to the Delaware General Corporation Law (“DGCL”).</w:t>
            </w:r>
          </w:p>
        </w:tc>
        <w:tc>
          <w:tcPr>
            <w:tcW w:w="660" w:type="dxa"/>
            <w:vAlign w:val="bottom"/>
          </w:tcPr>
          <w:p>
            <w:pPr>
              <w:spacing w:after="0"/>
              <w:rPr>
                <w:sz w:val="13"/>
                <w:szCs w:val="13"/>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Resources</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0"/>
        </w:trPr>
        <w:tc>
          <w:tcPr>
            <w:tcW w:w="78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80" w:type="dxa"/>
            <w:vAlign w:val="bottom"/>
          </w:tcPr>
          <w:p>
            <w:pPr>
              <w:ind w:left="140"/>
              <w:spacing w:after="0" w:line="110" w:lineRule="exact"/>
              <w:rPr>
                <w:sz w:val="20"/>
                <w:szCs w:val="20"/>
                <w:color w:val="auto"/>
              </w:rPr>
            </w:pPr>
            <w:r>
              <w:rPr>
                <w:rFonts w:ascii="Arial" w:cs="Arial" w:eastAsia="Arial" w:hAnsi="Arial"/>
                <w:sz w:val="12"/>
                <w:szCs w:val="12"/>
                <w:color w:val="FFFFFF"/>
              </w:rPr>
              <w:t>Committee of the</w:t>
            </w: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7"/>
        </w:trPr>
        <w:tc>
          <w:tcPr>
            <w:tcW w:w="7880" w:type="dxa"/>
            <w:vAlign w:val="bottom"/>
          </w:tcPr>
          <w:p>
            <w:pPr>
              <w:ind w:left="80"/>
              <w:spacing w:after="0"/>
              <w:rPr>
                <w:sz w:val="20"/>
                <w:szCs w:val="20"/>
                <w:color w:val="auto"/>
              </w:rPr>
            </w:pPr>
            <w:r>
              <w:rPr>
                <w:rFonts w:ascii="Arial" w:cs="Arial" w:eastAsia="Arial" w:hAnsi="Arial"/>
                <w:sz w:val="15"/>
                <w:szCs w:val="15"/>
                <w:i w:val="1"/>
                <w:iCs w:val="1"/>
                <w:color w:val="B95827"/>
              </w:rPr>
              <w:t xml:space="preserve">Background. </w:t>
            </w:r>
            <w:r>
              <w:rPr>
                <w:rFonts w:ascii="Arial" w:cs="Arial" w:eastAsia="Arial" w:hAnsi="Arial"/>
                <w:sz w:val="15"/>
                <w:szCs w:val="15"/>
                <w:color w:val="000000"/>
              </w:rPr>
              <w:t>The Company is incorporated in the State of Delaware and is, therefore, subject to the DGCL. The</w:t>
            </w:r>
          </w:p>
        </w:tc>
        <w:tc>
          <w:tcPr>
            <w:tcW w:w="660" w:type="dxa"/>
            <w:vAlign w:val="bottom"/>
          </w:tcPr>
          <w:p>
            <w:pPr>
              <w:spacing w:after="0"/>
              <w:rPr>
                <w:sz w:val="17"/>
                <w:szCs w:val="17"/>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Board of Directors</w:t>
            </w: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9"/>
        </w:trPr>
        <w:tc>
          <w:tcPr>
            <w:tcW w:w="7880" w:type="dxa"/>
            <w:vAlign w:val="bottom"/>
          </w:tcPr>
          <w:p>
            <w:pPr>
              <w:ind w:left="80"/>
              <w:spacing w:after="0"/>
              <w:rPr>
                <w:sz w:val="20"/>
                <w:szCs w:val="20"/>
                <w:color w:val="auto"/>
              </w:rPr>
            </w:pPr>
            <w:r>
              <w:rPr>
                <w:rFonts w:ascii="Arial" w:cs="Arial" w:eastAsia="Arial" w:hAnsi="Arial"/>
                <w:sz w:val="15"/>
                <w:szCs w:val="15"/>
                <w:color w:val="auto"/>
              </w:rPr>
              <w:t>DGCL permits Delaware corporations to limit or eliminate directors’ personal liability for monetary damages</w:t>
            </w:r>
          </w:p>
        </w:tc>
        <w:tc>
          <w:tcPr>
            <w:tcW w:w="660" w:type="dxa"/>
            <w:vAlign w:val="bottom"/>
          </w:tcPr>
          <w:p>
            <w:pPr>
              <w:spacing w:after="0"/>
              <w:rPr>
                <w:sz w:val="15"/>
                <w:szCs w:val="15"/>
                <w:color w:val="auto"/>
              </w:rPr>
            </w:pPr>
          </w:p>
        </w:tc>
        <w:tc>
          <w:tcPr>
            <w:tcW w:w="1280" w:type="dxa"/>
            <w:vAlign w:val="bottom"/>
            <w:vMerge w:val="restart"/>
          </w:tcPr>
          <w:p>
            <w:pPr>
              <w:ind w:left="140"/>
              <w:spacing w:after="0"/>
              <w:rPr>
                <w:sz w:val="20"/>
                <w:szCs w:val="20"/>
                <w:color w:val="auto"/>
              </w:rPr>
            </w:pPr>
            <w:r>
              <w:rPr>
                <w:rFonts w:ascii="Arial" w:cs="Arial" w:eastAsia="Arial" w:hAnsi="Arial"/>
                <w:sz w:val="12"/>
                <w:szCs w:val="12"/>
                <w:color w:val="FFFFFF"/>
              </w:rPr>
              <w:t>Compensation of</w:t>
            </w: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6"/>
        </w:trPr>
        <w:tc>
          <w:tcPr>
            <w:tcW w:w="7880" w:type="dxa"/>
            <w:vAlign w:val="bottom"/>
            <w:vMerge w:val="restart"/>
          </w:tcPr>
          <w:p>
            <w:pPr>
              <w:ind w:left="80"/>
              <w:spacing w:after="0"/>
              <w:rPr>
                <w:sz w:val="20"/>
                <w:szCs w:val="20"/>
                <w:color w:val="auto"/>
              </w:rPr>
            </w:pPr>
            <w:r>
              <w:rPr>
                <w:rFonts w:ascii="Arial" w:cs="Arial" w:eastAsia="Arial" w:hAnsi="Arial"/>
                <w:sz w:val="15"/>
                <w:szCs w:val="15"/>
                <w:color w:val="auto"/>
              </w:rPr>
              <w:t>resulting from a breach of the fiduciary duty of care, subject to certain limitations such as prohibiting exculpation</w:t>
            </w:r>
          </w:p>
        </w:tc>
        <w:tc>
          <w:tcPr>
            <w:tcW w:w="66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28"/>
        </w:trPr>
        <w:tc>
          <w:tcPr>
            <w:tcW w:w="7880" w:type="dxa"/>
            <w:vAlign w:val="bottom"/>
            <w:vMerge w:val="continue"/>
          </w:tcPr>
          <w:p>
            <w:pPr>
              <w:spacing w:after="0"/>
              <w:rPr>
                <w:sz w:val="11"/>
                <w:szCs w:val="11"/>
                <w:color w:val="auto"/>
              </w:rPr>
            </w:pPr>
          </w:p>
        </w:tc>
        <w:tc>
          <w:tcPr>
            <w:tcW w:w="660" w:type="dxa"/>
            <w:vAlign w:val="bottom"/>
          </w:tcPr>
          <w:p>
            <w:pPr>
              <w:spacing w:after="0"/>
              <w:rPr>
                <w:sz w:val="11"/>
                <w:szCs w:val="11"/>
                <w:color w:val="auto"/>
              </w:rPr>
            </w:pPr>
          </w:p>
        </w:tc>
        <w:tc>
          <w:tcPr>
            <w:tcW w:w="1280" w:type="dxa"/>
            <w:vAlign w:val="bottom"/>
          </w:tcPr>
          <w:p>
            <w:pPr>
              <w:ind w:left="140"/>
              <w:spacing w:after="0" w:line="128" w:lineRule="exact"/>
              <w:rPr>
                <w:sz w:val="20"/>
                <w:szCs w:val="20"/>
                <w:color w:val="auto"/>
              </w:rPr>
            </w:pPr>
            <w:r>
              <w:rPr>
                <w:rFonts w:ascii="Arial" w:cs="Arial" w:eastAsia="Arial" w:hAnsi="Arial"/>
                <w:sz w:val="12"/>
                <w:szCs w:val="12"/>
                <w:color w:val="FFFFFF"/>
              </w:rPr>
              <w:t>Named Executive</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4"/>
        </w:trPr>
        <w:tc>
          <w:tcPr>
            <w:tcW w:w="7880" w:type="dxa"/>
            <w:vAlign w:val="bottom"/>
          </w:tcPr>
          <w:p>
            <w:pPr>
              <w:ind w:left="80"/>
              <w:spacing w:after="0"/>
              <w:rPr>
                <w:sz w:val="20"/>
                <w:szCs w:val="20"/>
                <w:color w:val="auto"/>
              </w:rPr>
            </w:pPr>
            <w:r>
              <w:rPr>
                <w:rFonts w:ascii="Arial" w:cs="Arial" w:eastAsia="Arial" w:hAnsi="Arial"/>
                <w:sz w:val="15"/>
                <w:szCs w:val="15"/>
                <w:color w:val="auto"/>
              </w:rPr>
              <w:t>for intentional misconduct or knowing violations of the law. These provisions are referred to as “exculpatory</w:t>
            </w:r>
          </w:p>
        </w:tc>
        <w:tc>
          <w:tcPr>
            <w:tcW w:w="660" w:type="dxa"/>
            <w:vAlign w:val="bottom"/>
          </w:tcPr>
          <w:p>
            <w:pPr>
              <w:spacing w:after="0"/>
              <w:rPr>
                <w:sz w:val="16"/>
                <w:szCs w:val="16"/>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Officers</w:t>
            </w: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7880" w:type="dxa"/>
            <w:vAlign w:val="bottom"/>
          </w:tcPr>
          <w:p>
            <w:pPr>
              <w:ind w:left="80"/>
              <w:spacing w:after="0"/>
              <w:rPr>
                <w:sz w:val="20"/>
                <w:szCs w:val="20"/>
                <w:color w:val="auto"/>
              </w:rPr>
            </w:pPr>
            <w:r>
              <w:rPr>
                <w:rFonts w:ascii="Arial" w:cs="Arial" w:eastAsia="Arial" w:hAnsi="Arial"/>
                <w:sz w:val="15"/>
                <w:szCs w:val="15"/>
                <w:color w:val="auto"/>
              </w:rPr>
              <w:t>provisions” or “exculpatory protections.” Exculpatory provisions for directors are included in our Charter.</w:t>
            </w:r>
          </w:p>
        </w:tc>
        <w:tc>
          <w:tcPr>
            <w:tcW w:w="660" w:type="dxa"/>
            <w:vAlign w:val="bottom"/>
          </w:tcPr>
          <w:p>
            <w:pPr>
              <w:spacing w:after="0"/>
              <w:rPr>
                <w:sz w:val="17"/>
                <w:szCs w:val="17"/>
                <w:color w:val="auto"/>
              </w:rPr>
            </w:pPr>
          </w:p>
        </w:tc>
        <w:tc>
          <w:tcPr>
            <w:tcW w:w="1280" w:type="dxa"/>
            <w:vAlign w:val="bottom"/>
            <w:vMerge w:val="restart"/>
          </w:tcPr>
          <w:p>
            <w:pPr>
              <w:ind w:left="140"/>
              <w:spacing w:after="0"/>
              <w:rPr>
                <w:sz w:val="20"/>
                <w:szCs w:val="20"/>
                <w:color w:val="auto"/>
              </w:rPr>
            </w:pPr>
            <w:r>
              <w:rPr>
                <w:rFonts w:ascii="Arial" w:cs="Arial" w:eastAsia="Arial" w:hAnsi="Arial"/>
                <w:sz w:val="12"/>
                <w:szCs w:val="12"/>
                <w:color w:val="FFFFFF"/>
              </w:rPr>
              <w:t>Pay Versus</w:t>
            </w: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6"/>
        </w:trPr>
        <w:tc>
          <w:tcPr>
            <w:tcW w:w="78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7880" w:type="dxa"/>
            <w:vAlign w:val="bottom"/>
            <w:vMerge w:val="restart"/>
          </w:tcPr>
          <w:p>
            <w:pPr>
              <w:ind w:left="80"/>
              <w:spacing w:after="0"/>
              <w:rPr>
                <w:sz w:val="20"/>
                <w:szCs w:val="20"/>
                <w:color w:val="auto"/>
              </w:rPr>
            </w:pPr>
            <w:r>
              <w:rPr>
                <w:rFonts w:ascii="Arial" w:cs="Arial" w:eastAsia="Arial" w:hAnsi="Arial"/>
                <w:sz w:val="15"/>
                <w:szCs w:val="15"/>
                <w:color w:val="auto"/>
              </w:rPr>
              <w:t>In August 2022, the Delaware legislature amended Section 102(b)(7) of the DGCL to permit Delaware</w:t>
            </w:r>
          </w:p>
        </w:tc>
        <w:tc>
          <w:tcPr>
            <w:tcW w:w="660" w:type="dxa"/>
            <w:vAlign w:val="bottom"/>
          </w:tcPr>
          <w:p>
            <w:pPr>
              <w:spacing w:after="0"/>
              <w:rPr>
                <w:sz w:val="11"/>
                <w:szCs w:val="11"/>
                <w:color w:val="auto"/>
              </w:rPr>
            </w:pPr>
          </w:p>
        </w:tc>
        <w:tc>
          <w:tcPr>
            <w:tcW w:w="1280" w:type="dxa"/>
            <w:vAlign w:val="bottom"/>
          </w:tcPr>
          <w:p>
            <w:pPr>
              <w:ind w:left="140"/>
              <w:spacing w:after="0" w:line="128" w:lineRule="exact"/>
              <w:rPr>
                <w:sz w:val="20"/>
                <w:szCs w:val="20"/>
                <w:color w:val="auto"/>
              </w:rPr>
            </w:pPr>
            <w:r>
              <w:rPr>
                <w:rFonts w:ascii="Arial" w:cs="Arial" w:eastAsia="Arial" w:hAnsi="Arial"/>
                <w:sz w:val="12"/>
                <w:szCs w:val="12"/>
                <w:color w:val="FFFFFF"/>
              </w:rPr>
              <w:t>Performance</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7880" w:type="dxa"/>
            <w:vAlign w:val="bottom"/>
            <w:vMerge w:val="continue"/>
          </w:tcPr>
          <w:p>
            <w:pPr>
              <w:spacing w:after="0"/>
              <w:rPr>
                <w:sz w:val="10"/>
                <w:szCs w:val="10"/>
                <w:color w:val="auto"/>
              </w:rPr>
            </w:pPr>
          </w:p>
        </w:tc>
        <w:tc>
          <w:tcPr>
            <w:tcW w:w="660" w:type="dxa"/>
            <w:vAlign w:val="bottom"/>
          </w:tcPr>
          <w:p>
            <w:pPr>
              <w:spacing w:after="0"/>
              <w:rPr>
                <w:sz w:val="10"/>
                <w:szCs w:val="10"/>
                <w:color w:val="auto"/>
              </w:rPr>
            </w:pPr>
          </w:p>
        </w:tc>
        <w:tc>
          <w:tcPr>
            <w:tcW w:w="1280" w:type="dxa"/>
            <w:vAlign w:val="bottom"/>
          </w:tcPr>
          <w:p>
            <w:pPr>
              <w:ind w:left="140"/>
              <w:spacing w:after="0" w:line="120" w:lineRule="exact"/>
              <w:rPr>
                <w:sz w:val="20"/>
                <w:szCs w:val="20"/>
                <w:color w:val="auto"/>
              </w:rPr>
            </w:pPr>
            <w:r>
              <w:rPr>
                <w:rFonts w:ascii="Arial" w:cs="Arial" w:eastAsia="Arial" w:hAnsi="Arial"/>
                <w:sz w:val="12"/>
                <w:szCs w:val="12"/>
                <w:color w:val="FFFFFF"/>
              </w:rPr>
              <w:t>Disclosure</w:t>
            </w: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6"/>
        </w:trPr>
        <w:tc>
          <w:tcPr>
            <w:tcW w:w="7880" w:type="dxa"/>
            <w:vAlign w:val="bottom"/>
          </w:tcPr>
          <w:p>
            <w:pPr>
              <w:ind w:left="80"/>
              <w:spacing w:after="0" w:line="167" w:lineRule="exact"/>
              <w:rPr>
                <w:sz w:val="20"/>
                <w:szCs w:val="20"/>
                <w:color w:val="auto"/>
              </w:rPr>
            </w:pPr>
            <w:r>
              <w:rPr>
                <w:rFonts w:ascii="Arial" w:cs="Arial" w:eastAsia="Arial" w:hAnsi="Arial"/>
                <w:sz w:val="15"/>
                <w:szCs w:val="15"/>
                <w:color w:val="auto"/>
              </w:rPr>
              <w:t>corporations to provide similar exculpatory protections for officers in corporate charters. This change was due in</w:t>
            </w:r>
          </w:p>
        </w:tc>
        <w:tc>
          <w:tcPr>
            <w:tcW w:w="6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7880" w:type="dxa"/>
            <w:vAlign w:val="bottom"/>
          </w:tcPr>
          <w:p>
            <w:pPr>
              <w:ind w:left="80"/>
              <w:spacing w:after="0" w:line="153" w:lineRule="exact"/>
              <w:rPr>
                <w:sz w:val="20"/>
                <w:szCs w:val="20"/>
                <w:color w:val="auto"/>
              </w:rPr>
            </w:pPr>
            <w:r>
              <w:rPr>
                <w:rFonts w:ascii="Arial" w:cs="Arial" w:eastAsia="Arial" w:hAnsi="Arial"/>
                <w:sz w:val="15"/>
                <w:szCs w:val="15"/>
                <w:color w:val="auto"/>
              </w:rPr>
              <w:t>part to the recognition that both officers and directors owe fiduciary duties to corporations, and yet only directors</w:t>
            </w:r>
          </w:p>
        </w:tc>
        <w:tc>
          <w:tcPr>
            <w:tcW w:w="660" w:type="dxa"/>
            <w:vAlign w:val="bottom"/>
          </w:tcPr>
          <w:p>
            <w:pPr>
              <w:spacing w:after="0"/>
              <w:rPr>
                <w:sz w:val="13"/>
                <w:szCs w:val="13"/>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Security</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0"/>
        </w:trPr>
        <w:tc>
          <w:tcPr>
            <w:tcW w:w="7880" w:type="dxa"/>
            <w:vAlign w:val="bottom"/>
            <w:vMerge w:val="restart"/>
          </w:tcPr>
          <w:p>
            <w:pPr>
              <w:ind w:left="80"/>
              <w:spacing w:after="0"/>
              <w:rPr>
                <w:sz w:val="20"/>
                <w:szCs w:val="20"/>
                <w:color w:val="auto"/>
              </w:rPr>
            </w:pPr>
            <w:r>
              <w:rPr>
                <w:rFonts w:ascii="Arial" w:cs="Arial" w:eastAsia="Arial" w:hAnsi="Arial"/>
                <w:sz w:val="15"/>
                <w:szCs w:val="15"/>
                <w:color w:val="auto"/>
              </w:rPr>
              <w:t>were protected by the exculpatory provisions. In addition, plaintiffs may attempt to exploit the absence of</w:t>
            </w:r>
          </w:p>
        </w:tc>
        <w:tc>
          <w:tcPr>
            <w:tcW w:w="660" w:type="dxa"/>
            <w:vAlign w:val="bottom"/>
          </w:tcPr>
          <w:p>
            <w:pPr>
              <w:spacing w:after="0"/>
              <w:rPr>
                <w:sz w:val="9"/>
                <w:szCs w:val="9"/>
                <w:color w:val="auto"/>
              </w:rPr>
            </w:pPr>
          </w:p>
        </w:tc>
        <w:tc>
          <w:tcPr>
            <w:tcW w:w="1280" w:type="dxa"/>
            <w:vAlign w:val="bottom"/>
          </w:tcPr>
          <w:p>
            <w:pPr>
              <w:ind w:left="140"/>
              <w:spacing w:after="0" w:line="110" w:lineRule="exact"/>
              <w:rPr>
                <w:sz w:val="20"/>
                <w:szCs w:val="20"/>
                <w:color w:val="auto"/>
              </w:rPr>
            </w:pPr>
            <w:r>
              <w:rPr>
                <w:rFonts w:ascii="Arial" w:cs="Arial" w:eastAsia="Arial" w:hAnsi="Arial"/>
                <w:sz w:val="12"/>
                <w:szCs w:val="12"/>
                <w:color w:val="FFFFFF"/>
              </w:rPr>
              <w:t>Ownership of</w:t>
            </w: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7880" w:type="dxa"/>
            <w:vAlign w:val="bottom"/>
            <w:vMerge w:val="continue"/>
          </w:tcPr>
          <w:p>
            <w:pPr>
              <w:spacing w:after="0"/>
              <w:rPr>
                <w:sz w:val="10"/>
                <w:szCs w:val="10"/>
                <w:color w:val="auto"/>
              </w:rPr>
            </w:pPr>
          </w:p>
        </w:tc>
        <w:tc>
          <w:tcPr>
            <w:tcW w:w="660" w:type="dxa"/>
            <w:vAlign w:val="bottom"/>
          </w:tcPr>
          <w:p>
            <w:pPr>
              <w:spacing w:after="0"/>
              <w:rPr>
                <w:sz w:val="10"/>
                <w:szCs w:val="10"/>
                <w:color w:val="auto"/>
              </w:rPr>
            </w:pPr>
          </w:p>
        </w:tc>
        <w:tc>
          <w:tcPr>
            <w:tcW w:w="1280" w:type="dxa"/>
            <w:vAlign w:val="bottom"/>
          </w:tcPr>
          <w:p>
            <w:pPr>
              <w:ind w:left="140"/>
              <w:spacing w:after="0" w:line="120" w:lineRule="exact"/>
              <w:rPr>
                <w:sz w:val="20"/>
                <w:szCs w:val="20"/>
                <w:color w:val="auto"/>
              </w:rPr>
            </w:pPr>
            <w:r>
              <w:rPr>
                <w:rFonts w:ascii="Arial" w:cs="Arial" w:eastAsia="Arial" w:hAnsi="Arial"/>
                <w:sz w:val="12"/>
                <w:szCs w:val="12"/>
                <w:color w:val="FFFFFF"/>
              </w:rPr>
              <w:t>Certain Beneficial</w:t>
            </w: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7880" w:type="dxa"/>
            <w:vAlign w:val="bottom"/>
          </w:tcPr>
          <w:p>
            <w:pPr>
              <w:ind w:left="80"/>
              <w:spacing w:after="0" w:line="136" w:lineRule="exact"/>
              <w:rPr>
                <w:sz w:val="20"/>
                <w:szCs w:val="20"/>
                <w:color w:val="auto"/>
              </w:rPr>
            </w:pPr>
            <w:r>
              <w:rPr>
                <w:rFonts w:ascii="Arial" w:cs="Arial" w:eastAsia="Arial" w:hAnsi="Arial"/>
                <w:sz w:val="15"/>
                <w:szCs w:val="15"/>
                <w:color w:val="auto"/>
              </w:rPr>
              <w:t>protection for officers to prolong litigation and extract settlements for nuisance claims.</w:t>
            </w:r>
          </w:p>
        </w:tc>
        <w:tc>
          <w:tcPr>
            <w:tcW w:w="660" w:type="dxa"/>
            <w:vAlign w:val="bottom"/>
          </w:tcPr>
          <w:p>
            <w:pPr>
              <w:spacing w:after="0"/>
              <w:rPr>
                <w:sz w:val="11"/>
                <w:szCs w:val="11"/>
                <w:color w:val="auto"/>
              </w:rPr>
            </w:pPr>
          </w:p>
        </w:tc>
        <w:tc>
          <w:tcPr>
            <w:tcW w:w="1280" w:type="dxa"/>
            <w:vAlign w:val="bottom"/>
          </w:tcPr>
          <w:p>
            <w:pPr>
              <w:ind w:left="140"/>
              <w:spacing w:after="0" w:line="136" w:lineRule="exact"/>
              <w:rPr>
                <w:sz w:val="20"/>
                <w:szCs w:val="20"/>
                <w:color w:val="auto"/>
              </w:rPr>
            </w:pPr>
            <w:r>
              <w:rPr>
                <w:rFonts w:ascii="Arial" w:cs="Arial" w:eastAsia="Arial" w:hAnsi="Arial"/>
                <w:sz w:val="12"/>
                <w:szCs w:val="12"/>
                <w:color w:val="FFFFFF"/>
              </w:rPr>
              <w:t>Owners and</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7880" w:type="dxa"/>
            <w:vAlign w:val="bottom"/>
            <w:vMerge w:val="restart"/>
          </w:tcPr>
          <w:p>
            <w:pPr>
              <w:ind w:left="80"/>
              <w:spacing w:after="0"/>
              <w:rPr>
                <w:sz w:val="20"/>
                <w:szCs w:val="20"/>
                <w:color w:val="auto"/>
              </w:rPr>
            </w:pPr>
            <w:r>
              <w:rPr>
                <w:rFonts w:ascii="Arial" w:cs="Arial" w:eastAsia="Arial" w:hAnsi="Arial"/>
                <w:sz w:val="15"/>
                <w:szCs w:val="15"/>
                <w:i w:val="1"/>
                <w:iCs w:val="1"/>
                <w:color w:val="B95827"/>
              </w:rPr>
              <w:t xml:space="preserve">Persons Covered. </w:t>
            </w:r>
            <w:r>
              <w:rPr>
                <w:rFonts w:ascii="Arial" w:cs="Arial" w:eastAsia="Arial" w:hAnsi="Arial"/>
                <w:sz w:val="15"/>
                <w:szCs w:val="15"/>
                <w:color w:val="000000"/>
              </w:rPr>
              <w:t>The Exculpation Amendment defines “officer” by reference to Section 102(b)(7) of the DGCL.</w:t>
            </w:r>
          </w:p>
        </w:tc>
        <w:tc>
          <w:tcPr>
            <w:tcW w:w="660" w:type="dxa"/>
            <w:vAlign w:val="bottom"/>
          </w:tcPr>
          <w:p>
            <w:pPr>
              <w:spacing w:after="0"/>
              <w:rPr>
                <w:sz w:val="13"/>
                <w:szCs w:val="13"/>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Management</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7880" w:type="dxa"/>
            <w:vAlign w:val="bottom"/>
            <w:vMerge w:val="continue"/>
          </w:tcPr>
          <w:p>
            <w:pPr>
              <w:spacing w:after="0"/>
              <w:rPr>
                <w:sz w:val="13"/>
                <w:szCs w:val="13"/>
                <w:color w:val="auto"/>
              </w:rPr>
            </w:pPr>
          </w:p>
        </w:tc>
        <w:tc>
          <w:tcPr>
            <w:tcW w:w="660" w:type="dxa"/>
            <w:vAlign w:val="bottom"/>
          </w:tcPr>
          <w:p>
            <w:pPr>
              <w:spacing w:after="0"/>
              <w:rPr>
                <w:sz w:val="13"/>
                <w:szCs w:val="13"/>
                <w:color w:val="auto"/>
              </w:rPr>
            </w:pPr>
          </w:p>
        </w:tc>
        <w:tc>
          <w:tcPr>
            <w:tcW w:w="1280" w:type="dxa"/>
            <w:vAlign w:val="bottom"/>
            <w:vMerge w:val="restart"/>
          </w:tcPr>
          <w:p>
            <w:pPr>
              <w:ind w:left="140"/>
              <w:spacing w:after="0"/>
              <w:rPr>
                <w:sz w:val="20"/>
                <w:szCs w:val="20"/>
                <w:color w:val="auto"/>
              </w:rPr>
            </w:pPr>
            <w:r>
              <w:rPr>
                <w:rFonts w:ascii="Arial" w:cs="Arial" w:eastAsia="Arial" w:hAnsi="Arial"/>
                <w:sz w:val="12"/>
                <w:szCs w:val="12"/>
                <w:color w:val="FFFFFF"/>
              </w:rPr>
              <w:t>Certain</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7880" w:type="dxa"/>
            <w:vAlign w:val="bottom"/>
          </w:tcPr>
          <w:p>
            <w:pPr>
              <w:ind w:left="80"/>
              <w:spacing w:after="0" w:line="153" w:lineRule="exact"/>
              <w:rPr>
                <w:sz w:val="20"/>
                <w:szCs w:val="20"/>
                <w:color w:val="auto"/>
              </w:rPr>
            </w:pPr>
            <w:r>
              <w:rPr>
                <w:rFonts w:ascii="Arial" w:cs="Arial" w:eastAsia="Arial" w:hAnsi="Arial"/>
                <w:sz w:val="15"/>
                <w:szCs w:val="15"/>
                <w:color w:val="auto"/>
              </w:rPr>
              <w:t>Accordingly, the officers who would be exculpated pursuant to the Exculpation Amendment consist of any person</w:t>
            </w:r>
          </w:p>
        </w:tc>
        <w:tc>
          <w:tcPr>
            <w:tcW w:w="660" w:type="dxa"/>
            <w:vAlign w:val="bottom"/>
          </w:tcPr>
          <w:p>
            <w:pPr>
              <w:spacing w:after="0"/>
              <w:rPr>
                <w:sz w:val="13"/>
                <w:szCs w:val="13"/>
                <w:color w:val="auto"/>
              </w:rPr>
            </w:pPr>
          </w:p>
        </w:tc>
        <w:tc>
          <w:tcPr>
            <w:tcW w:w="1280" w:type="dxa"/>
            <w:vAlign w:val="bottom"/>
            <w:vMerge w:val="continue"/>
          </w:tcPr>
          <w:p>
            <w:pPr>
              <w:spacing w:after="0"/>
              <w:rPr>
                <w:sz w:val="13"/>
                <w:szCs w:val="13"/>
                <w:color w:val="auto"/>
              </w:rPr>
            </w:pP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4"/>
        </w:trPr>
        <w:tc>
          <w:tcPr>
            <w:tcW w:w="7880" w:type="dxa"/>
            <w:vAlign w:val="bottom"/>
            <w:vMerge w:val="restart"/>
          </w:tcPr>
          <w:p>
            <w:pPr>
              <w:ind w:left="80"/>
              <w:spacing w:after="0"/>
              <w:rPr>
                <w:sz w:val="20"/>
                <w:szCs w:val="20"/>
                <w:color w:val="auto"/>
              </w:rPr>
            </w:pPr>
            <w:r>
              <w:rPr>
                <w:rFonts w:ascii="Arial" w:cs="Arial" w:eastAsia="Arial" w:hAnsi="Arial"/>
                <w:sz w:val="15"/>
                <w:szCs w:val="15"/>
                <w:color w:val="auto"/>
              </w:rPr>
              <w:t>who (i) is or was the president, chief executive officer, chief operating officer, chief financial officer, chief legal</w:t>
            </w:r>
          </w:p>
        </w:tc>
        <w:tc>
          <w:tcPr>
            <w:tcW w:w="660" w:type="dxa"/>
            <w:vAlign w:val="bottom"/>
          </w:tcPr>
          <w:p>
            <w:pPr>
              <w:spacing w:after="0"/>
              <w:rPr>
                <w:sz w:val="7"/>
                <w:szCs w:val="7"/>
                <w:color w:val="auto"/>
              </w:rPr>
            </w:pPr>
          </w:p>
        </w:tc>
        <w:tc>
          <w:tcPr>
            <w:tcW w:w="1280" w:type="dxa"/>
            <w:vAlign w:val="bottom"/>
          </w:tcPr>
          <w:p>
            <w:pPr>
              <w:ind w:left="140"/>
              <w:spacing w:after="0" w:line="85" w:lineRule="exact"/>
              <w:rPr>
                <w:sz w:val="20"/>
                <w:szCs w:val="20"/>
                <w:color w:val="auto"/>
              </w:rPr>
            </w:pPr>
            <w:r>
              <w:rPr>
                <w:rFonts w:ascii="Arial" w:cs="Arial" w:eastAsia="Arial" w:hAnsi="Arial"/>
                <w:sz w:val="8"/>
                <w:szCs w:val="8"/>
                <w:color w:val="FFFFFF"/>
              </w:rPr>
              <w:t>Relationships and</w:t>
            </w:r>
          </w:p>
        </w:tc>
        <w:tc>
          <w:tcPr>
            <w:tcW w:w="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0"/>
        </w:trPr>
        <w:tc>
          <w:tcPr>
            <w:tcW w:w="7880" w:type="dxa"/>
            <w:vAlign w:val="bottom"/>
            <w:vMerge w:val="continue"/>
          </w:tcPr>
          <w:p>
            <w:pPr>
              <w:spacing w:after="0"/>
              <w:rPr>
                <w:sz w:val="10"/>
                <w:szCs w:val="10"/>
                <w:color w:val="auto"/>
              </w:rPr>
            </w:pPr>
          </w:p>
        </w:tc>
        <w:tc>
          <w:tcPr>
            <w:tcW w:w="660" w:type="dxa"/>
            <w:vAlign w:val="bottom"/>
          </w:tcPr>
          <w:p>
            <w:pPr>
              <w:spacing w:after="0"/>
              <w:rPr>
                <w:sz w:val="10"/>
                <w:szCs w:val="10"/>
                <w:color w:val="auto"/>
              </w:rPr>
            </w:pPr>
          </w:p>
        </w:tc>
        <w:tc>
          <w:tcPr>
            <w:tcW w:w="1280" w:type="dxa"/>
            <w:vAlign w:val="bottom"/>
          </w:tcPr>
          <w:p>
            <w:pPr>
              <w:ind w:left="140"/>
              <w:spacing w:after="0" w:line="121" w:lineRule="exact"/>
              <w:rPr>
                <w:sz w:val="20"/>
                <w:szCs w:val="20"/>
                <w:color w:val="auto"/>
              </w:rPr>
            </w:pPr>
            <w:r>
              <w:rPr>
                <w:rFonts w:ascii="Arial" w:cs="Arial" w:eastAsia="Arial" w:hAnsi="Arial"/>
                <w:sz w:val="12"/>
                <w:szCs w:val="12"/>
                <w:color w:val="FFFFFF"/>
              </w:rPr>
              <w:t>Related Party</w:t>
            </w: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9"/>
        </w:trPr>
        <w:tc>
          <w:tcPr>
            <w:tcW w:w="7880" w:type="dxa"/>
            <w:vAlign w:val="bottom"/>
          </w:tcPr>
          <w:p>
            <w:pPr>
              <w:ind w:left="80"/>
              <w:spacing w:after="0"/>
              <w:rPr>
                <w:sz w:val="20"/>
                <w:szCs w:val="20"/>
                <w:color w:val="auto"/>
              </w:rPr>
            </w:pPr>
            <w:r>
              <w:rPr>
                <w:rFonts w:ascii="Arial" w:cs="Arial" w:eastAsia="Arial" w:hAnsi="Arial"/>
                <w:sz w:val="15"/>
                <w:szCs w:val="15"/>
                <w:color w:val="auto"/>
              </w:rPr>
              <w:t>officer, controller, treasurer or chief accounting officer of the Company at any time during the course of conduct</w:t>
            </w:r>
          </w:p>
        </w:tc>
        <w:tc>
          <w:tcPr>
            <w:tcW w:w="660" w:type="dxa"/>
            <w:vAlign w:val="bottom"/>
          </w:tcPr>
          <w:p>
            <w:pPr>
              <w:spacing w:after="0"/>
              <w:rPr>
                <w:sz w:val="15"/>
                <w:szCs w:val="15"/>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Transactions</w:t>
            </w: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7880" w:type="dxa"/>
            <w:vAlign w:val="bottom"/>
          </w:tcPr>
          <w:p>
            <w:pPr>
              <w:ind w:left="80"/>
              <w:spacing w:after="0"/>
              <w:rPr>
                <w:sz w:val="20"/>
                <w:szCs w:val="20"/>
                <w:color w:val="auto"/>
              </w:rPr>
            </w:pPr>
            <w:r>
              <w:rPr>
                <w:rFonts w:ascii="Arial" w:cs="Arial" w:eastAsia="Arial" w:hAnsi="Arial"/>
                <w:sz w:val="15"/>
                <w:szCs w:val="15"/>
                <w:color w:val="auto"/>
              </w:rPr>
              <w:t>alleged in the action or proceeding to be wrongful; (ii) is or was identified in the Company’s public filings with the</w:t>
            </w:r>
          </w:p>
        </w:tc>
        <w:tc>
          <w:tcPr>
            <w:tcW w:w="660" w:type="dxa"/>
            <w:vAlign w:val="bottom"/>
          </w:tcPr>
          <w:p>
            <w:pPr>
              <w:spacing w:after="0"/>
              <w:rPr>
                <w:sz w:val="15"/>
                <w:szCs w:val="15"/>
                <w:color w:val="auto"/>
              </w:rPr>
            </w:pPr>
          </w:p>
        </w:tc>
        <w:tc>
          <w:tcPr>
            <w:tcW w:w="1280" w:type="dxa"/>
            <w:vAlign w:val="bottom"/>
            <w:vMerge w:val="restart"/>
          </w:tcPr>
          <w:p>
            <w:pPr>
              <w:ind w:left="140"/>
              <w:spacing w:after="0"/>
              <w:rPr>
                <w:sz w:val="20"/>
                <w:szCs w:val="20"/>
                <w:color w:val="auto"/>
              </w:rPr>
            </w:pPr>
            <w:r>
              <w:rPr>
                <w:rFonts w:ascii="Arial" w:cs="Arial" w:eastAsia="Arial" w:hAnsi="Arial"/>
                <w:sz w:val="12"/>
                <w:szCs w:val="12"/>
                <w:color w:val="FFFFFF"/>
              </w:rPr>
              <w:t>Proposal 2</w:t>
            </w: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1"/>
        </w:trPr>
        <w:tc>
          <w:tcPr>
            <w:tcW w:w="7880" w:type="dxa"/>
            <w:vAlign w:val="bottom"/>
            <w:vMerge w:val="restart"/>
          </w:tcPr>
          <w:p>
            <w:pPr>
              <w:ind w:left="80"/>
              <w:spacing w:after="0"/>
              <w:rPr>
                <w:sz w:val="20"/>
                <w:szCs w:val="20"/>
                <w:color w:val="auto"/>
              </w:rPr>
            </w:pPr>
            <w:r>
              <w:rPr>
                <w:rFonts w:ascii="Arial" w:cs="Arial" w:eastAsia="Arial" w:hAnsi="Arial"/>
                <w:sz w:val="15"/>
                <w:szCs w:val="15"/>
                <w:color w:val="auto"/>
              </w:rPr>
              <w:t>SEC because such person is or was one of the most highly compensated executive officers of the Company at</w:t>
            </w:r>
          </w:p>
        </w:tc>
        <w:tc>
          <w:tcPr>
            <w:tcW w:w="660" w:type="dxa"/>
            <w:vAlign w:val="bottom"/>
          </w:tcPr>
          <w:p>
            <w:pPr>
              <w:spacing w:after="0"/>
              <w:rPr>
                <w:sz w:val="8"/>
                <w:szCs w:val="8"/>
                <w:color w:val="auto"/>
              </w:rPr>
            </w:pPr>
          </w:p>
        </w:tc>
        <w:tc>
          <w:tcPr>
            <w:tcW w:w="1280" w:type="dxa"/>
            <w:vAlign w:val="bottom"/>
            <w:vMerge w:val="continue"/>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7"/>
        </w:trPr>
        <w:tc>
          <w:tcPr>
            <w:tcW w:w="7880" w:type="dxa"/>
            <w:vAlign w:val="bottom"/>
            <w:vMerge w:val="continue"/>
          </w:tcPr>
          <w:p>
            <w:pPr>
              <w:spacing w:after="0"/>
              <w:rPr>
                <w:sz w:val="6"/>
                <w:szCs w:val="6"/>
                <w:color w:val="auto"/>
              </w:rPr>
            </w:pPr>
          </w:p>
        </w:tc>
        <w:tc>
          <w:tcPr>
            <w:tcW w:w="660" w:type="dxa"/>
            <w:vAlign w:val="bottom"/>
          </w:tcPr>
          <w:p>
            <w:pPr>
              <w:spacing w:after="0"/>
              <w:rPr>
                <w:sz w:val="6"/>
                <w:szCs w:val="6"/>
                <w:color w:val="auto"/>
              </w:rPr>
            </w:pPr>
          </w:p>
        </w:tc>
        <w:tc>
          <w:tcPr>
            <w:tcW w:w="1280" w:type="dxa"/>
            <w:vAlign w:val="bottom"/>
          </w:tcPr>
          <w:p>
            <w:pPr>
              <w:spacing w:after="0"/>
              <w:rPr>
                <w:sz w:val="6"/>
                <w:szCs w:val="6"/>
                <w:color w:val="auto"/>
              </w:rPr>
            </w:pPr>
          </w:p>
        </w:tc>
        <w:tc>
          <w:tcPr>
            <w:tcW w:w="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9"/>
        </w:trPr>
        <w:tc>
          <w:tcPr>
            <w:tcW w:w="7880" w:type="dxa"/>
            <w:vAlign w:val="bottom"/>
          </w:tcPr>
          <w:p>
            <w:pPr>
              <w:ind w:left="80"/>
              <w:spacing w:after="0"/>
              <w:rPr>
                <w:sz w:val="20"/>
                <w:szCs w:val="20"/>
                <w:color w:val="auto"/>
              </w:rPr>
            </w:pPr>
            <w:r>
              <w:rPr>
                <w:rFonts w:ascii="Arial" w:cs="Arial" w:eastAsia="Arial" w:hAnsi="Arial"/>
                <w:sz w:val="15"/>
                <w:szCs w:val="15"/>
                <w:color w:val="auto"/>
              </w:rPr>
              <w:t>any time during the course of conduct alleged in the action or proceeding to be wrongful; or (iii) has, by written</w:t>
            </w:r>
          </w:p>
        </w:tc>
        <w:tc>
          <w:tcPr>
            <w:tcW w:w="660" w:type="dxa"/>
            <w:vAlign w:val="bottom"/>
          </w:tcPr>
          <w:p>
            <w:pPr>
              <w:spacing w:after="0"/>
              <w:rPr>
                <w:sz w:val="15"/>
                <w:szCs w:val="15"/>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Report of the</w:t>
            </w: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7880" w:type="dxa"/>
            <w:vAlign w:val="bottom"/>
          </w:tcPr>
          <w:p>
            <w:pPr>
              <w:ind w:left="80"/>
              <w:spacing w:after="0" w:line="153" w:lineRule="exact"/>
              <w:rPr>
                <w:sz w:val="20"/>
                <w:szCs w:val="20"/>
                <w:color w:val="auto"/>
              </w:rPr>
            </w:pPr>
            <w:r>
              <w:rPr>
                <w:rFonts w:ascii="Arial" w:cs="Arial" w:eastAsia="Arial" w:hAnsi="Arial"/>
                <w:sz w:val="15"/>
                <w:szCs w:val="15"/>
                <w:color w:val="auto"/>
              </w:rPr>
              <w:t>agreement with the Company, consented to be identified as an officer for purposes of service of process in</w:t>
            </w:r>
          </w:p>
        </w:tc>
        <w:tc>
          <w:tcPr>
            <w:tcW w:w="660" w:type="dxa"/>
            <w:vAlign w:val="bottom"/>
          </w:tcPr>
          <w:p>
            <w:pPr>
              <w:spacing w:after="0"/>
              <w:rPr>
                <w:sz w:val="13"/>
                <w:szCs w:val="13"/>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Audit and Risk</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0"/>
        </w:trPr>
        <w:tc>
          <w:tcPr>
            <w:tcW w:w="7880" w:type="dxa"/>
            <w:vAlign w:val="bottom"/>
            <w:vMerge w:val="restart"/>
          </w:tcPr>
          <w:p>
            <w:pPr>
              <w:ind w:left="80"/>
              <w:spacing w:after="0"/>
              <w:rPr>
                <w:sz w:val="20"/>
                <w:szCs w:val="20"/>
                <w:color w:val="auto"/>
              </w:rPr>
            </w:pPr>
            <w:r>
              <w:rPr>
                <w:rFonts w:ascii="Arial" w:cs="Arial" w:eastAsia="Arial" w:hAnsi="Arial"/>
                <w:sz w:val="15"/>
                <w:szCs w:val="15"/>
                <w:color w:val="auto"/>
              </w:rPr>
              <w:t>Delaware.</w:t>
            </w:r>
          </w:p>
        </w:tc>
        <w:tc>
          <w:tcPr>
            <w:tcW w:w="660" w:type="dxa"/>
            <w:vAlign w:val="bottom"/>
          </w:tcPr>
          <w:p>
            <w:pPr>
              <w:spacing w:after="0"/>
              <w:rPr>
                <w:sz w:val="9"/>
                <w:szCs w:val="9"/>
                <w:color w:val="auto"/>
              </w:rPr>
            </w:pPr>
          </w:p>
        </w:tc>
        <w:tc>
          <w:tcPr>
            <w:tcW w:w="1280" w:type="dxa"/>
            <w:vAlign w:val="bottom"/>
          </w:tcPr>
          <w:p>
            <w:pPr>
              <w:ind w:left="140"/>
              <w:spacing w:after="0" w:line="110" w:lineRule="exact"/>
              <w:rPr>
                <w:sz w:val="20"/>
                <w:szCs w:val="20"/>
                <w:color w:val="auto"/>
              </w:rPr>
            </w:pPr>
            <w:r>
              <w:rPr>
                <w:rFonts w:ascii="Arial" w:cs="Arial" w:eastAsia="Arial" w:hAnsi="Arial"/>
                <w:sz w:val="12"/>
                <w:szCs w:val="12"/>
                <w:color w:val="FFFFFF"/>
              </w:rPr>
              <w:t>Committee of the</w:t>
            </w: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7880" w:type="dxa"/>
            <w:vAlign w:val="bottom"/>
            <w:vMerge w:val="continue"/>
          </w:tcPr>
          <w:p>
            <w:pPr>
              <w:spacing w:after="0"/>
              <w:rPr>
                <w:sz w:val="10"/>
                <w:szCs w:val="10"/>
                <w:color w:val="auto"/>
              </w:rPr>
            </w:pPr>
          </w:p>
        </w:tc>
        <w:tc>
          <w:tcPr>
            <w:tcW w:w="660" w:type="dxa"/>
            <w:vAlign w:val="bottom"/>
          </w:tcPr>
          <w:p>
            <w:pPr>
              <w:spacing w:after="0"/>
              <w:rPr>
                <w:sz w:val="10"/>
                <w:szCs w:val="10"/>
                <w:color w:val="auto"/>
              </w:rPr>
            </w:pPr>
          </w:p>
        </w:tc>
        <w:tc>
          <w:tcPr>
            <w:tcW w:w="1280" w:type="dxa"/>
            <w:vAlign w:val="bottom"/>
            <w:vMerge w:val="restart"/>
          </w:tcPr>
          <w:p>
            <w:pPr>
              <w:ind w:left="140"/>
              <w:spacing w:after="0"/>
              <w:rPr>
                <w:sz w:val="20"/>
                <w:szCs w:val="20"/>
                <w:color w:val="auto"/>
              </w:rPr>
            </w:pPr>
            <w:r>
              <w:rPr>
                <w:rFonts w:ascii="Arial" w:cs="Arial" w:eastAsia="Arial" w:hAnsi="Arial"/>
                <w:sz w:val="12"/>
                <w:szCs w:val="12"/>
                <w:color w:val="FFFFFF"/>
              </w:rPr>
              <w:t>Board of Directors</w:t>
            </w: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1"/>
        </w:trPr>
        <w:tc>
          <w:tcPr>
            <w:tcW w:w="78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0"/>
        </w:trPr>
        <w:tc>
          <w:tcPr>
            <w:tcW w:w="7880" w:type="dxa"/>
            <w:vAlign w:val="bottom"/>
          </w:tcPr>
          <w:p>
            <w:pPr>
              <w:ind w:left="80"/>
              <w:spacing w:after="0"/>
              <w:rPr>
                <w:sz w:val="20"/>
                <w:szCs w:val="20"/>
                <w:color w:val="auto"/>
              </w:rPr>
            </w:pPr>
            <w:r>
              <w:rPr>
                <w:rFonts w:ascii="Arial" w:cs="Arial" w:eastAsia="Arial" w:hAnsi="Arial"/>
                <w:sz w:val="15"/>
                <w:szCs w:val="15"/>
                <w:i w:val="1"/>
                <w:iCs w:val="1"/>
                <w:color w:val="B95827"/>
              </w:rPr>
              <w:t xml:space="preserve">Limitations on Officer Exculpation. </w:t>
            </w:r>
            <w:r>
              <w:rPr>
                <w:rFonts w:ascii="Arial" w:cs="Arial" w:eastAsia="Arial" w:hAnsi="Arial"/>
                <w:sz w:val="15"/>
                <w:szCs w:val="15"/>
                <w:color w:val="000000"/>
              </w:rPr>
              <w:t>The Exculpation Amendment would protect officers from personal monetary</w:t>
            </w:r>
          </w:p>
        </w:tc>
        <w:tc>
          <w:tcPr>
            <w:tcW w:w="660" w:type="dxa"/>
            <w:vAlign w:val="bottom"/>
          </w:tcPr>
          <w:p>
            <w:pPr>
              <w:spacing w:after="0"/>
              <w:rPr>
                <w:sz w:val="24"/>
                <w:szCs w:val="24"/>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Proposal 3</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7880" w:type="dxa"/>
            <w:vAlign w:val="bottom"/>
          </w:tcPr>
          <w:p>
            <w:pPr>
              <w:ind w:left="80"/>
              <w:spacing w:after="0"/>
              <w:rPr>
                <w:sz w:val="20"/>
                <w:szCs w:val="20"/>
                <w:color w:val="auto"/>
              </w:rPr>
            </w:pPr>
            <w:r>
              <w:rPr>
                <w:rFonts w:ascii="Arial" w:cs="Arial" w:eastAsia="Arial" w:hAnsi="Arial"/>
                <w:sz w:val="15"/>
                <w:szCs w:val="15"/>
                <w:color w:val="auto"/>
              </w:rPr>
              <w:t>liability for breaches of the fiduciary duty of care. However, exculpation for officers would not be available for:</w:t>
            </w:r>
          </w:p>
        </w:tc>
        <w:tc>
          <w:tcPr>
            <w:tcW w:w="660" w:type="dxa"/>
            <w:vAlign w:val="bottom"/>
          </w:tcPr>
          <w:p>
            <w:pPr>
              <w:spacing w:after="0"/>
              <w:rPr>
                <w:sz w:val="17"/>
                <w:szCs w:val="17"/>
                <w:color w:val="auto"/>
              </w:rPr>
            </w:pPr>
          </w:p>
        </w:tc>
        <w:tc>
          <w:tcPr>
            <w:tcW w:w="1280" w:type="dxa"/>
            <w:vAlign w:val="bottom"/>
            <w:vMerge w:val="restart"/>
          </w:tcPr>
          <w:p>
            <w:pPr>
              <w:ind w:left="140"/>
              <w:spacing w:after="0"/>
              <w:rPr>
                <w:sz w:val="20"/>
                <w:szCs w:val="20"/>
                <w:color w:val="auto"/>
              </w:rPr>
            </w:pPr>
            <w:r>
              <w:rPr>
                <w:rFonts w:ascii="Arial" w:cs="Arial" w:eastAsia="Arial" w:hAnsi="Arial"/>
                <w:sz w:val="12"/>
                <w:szCs w:val="12"/>
                <w:color w:val="FFFFFF"/>
              </w:rPr>
              <w:t>Proposal 4</w:t>
            </w: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7"/>
        </w:trPr>
        <w:tc>
          <w:tcPr>
            <w:tcW w:w="7880" w:type="dxa"/>
            <w:vAlign w:val="bottom"/>
          </w:tcPr>
          <w:p>
            <w:pPr>
              <w:spacing w:after="0"/>
              <w:rPr>
                <w:sz w:val="5"/>
                <w:szCs w:val="5"/>
                <w:color w:val="auto"/>
              </w:rPr>
            </w:pPr>
          </w:p>
        </w:tc>
        <w:tc>
          <w:tcPr>
            <w:tcW w:w="660" w:type="dxa"/>
            <w:vAlign w:val="bottom"/>
          </w:tcPr>
          <w:p>
            <w:pPr>
              <w:spacing w:after="0"/>
              <w:rPr>
                <w:sz w:val="5"/>
                <w:szCs w:val="5"/>
                <w:color w:val="auto"/>
              </w:rPr>
            </w:pPr>
          </w:p>
        </w:tc>
        <w:tc>
          <w:tcPr>
            <w:tcW w:w="128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5"/>
        </w:trPr>
        <w:tc>
          <w:tcPr>
            <w:tcW w:w="7880" w:type="dxa"/>
            <w:vAlign w:val="bottom"/>
          </w:tcPr>
          <w:p>
            <w:pPr>
              <w:ind w:left="120"/>
              <w:spacing w:after="0"/>
              <w:rPr>
                <w:sz w:val="20"/>
                <w:szCs w:val="20"/>
                <w:color w:val="auto"/>
              </w:rPr>
            </w:pPr>
            <w:r>
              <w:rPr>
                <w:rFonts w:ascii="Arial" w:cs="Arial" w:eastAsia="Arial" w:hAnsi="Arial"/>
                <w:sz w:val="15"/>
                <w:szCs w:val="15"/>
                <w:color w:val="auto"/>
              </w:rPr>
              <w:t>•  Breaches of the fiduciary duty of loyalty (which requires officers to act in good faith for the benefit of the</w:t>
            </w:r>
          </w:p>
        </w:tc>
        <w:tc>
          <w:tcPr>
            <w:tcW w:w="660" w:type="dxa"/>
            <w:vAlign w:val="bottom"/>
          </w:tcPr>
          <w:p>
            <w:pPr>
              <w:spacing w:after="0"/>
              <w:rPr>
                <w:sz w:val="17"/>
                <w:szCs w:val="17"/>
                <w:color w:val="auto"/>
              </w:rPr>
            </w:pPr>
          </w:p>
        </w:tc>
        <w:tc>
          <w:tcPr>
            <w:tcW w:w="1280" w:type="dxa"/>
            <w:vAlign w:val="bottom"/>
            <w:vMerge w:val="restart"/>
          </w:tcPr>
          <w:p>
            <w:pPr>
              <w:ind w:left="140"/>
              <w:spacing w:after="0"/>
              <w:rPr>
                <w:sz w:val="20"/>
                <w:szCs w:val="20"/>
                <w:color w:val="auto"/>
              </w:rPr>
            </w:pPr>
            <w:r>
              <w:rPr>
                <w:rFonts w:ascii="Arial" w:cs="Arial" w:eastAsia="Arial" w:hAnsi="Arial"/>
                <w:sz w:val="12"/>
                <w:szCs w:val="12"/>
                <w:b w:val="1"/>
                <w:bCs w:val="1"/>
                <w:color w:val="FFFFFF"/>
              </w:rPr>
              <w:t>Proposal 5</w:t>
            </w: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5"/>
        </w:trPr>
        <w:tc>
          <w:tcPr>
            <w:tcW w:w="7880" w:type="dxa"/>
            <w:vAlign w:val="bottom"/>
            <w:vMerge w:val="restart"/>
          </w:tcPr>
          <w:p>
            <w:pPr>
              <w:ind w:left="300"/>
              <w:spacing w:after="0"/>
              <w:rPr>
                <w:sz w:val="20"/>
                <w:szCs w:val="20"/>
                <w:color w:val="auto"/>
              </w:rPr>
            </w:pPr>
            <w:r>
              <w:rPr>
                <w:rFonts w:ascii="Arial" w:cs="Arial" w:eastAsia="Arial" w:hAnsi="Arial"/>
                <w:sz w:val="15"/>
                <w:szCs w:val="15"/>
                <w:color w:val="auto"/>
              </w:rPr>
              <w:t>corporation and not for personal gain);</w:t>
            </w:r>
          </w:p>
        </w:tc>
        <w:tc>
          <w:tcPr>
            <w:tcW w:w="660" w:type="dxa"/>
            <w:vAlign w:val="bottom"/>
          </w:tcPr>
          <w:p>
            <w:pPr>
              <w:spacing w:after="0"/>
              <w:rPr>
                <w:sz w:val="8"/>
                <w:szCs w:val="8"/>
                <w:color w:val="auto"/>
              </w:rPr>
            </w:pPr>
          </w:p>
        </w:tc>
        <w:tc>
          <w:tcPr>
            <w:tcW w:w="1280" w:type="dxa"/>
            <w:vAlign w:val="bottom"/>
            <w:vMerge w:val="continue"/>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6"/>
        </w:trPr>
        <w:tc>
          <w:tcPr>
            <w:tcW w:w="7880" w:type="dxa"/>
            <w:vAlign w:val="bottom"/>
            <w:vMerge w:val="continue"/>
          </w:tcPr>
          <w:p>
            <w:pPr>
              <w:spacing w:after="0"/>
              <w:rPr>
                <w:sz w:val="9"/>
                <w:szCs w:val="9"/>
                <w:color w:val="auto"/>
              </w:rPr>
            </w:pPr>
          </w:p>
        </w:tc>
        <w:tc>
          <w:tcPr>
            <w:tcW w:w="660" w:type="dxa"/>
            <w:vAlign w:val="bottom"/>
          </w:tcPr>
          <w:p>
            <w:pPr>
              <w:spacing w:after="0"/>
              <w:rPr>
                <w:sz w:val="9"/>
                <w:szCs w:val="9"/>
                <w:color w:val="auto"/>
              </w:rPr>
            </w:pPr>
          </w:p>
        </w:tc>
        <w:tc>
          <w:tcPr>
            <w:tcW w:w="1280" w:type="dxa"/>
            <w:vAlign w:val="bottom"/>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1"/>
        </w:trPr>
        <w:tc>
          <w:tcPr>
            <w:tcW w:w="7880" w:type="dxa"/>
            <w:vAlign w:val="bottom"/>
            <w:vMerge w:val="restart"/>
          </w:tcPr>
          <w:p>
            <w:pPr>
              <w:ind w:left="120"/>
              <w:spacing w:after="0"/>
              <w:rPr>
                <w:sz w:val="20"/>
                <w:szCs w:val="20"/>
                <w:color w:val="auto"/>
              </w:rPr>
            </w:pPr>
            <w:r>
              <w:rPr>
                <w:rFonts w:ascii="Arial" w:cs="Arial" w:eastAsia="Arial" w:hAnsi="Arial"/>
                <w:sz w:val="15"/>
                <w:szCs w:val="15"/>
                <w:color w:val="auto"/>
              </w:rPr>
              <w:t>•  Intentional misconduct or knowing violations of the law; or</w:t>
            </w:r>
          </w:p>
        </w:tc>
        <w:tc>
          <w:tcPr>
            <w:tcW w:w="660" w:type="dxa"/>
            <w:vAlign w:val="bottom"/>
          </w:tcPr>
          <w:p>
            <w:pPr>
              <w:spacing w:after="0"/>
              <w:rPr>
                <w:sz w:val="15"/>
                <w:szCs w:val="15"/>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Proposal 6</w:t>
            </w: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2"/>
        </w:trPr>
        <w:tc>
          <w:tcPr>
            <w:tcW w:w="7880" w:type="dxa"/>
            <w:vAlign w:val="bottom"/>
            <w:vMerge w:val="continue"/>
          </w:tcPr>
          <w:p>
            <w:pPr>
              <w:spacing w:after="0"/>
              <w:rPr>
                <w:sz w:val="9"/>
                <w:szCs w:val="9"/>
                <w:color w:val="auto"/>
              </w:rPr>
            </w:pPr>
          </w:p>
        </w:tc>
        <w:tc>
          <w:tcPr>
            <w:tcW w:w="660" w:type="dxa"/>
            <w:vAlign w:val="bottom"/>
          </w:tcPr>
          <w:p>
            <w:pPr>
              <w:spacing w:after="0"/>
              <w:rPr>
                <w:sz w:val="9"/>
                <w:szCs w:val="9"/>
                <w:color w:val="auto"/>
              </w:rPr>
            </w:pPr>
          </w:p>
        </w:tc>
        <w:tc>
          <w:tcPr>
            <w:tcW w:w="1280" w:type="dxa"/>
            <w:vAlign w:val="bottom"/>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341630</wp:posOffset>
            </wp:positionH>
            <wp:positionV relativeFrom="paragraph">
              <wp:posOffset>-3870960</wp:posOffset>
            </wp:positionV>
            <wp:extent cx="4999990" cy="495173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4999990" cy="4951730"/>
                    </a:xfrm>
                    <a:prstGeom prst="rect">
                      <a:avLst/>
                    </a:prstGeom>
                    <a:noFill/>
                  </pic:spPr>
                </pic:pic>
              </a:graphicData>
            </a:graphic>
          </wp:anchor>
        </w:drawing>
      </w:r>
    </w:p>
    <w:p>
      <w:pPr>
        <w:sectPr>
          <w:pgSz w:w="11900" w:h="16838" w:orient="portrait"/>
          <w:cols w:equalWidth="0" w:num="1">
            <w:col w:w="10800"/>
          </w:cols>
          <w:pgMar w:left="320" w:top="464" w:right="779" w:bottom="1440" w:gutter="0" w:footer="0" w:header="0"/>
        </w:sectPr>
      </w:pPr>
    </w:p>
    <w:p>
      <w:pPr>
        <w:spacing w:after="0" w:line="93" w:lineRule="exact"/>
        <w:rPr>
          <w:sz w:val="20"/>
          <w:szCs w:val="20"/>
          <w:color w:val="auto"/>
        </w:rPr>
      </w:pPr>
    </w:p>
    <w:p>
      <w:pPr>
        <w:ind w:left="660"/>
        <w:spacing w:after="0"/>
        <w:tabs>
          <w:tab w:leader="none" w:pos="820" w:val="left"/>
        </w:tabs>
        <w:rPr>
          <w:sz w:val="20"/>
          <w:szCs w:val="20"/>
          <w:color w:val="auto"/>
        </w:rPr>
      </w:pPr>
      <w:r>
        <w:rPr>
          <w:rFonts w:ascii="Arial" w:cs="Arial" w:eastAsia="Arial" w:hAnsi="Arial"/>
          <w:sz w:val="15"/>
          <w:szCs w:val="15"/>
          <w:color w:val="auto"/>
        </w:rPr>
        <w:t>•</w:t>
        <w:tab/>
        <w:t>Derivative claims on behalf of a corporation by a stockholder.</w:t>
      </w:r>
    </w:p>
    <w:p>
      <w:pPr>
        <w:spacing w:after="0" w:line="121" w:lineRule="exact"/>
        <w:rPr>
          <w:sz w:val="20"/>
          <w:szCs w:val="20"/>
          <w:color w:val="auto"/>
        </w:rPr>
      </w:pPr>
    </w:p>
    <w:p>
      <w:pPr>
        <w:ind w:left="620"/>
        <w:spacing w:after="0"/>
        <w:rPr>
          <w:sz w:val="20"/>
          <w:szCs w:val="20"/>
          <w:color w:val="auto"/>
        </w:rPr>
      </w:pPr>
      <w:r>
        <w:rPr>
          <w:rFonts w:ascii="Arial" w:cs="Arial" w:eastAsia="Arial" w:hAnsi="Arial"/>
          <w:sz w:val="15"/>
          <w:szCs w:val="15"/>
          <w:color w:val="auto"/>
        </w:rPr>
        <w:t>In addition, the protections of the Exculpation Amendment would be limited to monetary damages only.</w:t>
      </w:r>
    </w:p>
    <w:p>
      <w:pPr>
        <w:spacing w:after="0" w:line="20" w:lineRule="exact"/>
        <w:rPr>
          <w:sz w:val="20"/>
          <w:szCs w:val="20"/>
          <w:color w:val="auto"/>
        </w:rPr>
      </w:pPr>
    </w:p>
    <w:p>
      <w:pPr>
        <w:ind w:left="620"/>
        <w:spacing w:after="0"/>
        <w:rPr>
          <w:sz w:val="20"/>
          <w:szCs w:val="20"/>
          <w:color w:val="auto"/>
        </w:rPr>
      </w:pPr>
      <w:r>
        <w:rPr>
          <w:rFonts w:ascii="Arial" w:cs="Arial" w:eastAsia="Arial" w:hAnsi="Arial"/>
          <w:sz w:val="15"/>
          <w:szCs w:val="15"/>
          <w:color w:val="auto"/>
        </w:rPr>
        <w:t>Accordingly, claims against officers for equitable relief would be unaffected by the Exculpation Amendment.</w:t>
      </w:r>
    </w:p>
    <w:p>
      <w:pPr>
        <w:spacing w:after="0" w:line="107" w:lineRule="exact"/>
        <w:rPr>
          <w:sz w:val="20"/>
          <w:szCs w:val="20"/>
          <w:color w:val="auto"/>
        </w:rPr>
      </w:pPr>
    </w:p>
    <w:p>
      <w:pPr>
        <w:ind w:left="620" w:right="180"/>
        <w:spacing w:after="0" w:line="261" w:lineRule="auto"/>
        <w:rPr>
          <w:sz w:val="20"/>
          <w:szCs w:val="20"/>
          <w:color w:val="auto"/>
        </w:rPr>
      </w:pPr>
      <w:r>
        <w:rPr>
          <w:rFonts w:ascii="Arial" w:cs="Arial" w:eastAsia="Arial" w:hAnsi="Arial"/>
          <w:sz w:val="15"/>
          <w:szCs w:val="15"/>
          <w:color w:val="auto"/>
        </w:rPr>
        <w:t>This general description of the Exculpation Amendment is qualified in its entirety by reference to the complete text of the Exculpation Amendment, which is incorporated herein by reference and consists of all of the changes to Article VI of our Charter, as shown in Appendix B. In Appendix B, additions are indicated by bold and underlined text, and deletions are indicated in bold and strike-through text.</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Arial" w:cs="Arial" w:eastAsia="Arial" w:hAnsi="Arial"/>
          <w:sz w:val="12"/>
          <w:szCs w:val="12"/>
          <w:color w:val="FFFFFF"/>
        </w:rPr>
        <w:t>Stockholder</w:t>
      </w:r>
    </w:p>
    <w:p>
      <w:pPr>
        <w:spacing w:after="0" w:line="2" w:lineRule="exact"/>
        <w:rPr>
          <w:sz w:val="20"/>
          <w:szCs w:val="20"/>
          <w:color w:val="auto"/>
        </w:rPr>
      </w:pPr>
    </w:p>
    <w:p>
      <w:pPr>
        <w:spacing w:after="0"/>
        <w:rPr>
          <w:sz w:val="20"/>
          <w:szCs w:val="20"/>
          <w:color w:val="auto"/>
        </w:rPr>
      </w:pPr>
      <w:r>
        <w:rPr>
          <w:rFonts w:ascii="Arial" w:cs="Arial" w:eastAsia="Arial" w:hAnsi="Arial"/>
          <w:sz w:val="11"/>
          <w:szCs w:val="11"/>
          <w:color w:val="FFFFFF"/>
        </w:rPr>
        <w:t>Proposals and</w:t>
      </w:r>
    </w:p>
    <w:p>
      <w:pPr>
        <w:spacing w:after="0" w:line="1" w:lineRule="exact"/>
        <w:rPr>
          <w:sz w:val="20"/>
          <w:szCs w:val="20"/>
          <w:color w:val="auto"/>
        </w:rPr>
      </w:pPr>
    </w:p>
    <w:p>
      <w:pPr>
        <w:spacing w:after="0"/>
        <w:rPr>
          <w:sz w:val="20"/>
          <w:szCs w:val="20"/>
          <w:color w:val="auto"/>
        </w:rPr>
      </w:pPr>
      <w:r>
        <w:rPr>
          <w:rFonts w:ascii="Arial" w:cs="Arial" w:eastAsia="Arial" w:hAnsi="Arial"/>
          <w:sz w:val="12"/>
          <w:szCs w:val="12"/>
          <w:color w:val="FFFFFF"/>
        </w:rPr>
        <w:t>Other Matters</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Delinquent</w:t>
      </w:r>
    </w:p>
    <w:p>
      <w:pPr>
        <w:spacing w:after="0" w:line="224" w:lineRule="auto"/>
        <w:rPr>
          <w:sz w:val="20"/>
          <w:szCs w:val="20"/>
          <w:color w:val="auto"/>
        </w:rPr>
      </w:pPr>
      <w:r>
        <w:rPr>
          <w:rFonts w:ascii="Arial" w:cs="Arial" w:eastAsia="Arial" w:hAnsi="Arial"/>
          <w:sz w:val="12"/>
          <w:szCs w:val="12"/>
          <w:color w:val="FFFFFF"/>
        </w:rPr>
        <w:t>Section 16(a)</w:t>
      </w:r>
    </w:p>
    <w:p>
      <w:pPr>
        <w:spacing w:after="0"/>
        <w:rPr>
          <w:sz w:val="20"/>
          <w:szCs w:val="20"/>
          <w:color w:val="auto"/>
        </w:rPr>
      </w:pPr>
      <w:r>
        <w:rPr>
          <w:rFonts w:ascii="Arial" w:cs="Arial" w:eastAsia="Arial" w:hAnsi="Arial"/>
          <w:sz w:val="12"/>
          <w:szCs w:val="12"/>
          <w:color w:val="FFFFFF"/>
        </w:rPr>
        <w:t>Reports</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Other</w:t>
      </w:r>
    </w:p>
    <w:p>
      <w:pPr>
        <w:spacing w:after="0" w:line="2" w:lineRule="exact"/>
        <w:rPr>
          <w:sz w:val="20"/>
          <w:szCs w:val="20"/>
          <w:color w:val="auto"/>
        </w:rPr>
      </w:pPr>
    </w:p>
    <w:p>
      <w:pPr>
        <w:spacing w:after="0"/>
        <w:rPr>
          <w:sz w:val="20"/>
          <w:szCs w:val="20"/>
          <w:color w:val="auto"/>
        </w:rPr>
      </w:pPr>
      <w:r>
        <w:rPr>
          <w:rFonts w:ascii="Arial" w:cs="Arial" w:eastAsia="Arial" w:hAnsi="Arial"/>
          <w:sz w:val="12"/>
          <w:szCs w:val="12"/>
          <w:color w:val="FFFFFF"/>
        </w:rPr>
        <w:t>Information</w:t>
      </w:r>
    </w:p>
    <w:p>
      <w:pPr>
        <w:spacing w:after="0" w:line="144" w:lineRule="exact"/>
        <w:rPr>
          <w:sz w:val="20"/>
          <w:szCs w:val="20"/>
          <w:color w:val="auto"/>
        </w:rPr>
      </w:pPr>
    </w:p>
    <w:p>
      <w:pPr>
        <w:jc w:val="center"/>
        <w:ind w:right="960"/>
        <w:spacing w:after="0"/>
        <w:rPr>
          <w:sz w:val="20"/>
          <w:szCs w:val="20"/>
          <w:color w:val="auto"/>
        </w:rPr>
      </w:pPr>
      <w:r>
        <w:rPr>
          <w:rFonts w:ascii="Arial" w:cs="Arial" w:eastAsia="Arial" w:hAnsi="Arial"/>
          <w:sz w:val="12"/>
          <w:szCs w:val="12"/>
          <w:color w:val="FFFFFF"/>
        </w:rPr>
        <w:t>Appendix A</w:t>
      </w:r>
    </w:p>
    <w:p>
      <w:pPr>
        <w:spacing w:after="0" w:line="156" w:lineRule="exact"/>
        <w:rPr>
          <w:sz w:val="20"/>
          <w:szCs w:val="20"/>
          <w:color w:val="auto"/>
        </w:rPr>
      </w:pPr>
    </w:p>
    <w:p>
      <w:pPr>
        <w:jc w:val="center"/>
        <w:ind w:right="960"/>
        <w:spacing w:after="0"/>
        <w:rPr>
          <w:sz w:val="20"/>
          <w:szCs w:val="20"/>
          <w:color w:val="auto"/>
        </w:rPr>
      </w:pPr>
      <w:r>
        <w:rPr>
          <w:rFonts w:ascii="Arial" w:cs="Arial" w:eastAsia="Arial" w:hAnsi="Arial"/>
          <w:sz w:val="12"/>
          <w:szCs w:val="12"/>
          <w:color w:val="FFFFFF"/>
        </w:rPr>
        <w:t>Appendix B</w:t>
      </w:r>
    </w:p>
    <w:p>
      <w:pPr>
        <w:spacing w:after="0" w:line="200" w:lineRule="exact"/>
        <w:rPr>
          <w:sz w:val="20"/>
          <w:szCs w:val="20"/>
          <w:color w:val="auto"/>
        </w:rPr>
      </w:pPr>
    </w:p>
    <w:p>
      <w:pPr>
        <w:sectPr>
          <w:pgSz w:w="11900" w:h="16838" w:orient="portrait"/>
          <w:cols w:equalWidth="0" w:num="2">
            <w:col w:w="8500" w:space="720"/>
            <w:col w:w="1580"/>
          </w:cols>
          <w:pgMar w:left="320" w:top="464" w:right="7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6380"/>
        <w:spacing w:after="0"/>
        <w:tabs>
          <w:tab w:leader="none" w:pos="8500" w:val="left"/>
          <w:tab w:leader="none" w:pos="9960" w:val="left"/>
        </w:tabs>
        <w:rPr>
          <w:sz w:val="20"/>
          <w:szCs w:val="20"/>
          <w:color w:val="auto"/>
        </w:rPr>
      </w:pPr>
      <w:r>
        <w:rPr>
          <w:rFonts w:ascii="Arial" w:cs="Arial" w:eastAsia="Arial" w:hAnsi="Arial"/>
          <w:sz w:val="15"/>
          <w:szCs w:val="15"/>
          <w:b w:val="1"/>
          <w:bCs w:val="1"/>
          <w:color w:val="002B5F"/>
        </w:rPr>
        <w:t xml:space="preserve">2026 Proxy Statement  </w:t>
      </w:r>
      <w:r>
        <w:rPr>
          <w:rFonts w:ascii="Arial" w:cs="Arial" w:eastAsia="Arial" w:hAnsi="Arial"/>
          <w:sz w:val="20"/>
          <w:szCs w:val="20"/>
          <w:color w:val="002B5F"/>
        </w:rPr>
        <w:t>|</w:t>
      </w:r>
      <w:r>
        <w:rPr>
          <w:rFonts w:ascii="Arial" w:cs="Arial" w:eastAsia="Arial" w:hAnsi="Arial"/>
          <w:sz w:val="15"/>
          <w:szCs w:val="15"/>
          <w:b w:val="1"/>
          <w:bCs w:val="1"/>
          <w:color w:val="002B5F"/>
        </w:rPr>
        <w:t xml:space="preserve">  89</w:t>
      </w:r>
      <w:r>
        <w:rPr>
          <w:sz w:val="20"/>
          <w:szCs w:val="20"/>
          <w:color w:val="auto"/>
        </w:rPr>
        <w:tab/>
      </w:r>
      <w:r>
        <w:rPr>
          <w:rFonts w:ascii="Arial" w:cs="Arial" w:eastAsia="Arial" w:hAnsi="Arial"/>
          <w:sz w:val="17"/>
          <w:szCs w:val="17"/>
          <w:color w:val="auto"/>
        </w:rPr>
        <w:t xml:space="preserve">    </w:t>
      </w:r>
      <w:r>
        <w:rPr>
          <w:sz w:val="20"/>
          <w:szCs w:val="20"/>
          <w:color w:val="auto"/>
        </w:rPr>
        <w:tab/>
      </w:r>
      <w:r>
        <w:rPr>
          <w:rFonts w:ascii="Arial" w:cs="Arial" w:eastAsia="Arial" w:hAnsi="Arial"/>
          <w:sz w:val="17"/>
          <w:szCs w:val="17"/>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268605</wp:posOffset>
            </wp:positionH>
            <wp:positionV relativeFrom="paragraph">
              <wp:posOffset>-128905</wp:posOffset>
            </wp:positionV>
            <wp:extent cx="762000" cy="971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62000" cy="97155"/>
                    </a:xfrm>
                    <a:prstGeom prst="rect">
                      <a:avLst/>
                    </a:prstGeom>
                    <a:noFill/>
                  </pic:spPr>
                </pic:pic>
              </a:graphicData>
            </a:graphic>
          </wp:anchor>
        </w:drawing>
      </w:r>
    </w:p>
    <w:p>
      <w:pPr>
        <w:sectPr>
          <w:pgSz w:w="11900" w:h="16838" w:orient="portrait"/>
          <w:cols w:equalWidth="0" w:num="1">
            <w:col w:w="10800"/>
          </w:cols>
          <w:pgMar w:left="320" w:top="464" w:right="779" w:bottom="1440" w:gutter="0" w:footer="0" w:header="0"/>
          <w:type w:val="continuous"/>
        </w:sectPr>
      </w:pPr>
    </w:p>
    <w:bookmarkStart w:id="97" w:name="page98"/>
    <w:bookmarkEnd w:id="97"/>
    <w:p>
      <w:pPr>
        <w:spacing w:after="0"/>
        <w:rPr>
          <w:sz w:val="20"/>
          <w:szCs w:val="20"/>
          <w:color w:val="auto"/>
        </w:rPr>
      </w:pPr>
      <w:r>
        <w:rPr>
          <w:rFonts w:ascii="Times New Roman" w:cs="Times New Roman" w:eastAsia="Times New Roman" w:hAnsi="Times New Roman"/>
          <w:sz w:val="17"/>
          <w:szCs w:val="17"/>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268605</wp:posOffset>
            </wp:positionH>
            <wp:positionV relativeFrom="paragraph">
              <wp:posOffset>253365</wp:posOffset>
            </wp:positionV>
            <wp:extent cx="1183005" cy="768286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1183005" cy="7682865"/>
                    </a:xfrm>
                    <a:prstGeom prst="rect">
                      <a:avLst/>
                    </a:prstGeom>
                    <a:noFill/>
                  </pic:spPr>
                </pic:pic>
              </a:graphicData>
            </a:graphic>
          </wp:anchor>
        </w:drawing>
      </w:r>
    </w:p>
    <w:p>
      <w:pPr>
        <w:spacing w:after="0" w:line="200" w:lineRule="exact"/>
        <w:rPr>
          <w:sz w:val="20"/>
          <w:szCs w:val="20"/>
          <w:color w:val="auto"/>
        </w:rPr>
      </w:pPr>
    </w:p>
    <w:p>
      <w:pPr>
        <w:spacing w:after="0" w:line="304" w:lineRule="exact"/>
        <w:rPr>
          <w:sz w:val="20"/>
          <w:szCs w:val="20"/>
          <w:color w:val="auto"/>
        </w:rPr>
      </w:pPr>
    </w:p>
    <w:p>
      <w:pPr>
        <w:ind w:left="1120" w:right="460" w:hanging="672"/>
        <w:spacing w:after="0" w:line="382" w:lineRule="auto"/>
        <w:tabs>
          <w:tab w:leader="none" w:pos="610" w:val="left"/>
        </w:tabs>
        <w:numPr>
          <w:ilvl w:val="0"/>
          <w:numId w:val="133"/>
        </w:numPr>
        <w:rPr>
          <w:rFonts w:ascii="Arial" w:cs="Arial" w:eastAsia="Arial" w:hAnsi="Arial"/>
          <w:sz w:val="24"/>
          <w:szCs w:val="24"/>
          <w:color w:val="auto"/>
          <w:vertAlign w:val="subscript"/>
        </w:rPr>
      </w:pPr>
      <w:r>
        <w:rPr>
          <w:rFonts w:ascii="Arial" w:cs="Arial" w:eastAsia="Arial" w:hAnsi="Arial"/>
          <w:sz w:val="24"/>
          <w:szCs w:val="24"/>
          <w:color w:val="000000"/>
          <w:vertAlign w:val="subscript"/>
        </w:rPr>
        <w:t xml:space="preserve">     </w:t>
      </w:r>
      <w:r>
        <w:rPr>
          <w:rFonts w:ascii="Arial" w:cs="Arial" w:eastAsia="Arial" w:hAnsi="Arial"/>
          <w:sz w:val="10"/>
          <w:szCs w:val="10"/>
          <w:color w:val="FFFFFF"/>
        </w:rPr>
        <w:t xml:space="preserve"> General Information</w:t>
      </w:r>
    </w:p>
    <w:p>
      <w:pPr>
        <w:spacing w:after="0" w:line="1" w:lineRule="exact"/>
        <w:rPr>
          <w:sz w:val="20"/>
          <w:szCs w:val="20"/>
          <w:color w:val="auto"/>
        </w:rPr>
      </w:pPr>
    </w:p>
    <w:p>
      <w:pPr>
        <w:ind w:left="1120"/>
        <w:spacing w:after="0"/>
        <w:rPr>
          <w:sz w:val="20"/>
          <w:szCs w:val="20"/>
          <w:color w:val="auto"/>
        </w:rPr>
      </w:pPr>
      <w:r>
        <w:rPr>
          <w:rFonts w:ascii="Arial" w:cs="Arial" w:eastAsia="Arial" w:hAnsi="Arial"/>
          <w:sz w:val="11"/>
          <w:szCs w:val="11"/>
          <w:color w:val="FFFFFF"/>
        </w:rPr>
        <w:t>General Information</w:t>
      </w:r>
    </w:p>
    <w:p>
      <w:pPr>
        <w:spacing w:after="0" w:line="3"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About Corporate</w:t>
      </w:r>
    </w:p>
    <w:p>
      <w:pPr>
        <w:ind w:left="1120"/>
        <w:spacing w:after="0" w:line="221" w:lineRule="auto"/>
        <w:rPr>
          <w:sz w:val="20"/>
          <w:szCs w:val="20"/>
          <w:color w:val="auto"/>
        </w:rPr>
      </w:pPr>
      <w:r>
        <w:rPr>
          <w:rFonts w:ascii="Arial" w:cs="Arial" w:eastAsia="Arial" w:hAnsi="Arial"/>
          <w:sz w:val="12"/>
          <w:szCs w:val="12"/>
          <w:color w:val="FFFFFF"/>
        </w:rPr>
        <w:t>Governance</w:t>
      </w:r>
    </w:p>
    <w:p>
      <w:pPr>
        <w:ind w:left="1120"/>
        <w:spacing w:after="0" w:line="222" w:lineRule="auto"/>
        <w:rPr>
          <w:sz w:val="20"/>
          <w:szCs w:val="20"/>
          <w:color w:val="auto"/>
        </w:rPr>
      </w:pPr>
      <w:r>
        <w:rPr>
          <w:rFonts w:ascii="Arial" w:cs="Arial" w:eastAsia="Arial" w:hAnsi="Arial"/>
          <w:sz w:val="12"/>
          <w:szCs w:val="12"/>
          <w:color w:val="FFFFFF"/>
        </w:rPr>
        <w:t>and the Board of</w:t>
      </w:r>
    </w:p>
    <w:p>
      <w:pPr>
        <w:spacing w:after="0" w:line="1"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Directors</w:t>
      </w:r>
    </w:p>
    <w:p>
      <w:pPr>
        <w:spacing w:after="0" w:line="169" w:lineRule="exact"/>
        <w:rPr>
          <w:sz w:val="20"/>
          <w:szCs w:val="20"/>
          <w:color w:val="auto"/>
        </w:rPr>
      </w:pPr>
    </w:p>
    <w:p>
      <w:pPr>
        <w:jc w:val="center"/>
        <w:ind w:left="620"/>
        <w:spacing w:after="0"/>
        <w:rPr>
          <w:sz w:val="20"/>
          <w:szCs w:val="20"/>
          <w:color w:val="auto"/>
        </w:rPr>
      </w:pPr>
      <w:r>
        <w:rPr>
          <w:rFonts w:ascii="Arial" w:cs="Arial" w:eastAsia="Arial" w:hAnsi="Arial"/>
          <w:sz w:val="12"/>
          <w:szCs w:val="12"/>
          <w:color w:val="FFFFFF"/>
        </w:rPr>
        <w:t>Proposal 1</w:t>
      </w:r>
    </w:p>
    <w:p>
      <w:pPr>
        <w:spacing w:after="0" w:line="181"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Information</w:t>
      </w:r>
    </w:p>
    <w:p>
      <w:pPr>
        <w:ind w:left="1120"/>
        <w:spacing w:after="0" w:line="224" w:lineRule="auto"/>
        <w:rPr>
          <w:sz w:val="20"/>
          <w:szCs w:val="20"/>
          <w:color w:val="auto"/>
        </w:rPr>
      </w:pPr>
      <w:r>
        <w:rPr>
          <w:rFonts w:ascii="Arial" w:cs="Arial" w:eastAsia="Arial" w:hAnsi="Arial"/>
          <w:sz w:val="12"/>
          <w:szCs w:val="12"/>
          <w:color w:val="FFFFFF"/>
        </w:rPr>
        <w:t>Regarding Board</w:t>
      </w:r>
    </w:p>
    <w:p>
      <w:pPr>
        <w:ind w:left="1120"/>
        <w:spacing w:after="0" w:line="222" w:lineRule="auto"/>
        <w:rPr>
          <w:sz w:val="20"/>
          <w:szCs w:val="20"/>
          <w:color w:val="auto"/>
        </w:rPr>
      </w:pPr>
      <w:r>
        <w:rPr>
          <w:rFonts w:ascii="Arial" w:cs="Arial" w:eastAsia="Arial" w:hAnsi="Arial"/>
          <w:sz w:val="12"/>
          <w:szCs w:val="12"/>
          <w:color w:val="FFFFFF"/>
        </w:rPr>
        <w:t>and Committee</w:t>
      </w:r>
    </w:p>
    <w:p>
      <w:pPr>
        <w:ind w:left="1120"/>
        <w:spacing w:after="0"/>
        <w:rPr>
          <w:sz w:val="20"/>
          <w:szCs w:val="20"/>
          <w:color w:val="auto"/>
        </w:rPr>
      </w:pPr>
      <w:r>
        <w:rPr>
          <w:rFonts w:ascii="Arial" w:cs="Arial" w:eastAsia="Arial" w:hAnsi="Arial"/>
          <w:sz w:val="12"/>
          <w:szCs w:val="12"/>
          <w:color w:val="FFFFFF"/>
        </w:rPr>
        <w:t>Structure</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Board of Directors</w:t>
      </w:r>
    </w:p>
    <w:p>
      <w:pPr>
        <w:spacing w:after="0" w:line="2"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Compensation</w:t>
      </w:r>
    </w:p>
    <w:p>
      <w:pPr>
        <w:spacing w:after="0" w:line="169"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Compensation</w:t>
      </w:r>
    </w:p>
    <w:p>
      <w:pPr>
        <w:ind w:left="1120"/>
        <w:spacing w:after="0" w:line="224" w:lineRule="auto"/>
        <w:rPr>
          <w:sz w:val="20"/>
          <w:szCs w:val="20"/>
          <w:color w:val="auto"/>
        </w:rPr>
      </w:pPr>
      <w:r>
        <w:rPr>
          <w:rFonts w:ascii="Arial" w:cs="Arial" w:eastAsia="Arial" w:hAnsi="Arial"/>
          <w:sz w:val="12"/>
          <w:szCs w:val="12"/>
          <w:color w:val="FFFFFF"/>
        </w:rPr>
        <w:t>Discussion and</w:t>
      </w:r>
    </w:p>
    <w:p>
      <w:pPr>
        <w:ind w:left="1120"/>
        <w:spacing w:after="0"/>
        <w:rPr>
          <w:sz w:val="20"/>
          <w:szCs w:val="20"/>
          <w:color w:val="auto"/>
        </w:rPr>
      </w:pPr>
      <w:r>
        <w:rPr>
          <w:rFonts w:ascii="Arial" w:cs="Arial" w:eastAsia="Arial" w:hAnsi="Arial"/>
          <w:sz w:val="12"/>
          <w:szCs w:val="12"/>
          <w:color w:val="FFFFFF"/>
        </w:rPr>
        <w:t>Analysis</w:t>
      </w:r>
    </w:p>
    <w:p>
      <w:pPr>
        <w:spacing w:after="0" w:line="169"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Report of the</w:t>
      </w:r>
    </w:p>
    <w:p>
      <w:pPr>
        <w:ind w:left="1120"/>
        <w:spacing w:after="0" w:line="224" w:lineRule="auto"/>
        <w:rPr>
          <w:sz w:val="20"/>
          <w:szCs w:val="20"/>
          <w:color w:val="auto"/>
        </w:rPr>
      </w:pPr>
      <w:r>
        <w:rPr>
          <w:rFonts w:ascii="Arial" w:cs="Arial" w:eastAsia="Arial" w:hAnsi="Arial"/>
          <w:sz w:val="12"/>
          <w:szCs w:val="12"/>
          <w:color w:val="FFFFFF"/>
        </w:rPr>
        <w:t>Compensation</w:t>
      </w:r>
    </w:p>
    <w:p>
      <w:pPr>
        <w:ind w:left="1120"/>
        <w:spacing w:after="0" w:line="222" w:lineRule="auto"/>
        <w:rPr>
          <w:sz w:val="20"/>
          <w:szCs w:val="20"/>
          <w:color w:val="auto"/>
        </w:rPr>
      </w:pPr>
      <w:r>
        <w:rPr>
          <w:rFonts w:ascii="Arial" w:cs="Arial" w:eastAsia="Arial" w:hAnsi="Arial"/>
          <w:sz w:val="12"/>
          <w:szCs w:val="12"/>
          <w:color w:val="FFFFFF"/>
        </w:rPr>
        <w:t>and Human</w:t>
      </w:r>
    </w:p>
    <w:p>
      <w:pPr>
        <w:ind w:left="1120"/>
        <w:spacing w:after="0" w:line="222" w:lineRule="auto"/>
        <w:rPr>
          <w:sz w:val="20"/>
          <w:szCs w:val="20"/>
          <w:color w:val="auto"/>
        </w:rPr>
      </w:pPr>
      <w:r>
        <w:rPr>
          <w:rFonts w:ascii="Arial" w:cs="Arial" w:eastAsia="Arial" w:hAnsi="Arial"/>
          <w:sz w:val="12"/>
          <w:szCs w:val="12"/>
          <w:color w:val="FFFFFF"/>
        </w:rPr>
        <w:t>Resources</w:t>
      </w:r>
    </w:p>
    <w:p>
      <w:pPr>
        <w:ind w:left="1120"/>
        <w:spacing w:after="0" w:line="222" w:lineRule="auto"/>
        <w:rPr>
          <w:sz w:val="20"/>
          <w:szCs w:val="20"/>
          <w:color w:val="auto"/>
        </w:rPr>
      </w:pPr>
      <w:r>
        <w:rPr>
          <w:rFonts w:ascii="Arial" w:cs="Arial" w:eastAsia="Arial" w:hAnsi="Arial"/>
          <w:sz w:val="12"/>
          <w:szCs w:val="12"/>
          <w:color w:val="FFFFFF"/>
        </w:rPr>
        <w:t>Committee of the</w:t>
      </w:r>
    </w:p>
    <w:p>
      <w:pPr>
        <w:ind w:left="1120"/>
        <w:spacing w:after="0"/>
        <w:rPr>
          <w:sz w:val="20"/>
          <w:szCs w:val="20"/>
          <w:color w:val="auto"/>
        </w:rPr>
      </w:pPr>
      <w:r>
        <w:rPr>
          <w:rFonts w:ascii="Arial" w:cs="Arial" w:eastAsia="Arial" w:hAnsi="Arial"/>
          <w:sz w:val="12"/>
          <w:szCs w:val="12"/>
          <w:color w:val="FFFFFF"/>
        </w:rPr>
        <w:t>Board of Directors</w:t>
      </w:r>
    </w:p>
    <w:p>
      <w:pPr>
        <w:spacing w:after="0" w:line="169"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Compensation of</w:t>
      </w:r>
    </w:p>
    <w:p>
      <w:pPr>
        <w:ind w:left="1120"/>
        <w:spacing w:after="0" w:line="224" w:lineRule="auto"/>
        <w:rPr>
          <w:sz w:val="20"/>
          <w:szCs w:val="20"/>
          <w:color w:val="auto"/>
        </w:rPr>
      </w:pPr>
      <w:r>
        <w:rPr>
          <w:rFonts w:ascii="Arial" w:cs="Arial" w:eastAsia="Arial" w:hAnsi="Arial"/>
          <w:sz w:val="12"/>
          <w:szCs w:val="12"/>
          <w:color w:val="FFFFFF"/>
        </w:rPr>
        <w:t>Named Executive</w:t>
      </w:r>
    </w:p>
    <w:p>
      <w:pPr>
        <w:ind w:left="1120"/>
        <w:spacing w:after="0"/>
        <w:rPr>
          <w:sz w:val="20"/>
          <w:szCs w:val="20"/>
          <w:color w:val="auto"/>
        </w:rPr>
      </w:pPr>
      <w:r>
        <w:rPr>
          <w:rFonts w:ascii="Arial" w:cs="Arial" w:eastAsia="Arial" w:hAnsi="Arial"/>
          <w:sz w:val="12"/>
          <w:szCs w:val="12"/>
          <w:color w:val="FFFFFF"/>
        </w:rPr>
        <w:t>Officers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Pay Versus</w:t>
      </w:r>
    </w:p>
    <w:p>
      <w:pPr>
        <w:ind w:left="1120"/>
        <w:spacing w:after="0" w:line="224" w:lineRule="auto"/>
        <w:rPr>
          <w:sz w:val="20"/>
          <w:szCs w:val="20"/>
          <w:color w:val="auto"/>
        </w:rPr>
      </w:pPr>
      <w:r>
        <w:rPr>
          <w:rFonts w:ascii="Arial" w:cs="Arial" w:eastAsia="Arial" w:hAnsi="Arial"/>
          <w:sz w:val="12"/>
          <w:szCs w:val="12"/>
          <w:color w:val="FFFFFF"/>
        </w:rPr>
        <w:t>Performance</w:t>
      </w:r>
    </w:p>
    <w:p>
      <w:pPr>
        <w:ind w:left="1120"/>
        <w:spacing w:after="0"/>
        <w:rPr>
          <w:sz w:val="20"/>
          <w:szCs w:val="20"/>
          <w:color w:val="auto"/>
        </w:rPr>
      </w:pPr>
      <w:r>
        <w:rPr>
          <w:rFonts w:ascii="Arial" w:cs="Arial" w:eastAsia="Arial" w:hAnsi="Arial"/>
          <w:sz w:val="12"/>
          <w:szCs w:val="12"/>
          <w:color w:val="FFFFFF"/>
        </w:rPr>
        <w:t>Disclosure</w:t>
      </w:r>
    </w:p>
    <w:p>
      <w:pPr>
        <w:spacing w:after="0" w:line="169"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Security</w:t>
      </w:r>
    </w:p>
    <w:p>
      <w:pPr>
        <w:ind w:left="1120"/>
        <w:spacing w:after="0" w:line="224" w:lineRule="auto"/>
        <w:rPr>
          <w:sz w:val="20"/>
          <w:szCs w:val="20"/>
          <w:color w:val="auto"/>
        </w:rPr>
      </w:pPr>
      <w:r>
        <w:rPr>
          <w:rFonts w:ascii="Arial" w:cs="Arial" w:eastAsia="Arial" w:hAnsi="Arial"/>
          <w:sz w:val="12"/>
          <w:szCs w:val="12"/>
          <w:color w:val="FFFFFF"/>
        </w:rPr>
        <w:t>Ownership of</w:t>
      </w:r>
    </w:p>
    <w:p>
      <w:pPr>
        <w:ind w:left="1120"/>
        <w:spacing w:after="0" w:line="222" w:lineRule="auto"/>
        <w:rPr>
          <w:sz w:val="20"/>
          <w:szCs w:val="20"/>
          <w:color w:val="auto"/>
        </w:rPr>
      </w:pPr>
      <w:r>
        <w:rPr>
          <w:rFonts w:ascii="Arial" w:cs="Arial" w:eastAsia="Arial" w:hAnsi="Arial"/>
          <w:sz w:val="12"/>
          <w:szCs w:val="12"/>
          <w:color w:val="FFFFFF"/>
        </w:rPr>
        <w:t>Certain Beneficial</w:t>
      </w:r>
    </w:p>
    <w:p>
      <w:pPr>
        <w:ind w:left="1120"/>
        <w:spacing w:after="0" w:line="222" w:lineRule="auto"/>
        <w:rPr>
          <w:sz w:val="20"/>
          <w:szCs w:val="20"/>
          <w:color w:val="auto"/>
        </w:rPr>
      </w:pPr>
      <w:r>
        <w:rPr>
          <w:rFonts w:ascii="Arial" w:cs="Arial" w:eastAsia="Arial" w:hAnsi="Arial"/>
          <w:sz w:val="12"/>
          <w:szCs w:val="12"/>
          <w:color w:val="FFFFFF"/>
        </w:rPr>
        <w:t>Owners and</w:t>
      </w:r>
    </w:p>
    <w:p>
      <w:pPr>
        <w:ind w:left="1120"/>
        <w:spacing w:after="0"/>
        <w:rPr>
          <w:sz w:val="20"/>
          <w:szCs w:val="20"/>
          <w:color w:val="auto"/>
        </w:rPr>
      </w:pPr>
      <w:r>
        <w:rPr>
          <w:rFonts w:ascii="Arial" w:cs="Arial" w:eastAsia="Arial" w:hAnsi="Arial"/>
          <w:sz w:val="12"/>
          <w:szCs w:val="12"/>
          <w:color w:val="FFFFFF"/>
        </w:rPr>
        <w:t>Management</w:t>
      </w:r>
    </w:p>
    <w:p>
      <w:pPr>
        <w:spacing w:after="0" w:line="169"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Certain</w:t>
      </w:r>
    </w:p>
    <w:p>
      <w:pPr>
        <w:ind w:left="1120"/>
        <w:spacing w:after="0" w:line="224" w:lineRule="auto"/>
        <w:rPr>
          <w:sz w:val="20"/>
          <w:szCs w:val="20"/>
          <w:color w:val="auto"/>
        </w:rPr>
      </w:pPr>
      <w:r>
        <w:rPr>
          <w:rFonts w:ascii="Arial" w:cs="Arial" w:eastAsia="Arial" w:hAnsi="Arial"/>
          <w:sz w:val="12"/>
          <w:szCs w:val="12"/>
          <w:color w:val="FFFFFF"/>
        </w:rPr>
        <w:t>Relationships and</w:t>
      </w:r>
    </w:p>
    <w:p>
      <w:pPr>
        <w:ind w:left="1120"/>
        <w:spacing w:after="0" w:line="222" w:lineRule="auto"/>
        <w:rPr>
          <w:sz w:val="20"/>
          <w:szCs w:val="20"/>
          <w:color w:val="auto"/>
        </w:rPr>
      </w:pPr>
      <w:r>
        <w:rPr>
          <w:rFonts w:ascii="Arial" w:cs="Arial" w:eastAsia="Arial" w:hAnsi="Arial"/>
          <w:sz w:val="12"/>
          <w:szCs w:val="12"/>
          <w:color w:val="FFFFFF"/>
        </w:rPr>
        <w:t>Related Party</w:t>
      </w:r>
    </w:p>
    <w:p>
      <w:pPr>
        <w:ind w:left="1120"/>
        <w:spacing w:after="0"/>
        <w:rPr>
          <w:sz w:val="20"/>
          <w:szCs w:val="20"/>
          <w:color w:val="auto"/>
        </w:rPr>
      </w:pPr>
      <w:r>
        <w:rPr>
          <w:rFonts w:ascii="Arial" w:cs="Arial" w:eastAsia="Arial" w:hAnsi="Arial"/>
          <w:sz w:val="12"/>
          <w:szCs w:val="12"/>
          <w:color w:val="FFFFFF"/>
        </w:rPr>
        <w:t>Transactions</w:t>
      </w:r>
    </w:p>
    <w:p>
      <w:pPr>
        <w:spacing w:after="0" w:line="169"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Proposal 2</w:t>
      </w:r>
    </w:p>
    <w:p>
      <w:pPr>
        <w:spacing w:after="0" w:line="156"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Report of the</w:t>
      </w:r>
    </w:p>
    <w:p>
      <w:pPr>
        <w:ind w:left="1120"/>
        <w:spacing w:after="0" w:line="224" w:lineRule="auto"/>
        <w:rPr>
          <w:sz w:val="20"/>
          <w:szCs w:val="20"/>
          <w:color w:val="auto"/>
        </w:rPr>
      </w:pPr>
      <w:r>
        <w:rPr>
          <w:rFonts w:ascii="Arial" w:cs="Arial" w:eastAsia="Arial" w:hAnsi="Arial"/>
          <w:sz w:val="12"/>
          <w:szCs w:val="12"/>
          <w:color w:val="FFFFFF"/>
        </w:rPr>
        <w:t>Audit and Risk</w:t>
      </w:r>
    </w:p>
    <w:p>
      <w:pPr>
        <w:ind w:left="1120"/>
        <w:spacing w:after="0" w:line="222" w:lineRule="auto"/>
        <w:rPr>
          <w:sz w:val="20"/>
          <w:szCs w:val="20"/>
          <w:color w:val="auto"/>
        </w:rPr>
      </w:pPr>
      <w:r>
        <w:rPr>
          <w:rFonts w:ascii="Arial" w:cs="Arial" w:eastAsia="Arial" w:hAnsi="Arial"/>
          <w:sz w:val="12"/>
          <w:szCs w:val="12"/>
          <w:color w:val="FFFFFF"/>
        </w:rPr>
        <w:t>Committee of the</w:t>
      </w:r>
    </w:p>
    <w:p>
      <w:pPr>
        <w:ind w:left="1120"/>
        <w:spacing w:after="0"/>
        <w:rPr>
          <w:sz w:val="20"/>
          <w:szCs w:val="20"/>
          <w:color w:val="auto"/>
        </w:rPr>
      </w:pPr>
      <w:r>
        <w:rPr>
          <w:rFonts w:ascii="Arial" w:cs="Arial" w:eastAsia="Arial" w:hAnsi="Arial"/>
          <w:sz w:val="12"/>
          <w:szCs w:val="12"/>
          <w:color w:val="FFFFFF"/>
        </w:rPr>
        <w:t>Board of Directors</w:t>
      </w:r>
    </w:p>
    <w:p>
      <w:pPr>
        <w:spacing w:after="0" w:line="169" w:lineRule="exact"/>
        <w:rPr>
          <w:sz w:val="20"/>
          <w:szCs w:val="20"/>
          <w:color w:val="auto"/>
        </w:rPr>
      </w:pPr>
    </w:p>
    <w:p>
      <w:pPr>
        <w:jc w:val="center"/>
        <w:ind w:left="620"/>
        <w:spacing w:after="0"/>
        <w:rPr>
          <w:sz w:val="20"/>
          <w:szCs w:val="20"/>
          <w:color w:val="auto"/>
        </w:rPr>
      </w:pPr>
      <w:r>
        <w:rPr>
          <w:rFonts w:ascii="Arial" w:cs="Arial" w:eastAsia="Arial" w:hAnsi="Arial"/>
          <w:sz w:val="12"/>
          <w:szCs w:val="12"/>
          <w:color w:val="FFFFFF"/>
        </w:rPr>
        <w:t>Proposal 3</w:t>
      </w:r>
    </w:p>
    <w:p>
      <w:pPr>
        <w:spacing w:after="0" w:line="156" w:lineRule="exact"/>
        <w:rPr>
          <w:sz w:val="20"/>
          <w:szCs w:val="20"/>
          <w:color w:val="auto"/>
        </w:rPr>
      </w:pPr>
    </w:p>
    <w:p>
      <w:pPr>
        <w:jc w:val="center"/>
        <w:ind w:left="620"/>
        <w:spacing w:after="0"/>
        <w:rPr>
          <w:sz w:val="20"/>
          <w:szCs w:val="20"/>
          <w:color w:val="auto"/>
        </w:rPr>
      </w:pPr>
      <w:r>
        <w:rPr>
          <w:rFonts w:ascii="Arial" w:cs="Arial" w:eastAsia="Arial" w:hAnsi="Arial"/>
          <w:sz w:val="12"/>
          <w:szCs w:val="12"/>
          <w:color w:val="FFFFFF"/>
        </w:rPr>
        <w:t>Proposal 4</w:t>
      </w:r>
    </w:p>
    <w:p>
      <w:pPr>
        <w:spacing w:after="0" w:line="179" w:lineRule="exact"/>
        <w:rPr>
          <w:sz w:val="20"/>
          <w:szCs w:val="20"/>
          <w:color w:val="auto"/>
        </w:rPr>
      </w:pPr>
    </w:p>
    <w:p>
      <w:pPr>
        <w:jc w:val="right"/>
        <w:ind w:right="440"/>
        <w:spacing w:after="0"/>
        <w:rPr>
          <w:sz w:val="20"/>
          <w:szCs w:val="20"/>
          <w:color w:val="auto"/>
        </w:rPr>
      </w:pPr>
      <w:r>
        <w:rPr>
          <w:sz w:val="1"/>
          <w:szCs w:val="1"/>
          <w:color w:val="auto"/>
        </w:rPr>
        <w:drawing>
          <wp:inline distT="0" distB="0" distL="0" distR="0">
            <wp:extent cx="56515" cy="88900"/>
            <wp:effectExtent l="0" t="0" r="0" b="0"/>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56515" cy="88900"/>
                    </a:xfrm>
                    <a:prstGeom prst="rect">
                      <a:avLst/>
                    </a:prstGeom>
                    <a:noFill/>
                    <a:ln>
                      <a:noFill/>
                    </a:ln>
                  </pic:spPr>
                </pic:pic>
              </a:graphicData>
            </a:graphic>
          </wp:inline>
        </w:drawing>
      </w:r>
      <w:r>
        <w:rPr>
          <w:rFonts w:ascii="Arial" w:cs="Arial" w:eastAsia="Arial" w:hAnsi="Arial"/>
          <w:sz w:val="12"/>
          <w:szCs w:val="12"/>
          <w:b w:val="1"/>
          <w:bCs w:val="1"/>
          <w:color w:val="FFFFFF"/>
        </w:rPr>
        <w:t xml:space="preserve"> Proposal 5</w:t>
      </w:r>
    </w:p>
    <w:p>
      <w:pPr>
        <w:spacing w:after="0" w:line="130" w:lineRule="exact"/>
        <w:rPr>
          <w:sz w:val="20"/>
          <w:szCs w:val="20"/>
          <w:color w:val="auto"/>
        </w:rPr>
      </w:pPr>
    </w:p>
    <w:p>
      <w:pPr>
        <w:jc w:val="right"/>
        <w:ind w:right="480"/>
        <w:spacing w:after="0"/>
        <w:rPr>
          <w:sz w:val="20"/>
          <w:szCs w:val="20"/>
          <w:color w:val="auto"/>
        </w:rPr>
      </w:pPr>
      <w:r>
        <w:rPr>
          <w:rFonts w:ascii="Arial" w:cs="Arial" w:eastAsia="Arial" w:hAnsi="Arial"/>
          <w:sz w:val="12"/>
          <w:szCs w:val="12"/>
          <w:color w:val="FFFFFF"/>
        </w:rPr>
        <w:t>Proposal 6</w:t>
      </w:r>
    </w:p>
    <w:p>
      <w:pPr>
        <w:spacing w:after="0" w:line="181"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Stockholder</w:t>
      </w:r>
    </w:p>
    <w:p>
      <w:pPr>
        <w:ind w:left="1120"/>
        <w:spacing w:after="0" w:line="224" w:lineRule="auto"/>
        <w:rPr>
          <w:sz w:val="20"/>
          <w:szCs w:val="20"/>
          <w:color w:val="auto"/>
        </w:rPr>
      </w:pPr>
      <w:r>
        <w:rPr>
          <w:rFonts w:ascii="Arial" w:cs="Arial" w:eastAsia="Arial" w:hAnsi="Arial"/>
          <w:sz w:val="12"/>
          <w:szCs w:val="12"/>
          <w:color w:val="FFFFFF"/>
        </w:rPr>
        <w:t>Proposals and</w:t>
      </w:r>
    </w:p>
    <w:p>
      <w:pPr>
        <w:ind w:left="1120"/>
        <w:spacing w:after="0"/>
        <w:rPr>
          <w:sz w:val="20"/>
          <w:szCs w:val="20"/>
          <w:color w:val="auto"/>
        </w:rPr>
      </w:pPr>
      <w:r>
        <w:rPr>
          <w:rFonts w:ascii="Arial" w:cs="Arial" w:eastAsia="Arial" w:hAnsi="Arial"/>
          <w:sz w:val="12"/>
          <w:szCs w:val="12"/>
          <w:color w:val="FFFFFF"/>
        </w:rPr>
        <w:t>Other Matters</w:t>
      </w:r>
    </w:p>
    <w:p>
      <w:pPr>
        <w:spacing w:after="0" w:line="169"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Delinquent</w:t>
      </w:r>
    </w:p>
    <w:p>
      <w:pPr>
        <w:ind w:left="1120"/>
        <w:spacing w:after="0" w:line="224" w:lineRule="auto"/>
        <w:rPr>
          <w:sz w:val="20"/>
          <w:szCs w:val="20"/>
          <w:color w:val="auto"/>
        </w:rPr>
      </w:pPr>
      <w:r>
        <w:rPr>
          <w:rFonts w:ascii="Arial" w:cs="Arial" w:eastAsia="Arial" w:hAnsi="Arial"/>
          <w:sz w:val="12"/>
          <w:szCs w:val="12"/>
          <w:color w:val="FFFFFF"/>
        </w:rPr>
        <w:t>Section 16(a)</w:t>
      </w:r>
    </w:p>
    <w:p>
      <w:pPr>
        <w:ind w:left="1120"/>
        <w:spacing w:after="0"/>
        <w:rPr>
          <w:sz w:val="20"/>
          <w:szCs w:val="20"/>
          <w:color w:val="auto"/>
        </w:rPr>
      </w:pPr>
      <w:r>
        <w:rPr>
          <w:rFonts w:ascii="Arial" w:cs="Arial" w:eastAsia="Arial" w:hAnsi="Arial"/>
          <w:sz w:val="12"/>
          <w:szCs w:val="12"/>
          <w:color w:val="FFFFFF"/>
        </w:rPr>
        <w:t>Reports</w:t>
      </w:r>
    </w:p>
    <w:p>
      <w:pPr>
        <w:spacing w:after="0" w:line="169"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Other</w:t>
      </w:r>
    </w:p>
    <w:p>
      <w:pPr>
        <w:spacing w:after="0" w:line="2"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Information</w:t>
      </w:r>
    </w:p>
    <w:p>
      <w:pPr>
        <w:spacing w:after="0" w:line="144" w:lineRule="exact"/>
        <w:rPr>
          <w:sz w:val="20"/>
          <w:szCs w:val="20"/>
          <w:color w:val="auto"/>
        </w:rPr>
      </w:pPr>
    </w:p>
    <w:p>
      <w:pPr>
        <w:jc w:val="center"/>
        <w:ind w:left="660"/>
        <w:spacing w:after="0"/>
        <w:rPr>
          <w:sz w:val="20"/>
          <w:szCs w:val="20"/>
          <w:color w:val="auto"/>
        </w:rPr>
      </w:pPr>
      <w:r>
        <w:rPr>
          <w:rFonts w:ascii="Arial" w:cs="Arial" w:eastAsia="Arial" w:hAnsi="Arial"/>
          <w:sz w:val="12"/>
          <w:szCs w:val="12"/>
          <w:color w:val="FFFFFF"/>
        </w:rPr>
        <w:t>Appendix A</w:t>
      </w:r>
    </w:p>
    <w:p>
      <w:pPr>
        <w:spacing w:after="0" w:line="181" w:lineRule="exact"/>
        <w:rPr>
          <w:sz w:val="20"/>
          <w:szCs w:val="20"/>
          <w:color w:val="auto"/>
        </w:rPr>
      </w:pPr>
    </w:p>
    <w:p>
      <w:pPr>
        <w:jc w:val="center"/>
        <w:ind w:left="660"/>
        <w:spacing w:after="0"/>
        <w:rPr>
          <w:sz w:val="20"/>
          <w:szCs w:val="20"/>
          <w:color w:val="auto"/>
        </w:rPr>
      </w:pPr>
      <w:r>
        <w:rPr>
          <w:rFonts w:ascii="Arial" w:cs="Arial" w:eastAsia="Arial" w:hAnsi="Arial"/>
          <w:sz w:val="12"/>
          <w:szCs w:val="12"/>
          <w:color w:val="FFFFFF"/>
        </w:rPr>
        <w:t>Appendix 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7"/>
          <w:szCs w:val="17"/>
          <w:b w:val="1"/>
          <w:bCs w:val="1"/>
          <w:color w:val="002B5F"/>
        </w:rPr>
        <w:t>REASONS FOR THE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-1801495</wp:posOffset>
            </wp:positionH>
            <wp:positionV relativeFrom="paragraph">
              <wp:posOffset>-890905</wp:posOffset>
            </wp:positionV>
            <wp:extent cx="7181215" cy="5334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181215" cy="53340"/>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-250825</wp:posOffset>
            </wp:positionV>
            <wp:extent cx="5065395" cy="297434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5065395" cy="2974340"/>
                    </a:xfrm>
                    <a:prstGeom prst="rect">
                      <a:avLst/>
                    </a:prstGeom>
                    <a:noFill/>
                  </pic:spPr>
                </pic:pic>
              </a:graphicData>
            </a:graphic>
          </wp:anchor>
        </w:drawing>
      </w:r>
    </w:p>
    <w:p>
      <w:pPr>
        <w:spacing w:after="0" w:line="83" w:lineRule="exact"/>
        <w:rPr>
          <w:sz w:val="20"/>
          <w:szCs w:val="20"/>
          <w:color w:val="auto"/>
        </w:rPr>
      </w:pPr>
    </w:p>
    <w:p>
      <w:pPr>
        <w:ind w:right="80"/>
        <w:spacing w:after="0" w:line="252" w:lineRule="auto"/>
        <w:rPr>
          <w:sz w:val="20"/>
          <w:szCs w:val="20"/>
          <w:color w:val="auto"/>
        </w:rPr>
      </w:pPr>
      <w:r>
        <w:rPr>
          <w:rFonts w:ascii="Arial" w:cs="Arial" w:eastAsia="Arial" w:hAnsi="Arial"/>
          <w:sz w:val="15"/>
          <w:szCs w:val="15"/>
          <w:color w:val="auto"/>
        </w:rPr>
        <w:t>Our Board believes it is appropriate for stockholders to adopt the Exculpation Amendment to extend to certain officers the exculpatory protections afforded to directors, as permitted by the DGCL. The nature of the role of directors and officers often requires them to make decisions on crucial matters. Frequently, directors and officers must make decisions in response to time-sensitive opportunities and challenges, which can create substantial risk of investigations, claims, actions, suits or proceedings seeking to impose liability on the basis of hindsight, especially in the current litigious environment and regardless of merit. Claims against directors and officers for breaches of fiduciary duties are expected to continue. Limiting concern about personal risk empowers both directors and officers to best exercise their business judgment in furtherance of stockholder interests while reducing the potential distraction posed by frivolous lawsuits and costs that are often borne by the Company either directly, through indemnification, or indirectly through higher director and officer liability insurance premiums.</w:t>
      </w:r>
    </w:p>
    <w:p>
      <w:pPr>
        <w:spacing w:after="0" w:line="91" w:lineRule="exact"/>
        <w:rPr>
          <w:sz w:val="20"/>
          <w:szCs w:val="20"/>
          <w:color w:val="auto"/>
        </w:rPr>
      </w:pPr>
    </w:p>
    <w:p>
      <w:pPr>
        <w:ind w:right="20"/>
        <w:spacing w:after="0" w:line="258" w:lineRule="auto"/>
        <w:rPr>
          <w:sz w:val="20"/>
          <w:szCs w:val="20"/>
          <w:color w:val="auto"/>
        </w:rPr>
      </w:pPr>
      <w:r>
        <w:rPr>
          <w:rFonts w:ascii="Arial" w:cs="Arial" w:eastAsia="Arial" w:hAnsi="Arial"/>
          <w:sz w:val="15"/>
          <w:szCs w:val="15"/>
          <w:color w:val="auto"/>
        </w:rPr>
        <w:t>Several of the Company’s peers and competitors have already amended their charters to limit the personal liability of officers similar to the Exculpation Amendment and we expect more will do so. Thus, failing to adopt the Exculpation Amendment could impact our recruitment and retention of exceptional officer candidates who conclude that the potential exposure to liabilities, costs of defense and other risks of proceedings exceeds the benefits of serving as an officer of the Company.</w:t>
      </w:r>
    </w:p>
    <w:p>
      <w:pPr>
        <w:spacing w:after="0" w:line="81" w:lineRule="exact"/>
        <w:rPr>
          <w:sz w:val="20"/>
          <w:szCs w:val="20"/>
          <w:color w:val="auto"/>
        </w:rPr>
      </w:pPr>
    </w:p>
    <w:p>
      <w:pPr>
        <w:spacing w:after="0" w:line="255" w:lineRule="auto"/>
        <w:rPr>
          <w:sz w:val="20"/>
          <w:szCs w:val="20"/>
          <w:color w:val="auto"/>
        </w:rPr>
      </w:pPr>
      <w:r>
        <w:rPr>
          <w:rFonts w:ascii="Arial" w:cs="Arial" w:eastAsia="Arial" w:hAnsi="Arial"/>
          <w:sz w:val="15"/>
          <w:szCs w:val="15"/>
          <w:color w:val="auto"/>
        </w:rPr>
        <w:t>Our Board believes that eliminating personal monetary liability for officers under the circumstances permitted by the DGCL is reasonable and appropriate. It would substantially align protections for officers with those currently afforded to directors, and align our Charter with the DGCL. After careful consideration, and upon the recommendation of the Nominating and Governance Committee, our Board determined that it would be in the best interests of the Company and our stockholders to adopt the Exculpation Amendment. Accordingly, our Board has unanimously approved and adopted the Exculpation Amendment, declared the Exculpation Amendment advisable and recommended that our stockholders vote in favor of the adoption of the Exculpation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wp:posOffset>
            </wp:positionH>
            <wp:positionV relativeFrom="paragraph">
              <wp:posOffset>141605</wp:posOffset>
            </wp:positionV>
            <wp:extent cx="5065395" cy="213931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5065395" cy="213931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color w:val="002B5F"/>
        </w:rPr>
        <w:t>EFFECTIVENESS OF THE AMENDMENT</w:t>
      </w:r>
    </w:p>
    <w:p>
      <w:pPr>
        <w:spacing w:after="0" w:line="103" w:lineRule="exact"/>
        <w:rPr>
          <w:sz w:val="20"/>
          <w:szCs w:val="20"/>
          <w:color w:val="auto"/>
        </w:rPr>
      </w:pPr>
    </w:p>
    <w:p>
      <w:pPr>
        <w:ind w:right="40"/>
        <w:spacing w:after="0" w:line="251" w:lineRule="auto"/>
        <w:rPr>
          <w:sz w:val="20"/>
          <w:szCs w:val="20"/>
          <w:color w:val="auto"/>
        </w:rPr>
      </w:pPr>
      <w:r>
        <w:rPr>
          <w:rFonts w:ascii="Arial" w:cs="Arial" w:eastAsia="Arial" w:hAnsi="Arial"/>
          <w:sz w:val="15"/>
          <w:szCs w:val="15"/>
          <w:color w:val="auto"/>
        </w:rPr>
        <w:t>Neither the approval of Proposal 5 nor the approval of Proposal 4 or Proposal 6 is conditioned on the approval of any of the others. If Proposal 5 is approved by the requisite vote of our stockholders, and thus our stockholders adopt the Exculpation Amendment, the Company will make a filing with the Delaware Secretary of State to effectuate the Exculpation Amendment. If Proposal 4 is not approved, such filing will consist of a certificate of amendment to our Charter reflecting the revisions contemplated by the Exculpation Amendment (and, if Proposal 6 is approved by the requisite vote of our stockholders, the Corporate Opportunities Amendment (as defined below)). If Proposal 4 is approved, such filing will consist of an amended and restated certificate of incorporation reflecting the revisions contemplated by the Majority Voting Amendment and all prior amendments to the Company’s Amended and Restated Incorporation as well as the Exculpation Amendment (and if Proposal 6 is approved by the requisite vote of our stockholders, the Corporate Opportunities Amendment). The Exculpation Amendment will become effective upon the filing of such certificate of amendment or the filing of such amended and restated certificate of incorporation, as applicable, with the Delaware Secretary of State, which is anticipated to occur promptly after the Annual Meeting. If our stockholders do not approve Proposal 5, no filing with the Delaware Secretary of State will be made effectuating the Exculpation Amendment, and Article VI of our Charter will remain unchanged. Our Board reserves the right to abandon the Exculpation Amendment at any time before it becomes effective even if Proposal 5 is approved by the requisite vote of our stockholders.</w:t>
      </w:r>
    </w:p>
    <w:p>
      <w:pPr>
        <w:spacing w:after="0" w:line="172" w:lineRule="exact"/>
        <w:rPr>
          <w:sz w:val="20"/>
          <w:szCs w:val="20"/>
          <w:color w:val="auto"/>
        </w:rPr>
      </w:pPr>
    </w:p>
    <w:p>
      <w:pPr>
        <w:ind w:left="760"/>
        <w:spacing w:after="0"/>
        <w:rPr>
          <w:sz w:val="20"/>
          <w:szCs w:val="20"/>
          <w:color w:val="auto"/>
        </w:rPr>
      </w:pPr>
      <w:r>
        <w:rPr>
          <w:rFonts w:ascii="Arial" w:cs="Arial" w:eastAsia="Arial" w:hAnsi="Arial"/>
          <w:sz w:val="17"/>
          <w:szCs w:val="17"/>
          <w:color w:val="B95827"/>
        </w:rPr>
        <w:t>THE BOARD OF DIRECTORS RECOMMENDS A VOTE “FOR” THIS PROPOSAL.</w:t>
      </w:r>
    </w:p>
    <w:p>
      <w:pPr>
        <w:spacing w:after="0" w:line="2898" w:lineRule="exact"/>
        <w:rPr>
          <w:sz w:val="20"/>
          <w:szCs w:val="20"/>
          <w:color w:val="auto"/>
        </w:rPr>
      </w:pPr>
    </w:p>
    <w:p>
      <w:pPr>
        <w:sectPr>
          <w:pgSz w:w="11900" w:h="16838" w:orient="portrait"/>
          <w:cols w:equalWidth="0" w:num="2">
            <w:col w:w="2160" w:space="660"/>
            <w:col w:w="7800"/>
          </w:cols>
          <w:pgMar w:left="320" w:top="464" w:right="959" w:bottom="1440" w:gutter="0" w:footer="0" w:header="0"/>
        </w:sectPr>
      </w:pPr>
    </w:p>
    <w:p>
      <w:pPr>
        <w:spacing w:after="0" w:line="200" w:lineRule="exact"/>
        <w:rPr>
          <w:sz w:val="20"/>
          <w:szCs w:val="20"/>
          <w:color w:val="auto"/>
        </w:rPr>
      </w:pPr>
    </w:p>
    <w:p>
      <w:pPr>
        <w:spacing w:after="0" w:line="385" w:lineRule="exact"/>
        <w:rPr>
          <w:sz w:val="20"/>
          <w:szCs w:val="20"/>
          <w:color w:val="auto"/>
        </w:rPr>
      </w:pPr>
    </w:p>
    <w:p>
      <w:pPr>
        <w:ind w:left="420"/>
        <w:spacing w:after="0"/>
        <w:tabs>
          <w:tab w:leader="none" w:pos="2380" w:val="left"/>
          <w:tab w:leader="none" w:pos="2800" w:val="left"/>
        </w:tabs>
        <w:rPr>
          <w:sz w:val="20"/>
          <w:szCs w:val="20"/>
          <w:color w:val="auto"/>
        </w:rPr>
      </w:pPr>
      <w:r>
        <w:rPr>
          <w:rFonts w:ascii="Arial" w:cs="Arial" w:eastAsia="Arial" w:hAnsi="Arial"/>
          <w:sz w:val="30"/>
          <w:szCs w:val="30"/>
          <w:color w:val="000000"/>
          <w:vertAlign w:val="superscript"/>
        </w:rPr>
        <w:t xml:space="preserve">             </w:t>
      </w:r>
      <w:r>
        <w:rPr>
          <w:sz w:val="20"/>
          <w:szCs w:val="20"/>
          <w:color w:val="auto"/>
        </w:rPr>
        <w:tab/>
      </w:r>
      <w:r>
        <w:rPr>
          <w:rFonts w:ascii="Arial" w:cs="Arial" w:eastAsia="Arial" w:hAnsi="Arial"/>
          <w:sz w:val="31"/>
          <w:szCs w:val="31"/>
          <w:color w:val="auto"/>
          <w:vertAlign w:val="superscript"/>
        </w:rPr>
        <w:t xml:space="preserve">    </w:t>
      </w:r>
      <w:r>
        <w:rPr>
          <w:sz w:val="20"/>
          <w:szCs w:val="20"/>
          <w:color w:val="auto"/>
        </w:rPr>
        <w:tab/>
      </w:r>
      <w:r>
        <w:rPr>
          <w:rFonts w:ascii="Arial" w:cs="Arial" w:eastAsia="Arial" w:hAnsi="Arial"/>
          <w:sz w:val="15"/>
          <w:szCs w:val="15"/>
          <w:b w:val="1"/>
          <w:bCs w:val="1"/>
          <w:color w:val="002B5F"/>
        </w:rPr>
        <w:t xml:space="preserve">90  </w:t>
      </w:r>
      <w:r>
        <w:rPr>
          <w:rFonts w:ascii="Arial" w:cs="Arial" w:eastAsia="Arial" w:hAnsi="Arial"/>
          <w:sz w:val="20"/>
          <w:szCs w:val="20"/>
          <w:color w:val="002B5F"/>
        </w:rPr>
        <w:t>|</w:t>
      </w:r>
      <w:r>
        <w:rPr>
          <w:rFonts w:ascii="Arial" w:cs="Arial" w:eastAsia="Arial" w:hAnsi="Arial"/>
          <w:sz w:val="15"/>
          <w:szCs w:val="15"/>
          <w:b w:val="1"/>
          <w:bCs w:val="1"/>
          <w:color w:val="002B5F"/>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6111875</wp:posOffset>
            </wp:positionH>
            <wp:positionV relativeFrom="paragraph">
              <wp:posOffset>-208915</wp:posOffset>
            </wp:positionV>
            <wp:extent cx="769620" cy="971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69620" cy="97155"/>
                    </a:xfrm>
                    <a:prstGeom prst="rect">
                      <a:avLst/>
                    </a:prstGeom>
                    <a:noFill/>
                  </pic:spPr>
                </pic:pic>
              </a:graphicData>
            </a:graphic>
          </wp:anchor>
        </w:drawing>
      </w:r>
    </w:p>
    <w:p>
      <w:pPr>
        <w:sectPr>
          <w:pgSz w:w="11900" w:h="16838" w:orient="portrait"/>
          <w:cols w:equalWidth="0" w:num="1">
            <w:col w:w="10620"/>
          </w:cols>
          <w:pgMar w:left="320" w:top="464" w:right="959" w:bottom="1440" w:gutter="0" w:footer="0" w:header="0"/>
          <w:type w:val="continuous"/>
        </w:sectPr>
      </w:pPr>
    </w:p>
    <w:bookmarkStart w:id="98" w:name="page99"/>
    <w:bookmarkEnd w:id="9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5334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181215" cy="5334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5617845</wp:posOffset>
            </wp:positionH>
            <wp:positionV relativeFrom="paragraph">
              <wp:posOffset>253365</wp:posOffset>
            </wp:positionV>
            <wp:extent cx="1256030" cy="74720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1256030" cy="7472045"/>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ind w:left="540"/>
        <w:spacing w:after="0"/>
        <w:rPr>
          <w:sz w:val="20"/>
          <w:szCs w:val="20"/>
          <w:color w:val="auto"/>
        </w:rPr>
      </w:pPr>
      <w:r>
        <w:rPr>
          <w:rFonts w:ascii="Arial" w:cs="Arial" w:eastAsia="Arial" w:hAnsi="Arial"/>
          <w:sz w:val="26"/>
          <w:szCs w:val="26"/>
          <w:color w:val="B95827"/>
        </w:rPr>
        <w:t>PROPOSAL 6</w:t>
      </w:r>
    </w:p>
    <w:tbl>
      <w:tblPr>
        <w:tblLayout w:type="fixed"/>
        <w:tblInd w:w="540" w:type="dxa"/>
        <w:tblCellMar>
          <w:top w:w="0" w:type="dxa"/>
          <w:left w:w="0" w:type="dxa"/>
          <w:bottom w:w="0" w:type="dxa"/>
          <w:right w:w="0" w:type="dxa"/>
        </w:tblCellMar>
      </w:tblPr>
      <w:tr>
        <w:trPr>
          <w:trHeight w:val="191"/>
        </w:trPr>
        <w:tc>
          <w:tcPr>
            <w:tcW w:w="7880" w:type="dxa"/>
            <w:vAlign w:val="bottom"/>
            <w:vMerge w:val="restart"/>
          </w:tcPr>
          <w:p>
            <w:pPr>
              <w:spacing w:after="0" w:line="190" w:lineRule="exact"/>
              <w:rPr>
                <w:sz w:val="20"/>
                <w:szCs w:val="20"/>
                <w:color w:val="auto"/>
              </w:rPr>
            </w:pPr>
            <w:r>
              <w:rPr>
                <w:rFonts w:ascii="Times New Roman" w:cs="Times New Roman" w:eastAsia="Times New Roman" w:hAnsi="Times New Roman"/>
                <w:sz w:val="22"/>
                <w:szCs w:val="22"/>
                <w:b w:val="1"/>
                <w:bCs w:val="1"/>
                <w:color w:val="002B5F"/>
              </w:rPr>
              <w:t>Adoption of Amendments to Our</w:t>
            </w:r>
          </w:p>
        </w:tc>
        <w:tc>
          <w:tcPr>
            <w:tcW w:w="660" w:type="dxa"/>
            <w:vAlign w:val="bottom"/>
          </w:tcPr>
          <w:p>
            <w:pPr>
              <w:ind w:left="460"/>
              <w:spacing w:after="0"/>
              <w:rPr>
                <w:sz w:val="20"/>
                <w:szCs w:val="20"/>
                <w:color w:val="auto"/>
              </w:rPr>
            </w:pPr>
            <w:r>
              <w:rPr>
                <w:rFonts w:ascii="Arial" w:cs="Arial" w:eastAsia="Arial" w:hAnsi="Arial"/>
                <w:sz w:val="15"/>
                <w:szCs w:val="15"/>
                <w:color w:val="auto"/>
              </w:rPr>
              <w:t> </w:t>
            </w:r>
          </w:p>
        </w:tc>
        <w:tc>
          <w:tcPr>
            <w:tcW w:w="1280" w:type="dxa"/>
            <w:vAlign w:val="bottom"/>
          </w:tcPr>
          <w:p>
            <w:pPr>
              <w:ind w:left="140"/>
              <w:spacing w:after="0"/>
              <w:rPr>
                <w:sz w:val="20"/>
                <w:szCs w:val="20"/>
                <w:color w:val="auto"/>
              </w:rPr>
            </w:pPr>
            <w:r>
              <w:rPr>
                <w:rFonts w:ascii="Arial" w:cs="Arial" w:eastAsia="Arial" w:hAnsi="Arial"/>
                <w:sz w:val="12"/>
                <w:szCs w:val="12"/>
                <w:color w:val="FFFFFF"/>
              </w:rPr>
              <w:t>General</w:t>
            </w:r>
          </w:p>
        </w:tc>
        <w:tc>
          <w:tcPr>
            <w:tcW w:w="440" w:type="dxa"/>
            <w:vAlign w:val="bottom"/>
          </w:tcPr>
          <w:p>
            <w:pPr>
              <w:ind w:left="80"/>
              <w:spacing w:after="0"/>
              <w:rPr>
                <w:sz w:val="20"/>
                <w:szCs w:val="20"/>
                <w:color w:val="auto"/>
              </w:rPr>
            </w:pPr>
            <w:r>
              <w:rPr>
                <w:rFonts w:ascii="Arial" w:cs="Arial" w:eastAsia="Arial" w:hAnsi="Arial"/>
                <w:sz w:val="15"/>
                <w:szCs w:val="15"/>
                <w:color w:val="auto"/>
              </w:rPr>
              <w:t xml:space="preserve">       </w:t>
            </w:r>
          </w:p>
        </w:tc>
        <w:tc>
          <w:tcPr>
            <w:tcW w:w="0" w:type="dxa"/>
            <w:vAlign w:val="bottom"/>
          </w:tcPr>
          <w:p>
            <w:pPr>
              <w:spacing w:after="0"/>
              <w:rPr>
                <w:sz w:val="1"/>
                <w:szCs w:val="1"/>
                <w:color w:val="auto"/>
              </w:rPr>
            </w:pPr>
          </w:p>
        </w:tc>
      </w:tr>
      <w:tr>
        <w:trPr>
          <w:trHeight w:val="0"/>
        </w:trPr>
        <w:tc>
          <w:tcPr>
            <w:tcW w:w="7880" w:type="dxa"/>
            <w:vAlign w:val="bottom"/>
            <w:vMerge w:val="continu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80" w:type="dxa"/>
            <w:vAlign w:val="bottom"/>
          </w:tcPr>
          <w:p>
            <w:pPr>
              <w:ind w:left="140"/>
              <w:spacing w:after="0" w:line="1" w:lineRule="exact"/>
              <w:rPr>
                <w:sz w:val="20"/>
                <w:szCs w:val="20"/>
                <w:color w:val="auto"/>
              </w:rPr>
            </w:pPr>
            <w:r>
              <w:rPr>
                <w:rFonts w:ascii="Arial" w:cs="Arial" w:eastAsia="Arial" w:hAnsi="Arial"/>
                <w:sz w:val="1"/>
                <w:szCs w:val="1"/>
                <w:color w:val="FFFFFF"/>
              </w:rPr>
              <w:t>General Information</w:t>
            </w: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78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Information</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6"/>
        </w:trPr>
        <w:tc>
          <w:tcPr>
            <w:tcW w:w="7880" w:type="dxa"/>
            <w:vAlign w:val="bottom"/>
            <w:vMerge w:val="restart"/>
          </w:tcPr>
          <w:p>
            <w:pPr>
              <w:spacing w:after="0" w:line="435" w:lineRule="exact"/>
              <w:rPr>
                <w:sz w:val="20"/>
                <w:szCs w:val="20"/>
                <w:color w:val="auto"/>
              </w:rPr>
            </w:pPr>
            <w:r>
              <w:rPr>
                <w:rFonts w:ascii="Times New Roman" w:cs="Times New Roman" w:eastAsia="Times New Roman" w:hAnsi="Times New Roman"/>
                <w:sz w:val="48"/>
                <w:szCs w:val="48"/>
                <w:b w:val="1"/>
                <w:bCs w:val="1"/>
                <w:color w:val="002B5F"/>
              </w:rPr>
              <w:t>Charter to Remove the Corporate</w:t>
            </w:r>
          </w:p>
        </w:tc>
        <w:tc>
          <w:tcPr>
            <w:tcW w:w="660" w:type="dxa"/>
            <w:vAlign w:val="bottom"/>
          </w:tcPr>
          <w:p>
            <w:pPr>
              <w:spacing w:after="0"/>
              <w:rPr>
                <w:sz w:val="24"/>
                <w:szCs w:val="24"/>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About Corporate</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7880" w:type="dxa"/>
            <w:vAlign w:val="bottom"/>
            <w:vMerge w:val="continue"/>
          </w:tcPr>
          <w:p>
            <w:pPr>
              <w:spacing w:after="0"/>
              <w:rPr>
                <w:sz w:val="11"/>
                <w:szCs w:val="11"/>
                <w:color w:val="auto"/>
              </w:rPr>
            </w:pPr>
          </w:p>
        </w:tc>
        <w:tc>
          <w:tcPr>
            <w:tcW w:w="660" w:type="dxa"/>
            <w:vAlign w:val="bottom"/>
          </w:tcPr>
          <w:p>
            <w:pPr>
              <w:spacing w:after="0"/>
              <w:rPr>
                <w:sz w:val="11"/>
                <w:szCs w:val="11"/>
                <w:color w:val="auto"/>
              </w:rPr>
            </w:pPr>
          </w:p>
        </w:tc>
        <w:tc>
          <w:tcPr>
            <w:tcW w:w="1280" w:type="dxa"/>
            <w:vAlign w:val="bottom"/>
          </w:tcPr>
          <w:p>
            <w:pPr>
              <w:ind w:left="140"/>
              <w:spacing w:after="0" w:line="128" w:lineRule="exact"/>
              <w:rPr>
                <w:sz w:val="20"/>
                <w:szCs w:val="20"/>
                <w:color w:val="auto"/>
              </w:rPr>
            </w:pPr>
            <w:r>
              <w:rPr>
                <w:rFonts w:ascii="Arial" w:cs="Arial" w:eastAsia="Arial" w:hAnsi="Arial"/>
                <w:sz w:val="12"/>
                <w:szCs w:val="12"/>
                <w:color w:val="FFFFFF"/>
              </w:rPr>
              <w:t>Governance</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78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80" w:type="dxa"/>
            <w:vAlign w:val="bottom"/>
          </w:tcPr>
          <w:p>
            <w:pPr>
              <w:ind w:left="140"/>
              <w:spacing w:after="0" w:line="128" w:lineRule="exact"/>
              <w:rPr>
                <w:sz w:val="20"/>
                <w:szCs w:val="20"/>
                <w:color w:val="auto"/>
              </w:rPr>
            </w:pPr>
            <w:r>
              <w:rPr>
                <w:rFonts w:ascii="Arial" w:cs="Arial" w:eastAsia="Arial" w:hAnsi="Arial"/>
                <w:sz w:val="12"/>
                <w:szCs w:val="12"/>
                <w:color w:val="FFFFFF"/>
              </w:rPr>
              <w:t>and the Board of</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7880" w:type="dxa"/>
            <w:vAlign w:val="bottom"/>
            <w:vMerge w:val="restart"/>
          </w:tcPr>
          <w:p>
            <w:pPr>
              <w:spacing w:after="0" w:line="306" w:lineRule="exact"/>
              <w:rPr>
                <w:sz w:val="20"/>
                <w:szCs w:val="20"/>
                <w:color w:val="auto"/>
              </w:rPr>
            </w:pPr>
            <w:r>
              <w:rPr>
                <w:rFonts w:ascii="Times New Roman" w:cs="Times New Roman" w:eastAsia="Times New Roman" w:hAnsi="Times New Roman"/>
                <w:sz w:val="35"/>
                <w:szCs w:val="35"/>
                <w:b w:val="1"/>
                <w:bCs w:val="1"/>
                <w:color w:val="002B5F"/>
              </w:rPr>
              <w:t>Opportunities Provision</w:t>
            </w:r>
          </w:p>
        </w:tc>
        <w:tc>
          <w:tcPr>
            <w:tcW w:w="660" w:type="dxa"/>
            <w:vAlign w:val="bottom"/>
          </w:tcPr>
          <w:p>
            <w:pPr>
              <w:spacing w:after="0"/>
              <w:rPr>
                <w:sz w:val="13"/>
                <w:szCs w:val="13"/>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Directors</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7880" w:type="dxa"/>
            <w:vAlign w:val="bottom"/>
            <w:vMerge w:val="continue"/>
          </w:tcPr>
          <w:p>
            <w:pPr>
              <w:spacing w:after="0"/>
              <w:rPr>
                <w:sz w:val="12"/>
                <w:szCs w:val="12"/>
                <w:color w:val="auto"/>
              </w:rPr>
            </w:pPr>
          </w:p>
        </w:tc>
        <w:tc>
          <w:tcPr>
            <w:tcW w:w="660" w:type="dxa"/>
            <w:vAlign w:val="bottom"/>
          </w:tcPr>
          <w:p>
            <w:pPr>
              <w:spacing w:after="0"/>
              <w:rPr>
                <w:sz w:val="12"/>
                <w:szCs w:val="12"/>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Information</w:t>
            </w: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78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Proposal 1</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79"/>
        </w:trPr>
        <w:tc>
          <w:tcPr>
            <w:tcW w:w="78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Regarding Board</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7880" w:type="dxa"/>
            <w:vAlign w:val="bottom"/>
            <w:tcBorders>
              <w:bottom w:val="single" w:sz="8" w:color="auto"/>
            </w:tcBorders>
          </w:tcPr>
          <w:p>
            <w:pPr>
              <w:spacing w:after="0"/>
              <w:rPr>
                <w:sz w:val="2"/>
                <w:szCs w:val="2"/>
                <w:color w:val="auto"/>
              </w:rPr>
            </w:pPr>
          </w:p>
        </w:tc>
        <w:tc>
          <w:tcPr>
            <w:tcW w:w="660" w:type="dxa"/>
            <w:vAlign w:val="bottom"/>
          </w:tcPr>
          <w:p>
            <w:pPr>
              <w:spacing w:after="0"/>
              <w:rPr>
                <w:sz w:val="2"/>
                <w:szCs w:val="2"/>
                <w:color w:val="auto"/>
              </w:rPr>
            </w:pPr>
          </w:p>
        </w:tc>
        <w:tc>
          <w:tcPr>
            <w:tcW w:w="1280" w:type="dxa"/>
            <w:vAlign w:val="bottom"/>
            <w:vMerge w:val="restart"/>
          </w:tcPr>
          <w:p>
            <w:pPr>
              <w:ind w:left="140"/>
              <w:spacing w:after="0" w:line="128" w:lineRule="exact"/>
              <w:rPr>
                <w:sz w:val="20"/>
                <w:szCs w:val="20"/>
                <w:color w:val="auto"/>
              </w:rPr>
            </w:pPr>
            <w:r>
              <w:rPr>
                <w:rFonts w:ascii="Arial" w:cs="Arial" w:eastAsia="Arial" w:hAnsi="Arial"/>
                <w:sz w:val="12"/>
                <w:szCs w:val="12"/>
                <w:color w:val="FFFFFF"/>
              </w:rPr>
              <w:t>and Committee</w:t>
            </w:r>
          </w:p>
        </w:tc>
        <w:tc>
          <w:tcPr>
            <w:tcW w:w="4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7"/>
        </w:trPr>
        <w:tc>
          <w:tcPr>
            <w:tcW w:w="788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8"/>
        </w:trPr>
        <w:tc>
          <w:tcPr>
            <w:tcW w:w="7880" w:type="dxa"/>
            <w:vAlign w:val="bottom"/>
            <w:vMerge w:val="restart"/>
          </w:tcPr>
          <w:p>
            <w:pPr>
              <w:spacing w:after="0"/>
              <w:rPr>
                <w:sz w:val="20"/>
                <w:szCs w:val="20"/>
                <w:color w:val="auto"/>
              </w:rPr>
            </w:pPr>
            <w:r>
              <w:rPr>
                <w:rFonts w:ascii="Arial" w:cs="Arial" w:eastAsia="Arial" w:hAnsi="Arial"/>
                <w:sz w:val="15"/>
                <w:szCs w:val="15"/>
                <w:color w:val="auto"/>
              </w:rPr>
              <w:t>Our Board has unanimously approved and adopted, and unanimously recommends that all stockholders adopt,</w:t>
            </w:r>
          </w:p>
        </w:tc>
        <w:tc>
          <w:tcPr>
            <w:tcW w:w="660" w:type="dxa"/>
            <w:vAlign w:val="bottom"/>
          </w:tcPr>
          <w:p>
            <w:pPr>
              <w:spacing w:after="0"/>
              <w:rPr>
                <w:sz w:val="13"/>
                <w:szCs w:val="13"/>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Structure</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7880" w:type="dxa"/>
            <w:vAlign w:val="bottom"/>
            <w:vMerge w:val="continue"/>
          </w:tcPr>
          <w:p>
            <w:pPr>
              <w:spacing w:after="0"/>
              <w:rPr>
                <w:sz w:val="11"/>
                <w:szCs w:val="11"/>
                <w:color w:val="auto"/>
              </w:rPr>
            </w:pPr>
          </w:p>
        </w:tc>
        <w:tc>
          <w:tcPr>
            <w:tcW w:w="6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7880" w:type="dxa"/>
            <w:vAlign w:val="bottom"/>
          </w:tcPr>
          <w:p>
            <w:pPr>
              <w:spacing w:after="0" w:line="153" w:lineRule="exact"/>
              <w:rPr>
                <w:sz w:val="20"/>
                <w:szCs w:val="20"/>
                <w:color w:val="auto"/>
              </w:rPr>
            </w:pPr>
            <w:r>
              <w:rPr>
                <w:rFonts w:ascii="Arial" w:cs="Arial" w:eastAsia="Arial" w:hAnsi="Arial"/>
                <w:sz w:val="15"/>
                <w:szCs w:val="15"/>
                <w:color w:val="auto"/>
              </w:rPr>
              <w:t>amendments to our Charter to remove the provision of our Charter pursuant to which the Company renounced</w:t>
            </w:r>
          </w:p>
        </w:tc>
        <w:tc>
          <w:tcPr>
            <w:tcW w:w="660" w:type="dxa"/>
            <w:vAlign w:val="bottom"/>
          </w:tcPr>
          <w:p>
            <w:pPr>
              <w:spacing w:after="0"/>
              <w:rPr>
                <w:sz w:val="13"/>
                <w:szCs w:val="13"/>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Board of Directors</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7880" w:type="dxa"/>
            <w:vAlign w:val="bottom"/>
            <w:vMerge w:val="restart"/>
          </w:tcPr>
          <w:p>
            <w:pPr>
              <w:spacing w:after="0"/>
              <w:rPr>
                <w:sz w:val="20"/>
                <w:szCs w:val="20"/>
                <w:color w:val="auto"/>
              </w:rPr>
            </w:pPr>
            <w:r>
              <w:rPr>
                <w:rFonts w:ascii="Arial" w:cs="Arial" w:eastAsia="Arial" w:hAnsi="Arial"/>
                <w:sz w:val="15"/>
                <w:szCs w:val="15"/>
                <w:color w:val="auto"/>
              </w:rPr>
              <w:t>corporate opportunities (the “Corporate Opportunities Amendment”).</w:t>
            </w:r>
          </w:p>
        </w:tc>
        <w:tc>
          <w:tcPr>
            <w:tcW w:w="660" w:type="dxa"/>
            <w:vAlign w:val="bottom"/>
          </w:tcPr>
          <w:p>
            <w:pPr>
              <w:spacing w:after="0"/>
              <w:rPr>
                <w:sz w:val="13"/>
                <w:szCs w:val="13"/>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Compensation</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9"/>
        </w:trPr>
        <w:tc>
          <w:tcPr>
            <w:tcW w:w="788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280" w:type="dxa"/>
            <w:vAlign w:val="bottom"/>
          </w:tcPr>
          <w:p>
            <w:pPr>
              <w:spacing w:after="0"/>
              <w:rPr>
                <w:sz w:val="5"/>
                <w:szCs w:val="5"/>
                <w:color w:val="auto"/>
              </w:rPr>
            </w:pPr>
          </w:p>
        </w:tc>
        <w:tc>
          <w:tcPr>
            <w:tcW w:w="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7"/>
        </w:trPr>
        <w:tc>
          <w:tcPr>
            <w:tcW w:w="78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Compensation</w:t>
            </w: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7880" w:type="dxa"/>
            <w:vAlign w:val="bottom"/>
            <w:tcBorders>
              <w:bottom w:val="single" w:sz="8" w:color="002B5F"/>
            </w:tcBorders>
          </w:tcPr>
          <w:p>
            <w:pPr>
              <w:spacing w:after="0"/>
              <w:rPr>
                <w:sz w:val="9"/>
                <w:szCs w:val="9"/>
                <w:color w:val="auto"/>
              </w:rPr>
            </w:pPr>
          </w:p>
        </w:tc>
        <w:tc>
          <w:tcPr>
            <w:tcW w:w="660" w:type="dxa"/>
            <w:vAlign w:val="bottom"/>
          </w:tcPr>
          <w:p>
            <w:pPr>
              <w:spacing w:after="0"/>
              <w:rPr>
                <w:sz w:val="9"/>
                <w:szCs w:val="9"/>
                <w:color w:val="auto"/>
              </w:rPr>
            </w:pPr>
          </w:p>
        </w:tc>
        <w:tc>
          <w:tcPr>
            <w:tcW w:w="1280" w:type="dxa"/>
            <w:vAlign w:val="bottom"/>
          </w:tcPr>
          <w:p>
            <w:pPr>
              <w:ind w:left="140"/>
              <w:spacing w:after="0" w:line="108" w:lineRule="exact"/>
              <w:rPr>
                <w:sz w:val="20"/>
                <w:szCs w:val="20"/>
                <w:color w:val="auto"/>
              </w:rPr>
            </w:pPr>
            <w:r>
              <w:rPr>
                <w:rFonts w:ascii="Arial" w:cs="Arial" w:eastAsia="Arial" w:hAnsi="Arial"/>
                <w:sz w:val="12"/>
                <w:szCs w:val="12"/>
                <w:color w:val="FFFFFF"/>
              </w:rPr>
              <w:t>Discussion and</w:t>
            </w: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7880" w:type="dxa"/>
            <w:vAlign w:val="bottom"/>
            <w:tcBorders>
              <w:top w:val="single" w:sz="8" w:color="F7F1EC"/>
            </w:tcBorders>
            <w:vMerge w:val="restart"/>
            <w:shd w:val="clear" w:color="auto" w:fill="F7F1EC"/>
          </w:tcPr>
          <w:p>
            <w:pPr>
              <w:ind w:left="80"/>
              <w:spacing w:after="0"/>
              <w:rPr>
                <w:sz w:val="20"/>
                <w:szCs w:val="20"/>
                <w:color w:val="auto"/>
              </w:rPr>
            </w:pPr>
            <w:r>
              <w:rPr>
                <w:rFonts w:ascii="Arial" w:cs="Arial" w:eastAsia="Arial" w:hAnsi="Arial"/>
                <w:sz w:val="17"/>
                <w:szCs w:val="17"/>
                <w:b w:val="1"/>
                <w:bCs w:val="1"/>
                <w:color w:val="002B5F"/>
              </w:rPr>
              <w:t>THE PROPOSED AMENDMENT</w:t>
            </w:r>
          </w:p>
        </w:tc>
        <w:tc>
          <w:tcPr>
            <w:tcW w:w="660" w:type="dxa"/>
            <w:vAlign w:val="bottom"/>
          </w:tcPr>
          <w:p>
            <w:pPr>
              <w:spacing w:after="0"/>
              <w:rPr>
                <w:sz w:val="13"/>
                <w:szCs w:val="13"/>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Analysis</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7880" w:type="dxa"/>
            <w:vAlign w:val="bottom"/>
            <w:vMerge w:val="continue"/>
            <w:shd w:val="clear" w:color="auto" w:fill="F7F1EC"/>
          </w:tcPr>
          <w:p>
            <w:pPr>
              <w:spacing w:after="0"/>
              <w:rPr>
                <w:sz w:val="16"/>
                <w:szCs w:val="16"/>
                <w:color w:val="auto"/>
              </w:rPr>
            </w:pPr>
          </w:p>
        </w:tc>
        <w:tc>
          <w:tcPr>
            <w:tcW w:w="660" w:type="dxa"/>
            <w:vAlign w:val="bottom"/>
          </w:tcPr>
          <w:p>
            <w:pPr>
              <w:spacing w:after="0"/>
              <w:rPr>
                <w:sz w:val="16"/>
                <w:szCs w:val="16"/>
                <w:color w:val="auto"/>
              </w:rPr>
            </w:pPr>
          </w:p>
        </w:tc>
        <w:tc>
          <w:tcPr>
            <w:tcW w:w="1280" w:type="dxa"/>
            <w:vAlign w:val="bottom"/>
            <w:vMerge w:val="restart"/>
          </w:tcPr>
          <w:p>
            <w:pPr>
              <w:ind w:left="140"/>
              <w:spacing w:after="0"/>
              <w:rPr>
                <w:sz w:val="20"/>
                <w:szCs w:val="20"/>
                <w:color w:val="auto"/>
              </w:rPr>
            </w:pPr>
            <w:r>
              <w:rPr>
                <w:rFonts w:ascii="Arial" w:cs="Arial" w:eastAsia="Arial" w:hAnsi="Arial"/>
                <w:sz w:val="12"/>
                <w:szCs w:val="12"/>
                <w:color w:val="FFFFFF"/>
              </w:rPr>
              <w:t>Report of the</w:t>
            </w: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3"/>
        </w:trPr>
        <w:tc>
          <w:tcPr>
            <w:tcW w:w="7880" w:type="dxa"/>
            <w:vAlign w:val="bottom"/>
            <w:vMerge w:val="restart"/>
            <w:shd w:val="clear" w:color="auto" w:fill="F7F1EC"/>
          </w:tcPr>
          <w:p>
            <w:pPr>
              <w:ind w:left="80"/>
              <w:spacing w:after="0"/>
              <w:rPr>
                <w:sz w:val="20"/>
                <w:szCs w:val="20"/>
                <w:color w:val="auto"/>
              </w:rPr>
            </w:pPr>
            <w:r>
              <w:rPr>
                <w:rFonts w:ascii="Arial" w:cs="Arial" w:eastAsia="Arial" w:hAnsi="Arial"/>
                <w:sz w:val="15"/>
                <w:szCs w:val="15"/>
                <w:color w:val="auto"/>
              </w:rPr>
              <w:t>The Corporate Opportunities Amendment would delete Article X of our Charter in its entirety and replace it with</w:t>
            </w:r>
          </w:p>
        </w:tc>
        <w:tc>
          <w:tcPr>
            <w:tcW w:w="66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5"/>
        </w:trPr>
        <w:tc>
          <w:tcPr>
            <w:tcW w:w="7880" w:type="dxa"/>
            <w:vAlign w:val="bottom"/>
            <w:vMerge w:val="continue"/>
            <w:shd w:val="clear" w:color="auto" w:fill="F7F1EC"/>
          </w:tcPr>
          <w:p>
            <w:pPr>
              <w:spacing w:after="0"/>
              <w:rPr>
                <w:sz w:val="12"/>
                <w:szCs w:val="12"/>
                <w:color w:val="auto"/>
              </w:rPr>
            </w:pPr>
          </w:p>
        </w:tc>
        <w:tc>
          <w:tcPr>
            <w:tcW w:w="660" w:type="dxa"/>
            <w:vAlign w:val="bottom"/>
          </w:tcPr>
          <w:p>
            <w:pPr>
              <w:spacing w:after="0"/>
              <w:rPr>
                <w:sz w:val="12"/>
                <w:szCs w:val="12"/>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Compensation</w:t>
            </w: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0"/>
        </w:trPr>
        <w:tc>
          <w:tcPr>
            <w:tcW w:w="7880" w:type="dxa"/>
            <w:vAlign w:val="bottom"/>
            <w:vMerge w:val="restart"/>
            <w:shd w:val="clear" w:color="auto" w:fill="F7F1EC"/>
          </w:tcPr>
          <w:p>
            <w:pPr>
              <w:ind w:left="80"/>
              <w:spacing w:after="0"/>
              <w:rPr>
                <w:sz w:val="20"/>
                <w:szCs w:val="20"/>
                <w:color w:val="auto"/>
              </w:rPr>
            </w:pPr>
            <w:r>
              <w:rPr>
                <w:rFonts w:ascii="Arial" w:cs="Arial" w:eastAsia="Arial" w:hAnsi="Arial"/>
                <w:sz w:val="15"/>
                <w:szCs w:val="15"/>
                <w:color w:val="auto"/>
              </w:rPr>
              <w:t>“Reserved,” which would, therefore, remove the Company’s renouncement of corporate opportunities and prohibit</w:t>
            </w:r>
          </w:p>
        </w:tc>
        <w:tc>
          <w:tcPr>
            <w:tcW w:w="660" w:type="dxa"/>
            <w:vAlign w:val="bottom"/>
          </w:tcPr>
          <w:p>
            <w:pPr>
              <w:spacing w:after="0"/>
              <w:rPr>
                <w:sz w:val="9"/>
                <w:szCs w:val="9"/>
                <w:color w:val="auto"/>
              </w:rPr>
            </w:pPr>
          </w:p>
        </w:tc>
        <w:tc>
          <w:tcPr>
            <w:tcW w:w="1280" w:type="dxa"/>
            <w:vAlign w:val="bottom"/>
          </w:tcPr>
          <w:p>
            <w:pPr>
              <w:ind w:left="140"/>
              <w:spacing w:after="0" w:line="110" w:lineRule="exact"/>
              <w:rPr>
                <w:sz w:val="20"/>
                <w:szCs w:val="20"/>
                <w:color w:val="auto"/>
              </w:rPr>
            </w:pPr>
            <w:r>
              <w:rPr>
                <w:rFonts w:ascii="Arial" w:cs="Arial" w:eastAsia="Arial" w:hAnsi="Arial"/>
                <w:sz w:val="12"/>
                <w:szCs w:val="12"/>
                <w:color w:val="FFFFFF"/>
              </w:rPr>
              <w:t>and Human</w:t>
            </w: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7880" w:type="dxa"/>
            <w:vAlign w:val="bottom"/>
            <w:vMerge w:val="continue"/>
            <w:shd w:val="clear" w:color="auto" w:fill="F7F1EC"/>
          </w:tcPr>
          <w:p>
            <w:pPr>
              <w:spacing w:after="0"/>
              <w:rPr>
                <w:sz w:val="10"/>
                <w:szCs w:val="10"/>
                <w:color w:val="auto"/>
              </w:rPr>
            </w:pPr>
          </w:p>
        </w:tc>
        <w:tc>
          <w:tcPr>
            <w:tcW w:w="660" w:type="dxa"/>
            <w:vAlign w:val="bottom"/>
          </w:tcPr>
          <w:p>
            <w:pPr>
              <w:spacing w:after="0"/>
              <w:rPr>
                <w:sz w:val="10"/>
                <w:szCs w:val="10"/>
                <w:color w:val="auto"/>
              </w:rPr>
            </w:pPr>
          </w:p>
        </w:tc>
        <w:tc>
          <w:tcPr>
            <w:tcW w:w="1280" w:type="dxa"/>
            <w:vAlign w:val="bottom"/>
          </w:tcPr>
          <w:p>
            <w:pPr>
              <w:ind w:left="140"/>
              <w:spacing w:after="0" w:line="120" w:lineRule="exact"/>
              <w:rPr>
                <w:sz w:val="20"/>
                <w:szCs w:val="20"/>
                <w:color w:val="auto"/>
              </w:rPr>
            </w:pPr>
            <w:r>
              <w:rPr>
                <w:rFonts w:ascii="Arial" w:cs="Arial" w:eastAsia="Arial" w:hAnsi="Arial"/>
                <w:sz w:val="12"/>
                <w:szCs w:val="12"/>
                <w:color w:val="FFFFFF"/>
              </w:rPr>
              <w:t>Resources</w:t>
            </w: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7880" w:type="dxa"/>
            <w:vAlign w:val="bottom"/>
            <w:shd w:val="clear" w:color="auto" w:fill="F7F1EC"/>
          </w:tcPr>
          <w:p>
            <w:pPr>
              <w:ind w:left="80"/>
              <w:spacing w:after="0" w:line="136" w:lineRule="exact"/>
              <w:rPr>
                <w:sz w:val="20"/>
                <w:szCs w:val="20"/>
                <w:color w:val="auto"/>
              </w:rPr>
            </w:pPr>
            <w:r>
              <w:rPr>
                <w:rFonts w:ascii="Arial" w:cs="Arial" w:eastAsia="Arial" w:hAnsi="Arial"/>
                <w:sz w:val="15"/>
                <w:szCs w:val="15"/>
                <w:color w:val="auto"/>
              </w:rPr>
              <w:t>non-employee directors from taking advantage of opportunities beneficial to the Company for themselves without</w:t>
            </w:r>
          </w:p>
        </w:tc>
        <w:tc>
          <w:tcPr>
            <w:tcW w:w="660" w:type="dxa"/>
            <w:vAlign w:val="bottom"/>
          </w:tcPr>
          <w:p>
            <w:pPr>
              <w:spacing w:after="0"/>
              <w:rPr>
                <w:sz w:val="11"/>
                <w:szCs w:val="11"/>
                <w:color w:val="auto"/>
              </w:rPr>
            </w:pPr>
          </w:p>
        </w:tc>
        <w:tc>
          <w:tcPr>
            <w:tcW w:w="1280" w:type="dxa"/>
            <w:vAlign w:val="bottom"/>
          </w:tcPr>
          <w:p>
            <w:pPr>
              <w:ind w:left="140"/>
              <w:spacing w:after="0" w:line="136" w:lineRule="exact"/>
              <w:rPr>
                <w:sz w:val="20"/>
                <w:szCs w:val="20"/>
                <w:color w:val="auto"/>
              </w:rPr>
            </w:pPr>
            <w:r>
              <w:rPr>
                <w:rFonts w:ascii="Arial" w:cs="Arial" w:eastAsia="Arial" w:hAnsi="Arial"/>
                <w:sz w:val="12"/>
                <w:szCs w:val="12"/>
                <w:color w:val="FFFFFF"/>
              </w:rPr>
              <w:t>Committee of the</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7"/>
        </w:trPr>
        <w:tc>
          <w:tcPr>
            <w:tcW w:w="7880" w:type="dxa"/>
            <w:vAlign w:val="bottom"/>
            <w:shd w:val="clear" w:color="auto" w:fill="F7F1EC"/>
          </w:tcPr>
          <w:p>
            <w:pPr>
              <w:ind w:left="80"/>
              <w:spacing w:after="0"/>
              <w:rPr>
                <w:sz w:val="20"/>
                <w:szCs w:val="20"/>
                <w:color w:val="auto"/>
              </w:rPr>
            </w:pPr>
            <w:r>
              <w:rPr>
                <w:rFonts w:ascii="Arial" w:cs="Arial" w:eastAsia="Arial" w:hAnsi="Arial"/>
                <w:sz w:val="15"/>
                <w:szCs w:val="15"/>
                <w:color w:val="auto"/>
              </w:rPr>
              <w:t>first disclosing them to our Board and giving our Board the opportunity to pursue or decline the opportunities on</w:t>
            </w:r>
          </w:p>
        </w:tc>
        <w:tc>
          <w:tcPr>
            <w:tcW w:w="660" w:type="dxa"/>
            <w:vAlign w:val="bottom"/>
          </w:tcPr>
          <w:p>
            <w:pPr>
              <w:spacing w:after="0"/>
              <w:rPr>
                <w:sz w:val="17"/>
                <w:szCs w:val="17"/>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Board of Directors</w:t>
            </w: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7880" w:type="dxa"/>
            <w:vAlign w:val="bottom"/>
            <w:shd w:val="clear" w:color="auto" w:fill="F7F1EC"/>
          </w:tcPr>
          <w:p>
            <w:pPr>
              <w:ind w:left="80"/>
              <w:spacing w:after="0"/>
              <w:rPr>
                <w:sz w:val="20"/>
                <w:szCs w:val="20"/>
                <w:color w:val="auto"/>
              </w:rPr>
            </w:pPr>
            <w:r>
              <w:rPr>
                <w:rFonts w:ascii="Arial" w:cs="Arial" w:eastAsia="Arial" w:hAnsi="Arial"/>
                <w:sz w:val="15"/>
                <w:szCs w:val="15"/>
                <w:color w:val="auto"/>
              </w:rPr>
              <w:t>behalf of the Company.</w:t>
            </w:r>
          </w:p>
        </w:tc>
        <w:tc>
          <w:tcPr>
            <w:tcW w:w="660" w:type="dxa"/>
            <w:vAlign w:val="bottom"/>
          </w:tcPr>
          <w:p>
            <w:pPr>
              <w:spacing w:after="0"/>
              <w:rPr>
                <w:sz w:val="17"/>
                <w:szCs w:val="17"/>
                <w:color w:val="auto"/>
              </w:rPr>
            </w:pPr>
          </w:p>
        </w:tc>
        <w:tc>
          <w:tcPr>
            <w:tcW w:w="1280" w:type="dxa"/>
            <w:vAlign w:val="bottom"/>
            <w:vMerge w:val="restart"/>
          </w:tcPr>
          <w:p>
            <w:pPr>
              <w:ind w:left="140"/>
              <w:spacing w:after="0"/>
              <w:rPr>
                <w:sz w:val="20"/>
                <w:szCs w:val="20"/>
                <w:color w:val="auto"/>
              </w:rPr>
            </w:pPr>
            <w:r>
              <w:rPr>
                <w:rFonts w:ascii="Arial" w:cs="Arial" w:eastAsia="Arial" w:hAnsi="Arial"/>
                <w:sz w:val="12"/>
                <w:szCs w:val="12"/>
                <w:color w:val="FFFFFF"/>
              </w:rPr>
              <w:t>Compensation of</w:t>
            </w: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
        </w:trPr>
        <w:tc>
          <w:tcPr>
            <w:tcW w:w="7880" w:type="dxa"/>
            <w:vAlign w:val="bottom"/>
            <w:shd w:val="clear" w:color="auto" w:fill="F7F1EC"/>
          </w:tcPr>
          <w:p>
            <w:pPr>
              <w:spacing w:after="0"/>
              <w:rPr>
                <w:sz w:val="2"/>
                <w:szCs w:val="2"/>
                <w:color w:val="auto"/>
              </w:rPr>
            </w:pPr>
          </w:p>
        </w:tc>
        <w:tc>
          <w:tcPr>
            <w:tcW w:w="66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8"/>
        </w:trPr>
        <w:tc>
          <w:tcPr>
            <w:tcW w:w="7880" w:type="dxa"/>
            <w:vAlign w:val="bottom"/>
            <w:vMerge w:val="restart"/>
            <w:shd w:val="clear" w:color="auto" w:fill="F7F1EC"/>
          </w:tcPr>
          <w:p>
            <w:pPr>
              <w:ind w:left="80"/>
              <w:spacing w:after="0"/>
              <w:rPr>
                <w:sz w:val="20"/>
                <w:szCs w:val="20"/>
                <w:color w:val="auto"/>
              </w:rPr>
            </w:pPr>
            <w:r>
              <w:rPr>
                <w:rFonts w:ascii="Arial" w:cs="Arial" w:eastAsia="Arial" w:hAnsi="Arial"/>
                <w:sz w:val="15"/>
                <w:szCs w:val="15"/>
                <w:i w:val="1"/>
                <w:iCs w:val="1"/>
                <w:color w:val="B95827"/>
              </w:rPr>
              <w:t xml:space="preserve">Background. </w:t>
            </w:r>
            <w:r>
              <w:rPr>
                <w:rFonts w:ascii="Arial" w:cs="Arial" w:eastAsia="Arial" w:hAnsi="Arial"/>
                <w:sz w:val="15"/>
                <w:szCs w:val="15"/>
                <w:color w:val="000000"/>
              </w:rPr>
              <w:t>The “corporate opportunity” doctrine provides that directors and officers of a corporation, as part of</w:t>
            </w:r>
          </w:p>
        </w:tc>
        <w:tc>
          <w:tcPr>
            <w:tcW w:w="660" w:type="dxa"/>
            <w:vAlign w:val="bottom"/>
          </w:tcPr>
          <w:p>
            <w:pPr>
              <w:spacing w:after="0"/>
              <w:rPr>
                <w:sz w:val="11"/>
                <w:szCs w:val="11"/>
                <w:color w:val="auto"/>
              </w:rPr>
            </w:pPr>
          </w:p>
        </w:tc>
        <w:tc>
          <w:tcPr>
            <w:tcW w:w="1280" w:type="dxa"/>
            <w:vAlign w:val="bottom"/>
          </w:tcPr>
          <w:p>
            <w:pPr>
              <w:ind w:left="140"/>
              <w:spacing w:after="0" w:line="128" w:lineRule="exact"/>
              <w:rPr>
                <w:sz w:val="20"/>
                <w:szCs w:val="20"/>
                <w:color w:val="auto"/>
              </w:rPr>
            </w:pPr>
            <w:r>
              <w:rPr>
                <w:rFonts w:ascii="Arial" w:cs="Arial" w:eastAsia="Arial" w:hAnsi="Arial"/>
                <w:sz w:val="12"/>
                <w:szCs w:val="12"/>
                <w:color w:val="FFFFFF"/>
              </w:rPr>
              <w:t>Named Executive</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7880" w:type="dxa"/>
            <w:vAlign w:val="bottom"/>
            <w:vMerge w:val="continue"/>
            <w:shd w:val="clear" w:color="auto" w:fill="F7F1EC"/>
          </w:tcPr>
          <w:p>
            <w:pPr>
              <w:spacing w:after="0"/>
              <w:rPr>
                <w:sz w:val="10"/>
                <w:szCs w:val="10"/>
                <w:color w:val="auto"/>
              </w:rPr>
            </w:pPr>
          </w:p>
        </w:tc>
        <w:tc>
          <w:tcPr>
            <w:tcW w:w="660" w:type="dxa"/>
            <w:vAlign w:val="bottom"/>
          </w:tcPr>
          <w:p>
            <w:pPr>
              <w:spacing w:after="0"/>
              <w:rPr>
                <w:sz w:val="10"/>
                <w:szCs w:val="10"/>
                <w:color w:val="auto"/>
              </w:rPr>
            </w:pPr>
          </w:p>
        </w:tc>
        <w:tc>
          <w:tcPr>
            <w:tcW w:w="1280" w:type="dxa"/>
            <w:vAlign w:val="bottom"/>
          </w:tcPr>
          <w:p>
            <w:pPr>
              <w:ind w:left="140"/>
              <w:spacing w:after="0" w:line="120" w:lineRule="exact"/>
              <w:rPr>
                <w:sz w:val="20"/>
                <w:szCs w:val="20"/>
                <w:color w:val="auto"/>
              </w:rPr>
            </w:pPr>
            <w:r>
              <w:rPr>
                <w:rFonts w:ascii="Arial" w:cs="Arial" w:eastAsia="Arial" w:hAnsi="Arial"/>
                <w:sz w:val="12"/>
                <w:szCs w:val="12"/>
                <w:color w:val="FFFFFF"/>
              </w:rPr>
              <w:t>Officers</w:t>
            </w: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6"/>
        </w:trPr>
        <w:tc>
          <w:tcPr>
            <w:tcW w:w="7880" w:type="dxa"/>
            <w:vAlign w:val="bottom"/>
            <w:shd w:val="clear" w:color="auto" w:fill="F7F1EC"/>
          </w:tcPr>
          <w:p>
            <w:pPr>
              <w:ind w:left="80"/>
              <w:spacing w:after="0" w:line="167" w:lineRule="exact"/>
              <w:rPr>
                <w:sz w:val="20"/>
                <w:szCs w:val="20"/>
                <w:color w:val="auto"/>
              </w:rPr>
            </w:pPr>
            <w:r>
              <w:rPr>
                <w:rFonts w:ascii="Arial" w:cs="Arial" w:eastAsia="Arial" w:hAnsi="Arial"/>
                <w:sz w:val="15"/>
                <w:szCs w:val="15"/>
                <w:color w:val="auto"/>
              </w:rPr>
              <w:t>their duty of loyalty to the corporation and its stockholders, may not divert a corporate opportunity away from the</w:t>
            </w:r>
          </w:p>
        </w:tc>
        <w:tc>
          <w:tcPr>
            <w:tcW w:w="6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7880" w:type="dxa"/>
            <w:vAlign w:val="bottom"/>
            <w:shd w:val="clear" w:color="auto" w:fill="F7F1EC"/>
          </w:tcPr>
          <w:p>
            <w:pPr>
              <w:ind w:left="80"/>
              <w:spacing w:after="0" w:line="153" w:lineRule="exact"/>
              <w:rPr>
                <w:sz w:val="20"/>
                <w:szCs w:val="20"/>
                <w:color w:val="auto"/>
              </w:rPr>
            </w:pPr>
            <w:r>
              <w:rPr>
                <w:rFonts w:ascii="Arial" w:cs="Arial" w:eastAsia="Arial" w:hAnsi="Arial"/>
                <w:sz w:val="15"/>
                <w:szCs w:val="15"/>
                <w:color w:val="auto"/>
              </w:rPr>
              <w:t>company and utilize that opportunity for themselves. Under Delaware law, several factors are considered to</w:t>
            </w:r>
          </w:p>
        </w:tc>
        <w:tc>
          <w:tcPr>
            <w:tcW w:w="660" w:type="dxa"/>
            <w:vAlign w:val="bottom"/>
          </w:tcPr>
          <w:p>
            <w:pPr>
              <w:spacing w:after="0"/>
              <w:rPr>
                <w:sz w:val="13"/>
                <w:szCs w:val="13"/>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Pay Versus</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0"/>
        </w:trPr>
        <w:tc>
          <w:tcPr>
            <w:tcW w:w="7880" w:type="dxa"/>
            <w:vAlign w:val="bottom"/>
            <w:vMerge w:val="restart"/>
            <w:shd w:val="clear" w:color="auto" w:fill="F7F1EC"/>
          </w:tcPr>
          <w:p>
            <w:pPr>
              <w:ind w:left="80"/>
              <w:spacing w:after="0"/>
              <w:rPr>
                <w:sz w:val="20"/>
                <w:szCs w:val="20"/>
                <w:color w:val="auto"/>
              </w:rPr>
            </w:pPr>
            <w:r>
              <w:rPr>
                <w:rFonts w:ascii="Arial" w:cs="Arial" w:eastAsia="Arial" w:hAnsi="Arial"/>
                <w:sz w:val="15"/>
                <w:szCs w:val="15"/>
                <w:color w:val="auto"/>
              </w:rPr>
              <w:t>determine if a business opportunity is a corporate opportunity that should be presented to the corporation,</w:t>
            </w:r>
          </w:p>
        </w:tc>
        <w:tc>
          <w:tcPr>
            <w:tcW w:w="660" w:type="dxa"/>
            <w:vAlign w:val="bottom"/>
          </w:tcPr>
          <w:p>
            <w:pPr>
              <w:spacing w:after="0"/>
              <w:rPr>
                <w:sz w:val="9"/>
                <w:szCs w:val="9"/>
                <w:color w:val="auto"/>
              </w:rPr>
            </w:pPr>
          </w:p>
        </w:tc>
        <w:tc>
          <w:tcPr>
            <w:tcW w:w="1280" w:type="dxa"/>
            <w:vAlign w:val="bottom"/>
          </w:tcPr>
          <w:p>
            <w:pPr>
              <w:ind w:left="140"/>
              <w:spacing w:after="0" w:line="110" w:lineRule="exact"/>
              <w:rPr>
                <w:sz w:val="20"/>
                <w:szCs w:val="20"/>
                <w:color w:val="auto"/>
              </w:rPr>
            </w:pPr>
            <w:r>
              <w:rPr>
                <w:rFonts w:ascii="Arial" w:cs="Arial" w:eastAsia="Arial" w:hAnsi="Arial"/>
                <w:sz w:val="12"/>
                <w:szCs w:val="12"/>
                <w:color w:val="FFFFFF"/>
              </w:rPr>
              <w:t>Performance</w:t>
            </w: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5"/>
        </w:trPr>
        <w:tc>
          <w:tcPr>
            <w:tcW w:w="7880" w:type="dxa"/>
            <w:vAlign w:val="bottom"/>
            <w:vMerge w:val="continue"/>
            <w:shd w:val="clear" w:color="auto" w:fill="F7F1EC"/>
          </w:tcPr>
          <w:p>
            <w:pPr>
              <w:spacing w:after="0"/>
              <w:rPr>
                <w:sz w:val="8"/>
                <w:szCs w:val="8"/>
                <w:color w:val="auto"/>
              </w:rPr>
            </w:pPr>
          </w:p>
        </w:tc>
        <w:tc>
          <w:tcPr>
            <w:tcW w:w="660" w:type="dxa"/>
            <w:vAlign w:val="bottom"/>
          </w:tcPr>
          <w:p>
            <w:pPr>
              <w:spacing w:after="0"/>
              <w:rPr>
                <w:sz w:val="8"/>
                <w:szCs w:val="8"/>
                <w:color w:val="auto"/>
              </w:rPr>
            </w:pPr>
          </w:p>
        </w:tc>
        <w:tc>
          <w:tcPr>
            <w:tcW w:w="1280" w:type="dxa"/>
            <w:vAlign w:val="bottom"/>
            <w:vMerge w:val="restart"/>
          </w:tcPr>
          <w:p>
            <w:pPr>
              <w:ind w:left="140"/>
              <w:spacing w:after="0"/>
              <w:rPr>
                <w:sz w:val="20"/>
                <w:szCs w:val="20"/>
                <w:color w:val="auto"/>
              </w:rPr>
            </w:pPr>
            <w:r>
              <w:rPr>
                <w:rFonts w:ascii="Arial" w:cs="Arial" w:eastAsia="Arial" w:hAnsi="Arial"/>
                <w:sz w:val="12"/>
                <w:szCs w:val="12"/>
                <w:color w:val="FFFFFF"/>
              </w:rPr>
              <w:t>Disclosure</w:t>
            </w: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3"/>
        </w:trPr>
        <w:tc>
          <w:tcPr>
            <w:tcW w:w="7880" w:type="dxa"/>
            <w:vAlign w:val="bottom"/>
            <w:vMerge w:val="restart"/>
            <w:shd w:val="clear" w:color="auto" w:fill="F7F1EC"/>
          </w:tcPr>
          <w:p>
            <w:pPr>
              <w:ind w:left="80"/>
              <w:spacing w:after="0"/>
              <w:rPr>
                <w:sz w:val="20"/>
                <w:szCs w:val="20"/>
                <w:color w:val="auto"/>
              </w:rPr>
            </w:pPr>
            <w:r>
              <w:rPr>
                <w:rFonts w:ascii="Arial" w:cs="Arial" w:eastAsia="Arial" w:hAnsi="Arial"/>
                <w:sz w:val="15"/>
                <w:szCs w:val="15"/>
                <w:color w:val="auto"/>
              </w:rPr>
              <w:t>including, without limitation, whether the corporation has an interest and expectancy in the opportunity and</w:t>
            </w:r>
          </w:p>
        </w:tc>
        <w:tc>
          <w:tcPr>
            <w:tcW w:w="660" w:type="dxa"/>
            <w:vAlign w:val="bottom"/>
          </w:tcPr>
          <w:p>
            <w:pPr>
              <w:spacing w:after="0"/>
              <w:rPr>
                <w:sz w:val="5"/>
                <w:szCs w:val="5"/>
                <w:color w:val="auto"/>
              </w:rPr>
            </w:pPr>
          </w:p>
        </w:tc>
        <w:tc>
          <w:tcPr>
            <w:tcW w:w="128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6"/>
        </w:trPr>
        <w:tc>
          <w:tcPr>
            <w:tcW w:w="7880" w:type="dxa"/>
            <w:vAlign w:val="bottom"/>
            <w:vMerge w:val="continue"/>
            <w:shd w:val="clear" w:color="auto" w:fill="F7F1EC"/>
          </w:tcPr>
          <w:p>
            <w:pPr>
              <w:spacing w:after="0"/>
              <w:rPr>
                <w:sz w:val="10"/>
                <w:szCs w:val="10"/>
                <w:color w:val="auto"/>
              </w:rPr>
            </w:pPr>
          </w:p>
        </w:tc>
        <w:tc>
          <w:tcPr>
            <w:tcW w:w="66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7880" w:type="dxa"/>
            <w:vAlign w:val="bottom"/>
            <w:shd w:val="clear" w:color="auto" w:fill="F7F1EC"/>
          </w:tcPr>
          <w:p>
            <w:pPr>
              <w:ind w:left="80"/>
              <w:spacing w:after="0" w:line="153" w:lineRule="exact"/>
              <w:rPr>
                <w:sz w:val="20"/>
                <w:szCs w:val="20"/>
                <w:color w:val="auto"/>
              </w:rPr>
            </w:pPr>
            <w:r>
              <w:rPr>
                <w:rFonts w:ascii="Arial" w:cs="Arial" w:eastAsia="Arial" w:hAnsi="Arial"/>
                <w:sz w:val="15"/>
                <w:szCs w:val="15"/>
                <w:color w:val="auto"/>
              </w:rPr>
              <w:t>whether the opportunity is in the same line of business as the corporation.</w:t>
            </w:r>
          </w:p>
        </w:tc>
        <w:tc>
          <w:tcPr>
            <w:tcW w:w="660" w:type="dxa"/>
            <w:vAlign w:val="bottom"/>
          </w:tcPr>
          <w:p>
            <w:pPr>
              <w:spacing w:after="0"/>
              <w:rPr>
                <w:sz w:val="13"/>
                <w:szCs w:val="13"/>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Security</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3"/>
        </w:trPr>
        <w:tc>
          <w:tcPr>
            <w:tcW w:w="7880" w:type="dxa"/>
            <w:vAlign w:val="bottom"/>
            <w:shd w:val="clear" w:color="auto" w:fill="F7F1EC"/>
          </w:tcPr>
          <w:p>
            <w:pPr>
              <w:spacing w:after="0"/>
              <w:rPr>
                <w:sz w:val="10"/>
                <w:szCs w:val="10"/>
                <w:color w:val="auto"/>
              </w:rPr>
            </w:pPr>
          </w:p>
        </w:tc>
        <w:tc>
          <w:tcPr>
            <w:tcW w:w="660" w:type="dxa"/>
            <w:vAlign w:val="bottom"/>
          </w:tcPr>
          <w:p>
            <w:pPr>
              <w:spacing w:after="0"/>
              <w:rPr>
                <w:sz w:val="10"/>
                <w:szCs w:val="10"/>
                <w:color w:val="auto"/>
              </w:rPr>
            </w:pPr>
          </w:p>
        </w:tc>
        <w:tc>
          <w:tcPr>
            <w:tcW w:w="1280" w:type="dxa"/>
            <w:vAlign w:val="bottom"/>
          </w:tcPr>
          <w:p>
            <w:pPr>
              <w:ind w:left="140"/>
              <w:spacing w:after="0" w:line="123" w:lineRule="exact"/>
              <w:rPr>
                <w:sz w:val="20"/>
                <w:szCs w:val="20"/>
                <w:color w:val="auto"/>
              </w:rPr>
            </w:pPr>
            <w:r>
              <w:rPr>
                <w:rFonts w:ascii="Arial" w:cs="Arial" w:eastAsia="Arial" w:hAnsi="Arial"/>
                <w:sz w:val="12"/>
                <w:szCs w:val="12"/>
                <w:color w:val="FFFFFF"/>
              </w:rPr>
              <w:t>Ownership of</w:t>
            </w: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7880" w:type="dxa"/>
            <w:vAlign w:val="bottom"/>
            <w:shd w:val="clear" w:color="auto" w:fill="F7F1EC"/>
          </w:tcPr>
          <w:p>
            <w:pPr>
              <w:ind w:left="80"/>
              <w:spacing w:after="0" w:line="171" w:lineRule="exact"/>
              <w:rPr>
                <w:sz w:val="20"/>
                <w:szCs w:val="20"/>
                <w:color w:val="auto"/>
              </w:rPr>
            </w:pPr>
            <w:r>
              <w:rPr>
                <w:rFonts w:ascii="Arial" w:cs="Arial" w:eastAsia="Arial" w:hAnsi="Arial"/>
                <w:sz w:val="15"/>
                <w:szCs w:val="15"/>
                <w:color w:val="auto"/>
              </w:rPr>
              <w:t>Section 122(17) of the DGCL expressly permits Delaware corporations, such as the Company, to renounce any</w:t>
            </w:r>
          </w:p>
        </w:tc>
        <w:tc>
          <w:tcPr>
            <w:tcW w:w="660" w:type="dxa"/>
            <w:vAlign w:val="bottom"/>
          </w:tcPr>
          <w:p>
            <w:pPr>
              <w:spacing w:after="0"/>
              <w:rPr>
                <w:sz w:val="14"/>
                <w:szCs w:val="14"/>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Certain Beneficial</w:t>
            </w: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7880" w:type="dxa"/>
            <w:vAlign w:val="bottom"/>
            <w:vMerge w:val="restart"/>
            <w:shd w:val="clear" w:color="auto" w:fill="F7F1EC"/>
          </w:tcPr>
          <w:p>
            <w:pPr>
              <w:ind w:left="80"/>
              <w:spacing w:after="0"/>
              <w:rPr>
                <w:sz w:val="20"/>
                <w:szCs w:val="20"/>
                <w:color w:val="auto"/>
              </w:rPr>
            </w:pPr>
            <w:r>
              <w:rPr>
                <w:rFonts w:ascii="Arial" w:cs="Arial" w:eastAsia="Arial" w:hAnsi="Arial"/>
                <w:sz w:val="15"/>
                <w:szCs w:val="15"/>
                <w:color w:val="auto"/>
              </w:rPr>
              <w:t>interest or expectancy of the corporation in specified business opportunities or specified classes or categories of</w:t>
            </w:r>
          </w:p>
        </w:tc>
        <w:tc>
          <w:tcPr>
            <w:tcW w:w="660" w:type="dxa"/>
            <w:vAlign w:val="bottom"/>
          </w:tcPr>
          <w:p>
            <w:pPr>
              <w:spacing w:after="0"/>
              <w:rPr>
                <w:sz w:val="7"/>
                <w:szCs w:val="7"/>
                <w:color w:val="auto"/>
              </w:rPr>
            </w:pPr>
          </w:p>
        </w:tc>
        <w:tc>
          <w:tcPr>
            <w:tcW w:w="1280" w:type="dxa"/>
            <w:vAlign w:val="bottom"/>
          </w:tcPr>
          <w:p>
            <w:pPr>
              <w:ind w:left="140"/>
              <w:spacing w:after="0" w:line="85" w:lineRule="exact"/>
              <w:rPr>
                <w:sz w:val="20"/>
                <w:szCs w:val="20"/>
                <w:color w:val="auto"/>
              </w:rPr>
            </w:pPr>
            <w:r>
              <w:rPr>
                <w:rFonts w:ascii="Arial" w:cs="Arial" w:eastAsia="Arial" w:hAnsi="Arial"/>
                <w:sz w:val="8"/>
                <w:szCs w:val="8"/>
                <w:color w:val="FFFFFF"/>
              </w:rPr>
              <w:t>Owners and</w:t>
            </w:r>
          </w:p>
        </w:tc>
        <w:tc>
          <w:tcPr>
            <w:tcW w:w="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0"/>
        </w:trPr>
        <w:tc>
          <w:tcPr>
            <w:tcW w:w="7880" w:type="dxa"/>
            <w:vAlign w:val="bottom"/>
            <w:vMerge w:val="continue"/>
            <w:shd w:val="clear" w:color="auto" w:fill="F7F1EC"/>
          </w:tcPr>
          <w:p>
            <w:pPr>
              <w:spacing w:after="0"/>
              <w:rPr>
                <w:sz w:val="10"/>
                <w:szCs w:val="10"/>
                <w:color w:val="auto"/>
              </w:rPr>
            </w:pPr>
          </w:p>
        </w:tc>
        <w:tc>
          <w:tcPr>
            <w:tcW w:w="660" w:type="dxa"/>
            <w:vAlign w:val="bottom"/>
          </w:tcPr>
          <w:p>
            <w:pPr>
              <w:spacing w:after="0"/>
              <w:rPr>
                <w:sz w:val="10"/>
                <w:szCs w:val="10"/>
                <w:color w:val="auto"/>
              </w:rPr>
            </w:pPr>
          </w:p>
        </w:tc>
        <w:tc>
          <w:tcPr>
            <w:tcW w:w="1280" w:type="dxa"/>
            <w:vAlign w:val="bottom"/>
          </w:tcPr>
          <w:p>
            <w:pPr>
              <w:ind w:left="140"/>
              <w:spacing w:after="0" w:line="121" w:lineRule="exact"/>
              <w:rPr>
                <w:sz w:val="20"/>
                <w:szCs w:val="20"/>
                <w:color w:val="auto"/>
              </w:rPr>
            </w:pPr>
            <w:r>
              <w:rPr>
                <w:rFonts w:ascii="Arial" w:cs="Arial" w:eastAsia="Arial" w:hAnsi="Arial"/>
                <w:sz w:val="12"/>
                <w:szCs w:val="12"/>
                <w:color w:val="FFFFFF"/>
              </w:rPr>
              <w:t>Management</w:t>
            </w: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9"/>
        </w:trPr>
        <w:tc>
          <w:tcPr>
            <w:tcW w:w="7880" w:type="dxa"/>
            <w:vAlign w:val="bottom"/>
            <w:shd w:val="clear" w:color="auto" w:fill="F7F1EC"/>
          </w:tcPr>
          <w:p>
            <w:pPr>
              <w:ind w:left="80"/>
              <w:spacing w:after="0"/>
              <w:rPr>
                <w:sz w:val="20"/>
                <w:szCs w:val="20"/>
                <w:color w:val="auto"/>
              </w:rPr>
            </w:pPr>
            <w:r>
              <w:rPr>
                <w:rFonts w:ascii="Arial" w:cs="Arial" w:eastAsia="Arial" w:hAnsi="Arial"/>
                <w:sz w:val="15"/>
                <w:szCs w:val="15"/>
                <w:color w:val="auto"/>
              </w:rPr>
              <w:t>business opportunities that are presented to the corporation or any of its officers or directors. As permitted under</w:t>
            </w:r>
          </w:p>
        </w:tc>
        <w:tc>
          <w:tcPr>
            <w:tcW w:w="660" w:type="dxa"/>
            <w:vAlign w:val="bottom"/>
          </w:tcPr>
          <w:p>
            <w:pPr>
              <w:spacing w:after="0"/>
              <w:rPr>
                <w:sz w:val="15"/>
                <w:szCs w:val="15"/>
                <w:color w:val="auto"/>
              </w:rPr>
            </w:pPr>
          </w:p>
        </w:tc>
        <w:tc>
          <w:tcPr>
            <w:tcW w:w="1280" w:type="dxa"/>
            <w:vAlign w:val="bottom"/>
            <w:vMerge w:val="restart"/>
          </w:tcPr>
          <w:p>
            <w:pPr>
              <w:ind w:left="140"/>
              <w:spacing w:after="0"/>
              <w:rPr>
                <w:sz w:val="20"/>
                <w:szCs w:val="20"/>
                <w:color w:val="auto"/>
              </w:rPr>
            </w:pPr>
            <w:r>
              <w:rPr>
                <w:rFonts w:ascii="Arial" w:cs="Arial" w:eastAsia="Arial" w:hAnsi="Arial"/>
                <w:sz w:val="12"/>
                <w:szCs w:val="12"/>
                <w:color w:val="FFFFFF"/>
              </w:rPr>
              <w:t>Certain</w:t>
            </w: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7880" w:type="dxa"/>
            <w:vAlign w:val="bottom"/>
            <w:shd w:val="clear" w:color="auto" w:fill="F7F1EC"/>
          </w:tcPr>
          <w:p>
            <w:pPr>
              <w:ind w:left="80"/>
              <w:spacing w:after="0" w:line="153" w:lineRule="exact"/>
              <w:rPr>
                <w:sz w:val="20"/>
                <w:szCs w:val="20"/>
                <w:color w:val="auto"/>
              </w:rPr>
            </w:pPr>
            <w:r>
              <w:rPr>
                <w:rFonts w:ascii="Arial" w:cs="Arial" w:eastAsia="Arial" w:hAnsi="Arial"/>
                <w:sz w:val="15"/>
                <w:szCs w:val="15"/>
                <w:color w:val="auto"/>
              </w:rPr>
              <w:t>Section 122(17) of the DGCL, Article X of our Charter currently provides that certain business opportunities are</w:t>
            </w:r>
          </w:p>
        </w:tc>
        <w:tc>
          <w:tcPr>
            <w:tcW w:w="660" w:type="dxa"/>
            <w:vAlign w:val="bottom"/>
          </w:tcPr>
          <w:p>
            <w:pPr>
              <w:spacing w:after="0"/>
              <w:rPr>
                <w:sz w:val="13"/>
                <w:szCs w:val="13"/>
                <w:color w:val="auto"/>
              </w:rPr>
            </w:pPr>
          </w:p>
        </w:tc>
        <w:tc>
          <w:tcPr>
            <w:tcW w:w="1280" w:type="dxa"/>
            <w:vAlign w:val="bottom"/>
            <w:vMerge w:val="continue"/>
          </w:tcPr>
          <w:p>
            <w:pPr>
              <w:spacing w:after="0"/>
              <w:rPr>
                <w:sz w:val="13"/>
                <w:szCs w:val="13"/>
                <w:color w:val="auto"/>
              </w:rPr>
            </w:pP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7"/>
        </w:trPr>
        <w:tc>
          <w:tcPr>
            <w:tcW w:w="7880" w:type="dxa"/>
            <w:vAlign w:val="bottom"/>
            <w:vMerge w:val="restart"/>
            <w:shd w:val="clear" w:color="auto" w:fill="F7F1EC"/>
          </w:tcPr>
          <w:p>
            <w:pPr>
              <w:ind w:left="80"/>
              <w:spacing w:after="0"/>
              <w:rPr>
                <w:sz w:val="20"/>
                <w:szCs w:val="20"/>
                <w:color w:val="auto"/>
              </w:rPr>
            </w:pPr>
            <w:r>
              <w:rPr>
                <w:rFonts w:ascii="Arial" w:cs="Arial" w:eastAsia="Arial" w:hAnsi="Arial"/>
                <w:sz w:val="15"/>
                <w:szCs w:val="15"/>
                <w:color w:val="auto"/>
              </w:rPr>
              <w:t>not subject to the “corporate opportunity” doctrine, and that to the fullest extent permitted by law, the Company</w:t>
            </w:r>
          </w:p>
        </w:tc>
        <w:tc>
          <w:tcPr>
            <w:tcW w:w="660" w:type="dxa"/>
            <w:vAlign w:val="bottom"/>
          </w:tcPr>
          <w:p>
            <w:pPr>
              <w:spacing w:after="0"/>
              <w:rPr>
                <w:sz w:val="8"/>
                <w:szCs w:val="8"/>
                <w:color w:val="auto"/>
              </w:rPr>
            </w:pPr>
          </w:p>
        </w:tc>
        <w:tc>
          <w:tcPr>
            <w:tcW w:w="1280" w:type="dxa"/>
            <w:vAlign w:val="bottom"/>
          </w:tcPr>
          <w:p>
            <w:pPr>
              <w:ind w:left="140"/>
              <w:spacing w:after="0" w:line="97" w:lineRule="exact"/>
              <w:rPr>
                <w:sz w:val="20"/>
                <w:szCs w:val="20"/>
                <w:color w:val="auto"/>
              </w:rPr>
            </w:pPr>
            <w:r>
              <w:rPr>
                <w:rFonts w:ascii="Arial" w:cs="Arial" w:eastAsia="Arial" w:hAnsi="Arial"/>
                <w:sz w:val="11"/>
                <w:szCs w:val="11"/>
                <w:color w:val="FFFFFF"/>
              </w:rPr>
              <w:t>Relationships and</w:t>
            </w: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7880" w:type="dxa"/>
            <w:vAlign w:val="bottom"/>
            <w:vMerge w:val="continue"/>
            <w:shd w:val="clear" w:color="auto" w:fill="F7F1EC"/>
          </w:tcPr>
          <w:p>
            <w:pPr>
              <w:spacing w:after="0"/>
              <w:rPr>
                <w:sz w:val="10"/>
                <w:szCs w:val="10"/>
                <w:color w:val="auto"/>
              </w:rPr>
            </w:pPr>
          </w:p>
        </w:tc>
        <w:tc>
          <w:tcPr>
            <w:tcW w:w="660" w:type="dxa"/>
            <w:vAlign w:val="bottom"/>
          </w:tcPr>
          <w:p>
            <w:pPr>
              <w:spacing w:after="0"/>
              <w:rPr>
                <w:sz w:val="10"/>
                <w:szCs w:val="10"/>
                <w:color w:val="auto"/>
              </w:rPr>
            </w:pPr>
          </w:p>
        </w:tc>
        <w:tc>
          <w:tcPr>
            <w:tcW w:w="1280" w:type="dxa"/>
            <w:vAlign w:val="bottom"/>
          </w:tcPr>
          <w:p>
            <w:pPr>
              <w:ind w:left="140"/>
              <w:spacing w:after="0" w:line="120" w:lineRule="exact"/>
              <w:rPr>
                <w:sz w:val="20"/>
                <w:szCs w:val="20"/>
                <w:color w:val="auto"/>
              </w:rPr>
            </w:pPr>
            <w:r>
              <w:rPr>
                <w:rFonts w:ascii="Arial" w:cs="Arial" w:eastAsia="Arial" w:hAnsi="Arial"/>
                <w:sz w:val="12"/>
                <w:szCs w:val="12"/>
                <w:color w:val="FFFFFF"/>
              </w:rPr>
              <w:t>Related Party</w:t>
            </w: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6"/>
        </w:trPr>
        <w:tc>
          <w:tcPr>
            <w:tcW w:w="7880" w:type="dxa"/>
            <w:vAlign w:val="bottom"/>
            <w:shd w:val="clear" w:color="auto" w:fill="F7F1EC"/>
          </w:tcPr>
          <w:p>
            <w:pPr>
              <w:ind w:left="80"/>
              <w:spacing w:after="0" w:line="167" w:lineRule="exact"/>
              <w:rPr>
                <w:sz w:val="20"/>
                <w:szCs w:val="20"/>
                <w:color w:val="auto"/>
              </w:rPr>
            </w:pPr>
            <w:r>
              <w:rPr>
                <w:rFonts w:ascii="Arial" w:cs="Arial" w:eastAsia="Arial" w:hAnsi="Arial"/>
                <w:sz w:val="15"/>
                <w:szCs w:val="15"/>
                <w:color w:val="auto"/>
              </w:rPr>
              <w:t>renounces any interest or expectancy of the Company and its subsidiaries in, or in being offered an opportunity to</w:t>
            </w:r>
          </w:p>
        </w:tc>
        <w:tc>
          <w:tcPr>
            <w:tcW w:w="660" w:type="dxa"/>
            <w:vAlign w:val="bottom"/>
          </w:tcPr>
          <w:p>
            <w:pPr>
              <w:spacing w:after="0"/>
              <w:rPr>
                <w:sz w:val="14"/>
                <w:szCs w:val="14"/>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Transactions</w:t>
            </w: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7880" w:type="dxa"/>
            <w:vAlign w:val="bottom"/>
            <w:shd w:val="clear" w:color="auto" w:fill="F7F1EC"/>
          </w:tcPr>
          <w:p>
            <w:pPr>
              <w:ind w:left="80"/>
              <w:spacing w:after="0"/>
              <w:rPr>
                <w:sz w:val="20"/>
                <w:szCs w:val="20"/>
                <w:color w:val="auto"/>
              </w:rPr>
            </w:pPr>
            <w:r>
              <w:rPr>
                <w:rFonts w:ascii="Arial" w:cs="Arial" w:eastAsia="Arial" w:hAnsi="Arial"/>
                <w:sz w:val="15"/>
                <w:szCs w:val="15"/>
                <w:color w:val="auto"/>
              </w:rPr>
              <w:t>participate in, business opportunities that are from time to time presented to the Exempted Persons (as defined</w:t>
            </w:r>
          </w:p>
        </w:tc>
        <w:tc>
          <w:tcPr>
            <w:tcW w:w="660" w:type="dxa"/>
            <w:vAlign w:val="bottom"/>
          </w:tcPr>
          <w:p>
            <w:pPr>
              <w:spacing w:after="0"/>
              <w:rPr>
                <w:sz w:val="15"/>
                <w:szCs w:val="15"/>
                <w:color w:val="auto"/>
              </w:rPr>
            </w:pPr>
          </w:p>
        </w:tc>
        <w:tc>
          <w:tcPr>
            <w:tcW w:w="1280" w:type="dxa"/>
            <w:vAlign w:val="bottom"/>
            <w:vMerge w:val="restart"/>
          </w:tcPr>
          <w:p>
            <w:pPr>
              <w:ind w:left="140"/>
              <w:spacing w:after="0"/>
              <w:rPr>
                <w:sz w:val="20"/>
                <w:szCs w:val="20"/>
                <w:color w:val="auto"/>
              </w:rPr>
            </w:pPr>
            <w:r>
              <w:rPr>
                <w:rFonts w:ascii="Arial" w:cs="Arial" w:eastAsia="Arial" w:hAnsi="Arial"/>
                <w:sz w:val="12"/>
                <w:szCs w:val="12"/>
                <w:color w:val="FFFFFF"/>
              </w:rPr>
              <w:t>Proposal 2</w:t>
            </w: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4"/>
        </w:trPr>
        <w:tc>
          <w:tcPr>
            <w:tcW w:w="7880" w:type="dxa"/>
            <w:vAlign w:val="bottom"/>
            <w:vMerge w:val="restart"/>
            <w:shd w:val="clear" w:color="auto" w:fill="F7F1EC"/>
          </w:tcPr>
          <w:p>
            <w:pPr>
              <w:ind w:left="80"/>
              <w:spacing w:after="0"/>
              <w:rPr>
                <w:sz w:val="20"/>
                <w:szCs w:val="20"/>
                <w:color w:val="auto"/>
              </w:rPr>
            </w:pPr>
            <w:r>
              <w:rPr>
                <w:rFonts w:ascii="Arial" w:cs="Arial" w:eastAsia="Arial" w:hAnsi="Arial"/>
                <w:sz w:val="15"/>
                <w:szCs w:val="15"/>
                <w:color w:val="auto"/>
              </w:rPr>
              <w:t>below), even if the opportunity is one that the Company or its subsidiaries might reasonably be deemed to have</w:t>
            </w:r>
          </w:p>
        </w:tc>
        <w:tc>
          <w:tcPr>
            <w:tcW w:w="660" w:type="dxa"/>
            <w:vAlign w:val="bottom"/>
          </w:tcPr>
          <w:p>
            <w:pPr>
              <w:spacing w:after="0"/>
              <w:rPr>
                <w:sz w:val="9"/>
                <w:szCs w:val="9"/>
                <w:color w:val="auto"/>
              </w:rPr>
            </w:pPr>
          </w:p>
        </w:tc>
        <w:tc>
          <w:tcPr>
            <w:tcW w:w="1280" w:type="dxa"/>
            <w:vAlign w:val="bottom"/>
            <w:vMerge w:val="continue"/>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5"/>
        </w:trPr>
        <w:tc>
          <w:tcPr>
            <w:tcW w:w="7880" w:type="dxa"/>
            <w:vAlign w:val="bottom"/>
            <w:vMerge w:val="continue"/>
            <w:shd w:val="clear" w:color="auto" w:fill="F7F1EC"/>
          </w:tcPr>
          <w:p>
            <w:pPr>
              <w:spacing w:after="0"/>
              <w:rPr>
                <w:sz w:val="5"/>
                <w:szCs w:val="5"/>
                <w:color w:val="auto"/>
              </w:rPr>
            </w:pPr>
          </w:p>
        </w:tc>
        <w:tc>
          <w:tcPr>
            <w:tcW w:w="660" w:type="dxa"/>
            <w:vAlign w:val="bottom"/>
          </w:tcPr>
          <w:p>
            <w:pPr>
              <w:spacing w:after="0"/>
              <w:rPr>
                <w:sz w:val="5"/>
                <w:szCs w:val="5"/>
                <w:color w:val="auto"/>
              </w:rPr>
            </w:pPr>
          </w:p>
        </w:tc>
        <w:tc>
          <w:tcPr>
            <w:tcW w:w="1280" w:type="dxa"/>
            <w:vAlign w:val="bottom"/>
          </w:tcPr>
          <w:p>
            <w:pPr>
              <w:spacing w:after="0"/>
              <w:rPr>
                <w:sz w:val="5"/>
                <w:szCs w:val="5"/>
                <w:color w:val="auto"/>
              </w:rPr>
            </w:pPr>
          </w:p>
        </w:tc>
        <w:tc>
          <w:tcPr>
            <w:tcW w:w="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1"/>
        </w:trPr>
        <w:tc>
          <w:tcPr>
            <w:tcW w:w="7880" w:type="dxa"/>
            <w:vAlign w:val="bottom"/>
            <w:shd w:val="clear" w:color="auto" w:fill="F7F1EC"/>
          </w:tcPr>
          <w:p>
            <w:pPr>
              <w:ind w:left="80"/>
              <w:spacing w:after="0"/>
              <w:rPr>
                <w:sz w:val="20"/>
                <w:szCs w:val="20"/>
                <w:color w:val="auto"/>
              </w:rPr>
            </w:pPr>
            <w:r>
              <w:rPr>
                <w:rFonts w:ascii="Arial" w:cs="Arial" w:eastAsia="Arial" w:hAnsi="Arial"/>
                <w:sz w:val="15"/>
                <w:szCs w:val="15"/>
                <w:color w:val="auto"/>
              </w:rPr>
              <w:t>pursued or had the ability or desire to pursue if granted the opportunity to do so. This is to the benefit of</w:t>
            </w:r>
          </w:p>
        </w:tc>
        <w:tc>
          <w:tcPr>
            <w:tcW w:w="660" w:type="dxa"/>
            <w:vAlign w:val="bottom"/>
          </w:tcPr>
          <w:p>
            <w:pPr>
              <w:spacing w:after="0"/>
              <w:rPr>
                <w:sz w:val="16"/>
                <w:szCs w:val="16"/>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Report of the</w:t>
            </w: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0"/>
        </w:trPr>
        <w:tc>
          <w:tcPr>
            <w:tcW w:w="7880" w:type="dxa"/>
            <w:vAlign w:val="bottom"/>
            <w:shd w:val="clear" w:color="auto" w:fill="F7F1EC"/>
          </w:tcPr>
          <w:p>
            <w:pPr>
              <w:ind w:left="80"/>
              <w:spacing w:after="0" w:line="141" w:lineRule="exact"/>
              <w:rPr>
                <w:sz w:val="20"/>
                <w:szCs w:val="20"/>
                <w:color w:val="auto"/>
              </w:rPr>
            </w:pPr>
            <w:r>
              <w:rPr>
                <w:rFonts w:ascii="Arial" w:cs="Arial" w:eastAsia="Arial" w:hAnsi="Arial"/>
                <w:sz w:val="15"/>
                <w:szCs w:val="15"/>
                <w:color w:val="auto"/>
              </w:rPr>
              <w:t>“Exempted Persons,” which consist of directors of the Company who are not employees of the Company or any</w:t>
            </w:r>
          </w:p>
        </w:tc>
        <w:tc>
          <w:tcPr>
            <w:tcW w:w="660" w:type="dxa"/>
            <w:vAlign w:val="bottom"/>
          </w:tcPr>
          <w:p>
            <w:pPr>
              <w:spacing w:after="0"/>
              <w:rPr>
                <w:sz w:val="12"/>
                <w:szCs w:val="12"/>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Audit and Risk</w:t>
            </w: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7880" w:type="dxa"/>
            <w:vAlign w:val="bottom"/>
            <w:shd w:val="clear" w:color="auto" w:fill="F7F1EC"/>
          </w:tcPr>
          <w:p>
            <w:pPr>
              <w:ind w:left="80"/>
              <w:spacing w:after="0"/>
              <w:rPr>
                <w:sz w:val="20"/>
                <w:szCs w:val="20"/>
                <w:color w:val="auto"/>
              </w:rPr>
            </w:pPr>
            <w:r>
              <w:rPr>
                <w:rFonts w:ascii="Arial" w:cs="Arial" w:eastAsia="Arial" w:hAnsi="Arial"/>
                <w:sz w:val="15"/>
                <w:szCs w:val="15"/>
                <w:color w:val="auto"/>
              </w:rPr>
              <w:t>of its subsidiaries and each of our former equity sponsors and their respective affiliates (other than the Company</w:t>
            </w:r>
          </w:p>
        </w:tc>
        <w:tc>
          <w:tcPr>
            <w:tcW w:w="660" w:type="dxa"/>
            <w:vAlign w:val="bottom"/>
          </w:tcPr>
          <w:p>
            <w:pPr>
              <w:spacing w:after="0"/>
              <w:rPr>
                <w:sz w:val="15"/>
                <w:szCs w:val="15"/>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Committee of the</w:t>
            </w: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8"/>
        </w:trPr>
        <w:tc>
          <w:tcPr>
            <w:tcW w:w="7880" w:type="dxa"/>
            <w:vAlign w:val="bottom"/>
            <w:vMerge w:val="restart"/>
            <w:shd w:val="clear" w:color="auto" w:fill="F7F1EC"/>
          </w:tcPr>
          <w:p>
            <w:pPr>
              <w:ind w:left="80"/>
              <w:spacing w:after="0"/>
              <w:rPr>
                <w:sz w:val="20"/>
                <w:szCs w:val="20"/>
                <w:color w:val="auto"/>
              </w:rPr>
            </w:pPr>
            <w:r>
              <w:rPr>
                <w:rFonts w:ascii="Arial" w:cs="Arial" w:eastAsia="Arial" w:hAnsi="Arial"/>
                <w:sz w:val="15"/>
                <w:szCs w:val="15"/>
                <w:color w:val="auto"/>
              </w:rPr>
              <w:t>and its subsidiaries) and all of their respective partners, principals, directors, officers, members, managers and</w:t>
            </w:r>
          </w:p>
        </w:tc>
        <w:tc>
          <w:tcPr>
            <w:tcW w:w="660" w:type="dxa"/>
            <w:vAlign w:val="bottom"/>
          </w:tcPr>
          <w:p>
            <w:pPr>
              <w:spacing w:after="0"/>
              <w:rPr>
                <w:sz w:val="13"/>
                <w:szCs w:val="13"/>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Board of Directors</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7"/>
        </w:trPr>
        <w:tc>
          <w:tcPr>
            <w:tcW w:w="7880" w:type="dxa"/>
            <w:vAlign w:val="bottom"/>
            <w:vMerge w:val="continue"/>
            <w:shd w:val="clear" w:color="auto" w:fill="F7F1EC"/>
          </w:tcPr>
          <w:p>
            <w:pPr>
              <w:spacing w:after="0"/>
              <w:rPr>
                <w:sz w:val="4"/>
                <w:szCs w:val="4"/>
                <w:color w:val="auto"/>
              </w:rPr>
            </w:pPr>
          </w:p>
        </w:tc>
        <w:tc>
          <w:tcPr>
            <w:tcW w:w="660" w:type="dxa"/>
            <w:vAlign w:val="bottom"/>
          </w:tcPr>
          <w:p>
            <w:pPr>
              <w:spacing w:after="0"/>
              <w:rPr>
                <w:sz w:val="4"/>
                <w:szCs w:val="4"/>
                <w:color w:val="auto"/>
              </w:rPr>
            </w:pPr>
          </w:p>
        </w:tc>
        <w:tc>
          <w:tcPr>
            <w:tcW w:w="128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1"/>
        </w:trPr>
        <w:tc>
          <w:tcPr>
            <w:tcW w:w="7880" w:type="dxa"/>
            <w:vAlign w:val="bottom"/>
            <w:shd w:val="clear" w:color="auto" w:fill="F7F1EC"/>
          </w:tcPr>
          <w:p>
            <w:pPr>
              <w:ind w:left="80"/>
              <w:spacing w:after="0"/>
              <w:rPr>
                <w:sz w:val="20"/>
                <w:szCs w:val="20"/>
                <w:color w:val="auto"/>
              </w:rPr>
            </w:pPr>
            <w:r>
              <w:rPr>
                <w:rFonts w:ascii="Arial" w:cs="Arial" w:eastAsia="Arial" w:hAnsi="Arial"/>
                <w:sz w:val="15"/>
                <w:szCs w:val="15"/>
                <w:color w:val="auto"/>
              </w:rPr>
              <w:t>employees, including any of the foregoing who serve as officers or directors of the Company.</w:t>
            </w:r>
          </w:p>
        </w:tc>
        <w:tc>
          <w:tcPr>
            <w:tcW w:w="660" w:type="dxa"/>
            <w:vAlign w:val="bottom"/>
          </w:tcPr>
          <w:p>
            <w:pPr>
              <w:spacing w:after="0"/>
              <w:rPr>
                <w:sz w:val="17"/>
                <w:szCs w:val="17"/>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Proposal 3</w:t>
            </w: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2"/>
        </w:trPr>
        <w:tc>
          <w:tcPr>
            <w:tcW w:w="7880" w:type="dxa"/>
            <w:vAlign w:val="bottom"/>
            <w:shd w:val="clear" w:color="auto" w:fill="F7F1EC"/>
          </w:tcPr>
          <w:p>
            <w:pPr>
              <w:ind w:left="80"/>
              <w:spacing w:after="0"/>
              <w:rPr>
                <w:sz w:val="20"/>
                <w:szCs w:val="20"/>
                <w:color w:val="auto"/>
              </w:rPr>
            </w:pPr>
            <w:r>
              <w:rPr>
                <w:rFonts w:ascii="Arial" w:cs="Arial" w:eastAsia="Arial" w:hAnsi="Arial"/>
                <w:sz w:val="15"/>
                <w:szCs w:val="15"/>
                <w:i w:val="1"/>
                <w:iCs w:val="1"/>
                <w:color w:val="B95827"/>
              </w:rPr>
              <w:t xml:space="preserve">Limitations on Effects of Repeal. </w:t>
            </w:r>
            <w:r>
              <w:rPr>
                <w:rFonts w:ascii="Arial" w:cs="Arial" w:eastAsia="Arial" w:hAnsi="Arial"/>
                <w:sz w:val="15"/>
                <w:szCs w:val="15"/>
                <w:color w:val="000000"/>
              </w:rPr>
              <w:t>Article X of our Charter provides that no amendment or repeal of the corporate</w:t>
            </w:r>
          </w:p>
        </w:tc>
        <w:tc>
          <w:tcPr>
            <w:tcW w:w="660" w:type="dxa"/>
            <w:vAlign w:val="bottom"/>
          </w:tcPr>
          <w:p>
            <w:pPr>
              <w:spacing w:after="0"/>
              <w:rPr>
                <w:sz w:val="23"/>
                <w:szCs w:val="23"/>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Proposal 4</w:t>
            </w:r>
          </w:p>
        </w:tc>
        <w:tc>
          <w:tcPr>
            <w:tcW w:w="4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9"/>
        </w:trPr>
        <w:tc>
          <w:tcPr>
            <w:tcW w:w="7880" w:type="dxa"/>
            <w:vAlign w:val="bottom"/>
            <w:shd w:val="clear" w:color="auto" w:fill="F7F1EC"/>
          </w:tcPr>
          <w:p>
            <w:pPr>
              <w:ind w:left="80"/>
              <w:spacing w:after="0"/>
              <w:rPr>
                <w:sz w:val="20"/>
                <w:szCs w:val="20"/>
                <w:color w:val="auto"/>
              </w:rPr>
            </w:pPr>
            <w:r>
              <w:rPr>
                <w:rFonts w:ascii="Arial" w:cs="Arial" w:eastAsia="Arial" w:hAnsi="Arial"/>
                <w:sz w:val="15"/>
                <w:szCs w:val="15"/>
                <w:color w:val="auto"/>
              </w:rPr>
              <w:t>opportunities provision will apply to or have any effect on the liability or alleged liability of any Exempted Person</w:t>
            </w:r>
          </w:p>
        </w:tc>
        <w:tc>
          <w:tcPr>
            <w:tcW w:w="660" w:type="dxa"/>
            <w:vAlign w:val="bottom"/>
          </w:tcPr>
          <w:p>
            <w:pPr>
              <w:spacing w:after="0"/>
              <w:rPr>
                <w:sz w:val="15"/>
                <w:szCs w:val="15"/>
                <w:color w:val="auto"/>
              </w:rPr>
            </w:pPr>
          </w:p>
        </w:tc>
        <w:tc>
          <w:tcPr>
            <w:tcW w:w="1280" w:type="dxa"/>
            <w:vAlign w:val="bottom"/>
            <w:vMerge w:val="restart"/>
          </w:tcPr>
          <w:p>
            <w:pPr>
              <w:ind w:left="140"/>
              <w:spacing w:after="0"/>
              <w:rPr>
                <w:sz w:val="20"/>
                <w:szCs w:val="20"/>
                <w:color w:val="auto"/>
              </w:rPr>
            </w:pPr>
            <w:r>
              <w:rPr>
                <w:rFonts w:ascii="Arial" w:cs="Arial" w:eastAsia="Arial" w:hAnsi="Arial"/>
                <w:sz w:val="12"/>
                <w:szCs w:val="12"/>
                <w:color w:val="FFFFFF"/>
              </w:rPr>
              <w:t>Proposal 5</w:t>
            </w: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7880" w:type="dxa"/>
            <w:vAlign w:val="bottom"/>
            <w:shd w:val="clear" w:color="auto" w:fill="F7F1EC"/>
          </w:tcPr>
          <w:p>
            <w:pPr>
              <w:ind w:left="80"/>
              <w:spacing w:after="0"/>
              <w:rPr>
                <w:sz w:val="20"/>
                <w:szCs w:val="20"/>
                <w:color w:val="auto"/>
              </w:rPr>
            </w:pPr>
            <w:r>
              <w:rPr>
                <w:rFonts w:ascii="Arial" w:cs="Arial" w:eastAsia="Arial" w:hAnsi="Arial"/>
                <w:sz w:val="15"/>
                <w:szCs w:val="15"/>
                <w:color w:val="auto"/>
              </w:rPr>
              <w:t>for or with respect to any activities or opportunities of which such Exempted Person becomes aware prior to such</w:t>
            </w:r>
          </w:p>
        </w:tc>
        <w:tc>
          <w:tcPr>
            <w:tcW w:w="660" w:type="dxa"/>
            <w:vAlign w:val="bottom"/>
          </w:tcPr>
          <w:p>
            <w:pPr>
              <w:spacing w:after="0"/>
              <w:rPr>
                <w:sz w:val="15"/>
                <w:szCs w:val="15"/>
                <w:color w:val="auto"/>
              </w:rPr>
            </w:pPr>
          </w:p>
        </w:tc>
        <w:tc>
          <w:tcPr>
            <w:tcW w:w="1280" w:type="dxa"/>
            <w:vAlign w:val="bottom"/>
            <w:vMerge w:val="continue"/>
          </w:tcPr>
          <w:p>
            <w:pPr>
              <w:spacing w:after="0"/>
              <w:rPr>
                <w:sz w:val="15"/>
                <w:szCs w:val="15"/>
                <w:color w:val="auto"/>
              </w:rPr>
            </w:pP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7880" w:type="dxa"/>
            <w:vAlign w:val="bottom"/>
            <w:shd w:val="clear" w:color="auto" w:fill="F7F1EC"/>
          </w:tcPr>
          <w:p>
            <w:pPr>
              <w:ind w:left="80"/>
              <w:spacing w:after="0"/>
              <w:rPr>
                <w:sz w:val="20"/>
                <w:szCs w:val="20"/>
                <w:color w:val="auto"/>
              </w:rPr>
            </w:pPr>
            <w:r>
              <w:rPr>
                <w:rFonts w:ascii="Arial" w:cs="Arial" w:eastAsia="Arial" w:hAnsi="Arial"/>
                <w:sz w:val="15"/>
                <w:szCs w:val="15"/>
                <w:color w:val="auto"/>
              </w:rPr>
              <w:t>amendment or repeal.</w:t>
            </w:r>
          </w:p>
        </w:tc>
        <w:tc>
          <w:tcPr>
            <w:tcW w:w="660" w:type="dxa"/>
            <w:vAlign w:val="bottom"/>
          </w:tcPr>
          <w:p>
            <w:pPr>
              <w:spacing w:after="0"/>
              <w:rPr>
                <w:sz w:val="17"/>
                <w:szCs w:val="17"/>
                <w:color w:val="auto"/>
              </w:rPr>
            </w:pPr>
          </w:p>
        </w:tc>
        <w:tc>
          <w:tcPr>
            <w:tcW w:w="1280" w:type="dxa"/>
            <w:vAlign w:val="bottom"/>
            <w:vMerge w:val="restart"/>
          </w:tcPr>
          <w:p>
            <w:pPr>
              <w:ind w:left="140"/>
              <w:spacing w:after="0"/>
              <w:rPr>
                <w:sz w:val="20"/>
                <w:szCs w:val="20"/>
                <w:color w:val="auto"/>
              </w:rPr>
            </w:pPr>
            <w:r>
              <w:rPr>
                <w:rFonts w:ascii="Arial" w:cs="Arial" w:eastAsia="Arial" w:hAnsi="Arial"/>
                <w:sz w:val="12"/>
                <w:szCs w:val="12"/>
                <w:b w:val="1"/>
                <w:bCs w:val="1"/>
                <w:color w:val="FFFFFF"/>
              </w:rPr>
              <w:t>Proposal 6</w:t>
            </w: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2"/>
        </w:trPr>
        <w:tc>
          <w:tcPr>
            <w:tcW w:w="7880" w:type="dxa"/>
            <w:vAlign w:val="bottom"/>
            <w:tcBorders>
              <w:bottom w:val="single" w:sz="8" w:color="F7F1EC"/>
            </w:tcBorders>
            <w:shd w:val="clear" w:color="auto" w:fill="F7F1EC"/>
          </w:tcPr>
          <w:p>
            <w:pPr>
              <w:spacing w:after="0"/>
              <w:rPr>
                <w:sz w:val="6"/>
                <w:szCs w:val="6"/>
                <w:color w:val="auto"/>
              </w:rPr>
            </w:pPr>
          </w:p>
        </w:tc>
        <w:tc>
          <w:tcPr>
            <w:tcW w:w="66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2"/>
        </w:trPr>
        <w:tc>
          <w:tcPr>
            <w:tcW w:w="78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Stockholder</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8"/>
        </w:trPr>
        <w:tc>
          <w:tcPr>
            <w:tcW w:w="78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80" w:type="dxa"/>
            <w:vAlign w:val="bottom"/>
          </w:tcPr>
          <w:p>
            <w:pPr>
              <w:ind w:left="140"/>
              <w:spacing w:after="0" w:line="128" w:lineRule="exact"/>
              <w:rPr>
                <w:sz w:val="20"/>
                <w:szCs w:val="20"/>
                <w:color w:val="auto"/>
              </w:rPr>
            </w:pPr>
            <w:r>
              <w:rPr>
                <w:rFonts w:ascii="Arial" w:cs="Arial" w:eastAsia="Arial" w:hAnsi="Arial"/>
                <w:sz w:val="12"/>
                <w:szCs w:val="12"/>
                <w:color w:val="FFFFFF"/>
              </w:rPr>
              <w:t>Proposals and</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78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Other Matters</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78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Delinquent</w:t>
            </w:r>
          </w:p>
        </w:tc>
        <w:tc>
          <w:tcPr>
            <w:tcW w:w="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8"/>
        </w:trPr>
        <w:tc>
          <w:tcPr>
            <w:tcW w:w="78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80" w:type="dxa"/>
            <w:vAlign w:val="bottom"/>
          </w:tcPr>
          <w:p>
            <w:pPr>
              <w:ind w:left="140"/>
              <w:spacing w:after="0" w:line="128" w:lineRule="exact"/>
              <w:rPr>
                <w:sz w:val="20"/>
                <w:szCs w:val="20"/>
                <w:color w:val="auto"/>
              </w:rPr>
            </w:pPr>
            <w:r>
              <w:rPr>
                <w:rFonts w:ascii="Arial" w:cs="Arial" w:eastAsia="Arial" w:hAnsi="Arial"/>
                <w:sz w:val="12"/>
                <w:szCs w:val="12"/>
                <w:color w:val="FFFFFF"/>
              </w:rPr>
              <w:t>Section 16(a)</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78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Reports</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78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Other</w:t>
            </w:r>
          </w:p>
        </w:tc>
        <w:tc>
          <w:tcPr>
            <w:tcW w:w="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8"/>
        </w:trPr>
        <w:tc>
          <w:tcPr>
            <w:tcW w:w="78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Information</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4"/>
        </w:trPr>
        <w:tc>
          <w:tcPr>
            <w:tcW w:w="78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Appendix A</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78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Appendix B</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6380"/>
        <w:spacing w:after="0"/>
        <w:tabs>
          <w:tab w:leader="none" w:pos="8500" w:val="left"/>
          <w:tab w:leader="none" w:pos="9960" w:val="left"/>
        </w:tabs>
        <w:rPr>
          <w:sz w:val="20"/>
          <w:szCs w:val="20"/>
          <w:color w:val="auto"/>
        </w:rPr>
      </w:pPr>
      <w:r>
        <w:rPr>
          <w:rFonts w:ascii="Arial" w:cs="Arial" w:eastAsia="Arial" w:hAnsi="Arial"/>
          <w:sz w:val="15"/>
          <w:szCs w:val="15"/>
          <w:b w:val="1"/>
          <w:bCs w:val="1"/>
          <w:color w:val="002B5F"/>
        </w:rPr>
        <w:t xml:space="preserve">2026 Proxy Statement  </w:t>
      </w:r>
      <w:r>
        <w:rPr>
          <w:rFonts w:ascii="Arial" w:cs="Arial" w:eastAsia="Arial" w:hAnsi="Arial"/>
          <w:sz w:val="20"/>
          <w:szCs w:val="20"/>
          <w:color w:val="002B5F"/>
        </w:rPr>
        <w:t>|</w:t>
      </w:r>
      <w:r>
        <w:rPr>
          <w:rFonts w:ascii="Arial" w:cs="Arial" w:eastAsia="Arial" w:hAnsi="Arial"/>
          <w:sz w:val="15"/>
          <w:szCs w:val="15"/>
          <w:b w:val="1"/>
          <w:bCs w:val="1"/>
          <w:color w:val="002B5F"/>
        </w:rPr>
        <w:t xml:space="preserve">  91</w:t>
      </w:r>
      <w:r>
        <w:rPr>
          <w:sz w:val="20"/>
          <w:szCs w:val="20"/>
          <w:color w:val="auto"/>
        </w:rPr>
        <w:tab/>
      </w:r>
      <w:r>
        <w:rPr>
          <w:rFonts w:ascii="Arial" w:cs="Arial" w:eastAsia="Arial" w:hAnsi="Arial"/>
          <w:sz w:val="17"/>
          <w:szCs w:val="17"/>
          <w:color w:val="auto"/>
        </w:rPr>
        <w:t xml:space="preserve">    </w:t>
      </w:r>
      <w:r>
        <w:rPr>
          <w:sz w:val="20"/>
          <w:szCs w:val="20"/>
          <w:color w:val="auto"/>
        </w:rPr>
        <w:tab/>
      </w:r>
      <w:r>
        <w:rPr>
          <w:rFonts w:ascii="Arial" w:cs="Arial" w:eastAsia="Arial" w:hAnsi="Arial"/>
          <w:sz w:val="17"/>
          <w:szCs w:val="17"/>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268605</wp:posOffset>
            </wp:positionH>
            <wp:positionV relativeFrom="paragraph">
              <wp:posOffset>-128905</wp:posOffset>
            </wp:positionV>
            <wp:extent cx="762000" cy="971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62000" cy="97155"/>
                    </a:xfrm>
                    <a:prstGeom prst="rect">
                      <a:avLst/>
                    </a:prstGeom>
                    <a:noFill/>
                  </pic:spPr>
                </pic:pic>
              </a:graphicData>
            </a:graphic>
          </wp:anchor>
        </w:drawing>
      </w:r>
    </w:p>
    <w:p>
      <w:pPr>
        <w:sectPr>
          <w:pgSz w:w="11900" w:h="16838" w:orient="portrait"/>
          <w:cols w:equalWidth="0" w:num="1">
            <w:col w:w="10800"/>
          </w:cols>
          <w:pgMar w:left="320" w:top="464" w:right="77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7"/>
          <w:szCs w:val="17"/>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268605</wp:posOffset>
            </wp:positionH>
            <wp:positionV relativeFrom="paragraph">
              <wp:posOffset>253365</wp:posOffset>
            </wp:positionV>
            <wp:extent cx="1183005" cy="768286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1183005" cy="7682865"/>
                    </a:xfrm>
                    <a:prstGeom prst="rect">
                      <a:avLst/>
                    </a:prstGeom>
                    <a:noFill/>
                  </pic:spPr>
                </pic:pic>
              </a:graphicData>
            </a:graphic>
          </wp:anchor>
        </w:drawing>
      </w:r>
    </w:p>
    <w:p>
      <w:pPr>
        <w:spacing w:after="0" w:line="200" w:lineRule="exact"/>
        <w:rPr>
          <w:sz w:val="20"/>
          <w:szCs w:val="20"/>
          <w:color w:val="auto"/>
        </w:rPr>
      </w:pPr>
    </w:p>
    <w:p>
      <w:pPr>
        <w:spacing w:after="0" w:line="304" w:lineRule="exact"/>
        <w:rPr>
          <w:sz w:val="20"/>
          <w:szCs w:val="20"/>
          <w:color w:val="auto"/>
        </w:rPr>
      </w:pPr>
    </w:p>
    <w:p>
      <w:pPr>
        <w:ind w:left="1120" w:right="460" w:hanging="672"/>
        <w:spacing w:after="0" w:line="382" w:lineRule="auto"/>
        <w:tabs>
          <w:tab w:leader="none" w:pos="610" w:val="left"/>
        </w:tabs>
        <w:numPr>
          <w:ilvl w:val="0"/>
          <w:numId w:val="134"/>
        </w:numPr>
        <w:rPr>
          <w:rFonts w:ascii="Arial" w:cs="Arial" w:eastAsia="Arial" w:hAnsi="Arial"/>
          <w:sz w:val="24"/>
          <w:szCs w:val="24"/>
          <w:color w:val="auto"/>
          <w:vertAlign w:val="subscript"/>
        </w:rPr>
      </w:pPr>
      <w:r>
        <w:rPr>
          <w:rFonts w:ascii="Arial" w:cs="Arial" w:eastAsia="Arial" w:hAnsi="Arial"/>
          <w:sz w:val="24"/>
          <w:szCs w:val="24"/>
          <w:color w:val="000000"/>
          <w:vertAlign w:val="subscript"/>
        </w:rPr>
        <w:t xml:space="preserve">     </w:t>
      </w:r>
      <w:r>
        <w:rPr>
          <w:rFonts w:ascii="Arial" w:cs="Arial" w:eastAsia="Arial" w:hAnsi="Arial"/>
          <w:sz w:val="10"/>
          <w:szCs w:val="10"/>
          <w:color w:val="FFFFFF"/>
        </w:rPr>
        <w:t xml:space="preserve"> General Information</w:t>
      </w:r>
    </w:p>
    <w:p>
      <w:pPr>
        <w:spacing w:after="0" w:line="1" w:lineRule="exact"/>
        <w:rPr>
          <w:sz w:val="20"/>
          <w:szCs w:val="20"/>
          <w:color w:val="auto"/>
        </w:rPr>
      </w:pPr>
    </w:p>
    <w:p>
      <w:pPr>
        <w:ind w:left="1120"/>
        <w:spacing w:after="0"/>
        <w:rPr>
          <w:sz w:val="20"/>
          <w:szCs w:val="20"/>
          <w:color w:val="auto"/>
        </w:rPr>
      </w:pPr>
      <w:r>
        <w:rPr>
          <w:rFonts w:ascii="Arial" w:cs="Arial" w:eastAsia="Arial" w:hAnsi="Arial"/>
          <w:sz w:val="11"/>
          <w:szCs w:val="11"/>
          <w:color w:val="FFFFFF"/>
        </w:rPr>
        <w:t>General Information</w:t>
      </w:r>
    </w:p>
    <w:p>
      <w:pPr>
        <w:spacing w:after="0" w:line="3"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About Corporate</w:t>
      </w:r>
    </w:p>
    <w:p>
      <w:pPr>
        <w:ind w:left="1120"/>
        <w:spacing w:after="0" w:line="221" w:lineRule="auto"/>
        <w:rPr>
          <w:sz w:val="20"/>
          <w:szCs w:val="20"/>
          <w:color w:val="auto"/>
        </w:rPr>
      </w:pPr>
      <w:r>
        <w:rPr>
          <w:rFonts w:ascii="Arial" w:cs="Arial" w:eastAsia="Arial" w:hAnsi="Arial"/>
          <w:sz w:val="12"/>
          <w:szCs w:val="12"/>
          <w:color w:val="FFFFFF"/>
        </w:rPr>
        <w:t>Governance</w:t>
      </w:r>
    </w:p>
    <w:p>
      <w:pPr>
        <w:ind w:left="1120"/>
        <w:spacing w:after="0" w:line="222" w:lineRule="auto"/>
        <w:rPr>
          <w:sz w:val="20"/>
          <w:szCs w:val="20"/>
          <w:color w:val="auto"/>
        </w:rPr>
      </w:pPr>
      <w:r>
        <w:rPr>
          <w:rFonts w:ascii="Arial" w:cs="Arial" w:eastAsia="Arial" w:hAnsi="Arial"/>
          <w:sz w:val="12"/>
          <w:szCs w:val="12"/>
          <w:color w:val="FFFFFF"/>
        </w:rPr>
        <w:t>and the Board of</w:t>
      </w:r>
    </w:p>
    <w:p>
      <w:pPr>
        <w:spacing w:after="0" w:line="1"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Directors</w:t>
      </w:r>
    </w:p>
    <w:p>
      <w:pPr>
        <w:spacing w:after="0" w:line="169" w:lineRule="exact"/>
        <w:rPr>
          <w:sz w:val="20"/>
          <w:szCs w:val="20"/>
          <w:color w:val="auto"/>
        </w:rPr>
      </w:pPr>
    </w:p>
    <w:p>
      <w:pPr>
        <w:jc w:val="center"/>
        <w:ind w:left="620"/>
        <w:spacing w:after="0"/>
        <w:rPr>
          <w:sz w:val="20"/>
          <w:szCs w:val="20"/>
          <w:color w:val="auto"/>
        </w:rPr>
      </w:pPr>
      <w:r>
        <w:rPr>
          <w:rFonts w:ascii="Arial" w:cs="Arial" w:eastAsia="Arial" w:hAnsi="Arial"/>
          <w:sz w:val="12"/>
          <w:szCs w:val="12"/>
          <w:color w:val="FFFFFF"/>
        </w:rPr>
        <w:t>Proposal 1</w:t>
      </w:r>
    </w:p>
    <w:p>
      <w:pPr>
        <w:spacing w:after="0" w:line="181"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Information</w:t>
      </w:r>
    </w:p>
    <w:p>
      <w:pPr>
        <w:ind w:left="1120"/>
        <w:spacing w:after="0" w:line="224" w:lineRule="auto"/>
        <w:rPr>
          <w:sz w:val="20"/>
          <w:szCs w:val="20"/>
          <w:color w:val="auto"/>
        </w:rPr>
      </w:pPr>
      <w:r>
        <w:rPr>
          <w:rFonts w:ascii="Arial" w:cs="Arial" w:eastAsia="Arial" w:hAnsi="Arial"/>
          <w:sz w:val="12"/>
          <w:szCs w:val="12"/>
          <w:color w:val="FFFFFF"/>
        </w:rPr>
        <w:t>Regarding Board</w:t>
      </w:r>
    </w:p>
    <w:p>
      <w:pPr>
        <w:ind w:left="1120"/>
        <w:spacing w:after="0" w:line="222" w:lineRule="auto"/>
        <w:rPr>
          <w:sz w:val="20"/>
          <w:szCs w:val="20"/>
          <w:color w:val="auto"/>
        </w:rPr>
      </w:pPr>
      <w:r>
        <w:rPr>
          <w:rFonts w:ascii="Arial" w:cs="Arial" w:eastAsia="Arial" w:hAnsi="Arial"/>
          <w:sz w:val="12"/>
          <w:szCs w:val="12"/>
          <w:color w:val="FFFFFF"/>
        </w:rPr>
        <w:t>and Committee</w:t>
      </w:r>
    </w:p>
    <w:p>
      <w:pPr>
        <w:ind w:left="1120"/>
        <w:spacing w:after="0"/>
        <w:rPr>
          <w:sz w:val="20"/>
          <w:szCs w:val="20"/>
          <w:color w:val="auto"/>
        </w:rPr>
      </w:pPr>
      <w:r>
        <w:rPr>
          <w:rFonts w:ascii="Arial" w:cs="Arial" w:eastAsia="Arial" w:hAnsi="Arial"/>
          <w:sz w:val="12"/>
          <w:szCs w:val="12"/>
          <w:color w:val="FFFFFF"/>
        </w:rPr>
        <w:t>Structure</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Board of Directors</w:t>
      </w:r>
    </w:p>
    <w:p>
      <w:pPr>
        <w:spacing w:after="0" w:line="2"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Compensation</w:t>
      </w:r>
    </w:p>
    <w:p>
      <w:pPr>
        <w:spacing w:after="0" w:line="169"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Compensation</w:t>
      </w:r>
    </w:p>
    <w:p>
      <w:pPr>
        <w:ind w:left="1120"/>
        <w:spacing w:after="0" w:line="224" w:lineRule="auto"/>
        <w:rPr>
          <w:sz w:val="20"/>
          <w:szCs w:val="20"/>
          <w:color w:val="auto"/>
        </w:rPr>
      </w:pPr>
      <w:r>
        <w:rPr>
          <w:rFonts w:ascii="Arial" w:cs="Arial" w:eastAsia="Arial" w:hAnsi="Arial"/>
          <w:sz w:val="12"/>
          <w:szCs w:val="12"/>
          <w:color w:val="FFFFFF"/>
        </w:rPr>
        <w:t>Discussion and</w:t>
      </w:r>
    </w:p>
    <w:p>
      <w:pPr>
        <w:ind w:left="1120"/>
        <w:spacing w:after="0"/>
        <w:rPr>
          <w:sz w:val="20"/>
          <w:szCs w:val="20"/>
          <w:color w:val="auto"/>
        </w:rPr>
      </w:pPr>
      <w:r>
        <w:rPr>
          <w:rFonts w:ascii="Arial" w:cs="Arial" w:eastAsia="Arial" w:hAnsi="Arial"/>
          <w:sz w:val="12"/>
          <w:szCs w:val="12"/>
          <w:color w:val="FFFFFF"/>
        </w:rPr>
        <w:t>Analysis</w:t>
      </w:r>
    </w:p>
    <w:p>
      <w:pPr>
        <w:spacing w:after="0" w:line="169"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Report of the</w:t>
      </w:r>
    </w:p>
    <w:p>
      <w:pPr>
        <w:ind w:left="1120"/>
        <w:spacing w:after="0" w:line="224" w:lineRule="auto"/>
        <w:rPr>
          <w:sz w:val="20"/>
          <w:szCs w:val="20"/>
          <w:color w:val="auto"/>
        </w:rPr>
      </w:pPr>
      <w:r>
        <w:rPr>
          <w:rFonts w:ascii="Arial" w:cs="Arial" w:eastAsia="Arial" w:hAnsi="Arial"/>
          <w:sz w:val="12"/>
          <w:szCs w:val="12"/>
          <w:color w:val="FFFFFF"/>
        </w:rPr>
        <w:t>Compensation</w:t>
      </w:r>
    </w:p>
    <w:p>
      <w:pPr>
        <w:ind w:left="1120"/>
        <w:spacing w:after="0" w:line="222" w:lineRule="auto"/>
        <w:rPr>
          <w:sz w:val="20"/>
          <w:szCs w:val="20"/>
          <w:color w:val="auto"/>
        </w:rPr>
      </w:pPr>
      <w:r>
        <w:rPr>
          <w:rFonts w:ascii="Arial" w:cs="Arial" w:eastAsia="Arial" w:hAnsi="Arial"/>
          <w:sz w:val="12"/>
          <w:szCs w:val="12"/>
          <w:color w:val="FFFFFF"/>
        </w:rPr>
        <w:t>and Human</w:t>
      </w:r>
    </w:p>
    <w:p>
      <w:pPr>
        <w:ind w:left="1120"/>
        <w:spacing w:after="0" w:line="222" w:lineRule="auto"/>
        <w:rPr>
          <w:sz w:val="20"/>
          <w:szCs w:val="20"/>
          <w:color w:val="auto"/>
        </w:rPr>
      </w:pPr>
      <w:r>
        <w:rPr>
          <w:rFonts w:ascii="Arial" w:cs="Arial" w:eastAsia="Arial" w:hAnsi="Arial"/>
          <w:sz w:val="12"/>
          <w:szCs w:val="12"/>
          <w:color w:val="FFFFFF"/>
        </w:rPr>
        <w:t>Resources</w:t>
      </w:r>
    </w:p>
    <w:p>
      <w:pPr>
        <w:ind w:left="1120"/>
        <w:spacing w:after="0" w:line="222" w:lineRule="auto"/>
        <w:rPr>
          <w:sz w:val="20"/>
          <w:szCs w:val="20"/>
          <w:color w:val="auto"/>
        </w:rPr>
      </w:pPr>
      <w:r>
        <w:rPr>
          <w:rFonts w:ascii="Arial" w:cs="Arial" w:eastAsia="Arial" w:hAnsi="Arial"/>
          <w:sz w:val="12"/>
          <w:szCs w:val="12"/>
          <w:color w:val="FFFFFF"/>
        </w:rPr>
        <w:t>Committee of the</w:t>
      </w:r>
    </w:p>
    <w:p>
      <w:pPr>
        <w:ind w:left="1120"/>
        <w:spacing w:after="0"/>
        <w:rPr>
          <w:sz w:val="20"/>
          <w:szCs w:val="20"/>
          <w:color w:val="auto"/>
        </w:rPr>
      </w:pPr>
      <w:r>
        <w:rPr>
          <w:rFonts w:ascii="Arial" w:cs="Arial" w:eastAsia="Arial" w:hAnsi="Arial"/>
          <w:sz w:val="12"/>
          <w:szCs w:val="12"/>
          <w:color w:val="FFFFFF"/>
        </w:rPr>
        <w:t>Board of Directors</w:t>
      </w:r>
    </w:p>
    <w:p>
      <w:pPr>
        <w:spacing w:after="0" w:line="169"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Compensation of</w:t>
      </w:r>
    </w:p>
    <w:p>
      <w:pPr>
        <w:ind w:left="1120"/>
        <w:spacing w:after="0" w:line="224" w:lineRule="auto"/>
        <w:rPr>
          <w:sz w:val="20"/>
          <w:szCs w:val="20"/>
          <w:color w:val="auto"/>
        </w:rPr>
      </w:pPr>
      <w:r>
        <w:rPr>
          <w:rFonts w:ascii="Arial" w:cs="Arial" w:eastAsia="Arial" w:hAnsi="Arial"/>
          <w:sz w:val="12"/>
          <w:szCs w:val="12"/>
          <w:color w:val="FFFFFF"/>
        </w:rPr>
        <w:t>Named Executive</w:t>
      </w:r>
    </w:p>
    <w:p>
      <w:pPr>
        <w:ind w:left="1120"/>
        <w:spacing w:after="0"/>
        <w:rPr>
          <w:sz w:val="20"/>
          <w:szCs w:val="20"/>
          <w:color w:val="auto"/>
        </w:rPr>
      </w:pPr>
      <w:r>
        <w:rPr>
          <w:rFonts w:ascii="Arial" w:cs="Arial" w:eastAsia="Arial" w:hAnsi="Arial"/>
          <w:sz w:val="12"/>
          <w:szCs w:val="12"/>
          <w:color w:val="FFFFFF"/>
        </w:rPr>
        <w:t>Officers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Pay Versus</w:t>
      </w:r>
    </w:p>
    <w:p>
      <w:pPr>
        <w:ind w:left="1120"/>
        <w:spacing w:after="0" w:line="224" w:lineRule="auto"/>
        <w:rPr>
          <w:sz w:val="20"/>
          <w:szCs w:val="20"/>
          <w:color w:val="auto"/>
        </w:rPr>
      </w:pPr>
      <w:r>
        <w:rPr>
          <w:rFonts w:ascii="Arial" w:cs="Arial" w:eastAsia="Arial" w:hAnsi="Arial"/>
          <w:sz w:val="12"/>
          <w:szCs w:val="12"/>
          <w:color w:val="FFFFFF"/>
        </w:rPr>
        <w:t>Performance</w:t>
      </w:r>
    </w:p>
    <w:p>
      <w:pPr>
        <w:ind w:left="1120"/>
        <w:spacing w:after="0"/>
        <w:rPr>
          <w:sz w:val="20"/>
          <w:szCs w:val="20"/>
          <w:color w:val="auto"/>
        </w:rPr>
      </w:pPr>
      <w:r>
        <w:rPr>
          <w:rFonts w:ascii="Arial" w:cs="Arial" w:eastAsia="Arial" w:hAnsi="Arial"/>
          <w:sz w:val="12"/>
          <w:szCs w:val="12"/>
          <w:color w:val="FFFFFF"/>
        </w:rPr>
        <w:t>Disclosure</w:t>
      </w:r>
    </w:p>
    <w:p>
      <w:pPr>
        <w:spacing w:after="0" w:line="169"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Security</w:t>
      </w:r>
    </w:p>
    <w:p>
      <w:pPr>
        <w:ind w:left="1120"/>
        <w:spacing w:after="0" w:line="224" w:lineRule="auto"/>
        <w:rPr>
          <w:sz w:val="20"/>
          <w:szCs w:val="20"/>
          <w:color w:val="auto"/>
        </w:rPr>
      </w:pPr>
      <w:r>
        <w:rPr>
          <w:rFonts w:ascii="Arial" w:cs="Arial" w:eastAsia="Arial" w:hAnsi="Arial"/>
          <w:sz w:val="12"/>
          <w:szCs w:val="12"/>
          <w:color w:val="FFFFFF"/>
        </w:rPr>
        <w:t>Ownership of</w:t>
      </w:r>
    </w:p>
    <w:p>
      <w:pPr>
        <w:ind w:left="1120"/>
        <w:spacing w:after="0" w:line="222" w:lineRule="auto"/>
        <w:rPr>
          <w:sz w:val="20"/>
          <w:szCs w:val="20"/>
          <w:color w:val="auto"/>
        </w:rPr>
      </w:pPr>
      <w:r>
        <w:rPr>
          <w:rFonts w:ascii="Arial" w:cs="Arial" w:eastAsia="Arial" w:hAnsi="Arial"/>
          <w:sz w:val="12"/>
          <w:szCs w:val="12"/>
          <w:color w:val="FFFFFF"/>
        </w:rPr>
        <w:t>Certain Beneficial</w:t>
      </w:r>
    </w:p>
    <w:p>
      <w:pPr>
        <w:ind w:left="1120"/>
        <w:spacing w:after="0" w:line="222" w:lineRule="auto"/>
        <w:rPr>
          <w:sz w:val="20"/>
          <w:szCs w:val="20"/>
          <w:color w:val="auto"/>
        </w:rPr>
      </w:pPr>
      <w:r>
        <w:rPr>
          <w:rFonts w:ascii="Arial" w:cs="Arial" w:eastAsia="Arial" w:hAnsi="Arial"/>
          <w:sz w:val="12"/>
          <w:szCs w:val="12"/>
          <w:color w:val="FFFFFF"/>
        </w:rPr>
        <w:t>Owners and</w:t>
      </w:r>
    </w:p>
    <w:p>
      <w:pPr>
        <w:ind w:left="1120"/>
        <w:spacing w:after="0"/>
        <w:rPr>
          <w:sz w:val="20"/>
          <w:szCs w:val="20"/>
          <w:color w:val="auto"/>
        </w:rPr>
      </w:pPr>
      <w:r>
        <w:rPr>
          <w:rFonts w:ascii="Arial" w:cs="Arial" w:eastAsia="Arial" w:hAnsi="Arial"/>
          <w:sz w:val="12"/>
          <w:szCs w:val="12"/>
          <w:color w:val="FFFFFF"/>
        </w:rPr>
        <w:t>Management</w:t>
      </w:r>
    </w:p>
    <w:p>
      <w:pPr>
        <w:spacing w:after="0" w:line="169"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Certain</w:t>
      </w:r>
    </w:p>
    <w:p>
      <w:pPr>
        <w:ind w:left="1120"/>
        <w:spacing w:after="0" w:line="224" w:lineRule="auto"/>
        <w:rPr>
          <w:sz w:val="20"/>
          <w:szCs w:val="20"/>
          <w:color w:val="auto"/>
        </w:rPr>
      </w:pPr>
      <w:r>
        <w:rPr>
          <w:rFonts w:ascii="Arial" w:cs="Arial" w:eastAsia="Arial" w:hAnsi="Arial"/>
          <w:sz w:val="12"/>
          <w:szCs w:val="12"/>
          <w:color w:val="FFFFFF"/>
        </w:rPr>
        <w:t>Relationships and</w:t>
      </w:r>
    </w:p>
    <w:p>
      <w:pPr>
        <w:ind w:left="1120"/>
        <w:spacing w:after="0" w:line="222" w:lineRule="auto"/>
        <w:rPr>
          <w:sz w:val="20"/>
          <w:szCs w:val="20"/>
          <w:color w:val="auto"/>
        </w:rPr>
      </w:pPr>
      <w:r>
        <w:rPr>
          <w:rFonts w:ascii="Arial" w:cs="Arial" w:eastAsia="Arial" w:hAnsi="Arial"/>
          <w:sz w:val="12"/>
          <w:szCs w:val="12"/>
          <w:color w:val="FFFFFF"/>
        </w:rPr>
        <w:t>Related Party</w:t>
      </w:r>
    </w:p>
    <w:p>
      <w:pPr>
        <w:ind w:left="1120"/>
        <w:spacing w:after="0"/>
        <w:rPr>
          <w:sz w:val="20"/>
          <w:szCs w:val="20"/>
          <w:color w:val="auto"/>
        </w:rPr>
      </w:pPr>
      <w:r>
        <w:rPr>
          <w:rFonts w:ascii="Arial" w:cs="Arial" w:eastAsia="Arial" w:hAnsi="Arial"/>
          <w:sz w:val="12"/>
          <w:szCs w:val="12"/>
          <w:color w:val="FFFFFF"/>
        </w:rPr>
        <w:t>Transactions</w:t>
      </w:r>
    </w:p>
    <w:p>
      <w:pPr>
        <w:spacing w:after="0" w:line="169"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Proposal 2</w:t>
      </w:r>
    </w:p>
    <w:p>
      <w:pPr>
        <w:spacing w:after="0" w:line="156"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Report of the</w:t>
      </w:r>
    </w:p>
    <w:p>
      <w:pPr>
        <w:ind w:left="1120"/>
        <w:spacing w:after="0" w:line="224" w:lineRule="auto"/>
        <w:rPr>
          <w:sz w:val="20"/>
          <w:szCs w:val="20"/>
          <w:color w:val="auto"/>
        </w:rPr>
      </w:pPr>
      <w:r>
        <w:rPr>
          <w:rFonts w:ascii="Arial" w:cs="Arial" w:eastAsia="Arial" w:hAnsi="Arial"/>
          <w:sz w:val="12"/>
          <w:szCs w:val="12"/>
          <w:color w:val="FFFFFF"/>
        </w:rPr>
        <w:t>Audit and Risk</w:t>
      </w:r>
    </w:p>
    <w:p>
      <w:pPr>
        <w:ind w:left="1120"/>
        <w:spacing w:after="0" w:line="222" w:lineRule="auto"/>
        <w:rPr>
          <w:sz w:val="20"/>
          <w:szCs w:val="20"/>
          <w:color w:val="auto"/>
        </w:rPr>
      </w:pPr>
      <w:r>
        <w:rPr>
          <w:rFonts w:ascii="Arial" w:cs="Arial" w:eastAsia="Arial" w:hAnsi="Arial"/>
          <w:sz w:val="12"/>
          <w:szCs w:val="12"/>
          <w:color w:val="FFFFFF"/>
        </w:rPr>
        <w:t>Committee of the</w:t>
      </w:r>
    </w:p>
    <w:p>
      <w:pPr>
        <w:ind w:left="1120"/>
        <w:spacing w:after="0"/>
        <w:rPr>
          <w:sz w:val="20"/>
          <w:szCs w:val="20"/>
          <w:color w:val="auto"/>
        </w:rPr>
      </w:pPr>
      <w:r>
        <w:rPr>
          <w:rFonts w:ascii="Arial" w:cs="Arial" w:eastAsia="Arial" w:hAnsi="Arial"/>
          <w:sz w:val="12"/>
          <w:szCs w:val="12"/>
          <w:color w:val="FFFFFF"/>
        </w:rPr>
        <w:t>Board of Directors</w:t>
      </w:r>
    </w:p>
    <w:p>
      <w:pPr>
        <w:spacing w:after="0" w:line="169" w:lineRule="exact"/>
        <w:rPr>
          <w:sz w:val="20"/>
          <w:szCs w:val="20"/>
          <w:color w:val="auto"/>
        </w:rPr>
      </w:pPr>
    </w:p>
    <w:p>
      <w:pPr>
        <w:jc w:val="center"/>
        <w:ind w:left="620"/>
        <w:spacing w:after="0"/>
        <w:rPr>
          <w:sz w:val="20"/>
          <w:szCs w:val="20"/>
          <w:color w:val="auto"/>
        </w:rPr>
      </w:pPr>
      <w:r>
        <w:rPr>
          <w:rFonts w:ascii="Arial" w:cs="Arial" w:eastAsia="Arial" w:hAnsi="Arial"/>
          <w:sz w:val="12"/>
          <w:szCs w:val="12"/>
          <w:color w:val="FFFFFF"/>
        </w:rPr>
        <w:t>Proposal 3</w:t>
      </w:r>
    </w:p>
    <w:p>
      <w:pPr>
        <w:spacing w:after="0" w:line="156" w:lineRule="exact"/>
        <w:rPr>
          <w:sz w:val="20"/>
          <w:szCs w:val="20"/>
          <w:color w:val="auto"/>
        </w:rPr>
      </w:pPr>
    </w:p>
    <w:p>
      <w:pPr>
        <w:jc w:val="center"/>
        <w:ind w:left="620"/>
        <w:spacing w:after="0"/>
        <w:rPr>
          <w:sz w:val="20"/>
          <w:szCs w:val="20"/>
          <w:color w:val="auto"/>
        </w:rPr>
      </w:pPr>
      <w:r>
        <w:rPr>
          <w:rFonts w:ascii="Arial" w:cs="Arial" w:eastAsia="Arial" w:hAnsi="Arial"/>
          <w:sz w:val="12"/>
          <w:szCs w:val="12"/>
          <w:color w:val="FFFFFF"/>
        </w:rPr>
        <w:t>Proposal 4</w:t>
      </w:r>
    </w:p>
    <w:p>
      <w:pPr>
        <w:spacing w:after="0" w:line="181" w:lineRule="exact"/>
        <w:rPr>
          <w:sz w:val="20"/>
          <w:szCs w:val="20"/>
          <w:color w:val="auto"/>
        </w:rPr>
      </w:pPr>
    </w:p>
    <w:p>
      <w:pPr>
        <w:jc w:val="center"/>
        <w:ind w:left="620"/>
        <w:spacing w:after="0"/>
        <w:rPr>
          <w:sz w:val="20"/>
          <w:szCs w:val="20"/>
          <w:color w:val="auto"/>
        </w:rPr>
      </w:pPr>
      <w:r>
        <w:rPr>
          <w:rFonts w:ascii="Arial" w:cs="Arial" w:eastAsia="Arial" w:hAnsi="Arial"/>
          <w:sz w:val="12"/>
          <w:szCs w:val="12"/>
          <w:color w:val="FFFFFF"/>
        </w:rPr>
        <w:t>Proposal 5</w:t>
      </w:r>
    </w:p>
    <w:p>
      <w:pPr>
        <w:spacing w:after="0" w:line="153" w:lineRule="exact"/>
        <w:rPr>
          <w:sz w:val="20"/>
          <w:szCs w:val="20"/>
          <w:color w:val="auto"/>
        </w:rPr>
      </w:pPr>
    </w:p>
    <w:p>
      <w:pPr>
        <w:ind w:left="980"/>
        <w:spacing w:after="0"/>
        <w:rPr>
          <w:sz w:val="20"/>
          <w:szCs w:val="20"/>
          <w:color w:val="auto"/>
        </w:rPr>
      </w:pPr>
      <w:r>
        <w:rPr>
          <w:sz w:val="1"/>
          <w:szCs w:val="1"/>
          <w:color w:val="auto"/>
        </w:rPr>
        <w:drawing>
          <wp:inline distT="0" distB="0" distL="0" distR="0">
            <wp:extent cx="56515" cy="88900"/>
            <wp:effectExtent l="0" t="0" r="0" b="0"/>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56515" cy="88900"/>
                    </a:xfrm>
                    <a:prstGeom prst="rect">
                      <a:avLst/>
                    </a:prstGeom>
                    <a:noFill/>
                    <a:ln>
                      <a:noFill/>
                    </a:ln>
                  </pic:spPr>
                </pic:pic>
              </a:graphicData>
            </a:graphic>
          </wp:inline>
        </w:drawing>
      </w:r>
      <w:r>
        <w:rPr>
          <w:rFonts w:ascii="Arial" w:cs="Arial" w:eastAsia="Arial" w:hAnsi="Arial"/>
          <w:sz w:val="12"/>
          <w:szCs w:val="12"/>
          <w:b w:val="1"/>
          <w:bCs w:val="1"/>
          <w:color w:val="FFFFFF"/>
        </w:rPr>
        <w:t xml:space="preserve"> Proposal 6</w:t>
      </w:r>
    </w:p>
    <w:p>
      <w:pPr>
        <w:spacing w:after="0" w:line="155"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Stockholder</w:t>
      </w:r>
    </w:p>
    <w:p>
      <w:pPr>
        <w:ind w:left="1120"/>
        <w:spacing w:after="0" w:line="224" w:lineRule="auto"/>
        <w:rPr>
          <w:sz w:val="20"/>
          <w:szCs w:val="20"/>
          <w:color w:val="auto"/>
        </w:rPr>
      </w:pPr>
      <w:r>
        <w:rPr>
          <w:rFonts w:ascii="Arial" w:cs="Arial" w:eastAsia="Arial" w:hAnsi="Arial"/>
          <w:sz w:val="12"/>
          <w:szCs w:val="12"/>
          <w:color w:val="FFFFFF"/>
        </w:rPr>
        <w:t>Proposals and</w:t>
      </w:r>
    </w:p>
    <w:p>
      <w:pPr>
        <w:ind w:left="1120"/>
        <w:spacing w:after="0"/>
        <w:rPr>
          <w:sz w:val="20"/>
          <w:szCs w:val="20"/>
          <w:color w:val="auto"/>
        </w:rPr>
      </w:pPr>
      <w:r>
        <w:rPr>
          <w:rFonts w:ascii="Arial" w:cs="Arial" w:eastAsia="Arial" w:hAnsi="Arial"/>
          <w:sz w:val="12"/>
          <w:szCs w:val="12"/>
          <w:color w:val="FFFFFF"/>
        </w:rPr>
        <w:t>Other Matters</w:t>
      </w:r>
    </w:p>
    <w:p>
      <w:pPr>
        <w:spacing w:after="0" w:line="169"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Delinquent</w:t>
      </w:r>
    </w:p>
    <w:p>
      <w:pPr>
        <w:ind w:left="1120"/>
        <w:spacing w:after="0" w:line="224" w:lineRule="auto"/>
        <w:rPr>
          <w:sz w:val="20"/>
          <w:szCs w:val="20"/>
          <w:color w:val="auto"/>
        </w:rPr>
      </w:pPr>
      <w:r>
        <w:rPr>
          <w:rFonts w:ascii="Arial" w:cs="Arial" w:eastAsia="Arial" w:hAnsi="Arial"/>
          <w:sz w:val="12"/>
          <w:szCs w:val="12"/>
          <w:color w:val="FFFFFF"/>
        </w:rPr>
        <w:t>Section 16(a)</w:t>
      </w:r>
    </w:p>
    <w:p>
      <w:pPr>
        <w:ind w:left="1120"/>
        <w:spacing w:after="0"/>
        <w:rPr>
          <w:sz w:val="20"/>
          <w:szCs w:val="20"/>
          <w:color w:val="auto"/>
        </w:rPr>
      </w:pPr>
      <w:r>
        <w:rPr>
          <w:rFonts w:ascii="Arial" w:cs="Arial" w:eastAsia="Arial" w:hAnsi="Arial"/>
          <w:sz w:val="12"/>
          <w:szCs w:val="12"/>
          <w:color w:val="FFFFFF"/>
        </w:rPr>
        <w:t>Reports</w:t>
      </w:r>
    </w:p>
    <w:p>
      <w:pPr>
        <w:spacing w:after="0" w:line="169"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Other</w:t>
      </w:r>
    </w:p>
    <w:p>
      <w:pPr>
        <w:spacing w:after="0" w:line="2"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Information</w:t>
      </w:r>
    </w:p>
    <w:p>
      <w:pPr>
        <w:spacing w:after="0" w:line="144" w:lineRule="exact"/>
        <w:rPr>
          <w:sz w:val="20"/>
          <w:szCs w:val="20"/>
          <w:color w:val="auto"/>
        </w:rPr>
      </w:pPr>
    </w:p>
    <w:p>
      <w:pPr>
        <w:jc w:val="center"/>
        <w:ind w:left="660"/>
        <w:spacing w:after="0"/>
        <w:rPr>
          <w:sz w:val="20"/>
          <w:szCs w:val="20"/>
          <w:color w:val="auto"/>
        </w:rPr>
      </w:pPr>
      <w:r>
        <w:rPr>
          <w:rFonts w:ascii="Arial" w:cs="Arial" w:eastAsia="Arial" w:hAnsi="Arial"/>
          <w:sz w:val="12"/>
          <w:szCs w:val="12"/>
          <w:color w:val="FFFFFF"/>
        </w:rPr>
        <w:t>Appendix A</w:t>
      </w:r>
    </w:p>
    <w:p>
      <w:pPr>
        <w:spacing w:after="0" w:line="181" w:lineRule="exact"/>
        <w:rPr>
          <w:sz w:val="20"/>
          <w:szCs w:val="20"/>
          <w:color w:val="auto"/>
        </w:rPr>
      </w:pPr>
    </w:p>
    <w:p>
      <w:pPr>
        <w:jc w:val="center"/>
        <w:ind w:left="660"/>
        <w:spacing w:after="0"/>
        <w:rPr>
          <w:sz w:val="20"/>
          <w:szCs w:val="20"/>
          <w:color w:val="auto"/>
        </w:rPr>
      </w:pPr>
      <w:r>
        <w:rPr>
          <w:rFonts w:ascii="Arial" w:cs="Arial" w:eastAsia="Arial" w:hAnsi="Arial"/>
          <w:sz w:val="12"/>
          <w:szCs w:val="12"/>
          <w:color w:val="FFFFFF"/>
        </w:rPr>
        <w:t>Appendix 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7"/>
          <w:szCs w:val="17"/>
          <w:b w:val="1"/>
          <w:bCs w:val="1"/>
          <w:color w:val="002B5F"/>
        </w:rPr>
        <w:t>REASONS FOR THE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-1801495</wp:posOffset>
            </wp:positionH>
            <wp:positionV relativeFrom="paragraph">
              <wp:posOffset>-890905</wp:posOffset>
            </wp:positionV>
            <wp:extent cx="7181215" cy="5334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181215" cy="53340"/>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-250825</wp:posOffset>
            </wp:positionV>
            <wp:extent cx="5065395" cy="228536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5065395" cy="2285365"/>
                    </a:xfrm>
                    <a:prstGeom prst="rect">
                      <a:avLst/>
                    </a:prstGeom>
                    <a:noFill/>
                  </pic:spPr>
                </pic:pic>
              </a:graphicData>
            </a:graphic>
          </wp:anchor>
        </w:drawing>
      </w:r>
    </w:p>
    <w:p>
      <w:pPr>
        <w:spacing w:after="0" w:line="83" w:lineRule="exact"/>
        <w:rPr>
          <w:sz w:val="20"/>
          <w:szCs w:val="20"/>
          <w:color w:val="auto"/>
        </w:rPr>
      </w:pPr>
    </w:p>
    <w:p>
      <w:pPr>
        <w:spacing w:after="0" w:line="252" w:lineRule="auto"/>
        <w:rPr>
          <w:sz w:val="20"/>
          <w:szCs w:val="20"/>
          <w:color w:val="auto"/>
        </w:rPr>
      </w:pPr>
      <w:r>
        <w:rPr>
          <w:rFonts w:ascii="Arial" w:cs="Arial" w:eastAsia="Arial" w:hAnsi="Arial"/>
          <w:sz w:val="15"/>
          <w:szCs w:val="15"/>
          <w:color w:val="auto"/>
        </w:rPr>
        <w:t>Our Board believes that, while the renouncement of the corporate opportunity doctrine in Article X of our Charter may have been appropriate when it was included in our Charter when the Company first became a publicly-traded company in 2010, this provision is no longer appropriate. Since 2010, when our two former equity sponsors and their affiliates beneficially owned a significant percentage of the outstanding shares of Common Stock, the Company has significantly matured, and our stockholder base has diversified. The Company is no longer controlled by our former equity sponsors, and our Board does not believe there is any reason why non-employee directors should have a different standard with respect to the duty of loyalty than that which applies to Company officers. The Corporate Opportunities Amendment would also align our Charter with Delaware law standards applicable to the vast majority of the Fortune 500. According to Deal Point Data, fewer than 5% of the Fortune 500 have charter provisions renouncing corporate opportunities. Finally, the Corporate Opportunities Amendment would remove obsolete references to prior significant stockholders.</w:t>
      </w:r>
    </w:p>
    <w:p>
      <w:pPr>
        <w:spacing w:after="0" w:line="88" w:lineRule="exact"/>
        <w:rPr>
          <w:sz w:val="20"/>
          <w:szCs w:val="20"/>
          <w:color w:val="auto"/>
        </w:rPr>
      </w:pPr>
    </w:p>
    <w:p>
      <w:pPr>
        <w:ind w:right="360"/>
        <w:spacing w:after="0" w:line="258" w:lineRule="auto"/>
        <w:rPr>
          <w:sz w:val="20"/>
          <w:szCs w:val="20"/>
          <w:color w:val="auto"/>
        </w:rPr>
      </w:pPr>
      <w:r>
        <w:rPr>
          <w:rFonts w:ascii="Arial" w:cs="Arial" w:eastAsia="Arial" w:hAnsi="Arial"/>
          <w:sz w:val="15"/>
          <w:szCs w:val="15"/>
          <w:color w:val="auto"/>
        </w:rPr>
        <w:t>After careful consideration, and upon the recommendation of the Nominating and Governance Committee, our Board determined that it would be in the best interests of the Company and our stockholders to adopt the Corporate Opportunities Amendment. Accordingly, our Board has unanimously approved and adopted the Corporate Opportunities Amendment, declared the Corporate Opportunities Amendment advisable and recommended that our stockholders vote in favor of the adoption of the Corporate Opportunities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wp:posOffset>
            </wp:positionH>
            <wp:positionV relativeFrom="paragraph">
              <wp:posOffset>205105</wp:posOffset>
            </wp:positionV>
            <wp:extent cx="5065395" cy="231775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5065395" cy="2317750"/>
                    </a:xfrm>
                    <a:prstGeom prst="rect">
                      <a:avLst/>
                    </a:prstGeom>
                    <a:noFill/>
                  </pic:spPr>
                </pic:pic>
              </a:graphicData>
            </a:graphic>
          </wp:anchor>
        </w:drawing>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7"/>
          <w:szCs w:val="17"/>
          <w:b w:val="1"/>
          <w:bCs w:val="1"/>
          <w:color w:val="002B5F"/>
        </w:rPr>
        <w:t>EFFECTIVENESS OF THE AMENDMENT</w:t>
      </w:r>
    </w:p>
    <w:p>
      <w:pPr>
        <w:spacing w:after="0" w:line="103" w:lineRule="exact"/>
        <w:rPr>
          <w:sz w:val="20"/>
          <w:szCs w:val="20"/>
          <w:color w:val="auto"/>
        </w:rPr>
      </w:pPr>
    </w:p>
    <w:p>
      <w:pPr>
        <w:ind w:right="20"/>
        <w:spacing w:after="0" w:line="251" w:lineRule="auto"/>
        <w:rPr>
          <w:sz w:val="20"/>
          <w:szCs w:val="20"/>
          <w:color w:val="auto"/>
        </w:rPr>
      </w:pPr>
      <w:r>
        <w:rPr>
          <w:rFonts w:ascii="Arial" w:cs="Arial" w:eastAsia="Arial" w:hAnsi="Arial"/>
          <w:sz w:val="15"/>
          <w:szCs w:val="15"/>
          <w:color w:val="auto"/>
        </w:rPr>
        <w:t>Neither the approval of Proposal 6 nor the approval of Proposal 4 or Proposal 5 is conditioned on the approval of any of the others. If Proposal 6 is approved by the requisite vote of our stockholders, and thus our stockholders adopt the Corporate Opportunities Amendment, the Company will make a filing with the Delaware Secretary of State to effectuate the Corporate Opportunities Amendment. If Proposal 4 is not approved, such filing will consist of a certificate of amendment to our Charter reflecting the revisions contemplated by the Corporate Opportunities Amendment (and, if Proposal 5 is approved by the requisite vote of our stockholders, the Exculpation Amendment). If Proposal 4 is approved, such filing will consist of an amended and restated certificate of incorporation reflecting the revisions contemplated by the Majority Voting Amendment and all prior amendments to the Company’s Amended and Restated Incorporation as well as the Corporate Opportunities Amendment (and if Proposal 5 is approved by the requisite vote of our stockholders, the Exculpation Amendment). The Corporate Opportunities Amendment will become effective upon the filing of such certificate of amendment or the filing of such amended and restated certificate of incorporation, as applicable, with the Delaware Secretary of State, which is anticipated to occur promptly after the Annual Meeting. If our stockholders do not approve Proposal 6, no filing with the Delaware Secretary of State will be made effectuating the Corporate Opportunities Amendment, and Article X of our Charter will remain unchanged and will not be deleted from our Charter. Our Board reserves the right to abandon the Corporate Opportunities Amendment at any time before it becomes effective even if Proposal 6 is approved by the requisite vote of our stockholders.</w:t>
      </w:r>
    </w:p>
    <w:p>
      <w:pPr>
        <w:spacing w:after="0" w:line="273" w:lineRule="exact"/>
        <w:rPr>
          <w:sz w:val="20"/>
          <w:szCs w:val="20"/>
          <w:color w:val="auto"/>
        </w:rPr>
      </w:pPr>
    </w:p>
    <w:p>
      <w:pPr>
        <w:ind w:left="760"/>
        <w:spacing w:after="0"/>
        <w:rPr>
          <w:sz w:val="20"/>
          <w:szCs w:val="20"/>
          <w:color w:val="auto"/>
        </w:rPr>
      </w:pPr>
      <w:r>
        <w:rPr>
          <w:rFonts w:ascii="Arial" w:cs="Arial" w:eastAsia="Arial" w:hAnsi="Arial"/>
          <w:sz w:val="17"/>
          <w:szCs w:val="17"/>
          <w:color w:val="B95827"/>
        </w:rPr>
        <w:t>THE BOARD OF DIRECTORS RECOMMENDS A VOTE “FOR” THIS PROPOSAL.</w:t>
      </w:r>
    </w:p>
    <w:p>
      <w:pPr>
        <w:spacing w:after="0" w:line="3702" w:lineRule="exact"/>
        <w:rPr>
          <w:sz w:val="20"/>
          <w:szCs w:val="20"/>
          <w:color w:val="auto"/>
        </w:rPr>
      </w:pPr>
    </w:p>
    <w:p>
      <w:pPr>
        <w:sectPr>
          <w:pgSz w:w="11900" w:h="16838" w:orient="portrait"/>
          <w:cols w:equalWidth="0" w:num="2">
            <w:col w:w="2160" w:space="660"/>
            <w:col w:w="7800"/>
          </w:cols>
          <w:pgMar w:left="320" w:top="464" w:right="959" w:bottom="1440" w:gutter="0" w:footer="0" w:header="0"/>
        </w:sectPr>
      </w:pPr>
    </w:p>
    <w:p>
      <w:pPr>
        <w:spacing w:after="0" w:line="200" w:lineRule="exact"/>
        <w:rPr>
          <w:sz w:val="20"/>
          <w:szCs w:val="20"/>
          <w:color w:val="auto"/>
        </w:rPr>
      </w:pPr>
    </w:p>
    <w:p>
      <w:pPr>
        <w:spacing w:after="0" w:line="385" w:lineRule="exact"/>
        <w:rPr>
          <w:sz w:val="20"/>
          <w:szCs w:val="20"/>
          <w:color w:val="auto"/>
        </w:rPr>
      </w:pPr>
    </w:p>
    <w:p>
      <w:pPr>
        <w:ind w:left="420"/>
        <w:spacing w:after="0"/>
        <w:tabs>
          <w:tab w:leader="none" w:pos="2380" w:val="left"/>
          <w:tab w:leader="none" w:pos="2800" w:val="left"/>
        </w:tabs>
        <w:rPr>
          <w:sz w:val="20"/>
          <w:szCs w:val="20"/>
          <w:color w:val="auto"/>
        </w:rPr>
      </w:pPr>
      <w:r>
        <w:rPr>
          <w:rFonts w:ascii="Arial" w:cs="Arial" w:eastAsia="Arial" w:hAnsi="Arial"/>
          <w:sz w:val="30"/>
          <w:szCs w:val="30"/>
          <w:color w:val="000000"/>
          <w:vertAlign w:val="superscript"/>
        </w:rPr>
        <w:t xml:space="preserve">             </w:t>
      </w:r>
      <w:r>
        <w:rPr>
          <w:sz w:val="20"/>
          <w:szCs w:val="20"/>
          <w:color w:val="auto"/>
        </w:rPr>
        <w:tab/>
      </w:r>
      <w:r>
        <w:rPr>
          <w:rFonts w:ascii="Arial" w:cs="Arial" w:eastAsia="Arial" w:hAnsi="Arial"/>
          <w:sz w:val="31"/>
          <w:szCs w:val="31"/>
          <w:color w:val="auto"/>
          <w:vertAlign w:val="superscript"/>
        </w:rPr>
        <w:t xml:space="preserve">    </w:t>
      </w:r>
      <w:r>
        <w:rPr>
          <w:sz w:val="20"/>
          <w:szCs w:val="20"/>
          <w:color w:val="auto"/>
        </w:rPr>
        <w:tab/>
      </w:r>
      <w:r>
        <w:rPr>
          <w:rFonts w:ascii="Arial" w:cs="Arial" w:eastAsia="Arial" w:hAnsi="Arial"/>
          <w:sz w:val="15"/>
          <w:szCs w:val="15"/>
          <w:b w:val="1"/>
          <w:bCs w:val="1"/>
          <w:color w:val="002B5F"/>
        </w:rPr>
        <w:t xml:space="preserve">92  </w:t>
      </w:r>
      <w:r>
        <w:rPr>
          <w:rFonts w:ascii="Arial" w:cs="Arial" w:eastAsia="Arial" w:hAnsi="Arial"/>
          <w:sz w:val="20"/>
          <w:szCs w:val="20"/>
          <w:color w:val="002B5F"/>
        </w:rPr>
        <w:t>|</w:t>
      </w:r>
      <w:r>
        <w:rPr>
          <w:rFonts w:ascii="Arial" w:cs="Arial" w:eastAsia="Arial" w:hAnsi="Arial"/>
          <w:sz w:val="15"/>
          <w:szCs w:val="15"/>
          <w:b w:val="1"/>
          <w:bCs w:val="1"/>
          <w:color w:val="002B5F"/>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6111875</wp:posOffset>
            </wp:positionH>
            <wp:positionV relativeFrom="paragraph">
              <wp:posOffset>-208915</wp:posOffset>
            </wp:positionV>
            <wp:extent cx="769620" cy="971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69620" cy="97155"/>
                    </a:xfrm>
                    <a:prstGeom prst="rect">
                      <a:avLst/>
                    </a:prstGeom>
                    <a:noFill/>
                  </pic:spPr>
                </pic:pic>
              </a:graphicData>
            </a:graphic>
          </wp:anchor>
        </w:drawing>
      </w:r>
    </w:p>
    <w:p>
      <w:pPr>
        <w:sectPr>
          <w:pgSz w:w="11900" w:h="16838" w:orient="portrait"/>
          <w:cols w:equalWidth="0" w:num="1">
            <w:col w:w="10620"/>
          </w:cols>
          <w:pgMar w:left="320" w:top="464" w:right="959" w:bottom="1440" w:gutter="0" w:footer="0" w:header="0"/>
          <w:type w:val="continuous"/>
        </w:sectPr>
      </w:pPr>
    </w:p>
    <w:bookmarkStart w:id="100" w:name="page101"/>
    <w:bookmarkEnd w:id="10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5334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181215" cy="5334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5617845</wp:posOffset>
            </wp:positionH>
            <wp:positionV relativeFrom="paragraph">
              <wp:posOffset>253365</wp:posOffset>
            </wp:positionV>
            <wp:extent cx="1256030" cy="74720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1256030" cy="7472045"/>
                    </a:xfrm>
                    <a:prstGeom prst="rect">
                      <a:avLst/>
                    </a:prstGeom>
                    <a:noFill/>
                  </pic:spPr>
                </pic:pic>
              </a:graphicData>
            </a:graphic>
          </wp:anchor>
        </w:drawing>
      </w:r>
    </w:p>
    <w:p>
      <w:pPr>
        <w:spacing w:after="0" w:line="166" w:lineRule="exact"/>
        <w:rPr>
          <w:sz w:val="20"/>
          <w:szCs w:val="20"/>
          <w:color w:val="auto"/>
        </w:rPr>
      </w:pPr>
    </w:p>
    <w:tbl>
      <w:tblPr>
        <w:tblLayout w:type="fixed"/>
        <w:tblInd w:w="540" w:type="dxa"/>
        <w:tblCellMar>
          <w:top w:w="0" w:type="dxa"/>
          <w:left w:w="0" w:type="dxa"/>
          <w:bottom w:w="0" w:type="dxa"/>
          <w:right w:w="0" w:type="dxa"/>
        </w:tblCellMar>
      </w:tblPr>
      <w:tr>
        <w:trPr>
          <w:trHeight w:val="552"/>
        </w:trPr>
        <w:tc>
          <w:tcPr>
            <w:tcW w:w="7880" w:type="dxa"/>
            <w:vAlign w:val="bottom"/>
          </w:tcPr>
          <w:p>
            <w:pPr>
              <w:spacing w:after="0"/>
              <w:rPr>
                <w:sz w:val="20"/>
                <w:szCs w:val="20"/>
                <w:color w:val="auto"/>
              </w:rPr>
            </w:pPr>
            <w:r>
              <w:rPr>
                <w:rFonts w:ascii="Times New Roman" w:cs="Times New Roman" w:eastAsia="Times New Roman" w:hAnsi="Times New Roman"/>
                <w:sz w:val="48"/>
                <w:szCs w:val="48"/>
                <w:b w:val="1"/>
                <w:bCs w:val="1"/>
                <w:color w:val="002B5F"/>
              </w:rPr>
              <w:t>Stockholder Proposals and Other</w:t>
            </w:r>
          </w:p>
        </w:tc>
        <w:tc>
          <w:tcPr>
            <w:tcW w:w="660" w:type="dxa"/>
            <w:vAlign w:val="bottom"/>
            <w:vMerge w:val="restart"/>
          </w:tcPr>
          <w:p>
            <w:pPr>
              <w:ind w:left="460"/>
              <w:spacing w:after="0"/>
              <w:rPr>
                <w:sz w:val="20"/>
                <w:szCs w:val="20"/>
                <w:color w:val="auto"/>
              </w:rPr>
            </w:pPr>
            <w:r>
              <w:rPr>
                <w:rFonts w:ascii="Arial" w:cs="Arial" w:eastAsia="Arial" w:hAnsi="Arial"/>
                <w:sz w:val="15"/>
                <w:szCs w:val="15"/>
                <w:color w:val="auto"/>
              </w:rPr>
              <w:t> </w:t>
            </w:r>
          </w:p>
        </w:tc>
        <w:tc>
          <w:tcPr>
            <w:tcW w:w="1280" w:type="dxa"/>
            <w:vAlign w:val="bottom"/>
          </w:tcPr>
          <w:p>
            <w:pPr>
              <w:ind w:left="140"/>
              <w:spacing w:after="0"/>
              <w:rPr>
                <w:sz w:val="20"/>
                <w:szCs w:val="20"/>
                <w:color w:val="auto"/>
              </w:rPr>
            </w:pPr>
            <w:r>
              <w:rPr>
                <w:rFonts w:ascii="Arial" w:cs="Arial" w:eastAsia="Arial" w:hAnsi="Arial"/>
                <w:sz w:val="12"/>
                <w:szCs w:val="12"/>
                <w:color w:val="FFFFFF"/>
              </w:rPr>
              <w:t>Information</w:t>
            </w:r>
          </w:p>
        </w:tc>
        <w:tc>
          <w:tcPr>
            <w:tcW w:w="440" w:type="dxa"/>
            <w:vAlign w:val="bottom"/>
            <w:vMerge w:val="restart"/>
          </w:tcPr>
          <w:p>
            <w:pPr>
              <w:ind w:left="80"/>
              <w:spacing w:after="0"/>
              <w:rPr>
                <w:sz w:val="20"/>
                <w:szCs w:val="20"/>
                <w:color w:val="auto"/>
              </w:rPr>
            </w:pPr>
            <w:r>
              <w:rPr>
                <w:rFonts w:ascii="Arial" w:cs="Arial" w:eastAsia="Arial" w:hAnsi="Arial"/>
                <w:sz w:val="15"/>
                <w:szCs w:val="15"/>
                <w:color w:val="auto"/>
              </w:rPr>
              <w:t xml:space="preserve">       </w:t>
            </w:r>
          </w:p>
        </w:tc>
        <w:tc>
          <w:tcPr>
            <w:tcW w:w="0" w:type="dxa"/>
            <w:vAlign w:val="bottom"/>
          </w:tcPr>
          <w:p>
            <w:pPr>
              <w:spacing w:after="0"/>
              <w:rPr>
                <w:sz w:val="1"/>
                <w:szCs w:val="1"/>
                <w:color w:val="auto"/>
              </w:rPr>
            </w:pPr>
          </w:p>
        </w:tc>
      </w:tr>
      <w:tr>
        <w:trPr>
          <w:trHeight w:val="194"/>
        </w:trPr>
        <w:tc>
          <w:tcPr>
            <w:tcW w:w="7880" w:type="dxa"/>
            <w:vAlign w:val="bottom"/>
            <w:vMerge w:val="restart"/>
          </w:tcPr>
          <w:p>
            <w:pPr>
              <w:spacing w:after="0" w:line="421" w:lineRule="exact"/>
              <w:rPr>
                <w:sz w:val="20"/>
                <w:szCs w:val="20"/>
                <w:color w:val="auto"/>
              </w:rPr>
            </w:pPr>
            <w:r>
              <w:rPr>
                <w:rFonts w:ascii="Times New Roman" w:cs="Times New Roman" w:eastAsia="Times New Roman" w:hAnsi="Times New Roman"/>
                <w:sz w:val="48"/>
                <w:szCs w:val="48"/>
                <w:b w:val="1"/>
                <w:bCs w:val="1"/>
                <w:color w:val="002B5F"/>
              </w:rPr>
              <w:t>Matters</w:t>
            </w:r>
          </w:p>
        </w:tc>
        <w:tc>
          <w:tcPr>
            <w:tcW w:w="660" w:type="dxa"/>
            <w:vAlign w:val="bottom"/>
            <w:vMerge w:val="continue"/>
          </w:tcPr>
          <w:p>
            <w:pPr>
              <w:spacing w:after="0"/>
              <w:rPr>
                <w:sz w:val="16"/>
                <w:szCs w:val="16"/>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General</w:t>
            </w:r>
          </w:p>
        </w:tc>
        <w:tc>
          <w:tcPr>
            <w:tcW w:w="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788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Governance</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6"/>
        </w:trPr>
        <w:tc>
          <w:tcPr>
            <w:tcW w:w="78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80" w:type="dxa"/>
            <w:vAlign w:val="bottom"/>
          </w:tcPr>
          <w:p>
            <w:pPr>
              <w:ind w:left="140"/>
              <w:spacing w:after="0" w:line="116" w:lineRule="exact"/>
              <w:rPr>
                <w:sz w:val="20"/>
                <w:szCs w:val="20"/>
                <w:color w:val="auto"/>
              </w:rPr>
            </w:pPr>
            <w:r>
              <w:rPr>
                <w:rFonts w:ascii="Arial" w:cs="Arial" w:eastAsia="Arial" w:hAnsi="Arial"/>
                <w:sz w:val="12"/>
                <w:szCs w:val="12"/>
                <w:color w:val="FFFFFF"/>
              </w:rPr>
              <w:t>General Information</w:t>
            </w: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78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About Corporate</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7880" w:type="dxa"/>
            <w:vAlign w:val="bottom"/>
            <w:tcBorders>
              <w:bottom w:val="single" w:sz="8" w:color="auto"/>
            </w:tcBorders>
          </w:tcPr>
          <w:p>
            <w:pPr>
              <w:spacing w:after="0"/>
              <w:rPr>
                <w:sz w:val="17"/>
                <w:szCs w:val="17"/>
                <w:color w:val="auto"/>
              </w:rPr>
            </w:pPr>
          </w:p>
        </w:tc>
        <w:tc>
          <w:tcPr>
            <w:tcW w:w="660" w:type="dxa"/>
            <w:vAlign w:val="bottom"/>
          </w:tcPr>
          <w:p>
            <w:pPr>
              <w:spacing w:after="0"/>
              <w:rPr>
                <w:sz w:val="17"/>
                <w:szCs w:val="17"/>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and the Board of</w:t>
            </w: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8"/>
        </w:trPr>
        <w:tc>
          <w:tcPr>
            <w:tcW w:w="78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Directors</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6" w:lineRule="exact"/>
        <w:rPr>
          <w:sz w:val="20"/>
          <w:szCs w:val="20"/>
          <w:color w:val="auto"/>
        </w:rPr>
      </w:pPr>
    </w:p>
    <w:p>
      <w:pPr>
        <w:sectPr>
          <w:pgSz w:w="11900" w:h="16838" w:orient="portrait"/>
          <w:cols w:equalWidth="0" w:num="1">
            <w:col w:w="10800"/>
          </w:cols>
          <w:pgMar w:left="320" w:top="464" w:right="779" w:bottom="1440" w:gutter="0" w:footer="0" w:header="0"/>
        </w:sectPr>
      </w:pPr>
    </w:p>
    <w:p>
      <w:pPr>
        <w:ind w:left="540"/>
        <w:spacing w:after="0"/>
        <w:rPr>
          <w:sz w:val="20"/>
          <w:szCs w:val="20"/>
          <w:color w:val="auto"/>
        </w:rPr>
      </w:pPr>
      <w:r>
        <w:rPr>
          <w:rFonts w:ascii="Arial" w:cs="Arial" w:eastAsia="Arial" w:hAnsi="Arial"/>
          <w:sz w:val="24"/>
          <w:szCs w:val="24"/>
          <w:color w:val="B95827"/>
        </w:rPr>
        <w:t>Stockholder Proposals for Inclusion in 2027 Proxy Materials</w:t>
      </w:r>
    </w:p>
    <w:p>
      <w:pPr>
        <w:spacing w:after="0" w:line="117" w:lineRule="exact"/>
        <w:rPr>
          <w:sz w:val="20"/>
          <w:szCs w:val="20"/>
          <w:color w:val="auto"/>
        </w:rPr>
      </w:pPr>
    </w:p>
    <w:p>
      <w:pPr>
        <w:ind w:left="540" w:right="420"/>
        <w:spacing w:after="0" w:line="261" w:lineRule="auto"/>
        <w:rPr>
          <w:sz w:val="20"/>
          <w:szCs w:val="20"/>
          <w:color w:val="auto"/>
        </w:rPr>
      </w:pPr>
      <w:r>
        <w:rPr>
          <w:rFonts w:ascii="Arial" w:cs="Arial" w:eastAsia="Arial" w:hAnsi="Arial"/>
          <w:sz w:val="15"/>
          <w:szCs w:val="15"/>
          <w:color w:val="auto"/>
        </w:rPr>
        <w:t>To be eligible for inclusion in the proxy materials for our 2027 annual meeting, stockholder proposals must be received by our corporate secretary no later than Thursday, December 3, 2026. Proposals should be sent to the Board of Directors, care of Corporate Secretary, LPL Financial Holdings Inc., 1055 LPL Way, Fort Mill, South Carolina 29715, and follow the procedures required by SEC Rule 14a-8.</w:t>
      </w:r>
    </w:p>
    <w:p>
      <w:pPr>
        <w:spacing w:after="0" w:line="158" w:lineRule="exact"/>
        <w:rPr>
          <w:sz w:val="20"/>
          <w:szCs w:val="20"/>
          <w:color w:val="auto"/>
        </w:rPr>
      </w:pPr>
    </w:p>
    <w:p>
      <w:pPr>
        <w:ind w:left="540" w:right="520"/>
        <w:spacing w:after="0" w:line="278" w:lineRule="auto"/>
        <w:rPr>
          <w:sz w:val="20"/>
          <w:szCs w:val="20"/>
          <w:color w:val="auto"/>
        </w:rPr>
      </w:pPr>
      <w:r>
        <w:rPr>
          <w:rFonts w:ascii="Arial" w:cs="Arial" w:eastAsia="Arial" w:hAnsi="Arial"/>
          <w:sz w:val="24"/>
          <w:szCs w:val="24"/>
          <w:color w:val="B95827"/>
        </w:rPr>
        <w:t>Stockholder Director Nominations for Inclusion in 2027 Proxy Materials Using Proxy Access</w:t>
      </w:r>
    </w:p>
    <w:p>
      <w:pPr>
        <w:spacing w:after="0" w:line="35" w:lineRule="exact"/>
        <w:rPr>
          <w:sz w:val="20"/>
          <w:szCs w:val="20"/>
          <w:color w:val="auto"/>
        </w:rPr>
      </w:pPr>
    </w:p>
    <w:p>
      <w:pPr>
        <w:ind w:left="540" w:right="100"/>
        <w:spacing w:after="0" w:line="255" w:lineRule="auto"/>
        <w:rPr>
          <w:sz w:val="20"/>
          <w:szCs w:val="20"/>
          <w:color w:val="auto"/>
        </w:rPr>
      </w:pPr>
      <w:r>
        <w:rPr>
          <w:rFonts w:ascii="Arial" w:cs="Arial" w:eastAsia="Arial" w:hAnsi="Arial"/>
          <w:sz w:val="15"/>
          <w:szCs w:val="15"/>
          <w:color w:val="auto"/>
        </w:rPr>
        <w:t>Our bylaws provide for proxy access by permitting a stockholder, or a group of up to 20 stockholders, that has owned at least three percent of our Common Stock continuously for three years to nominate and include in the Company’s annual meeting proxy materials the greater of two directors or twenty percent of the Board, provided that the stockholders and nominees satisfy the requirements specified in the bylaws. In accordance with our bylaws, a stockholder or group of stockholders that wishes to nominate any director candidates using proxy access must provide a notice of proxy access nomination (containing the information specified in our bylaws regarding the stockholder and the nominee or nominees) to our corporate secretary:</w:t>
      </w:r>
    </w:p>
    <w:p>
      <w:pPr>
        <w:spacing w:after="0" w:line="83" w:lineRule="exact"/>
        <w:rPr>
          <w:sz w:val="20"/>
          <w:szCs w:val="20"/>
          <w:color w:val="auto"/>
        </w:rPr>
      </w:pPr>
    </w:p>
    <w:p>
      <w:pPr>
        <w:ind w:left="800" w:right="220" w:hanging="261"/>
        <w:spacing w:after="0" w:line="287" w:lineRule="auto"/>
        <w:tabs>
          <w:tab w:leader="none" w:pos="800" w:val="left"/>
        </w:tabs>
        <w:numPr>
          <w:ilvl w:val="0"/>
          <w:numId w:val="135"/>
        </w:numPr>
        <w:rPr>
          <w:rFonts w:ascii="Arial" w:cs="Arial" w:eastAsia="Arial" w:hAnsi="Arial"/>
          <w:sz w:val="15"/>
          <w:szCs w:val="15"/>
          <w:color w:val="auto"/>
        </w:rPr>
      </w:pPr>
      <w:r>
        <w:rPr>
          <w:rFonts w:ascii="Arial" w:cs="Arial" w:eastAsia="Arial" w:hAnsi="Arial"/>
          <w:sz w:val="15"/>
          <w:szCs w:val="15"/>
          <w:color w:val="auto"/>
        </w:rPr>
        <w:t>not less than 90 nor more than 120 days prior to the anniversary of the date that the Company issued its proxy statement for the previous year’s annual meeting of stockholders; or</w:t>
      </w:r>
    </w:p>
    <w:p>
      <w:pPr>
        <w:spacing w:after="0" w:line="59" w:lineRule="exact"/>
        <w:rPr>
          <w:rFonts w:ascii="Arial" w:cs="Arial" w:eastAsia="Arial" w:hAnsi="Arial"/>
          <w:sz w:val="15"/>
          <w:szCs w:val="15"/>
          <w:color w:val="auto"/>
        </w:rPr>
      </w:pPr>
    </w:p>
    <w:p>
      <w:pPr>
        <w:ind w:left="800" w:right="320" w:hanging="261"/>
        <w:spacing w:after="0" w:line="261" w:lineRule="auto"/>
        <w:tabs>
          <w:tab w:leader="none" w:pos="800" w:val="left"/>
        </w:tabs>
        <w:numPr>
          <w:ilvl w:val="0"/>
          <w:numId w:val="135"/>
        </w:numPr>
        <w:rPr>
          <w:rFonts w:ascii="Arial" w:cs="Arial" w:eastAsia="Arial" w:hAnsi="Arial"/>
          <w:sz w:val="15"/>
          <w:szCs w:val="15"/>
          <w:color w:val="auto"/>
        </w:rPr>
      </w:pPr>
      <w:r>
        <w:rPr>
          <w:rFonts w:ascii="Arial" w:cs="Arial" w:eastAsia="Arial" w:hAnsi="Arial"/>
          <w:sz w:val="15"/>
          <w:szCs w:val="15"/>
          <w:color w:val="auto"/>
        </w:rPr>
        <w:t>if the date of the annual meeting of stockholders is more than 30 days earlier or more than 60 days later than the anniversary date of the most recent annual meeting of stockholders, then not later than the close of business on the 10</w:t>
      </w:r>
      <w:r>
        <w:rPr>
          <w:rFonts w:ascii="Arial" w:cs="Arial" w:eastAsia="Arial" w:hAnsi="Arial"/>
          <w:sz w:val="22"/>
          <w:szCs w:val="22"/>
          <w:color w:val="auto"/>
          <w:vertAlign w:val="superscript"/>
        </w:rPr>
        <w:t>th</w:t>
      </w:r>
      <w:r>
        <w:rPr>
          <w:rFonts w:ascii="Arial" w:cs="Arial" w:eastAsia="Arial" w:hAnsi="Arial"/>
          <w:sz w:val="15"/>
          <w:szCs w:val="15"/>
          <w:color w:val="auto"/>
        </w:rPr>
        <w:t xml:space="preserve"> day after public announcement of the meeting date.</w:t>
      </w:r>
    </w:p>
    <w:p>
      <w:pPr>
        <w:spacing w:after="0" w:line="2" w:lineRule="exact"/>
        <w:rPr>
          <w:sz w:val="20"/>
          <w:szCs w:val="20"/>
          <w:color w:val="auto"/>
        </w:rPr>
      </w:pPr>
    </w:p>
    <w:p>
      <w:pPr>
        <w:jc w:val="both"/>
        <w:ind w:left="540" w:right="100"/>
        <w:spacing w:after="0" w:line="258" w:lineRule="auto"/>
        <w:rPr>
          <w:sz w:val="20"/>
          <w:szCs w:val="20"/>
          <w:color w:val="auto"/>
        </w:rPr>
      </w:pPr>
      <w:r>
        <w:rPr>
          <w:rFonts w:ascii="Arial" w:cs="Arial" w:eastAsia="Arial" w:hAnsi="Arial"/>
          <w:sz w:val="15"/>
          <w:szCs w:val="15"/>
          <w:color w:val="auto"/>
        </w:rPr>
        <w:t>Accordingly, to comply with the above requirements and the SEC’s universal proxy rules and therefore be eligible for inclusion in the proxy materials for our 2027 annual meeting, a notice of proxy access nomination must be received no earlier than Thursday, December 3, 2026 and no later than Saturday, January 2, 2027.</w:t>
      </w:r>
    </w:p>
    <w:p>
      <w:pPr>
        <w:spacing w:after="0" w:line="160" w:lineRule="exact"/>
        <w:rPr>
          <w:sz w:val="20"/>
          <w:szCs w:val="20"/>
          <w:color w:val="auto"/>
        </w:rPr>
      </w:pPr>
    </w:p>
    <w:p>
      <w:pPr>
        <w:jc w:val="both"/>
        <w:ind w:left="540" w:right="500"/>
        <w:spacing w:after="0" w:line="261" w:lineRule="auto"/>
        <w:rPr>
          <w:sz w:val="20"/>
          <w:szCs w:val="20"/>
          <w:color w:val="auto"/>
        </w:rPr>
      </w:pPr>
      <w:r>
        <w:rPr>
          <w:rFonts w:ascii="Arial" w:cs="Arial" w:eastAsia="Arial" w:hAnsi="Arial"/>
          <w:sz w:val="24"/>
          <w:szCs w:val="24"/>
          <w:color w:val="B95827"/>
        </w:rPr>
        <w:t>Stockholder Director Nominations and Other Stockholder Proposals for Presentation at the 2027 Annual Meeting, but not for Inclusion in Proxy Statement</w:t>
      </w:r>
    </w:p>
    <w:p>
      <w:pPr>
        <w:spacing w:after="0" w:line="54" w:lineRule="exact"/>
        <w:rPr>
          <w:sz w:val="20"/>
          <w:szCs w:val="20"/>
          <w:color w:val="auto"/>
        </w:rPr>
      </w:pPr>
    </w:p>
    <w:p>
      <w:pPr>
        <w:ind w:left="540" w:right="140"/>
        <w:spacing w:after="0" w:line="254" w:lineRule="auto"/>
        <w:rPr>
          <w:sz w:val="20"/>
          <w:szCs w:val="20"/>
          <w:color w:val="auto"/>
        </w:rPr>
      </w:pPr>
      <w:r>
        <w:rPr>
          <w:rFonts w:ascii="Arial" w:cs="Arial" w:eastAsia="Arial" w:hAnsi="Arial"/>
          <w:sz w:val="15"/>
          <w:szCs w:val="15"/>
          <w:color w:val="auto"/>
        </w:rPr>
        <w:t>In accordance with our bylaws, written notice of stockholder nominations to the Board of Directors and any other business proposed by a stockholder that is not to be included in the proxy statement must be delivered to our corporate secretary not less than 90 nor more than 120 days prior to the anniversary of the preceding year’s annual meeting. Accordingly, to comply with these requirements and the SEC’s universal proxy rules, any stockholder who wishes to have a director nomination or other business considered at the 2027 annual meeting that is not to be included in the proxy statement must deliver a written notice (containing the information specified in our bylaws regarding the stockholder and the proposed action) to our corporate secretary between Thursday, January 14, 2027 and Saturday, February 13, 2027.</w:t>
      </w:r>
    </w:p>
    <w:p>
      <w:pPr>
        <w:spacing w:after="0" w:line="71" w:lineRule="exact"/>
        <w:rPr>
          <w:sz w:val="20"/>
          <w:szCs w:val="20"/>
          <w:color w:val="auto"/>
        </w:rPr>
      </w:pPr>
    </w:p>
    <w:p>
      <w:pPr>
        <w:ind w:left="540" w:right="300"/>
        <w:spacing w:after="0" w:line="258" w:lineRule="auto"/>
        <w:rPr>
          <w:sz w:val="20"/>
          <w:szCs w:val="20"/>
          <w:color w:val="auto"/>
        </w:rPr>
      </w:pPr>
      <w:r>
        <w:rPr>
          <w:rFonts w:ascii="Arial" w:cs="Arial" w:eastAsia="Arial" w:hAnsi="Arial"/>
          <w:sz w:val="15"/>
          <w:szCs w:val="15"/>
          <w:color w:val="auto"/>
        </w:rPr>
        <w:t>SEC rules permit management to vote proxies in its discretion with respect to such matters if we advise stockholders how management intends to vote. Management knows of no matter to be brought before the Annual Meeting that is not referred to in the Notice. If any other matters properly come before the Annual Meeting, we intend that the shares represented by proxy will be voted with respect thereto in accordance with the judgment of the persons voting them.</w:t>
      </w:r>
    </w:p>
    <w:p>
      <w:pPr>
        <w:spacing w:after="0" w:line="20" w:lineRule="exact"/>
        <w:rPr>
          <w:sz w:val="20"/>
          <w:szCs w:val="20"/>
          <w:color w:val="auto"/>
        </w:rPr>
      </w:pPr>
      <w:r>
        <w:rPr>
          <w:sz w:val="20"/>
          <w:szCs w:val="20"/>
          <w:color w:val="auto"/>
        </w:rPr>
        <w:br w:type="column"/>
      </w:r>
    </w:p>
    <w:p>
      <w:pPr>
        <w:spacing w:after="0" w:line="100" w:lineRule="exact"/>
        <w:rPr>
          <w:sz w:val="20"/>
          <w:szCs w:val="20"/>
          <w:color w:val="auto"/>
        </w:rPr>
      </w:pPr>
    </w:p>
    <w:p>
      <w:pPr>
        <w:spacing w:after="0"/>
        <w:rPr>
          <w:sz w:val="20"/>
          <w:szCs w:val="20"/>
          <w:color w:val="auto"/>
        </w:rPr>
      </w:pPr>
      <w:r>
        <w:rPr>
          <w:rFonts w:ascii="Arial" w:cs="Arial" w:eastAsia="Arial" w:hAnsi="Arial"/>
          <w:sz w:val="12"/>
          <w:szCs w:val="12"/>
          <w:color w:val="FFFFFF"/>
        </w:rPr>
        <w:t>Proposal 1</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FFFFFF"/>
        </w:rPr>
        <w:t>Information</w:t>
      </w:r>
    </w:p>
    <w:p>
      <w:pPr>
        <w:spacing w:after="0" w:line="224" w:lineRule="auto"/>
        <w:rPr>
          <w:sz w:val="20"/>
          <w:szCs w:val="20"/>
          <w:color w:val="auto"/>
        </w:rPr>
      </w:pPr>
      <w:r>
        <w:rPr>
          <w:rFonts w:ascii="Arial" w:cs="Arial" w:eastAsia="Arial" w:hAnsi="Arial"/>
          <w:sz w:val="12"/>
          <w:szCs w:val="12"/>
          <w:color w:val="FFFFFF"/>
        </w:rPr>
        <w:t>Regarding Board</w:t>
      </w:r>
    </w:p>
    <w:p>
      <w:pPr>
        <w:spacing w:after="0" w:line="222" w:lineRule="auto"/>
        <w:rPr>
          <w:sz w:val="20"/>
          <w:szCs w:val="20"/>
          <w:color w:val="auto"/>
        </w:rPr>
      </w:pPr>
      <w:r>
        <w:rPr>
          <w:rFonts w:ascii="Arial" w:cs="Arial" w:eastAsia="Arial" w:hAnsi="Arial"/>
          <w:sz w:val="12"/>
          <w:szCs w:val="12"/>
          <w:color w:val="FFFFFF"/>
        </w:rPr>
        <w:t>and Committee</w:t>
      </w:r>
    </w:p>
    <w:p>
      <w:pPr>
        <w:spacing w:after="0"/>
        <w:rPr>
          <w:sz w:val="20"/>
          <w:szCs w:val="20"/>
          <w:color w:val="auto"/>
        </w:rPr>
      </w:pPr>
      <w:r>
        <w:rPr>
          <w:rFonts w:ascii="Arial" w:cs="Arial" w:eastAsia="Arial" w:hAnsi="Arial"/>
          <w:sz w:val="12"/>
          <w:szCs w:val="12"/>
          <w:color w:val="FFFFFF"/>
        </w:rPr>
        <w:t>Structure</w:t>
      </w:r>
    </w:p>
    <w:p>
      <w:pPr>
        <w:spacing w:after="0" w:line="144" w:lineRule="exact"/>
        <w:rPr>
          <w:sz w:val="20"/>
          <w:szCs w:val="20"/>
          <w:color w:val="auto"/>
        </w:rPr>
      </w:pPr>
    </w:p>
    <w:p>
      <w:pPr>
        <w:spacing w:after="0"/>
        <w:rPr>
          <w:sz w:val="20"/>
          <w:szCs w:val="20"/>
          <w:color w:val="auto"/>
        </w:rPr>
      </w:pPr>
      <w:r>
        <w:rPr>
          <w:rFonts w:ascii="Arial" w:cs="Arial" w:eastAsia="Arial" w:hAnsi="Arial"/>
          <w:sz w:val="11"/>
          <w:szCs w:val="11"/>
          <w:color w:val="FFFFFF"/>
        </w:rPr>
        <w:t>Board of Directors</w:t>
      </w:r>
    </w:p>
    <w:p>
      <w:pPr>
        <w:spacing w:after="0" w:line="13" w:lineRule="exact"/>
        <w:rPr>
          <w:sz w:val="20"/>
          <w:szCs w:val="20"/>
          <w:color w:val="auto"/>
        </w:rPr>
      </w:pPr>
    </w:p>
    <w:p>
      <w:pPr>
        <w:spacing w:after="0"/>
        <w:rPr>
          <w:sz w:val="20"/>
          <w:szCs w:val="20"/>
          <w:color w:val="auto"/>
        </w:rPr>
      </w:pPr>
      <w:r>
        <w:rPr>
          <w:rFonts w:ascii="Arial" w:cs="Arial" w:eastAsia="Arial" w:hAnsi="Arial"/>
          <w:sz w:val="12"/>
          <w:szCs w:val="12"/>
          <w:color w:val="FFFFFF"/>
        </w:rPr>
        <w:t>Compensation</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Compensation</w:t>
      </w:r>
    </w:p>
    <w:p>
      <w:pPr>
        <w:spacing w:after="0" w:line="224" w:lineRule="auto"/>
        <w:rPr>
          <w:sz w:val="20"/>
          <w:szCs w:val="20"/>
          <w:color w:val="auto"/>
        </w:rPr>
      </w:pPr>
      <w:r>
        <w:rPr>
          <w:rFonts w:ascii="Arial" w:cs="Arial" w:eastAsia="Arial" w:hAnsi="Arial"/>
          <w:sz w:val="12"/>
          <w:szCs w:val="12"/>
          <w:color w:val="FFFFFF"/>
        </w:rPr>
        <w:t>Discussion and</w:t>
      </w:r>
    </w:p>
    <w:p>
      <w:pPr>
        <w:spacing w:after="0"/>
        <w:rPr>
          <w:sz w:val="20"/>
          <w:szCs w:val="20"/>
          <w:color w:val="auto"/>
        </w:rPr>
      </w:pPr>
      <w:r>
        <w:rPr>
          <w:rFonts w:ascii="Arial" w:cs="Arial" w:eastAsia="Arial" w:hAnsi="Arial"/>
          <w:sz w:val="12"/>
          <w:szCs w:val="12"/>
          <w:color w:val="FFFFFF"/>
        </w:rPr>
        <w:t>Analysis</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Report of the</w:t>
      </w:r>
    </w:p>
    <w:p>
      <w:pPr>
        <w:spacing w:after="0" w:line="224" w:lineRule="auto"/>
        <w:rPr>
          <w:sz w:val="20"/>
          <w:szCs w:val="20"/>
          <w:color w:val="auto"/>
        </w:rPr>
      </w:pPr>
      <w:r>
        <w:rPr>
          <w:rFonts w:ascii="Arial" w:cs="Arial" w:eastAsia="Arial" w:hAnsi="Arial"/>
          <w:sz w:val="12"/>
          <w:szCs w:val="12"/>
          <w:color w:val="FFFFFF"/>
        </w:rPr>
        <w:t>Compensation</w:t>
      </w:r>
    </w:p>
    <w:p>
      <w:pPr>
        <w:spacing w:after="0" w:line="222" w:lineRule="auto"/>
        <w:rPr>
          <w:sz w:val="20"/>
          <w:szCs w:val="20"/>
          <w:color w:val="auto"/>
        </w:rPr>
      </w:pPr>
      <w:r>
        <w:rPr>
          <w:rFonts w:ascii="Arial" w:cs="Arial" w:eastAsia="Arial" w:hAnsi="Arial"/>
          <w:sz w:val="12"/>
          <w:szCs w:val="12"/>
          <w:color w:val="FFFFFF"/>
        </w:rPr>
        <w:t>and Human</w:t>
      </w:r>
    </w:p>
    <w:p>
      <w:pPr>
        <w:spacing w:after="0" w:line="222" w:lineRule="auto"/>
        <w:rPr>
          <w:sz w:val="20"/>
          <w:szCs w:val="20"/>
          <w:color w:val="auto"/>
        </w:rPr>
      </w:pPr>
      <w:r>
        <w:rPr>
          <w:rFonts w:ascii="Arial" w:cs="Arial" w:eastAsia="Arial" w:hAnsi="Arial"/>
          <w:sz w:val="12"/>
          <w:szCs w:val="12"/>
          <w:color w:val="FFFFFF"/>
        </w:rPr>
        <w:t>Resources</w:t>
      </w:r>
    </w:p>
    <w:p>
      <w:pPr>
        <w:spacing w:after="0" w:line="222" w:lineRule="auto"/>
        <w:rPr>
          <w:sz w:val="20"/>
          <w:szCs w:val="20"/>
          <w:color w:val="auto"/>
        </w:rPr>
      </w:pPr>
      <w:r>
        <w:rPr>
          <w:rFonts w:ascii="Arial" w:cs="Arial" w:eastAsia="Arial" w:hAnsi="Arial"/>
          <w:sz w:val="12"/>
          <w:szCs w:val="12"/>
          <w:color w:val="FFFFFF"/>
        </w:rPr>
        <w:t>Committee of the</w:t>
      </w:r>
    </w:p>
    <w:p>
      <w:pPr>
        <w:spacing w:after="0"/>
        <w:rPr>
          <w:sz w:val="20"/>
          <w:szCs w:val="20"/>
          <w:color w:val="auto"/>
        </w:rPr>
      </w:pPr>
      <w:r>
        <w:rPr>
          <w:rFonts w:ascii="Arial" w:cs="Arial" w:eastAsia="Arial" w:hAnsi="Arial"/>
          <w:sz w:val="11"/>
          <w:szCs w:val="11"/>
          <w:color w:val="FFFFFF"/>
        </w:rPr>
        <w:t>Board of Directors</w:t>
      </w:r>
    </w:p>
    <w:p>
      <w:pPr>
        <w:spacing w:after="0" w:line="155" w:lineRule="exact"/>
        <w:rPr>
          <w:sz w:val="20"/>
          <w:szCs w:val="20"/>
          <w:color w:val="auto"/>
        </w:rPr>
      </w:pPr>
    </w:p>
    <w:p>
      <w:pPr>
        <w:spacing w:after="0"/>
        <w:rPr>
          <w:sz w:val="20"/>
          <w:szCs w:val="20"/>
          <w:color w:val="auto"/>
        </w:rPr>
      </w:pPr>
      <w:r>
        <w:rPr>
          <w:rFonts w:ascii="Arial" w:cs="Arial" w:eastAsia="Arial" w:hAnsi="Arial"/>
          <w:sz w:val="12"/>
          <w:szCs w:val="12"/>
          <w:color w:val="FFFFFF"/>
        </w:rPr>
        <w:t>Compensation of</w:t>
      </w:r>
    </w:p>
    <w:p>
      <w:pPr>
        <w:spacing w:after="0" w:line="224" w:lineRule="auto"/>
        <w:rPr>
          <w:sz w:val="20"/>
          <w:szCs w:val="20"/>
          <w:color w:val="auto"/>
        </w:rPr>
      </w:pPr>
      <w:r>
        <w:rPr>
          <w:rFonts w:ascii="Arial" w:cs="Arial" w:eastAsia="Arial" w:hAnsi="Arial"/>
          <w:sz w:val="12"/>
          <w:szCs w:val="12"/>
          <w:color w:val="FFFFFF"/>
        </w:rPr>
        <w:t>Named Executive</w:t>
      </w:r>
    </w:p>
    <w:p>
      <w:pPr>
        <w:spacing w:after="0"/>
        <w:rPr>
          <w:sz w:val="20"/>
          <w:szCs w:val="20"/>
          <w:color w:val="auto"/>
        </w:rPr>
      </w:pPr>
      <w:r>
        <w:rPr>
          <w:rFonts w:ascii="Arial" w:cs="Arial" w:eastAsia="Arial" w:hAnsi="Arial"/>
          <w:sz w:val="12"/>
          <w:szCs w:val="12"/>
          <w:color w:val="FFFFFF"/>
        </w:rPr>
        <w:t>Officers</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Pay Versus</w:t>
      </w:r>
    </w:p>
    <w:p>
      <w:pPr>
        <w:spacing w:after="0" w:line="224" w:lineRule="auto"/>
        <w:rPr>
          <w:sz w:val="20"/>
          <w:szCs w:val="20"/>
          <w:color w:val="auto"/>
        </w:rPr>
      </w:pPr>
      <w:r>
        <w:rPr>
          <w:rFonts w:ascii="Arial" w:cs="Arial" w:eastAsia="Arial" w:hAnsi="Arial"/>
          <w:sz w:val="12"/>
          <w:szCs w:val="12"/>
          <w:color w:val="FFFFFF"/>
        </w:rPr>
        <w:t>Performance</w:t>
      </w:r>
    </w:p>
    <w:p>
      <w:pPr>
        <w:spacing w:after="0"/>
        <w:rPr>
          <w:sz w:val="20"/>
          <w:szCs w:val="20"/>
          <w:color w:val="auto"/>
        </w:rPr>
      </w:pPr>
      <w:r>
        <w:rPr>
          <w:rFonts w:ascii="Arial" w:cs="Arial" w:eastAsia="Arial" w:hAnsi="Arial"/>
          <w:sz w:val="12"/>
          <w:szCs w:val="12"/>
          <w:color w:val="FFFFFF"/>
        </w:rPr>
        <w:t>Disclosure</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Security</w:t>
      </w:r>
    </w:p>
    <w:p>
      <w:pPr>
        <w:spacing w:after="0" w:line="224" w:lineRule="auto"/>
        <w:rPr>
          <w:sz w:val="20"/>
          <w:szCs w:val="20"/>
          <w:color w:val="auto"/>
        </w:rPr>
      </w:pPr>
      <w:r>
        <w:rPr>
          <w:rFonts w:ascii="Arial" w:cs="Arial" w:eastAsia="Arial" w:hAnsi="Arial"/>
          <w:sz w:val="12"/>
          <w:szCs w:val="12"/>
          <w:color w:val="FFFFFF"/>
        </w:rPr>
        <w:t>Ownership of</w:t>
      </w:r>
    </w:p>
    <w:p>
      <w:pPr>
        <w:spacing w:after="0" w:line="222" w:lineRule="auto"/>
        <w:rPr>
          <w:sz w:val="20"/>
          <w:szCs w:val="20"/>
          <w:color w:val="auto"/>
        </w:rPr>
      </w:pPr>
      <w:r>
        <w:rPr>
          <w:rFonts w:ascii="Arial" w:cs="Arial" w:eastAsia="Arial" w:hAnsi="Arial"/>
          <w:sz w:val="12"/>
          <w:szCs w:val="12"/>
          <w:color w:val="FFFFFF"/>
        </w:rPr>
        <w:t>Certain Beneficial</w:t>
      </w:r>
    </w:p>
    <w:p>
      <w:pPr>
        <w:spacing w:after="0" w:line="222" w:lineRule="auto"/>
        <w:rPr>
          <w:sz w:val="20"/>
          <w:szCs w:val="20"/>
          <w:color w:val="auto"/>
        </w:rPr>
      </w:pPr>
      <w:r>
        <w:rPr>
          <w:rFonts w:ascii="Arial" w:cs="Arial" w:eastAsia="Arial" w:hAnsi="Arial"/>
          <w:sz w:val="12"/>
          <w:szCs w:val="12"/>
          <w:color w:val="FFFFFF"/>
        </w:rPr>
        <w:t>Owners and</w:t>
      </w:r>
    </w:p>
    <w:p>
      <w:pPr>
        <w:spacing w:after="0"/>
        <w:rPr>
          <w:sz w:val="20"/>
          <w:szCs w:val="20"/>
          <w:color w:val="auto"/>
        </w:rPr>
      </w:pPr>
      <w:r>
        <w:rPr>
          <w:rFonts w:ascii="Arial" w:cs="Arial" w:eastAsia="Arial" w:hAnsi="Arial"/>
          <w:sz w:val="12"/>
          <w:szCs w:val="12"/>
          <w:color w:val="FFFFFF"/>
        </w:rPr>
        <w:t>Management</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Certain</w:t>
      </w:r>
    </w:p>
    <w:p>
      <w:pPr>
        <w:spacing w:after="0" w:line="224" w:lineRule="auto"/>
        <w:rPr>
          <w:sz w:val="20"/>
          <w:szCs w:val="20"/>
          <w:color w:val="auto"/>
        </w:rPr>
      </w:pPr>
      <w:r>
        <w:rPr>
          <w:rFonts w:ascii="Arial" w:cs="Arial" w:eastAsia="Arial" w:hAnsi="Arial"/>
          <w:sz w:val="12"/>
          <w:szCs w:val="12"/>
          <w:color w:val="FFFFFF"/>
        </w:rPr>
        <w:t>Relationships and</w:t>
      </w:r>
    </w:p>
    <w:p>
      <w:pPr>
        <w:spacing w:after="0" w:line="222" w:lineRule="auto"/>
        <w:rPr>
          <w:sz w:val="20"/>
          <w:szCs w:val="20"/>
          <w:color w:val="auto"/>
        </w:rPr>
      </w:pPr>
      <w:r>
        <w:rPr>
          <w:rFonts w:ascii="Arial" w:cs="Arial" w:eastAsia="Arial" w:hAnsi="Arial"/>
          <w:sz w:val="12"/>
          <w:szCs w:val="12"/>
          <w:color w:val="FFFFFF"/>
        </w:rPr>
        <w:t>Related Party</w:t>
      </w:r>
    </w:p>
    <w:p>
      <w:pPr>
        <w:spacing w:after="0"/>
        <w:rPr>
          <w:sz w:val="20"/>
          <w:szCs w:val="20"/>
          <w:color w:val="auto"/>
        </w:rPr>
      </w:pPr>
      <w:r>
        <w:rPr>
          <w:rFonts w:ascii="Arial" w:cs="Arial" w:eastAsia="Arial" w:hAnsi="Arial"/>
          <w:sz w:val="12"/>
          <w:szCs w:val="12"/>
          <w:color w:val="FFFFFF"/>
        </w:rPr>
        <w:t>Transactions</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Proposal 2</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FFFFFF"/>
        </w:rPr>
        <w:t>Report of the</w:t>
      </w:r>
    </w:p>
    <w:p>
      <w:pPr>
        <w:spacing w:after="0" w:line="224" w:lineRule="auto"/>
        <w:rPr>
          <w:sz w:val="20"/>
          <w:szCs w:val="20"/>
          <w:color w:val="auto"/>
        </w:rPr>
      </w:pPr>
      <w:r>
        <w:rPr>
          <w:rFonts w:ascii="Arial" w:cs="Arial" w:eastAsia="Arial" w:hAnsi="Arial"/>
          <w:sz w:val="12"/>
          <w:szCs w:val="12"/>
          <w:color w:val="FFFFFF"/>
        </w:rPr>
        <w:t>Audit and Risk</w:t>
      </w:r>
    </w:p>
    <w:p>
      <w:pPr>
        <w:spacing w:after="0" w:line="222" w:lineRule="auto"/>
        <w:rPr>
          <w:sz w:val="20"/>
          <w:szCs w:val="20"/>
          <w:color w:val="auto"/>
        </w:rPr>
      </w:pPr>
      <w:r>
        <w:rPr>
          <w:rFonts w:ascii="Arial" w:cs="Arial" w:eastAsia="Arial" w:hAnsi="Arial"/>
          <w:sz w:val="12"/>
          <w:szCs w:val="12"/>
          <w:color w:val="FFFFFF"/>
        </w:rPr>
        <w:t>Committee of the</w:t>
      </w:r>
    </w:p>
    <w:p>
      <w:pPr>
        <w:spacing w:after="0"/>
        <w:rPr>
          <w:sz w:val="20"/>
          <w:szCs w:val="20"/>
          <w:color w:val="auto"/>
        </w:rPr>
      </w:pPr>
      <w:r>
        <w:rPr>
          <w:rFonts w:ascii="Arial" w:cs="Arial" w:eastAsia="Arial" w:hAnsi="Arial"/>
          <w:sz w:val="11"/>
          <w:szCs w:val="11"/>
          <w:color w:val="FFFFFF"/>
        </w:rPr>
        <w:t>Board of Directors</w:t>
      </w:r>
    </w:p>
    <w:p>
      <w:pPr>
        <w:spacing w:after="0" w:line="155" w:lineRule="exact"/>
        <w:rPr>
          <w:sz w:val="20"/>
          <w:szCs w:val="20"/>
          <w:color w:val="auto"/>
        </w:rPr>
      </w:pPr>
    </w:p>
    <w:p>
      <w:pPr>
        <w:spacing w:after="0"/>
        <w:rPr>
          <w:sz w:val="20"/>
          <w:szCs w:val="20"/>
          <w:color w:val="auto"/>
        </w:rPr>
      </w:pPr>
      <w:r>
        <w:rPr>
          <w:rFonts w:ascii="Arial" w:cs="Arial" w:eastAsia="Arial" w:hAnsi="Arial"/>
          <w:sz w:val="12"/>
          <w:szCs w:val="12"/>
          <w:color w:val="FFFFFF"/>
        </w:rPr>
        <w:t>Proposal 3</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FFFFFF"/>
        </w:rPr>
        <w:t>Proposal 4</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FFFFFF"/>
        </w:rPr>
        <w:t>Proposal 5</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FFFFFF"/>
        </w:rPr>
        <w:t>Proposal 6</w:t>
      </w:r>
    </w:p>
    <w:p>
      <w:pPr>
        <w:spacing w:after="0" w:line="156" w:lineRule="exact"/>
        <w:rPr>
          <w:sz w:val="20"/>
          <w:szCs w:val="20"/>
          <w:color w:val="auto"/>
        </w:rPr>
      </w:pPr>
    </w:p>
    <w:p>
      <w:pPr>
        <w:ind w:right="760"/>
        <w:spacing w:after="0" w:line="277" w:lineRule="auto"/>
        <w:rPr>
          <w:sz w:val="20"/>
          <w:szCs w:val="20"/>
          <w:color w:val="auto"/>
        </w:rPr>
      </w:pPr>
      <w:r>
        <w:rPr>
          <w:rFonts w:ascii="Arial" w:cs="Arial" w:eastAsia="Arial" w:hAnsi="Arial"/>
          <w:sz w:val="11"/>
          <w:szCs w:val="11"/>
          <w:b w:val="1"/>
          <w:bCs w:val="1"/>
          <w:color w:val="FFFFFF"/>
        </w:rPr>
        <w:t>Stockholder Proposals and Other Matters</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color w:val="FFFFFF"/>
        </w:rPr>
        <w:t>Delinquent</w:t>
      </w:r>
    </w:p>
    <w:p>
      <w:pPr>
        <w:spacing w:after="0" w:line="224" w:lineRule="auto"/>
        <w:rPr>
          <w:sz w:val="20"/>
          <w:szCs w:val="20"/>
          <w:color w:val="auto"/>
        </w:rPr>
      </w:pPr>
      <w:r>
        <w:rPr>
          <w:rFonts w:ascii="Arial" w:cs="Arial" w:eastAsia="Arial" w:hAnsi="Arial"/>
          <w:sz w:val="12"/>
          <w:szCs w:val="12"/>
          <w:color w:val="FFFFFF"/>
        </w:rPr>
        <w:t>Section 16(a)</w:t>
      </w:r>
    </w:p>
    <w:p>
      <w:pPr>
        <w:spacing w:after="0"/>
        <w:rPr>
          <w:sz w:val="20"/>
          <w:szCs w:val="20"/>
          <w:color w:val="auto"/>
        </w:rPr>
      </w:pPr>
      <w:r>
        <w:rPr>
          <w:rFonts w:ascii="Arial" w:cs="Arial" w:eastAsia="Arial" w:hAnsi="Arial"/>
          <w:sz w:val="12"/>
          <w:szCs w:val="12"/>
          <w:color w:val="FFFFFF"/>
        </w:rPr>
        <w:t>Reports</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Other</w:t>
      </w:r>
    </w:p>
    <w:p>
      <w:pPr>
        <w:spacing w:after="0" w:line="2" w:lineRule="exact"/>
        <w:rPr>
          <w:sz w:val="20"/>
          <w:szCs w:val="20"/>
          <w:color w:val="auto"/>
        </w:rPr>
      </w:pPr>
    </w:p>
    <w:p>
      <w:pPr>
        <w:spacing w:after="0"/>
        <w:rPr>
          <w:sz w:val="20"/>
          <w:szCs w:val="20"/>
          <w:color w:val="auto"/>
        </w:rPr>
      </w:pPr>
      <w:r>
        <w:rPr>
          <w:rFonts w:ascii="Arial" w:cs="Arial" w:eastAsia="Arial" w:hAnsi="Arial"/>
          <w:sz w:val="12"/>
          <w:szCs w:val="12"/>
          <w:color w:val="FFFFFF"/>
        </w:rPr>
        <w:t>Information</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Appendix A</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FFFFFF"/>
        </w:rPr>
        <w:t>Appendix B</w:t>
      </w:r>
    </w:p>
    <w:p>
      <w:pPr>
        <w:spacing w:after="0" w:line="200" w:lineRule="exact"/>
        <w:rPr>
          <w:sz w:val="20"/>
          <w:szCs w:val="20"/>
          <w:color w:val="auto"/>
        </w:rPr>
      </w:pPr>
    </w:p>
    <w:p>
      <w:pPr>
        <w:sectPr>
          <w:pgSz w:w="11900" w:h="16838" w:orient="portrait"/>
          <w:cols w:equalWidth="0" w:num="2">
            <w:col w:w="8500" w:space="720"/>
            <w:col w:w="1580"/>
          </w:cols>
          <w:pgMar w:left="320" w:top="464" w:right="7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6380"/>
        <w:spacing w:after="0"/>
        <w:tabs>
          <w:tab w:leader="none" w:pos="8500" w:val="left"/>
          <w:tab w:leader="none" w:pos="9960" w:val="left"/>
        </w:tabs>
        <w:rPr>
          <w:sz w:val="20"/>
          <w:szCs w:val="20"/>
          <w:color w:val="auto"/>
        </w:rPr>
      </w:pPr>
      <w:r>
        <w:rPr>
          <w:rFonts w:ascii="Arial" w:cs="Arial" w:eastAsia="Arial" w:hAnsi="Arial"/>
          <w:sz w:val="15"/>
          <w:szCs w:val="15"/>
          <w:b w:val="1"/>
          <w:bCs w:val="1"/>
          <w:color w:val="002B5F"/>
        </w:rPr>
        <w:t xml:space="preserve">2026 Proxy Statement  </w:t>
      </w:r>
      <w:r>
        <w:rPr>
          <w:rFonts w:ascii="Arial" w:cs="Arial" w:eastAsia="Arial" w:hAnsi="Arial"/>
          <w:sz w:val="20"/>
          <w:szCs w:val="20"/>
          <w:color w:val="002B5F"/>
        </w:rPr>
        <w:t>|</w:t>
      </w:r>
      <w:r>
        <w:rPr>
          <w:rFonts w:ascii="Arial" w:cs="Arial" w:eastAsia="Arial" w:hAnsi="Arial"/>
          <w:sz w:val="15"/>
          <w:szCs w:val="15"/>
          <w:b w:val="1"/>
          <w:bCs w:val="1"/>
          <w:color w:val="002B5F"/>
        </w:rPr>
        <w:t xml:space="preserve">  93</w:t>
      </w:r>
      <w:r>
        <w:rPr>
          <w:sz w:val="20"/>
          <w:szCs w:val="20"/>
          <w:color w:val="auto"/>
        </w:rPr>
        <w:tab/>
      </w:r>
      <w:r>
        <w:rPr>
          <w:rFonts w:ascii="Arial" w:cs="Arial" w:eastAsia="Arial" w:hAnsi="Arial"/>
          <w:sz w:val="17"/>
          <w:szCs w:val="17"/>
          <w:color w:val="auto"/>
        </w:rPr>
        <w:t xml:space="preserve">    </w:t>
      </w:r>
      <w:r>
        <w:rPr>
          <w:sz w:val="20"/>
          <w:szCs w:val="20"/>
          <w:color w:val="auto"/>
        </w:rPr>
        <w:tab/>
      </w:r>
      <w:r>
        <w:rPr>
          <w:rFonts w:ascii="Arial" w:cs="Arial" w:eastAsia="Arial" w:hAnsi="Arial"/>
          <w:sz w:val="17"/>
          <w:szCs w:val="17"/>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268605</wp:posOffset>
            </wp:positionH>
            <wp:positionV relativeFrom="paragraph">
              <wp:posOffset>-128905</wp:posOffset>
            </wp:positionV>
            <wp:extent cx="762000" cy="971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62000" cy="97155"/>
                    </a:xfrm>
                    <a:prstGeom prst="rect">
                      <a:avLst/>
                    </a:prstGeom>
                    <a:noFill/>
                  </pic:spPr>
                </pic:pic>
              </a:graphicData>
            </a:graphic>
          </wp:anchor>
        </w:drawing>
      </w:r>
    </w:p>
    <w:p>
      <w:pPr>
        <w:sectPr>
          <w:pgSz w:w="11900" w:h="16838" w:orient="portrait"/>
          <w:cols w:equalWidth="0" w:num="1">
            <w:col w:w="10800"/>
          </w:cols>
          <w:pgMar w:left="320" w:top="464" w:right="779" w:bottom="1440" w:gutter="0" w:footer="0" w:header="0"/>
          <w:type w:val="continuous"/>
        </w:sectPr>
      </w:pPr>
    </w:p>
    <w:bookmarkStart w:id="101" w:name="page102"/>
    <w:bookmarkEnd w:id="101"/>
    <w:p>
      <w:pPr>
        <w:spacing w:after="0"/>
        <w:rPr>
          <w:sz w:val="20"/>
          <w:szCs w:val="20"/>
          <w:color w:val="auto"/>
        </w:rPr>
      </w:pPr>
      <w:r>
        <w:rPr>
          <w:rFonts w:ascii="Times New Roman" w:cs="Times New Roman" w:eastAsia="Times New Roman" w:hAnsi="Times New Roman"/>
          <w:sz w:val="17"/>
          <w:szCs w:val="17"/>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268605</wp:posOffset>
            </wp:positionH>
            <wp:positionV relativeFrom="paragraph">
              <wp:posOffset>253365</wp:posOffset>
            </wp:positionV>
            <wp:extent cx="1183005" cy="76663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1183005" cy="7666355"/>
                    </a:xfrm>
                    <a:prstGeom prst="rect">
                      <a:avLst/>
                    </a:prstGeom>
                    <a:noFill/>
                  </pic:spPr>
                </pic:pic>
              </a:graphicData>
            </a:graphic>
          </wp:anchor>
        </w:drawing>
      </w:r>
    </w:p>
    <w:p>
      <w:pPr>
        <w:spacing w:after="0" w:line="200" w:lineRule="exact"/>
        <w:rPr>
          <w:sz w:val="20"/>
          <w:szCs w:val="20"/>
          <w:color w:val="auto"/>
        </w:rPr>
      </w:pPr>
    </w:p>
    <w:p>
      <w:pPr>
        <w:spacing w:after="0" w:line="304" w:lineRule="exact"/>
        <w:rPr>
          <w:sz w:val="20"/>
          <w:szCs w:val="20"/>
          <w:color w:val="auto"/>
        </w:rPr>
      </w:pPr>
    </w:p>
    <w:p>
      <w:pPr>
        <w:ind w:left="1120" w:right="460" w:hanging="672"/>
        <w:spacing w:after="0" w:line="382" w:lineRule="auto"/>
        <w:tabs>
          <w:tab w:leader="none" w:pos="610" w:val="left"/>
        </w:tabs>
        <w:numPr>
          <w:ilvl w:val="0"/>
          <w:numId w:val="136"/>
        </w:numPr>
        <w:rPr>
          <w:rFonts w:ascii="Arial" w:cs="Arial" w:eastAsia="Arial" w:hAnsi="Arial"/>
          <w:sz w:val="24"/>
          <w:szCs w:val="24"/>
          <w:color w:val="auto"/>
          <w:vertAlign w:val="subscript"/>
        </w:rPr>
      </w:pPr>
      <w:r>
        <w:rPr>
          <w:rFonts w:ascii="Arial" w:cs="Arial" w:eastAsia="Arial" w:hAnsi="Arial"/>
          <w:sz w:val="24"/>
          <w:szCs w:val="24"/>
          <w:color w:val="000000"/>
          <w:vertAlign w:val="subscript"/>
        </w:rPr>
        <w:t xml:space="preserve">     </w:t>
      </w:r>
      <w:r>
        <w:rPr>
          <w:rFonts w:ascii="Arial" w:cs="Arial" w:eastAsia="Arial" w:hAnsi="Arial"/>
          <w:sz w:val="10"/>
          <w:szCs w:val="10"/>
          <w:color w:val="FFFFFF"/>
        </w:rPr>
        <w:t xml:space="preserve"> General Information</w:t>
      </w:r>
    </w:p>
    <w:p>
      <w:pPr>
        <w:spacing w:after="0" w:line="1" w:lineRule="exact"/>
        <w:rPr>
          <w:sz w:val="20"/>
          <w:szCs w:val="20"/>
          <w:color w:val="auto"/>
        </w:rPr>
      </w:pPr>
    </w:p>
    <w:p>
      <w:pPr>
        <w:ind w:left="1120"/>
        <w:spacing w:after="0"/>
        <w:rPr>
          <w:sz w:val="20"/>
          <w:szCs w:val="20"/>
          <w:color w:val="auto"/>
        </w:rPr>
      </w:pPr>
      <w:r>
        <w:rPr>
          <w:rFonts w:ascii="Arial" w:cs="Arial" w:eastAsia="Arial" w:hAnsi="Arial"/>
          <w:sz w:val="11"/>
          <w:szCs w:val="11"/>
          <w:color w:val="FFFFFF"/>
        </w:rPr>
        <w:t>General Information</w:t>
      </w:r>
    </w:p>
    <w:p>
      <w:pPr>
        <w:spacing w:after="0" w:line="3"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About Corporate</w:t>
      </w:r>
    </w:p>
    <w:p>
      <w:pPr>
        <w:ind w:left="1120"/>
        <w:spacing w:after="0" w:line="221" w:lineRule="auto"/>
        <w:rPr>
          <w:sz w:val="20"/>
          <w:szCs w:val="20"/>
          <w:color w:val="auto"/>
        </w:rPr>
      </w:pPr>
      <w:r>
        <w:rPr>
          <w:rFonts w:ascii="Arial" w:cs="Arial" w:eastAsia="Arial" w:hAnsi="Arial"/>
          <w:sz w:val="12"/>
          <w:szCs w:val="12"/>
          <w:color w:val="FFFFFF"/>
        </w:rPr>
        <w:t>Governance</w:t>
      </w:r>
    </w:p>
    <w:p>
      <w:pPr>
        <w:ind w:left="1120"/>
        <w:spacing w:after="0" w:line="222" w:lineRule="auto"/>
        <w:rPr>
          <w:sz w:val="20"/>
          <w:szCs w:val="20"/>
          <w:color w:val="auto"/>
        </w:rPr>
      </w:pPr>
      <w:r>
        <w:rPr>
          <w:rFonts w:ascii="Arial" w:cs="Arial" w:eastAsia="Arial" w:hAnsi="Arial"/>
          <w:sz w:val="12"/>
          <w:szCs w:val="12"/>
          <w:color w:val="FFFFFF"/>
        </w:rPr>
        <w:t>and the Board of</w:t>
      </w:r>
    </w:p>
    <w:p>
      <w:pPr>
        <w:spacing w:after="0" w:line="1"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Directors</w:t>
      </w:r>
    </w:p>
    <w:p>
      <w:pPr>
        <w:spacing w:after="0" w:line="169" w:lineRule="exact"/>
        <w:rPr>
          <w:sz w:val="20"/>
          <w:szCs w:val="20"/>
          <w:color w:val="auto"/>
        </w:rPr>
      </w:pPr>
    </w:p>
    <w:p>
      <w:pPr>
        <w:jc w:val="center"/>
        <w:ind w:left="620"/>
        <w:spacing w:after="0"/>
        <w:rPr>
          <w:sz w:val="20"/>
          <w:szCs w:val="20"/>
          <w:color w:val="auto"/>
        </w:rPr>
      </w:pPr>
      <w:r>
        <w:rPr>
          <w:rFonts w:ascii="Arial" w:cs="Arial" w:eastAsia="Arial" w:hAnsi="Arial"/>
          <w:sz w:val="12"/>
          <w:szCs w:val="12"/>
          <w:color w:val="FFFFFF"/>
        </w:rPr>
        <w:t>Proposal 1</w:t>
      </w:r>
    </w:p>
    <w:p>
      <w:pPr>
        <w:spacing w:after="0" w:line="181"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Information</w:t>
      </w:r>
    </w:p>
    <w:p>
      <w:pPr>
        <w:ind w:left="1120"/>
        <w:spacing w:after="0" w:line="224" w:lineRule="auto"/>
        <w:rPr>
          <w:sz w:val="20"/>
          <w:szCs w:val="20"/>
          <w:color w:val="auto"/>
        </w:rPr>
      </w:pPr>
      <w:r>
        <w:rPr>
          <w:rFonts w:ascii="Arial" w:cs="Arial" w:eastAsia="Arial" w:hAnsi="Arial"/>
          <w:sz w:val="12"/>
          <w:szCs w:val="12"/>
          <w:color w:val="FFFFFF"/>
        </w:rPr>
        <w:t>Regarding Board</w:t>
      </w:r>
    </w:p>
    <w:p>
      <w:pPr>
        <w:ind w:left="1120"/>
        <w:spacing w:after="0" w:line="222" w:lineRule="auto"/>
        <w:rPr>
          <w:sz w:val="20"/>
          <w:szCs w:val="20"/>
          <w:color w:val="auto"/>
        </w:rPr>
      </w:pPr>
      <w:r>
        <w:rPr>
          <w:rFonts w:ascii="Arial" w:cs="Arial" w:eastAsia="Arial" w:hAnsi="Arial"/>
          <w:sz w:val="12"/>
          <w:szCs w:val="12"/>
          <w:color w:val="FFFFFF"/>
        </w:rPr>
        <w:t>and Committee</w:t>
      </w:r>
    </w:p>
    <w:p>
      <w:pPr>
        <w:ind w:left="1120"/>
        <w:spacing w:after="0"/>
        <w:rPr>
          <w:sz w:val="20"/>
          <w:szCs w:val="20"/>
          <w:color w:val="auto"/>
        </w:rPr>
      </w:pPr>
      <w:r>
        <w:rPr>
          <w:rFonts w:ascii="Arial" w:cs="Arial" w:eastAsia="Arial" w:hAnsi="Arial"/>
          <w:sz w:val="12"/>
          <w:szCs w:val="12"/>
          <w:color w:val="FFFFFF"/>
        </w:rPr>
        <w:t>Structure</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Board of Directors</w:t>
      </w:r>
    </w:p>
    <w:p>
      <w:pPr>
        <w:spacing w:after="0" w:line="2"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Compensation</w:t>
      </w:r>
    </w:p>
    <w:p>
      <w:pPr>
        <w:spacing w:after="0" w:line="169"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Compensation</w:t>
      </w:r>
    </w:p>
    <w:p>
      <w:pPr>
        <w:ind w:left="1120"/>
        <w:spacing w:after="0" w:line="224" w:lineRule="auto"/>
        <w:rPr>
          <w:sz w:val="20"/>
          <w:szCs w:val="20"/>
          <w:color w:val="auto"/>
        </w:rPr>
      </w:pPr>
      <w:r>
        <w:rPr>
          <w:rFonts w:ascii="Arial" w:cs="Arial" w:eastAsia="Arial" w:hAnsi="Arial"/>
          <w:sz w:val="12"/>
          <w:szCs w:val="12"/>
          <w:color w:val="FFFFFF"/>
        </w:rPr>
        <w:t>Discussion and</w:t>
      </w:r>
    </w:p>
    <w:p>
      <w:pPr>
        <w:ind w:left="1120"/>
        <w:spacing w:after="0"/>
        <w:rPr>
          <w:sz w:val="20"/>
          <w:szCs w:val="20"/>
          <w:color w:val="auto"/>
        </w:rPr>
      </w:pPr>
      <w:r>
        <w:rPr>
          <w:rFonts w:ascii="Arial" w:cs="Arial" w:eastAsia="Arial" w:hAnsi="Arial"/>
          <w:sz w:val="12"/>
          <w:szCs w:val="12"/>
          <w:color w:val="FFFFFF"/>
        </w:rPr>
        <w:t>Analysis</w:t>
      </w:r>
    </w:p>
    <w:p>
      <w:pPr>
        <w:spacing w:after="0" w:line="169"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Report of the</w:t>
      </w:r>
    </w:p>
    <w:p>
      <w:pPr>
        <w:ind w:left="1120"/>
        <w:spacing w:after="0" w:line="224" w:lineRule="auto"/>
        <w:rPr>
          <w:sz w:val="20"/>
          <w:szCs w:val="20"/>
          <w:color w:val="auto"/>
        </w:rPr>
      </w:pPr>
      <w:r>
        <w:rPr>
          <w:rFonts w:ascii="Arial" w:cs="Arial" w:eastAsia="Arial" w:hAnsi="Arial"/>
          <w:sz w:val="12"/>
          <w:szCs w:val="12"/>
          <w:color w:val="FFFFFF"/>
        </w:rPr>
        <w:t>Compensation</w:t>
      </w:r>
    </w:p>
    <w:p>
      <w:pPr>
        <w:ind w:left="1120"/>
        <w:spacing w:after="0" w:line="222" w:lineRule="auto"/>
        <w:rPr>
          <w:sz w:val="20"/>
          <w:szCs w:val="20"/>
          <w:color w:val="auto"/>
        </w:rPr>
      </w:pPr>
      <w:r>
        <w:rPr>
          <w:rFonts w:ascii="Arial" w:cs="Arial" w:eastAsia="Arial" w:hAnsi="Arial"/>
          <w:sz w:val="12"/>
          <w:szCs w:val="12"/>
          <w:color w:val="FFFFFF"/>
        </w:rPr>
        <w:t>and Human</w:t>
      </w:r>
    </w:p>
    <w:p>
      <w:pPr>
        <w:ind w:left="1120"/>
        <w:spacing w:after="0" w:line="222" w:lineRule="auto"/>
        <w:rPr>
          <w:sz w:val="20"/>
          <w:szCs w:val="20"/>
          <w:color w:val="auto"/>
        </w:rPr>
      </w:pPr>
      <w:r>
        <w:rPr>
          <w:rFonts w:ascii="Arial" w:cs="Arial" w:eastAsia="Arial" w:hAnsi="Arial"/>
          <w:sz w:val="12"/>
          <w:szCs w:val="12"/>
          <w:color w:val="FFFFFF"/>
        </w:rPr>
        <w:t>Resources</w:t>
      </w:r>
    </w:p>
    <w:p>
      <w:pPr>
        <w:ind w:left="1120"/>
        <w:spacing w:after="0" w:line="222" w:lineRule="auto"/>
        <w:rPr>
          <w:sz w:val="20"/>
          <w:szCs w:val="20"/>
          <w:color w:val="auto"/>
        </w:rPr>
      </w:pPr>
      <w:r>
        <w:rPr>
          <w:rFonts w:ascii="Arial" w:cs="Arial" w:eastAsia="Arial" w:hAnsi="Arial"/>
          <w:sz w:val="12"/>
          <w:szCs w:val="12"/>
          <w:color w:val="FFFFFF"/>
        </w:rPr>
        <w:t>Committee of the</w:t>
      </w:r>
    </w:p>
    <w:p>
      <w:pPr>
        <w:ind w:left="1120"/>
        <w:spacing w:after="0"/>
        <w:rPr>
          <w:sz w:val="20"/>
          <w:szCs w:val="20"/>
          <w:color w:val="auto"/>
        </w:rPr>
      </w:pPr>
      <w:r>
        <w:rPr>
          <w:rFonts w:ascii="Arial" w:cs="Arial" w:eastAsia="Arial" w:hAnsi="Arial"/>
          <w:sz w:val="12"/>
          <w:szCs w:val="12"/>
          <w:color w:val="FFFFFF"/>
        </w:rPr>
        <w:t>Board of Directors</w:t>
      </w:r>
    </w:p>
    <w:p>
      <w:pPr>
        <w:spacing w:after="0" w:line="169"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Compensation of</w:t>
      </w:r>
    </w:p>
    <w:p>
      <w:pPr>
        <w:ind w:left="1120"/>
        <w:spacing w:after="0" w:line="224" w:lineRule="auto"/>
        <w:rPr>
          <w:sz w:val="20"/>
          <w:szCs w:val="20"/>
          <w:color w:val="auto"/>
        </w:rPr>
      </w:pPr>
      <w:r>
        <w:rPr>
          <w:rFonts w:ascii="Arial" w:cs="Arial" w:eastAsia="Arial" w:hAnsi="Arial"/>
          <w:sz w:val="12"/>
          <w:szCs w:val="12"/>
          <w:color w:val="FFFFFF"/>
        </w:rPr>
        <w:t>Named Executive</w:t>
      </w:r>
    </w:p>
    <w:p>
      <w:pPr>
        <w:ind w:left="1120"/>
        <w:spacing w:after="0"/>
        <w:rPr>
          <w:sz w:val="20"/>
          <w:szCs w:val="20"/>
          <w:color w:val="auto"/>
        </w:rPr>
      </w:pPr>
      <w:r>
        <w:rPr>
          <w:rFonts w:ascii="Arial" w:cs="Arial" w:eastAsia="Arial" w:hAnsi="Arial"/>
          <w:sz w:val="12"/>
          <w:szCs w:val="12"/>
          <w:color w:val="FFFFFF"/>
        </w:rPr>
        <w:t>Officers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Pay Versus</w:t>
      </w:r>
    </w:p>
    <w:p>
      <w:pPr>
        <w:ind w:left="1120"/>
        <w:spacing w:after="0" w:line="224" w:lineRule="auto"/>
        <w:rPr>
          <w:sz w:val="20"/>
          <w:szCs w:val="20"/>
          <w:color w:val="auto"/>
        </w:rPr>
      </w:pPr>
      <w:r>
        <w:rPr>
          <w:rFonts w:ascii="Arial" w:cs="Arial" w:eastAsia="Arial" w:hAnsi="Arial"/>
          <w:sz w:val="12"/>
          <w:szCs w:val="12"/>
          <w:color w:val="FFFFFF"/>
        </w:rPr>
        <w:t>Performance</w:t>
      </w:r>
    </w:p>
    <w:p>
      <w:pPr>
        <w:ind w:left="1120"/>
        <w:spacing w:after="0"/>
        <w:rPr>
          <w:sz w:val="20"/>
          <w:szCs w:val="20"/>
          <w:color w:val="auto"/>
        </w:rPr>
      </w:pPr>
      <w:r>
        <w:rPr>
          <w:rFonts w:ascii="Arial" w:cs="Arial" w:eastAsia="Arial" w:hAnsi="Arial"/>
          <w:sz w:val="12"/>
          <w:szCs w:val="12"/>
          <w:color w:val="FFFFFF"/>
        </w:rPr>
        <w:t>Disclosure</w:t>
      </w:r>
    </w:p>
    <w:p>
      <w:pPr>
        <w:spacing w:after="0" w:line="169"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Security</w:t>
      </w:r>
    </w:p>
    <w:p>
      <w:pPr>
        <w:ind w:left="1120"/>
        <w:spacing w:after="0" w:line="224" w:lineRule="auto"/>
        <w:rPr>
          <w:sz w:val="20"/>
          <w:szCs w:val="20"/>
          <w:color w:val="auto"/>
        </w:rPr>
      </w:pPr>
      <w:r>
        <w:rPr>
          <w:rFonts w:ascii="Arial" w:cs="Arial" w:eastAsia="Arial" w:hAnsi="Arial"/>
          <w:sz w:val="12"/>
          <w:szCs w:val="12"/>
          <w:color w:val="FFFFFF"/>
        </w:rPr>
        <w:t>Ownership of</w:t>
      </w:r>
    </w:p>
    <w:p>
      <w:pPr>
        <w:ind w:left="1120"/>
        <w:spacing w:after="0" w:line="222" w:lineRule="auto"/>
        <w:rPr>
          <w:sz w:val="20"/>
          <w:szCs w:val="20"/>
          <w:color w:val="auto"/>
        </w:rPr>
      </w:pPr>
      <w:r>
        <w:rPr>
          <w:rFonts w:ascii="Arial" w:cs="Arial" w:eastAsia="Arial" w:hAnsi="Arial"/>
          <w:sz w:val="12"/>
          <w:szCs w:val="12"/>
          <w:color w:val="FFFFFF"/>
        </w:rPr>
        <w:t>Certain Beneficial</w:t>
      </w:r>
    </w:p>
    <w:p>
      <w:pPr>
        <w:ind w:left="1120"/>
        <w:spacing w:after="0" w:line="222" w:lineRule="auto"/>
        <w:rPr>
          <w:sz w:val="20"/>
          <w:szCs w:val="20"/>
          <w:color w:val="auto"/>
        </w:rPr>
      </w:pPr>
      <w:r>
        <w:rPr>
          <w:rFonts w:ascii="Arial" w:cs="Arial" w:eastAsia="Arial" w:hAnsi="Arial"/>
          <w:sz w:val="12"/>
          <w:szCs w:val="12"/>
          <w:color w:val="FFFFFF"/>
        </w:rPr>
        <w:t>Owners and</w:t>
      </w:r>
    </w:p>
    <w:p>
      <w:pPr>
        <w:ind w:left="1120"/>
        <w:spacing w:after="0"/>
        <w:rPr>
          <w:sz w:val="20"/>
          <w:szCs w:val="20"/>
          <w:color w:val="auto"/>
        </w:rPr>
      </w:pPr>
      <w:r>
        <w:rPr>
          <w:rFonts w:ascii="Arial" w:cs="Arial" w:eastAsia="Arial" w:hAnsi="Arial"/>
          <w:sz w:val="12"/>
          <w:szCs w:val="12"/>
          <w:color w:val="FFFFFF"/>
        </w:rPr>
        <w:t>Management</w:t>
      </w:r>
    </w:p>
    <w:p>
      <w:pPr>
        <w:spacing w:after="0" w:line="169"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Certain</w:t>
      </w:r>
    </w:p>
    <w:p>
      <w:pPr>
        <w:ind w:left="1120"/>
        <w:spacing w:after="0" w:line="224" w:lineRule="auto"/>
        <w:rPr>
          <w:sz w:val="20"/>
          <w:szCs w:val="20"/>
          <w:color w:val="auto"/>
        </w:rPr>
      </w:pPr>
      <w:r>
        <w:rPr>
          <w:rFonts w:ascii="Arial" w:cs="Arial" w:eastAsia="Arial" w:hAnsi="Arial"/>
          <w:sz w:val="12"/>
          <w:szCs w:val="12"/>
          <w:color w:val="FFFFFF"/>
        </w:rPr>
        <w:t>Relationships and</w:t>
      </w:r>
    </w:p>
    <w:p>
      <w:pPr>
        <w:ind w:left="1120"/>
        <w:spacing w:after="0" w:line="222" w:lineRule="auto"/>
        <w:rPr>
          <w:sz w:val="20"/>
          <w:szCs w:val="20"/>
          <w:color w:val="auto"/>
        </w:rPr>
      </w:pPr>
      <w:r>
        <w:rPr>
          <w:rFonts w:ascii="Arial" w:cs="Arial" w:eastAsia="Arial" w:hAnsi="Arial"/>
          <w:sz w:val="12"/>
          <w:szCs w:val="12"/>
          <w:color w:val="FFFFFF"/>
        </w:rPr>
        <w:t>Related Party</w:t>
      </w:r>
    </w:p>
    <w:p>
      <w:pPr>
        <w:ind w:left="1120"/>
        <w:spacing w:after="0"/>
        <w:rPr>
          <w:sz w:val="20"/>
          <w:szCs w:val="20"/>
          <w:color w:val="auto"/>
        </w:rPr>
      </w:pPr>
      <w:r>
        <w:rPr>
          <w:rFonts w:ascii="Arial" w:cs="Arial" w:eastAsia="Arial" w:hAnsi="Arial"/>
          <w:sz w:val="12"/>
          <w:szCs w:val="12"/>
          <w:color w:val="FFFFFF"/>
        </w:rPr>
        <w:t>Transactions</w:t>
      </w:r>
    </w:p>
    <w:p>
      <w:pPr>
        <w:spacing w:after="0" w:line="169"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Proposal 2</w:t>
      </w:r>
    </w:p>
    <w:p>
      <w:pPr>
        <w:spacing w:after="0" w:line="156"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Report of the</w:t>
      </w:r>
    </w:p>
    <w:p>
      <w:pPr>
        <w:ind w:left="1120"/>
        <w:spacing w:after="0" w:line="224" w:lineRule="auto"/>
        <w:rPr>
          <w:sz w:val="20"/>
          <w:szCs w:val="20"/>
          <w:color w:val="auto"/>
        </w:rPr>
      </w:pPr>
      <w:r>
        <w:rPr>
          <w:rFonts w:ascii="Arial" w:cs="Arial" w:eastAsia="Arial" w:hAnsi="Arial"/>
          <w:sz w:val="12"/>
          <w:szCs w:val="12"/>
          <w:color w:val="FFFFFF"/>
        </w:rPr>
        <w:t>Audit and Risk</w:t>
      </w:r>
    </w:p>
    <w:p>
      <w:pPr>
        <w:ind w:left="1120"/>
        <w:spacing w:after="0" w:line="222" w:lineRule="auto"/>
        <w:rPr>
          <w:sz w:val="20"/>
          <w:szCs w:val="20"/>
          <w:color w:val="auto"/>
        </w:rPr>
      </w:pPr>
      <w:r>
        <w:rPr>
          <w:rFonts w:ascii="Arial" w:cs="Arial" w:eastAsia="Arial" w:hAnsi="Arial"/>
          <w:sz w:val="12"/>
          <w:szCs w:val="12"/>
          <w:color w:val="FFFFFF"/>
        </w:rPr>
        <w:t>Committee of the</w:t>
      </w:r>
    </w:p>
    <w:p>
      <w:pPr>
        <w:ind w:left="1120"/>
        <w:spacing w:after="0"/>
        <w:rPr>
          <w:sz w:val="20"/>
          <w:szCs w:val="20"/>
          <w:color w:val="auto"/>
        </w:rPr>
      </w:pPr>
      <w:r>
        <w:rPr>
          <w:rFonts w:ascii="Arial" w:cs="Arial" w:eastAsia="Arial" w:hAnsi="Arial"/>
          <w:sz w:val="12"/>
          <w:szCs w:val="12"/>
          <w:color w:val="FFFFFF"/>
        </w:rPr>
        <w:t>Board of Directors</w:t>
      </w:r>
    </w:p>
    <w:p>
      <w:pPr>
        <w:spacing w:after="0" w:line="169" w:lineRule="exact"/>
        <w:rPr>
          <w:sz w:val="20"/>
          <w:szCs w:val="20"/>
          <w:color w:val="auto"/>
        </w:rPr>
      </w:pPr>
    </w:p>
    <w:p>
      <w:pPr>
        <w:jc w:val="center"/>
        <w:ind w:left="620"/>
        <w:spacing w:after="0"/>
        <w:rPr>
          <w:sz w:val="20"/>
          <w:szCs w:val="20"/>
          <w:color w:val="auto"/>
        </w:rPr>
      </w:pPr>
      <w:r>
        <w:rPr>
          <w:rFonts w:ascii="Arial" w:cs="Arial" w:eastAsia="Arial" w:hAnsi="Arial"/>
          <w:sz w:val="12"/>
          <w:szCs w:val="12"/>
          <w:color w:val="FFFFFF"/>
        </w:rPr>
        <w:t>Proposal 3</w:t>
      </w:r>
    </w:p>
    <w:p>
      <w:pPr>
        <w:spacing w:after="0" w:line="156" w:lineRule="exact"/>
        <w:rPr>
          <w:sz w:val="20"/>
          <w:szCs w:val="20"/>
          <w:color w:val="auto"/>
        </w:rPr>
      </w:pPr>
    </w:p>
    <w:p>
      <w:pPr>
        <w:jc w:val="center"/>
        <w:ind w:left="620"/>
        <w:spacing w:after="0"/>
        <w:rPr>
          <w:sz w:val="20"/>
          <w:szCs w:val="20"/>
          <w:color w:val="auto"/>
        </w:rPr>
      </w:pPr>
      <w:r>
        <w:rPr>
          <w:rFonts w:ascii="Arial" w:cs="Arial" w:eastAsia="Arial" w:hAnsi="Arial"/>
          <w:sz w:val="12"/>
          <w:szCs w:val="12"/>
          <w:color w:val="FFFFFF"/>
        </w:rPr>
        <w:t>Proposal 4</w:t>
      </w:r>
    </w:p>
    <w:p>
      <w:pPr>
        <w:spacing w:after="0" w:line="181" w:lineRule="exact"/>
        <w:rPr>
          <w:sz w:val="20"/>
          <w:szCs w:val="20"/>
          <w:color w:val="auto"/>
        </w:rPr>
      </w:pPr>
    </w:p>
    <w:p>
      <w:pPr>
        <w:jc w:val="center"/>
        <w:ind w:left="620"/>
        <w:spacing w:after="0"/>
        <w:rPr>
          <w:sz w:val="20"/>
          <w:szCs w:val="20"/>
          <w:color w:val="auto"/>
        </w:rPr>
      </w:pPr>
      <w:r>
        <w:rPr>
          <w:rFonts w:ascii="Arial" w:cs="Arial" w:eastAsia="Arial" w:hAnsi="Arial"/>
          <w:sz w:val="12"/>
          <w:szCs w:val="12"/>
          <w:color w:val="FFFFFF"/>
        </w:rPr>
        <w:t>Proposal 5</w:t>
      </w:r>
    </w:p>
    <w:p>
      <w:pPr>
        <w:spacing w:after="0" w:line="156"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Proposal 6</w:t>
      </w:r>
    </w:p>
    <w:p>
      <w:pPr>
        <w:spacing w:after="0" w:line="181" w:lineRule="exact"/>
        <w:rPr>
          <w:sz w:val="20"/>
          <w:szCs w:val="20"/>
          <w:color w:val="auto"/>
        </w:rPr>
      </w:pPr>
    </w:p>
    <w:p>
      <w:pPr>
        <w:ind w:left="1120"/>
        <w:spacing w:after="0"/>
        <w:rPr>
          <w:sz w:val="20"/>
          <w:szCs w:val="20"/>
          <w:color w:val="auto"/>
        </w:rPr>
      </w:pPr>
      <w:r>
        <w:rPr>
          <w:rFonts w:ascii="Arial" w:cs="Arial" w:eastAsia="Arial" w:hAnsi="Arial"/>
          <w:sz w:val="12"/>
          <w:szCs w:val="12"/>
          <w:b w:val="1"/>
          <w:bCs w:val="1"/>
          <w:color w:val="FFFFFF"/>
        </w:rPr>
        <w:t>Stockholder</w:t>
      </w:r>
    </w:p>
    <w:p>
      <w:pPr>
        <w:ind w:left="1120"/>
        <w:spacing w:after="0" w:line="224" w:lineRule="auto"/>
        <w:rPr>
          <w:sz w:val="20"/>
          <w:szCs w:val="20"/>
          <w:color w:val="auto"/>
        </w:rPr>
      </w:pPr>
      <w:r>
        <w:rPr>
          <w:rFonts w:ascii="Arial" w:cs="Arial" w:eastAsia="Arial" w:hAnsi="Arial"/>
          <w:sz w:val="12"/>
          <w:szCs w:val="12"/>
          <w:b w:val="1"/>
          <w:bCs w:val="1"/>
          <w:color w:val="FFFFFF"/>
        </w:rPr>
        <w:t>Proposals and</w:t>
      </w:r>
    </w:p>
    <w:p>
      <w:pPr>
        <w:ind w:left="1120"/>
        <w:spacing w:after="0"/>
        <w:rPr>
          <w:sz w:val="20"/>
          <w:szCs w:val="20"/>
          <w:color w:val="auto"/>
        </w:rPr>
      </w:pPr>
      <w:r>
        <w:rPr>
          <w:rFonts w:ascii="Arial" w:cs="Arial" w:eastAsia="Arial" w:hAnsi="Arial"/>
          <w:sz w:val="12"/>
          <w:szCs w:val="12"/>
          <w:b w:val="1"/>
          <w:bCs w:val="1"/>
          <w:color w:val="FFFFFF"/>
        </w:rPr>
        <w:t>Other Matters</w:t>
      </w:r>
    </w:p>
    <w:p>
      <w:pPr>
        <w:spacing w:after="0" w:line="169"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Delinquent</w:t>
      </w:r>
    </w:p>
    <w:p>
      <w:pPr>
        <w:ind w:left="1120"/>
        <w:spacing w:after="0" w:line="224" w:lineRule="auto"/>
        <w:rPr>
          <w:sz w:val="20"/>
          <w:szCs w:val="20"/>
          <w:color w:val="auto"/>
        </w:rPr>
      </w:pPr>
      <w:r>
        <w:rPr>
          <w:rFonts w:ascii="Arial" w:cs="Arial" w:eastAsia="Arial" w:hAnsi="Arial"/>
          <w:sz w:val="12"/>
          <w:szCs w:val="12"/>
          <w:color w:val="FFFFFF"/>
        </w:rPr>
        <w:t>Section 16(a)</w:t>
      </w:r>
    </w:p>
    <w:p>
      <w:pPr>
        <w:ind w:left="1120"/>
        <w:spacing w:after="0"/>
        <w:rPr>
          <w:sz w:val="20"/>
          <w:szCs w:val="20"/>
          <w:color w:val="auto"/>
        </w:rPr>
      </w:pPr>
      <w:r>
        <w:rPr>
          <w:rFonts w:ascii="Arial" w:cs="Arial" w:eastAsia="Arial" w:hAnsi="Arial"/>
          <w:sz w:val="12"/>
          <w:szCs w:val="12"/>
          <w:color w:val="FFFFFF"/>
        </w:rPr>
        <w:t>Reports</w:t>
      </w:r>
    </w:p>
    <w:p>
      <w:pPr>
        <w:spacing w:after="0" w:line="169"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Other</w:t>
      </w:r>
    </w:p>
    <w:p>
      <w:pPr>
        <w:spacing w:after="0" w:line="2"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Information</w:t>
      </w:r>
    </w:p>
    <w:p>
      <w:pPr>
        <w:spacing w:after="0" w:line="144" w:lineRule="exact"/>
        <w:rPr>
          <w:sz w:val="20"/>
          <w:szCs w:val="20"/>
          <w:color w:val="auto"/>
        </w:rPr>
      </w:pPr>
    </w:p>
    <w:p>
      <w:pPr>
        <w:jc w:val="center"/>
        <w:ind w:left="660"/>
        <w:spacing w:after="0"/>
        <w:rPr>
          <w:sz w:val="20"/>
          <w:szCs w:val="20"/>
          <w:color w:val="auto"/>
        </w:rPr>
      </w:pPr>
      <w:r>
        <w:rPr>
          <w:rFonts w:ascii="Arial" w:cs="Arial" w:eastAsia="Arial" w:hAnsi="Arial"/>
          <w:sz w:val="12"/>
          <w:szCs w:val="12"/>
          <w:color w:val="FFFFFF"/>
        </w:rPr>
        <w:t>Appendix A</w:t>
      </w:r>
    </w:p>
    <w:p>
      <w:pPr>
        <w:spacing w:after="0" w:line="156" w:lineRule="exact"/>
        <w:rPr>
          <w:sz w:val="20"/>
          <w:szCs w:val="20"/>
          <w:color w:val="auto"/>
        </w:rPr>
      </w:pPr>
    </w:p>
    <w:p>
      <w:pPr>
        <w:jc w:val="center"/>
        <w:ind w:left="660"/>
        <w:spacing w:after="0"/>
        <w:rPr>
          <w:sz w:val="20"/>
          <w:szCs w:val="20"/>
          <w:color w:val="auto"/>
        </w:rPr>
      </w:pPr>
      <w:r>
        <w:rPr>
          <w:rFonts w:ascii="Arial" w:cs="Arial" w:eastAsia="Arial" w:hAnsi="Arial"/>
          <w:sz w:val="12"/>
          <w:szCs w:val="12"/>
          <w:color w:val="FFFFFF"/>
        </w:rPr>
        <w:t>Appendix 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right="1240"/>
        <w:spacing w:after="0" w:line="278" w:lineRule="auto"/>
        <w:rPr>
          <w:sz w:val="20"/>
          <w:szCs w:val="20"/>
          <w:color w:val="auto"/>
        </w:rPr>
      </w:pPr>
      <w:r>
        <w:rPr>
          <w:rFonts w:ascii="Arial" w:cs="Arial" w:eastAsia="Arial" w:hAnsi="Arial"/>
          <w:sz w:val="24"/>
          <w:szCs w:val="24"/>
          <w:color w:val="B95827"/>
        </w:rPr>
        <w:t>Policy with Respect to the Consideration of Director Candidates Recommended or Nominated by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-1737995</wp:posOffset>
            </wp:positionH>
            <wp:positionV relativeFrom="paragraph">
              <wp:posOffset>-1031240</wp:posOffset>
            </wp:positionV>
            <wp:extent cx="7181215" cy="5334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181215" cy="53340"/>
                    </a:xfrm>
                    <a:prstGeom prst="rect">
                      <a:avLst/>
                    </a:prstGeom>
                    <a:noFill/>
                  </pic:spPr>
                </pic:pic>
              </a:graphicData>
            </a:graphic>
          </wp:anchor>
        </w:drawing>
      </w:r>
    </w:p>
    <w:p>
      <w:pPr>
        <w:spacing w:after="0" w:line="15" w:lineRule="exact"/>
        <w:rPr>
          <w:sz w:val="20"/>
          <w:szCs w:val="20"/>
          <w:color w:val="auto"/>
        </w:rPr>
      </w:pPr>
    </w:p>
    <w:p>
      <w:pPr>
        <w:ind w:right="220"/>
        <w:spacing w:after="0" w:line="258" w:lineRule="auto"/>
        <w:rPr>
          <w:sz w:val="20"/>
          <w:szCs w:val="20"/>
          <w:color w:val="auto"/>
        </w:rPr>
      </w:pPr>
      <w:r>
        <w:rPr>
          <w:rFonts w:ascii="Arial" w:cs="Arial" w:eastAsia="Arial" w:hAnsi="Arial"/>
          <w:sz w:val="15"/>
          <w:szCs w:val="15"/>
          <w:color w:val="auto"/>
        </w:rPr>
        <w:t>The Nominating and Governance Committee will consider director candidates recommended by stockholders in accordance with our bylaws. For a stockholder to make any nomination for election to the Board of Directors at an annual meeting, the stockholder must provide notice and certain information about the recommending stockholder and the nominee to the Company, which notice must be delivered to, or mailed and received at, the Company’s principal executive offices:</w:t>
      </w:r>
    </w:p>
    <w:p>
      <w:pPr>
        <w:spacing w:after="0" w:line="81" w:lineRule="exact"/>
        <w:rPr>
          <w:sz w:val="20"/>
          <w:szCs w:val="20"/>
          <w:color w:val="auto"/>
        </w:rPr>
      </w:pPr>
    </w:p>
    <w:p>
      <w:pPr>
        <w:ind w:left="280" w:right="40" w:hanging="273"/>
        <w:spacing w:after="0" w:line="213" w:lineRule="auto"/>
        <w:tabs>
          <w:tab w:leader="none" w:pos="280" w:val="left"/>
        </w:tabs>
        <w:numPr>
          <w:ilvl w:val="0"/>
          <w:numId w:val="137"/>
        </w:numPr>
        <w:rPr>
          <w:rFonts w:ascii="Arial" w:cs="Arial" w:eastAsia="Arial" w:hAnsi="Arial"/>
          <w:sz w:val="15"/>
          <w:szCs w:val="15"/>
          <w:color w:val="auto"/>
        </w:rPr>
      </w:pPr>
      <w:r>
        <w:rPr>
          <w:rFonts w:ascii="Arial" w:cs="Arial" w:eastAsia="Arial" w:hAnsi="Arial"/>
          <w:sz w:val="15"/>
          <w:szCs w:val="15"/>
          <w:color w:val="auto"/>
        </w:rPr>
        <w:t>no later than the close of business on the 90</w:t>
      </w:r>
      <w:r>
        <w:rPr>
          <w:rFonts w:ascii="Arial" w:cs="Arial" w:eastAsia="Arial" w:hAnsi="Arial"/>
          <w:sz w:val="22"/>
          <w:szCs w:val="22"/>
          <w:color w:val="auto"/>
          <w:vertAlign w:val="superscript"/>
        </w:rPr>
        <w:t>th</w:t>
      </w:r>
      <w:r>
        <w:rPr>
          <w:rFonts w:ascii="Arial" w:cs="Arial" w:eastAsia="Arial" w:hAnsi="Arial"/>
          <w:sz w:val="15"/>
          <w:szCs w:val="15"/>
          <w:color w:val="auto"/>
        </w:rPr>
        <w:t xml:space="preserve"> day nor earlier than the close of business on the 120</w:t>
      </w:r>
      <w:r>
        <w:rPr>
          <w:rFonts w:ascii="Arial" w:cs="Arial" w:eastAsia="Arial" w:hAnsi="Arial"/>
          <w:sz w:val="22"/>
          <w:szCs w:val="22"/>
          <w:color w:val="auto"/>
          <w:vertAlign w:val="superscript"/>
        </w:rPr>
        <w:t>th</w:t>
      </w:r>
      <w:r>
        <w:rPr>
          <w:rFonts w:ascii="Arial" w:cs="Arial" w:eastAsia="Arial" w:hAnsi="Arial"/>
          <w:sz w:val="15"/>
          <w:szCs w:val="15"/>
          <w:color w:val="auto"/>
        </w:rPr>
        <w:t xml:space="preserve"> day, prior to the anniversary date of the prior year’s annual meeting; or</w:t>
      </w:r>
    </w:p>
    <w:p>
      <w:pPr>
        <w:spacing w:after="0" w:line="94" w:lineRule="exact"/>
        <w:rPr>
          <w:rFonts w:ascii="Arial" w:cs="Arial" w:eastAsia="Arial" w:hAnsi="Arial"/>
          <w:sz w:val="15"/>
          <w:szCs w:val="15"/>
          <w:color w:val="auto"/>
        </w:rPr>
      </w:pPr>
    </w:p>
    <w:p>
      <w:pPr>
        <w:ind w:left="280" w:hanging="273"/>
        <w:spacing w:after="0" w:line="214" w:lineRule="auto"/>
        <w:tabs>
          <w:tab w:leader="none" w:pos="280" w:val="left"/>
        </w:tabs>
        <w:numPr>
          <w:ilvl w:val="0"/>
          <w:numId w:val="137"/>
        </w:numPr>
        <w:rPr>
          <w:rFonts w:ascii="Arial" w:cs="Arial" w:eastAsia="Arial" w:hAnsi="Arial"/>
          <w:sz w:val="15"/>
          <w:szCs w:val="15"/>
          <w:color w:val="auto"/>
        </w:rPr>
      </w:pPr>
      <w:r>
        <w:rPr>
          <w:rFonts w:ascii="Arial" w:cs="Arial" w:eastAsia="Arial" w:hAnsi="Arial"/>
          <w:sz w:val="15"/>
          <w:szCs w:val="15"/>
          <w:color w:val="auto"/>
        </w:rPr>
        <w:t>if there was no annual meeting in the prior year or if the date of the current year’s annual meeting is more than 30 days earlier or more than 60 days later than the anniversary date of the prior year’s annual meeting, not earlier than the close of business on the 120</w:t>
      </w:r>
      <w:r>
        <w:rPr>
          <w:rFonts w:ascii="Arial" w:cs="Arial" w:eastAsia="Arial" w:hAnsi="Arial"/>
          <w:sz w:val="22"/>
          <w:szCs w:val="22"/>
          <w:color w:val="auto"/>
          <w:vertAlign w:val="superscript"/>
        </w:rPr>
        <w:t>th</w:t>
      </w:r>
      <w:r>
        <w:rPr>
          <w:rFonts w:ascii="Arial" w:cs="Arial" w:eastAsia="Arial" w:hAnsi="Arial"/>
          <w:sz w:val="15"/>
          <w:szCs w:val="15"/>
          <w:color w:val="auto"/>
        </w:rPr>
        <w:t xml:space="preserve"> day prior to the current year’s annual meeting nor later than the close of business on the later of (a) the 90</w:t>
      </w:r>
      <w:r>
        <w:rPr>
          <w:rFonts w:ascii="Arial" w:cs="Arial" w:eastAsia="Arial" w:hAnsi="Arial"/>
          <w:sz w:val="22"/>
          <w:szCs w:val="22"/>
          <w:color w:val="auto"/>
          <w:vertAlign w:val="superscript"/>
        </w:rPr>
        <w:t>th</w:t>
      </w:r>
      <w:r>
        <w:rPr>
          <w:rFonts w:ascii="Arial" w:cs="Arial" w:eastAsia="Arial" w:hAnsi="Arial"/>
          <w:sz w:val="15"/>
          <w:szCs w:val="15"/>
          <w:color w:val="auto"/>
        </w:rPr>
        <w:t xml:space="preserve"> day prior to the date of the current year’s annual meeting and (b) the 10</w:t>
      </w:r>
      <w:r>
        <w:rPr>
          <w:rFonts w:ascii="Arial" w:cs="Arial" w:eastAsia="Arial" w:hAnsi="Arial"/>
          <w:sz w:val="22"/>
          <w:szCs w:val="22"/>
          <w:color w:val="auto"/>
          <w:vertAlign w:val="superscript"/>
        </w:rPr>
        <w:t>th</w:t>
      </w:r>
      <w:r>
        <w:rPr>
          <w:rFonts w:ascii="Arial" w:cs="Arial" w:eastAsia="Arial" w:hAnsi="Arial"/>
          <w:sz w:val="15"/>
          <w:szCs w:val="15"/>
          <w:color w:val="auto"/>
        </w:rPr>
        <w:t xml:space="preserve"> day after the day on which the date of the current year’s annual meeting is first disclosed in a public announcement.</w:t>
      </w:r>
    </w:p>
    <w:p>
      <w:pPr>
        <w:spacing w:after="0" w:line="83" w:lineRule="exact"/>
        <w:rPr>
          <w:sz w:val="20"/>
          <w:szCs w:val="20"/>
          <w:color w:val="auto"/>
        </w:rPr>
      </w:pPr>
    </w:p>
    <w:p>
      <w:pPr>
        <w:ind w:right="340"/>
        <w:spacing w:after="0" w:line="287" w:lineRule="auto"/>
        <w:rPr>
          <w:sz w:val="20"/>
          <w:szCs w:val="20"/>
          <w:color w:val="auto"/>
        </w:rPr>
      </w:pPr>
      <w:r>
        <w:rPr>
          <w:rFonts w:ascii="Arial" w:cs="Arial" w:eastAsia="Arial" w:hAnsi="Arial"/>
          <w:sz w:val="15"/>
          <w:szCs w:val="15"/>
          <w:color w:val="auto"/>
        </w:rPr>
        <w:t>In addition, to comply with the universal proxy rules, any stockholder that intends to solicit proxies in support of a director candidate other than our director candidates must comply with SEC Rule 14a-19.</w:t>
      </w:r>
    </w:p>
    <w:p>
      <w:pPr>
        <w:spacing w:after="0" w:line="47" w:lineRule="exact"/>
        <w:rPr>
          <w:sz w:val="20"/>
          <w:szCs w:val="20"/>
          <w:color w:val="auto"/>
        </w:rPr>
      </w:pPr>
    </w:p>
    <w:p>
      <w:pPr>
        <w:ind w:right="180"/>
        <w:spacing w:after="0" w:line="268" w:lineRule="auto"/>
        <w:rPr>
          <w:sz w:val="20"/>
          <w:szCs w:val="20"/>
          <w:color w:val="auto"/>
        </w:rPr>
      </w:pPr>
      <w:r>
        <w:rPr>
          <w:rFonts w:ascii="Arial" w:cs="Arial" w:eastAsia="Arial" w:hAnsi="Arial"/>
          <w:sz w:val="15"/>
          <w:szCs w:val="15"/>
          <w:color w:val="auto"/>
        </w:rPr>
        <w:t>Submissions must be in writing and addressed to the Nominating and Governance Committee, care of Corporate Secretary, LPL Financial Holdings Inc., 1055 LPL Way, Fort Mill, South Carolina 29715. Electronic submissions will not be considered.</w:t>
      </w:r>
    </w:p>
    <w:p>
      <w:pPr>
        <w:spacing w:after="0" w:line="7373" w:lineRule="exact"/>
        <w:rPr>
          <w:sz w:val="20"/>
          <w:szCs w:val="20"/>
          <w:color w:val="auto"/>
        </w:rPr>
      </w:pPr>
    </w:p>
    <w:p>
      <w:pPr>
        <w:sectPr>
          <w:pgSz w:w="11900" w:h="16838" w:orient="portrait"/>
          <w:cols w:equalWidth="0" w:num="2">
            <w:col w:w="2160" w:space="560"/>
            <w:col w:w="7940"/>
          </w:cols>
          <w:pgMar w:left="320" w:top="463" w:right="919" w:bottom="1440" w:gutter="0" w:footer="0" w:header="0"/>
        </w:sectPr>
      </w:pPr>
    </w:p>
    <w:p>
      <w:pPr>
        <w:spacing w:after="0" w:line="200" w:lineRule="exact"/>
        <w:rPr>
          <w:sz w:val="20"/>
          <w:szCs w:val="20"/>
          <w:color w:val="auto"/>
        </w:rPr>
      </w:pPr>
    </w:p>
    <w:p>
      <w:pPr>
        <w:spacing w:after="0" w:line="385" w:lineRule="exact"/>
        <w:rPr>
          <w:sz w:val="20"/>
          <w:szCs w:val="20"/>
          <w:color w:val="auto"/>
        </w:rPr>
      </w:pPr>
    </w:p>
    <w:p>
      <w:pPr>
        <w:ind w:left="420"/>
        <w:spacing w:after="0"/>
        <w:tabs>
          <w:tab w:leader="none" w:pos="2380" w:val="left"/>
          <w:tab w:leader="none" w:pos="2800" w:val="left"/>
        </w:tabs>
        <w:rPr>
          <w:sz w:val="20"/>
          <w:szCs w:val="20"/>
          <w:color w:val="auto"/>
        </w:rPr>
      </w:pPr>
      <w:r>
        <w:rPr>
          <w:rFonts w:ascii="Arial" w:cs="Arial" w:eastAsia="Arial" w:hAnsi="Arial"/>
          <w:sz w:val="30"/>
          <w:szCs w:val="30"/>
          <w:color w:val="000000"/>
          <w:vertAlign w:val="superscript"/>
        </w:rPr>
        <w:t xml:space="preserve">             </w:t>
      </w:r>
      <w:r>
        <w:rPr>
          <w:sz w:val="20"/>
          <w:szCs w:val="20"/>
          <w:color w:val="auto"/>
        </w:rPr>
        <w:tab/>
      </w:r>
      <w:r>
        <w:rPr>
          <w:rFonts w:ascii="Arial" w:cs="Arial" w:eastAsia="Arial" w:hAnsi="Arial"/>
          <w:sz w:val="31"/>
          <w:szCs w:val="31"/>
          <w:color w:val="auto"/>
          <w:vertAlign w:val="superscript"/>
        </w:rPr>
        <w:t xml:space="preserve">    </w:t>
      </w:r>
      <w:r>
        <w:rPr>
          <w:sz w:val="20"/>
          <w:szCs w:val="20"/>
          <w:color w:val="auto"/>
        </w:rPr>
        <w:tab/>
      </w:r>
      <w:r>
        <w:rPr>
          <w:rFonts w:ascii="Arial" w:cs="Arial" w:eastAsia="Arial" w:hAnsi="Arial"/>
          <w:sz w:val="15"/>
          <w:szCs w:val="15"/>
          <w:b w:val="1"/>
          <w:bCs w:val="1"/>
          <w:color w:val="002B5F"/>
        </w:rPr>
        <w:t xml:space="preserve">94  </w:t>
      </w:r>
      <w:r>
        <w:rPr>
          <w:rFonts w:ascii="Arial" w:cs="Arial" w:eastAsia="Arial" w:hAnsi="Arial"/>
          <w:sz w:val="20"/>
          <w:szCs w:val="20"/>
          <w:color w:val="002B5F"/>
        </w:rPr>
        <w:t>|</w:t>
      </w:r>
      <w:r>
        <w:rPr>
          <w:rFonts w:ascii="Arial" w:cs="Arial" w:eastAsia="Arial" w:hAnsi="Arial"/>
          <w:sz w:val="15"/>
          <w:szCs w:val="15"/>
          <w:b w:val="1"/>
          <w:bCs w:val="1"/>
          <w:color w:val="002B5F"/>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6111875</wp:posOffset>
            </wp:positionH>
            <wp:positionV relativeFrom="paragraph">
              <wp:posOffset>-208915</wp:posOffset>
            </wp:positionV>
            <wp:extent cx="769620" cy="971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69620" cy="97155"/>
                    </a:xfrm>
                    <a:prstGeom prst="rect">
                      <a:avLst/>
                    </a:prstGeom>
                    <a:noFill/>
                  </pic:spPr>
                </pic:pic>
              </a:graphicData>
            </a:graphic>
          </wp:anchor>
        </w:drawing>
      </w:r>
    </w:p>
    <w:p>
      <w:pPr>
        <w:sectPr>
          <w:pgSz w:w="11900" w:h="16838" w:orient="portrait"/>
          <w:cols w:equalWidth="0" w:num="1">
            <w:col w:w="10660"/>
          </w:cols>
          <w:pgMar w:left="320" w:top="463" w:right="919" w:bottom="1440" w:gutter="0" w:footer="0" w:header="0"/>
          <w:type w:val="continuous"/>
        </w:sectPr>
      </w:pPr>
    </w:p>
    <w:bookmarkStart w:id="102" w:name="page103"/>
    <w:bookmarkEnd w:id="10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5334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181215" cy="53340"/>
                    </a:xfrm>
                    <a:prstGeom prst="rect">
                      <a:avLst/>
                    </a:prstGeom>
                    <a:noFill/>
                  </pic:spPr>
                </pic:pic>
              </a:graphicData>
            </a:graphic>
          </wp:anchor>
        </w:drawing>
        <w:t>Table of Contents</w:t>
      </w:r>
    </w:p>
    <w:p>
      <w:pPr>
        <w:spacing w:after="0" w:line="186" w:lineRule="exact"/>
        <w:rPr>
          <w:sz w:val="20"/>
          <w:szCs w:val="20"/>
          <w:color w:val="auto"/>
        </w:rPr>
      </w:pPr>
    </w:p>
    <w:tbl>
      <w:tblPr>
        <w:tblLayout w:type="fixed"/>
        <w:tblInd w:w="540" w:type="dxa"/>
        <w:tblCellMar>
          <w:top w:w="0" w:type="dxa"/>
          <w:left w:w="0" w:type="dxa"/>
          <w:bottom w:w="0" w:type="dxa"/>
          <w:right w:w="0" w:type="dxa"/>
        </w:tblCellMar>
      </w:tblPr>
      <w:tr>
        <w:trPr>
          <w:trHeight w:val="552"/>
        </w:trPr>
        <w:tc>
          <w:tcPr>
            <w:tcW w:w="7880" w:type="dxa"/>
            <w:vAlign w:val="bottom"/>
          </w:tcPr>
          <w:p>
            <w:pPr>
              <w:spacing w:after="0"/>
              <w:rPr>
                <w:sz w:val="20"/>
                <w:szCs w:val="20"/>
                <w:color w:val="auto"/>
              </w:rPr>
            </w:pPr>
            <w:r>
              <w:rPr>
                <w:rFonts w:ascii="Times New Roman" w:cs="Times New Roman" w:eastAsia="Times New Roman" w:hAnsi="Times New Roman"/>
                <w:sz w:val="48"/>
                <w:szCs w:val="48"/>
                <w:b w:val="1"/>
                <w:bCs w:val="1"/>
                <w:color w:val="002B5F"/>
              </w:rPr>
              <w:t>Delinquent Section 16(a) Reports</w:t>
            </w:r>
          </w:p>
        </w:tc>
        <w:tc>
          <w:tcPr>
            <w:tcW w:w="420" w:type="dxa"/>
            <w:vAlign w:val="bottom"/>
          </w:tcPr>
          <w:p>
            <w:pPr>
              <w:spacing w:after="0"/>
              <w:rPr>
                <w:sz w:val="24"/>
                <w:szCs w:val="24"/>
                <w:color w:val="auto"/>
              </w:rPr>
            </w:pPr>
          </w:p>
        </w:tc>
        <w:tc>
          <w:tcPr>
            <w:tcW w:w="240" w:type="dxa"/>
            <w:vAlign w:val="bottom"/>
            <w:vMerge w:val="restart"/>
            <w:shd w:val="clear" w:color="auto" w:fill="002B5F"/>
          </w:tcPr>
          <w:p>
            <w:pPr>
              <w:ind w:left="40"/>
              <w:spacing w:after="0"/>
              <w:rPr>
                <w:sz w:val="20"/>
                <w:szCs w:val="20"/>
                <w:color w:val="auto"/>
              </w:rPr>
            </w:pPr>
            <w:r>
              <w:rPr>
                <w:rFonts w:ascii="Arial" w:cs="Arial" w:eastAsia="Arial" w:hAnsi="Arial"/>
                <w:sz w:val="15"/>
                <w:szCs w:val="15"/>
                <w:color w:val="auto"/>
              </w:rPr>
              <w:t> </w:t>
            </w:r>
          </w:p>
        </w:tc>
        <w:tc>
          <w:tcPr>
            <w:tcW w:w="1280" w:type="dxa"/>
            <w:vAlign w:val="bottom"/>
            <w:shd w:val="clear" w:color="auto" w:fill="002B5F"/>
          </w:tcPr>
          <w:p>
            <w:pPr>
              <w:ind w:left="140"/>
              <w:spacing w:after="0"/>
              <w:rPr>
                <w:sz w:val="20"/>
                <w:szCs w:val="20"/>
                <w:color w:val="auto"/>
              </w:rPr>
            </w:pPr>
            <w:r>
              <w:rPr>
                <w:rFonts w:ascii="Arial" w:cs="Arial" w:eastAsia="Arial" w:hAnsi="Arial"/>
                <w:sz w:val="12"/>
                <w:szCs w:val="12"/>
                <w:color w:val="FFFFFF"/>
              </w:rPr>
              <w:t>Information</w:t>
            </w:r>
          </w:p>
        </w:tc>
        <w:tc>
          <w:tcPr>
            <w:tcW w:w="460" w:type="dxa"/>
            <w:vAlign w:val="bottom"/>
            <w:vMerge w:val="restart"/>
            <w:shd w:val="clear" w:color="auto" w:fill="002B5F"/>
          </w:tcPr>
          <w:p>
            <w:pPr>
              <w:ind w:left="80"/>
              <w:spacing w:after="0"/>
              <w:rPr>
                <w:sz w:val="20"/>
                <w:szCs w:val="20"/>
                <w:color w:val="auto"/>
              </w:rPr>
            </w:pPr>
            <w:r>
              <w:rPr>
                <w:rFonts w:ascii="Arial" w:cs="Arial" w:eastAsia="Arial" w:hAnsi="Arial"/>
                <w:sz w:val="15"/>
                <w:szCs w:val="15"/>
                <w:color w:val="auto"/>
              </w:rPr>
              <w:t xml:space="preserve">       </w:t>
            </w:r>
          </w:p>
        </w:tc>
        <w:tc>
          <w:tcPr>
            <w:tcW w:w="0" w:type="dxa"/>
            <w:vAlign w:val="bottom"/>
          </w:tcPr>
          <w:p>
            <w:pPr>
              <w:spacing w:after="0"/>
              <w:rPr>
                <w:sz w:val="1"/>
                <w:szCs w:val="1"/>
                <w:color w:val="auto"/>
              </w:rPr>
            </w:pPr>
          </w:p>
        </w:tc>
      </w:tr>
      <w:tr>
        <w:trPr>
          <w:trHeight w:val="194"/>
        </w:trPr>
        <w:tc>
          <w:tcPr>
            <w:tcW w:w="78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40" w:type="dxa"/>
            <w:vAlign w:val="bottom"/>
            <w:vMerge w:val="continue"/>
            <w:shd w:val="clear" w:color="auto" w:fill="002B5F"/>
          </w:tcPr>
          <w:p>
            <w:pPr>
              <w:spacing w:after="0"/>
              <w:rPr>
                <w:sz w:val="16"/>
                <w:szCs w:val="16"/>
                <w:color w:val="auto"/>
              </w:rPr>
            </w:pPr>
          </w:p>
        </w:tc>
        <w:tc>
          <w:tcPr>
            <w:tcW w:w="1280" w:type="dxa"/>
            <w:vAlign w:val="bottom"/>
            <w:shd w:val="clear" w:color="auto" w:fill="002B5F"/>
          </w:tcPr>
          <w:p>
            <w:pPr>
              <w:ind w:left="140"/>
              <w:spacing w:after="0"/>
              <w:rPr>
                <w:sz w:val="20"/>
                <w:szCs w:val="20"/>
                <w:color w:val="auto"/>
              </w:rPr>
            </w:pPr>
            <w:r>
              <w:rPr>
                <w:rFonts w:ascii="Arial" w:cs="Arial" w:eastAsia="Arial" w:hAnsi="Arial"/>
                <w:sz w:val="12"/>
                <w:szCs w:val="12"/>
                <w:color w:val="FFFFFF"/>
              </w:rPr>
              <w:t>General</w:t>
            </w:r>
          </w:p>
        </w:tc>
        <w:tc>
          <w:tcPr>
            <w:tcW w:w="460" w:type="dxa"/>
            <w:vAlign w:val="bottom"/>
            <w:vMerge w:val="continue"/>
            <w:shd w:val="clear" w:color="auto" w:fill="002B5F"/>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7880" w:type="dxa"/>
            <w:vAlign w:val="bottom"/>
            <w:tcBorders>
              <w:bottom w:val="single" w:sz="8" w:color="auto"/>
            </w:tcBorders>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Borders>
              <w:bottom w:val="single" w:sz="8" w:color="002B5F"/>
            </w:tcBorders>
            <w:shd w:val="clear" w:color="auto" w:fill="002B5F"/>
          </w:tcPr>
          <w:p>
            <w:pPr>
              <w:spacing w:after="0"/>
              <w:rPr>
                <w:sz w:val="13"/>
                <w:szCs w:val="13"/>
                <w:color w:val="auto"/>
              </w:rPr>
            </w:pPr>
          </w:p>
        </w:tc>
        <w:tc>
          <w:tcPr>
            <w:tcW w:w="1280" w:type="dxa"/>
            <w:vAlign w:val="bottom"/>
            <w:tcBorders>
              <w:bottom w:val="single" w:sz="8" w:color="002B5F"/>
            </w:tcBorders>
            <w:vMerge w:val="restart"/>
            <w:shd w:val="clear" w:color="auto" w:fill="002B5F"/>
          </w:tcPr>
          <w:p>
            <w:pPr>
              <w:ind w:left="140"/>
              <w:spacing w:after="0"/>
              <w:rPr>
                <w:sz w:val="20"/>
                <w:szCs w:val="20"/>
                <w:color w:val="auto"/>
              </w:rPr>
            </w:pPr>
            <w:r>
              <w:rPr>
                <w:rFonts w:ascii="Arial" w:cs="Arial" w:eastAsia="Arial" w:hAnsi="Arial"/>
                <w:sz w:val="12"/>
                <w:szCs w:val="12"/>
                <w:color w:val="FFFFFF"/>
              </w:rPr>
              <w:t>General Information</w:t>
            </w:r>
          </w:p>
        </w:tc>
        <w:tc>
          <w:tcPr>
            <w:tcW w:w="460" w:type="dxa"/>
            <w:vAlign w:val="bottom"/>
            <w:tcBorders>
              <w:bottom w:val="single" w:sz="8" w:color="002B5F"/>
            </w:tcBorders>
            <w:shd w:val="clear" w:color="auto" w:fill="002B5F"/>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78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shd w:val="clear" w:color="auto" w:fill="002B5F"/>
          </w:tcPr>
          <w:p>
            <w:pPr>
              <w:spacing w:after="0"/>
              <w:rPr>
                <w:sz w:val="14"/>
                <w:szCs w:val="14"/>
                <w:color w:val="auto"/>
              </w:rPr>
            </w:pPr>
          </w:p>
        </w:tc>
        <w:tc>
          <w:tcPr>
            <w:tcW w:w="1280" w:type="dxa"/>
            <w:vAlign w:val="bottom"/>
            <w:vMerge w:val="continue"/>
            <w:shd w:val="clear" w:color="auto" w:fill="002B5F"/>
          </w:tcPr>
          <w:p>
            <w:pPr>
              <w:spacing w:after="0"/>
              <w:rPr>
                <w:sz w:val="14"/>
                <w:szCs w:val="14"/>
                <w:color w:val="auto"/>
              </w:rPr>
            </w:pPr>
          </w:p>
        </w:tc>
        <w:tc>
          <w:tcPr>
            <w:tcW w:w="460" w:type="dxa"/>
            <w:vAlign w:val="bottom"/>
            <w:shd w:val="clear" w:color="auto" w:fill="002B5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7880" w:type="dxa"/>
            <w:vAlign w:val="bottom"/>
          </w:tcPr>
          <w:p>
            <w:pPr>
              <w:spacing w:after="0" w:line="171" w:lineRule="exact"/>
              <w:rPr>
                <w:sz w:val="20"/>
                <w:szCs w:val="20"/>
                <w:color w:val="auto"/>
              </w:rPr>
            </w:pPr>
            <w:r>
              <w:rPr>
                <w:rFonts w:ascii="Arial" w:cs="Arial" w:eastAsia="Arial" w:hAnsi="Arial"/>
                <w:sz w:val="15"/>
                <w:szCs w:val="15"/>
                <w:color w:val="auto"/>
              </w:rPr>
              <w:t>Section 16(a) of the Exchange Act requires the Company’s directors, executive officers and persons who own more</w:t>
            </w:r>
          </w:p>
        </w:tc>
        <w:tc>
          <w:tcPr>
            <w:tcW w:w="420" w:type="dxa"/>
            <w:vAlign w:val="bottom"/>
          </w:tcPr>
          <w:p>
            <w:pPr>
              <w:spacing w:after="0"/>
              <w:rPr>
                <w:sz w:val="14"/>
                <w:szCs w:val="14"/>
                <w:color w:val="auto"/>
              </w:rPr>
            </w:pPr>
          </w:p>
        </w:tc>
        <w:tc>
          <w:tcPr>
            <w:tcW w:w="240" w:type="dxa"/>
            <w:vAlign w:val="bottom"/>
            <w:shd w:val="clear" w:color="auto" w:fill="002B5F"/>
          </w:tcPr>
          <w:p>
            <w:pPr>
              <w:spacing w:after="0"/>
              <w:rPr>
                <w:sz w:val="14"/>
                <w:szCs w:val="14"/>
                <w:color w:val="auto"/>
              </w:rPr>
            </w:pPr>
          </w:p>
        </w:tc>
        <w:tc>
          <w:tcPr>
            <w:tcW w:w="1280" w:type="dxa"/>
            <w:vAlign w:val="bottom"/>
            <w:shd w:val="clear" w:color="auto" w:fill="002B5F"/>
          </w:tcPr>
          <w:p>
            <w:pPr>
              <w:ind w:left="140"/>
              <w:spacing w:after="0"/>
              <w:rPr>
                <w:sz w:val="20"/>
                <w:szCs w:val="20"/>
                <w:color w:val="auto"/>
              </w:rPr>
            </w:pPr>
            <w:r>
              <w:rPr>
                <w:rFonts w:ascii="Arial" w:cs="Arial" w:eastAsia="Arial" w:hAnsi="Arial"/>
                <w:sz w:val="12"/>
                <w:szCs w:val="12"/>
                <w:color w:val="FFFFFF"/>
              </w:rPr>
              <w:t>About Corporate</w:t>
            </w:r>
          </w:p>
        </w:tc>
        <w:tc>
          <w:tcPr>
            <w:tcW w:w="460" w:type="dxa"/>
            <w:vAlign w:val="bottom"/>
            <w:shd w:val="clear" w:color="auto" w:fill="002B5F"/>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7880" w:type="dxa"/>
            <w:vAlign w:val="bottom"/>
            <w:vMerge w:val="restart"/>
          </w:tcPr>
          <w:p>
            <w:pPr>
              <w:spacing w:after="0"/>
              <w:rPr>
                <w:sz w:val="20"/>
                <w:szCs w:val="20"/>
                <w:color w:val="auto"/>
              </w:rPr>
            </w:pPr>
            <w:r>
              <w:rPr>
                <w:rFonts w:ascii="Arial" w:cs="Arial" w:eastAsia="Arial" w:hAnsi="Arial"/>
                <w:sz w:val="15"/>
                <w:szCs w:val="15"/>
                <w:color w:val="auto"/>
              </w:rPr>
              <w:t>than 10% of a registered class of the Company’s equity securities (collectively, the “Reporting Persons”), to file with</w:t>
            </w:r>
          </w:p>
        </w:tc>
        <w:tc>
          <w:tcPr>
            <w:tcW w:w="420" w:type="dxa"/>
            <w:vAlign w:val="bottom"/>
          </w:tcPr>
          <w:p>
            <w:pPr>
              <w:spacing w:after="0"/>
              <w:rPr>
                <w:sz w:val="7"/>
                <w:szCs w:val="7"/>
                <w:color w:val="auto"/>
              </w:rPr>
            </w:pPr>
          </w:p>
        </w:tc>
        <w:tc>
          <w:tcPr>
            <w:tcW w:w="240" w:type="dxa"/>
            <w:vAlign w:val="bottom"/>
            <w:shd w:val="clear" w:color="auto" w:fill="002B5F"/>
          </w:tcPr>
          <w:p>
            <w:pPr>
              <w:spacing w:after="0"/>
              <w:rPr>
                <w:sz w:val="7"/>
                <w:szCs w:val="7"/>
                <w:color w:val="auto"/>
              </w:rPr>
            </w:pPr>
          </w:p>
        </w:tc>
        <w:tc>
          <w:tcPr>
            <w:tcW w:w="1280" w:type="dxa"/>
            <w:vAlign w:val="bottom"/>
            <w:shd w:val="clear" w:color="auto" w:fill="002B5F"/>
          </w:tcPr>
          <w:p>
            <w:pPr>
              <w:ind w:left="140"/>
              <w:spacing w:after="0" w:line="85" w:lineRule="exact"/>
              <w:rPr>
                <w:sz w:val="20"/>
                <w:szCs w:val="20"/>
                <w:color w:val="auto"/>
              </w:rPr>
            </w:pPr>
            <w:r>
              <w:rPr>
                <w:rFonts w:ascii="Arial" w:cs="Arial" w:eastAsia="Arial" w:hAnsi="Arial"/>
                <w:sz w:val="8"/>
                <w:szCs w:val="8"/>
                <w:color w:val="FFFFFF"/>
              </w:rPr>
              <w:t>Governance</w:t>
            </w:r>
          </w:p>
        </w:tc>
        <w:tc>
          <w:tcPr>
            <w:tcW w:w="460" w:type="dxa"/>
            <w:vAlign w:val="bottom"/>
            <w:shd w:val="clear" w:color="auto" w:fill="002B5F"/>
          </w:tcPr>
          <w:p>
            <w:pPr>
              <w:spacing w:after="0"/>
              <w:rPr>
                <w:sz w:val="7"/>
                <w:szCs w:val="7"/>
                <w:color w:val="auto"/>
              </w:rPr>
            </w:pPr>
          </w:p>
        </w:tc>
        <w:tc>
          <w:tcPr>
            <w:tcW w:w="0" w:type="dxa"/>
            <w:vAlign w:val="bottom"/>
          </w:tcPr>
          <w:p>
            <w:pPr>
              <w:spacing w:after="0"/>
              <w:rPr>
                <w:sz w:val="1"/>
                <w:szCs w:val="1"/>
                <w:color w:val="auto"/>
              </w:rPr>
            </w:pPr>
          </w:p>
        </w:tc>
      </w:tr>
      <w:tr>
        <w:trPr>
          <w:trHeight w:val="120"/>
        </w:trPr>
        <w:tc>
          <w:tcPr>
            <w:tcW w:w="7880" w:type="dxa"/>
            <w:vAlign w:val="bottom"/>
            <w:vMerge w:val="continue"/>
          </w:tcPr>
          <w:p>
            <w:pPr>
              <w:spacing w:after="0"/>
              <w:rPr>
                <w:sz w:val="10"/>
                <w:szCs w:val="10"/>
                <w:color w:val="auto"/>
              </w:rPr>
            </w:pPr>
          </w:p>
        </w:tc>
        <w:tc>
          <w:tcPr>
            <w:tcW w:w="420" w:type="dxa"/>
            <w:vAlign w:val="bottom"/>
          </w:tcPr>
          <w:p>
            <w:pPr>
              <w:spacing w:after="0"/>
              <w:rPr>
                <w:sz w:val="10"/>
                <w:szCs w:val="10"/>
                <w:color w:val="auto"/>
              </w:rPr>
            </w:pPr>
          </w:p>
        </w:tc>
        <w:tc>
          <w:tcPr>
            <w:tcW w:w="240" w:type="dxa"/>
            <w:vAlign w:val="bottom"/>
            <w:shd w:val="clear" w:color="auto" w:fill="002B5F"/>
          </w:tcPr>
          <w:p>
            <w:pPr>
              <w:spacing w:after="0"/>
              <w:rPr>
                <w:sz w:val="10"/>
                <w:szCs w:val="10"/>
                <w:color w:val="auto"/>
              </w:rPr>
            </w:pPr>
          </w:p>
        </w:tc>
        <w:tc>
          <w:tcPr>
            <w:tcW w:w="1280" w:type="dxa"/>
            <w:vAlign w:val="bottom"/>
            <w:shd w:val="clear" w:color="auto" w:fill="002B5F"/>
          </w:tcPr>
          <w:p>
            <w:pPr>
              <w:ind w:left="140"/>
              <w:spacing w:after="0" w:line="121" w:lineRule="exact"/>
              <w:rPr>
                <w:sz w:val="20"/>
                <w:szCs w:val="20"/>
                <w:color w:val="auto"/>
              </w:rPr>
            </w:pPr>
            <w:r>
              <w:rPr>
                <w:rFonts w:ascii="Arial" w:cs="Arial" w:eastAsia="Arial" w:hAnsi="Arial"/>
                <w:sz w:val="12"/>
                <w:szCs w:val="12"/>
                <w:color w:val="FFFFFF"/>
              </w:rPr>
              <w:t>and the Board of</w:t>
            </w:r>
          </w:p>
        </w:tc>
        <w:tc>
          <w:tcPr>
            <w:tcW w:w="460" w:type="dxa"/>
            <w:vAlign w:val="bottom"/>
            <w:shd w:val="clear" w:color="auto" w:fill="002B5F"/>
          </w:tcPr>
          <w:p>
            <w:pPr>
              <w:spacing w:after="0"/>
              <w:rPr>
                <w:sz w:val="10"/>
                <w:szCs w:val="10"/>
                <w:color w:val="auto"/>
              </w:rPr>
            </w:pPr>
          </w:p>
        </w:tc>
        <w:tc>
          <w:tcPr>
            <w:tcW w:w="0" w:type="dxa"/>
            <w:vAlign w:val="bottom"/>
          </w:tcPr>
          <w:p>
            <w:pPr>
              <w:spacing w:after="0"/>
              <w:rPr>
                <w:sz w:val="1"/>
                <w:szCs w:val="1"/>
                <w:color w:val="auto"/>
              </w:rPr>
            </w:pPr>
          </w:p>
        </w:tc>
      </w:tr>
      <w:tr>
        <w:trPr>
          <w:trHeight w:val="179"/>
        </w:trPr>
        <w:tc>
          <w:tcPr>
            <w:tcW w:w="7880" w:type="dxa"/>
            <w:vAlign w:val="bottom"/>
          </w:tcPr>
          <w:p>
            <w:pPr>
              <w:spacing w:after="0"/>
              <w:rPr>
                <w:sz w:val="20"/>
                <w:szCs w:val="20"/>
                <w:color w:val="auto"/>
              </w:rPr>
            </w:pPr>
            <w:r>
              <w:rPr>
                <w:rFonts w:ascii="Arial" w:cs="Arial" w:eastAsia="Arial" w:hAnsi="Arial"/>
                <w:sz w:val="15"/>
                <w:szCs w:val="15"/>
                <w:color w:val="auto"/>
              </w:rPr>
              <w:t>the SEC initial reports of ownership and reports of changes in ownership of common stock and other equity</w:t>
            </w:r>
          </w:p>
        </w:tc>
        <w:tc>
          <w:tcPr>
            <w:tcW w:w="420" w:type="dxa"/>
            <w:vAlign w:val="bottom"/>
          </w:tcPr>
          <w:p>
            <w:pPr>
              <w:spacing w:after="0"/>
              <w:rPr>
                <w:sz w:val="15"/>
                <w:szCs w:val="15"/>
                <w:color w:val="auto"/>
              </w:rPr>
            </w:pPr>
          </w:p>
        </w:tc>
        <w:tc>
          <w:tcPr>
            <w:tcW w:w="240" w:type="dxa"/>
            <w:vAlign w:val="bottom"/>
            <w:shd w:val="clear" w:color="auto" w:fill="002B5F"/>
          </w:tcPr>
          <w:p>
            <w:pPr>
              <w:spacing w:after="0"/>
              <w:rPr>
                <w:sz w:val="15"/>
                <w:szCs w:val="15"/>
                <w:color w:val="auto"/>
              </w:rPr>
            </w:pPr>
          </w:p>
        </w:tc>
        <w:tc>
          <w:tcPr>
            <w:tcW w:w="1280" w:type="dxa"/>
            <w:vAlign w:val="bottom"/>
            <w:shd w:val="clear" w:color="auto" w:fill="002B5F"/>
          </w:tcPr>
          <w:p>
            <w:pPr>
              <w:ind w:left="140"/>
              <w:spacing w:after="0"/>
              <w:rPr>
                <w:sz w:val="20"/>
                <w:szCs w:val="20"/>
                <w:color w:val="auto"/>
              </w:rPr>
            </w:pPr>
            <w:r>
              <w:rPr>
                <w:rFonts w:ascii="Arial" w:cs="Arial" w:eastAsia="Arial" w:hAnsi="Arial"/>
                <w:sz w:val="12"/>
                <w:szCs w:val="12"/>
                <w:color w:val="FFFFFF"/>
              </w:rPr>
              <w:t>Directors</w:t>
            </w:r>
          </w:p>
        </w:tc>
        <w:tc>
          <w:tcPr>
            <w:tcW w:w="460" w:type="dxa"/>
            <w:vAlign w:val="bottom"/>
            <w:shd w:val="clear" w:color="auto" w:fill="002B5F"/>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7880" w:type="dxa"/>
            <w:vAlign w:val="bottom"/>
          </w:tcPr>
          <w:p>
            <w:pPr>
              <w:spacing w:after="0"/>
              <w:rPr>
                <w:sz w:val="20"/>
                <w:szCs w:val="20"/>
                <w:color w:val="auto"/>
              </w:rPr>
            </w:pPr>
            <w:r>
              <w:rPr>
                <w:rFonts w:ascii="Arial" w:cs="Arial" w:eastAsia="Arial" w:hAnsi="Arial"/>
                <w:sz w:val="15"/>
                <w:szCs w:val="15"/>
                <w:color w:val="auto"/>
              </w:rPr>
              <w:t>securities of the Company. Based solely on our review of the copies of such forms and written representations of the</w:t>
            </w:r>
          </w:p>
        </w:tc>
        <w:tc>
          <w:tcPr>
            <w:tcW w:w="420" w:type="dxa"/>
            <w:vAlign w:val="bottom"/>
          </w:tcPr>
          <w:p>
            <w:pPr>
              <w:spacing w:after="0"/>
              <w:rPr>
                <w:sz w:val="15"/>
                <w:szCs w:val="15"/>
                <w:color w:val="auto"/>
              </w:rPr>
            </w:pPr>
          </w:p>
        </w:tc>
        <w:tc>
          <w:tcPr>
            <w:tcW w:w="240" w:type="dxa"/>
            <w:vAlign w:val="bottom"/>
            <w:shd w:val="clear" w:color="auto" w:fill="002B5F"/>
          </w:tcPr>
          <w:p>
            <w:pPr>
              <w:spacing w:after="0"/>
              <w:rPr>
                <w:sz w:val="15"/>
                <w:szCs w:val="15"/>
                <w:color w:val="auto"/>
              </w:rPr>
            </w:pPr>
          </w:p>
        </w:tc>
        <w:tc>
          <w:tcPr>
            <w:tcW w:w="1280" w:type="dxa"/>
            <w:vAlign w:val="bottom"/>
            <w:vMerge w:val="restart"/>
            <w:shd w:val="clear" w:color="auto" w:fill="002B5F"/>
          </w:tcPr>
          <w:p>
            <w:pPr>
              <w:ind w:left="140"/>
              <w:spacing w:after="0"/>
              <w:rPr>
                <w:sz w:val="20"/>
                <w:szCs w:val="20"/>
                <w:color w:val="auto"/>
              </w:rPr>
            </w:pPr>
            <w:r>
              <w:rPr>
                <w:rFonts w:ascii="Arial" w:cs="Arial" w:eastAsia="Arial" w:hAnsi="Arial"/>
                <w:sz w:val="12"/>
                <w:szCs w:val="12"/>
                <w:color w:val="FFFFFF"/>
              </w:rPr>
              <w:t>Proposal 1</w:t>
            </w:r>
          </w:p>
        </w:tc>
        <w:tc>
          <w:tcPr>
            <w:tcW w:w="460" w:type="dxa"/>
            <w:vAlign w:val="bottom"/>
            <w:shd w:val="clear" w:color="auto" w:fill="002B5F"/>
          </w:tcPr>
          <w:p>
            <w:pPr>
              <w:spacing w:after="0"/>
              <w:rPr>
                <w:sz w:val="15"/>
                <w:szCs w:val="15"/>
                <w:color w:val="auto"/>
              </w:rPr>
            </w:pPr>
          </w:p>
        </w:tc>
        <w:tc>
          <w:tcPr>
            <w:tcW w:w="0" w:type="dxa"/>
            <w:vAlign w:val="bottom"/>
          </w:tcPr>
          <w:p>
            <w:pPr>
              <w:spacing w:after="0"/>
              <w:rPr>
                <w:sz w:val="1"/>
                <w:szCs w:val="1"/>
                <w:color w:val="auto"/>
              </w:rPr>
            </w:pPr>
          </w:p>
        </w:tc>
      </w:tr>
      <w:tr>
        <w:trPr>
          <w:trHeight w:val="101"/>
        </w:trPr>
        <w:tc>
          <w:tcPr>
            <w:tcW w:w="7880" w:type="dxa"/>
            <w:vAlign w:val="bottom"/>
            <w:vMerge w:val="restart"/>
          </w:tcPr>
          <w:p>
            <w:pPr>
              <w:spacing w:after="0"/>
              <w:rPr>
                <w:sz w:val="20"/>
                <w:szCs w:val="20"/>
                <w:color w:val="auto"/>
              </w:rPr>
            </w:pPr>
            <w:r>
              <w:rPr>
                <w:rFonts w:ascii="Arial" w:cs="Arial" w:eastAsia="Arial" w:hAnsi="Arial"/>
                <w:sz w:val="15"/>
                <w:szCs w:val="15"/>
                <w:color w:val="auto"/>
              </w:rPr>
              <w:t>Reporting Persons received by us, we believe that there has been compliance with all Section 16(a) filing</w:t>
            </w:r>
          </w:p>
        </w:tc>
        <w:tc>
          <w:tcPr>
            <w:tcW w:w="420" w:type="dxa"/>
            <w:vAlign w:val="bottom"/>
          </w:tcPr>
          <w:p>
            <w:pPr>
              <w:spacing w:after="0"/>
              <w:rPr>
                <w:sz w:val="8"/>
                <w:szCs w:val="8"/>
                <w:color w:val="auto"/>
              </w:rPr>
            </w:pPr>
          </w:p>
        </w:tc>
        <w:tc>
          <w:tcPr>
            <w:tcW w:w="240" w:type="dxa"/>
            <w:vAlign w:val="bottom"/>
            <w:shd w:val="clear" w:color="auto" w:fill="002B5F"/>
          </w:tcPr>
          <w:p>
            <w:pPr>
              <w:spacing w:after="0"/>
              <w:rPr>
                <w:sz w:val="8"/>
                <w:szCs w:val="8"/>
                <w:color w:val="auto"/>
              </w:rPr>
            </w:pPr>
          </w:p>
        </w:tc>
        <w:tc>
          <w:tcPr>
            <w:tcW w:w="1280" w:type="dxa"/>
            <w:vAlign w:val="bottom"/>
            <w:vMerge w:val="continue"/>
            <w:shd w:val="clear" w:color="auto" w:fill="002B5F"/>
          </w:tcPr>
          <w:p>
            <w:pPr>
              <w:spacing w:after="0"/>
              <w:rPr>
                <w:sz w:val="8"/>
                <w:szCs w:val="8"/>
                <w:color w:val="auto"/>
              </w:rPr>
            </w:pPr>
          </w:p>
        </w:tc>
        <w:tc>
          <w:tcPr>
            <w:tcW w:w="460" w:type="dxa"/>
            <w:vAlign w:val="bottom"/>
            <w:shd w:val="clear" w:color="auto" w:fill="002B5F"/>
          </w:tcPr>
          <w:p>
            <w:pPr>
              <w:spacing w:after="0"/>
              <w:rPr>
                <w:sz w:val="8"/>
                <w:szCs w:val="8"/>
                <w:color w:val="auto"/>
              </w:rPr>
            </w:pPr>
          </w:p>
        </w:tc>
        <w:tc>
          <w:tcPr>
            <w:tcW w:w="0" w:type="dxa"/>
            <w:vAlign w:val="bottom"/>
          </w:tcPr>
          <w:p>
            <w:pPr>
              <w:spacing w:after="0"/>
              <w:rPr>
                <w:sz w:val="1"/>
                <w:szCs w:val="1"/>
                <w:color w:val="auto"/>
              </w:rPr>
            </w:pPr>
          </w:p>
        </w:tc>
      </w:tr>
      <w:tr>
        <w:trPr>
          <w:trHeight w:val="77"/>
        </w:trPr>
        <w:tc>
          <w:tcPr>
            <w:tcW w:w="7880" w:type="dxa"/>
            <w:vAlign w:val="bottom"/>
            <w:vMerge w:val="continue"/>
          </w:tcPr>
          <w:p>
            <w:pPr>
              <w:spacing w:after="0"/>
              <w:rPr>
                <w:sz w:val="6"/>
                <w:szCs w:val="6"/>
                <w:color w:val="auto"/>
              </w:rPr>
            </w:pPr>
          </w:p>
        </w:tc>
        <w:tc>
          <w:tcPr>
            <w:tcW w:w="420" w:type="dxa"/>
            <w:vAlign w:val="bottom"/>
          </w:tcPr>
          <w:p>
            <w:pPr>
              <w:spacing w:after="0"/>
              <w:rPr>
                <w:sz w:val="6"/>
                <w:szCs w:val="6"/>
                <w:color w:val="auto"/>
              </w:rPr>
            </w:pPr>
          </w:p>
        </w:tc>
        <w:tc>
          <w:tcPr>
            <w:tcW w:w="240" w:type="dxa"/>
            <w:vAlign w:val="bottom"/>
            <w:shd w:val="clear" w:color="auto" w:fill="002B5F"/>
          </w:tcPr>
          <w:p>
            <w:pPr>
              <w:spacing w:after="0"/>
              <w:rPr>
                <w:sz w:val="6"/>
                <w:szCs w:val="6"/>
                <w:color w:val="auto"/>
              </w:rPr>
            </w:pPr>
          </w:p>
        </w:tc>
        <w:tc>
          <w:tcPr>
            <w:tcW w:w="1280" w:type="dxa"/>
            <w:vAlign w:val="bottom"/>
            <w:shd w:val="clear" w:color="auto" w:fill="002B5F"/>
          </w:tcPr>
          <w:p>
            <w:pPr>
              <w:spacing w:after="0"/>
              <w:rPr>
                <w:sz w:val="6"/>
                <w:szCs w:val="6"/>
                <w:color w:val="auto"/>
              </w:rPr>
            </w:pPr>
          </w:p>
        </w:tc>
        <w:tc>
          <w:tcPr>
            <w:tcW w:w="460" w:type="dxa"/>
            <w:vAlign w:val="bottom"/>
            <w:shd w:val="clear" w:color="auto" w:fill="002B5F"/>
          </w:tcPr>
          <w:p>
            <w:pPr>
              <w:spacing w:after="0"/>
              <w:rPr>
                <w:sz w:val="6"/>
                <w:szCs w:val="6"/>
                <w:color w:val="auto"/>
              </w:rPr>
            </w:pPr>
          </w:p>
        </w:tc>
        <w:tc>
          <w:tcPr>
            <w:tcW w:w="0" w:type="dxa"/>
            <w:vAlign w:val="bottom"/>
          </w:tcPr>
          <w:p>
            <w:pPr>
              <w:spacing w:after="0"/>
              <w:rPr>
                <w:sz w:val="1"/>
                <w:szCs w:val="1"/>
                <w:color w:val="auto"/>
              </w:rPr>
            </w:pPr>
          </w:p>
        </w:tc>
      </w:tr>
      <w:tr>
        <w:trPr>
          <w:trHeight w:val="179"/>
        </w:trPr>
        <w:tc>
          <w:tcPr>
            <w:tcW w:w="7880" w:type="dxa"/>
            <w:vAlign w:val="bottom"/>
          </w:tcPr>
          <w:p>
            <w:pPr>
              <w:spacing w:after="0"/>
              <w:rPr>
                <w:sz w:val="20"/>
                <w:szCs w:val="20"/>
                <w:color w:val="auto"/>
              </w:rPr>
            </w:pPr>
            <w:r>
              <w:rPr>
                <w:rFonts w:ascii="Arial" w:cs="Arial" w:eastAsia="Arial" w:hAnsi="Arial"/>
                <w:sz w:val="15"/>
                <w:szCs w:val="15"/>
                <w:color w:val="auto"/>
              </w:rPr>
              <w:t>requirements applicable to such Reporting Persons with respect to the year ended December 31, 2025, except that</w:t>
            </w:r>
          </w:p>
        </w:tc>
        <w:tc>
          <w:tcPr>
            <w:tcW w:w="420" w:type="dxa"/>
            <w:vAlign w:val="bottom"/>
          </w:tcPr>
          <w:p>
            <w:pPr>
              <w:spacing w:after="0"/>
              <w:rPr>
                <w:sz w:val="15"/>
                <w:szCs w:val="15"/>
                <w:color w:val="auto"/>
              </w:rPr>
            </w:pPr>
          </w:p>
        </w:tc>
        <w:tc>
          <w:tcPr>
            <w:tcW w:w="240" w:type="dxa"/>
            <w:vAlign w:val="bottom"/>
            <w:shd w:val="clear" w:color="auto" w:fill="002B5F"/>
          </w:tcPr>
          <w:p>
            <w:pPr>
              <w:spacing w:after="0"/>
              <w:rPr>
                <w:sz w:val="15"/>
                <w:szCs w:val="15"/>
                <w:color w:val="auto"/>
              </w:rPr>
            </w:pPr>
          </w:p>
        </w:tc>
        <w:tc>
          <w:tcPr>
            <w:tcW w:w="1280" w:type="dxa"/>
            <w:vAlign w:val="bottom"/>
            <w:shd w:val="clear" w:color="auto" w:fill="002B5F"/>
          </w:tcPr>
          <w:p>
            <w:pPr>
              <w:ind w:left="140"/>
              <w:spacing w:after="0"/>
              <w:rPr>
                <w:sz w:val="20"/>
                <w:szCs w:val="20"/>
                <w:color w:val="auto"/>
              </w:rPr>
            </w:pPr>
            <w:r>
              <w:rPr>
                <w:rFonts w:ascii="Arial" w:cs="Arial" w:eastAsia="Arial" w:hAnsi="Arial"/>
                <w:sz w:val="12"/>
                <w:szCs w:val="12"/>
                <w:color w:val="FFFFFF"/>
              </w:rPr>
              <w:t>Information</w:t>
            </w:r>
          </w:p>
        </w:tc>
        <w:tc>
          <w:tcPr>
            <w:tcW w:w="460" w:type="dxa"/>
            <w:vAlign w:val="bottom"/>
            <w:shd w:val="clear" w:color="auto" w:fill="002B5F"/>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7880" w:type="dxa"/>
            <w:vAlign w:val="bottom"/>
          </w:tcPr>
          <w:p>
            <w:pPr>
              <w:spacing w:after="0" w:line="153" w:lineRule="exact"/>
              <w:rPr>
                <w:sz w:val="20"/>
                <w:szCs w:val="20"/>
                <w:color w:val="auto"/>
              </w:rPr>
            </w:pPr>
            <w:r>
              <w:rPr>
                <w:rFonts w:ascii="Arial" w:cs="Arial" w:eastAsia="Arial" w:hAnsi="Arial"/>
                <w:sz w:val="15"/>
                <w:szCs w:val="15"/>
                <w:color w:val="auto"/>
              </w:rPr>
              <w:t>due to administrative oversight Emily Field’s Form 3, which reported her equity ownership of the Company as of the</w:t>
            </w:r>
          </w:p>
        </w:tc>
        <w:tc>
          <w:tcPr>
            <w:tcW w:w="420" w:type="dxa"/>
            <w:vAlign w:val="bottom"/>
          </w:tcPr>
          <w:p>
            <w:pPr>
              <w:spacing w:after="0"/>
              <w:rPr>
                <w:sz w:val="13"/>
                <w:szCs w:val="13"/>
                <w:color w:val="auto"/>
              </w:rPr>
            </w:pPr>
          </w:p>
        </w:tc>
        <w:tc>
          <w:tcPr>
            <w:tcW w:w="240" w:type="dxa"/>
            <w:vAlign w:val="bottom"/>
            <w:shd w:val="clear" w:color="auto" w:fill="002B5F"/>
          </w:tcPr>
          <w:p>
            <w:pPr>
              <w:spacing w:after="0"/>
              <w:rPr>
                <w:sz w:val="13"/>
                <w:szCs w:val="13"/>
                <w:color w:val="auto"/>
              </w:rPr>
            </w:pPr>
          </w:p>
        </w:tc>
        <w:tc>
          <w:tcPr>
            <w:tcW w:w="1280" w:type="dxa"/>
            <w:vAlign w:val="bottom"/>
            <w:shd w:val="clear" w:color="auto" w:fill="002B5F"/>
          </w:tcPr>
          <w:p>
            <w:pPr>
              <w:ind w:left="140"/>
              <w:spacing w:after="0"/>
              <w:rPr>
                <w:sz w:val="20"/>
                <w:szCs w:val="20"/>
                <w:color w:val="auto"/>
              </w:rPr>
            </w:pPr>
            <w:r>
              <w:rPr>
                <w:rFonts w:ascii="Arial" w:cs="Arial" w:eastAsia="Arial" w:hAnsi="Arial"/>
                <w:sz w:val="12"/>
                <w:szCs w:val="12"/>
                <w:color w:val="FFFFFF"/>
              </w:rPr>
              <w:t>Regarding Board</w:t>
            </w:r>
          </w:p>
        </w:tc>
        <w:tc>
          <w:tcPr>
            <w:tcW w:w="460" w:type="dxa"/>
            <w:vAlign w:val="bottom"/>
            <w:shd w:val="clear" w:color="auto" w:fill="002B5F"/>
          </w:tcPr>
          <w:p>
            <w:pPr>
              <w:spacing w:after="0"/>
              <w:rPr>
                <w:sz w:val="13"/>
                <w:szCs w:val="13"/>
                <w:color w:val="auto"/>
              </w:rPr>
            </w:pPr>
          </w:p>
        </w:tc>
        <w:tc>
          <w:tcPr>
            <w:tcW w:w="0" w:type="dxa"/>
            <w:vAlign w:val="bottom"/>
          </w:tcPr>
          <w:p>
            <w:pPr>
              <w:spacing w:after="0"/>
              <w:rPr>
                <w:sz w:val="1"/>
                <w:szCs w:val="1"/>
                <w:color w:val="auto"/>
              </w:rPr>
            </w:pPr>
          </w:p>
        </w:tc>
      </w:tr>
      <w:tr>
        <w:trPr>
          <w:trHeight w:val="110"/>
        </w:trPr>
        <w:tc>
          <w:tcPr>
            <w:tcW w:w="7880" w:type="dxa"/>
            <w:vAlign w:val="bottom"/>
            <w:vMerge w:val="restart"/>
          </w:tcPr>
          <w:p>
            <w:pPr>
              <w:spacing w:after="0"/>
              <w:rPr>
                <w:sz w:val="20"/>
                <w:szCs w:val="20"/>
                <w:color w:val="auto"/>
              </w:rPr>
            </w:pPr>
            <w:r>
              <w:rPr>
                <w:rFonts w:ascii="Arial" w:cs="Arial" w:eastAsia="Arial" w:hAnsi="Arial"/>
                <w:sz w:val="15"/>
                <w:szCs w:val="15"/>
                <w:color w:val="auto"/>
              </w:rPr>
              <w:t>date she became an officer on August 4, 2025, was filed late on August 25, 2025.</w:t>
            </w:r>
          </w:p>
        </w:tc>
        <w:tc>
          <w:tcPr>
            <w:tcW w:w="420" w:type="dxa"/>
            <w:vAlign w:val="bottom"/>
          </w:tcPr>
          <w:p>
            <w:pPr>
              <w:spacing w:after="0"/>
              <w:rPr>
                <w:sz w:val="9"/>
                <w:szCs w:val="9"/>
                <w:color w:val="auto"/>
              </w:rPr>
            </w:pPr>
          </w:p>
        </w:tc>
        <w:tc>
          <w:tcPr>
            <w:tcW w:w="240" w:type="dxa"/>
            <w:vAlign w:val="bottom"/>
            <w:shd w:val="clear" w:color="auto" w:fill="002B5F"/>
          </w:tcPr>
          <w:p>
            <w:pPr>
              <w:spacing w:after="0"/>
              <w:rPr>
                <w:sz w:val="9"/>
                <w:szCs w:val="9"/>
                <w:color w:val="auto"/>
              </w:rPr>
            </w:pPr>
          </w:p>
        </w:tc>
        <w:tc>
          <w:tcPr>
            <w:tcW w:w="1280" w:type="dxa"/>
            <w:vAlign w:val="bottom"/>
            <w:shd w:val="clear" w:color="auto" w:fill="002B5F"/>
          </w:tcPr>
          <w:p>
            <w:pPr>
              <w:ind w:left="140"/>
              <w:spacing w:after="0" w:line="110" w:lineRule="exact"/>
              <w:rPr>
                <w:sz w:val="20"/>
                <w:szCs w:val="20"/>
                <w:color w:val="auto"/>
              </w:rPr>
            </w:pPr>
            <w:r>
              <w:rPr>
                <w:rFonts w:ascii="Arial" w:cs="Arial" w:eastAsia="Arial" w:hAnsi="Arial"/>
                <w:sz w:val="12"/>
                <w:szCs w:val="12"/>
                <w:color w:val="FFFFFF"/>
              </w:rPr>
              <w:t>and Committee</w:t>
            </w:r>
          </w:p>
        </w:tc>
        <w:tc>
          <w:tcPr>
            <w:tcW w:w="460" w:type="dxa"/>
            <w:vAlign w:val="bottom"/>
            <w:shd w:val="clear" w:color="auto" w:fill="002B5F"/>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7880" w:type="dxa"/>
            <w:vAlign w:val="bottom"/>
            <w:vMerge w:val="continue"/>
          </w:tcPr>
          <w:p>
            <w:pPr>
              <w:spacing w:after="0"/>
              <w:rPr>
                <w:sz w:val="10"/>
                <w:szCs w:val="10"/>
                <w:color w:val="auto"/>
              </w:rPr>
            </w:pPr>
          </w:p>
        </w:tc>
        <w:tc>
          <w:tcPr>
            <w:tcW w:w="420" w:type="dxa"/>
            <w:vAlign w:val="bottom"/>
          </w:tcPr>
          <w:p>
            <w:pPr>
              <w:spacing w:after="0"/>
              <w:rPr>
                <w:sz w:val="10"/>
                <w:szCs w:val="10"/>
                <w:color w:val="auto"/>
              </w:rPr>
            </w:pPr>
          </w:p>
        </w:tc>
        <w:tc>
          <w:tcPr>
            <w:tcW w:w="240" w:type="dxa"/>
            <w:vAlign w:val="bottom"/>
            <w:shd w:val="clear" w:color="auto" w:fill="002B5F"/>
          </w:tcPr>
          <w:p>
            <w:pPr>
              <w:spacing w:after="0"/>
              <w:rPr>
                <w:sz w:val="10"/>
                <w:szCs w:val="10"/>
                <w:color w:val="auto"/>
              </w:rPr>
            </w:pPr>
          </w:p>
        </w:tc>
        <w:tc>
          <w:tcPr>
            <w:tcW w:w="1280" w:type="dxa"/>
            <w:vAlign w:val="bottom"/>
            <w:vMerge w:val="restart"/>
            <w:shd w:val="clear" w:color="auto" w:fill="002B5F"/>
          </w:tcPr>
          <w:p>
            <w:pPr>
              <w:ind w:left="140"/>
              <w:spacing w:after="0"/>
              <w:rPr>
                <w:sz w:val="20"/>
                <w:szCs w:val="20"/>
                <w:color w:val="auto"/>
              </w:rPr>
            </w:pPr>
            <w:r>
              <w:rPr>
                <w:rFonts w:ascii="Arial" w:cs="Arial" w:eastAsia="Arial" w:hAnsi="Arial"/>
                <w:sz w:val="12"/>
                <w:szCs w:val="12"/>
                <w:color w:val="FFFFFF"/>
              </w:rPr>
              <w:t>Structure</w:t>
            </w:r>
          </w:p>
        </w:tc>
        <w:tc>
          <w:tcPr>
            <w:tcW w:w="460" w:type="dxa"/>
            <w:vAlign w:val="bottom"/>
            <w:shd w:val="clear" w:color="auto" w:fill="002B5F"/>
          </w:tcPr>
          <w:p>
            <w:pPr>
              <w:spacing w:after="0"/>
              <w:rPr>
                <w:sz w:val="10"/>
                <w:szCs w:val="10"/>
                <w:color w:val="auto"/>
              </w:rPr>
            </w:pPr>
          </w:p>
        </w:tc>
        <w:tc>
          <w:tcPr>
            <w:tcW w:w="0" w:type="dxa"/>
            <w:vAlign w:val="bottom"/>
          </w:tcPr>
          <w:p>
            <w:pPr>
              <w:spacing w:after="0"/>
              <w:rPr>
                <w:sz w:val="1"/>
                <w:szCs w:val="1"/>
                <w:color w:val="auto"/>
              </w:rPr>
            </w:pPr>
          </w:p>
        </w:tc>
      </w:tr>
      <w:tr>
        <w:trPr>
          <w:trHeight w:val="41"/>
        </w:trPr>
        <w:tc>
          <w:tcPr>
            <w:tcW w:w="788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shd w:val="clear" w:color="auto" w:fill="002B5F"/>
          </w:tcPr>
          <w:p>
            <w:pPr>
              <w:spacing w:after="0"/>
              <w:rPr>
                <w:sz w:val="3"/>
                <w:szCs w:val="3"/>
                <w:color w:val="auto"/>
              </w:rPr>
            </w:pPr>
          </w:p>
        </w:tc>
        <w:tc>
          <w:tcPr>
            <w:tcW w:w="1280" w:type="dxa"/>
            <w:vAlign w:val="bottom"/>
            <w:vMerge w:val="continue"/>
            <w:shd w:val="clear" w:color="auto" w:fill="002B5F"/>
          </w:tcPr>
          <w:p>
            <w:pPr>
              <w:spacing w:after="0"/>
              <w:rPr>
                <w:sz w:val="3"/>
                <w:szCs w:val="3"/>
                <w:color w:val="auto"/>
              </w:rPr>
            </w:pPr>
          </w:p>
        </w:tc>
        <w:tc>
          <w:tcPr>
            <w:tcW w:w="460" w:type="dxa"/>
            <w:vAlign w:val="bottom"/>
            <w:shd w:val="clear" w:color="auto" w:fill="002B5F"/>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78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40" w:type="dxa"/>
            <w:vAlign w:val="bottom"/>
            <w:shd w:val="clear" w:color="auto" w:fill="002B5F"/>
          </w:tcPr>
          <w:p>
            <w:pPr>
              <w:spacing w:after="0"/>
              <w:rPr>
                <w:sz w:val="22"/>
                <w:szCs w:val="22"/>
                <w:color w:val="auto"/>
              </w:rPr>
            </w:pPr>
          </w:p>
        </w:tc>
        <w:tc>
          <w:tcPr>
            <w:tcW w:w="1280" w:type="dxa"/>
            <w:vAlign w:val="bottom"/>
            <w:shd w:val="clear" w:color="auto" w:fill="002B5F"/>
          </w:tcPr>
          <w:p>
            <w:pPr>
              <w:ind w:left="140"/>
              <w:spacing w:after="0"/>
              <w:rPr>
                <w:sz w:val="20"/>
                <w:szCs w:val="20"/>
                <w:color w:val="auto"/>
              </w:rPr>
            </w:pPr>
            <w:r>
              <w:rPr>
                <w:rFonts w:ascii="Arial" w:cs="Arial" w:eastAsia="Arial" w:hAnsi="Arial"/>
                <w:sz w:val="12"/>
                <w:szCs w:val="12"/>
                <w:color w:val="FFFFFF"/>
              </w:rPr>
              <w:t>Board of Directors</w:t>
            </w:r>
          </w:p>
        </w:tc>
        <w:tc>
          <w:tcPr>
            <w:tcW w:w="460" w:type="dxa"/>
            <w:vAlign w:val="bottom"/>
            <w:shd w:val="clear" w:color="auto" w:fill="002B5F"/>
          </w:tcPr>
          <w:p>
            <w:pPr>
              <w:spacing w:after="0"/>
              <w:rPr>
                <w:sz w:val="22"/>
                <w:szCs w:val="22"/>
                <w:color w:val="auto"/>
              </w:rPr>
            </w:pPr>
          </w:p>
        </w:tc>
        <w:tc>
          <w:tcPr>
            <w:tcW w:w="0" w:type="dxa"/>
            <w:vAlign w:val="bottom"/>
          </w:tcPr>
          <w:p>
            <w:pPr>
              <w:spacing w:after="0"/>
              <w:rPr>
                <w:sz w:val="1"/>
                <w:szCs w:val="1"/>
                <w:color w:val="auto"/>
              </w:rPr>
            </w:pPr>
          </w:p>
        </w:tc>
      </w:tr>
      <w:tr>
        <w:trPr>
          <w:trHeight w:val="158"/>
        </w:trPr>
        <w:tc>
          <w:tcPr>
            <w:tcW w:w="78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shd w:val="clear" w:color="auto" w:fill="002B5F"/>
          </w:tcPr>
          <w:p>
            <w:pPr>
              <w:spacing w:after="0"/>
              <w:rPr>
                <w:sz w:val="13"/>
                <w:szCs w:val="13"/>
                <w:color w:val="auto"/>
              </w:rPr>
            </w:pPr>
          </w:p>
        </w:tc>
        <w:tc>
          <w:tcPr>
            <w:tcW w:w="1280" w:type="dxa"/>
            <w:vAlign w:val="bottom"/>
            <w:shd w:val="clear" w:color="auto" w:fill="002B5F"/>
          </w:tcPr>
          <w:p>
            <w:pPr>
              <w:ind w:left="140"/>
              <w:spacing w:after="0"/>
              <w:rPr>
                <w:sz w:val="20"/>
                <w:szCs w:val="20"/>
                <w:color w:val="auto"/>
              </w:rPr>
            </w:pPr>
            <w:r>
              <w:rPr>
                <w:rFonts w:ascii="Arial" w:cs="Arial" w:eastAsia="Arial" w:hAnsi="Arial"/>
                <w:sz w:val="12"/>
                <w:szCs w:val="12"/>
                <w:color w:val="FFFFFF"/>
              </w:rPr>
              <w:t>Compensation</w:t>
            </w:r>
          </w:p>
        </w:tc>
        <w:tc>
          <w:tcPr>
            <w:tcW w:w="460" w:type="dxa"/>
            <w:vAlign w:val="bottom"/>
            <w:shd w:val="clear" w:color="auto" w:fill="002B5F"/>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78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40" w:type="dxa"/>
            <w:vAlign w:val="bottom"/>
            <w:shd w:val="clear" w:color="auto" w:fill="002B5F"/>
          </w:tcPr>
          <w:p>
            <w:pPr>
              <w:spacing w:after="0"/>
              <w:rPr>
                <w:sz w:val="22"/>
                <w:szCs w:val="22"/>
                <w:color w:val="auto"/>
              </w:rPr>
            </w:pPr>
          </w:p>
        </w:tc>
        <w:tc>
          <w:tcPr>
            <w:tcW w:w="1280" w:type="dxa"/>
            <w:vAlign w:val="bottom"/>
            <w:shd w:val="clear" w:color="auto" w:fill="002B5F"/>
          </w:tcPr>
          <w:p>
            <w:pPr>
              <w:ind w:left="140"/>
              <w:spacing w:after="0"/>
              <w:rPr>
                <w:sz w:val="20"/>
                <w:szCs w:val="20"/>
                <w:color w:val="auto"/>
              </w:rPr>
            </w:pPr>
            <w:r>
              <w:rPr>
                <w:rFonts w:ascii="Arial" w:cs="Arial" w:eastAsia="Arial" w:hAnsi="Arial"/>
                <w:sz w:val="12"/>
                <w:szCs w:val="12"/>
                <w:color w:val="FFFFFF"/>
              </w:rPr>
              <w:t>Compensation</w:t>
            </w:r>
          </w:p>
        </w:tc>
        <w:tc>
          <w:tcPr>
            <w:tcW w:w="460" w:type="dxa"/>
            <w:vAlign w:val="bottom"/>
            <w:shd w:val="clear" w:color="auto" w:fill="002B5F"/>
          </w:tcPr>
          <w:p>
            <w:pPr>
              <w:spacing w:after="0"/>
              <w:rPr>
                <w:sz w:val="22"/>
                <w:szCs w:val="22"/>
                <w:color w:val="auto"/>
              </w:rPr>
            </w:pPr>
          </w:p>
        </w:tc>
        <w:tc>
          <w:tcPr>
            <w:tcW w:w="0" w:type="dxa"/>
            <w:vAlign w:val="bottom"/>
          </w:tcPr>
          <w:p>
            <w:pPr>
              <w:spacing w:after="0"/>
              <w:rPr>
                <w:sz w:val="1"/>
                <w:szCs w:val="1"/>
                <w:color w:val="auto"/>
              </w:rPr>
            </w:pPr>
          </w:p>
        </w:tc>
      </w:tr>
      <w:tr>
        <w:trPr>
          <w:trHeight w:val="128"/>
        </w:trPr>
        <w:tc>
          <w:tcPr>
            <w:tcW w:w="78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shd w:val="clear" w:color="auto" w:fill="002B5F"/>
          </w:tcPr>
          <w:p>
            <w:pPr>
              <w:spacing w:after="0"/>
              <w:rPr>
                <w:sz w:val="11"/>
                <w:szCs w:val="11"/>
                <w:color w:val="auto"/>
              </w:rPr>
            </w:pPr>
          </w:p>
        </w:tc>
        <w:tc>
          <w:tcPr>
            <w:tcW w:w="1280" w:type="dxa"/>
            <w:vAlign w:val="bottom"/>
            <w:shd w:val="clear" w:color="auto" w:fill="002B5F"/>
          </w:tcPr>
          <w:p>
            <w:pPr>
              <w:ind w:left="140"/>
              <w:spacing w:after="0" w:line="128" w:lineRule="exact"/>
              <w:rPr>
                <w:sz w:val="20"/>
                <w:szCs w:val="20"/>
                <w:color w:val="auto"/>
              </w:rPr>
            </w:pPr>
            <w:r>
              <w:rPr>
                <w:rFonts w:ascii="Arial" w:cs="Arial" w:eastAsia="Arial" w:hAnsi="Arial"/>
                <w:sz w:val="12"/>
                <w:szCs w:val="12"/>
                <w:color w:val="FFFFFF"/>
              </w:rPr>
              <w:t>Discussion and</w:t>
            </w:r>
          </w:p>
        </w:tc>
        <w:tc>
          <w:tcPr>
            <w:tcW w:w="460" w:type="dxa"/>
            <w:vAlign w:val="bottom"/>
            <w:shd w:val="clear" w:color="auto" w:fill="002B5F"/>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78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shd w:val="clear" w:color="auto" w:fill="002B5F"/>
          </w:tcPr>
          <w:p>
            <w:pPr>
              <w:spacing w:after="0"/>
              <w:rPr>
                <w:sz w:val="13"/>
                <w:szCs w:val="13"/>
                <w:color w:val="auto"/>
              </w:rPr>
            </w:pPr>
          </w:p>
        </w:tc>
        <w:tc>
          <w:tcPr>
            <w:tcW w:w="1280" w:type="dxa"/>
            <w:vAlign w:val="bottom"/>
            <w:shd w:val="clear" w:color="auto" w:fill="002B5F"/>
          </w:tcPr>
          <w:p>
            <w:pPr>
              <w:ind w:left="140"/>
              <w:spacing w:after="0"/>
              <w:rPr>
                <w:sz w:val="20"/>
                <w:szCs w:val="20"/>
                <w:color w:val="auto"/>
              </w:rPr>
            </w:pPr>
            <w:r>
              <w:rPr>
                <w:rFonts w:ascii="Arial" w:cs="Arial" w:eastAsia="Arial" w:hAnsi="Arial"/>
                <w:sz w:val="12"/>
                <w:szCs w:val="12"/>
                <w:color w:val="FFFFFF"/>
              </w:rPr>
              <w:t>Analysis</w:t>
            </w:r>
          </w:p>
        </w:tc>
        <w:tc>
          <w:tcPr>
            <w:tcW w:w="460" w:type="dxa"/>
            <w:vAlign w:val="bottom"/>
            <w:shd w:val="clear" w:color="auto" w:fill="002B5F"/>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78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40" w:type="dxa"/>
            <w:vAlign w:val="bottom"/>
            <w:shd w:val="clear" w:color="auto" w:fill="002B5F"/>
          </w:tcPr>
          <w:p>
            <w:pPr>
              <w:spacing w:after="0"/>
              <w:rPr>
                <w:sz w:val="22"/>
                <w:szCs w:val="22"/>
                <w:color w:val="auto"/>
              </w:rPr>
            </w:pPr>
          </w:p>
        </w:tc>
        <w:tc>
          <w:tcPr>
            <w:tcW w:w="1280" w:type="dxa"/>
            <w:vAlign w:val="bottom"/>
            <w:shd w:val="clear" w:color="auto" w:fill="002B5F"/>
          </w:tcPr>
          <w:p>
            <w:pPr>
              <w:ind w:left="140"/>
              <w:spacing w:after="0"/>
              <w:rPr>
                <w:sz w:val="20"/>
                <w:szCs w:val="20"/>
                <w:color w:val="auto"/>
              </w:rPr>
            </w:pPr>
            <w:r>
              <w:rPr>
                <w:rFonts w:ascii="Arial" w:cs="Arial" w:eastAsia="Arial" w:hAnsi="Arial"/>
                <w:sz w:val="12"/>
                <w:szCs w:val="12"/>
                <w:color w:val="FFFFFF"/>
              </w:rPr>
              <w:t>Report of the</w:t>
            </w:r>
          </w:p>
        </w:tc>
        <w:tc>
          <w:tcPr>
            <w:tcW w:w="460" w:type="dxa"/>
            <w:vAlign w:val="bottom"/>
            <w:shd w:val="clear" w:color="auto" w:fill="002B5F"/>
          </w:tcPr>
          <w:p>
            <w:pPr>
              <w:spacing w:after="0"/>
              <w:rPr>
                <w:sz w:val="22"/>
                <w:szCs w:val="22"/>
                <w:color w:val="auto"/>
              </w:rPr>
            </w:pPr>
          </w:p>
        </w:tc>
        <w:tc>
          <w:tcPr>
            <w:tcW w:w="0" w:type="dxa"/>
            <w:vAlign w:val="bottom"/>
          </w:tcPr>
          <w:p>
            <w:pPr>
              <w:spacing w:after="0"/>
              <w:rPr>
                <w:sz w:val="1"/>
                <w:szCs w:val="1"/>
                <w:color w:val="auto"/>
              </w:rPr>
            </w:pPr>
          </w:p>
        </w:tc>
      </w:tr>
      <w:tr>
        <w:trPr>
          <w:trHeight w:val="128"/>
        </w:trPr>
        <w:tc>
          <w:tcPr>
            <w:tcW w:w="78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shd w:val="clear" w:color="auto" w:fill="002B5F"/>
          </w:tcPr>
          <w:p>
            <w:pPr>
              <w:spacing w:after="0"/>
              <w:rPr>
                <w:sz w:val="11"/>
                <w:szCs w:val="11"/>
                <w:color w:val="auto"/>
              </w:rPr>
            </w:pPr>
          </w:p>
        </w:tc>
        <w:tc>
          <w:tcPr>
            <w:tcW w:w="1280" w:type="dxa"/>
            <w:vAlign w:val="bottom"/>
            <w:shd w:val="clear" w:color="auto" w:fill="002B5F"/>
          </w:tcPr>
          <w:p>
            <w:pPr>
              <w:ind w:left="140"/>
              <w:spacing w:after="0" w:line="128" w:lineRule="exact"/>
              <w:rPr>
                <w:sz w:val="20"/>
                <w:szCs w:val="20"/>
                <w:color w:val="auto"/>
              </w:rPr>
            </w:pPr>
            <w:r>
              <w:rPr>
                <w:rFonts w:ascii="Arial" w:cs="Arial" w:eastAsia="Arial" w:hAnsi="Arial"/>
                <w:sz w:val="12"/>
                <w:szCs w:val="12"/>
                <w:color w:val="FFFFFF"/>
              </w:rPr>
              <w:t>Compensation</w:t>
            </w:r>
          </w:p>
        </w:tc>
        <w:tc>
          <w:tcPr>
            <w:tcW w:w="460" w:type="dxa"/>
            <w:vAlign w:val="bottom"/>
            <w:shd w:val="clear" w:color="auto" w:fill="002B5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78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shd w:val="clear" w:color="auto" w:fill="002B5F"/>
          </w:tcPr>
          <w:p>
            <w:pPr>
              <w:spacing w:after="0"/>
              <w:rPr>
                <w:sz w:val="11"/>
                <w:szCs w:val="11"/>
                <w:color w:val="auto"/>
              </w:rPr>
            </w:pPr>
          </w:p>
        </w:tc>
        <w:tc>
          <w:tcPr>
            <w:tcW w:w="1280" w:type="dxa"/>
            <w:vAlign w:val="bottom"/>
            <w:shd w:val="clear" w:color="auto" w:fill="002B5F"/>
          </w:tcPr>
          <w:p>
            <w:pPr>
              <w:ind w:left="140"/>
              <w:spacing w:after="0" w:line="128" w:lineRule="exact"/>
              <w:rPr>
                <w:sz w:val="20"/>
                <w:szCs w:val="20"/>
                <w:color w:val="auto"/>
              </w:rPr>
            </w:pPr>
            <w:r>
              <w:rPr>
                <w:rFonts w:ascii="Arial" w:cs="Arial" w:eastAsia="Arial" w:hAnsi="Arial"/>
                <w:sz w:val="12"/>
                <w:szCs w:val="12"/>
                <w:color w:val="FFFFFF"/>
              </w:rPr>
              <w:t>and Human</w:t>
            </w:r>
          </w:p>
        </w:tc>
        <w:tc>
          <w:tcPr>
            <w:tcW w:w="460" w:type="dxa"/>
            <w:vAlign w:val="bottom"/>
            <w:shd w:val="clear" w:color="auto" w:fill="002B5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78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shd w:val="clear" w:color="auto" w:fill="002B5F"/>
          </w:tcPr>
          <w:p>
            <w:pPr>
              <w:spacing w:after="0"/>
              <w:rPr>
                <w:sz w:val="11"/>
                <w:szCs w:val="11"/>
                <w:color w:val="auto"/>
              </w:rPr>
            </w:pPr>
          </w:p>
        </w:tc>
        <w:tc>
          <w:tcPr>
            <w:tcW w:w="1280" w:type="dxa"/>
            <w:vAlign w:val="bottom"/>
            <w:shd w:val="clear" w:color="auto" w:fill="002B5F"/>
          </w:tcPr>
          <w:p>
            <w:pPr>
              <w:ind w:left="140"/>
              <w:spacing w:after="0" w:line="128" w:lineRule="exact"/>
              <w:rPr>
                <w:sz w:val="20"/>
                <w:szCs w:val="20"/>
                <w:color w:val="auto"/>
              </w:rPr>
            </w:pPr>
            <w:r>
              <w:rPr>
                <w:rFonts w:ascii="Arial" w:cs="Arial" w:eastAsia="Arial" w:hAnsi="Arial"/>
                <w:sz w:val="12"/>
                <w:szCs w:val="12"/>
                <w:color w:val="FFFFFF"/>
              </w:rPr>
              <w:t>Resources</w:t>
            </w:r>
          </w:p>
        </w:tc>
        <w:tc>
          <w:tcPr>
            <w:tcW w:w="460" w:type="dxa"/>
            <w:vAlign w:val="bottom"/>
            <w:shd w:val="clear" w:color="auto" w:fill="002B5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78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shd w:val="clear" w:color="auto" w:fill="002B5F"/>
          </w:tcPr>
          <w:p>
            <w:pPr>
              <w:spacing w:after="0"/>
              <w:rPr>
                <w:sz w:val="11"/>
                <w:szCs w:val="11"/>
                <w:color w:val="auto"/>
              </w:rPr>
            </w:pPr>
          </w:p>
        </w:tc>
        <w:tc>
          <w:tcPr>
            <w:tcW w:w="1280" w:type="dxa"/>
            <w:vAlign w:val="bottom"/>
            <w:shd w:val="clear" w:color="auto" w:fill="002B5F"/>
          </w:tcPr>
          <w:p>
            <w:pPr>
              <w:ind w:left="140"/>
              <w:spacing w:after="0" w:line="128" w:lineRule="exact"/>
              <w:rPr>
                <w:sz w:val="20"/>
                <w:szCs w:val="20"/>
                <w:color w:val="auto"/>
              </w:rPr>
            </w:pPr>
            <w:r>
              <w:rPr>
                <w:rFonts w:ascii="Arial" w:cs="Arial" w:eastAsia="Arial" w:hAnsi="Arial"/>
                <w:sz w:val="12"/>
                <w:szCs w:val="12"/>
                <w:color w:val="FFFFFF"/>
              </w:rPr>
              <w:t>Committee of the</w:t>
            </w:r>
          </w:p>
        </w:tc>
        <w:tc>
          <w:tcPr>
            <w:tcW w:w="460" w:type="dxa"/>
            <w:vAlign w:val="bottom"/>
            <w:shd w:val="clear" w:color="auto" w:fill="002B5F"/>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78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shd w:val="clear" w:color="auto" w:fill="002B5F"/>
          </w:tcPr>
          <w:p>
            <w:pPr>
              <w:spacing w:after="0"/>
              <w:rPr>
                <w:sz w:val="13"/>
                <w:szCs w:val="13"/>
                <w:color w:val="auto"/>
              </w:rPr>
            </w:pPr>
          </w:p>
        </w:tc>
        <w:tc>
          <w:tcPr>
            <w:tcW w:w="1280" w:type="dxa"/>
            <w:vAlign w:val="bottom"/>
            <w:shd w:val="clear" w:color="auto" w:fill="002B5F"/>
          </w:tcPr>
          <w:p>
            <w:pPr>
              <w:ind w:left="140"/>
              <w:spacing w:after="0"/>
              <w:rPr>
                <w:sz w:val="20"/>
                <w:szCs w:val="20"/>
                <w:color w:val="auto"/>
              </w:rPr>
            </w:pPr>
            <w:r>
              <w:rPr>
                <w:rFonts w:ascii="Arial" w:cs="Arial" w:eastAsia="Arial" w:hAnsi="Arial"/>
                <w:sz w:val="12"/>
                <w:szCs w:val="12"/>
                <w:color w:val="FFFFFF"/>
              </w:rPr>
              <w:t>Board of Directors</w:t>
            </w:r>
          </w:p>
        </w:tc>
        <w:tc>
          <w:tcPr>
            <w:tcW w:w="460" w:type="dxa"/>
            <w:vAlign w:val="bottom"/>
            <w:shd w:val="clear" w:color="auto" w:fill="002B5F"/>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78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40" w:type="dxa"/>
            <w:vAlign w:val="bottom"/>
            <w:shd w:val="clear" w:color="auto" w:fill="002B5F"/>
          </w:tcPr>
          <w:p>
            <w:pPr>
              <w:spacing w:after="0"/>
              <w:rPr>
                <w:sz w:val="22"/>
                <w:szCs w:val="22"/>
                <w:color w:val="auto"/>
              </w:rPr>
            </w:pPr>
          </w:p>
        </w:tc>
        <w:tc>
          <w:tcPr>
            <w:tcW w:w="1280" w:type="dxa"/>
            <w:vAlign w:val="bottom"/>
            <w:shd w:val="clear" w:color="auto" w:fill="002B5F"/>
          </w:tcPr>
          <w:p>
            <w:pPr>
              <w:ind w:left="140"/>
              <w:spacing w:after="0"/>
              <w:rPr>
                <w:sz w:val="20"/>
                <w:szCs w:val="20"/>
                <w:color w:val="auto"/>
              </w:rPr>
            </w:pPr>
            <w:r>
              <w:rPr>
                <w:rFonts w:ascii="Arial" w:cs="Arial" w:eastAsia="Arial" w:hAnsi="Arial"/>
                <w:sz w:val="12"/>
                <w:szCs w:val="12"/>
                <w:color w:val="FFFFFF"/>
              </w:rPr>
              <w:t>Compensation of</w:t>
            </w:r>
          </w:p>
        </w:tc>
        <w:tc>
          <w:tcPr>
            <w:tcW w:w="460" w:type="dxa"/>
            <w:vAlign w:val="bottom"/>
            <w:shd w:val="clear" w:color="auto" w:fill="002B5F"/>
          </w:tcPr>
          <w:p>
            <w:pPr>
              <w:spacing w:after="0"/>
              <w:rPr>
                <w:sz w:val="22"/>
                <w:szCs w:val="22"/>
                <w:color w:val="auto"/>
              </w:rPr>
            </w:pPr>
          </w:p>
        </w:tc>
        <w:tc>
          <w:tcPr>
            <w:tcW w:w="0" w:type="dxa"/>
            <w:vAlign w:val="bottom"/>
          </w:tcPr>
          <w:p>
            <w:pPr>
              <w:spacing w:after="0"/>
              <w:rPr>
                <w:sz w:val="1"/>
                <w:szCs w:val="1"/>
                <w:color w:val="auto"/>
              </w:rPr>
            </w:pPr>
          </w:p>
        </w:tc>
      </w:tr>
      <w:tr>
        <w:trPr>
          <w:trHeight w:val="128"/>
        </w:trPr>
        <w:tc>
          <w:tcPr>
            <w:tcW w:w="78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shd w:val="clear" w:color="auto" w:fill="002B5F"/>
          </w:tcPr>
          <w:p>
            <w:pPr>
              <w:spacing w:after="0"/>
              <w:rPr>
                <w:sz w:val="11"/>
                <w:szCs w:val="11"/>
                <w:color w:val="auto"/>
              </w:rPr>
            </w:pPr>
          </w:p>
        </w:tc>
        <w:tc>
          <w:tcPr>
            <w:tcW w:w="1280" w:type="dxa"/>
            <w:vAlign w:val="bottom"/>
            <w:shd w:val="clear" w:color="auto" w:fill="002B5F"/>
          </w:tcPr>
          <w:p>
            <w:pPr>
              <w:ind w:left="140"/>
              <w:spacing w:after="0" w:line="128" w:lineRule="exact"/>
              <w:rPr>
                <w:sz w:val="20"/>
                <w:szCs w:val="20"/>
                <w:color w:val="auto"/>
              </w:rPr>
            </w:pPr>
            <w:r>
              <w:rPr>
                <w:rFonts w:ascii="Arial" w:cs="Arial" w:eastAsia="Arial" w:hAnsi="Arial"/>
                <w:sz w:val="12"/>
                <w:szCs w:val="12"/>
                <w:color w:val="FFFFFF"/>
              </w:rPr>
              <w:t>Named Executive</w:t>
            </w:r>
          </w:p>
        </w:tc>
        <w:tc>
          <w:tcPr>
            <w:tcW w:w="460" w:type="dxa"/>
            <w:vAlign w:val="bottom"/>
            <w:shd w:val="clear" w:color="auto" w:fill="002B5F"/>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78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shd w:val="clear" w:color="auto" w:fill="002B5F"/>
          </w:tcPr>
          <w:p>
            <w:pPr>
              <w:spacing w:after="0"/>
              <w:rPr>
                <w:sz w:val="13"/>
                <w:szCs w:val="13"/>
                <w:color w:val="auto"/>
              </w:rPr>
            </w:pPr>
          </w:p>
        </w:tc>
        <w:tc>
          <w:tcPr>
            <w:tcW w:w="1280" w:type="dxa"/>
            <w:vAlign w:val="bottom"/>
            <w:shd w:val="clear" w:color="auto" w:fill="002B5F"/>
          </w:tcPr>
          <w:p>
            <w:pPr>
              <w:ind w:left="140"/>
              <w:spacing w:after="0"/>
              <w:rPr>
                <w:sz w:val="20"/>
                <w:szCs w:val="20"/>
                <w:color w:val="auto"/>
              </w:rPr>
            </w:pPr>
            <w:r>
              <w:rPr>
                <w:rFonts w:ascii="Arial" w:cs="Arial" w:eastAsia="Arial" w:hAnsi="Arial"/>
                <w:sz w:val="12"/>
                <w:szCs w:val="12"/>
                <w:color w:val="FFFFFF"/>
              </w:rPr>
              <w:t>Officers</w:t>
            </w:r>
          </w:p>
        </w:tc>
        <w:tc>
          <w:tcPr>
            <w:tcW w:w="460" w:type="dxa"/>
            <w:vAlign w:val="bottom"/>
            <w:shd w:val="clear" w:color="auto" w:fill="002B5F"/>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78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40" w:type="dxa"/>
            <w:vAlign w:val="bottom"/>
            <w:shd w:val="clear" w:color="auto" w:fill="002B5F"/>
          </w:tcPr>
          <w:p>
            <w:pPr>
              <w:spacing w:after="0"/>
              <w:rPr>
                <w:sz w:val="22"/>
                <w:szCs w:val="22"/>
                <w:color w:val="auto"/>
              </w:rPr>
            </w:pPr>
          </w:p>
        </w:tc>
        <w:tc>
          <w:tcPr>
            <w:tcW w:w="1280" w:type="dxa"/>
            <w:vAlign w:val="bottom"/>
            <w:shd w:val="clear" w:color="auto" w:fill="002B5F"/>
          </w:tcPr>
          <w:p>
            <w:pPr>
              <w:ind w:left="140"/>
              <w:spacing w:after="0"/>
              <w:rPr>
                <w:sz w:val="20"/>
                <w:szCs w:val="20"/>
                <w:color w:val="auto"/>
              </w:rPr>
            </w:pPr>
            <w:r>
              <w:rPr>
                <w:rFonts w:ascii="Arial" w:cs="Arial" w:eastAsia="Arial" w:hAnsi="Arial"/>
                <w:sz w:val="12"/>
                <w:szCs w:val="12"/>
                <w:color w:val="FFFFFF"/>
              </w:rPr>
              <w:t>Pay Versus</w:t>
            </w:r>
          </w:p>
        </w:tc>
        <w:tc>
          <w:tcPr>
            <w:tcW w:w="460" w:type="dxa"/>
            <w:vAlign w:val="bottom"/>
            <w:shd w:val="clear" w:color="auto" w:fill="002B5F"/>
          </w:tcPr>
          <w:p>
            <w:pPr>
              <w:spacing w:after="0"/>
              <w:rPr>
                <w:sz w:val="22"/>
                <w:szCs w:val="22"/>
                <w:color w:val="auto"/>
              </w:rPr>
            </w:pPr>
          </w:p>
        </w:tc>
        <w:tc>
          <w:tcPr>
            <w:tcW w:w="0" w:type="dxa"/>
            <w:vAlign w:val="bottom"/>
          </w:tcPr>
          <w:p>
            <w:pPr>
              <w:spacing w:after="0"/>
              <w:rPr>
                <w:sz w:val="1"/>
                <w:szCs w:val="1"/>
                <w:color w:val="auto"/>
              </w:rPr>
            </w:pPr>
          </w:p>
        </w:tc>
      </w:tr>
      <w:tr>
        <w:trPr>
          <w:trHeight w:val="128"/>
        </w:trPr>
        <w:tc>
          <w:tcPr>
            <w:tcW w:w="78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shd w:val="clear" w:color="auto" w:fill="002B5F"/>
          </w:tcPr>
          <w:p>
            <w:pPr>
              <w:spacing w:after="0"/>
              <w:rPr>
                <w:sz w:val="11"/>
                <w:szCs w:val="11"/>
                <w:color w:val="auto"/>
              </w:rPr>
            </w:pPr>
          </w:p>
        </w:tc>
        <w:tc>
          <w:tcPr>
            <w:tcW w:w="1280" w:type="dxa"/>
            <w:vAlign w:val="bottom"/>
            <w:shd w:val="clear" w:color="auto" w:fill="002B5F"/>
          </w:tcPr>
          <w:p>
            <w:pPr>
              <w:ind w:left="140"/>
              <w:spacing w:after="0" w:line="128" w:lineRule="exact"/>
              <w:rPr>
                <w:sz w:val="20"/>
                <w:szCs w:val="20"/>
                <w:color w:val="auto"/>
              </w:rPr>
            </w:pPr>
            <w:r>
              <w:rPr>
                <w:rFonts w:ascii="Arial" w:cs="Arial" w:eastAsia="Arial" w:hAnsi="Arial"/>
                <w:sz w:val="12"/>
                <w:szCs w:val="12"/>
                <w:color w:val="FFFFFF"/>
              </w:rPr>
              <w:t>Performance</w:t>
            </w:r>
          </w:p>
        </w:tc>
        <w:tc>
          <w:tcPr>
            <w:tcW w:w="460" w:type="dxa"/>
            <w:vAlign w:val="bottom"/>
            <w:shd w:val="clear" w:color="auto" w:fill="002B5F"/>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78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shd w:val="clear" w:color="auto" w:fill="002B5F"/>
          </w:tcPr>
          <w:p>
            <w:pPr>
              <w:spacing w:after="0"/>
              <w:rPr>
                <w:sz w:val="13"/>
                <w:szCs w:val="13"/>
                <w:color w:val="auto"/>
              </w:rPr>
            </w:pPr>
          </w:p>
        </w:tc>
        <w:tc>
          <w:tcPr>
            <w:tcW w:w="1280" w:type="dxa"/>
            <w:vAlign w:val="bottom"/>
            <w:shd w:val="clear" w:color="auto" w:fill="002B5F"/>
          </w:tcPr>
          <w:p>
            <w:pPr>
              <w:ind w:left="140"/>
              <w:spacing w:after="0"/>
              <w:rPr>
                <w:sz w:val="20"/>
                <w:szCs w:val="20"/>
                <w:color w:val="auto"/>
              </w:rPr>
            </w:pPr>
            <w:r>
              <w:rPr>
                <w:rFonts w:ascii="Arial" w:cs="Arial" w:eastAsia="Arial" w:hAnsi="Arial"/>
                <w:sz w:val="12"/>
                <w:szCs w:val="12"/>
                <w:color w:val="FFFFFF"/>
              </w:rPr>
              <w:t>Disclosure</w:t>
            </w:r>
          </w:p>
        </w:tc>
        <w:tc>
          <w:tcPr>
            <w:tcW w:w="460" w:type="dxa"/>
            <w:vAlign w:val="bottom"/>
            <w:shd w:val="clear" w:color="auto" w:fill="002B5F"/>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78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40" w:type="dxa"/>
            <w:vAlign w:val="bottom"/>
            <w:shd w:val="clear" w:color="auto" w:fill="002B5F"/>
          </w:tcPr>
          <w:p>
            <w:pPr>
              <w:spacing w:after="0"/>
              <w:rPr>
                <w:sz w:val="22"/>
                <w:szCs w:val="22"/>
                <w:color w:val="auto"/>
              </w:rPr>
            </w:pPr>
          </w:p>
        </w:tc>
        <w:tc>
          <w:tcPr>
            <w:tcW w:w="1280" w:type="dxa"/>
            <w:vAlign w:val="bottom"/>
            <w:shd w:val="clear" w:color="auto" w:fill="002B5F"/>
          </w:tcPr>
          <w:p>
            <w:pPr>
              <w:ind w:left="140"/>
              <w:spacing w:after="0"/>
              <w:rPr>
                <w:sz w:val="20"/>
                <w:szCs w:val="20"/>
                <w:color w:val="auto"/>
              </w:rPr>
            </w:pPr>
            <w:r>
              <w:rPr>
                <w:rFonts w:ascii="Arial" w:cs="Arial" w:eastAsia="Arial" w:hAnsi="Arial"/>
                <w:sz w:val="12"/>
                <w:szCs w:val="12"/>
                <w:color w:val="FFFFFF"/>
              </w:rPr>
              <w:t>Security</w:t>
            </w:r>
          </w:p>
        </w:tc>
        <w:tc>
          <w:tcPr>
            <w:tcW w:w="460" w:type="dxa"/>
            <w:vAlign w:val="bottom"/>
            <w:shd w:val="clear" w:color="auto" w:fill="002B5F"/>
          </w:tcPr>
          <w:p>
            <w:pPr>
              <w:spacing w:after="0"/>
              <w:rPr>
                <w:sz w:val="22"/>
                <w:szCs w:val="22"/>
                <w:color w:val="auto"/>
              </w:rPr>
            </w:pPr>
          </w:p>
        </w:tc>
        <w:tc>
          <w:tcPr>
            <w:tcW w:w="0" w:type="dxa"/>
            <w:vAlign w:val="bottom"/>
          </w:tcPr>
          <w:p>
            <w:pPr>
              <w:spacing w:after="0"/>
              <w:rPr>
                <w:sz w:val="1"/>
                <w:szCs w:val="1"/>
                <w:color w:val="auto"/>
              </w:rPr>
            </w:pPr>
          </w:p>
        </w:tc>
      </w:tr>
      <w:tr>
        <w:trPr>
          <w:trHeight w:val="128"/>
        </w:trPr>
        <w:tc>
          <w:tcPr>
            <w:tcW w:w="78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shd w:val="clear" w:color="auto" w:fill="002B5F"/>
          </w:tcPr>
          <w:p>
            <w:pPr>
              <w:spacing w:after="0"/>
              <w:rPr>
                <w:sz w:val="11"/>
                <w:szCs w:val="11"/>
                <w:color w:val="auto"/>
              </w:rPr>
            </w:pPr>
          </w:p>
        </w:tc>
        <w:tc>
          <w:tcPr>
            <w:tcW w:w="1280" w:type="dxa"/>
            <w:vAlign w:val="bottom"/>
            <w:shd w:val="clear" w:color="auto" w:fill="002B5F"/>
          </w:tcPr>
          <w:p>
            <w:pPr>
              <w:ind w:left="140"/>
              <w:spacing w:after="0" w:line="128" w:lineRule="exact"/>
              <w:rPr>
                <w:sz w:val="20"/>
                <w:szCs w:val="20"/>
                <w:color w:val="auto"/>
              </w:rPr>
            </w:pPr>
            <w:r>
              <w:rPr>
                <w:rFonts w:ascii="Arial" w:cs="Arial" w:eastAsia="Arial" w:hAnsi="Arial"/>
                <w:sz w:val="12"/>
                <w:szCs w:val="12"/>
                <w:color w:val="FFFFFF"/>
              </w:rPr>
              <w:t>Ownership of</w:t>
            </w:r>
          </w:p>
        </w:tc>
        <w:tc>
          <w:tcPr>
            <w:tcW w:w="460" w:type="dxa"/>
            <w:vAlign w:val="bottom"/>
            <w:shd w:val="clear" w:color="auto" w:fill="002B5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78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shd w:val="clear" w:color="auto" w:fill="002B5F"/>
          </w:tcPr>
          <w:p>
            <w:pPr>
              <w:spacing w:after="0"/>
              <w:rPr>
                <w:sz w:val="11"/>
                <w:szCs w:val="11"/>
                <w:color w:val="auto"/>
              </w:rPr>
            </w:pPr>
          </w:p>
        </w:tc>
        <w:tc>
          <w:tcPr>
            <w:tcW w:w="1280" w:type="dxa"/>
            <w:vAlign w:val="bottom"/>
            <w:shd w:val="clear" w:color="auto" w:fill="002B5F"/>
          </w:tcPr>
          <w:p>
            <w:pPr>
              <w:ind w:left="140"/>
              <w:spacing w:after="0" w:line="128" w:lineRule="exact"/>
              <w:rPr>
                <w:sz w:val="20"/>
                <w:szCs w:val="20"/>
                <w:color w:val="auto"/>
              </w:rPr>
            </w:pPr>
            <w:r>
              <w:rPr>
                <w:rFonts w:ascii="Arial" w:cs="Arial" w:eastAsia="Arial" w:hAnsi="Arial"/>
                <w:sz w:val="12"/>
                <w:szCs w:val="12"/>
                <w:color w:val="FFFFFF"/>
              </w:rPr>
              <w:t>Certain Beneficial</w:t>
            </w:r>
          </w:p>
        </w:tc>
        <w:tc>
          <w:tcPr>
            <w:tcW w:w="460" w:type="dxa"/>
            <w:vAlign w:val="bottom"/>
            <w:shd w:val="clear" w:color="auto" w:fill="002B5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78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shd w:val="clear" w:color="auto" w:fill="002B5F"/>
          </w:tcPr>
          <w:p>
            <w:pPr>
              <w:spacing w:after="0"/>
              <w:rPr>
                <w:sz w:val="11"/>
                <w:szCs w:val="11"/>
                <w:color w:val="auto"/>
              </w:rPr>
            </w:pPr>
          </w:p>
        </w:tc>
        <w:tc>
          <w:tcPr>
            <w:tcW w:w="1280" w:type="dxa"/>
            <w:vAlign w:val="bottom"/>
            <w:shd w:val="clear" w:color="auto" w:fill="002B5F"/>
          </w:tcPr>
          <w:p>
            <w:pPr>
              <w:ind w:left="140"/>
              <w:spacing w:after="0" w:line="128" w:lineRule="exact"/>
              <w:rPr>
                <w:sz w:val="20"/>
                <w:szCs w:val="20"/>
                <w:color w:val="auto"/>
              </w:rPr>
            </w:pPr>
            <w:r>
              <w:rPr>
                <w:rFonts w:ascii="Arial" w:cs="Arial" w:eastAsia="Arial" w:hAnsi="Arial"/>
                <w:sz w:val="12"/>
                <w:szCs w:val="12"/>
                <w:color w:val="FFFFFF"/>
              </w:rPr>
              <w:t>Owners and</w:t>
            </w:r>
          </w:p>
        </w:tc>
        <w:tc>
          <w:tcPr>
            <w:tcW w:w="460" w:type="dxa"/>
            <w:vAlign w:val="bottom"/>
            <w:shd w:val="clear" w:color="auto" w:fill="002B5F"/>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78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shd w:val="clear" w:color="auto" w:fill="002B5F"/>
          </w:tcPr>
          <w:p>
            <w:pPr>
              <w:spacing w:after="0"/>
              <w:rPr>
                <w:sz w:val="13"/>
                <w:szCs w:val="13"/>
                <w:color w:val="auto"/>
              </w:rPr>
            </w:pPr>
          </w:p>
        </w:tc>
        <w:tc>
          <w:tcPr>
            <w:tcW w:w="1280" w:type="dxa"/>
            <w:vAlign w:val="bottom"/>
            <w:shd w:val="clear" w:color="auto" w:fill="002B5F"/>
          </w:tcPr>
          <w:p>
            <w:pPr>
              <w:ind w:left="140"/>
              <w:spacing w:after="0"/>
              <w:rPr>
                <w:sz w:val="20"/>
                <w:szCs w:val="20"/>
                <w:color w:val="auto"/>
              </w:rPr>
            </w:pPr>
            <w:r>
              <w:rPr>
                <w:rFonts w:ascii="Arial" w:cs="Arial" w:eastAsia="Arial" w:hAnsi="Arial"/>
                <w:sz w:val="12"/>
                <w:szCs w:val="12"/>
                <w:color w:val="FFFFFF"/>
              </w:rPr>
              <w:t>Management</w:t>
            </w:r>
          </w:p>
        </w:tc>
        <w:tc>
          <w:tcPr>
            <w:tcW w:w="460" w:type="dxa"/>
            <w:vAlign w:val="bottom"/>
            <w:shd w:val="clear" w:color="auto" w:fill="002B5F"/>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78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40" w:type="dxa"/>
            <w:vAlign w:val="bottom"/>
            <w:shd w:val="clear" w:color="auto" w:fill="002B5F"/>
          </w:tcPr>
          <w:p>
            <w:pPr>
              <w:spacing w:after="0"/>
              <w:rPr>
                <w:sz w:val="22"/>
                <w:szCs w:val="22"/>
                <w:color w:val="auto"/>
              </w:rPr>
            </w:pPr>
          </w:p>
        </w:tc>
        <w:tc>
          <w:tcPr>
            <w:tcW w:w="1280" w:type="dxa"/>
            <w:vAlign w:val="bottom"/>
            <w:shd w:val="clear" w:color="auto" w:fill="002B5F"/>
          </w:tcPr>
          <w:p>
            <w:pPr>
              <w:ind w:left="140"/>
              <w:spacing w:after="0"/>
              <w:rPr>
                <w:sz w:val="20"/>
                <w:szCs w:val="20"/>
                <w:color w:val="auto"/>
              </w:rPr>
            </w:pPr>
            <w:r>
              <w:rPr>
                <w:rFonts w:ascii="Arial" w:cs="Arial" w:eastAsia="Arial" w:hAnsi="Arial"/>
                <w:sz w:val="12"/>
                <w:szCs w:val="12"/>
                <w:color w:val="FFFFFF"/>
              </w:rPr>
              <w:t>Certain</w:t>
            </w:r>
          </w:p>
        </w:tc>
        <w:tc>
          <w:tcPr>
            <w:tcW w:w="460" w:type="dxa"/>
            <w:vAlign w:val="bottom"/>
            <w:shd w:val="clear" w:color="auto" w:fill="002B5F"/>
          </w:tcPr>
          <w:p>
            <w:pPr>
              <w:spacing w:after="0"/>
              <w:rPr>
                <w:sz w:val="22"/>
                <w:szCs w:val="22"/>
                <w:color w:val="auto"/>
              </w:rPr>
            </w:pPr>
          </w:p>
        </w:tc>
        <w:tc>
          <w:tcPr>
            <w:tcW w:w="0" w:type="dxa"/>
            <w:vAlign w:val="bottom"/>
          </w:tcPr>
          <w:p>
            <w:pPr>
              <w:spacing w:after="0"/>
              <w:rPr>
                <w:sz w:val="1"/>
                <w:szCs w:val="1"/>
                <w:color w:val="auto"/>
              </w:rPr>
            </w:pPr>
          </w:p>
        </w:tc>
      </w:tr>
      <w:tr>
        <w:trPr>
          <w:trHeight w:val="128"/>
        </w:trPr>
        <w:tc>
          <w:tcPr>
            <w:tcW w:w="78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shd w:val="clear" w:color="auto" w:fill="002B5F"/>
          </w:tcPr>
          <w:p>
            <w:pPr>
              <w:spacing w:after="0"/>
              <w:rPr>
                <w:sz w:val="11"/>
                <w:szCs w:val="11"/>
                <w:color w:val="auto"/>
              </w:rPr>
            </w:pPr>
          </w:p>
        </w:tc>
        <w:tc>
          <w:tcPr>
            <w:tcW w:w="1280" w:type="dxa"/>
            <w:vAlign w:val="bottom"/>
            <w:shd w:val="clear" w:color="auto" w:fill="002B5F"/>
          </w:tcPr>
          <w:p>
            <w:pPr>
              <w:ind w:left="140"/>
              <w:spacing w:after="0" w:line="128" w:lineRule="exact"/>
              <w:rPr>
                <w:sz w:val="20"/>
                <w:szCs w:val="20"/>
                <w:color w:val="auto"/>
              </w:rPr>
            </w:pPr>
            <w:r>
              <w:rPr>
                <w:rFonts w:ascii="Arial" w:cs="Arial" w:eastAsia="Arial" w:hAnsi="Arial"/>
                <w:sz w:val="12"/>
                <w:szCs w:val="12"/>
                <w:color w:val="FFFFFF"/>
              </w:rPr>
              <w:t>Relationships and</w:t>
            </w:r>
          </w:p>
        </w:tc>
        <w:tc>
          <w:tcPr>
            <w:tcW w:w="460" w:type="dxa"/>
            <w:vAlign w:val="bottom"/>
            <w:shd w:val="clear" w:color="auto" w:fill="002B5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78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shd w:val="clear" w:color="auto" w:fill="002B5F"/>
          </w:tcPr>
          <w:p>
            <w:pPr>
              <w:spacing w:after="0"/>
              <w:rPr>
                <w:sz w:val="11"/>
                <w:szCs w:val="11"/>
                <w:color w:val="auto"/>
              </w:rPr>
            </w:pPr>
          </w:p>
        </w:tc>
        <w:tc>
          <w:tcPr>
            <w:tcW w:w="1280" w:type="dxa"/>
            <w:vAlign w:val="bottom"/>
            <w:shd w:val="clear" w:color="auto" w:fill="002B5F"/>
          </w:tcPr>
          <w:p>
            <w:pPr>
              <w:ind w:left="140"/>
              <w:spacing w:after="0" w:line="128" w:lineRule="exact"/>
              <w:rPr>
                <w:sz w:val="20"/>
                <w:szCs w:val="20"/>
                <w:color w:val="auto"/>
              </w:rPr>
            </w:pPr>
            <w:r>
              <w:rPr>
                <w:rFonts w:ascii="Arial" w:cs="Arial" w:eastAsia="Arial" w:hAnsi="Arial"/>
                <w:sz w:val="12"/>
                <w:szCs w:val="12"/>
                <w:color w:val="FFFFFF"/>
              </w:rPr>
              <w:t>Related Party</w:t>
            </w:r>
          </w:p>
        </w:tc>
        <w:tc>
          <w:tcPr>
            <w:tcW w:w="460" w:type="dxa"/>
            <w:vAlign w:val="bottom"/>
            <w:shd w:val="clear" w:color="auto" w:fill="002B5F"/>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78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shd w:val="clear" w:color="auto" w:fill="002B5F"/>
          </w:tcPr>
          <w:p>
            <w:pPr>
              <w:spacing w:after="0"/>
              <w:rPr>
                <w:sz w:val="13"/>
                <w:szCs w:val="13"/>
                <w:color w:val="auto"/>
              </w:rPr>
            </w:pPr>
          </w:p>
        </w:tc>
        <w:tc>
          <w:tcPr>
            <w:tcW w:w="1280" w:type="dxa"/>
            <w:vAlign w:val="bottom"/>
            <w:shd w:val="clear" w:color="auto" w:fill="002B5F"/>
          </w:tcPr>
          <w:p>
            <w:pPr>
              <w:ind w:left="140"/>
              <w:spacing w:after="0"/>
              <w:rPr>
                <w:sz w:val="20"/>
                <w:szCs w:val="20"/>
                <w:color w:val="auto"/>
              </w:rPr>
            </w:pPr>
            <w:r>
              <w:rPr>
                <w:rFonts w:ascii="Arial" w:cs="Arial" w:eastAsia="Arial" w:hAnsi="Arial"/>
                <w:sz w:val="12"/>
                <w:szCs w:val="12"/>
                <w:color w:val="FFFFFF"/>
              </w:rPr>
              <w:t>Transactions</w:t>
            </w:r>
          </w:p>
        </w:tc>
        <w:tc>
          <w:tcPr>
            <w:tcW w:w="460" w:type="dxa"/>
            <w:vAlign w:val="bottom"/>
            <w:shd w:val="clear" w:color="auto" w:fill="002B5F"/>
          </w:tcPr>
          <w:p>
            <w:pPr>
              <w:spacing w:after="0"/>
              <w:rPr>
                <w:sz w:val="13"/>
                <w:szCs w:val="13"/>
                <w:color w:val="auto"/>
              </w:rPr>
            </w:pPr>
          </w:p>
        </w:tc>
        <w:tc>
          <w:tcPr>
            <w:tcW w:w="0" w:type="dxa"/>
            <w:vAlign w:val="bottom"/>
          </w:tcPr>
          <w:p>
            <w:pPr>
              <w:spacing w:after="0"/>
              <w:rPr>
                <w:sz w:val="1"/>
                <w:szCs w:val="1"/>
                <w:color w:val="auto"/>
              </w:rPr>
            </w:pPr>
          </w:p>
        </w:tc>
      </w:tr>
      <w:tr>
        <w:trPr>
          <w:trHeight w:val="294"/>
        </w:trPr>
        <w:tc>
          <w:tcPr>
            <w:tcW w:w="78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shd w:val="clear" w:color="auto" w:fill="002B5F"/>
          </w:tcPr>
          <w:p>
            <w:pPr>
              <w:spacing w:after="0"/>
              <w:rPr>
                <w:sz w:val="24"/>
                <w:szCs w:val="24"/>
                <w:color w:val="auto"/>
              </w:rPr>
            </w:pPr>
          </w:p>
        </w:tc>
        <w:tc>
          <w:tcPr>
            <w:tcW w:w="1280" w:type="dxa"/>
            <w:vAlign w:val="bottom"/>
            <w:shd w:val="clear" w:color="auto" w:fill="002B5F"/>
          </w:tcPr>
          <w:p>
            <w:pPr>
              <w:ind w:left="140"/>
              <w:spacing w:after="0"/>
              <w:rPr>
                <w:sz w:val="20"/>
                <w:szCs w:val="20"/>
                <w:color w:val="auto"/>
              </w:rPr>
            </w:pPr>
            <w:r>
              <w:rPr>
                <w:rFonts w:ascii="Arial" w:cs="Arial" w:eastAsia="Arial" w:hAnsi="Arial"/>
                <w:sz w:val="12"/>
                <w:szCs w:val="12"/>
                <w:color w:val="FFFFFF"/>
              </w:rPr>
              <w:t>Proposal 2</w:t>
            </w:r>
          </w:p>
        </w:tc>
        <w:tc>
          <w:tcPr>
            <w:tcW w:w="460" w:type="dxa"/>
            <w:vAlign w:val="bottom"/>
            <w:shd w:val="clear" w:color="auto" w:fill="002B5F"/>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78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40" w:type="dxa"/>
            <w:vAlign w:val="bottom"/>
            <w:shd w:val="clear" w:color="auto" w:fill="002B5F"/>
          </w:tcPr>
          <w:p>
            <w:pPr>
              <w:spacing w:after="0"/>
              <w:rPr>
                <w:sz w:val="22"/>
                <w:szCs w:val="22"/>
                <w:color w:val="auto"/>
              </w:rPr>
            </w:pPr>
          </w:p>
        </w:tc>
        <w:tc>
          <w:tcPr>
            <w:tcW w:w="1280" w:type="dxa"/>
            <w:vAlign w:val="bottom"/>
            <w:shd w:val="clear" w:color="auto" w:fill="002B5F"/>
          </w:tcPr>
          <w:p>
            <w:pPr>
              <w:ind w:left="140"/>
              <w:spacing w:after="0"/>
              <w:rPr>
                <w:sz w:val="20"/>
                <w:szCs w:val="20"/>
                <w:color w:val="auto"/>
              </w:rPr>
            </w:pPr>
            <w:r>
              <w:rPr>
                <w:rFonts w:ascii="Arial" w:cs="Arial" w:eastAsia="Arial" w:hAnsi="Arial"/>
                <w:sz w:val="12"/>
                <w:szCs w:val="12"/>
                <w:color w:val="FFFFFF"/>
              </w:rPr>
              <w:t>Report of the</w:t>
            </w:r>
          </w:p>
        </w:tc>
        <w:tc>
          <w:tcPr>
            <w:tcW w:w="460" w:type="dxa"/>
            <w:vAlign w:val="bottom"/>
            <w:shd w:val="clear" w:color="auto" w:fill="002B5F"/>
          </w:tcPr>
          <w:p>
            <w:pPr>
              <w:spacing w:after="0"/>
              <w:rPr>
                <w:sz w:val="22"/>
                <w:szCs w:val="22"/>
                <w:color w:val="auto"/>
              </w:rPr>
            </w:pPr>
          </w:p>
        </w:tc>
        <w:tc>
          <w:tcPr>
            <w:tcW w:w="0" w:type="dxa"/>
            <w:vAlign w:val="bottom"/>
          </w:tcPr>
          <w:p>
            <w:pPr>
              <w:spacing w:after="0"/>
              <w:rPr>
                <w:sz w:val="1"/>
                <w:szCs w:val="1"/>
                <w:color w:val="auto"/>
              </w:rPr>
            </w:pPr>
          </w:p>
        </w:tc>
      </w:tr>
      <w:tr>
        <w:trPr>
          <w:trHeight w:val="128"/>
        </w:trPr>
        <w:tc>
          <w:tcPr>
            <w:tcW w:w="78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shd w:val="clear" w:color="auto" w:fill="002B5F"/>
          </w:tcPr>
          <w:p>
            <w:pPr>
              <w:spacing w:after="0"/>
              <w:rPr>
                <w:sz w:val="11"/>
                <w:szCs w:val="11"/>
                <w:color w:val="auto"/>
              </w:rPr>
            </w:pPr>
          </w:p>
        </w:tc>
        <w:tc>
          <w:tcPr>
            <w:tcW w:w="1280" w:type="dxa"/>
            <w:vAlign w:val="bottom"/>
            <w:shd w:val="clear" w:color="auto" w:fill="002B5F"/>
          </w:tcPr>
          <w:p>
            <w:pPr>
              <w:ind w:left="140"/>
              <w:spacing w:after="0" w:line="128" w:lineRule="exact"/>
              <w:rPr>
                <w:sz w:val="20"/>
                <w:szCs w:val="20"/>
                <w:color w:val="auto"/>
              </w:rPr>
            </w:pPr>
            <w:r>
              <w:rPr>
                <w:rFonts w:ascii="Arial" w:cs="Arial" w:eastAsia="Arial" w:hAnsi="Arial"/>
                <w:sz w:val="12"/>
                <w:szCs w:val="12"/>
                <w:color w:val="FFFFFF"/>
              </w:rPr>
              <w:t>Audit and Risk</w:t>
            </w:r>
          </w:p>
        </w:tc>
        <w:tc>
          <w:tcPr>
            <w:tcW w:w="460" w:type="dxa"/>
            <w:vAlign w:val="bottom"/>
            <w:shd w:val="clear" w:color="auto" w:fill="002B5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78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shd w:val="clear" w:color="auto" w:fill="002B5F"/>
          </w:tcPr>
          <w:p>
            <w:pPr>
              <w:spacing w:after="0"/>
              <w:rPr>
                <w:sz w:val="11"/>
                <w:szCs w:val="11"/>
                <w:color w:val="auto"/>
              </w:rPr>
            </w:pPr>
          </w:p>
        </w:tc>
        <w:tc>
          <w:tcPr>
            <w:tcW w:w="1280" w:type="dxa"/>
            <w:vAlign w:val="bottom"/>
            <w:shd w:val="clear" w:color="auto" w:fill="002B5F"/>
          </w:tcPr>
          <w:p>
            <w:pPr>
              <w:ind w:left="140"/>
              <w:spacing w:after="0" w:line="128" w:lineRule="exact"/>
              <w:rPr>
                <w:sz w:val="20"/>
                <w:szCs w:val="20"/>
                <w:color w:val="auto"/>
              </w:rPr>
            </w:pPr>
            <w:r>
              <w:rPr>
                <w:rFonts w:ascii="Arial" w:cs="Arial" w:eastAsia="Arial" w:hAnsi="Arial"/>
                <w:sz w:val="12"/>
                <w:szCs w:val="12"/>
                <w:color w:val="FFFFFF"/>
              </w:rPr>
              <w:t>Committee of the</w:t>
            </w:r>
          </w:p>
        </w:tc>
        <w:tc>
          <w:tcPr>
            <w:tcW w:w="460" w:type="dxa"/>
            <w:vAlign w:val="bottom"/>
            <w:shd w:val="clear" w:color="auto" w:fill="002B5F"/>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78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shd w:val="clear" w:color="auto" w:fill="002B5F"/>
          </w:tcPr>
          <w:p>
            <w:pPr>
              <w:spacing w:after="0"/>
              <w:rPr>
                <w:sz w:val="13"/>
                <w:szCs w:val="13"/>
                <w:color w:val="auto"/>
              </w:rPr>
            </w:pPr>
          </w:p>
        </w:tc>
        <w:tc>
          <w:tcPr>
            <w:tcW w:w="1280" w:type="dxa"/>
            <w:vAlign w:val="bottom"/>
            <w:shd w:val="clear" w:color="auto" w:fill="002B5F"/>
          </w:tcPr>
          <w:p>
            <w:pPr>
              <w:ind w:left="140"/>
              <w:spacing w:after="0"/>
              <w:rPr>
                <w:sz w:val="20"/>
                <w:szCs w:val="20"/>
                <w:color w:val="auto"/>
              </w:rPr>
            </w:pPr>
            <w:r>
              <w:rPr>
                <w:rFonts w:ascii="Arial" w:cs="Arial" w:eastAsia="Arial" w:hAnsi="Arial"/>
                <w:sz w:val="12"/>
                <w:szCs w:val="12"/>
                <w:color w:val="FFFFFF"/>
              </w:rPr>
              <w:t>Board of Directors</w:t>
            </w:r>
          </w:p>
        </w:tc>
        <w:tc>
          <w:tcPr>
            <w:tcW w:w="460" w:type="dxa"/>
            <w:vAlign w:val="bottom"/>
            <w:shd w:val="clear" w:color="auto" w:fill="002B5F"/>
          </w:tcPr>
          <w:p>
            <w:pPr>
              <w:spacing w:after="0"/>
              <w:rPr>
                <w:sz w:val="13"/>
                <w:szCs w:val="13"/>
                <w:color w:val="auto"/>
              </w:rPr>
            </w:pPr>
          </w:p>
        </w:tc>
        <w:tc>
          <w:tcPr>
            <w:tcW w:w="0" w:type="dxa"/>
            <w:vAlign w:val="bottom"/>
          </w:tcPr>
          <w:p>
            <w:pPr>
              <w:spacing w:after="0"/>
              <w:rPr>
                <w:sz w:val="1"/>
                <w:szCs w:val="1"/>
                <w:color w:val="auto"/>
              </w:rPr>
            </w:pPr>
          </w:p>
        </w:tc>
      </w:tr>
      <w:tr>
        <w:trPr>
          <w:trHeight w:val="294"/>
        </w:trPr>
        <w:tc>
          <w:tcPr>
            <w:tcW w:w="78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shd w:val="clear" w:color="auto" w:fill="002B5F"/>
          </w:tcPr>
          <w:p>
            <w:pPr>
              <w:spacing w:after="0"/>
              <w:rPr>
                <w:sz w:val="24"/>
                <w:szCs w:val="24"/>
                <w:color w:val="auto"/>
              </w:rPr>
            </w:pPr>
          </w:p>
        </w:tc>
        <w:tc>
          <w:tcPr>
            <w:tcW w:w="1280" w:type="dxa"/>
            <w:vAlign w:val="bottom"/>
            <w:shd w:val="clear" w:color="auto" w:fill="002B5F"/>
          </w:tcPr>
          <w:p>
            <w:pPr>
              <w:ind w:left="140"/>
              <w:spacing w:after="0"/>
              <w:rPr>
                <w:sz w:val="20"/>
                <w:szCs w:val="20"/>
                <w:color w:val="auto"/>
              </w:rPr>
            </w:pPr>
            <w:r>
              <w:rPr>
                <w:rFonts w:ascii="Arial" w:cs="Arial" w:eastAsia="Arial" w:hAnsi="Arial"/>
                <w:sz w:val="12"/>
                <w:szCs w:val="12"/>
                <w:color w:val="FFFFFF"/>
              </w:rPr>
              <w:t>Proposal 3</w:t>
            </w:r>
          </w:p>
        </w:tc>
        <w:tc>
          <w:tcPr>
            <w:tcW w:w="460" w:type="dxa"/>
            <w:vAlign w:val="bottom"/>
            <w:shd w:val="clear" w:color="auto" w:fill="002B5F"/>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78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shd w:val="clear" w:color="auto" w:fill="002B5F"/>
          </w:tcPr>
          <w:p>
            <w:pPr>
              <w:spacing w:after="0"/>
              <w:rPr>
                <w:sz w:val="24"/>
                <w:szCs w:val="24"/>
                <w:color w:val="auto"/>
              </w:rPr>
            </w:pPr>
          </w:p>
        </w:tc>
        <w:tc>
          <w:tcPr>
            <w:tcW w:w="1280" w:type="dxa"/>
            <w:vAlign w:val="bottom"/>
            <w:shd w:val="clear" w:color="auto" w:fill="002B5F"/>
          </w:tcPr>
          <w:p>
            <w:pPr>
              <w:ind w:left="140"/>
              <w:spacing w:after="0"/>
              <w:rPr>
                <w:sz w:val="20"/>
                <w:szCs w:val="20"/>
                <w:color w:val="auto"/>
              </w:rPr>
            </w:pPr>
            <w:r>
              <w:rPr>
                <w:rFonts w:ascii="Arial" w:cs="Arial" w:eastAsia="Arial" w:hAnsi="Arial"/>
                <w:sz w:val="12"/>
                <w:szCs w:val="12"/>
                <w:color w:val="FFFFFF"/>
              </w:rPr>
              <w:t>Proposal 4</w:t>
            </w:r>
          </w:p>
        </w:tc>
        <w:tc>
          <w:tcPr>
            <w:tcW w:w="460" w:type="dxa"/>
            <w:vAlign w:val="bottom"/>
            <w:shd w:val="clear" w:color="auto" w:fill="002B5F"/>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78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shd w:val="clear" w:color="auto" w:fill="002B5F"/>
          </w:tcPr>
          <w:p>
            <w:pPr>
              <w:spacing w:after="0"/>
              <w:rPr>
                <w:sz w:val="24"/>
                <w:szCs w:val="24"/>
                <w:color w:val="auto"/>
              </w:rPr>
            </w:pPr>
          </w:p>
        </w:tc>
        <w:tc>
          <w:tcPr>
            <w:tcW w:w="1280" w:type="dxa"/>
            <w:vAlign w:val="bottom"/>
            <w:shd w:val="clear" w:color="auto" w:fill="002B5F"/>
          </w:tcPr>
          <w:p>
            <w:pPr>
              <w:ind w:left="140"/>
              <w:spacing w:after="0"/>
              <w:rPr>
                <w:sz w:val="20"/>
                <w:szCs w:val="20"/>
                <w:color w:val="auto"/>
              </w:rPr>
            </w:pPr>
            <w:r>
              <w:rPr>
                <w:rFonts w:ascii="Arial" w:cs="Arial" w:eastAsia="Arial" w:hAnsi="Arial"/>
                <w:sz w:val="12"/>
                <w:szCs w:val="12"/>
                <w:color w:val="FFFFFF"/>
              </w:rPr>
              <w:t>Proposal 5</w:t>
            </w:r>
          </w:p>
        </w:tc>
        <w:tc>
          <w:tcPr>
            <w:tcW w:w="460" w:type="dxa"/>
            <w:vAlign w:val="bottom"/>
            <w:shd w:val="clear" w:color="auto" w:fill="002B5F"/>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78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shd w:val="clear" w:color="auto" w:fill="002B5F"/>
          </w:tcPr>
          <w:p>
            <w:pPr>
              <w:spacing w:after="0"/>
              <w:rPr>
                <w:sz w:val="24"/>
                <w:szCs w:val="24"/>
                <w:color w:val="auto"/>
              </w:rPr>
            </w:pPr>
          </w:p>
        </w:tc>
        <w:tc>
          <w:tcPr>
            <w:tcW w:w="1280" w:type="dxa"/>
            <w:vAlign w:val="bottom"/>
            <w:shd w:val="clear" w:color="auto" w:fill="002B5F"/>
          </w:tcPr>
          <w:p>
            <w:pPr>
              <w:ind w:left="140"/>
              <w:spacing w:after="0"/>
              <w:rPr>
                <w:sz w:val="20"/>
                <w:szCs w:val="20"/>
                <w:color w:val="auto"/>
              </w:rPr>
            </w:pPr>
            <w:r>
              <w:rPr>
                <w:rFonts w:ascii="Arial" w:cs="Arial" w:eastAsia="Arial" w:hAnsi="Arial"/>
                <w:sz w:val="12"/>
                <w:szCs w:val="12"/>
                <w:color w:val="FFFFFF"/>
              </w:rPr>
              <w:t>Proposal 6</w:t>
            </w:r>
          </w:p>
        </w:tc>
        <w:tc>
          <w:tcPr>
            <w:tcW w:w="460" w:type="dxa"/>
            <w:vAlign w:val="bottom"/>
            <w:shd w:val="clear" w:color="auto" w:fill="002B5F"/>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78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40" w:type="dxa"/>
            <w:vAlign w:val="bottom"/>
            <w:shd w:val="clear" w:color="auto" w:fill="002B5F"/>
          </w:tcPr>
          <w:p>
            <w:pPr>
              <w:spacing w:after="0"/>
              <w:rPr>
                <w:sz w:val="22"/>
                <w:szCs w:val="22"/>
                <w:color w:val="auto"/>
              </w:rPr>
            </w:pPr>
          </w:p>
        </w:tc>
        <w:tc>
          <w:tcPr>
            <w:tcW w:w="1280" w:type="dxa"/>
            <w:vAlign w:val="bottom"/>
            <w:shd w:val="clear" w:color="auto" w:fill="002B5F"/>
          </w:tcPr>
          <w:p>
            <w:pPr>
              <w:ind w:left="140"/>
              <w:spacing w:after="0"/>
              <w:rPr>
                <w:sz w:val="20"/>
                <w:szCs w:val="20"/>
                <w:color w:val="auto"/>
              </w:rPr>
            </w:pPr>
            <w:r>
              <w:rPr>
                <w:rFonts w:ascii="Arial" w:cs="Arial" w:eastAsia="Arial" w:hAnsi="Arial"/>
                <w:sz w:val="12"/>
                <w:szCs w:val="12"/>
                <w:color w:val="FFFFFF"/>
              </w:rPr>
              <w:t>Stockholder</w:t>
            </w:r>
          </w:p>
        </w:tc>
        <w:tc>
          <w:tcPr>
            <w:tcW w:w="460" w:type="dxa"/>
            <w:vAlign w:val="bottom"/>
            <w:shd w:val="clear" w:color="auto" w:fill="002B5F"/>
          </w:tcPr>
          <w:p>
            <w:pPr>
              <w:spacing w:after="0"/>
              <w:rPr>
                <w:sz w:val="22"/>
                <w:szCs w:val="22"/>
                <w:color w:val="auto"/>
              </w:rPr>
            </w:pPr>
          </w:p>
        </w:tc>
        <w:tc>
          <w:tcPr>
            <w:tcW w:w="0" w:type="dxa"/>
            <w:vAlign w:val="bottom"/>
          </w:tcPr>
          <w:p>
            <w:pPr>
              <w:spacing w:after="0"/>
              <w:rPr>
                <w:sz w:val="1"/>
                <w:szCs w:val="1"/>
                <w:color w:val="auto"/>
              </w:rPr>
            </w:pPr>
          </w:p>
        </w:tc>
      </w:tr>
      <w:tr>
        <w:trPr>
          <w:trHeight w:val="128"/>
        </w:trPr>
        <w:tc>
          <w:tcPr>
            <w:tcW w:w="78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shd w:val="clear" w:color="auto" w:fill="002B5F"/>
          </w:tcPr>
          <w:p>
            <w:pPr>
              <w:spacing w:after="0"/>
              <w:rPr>
                <w:sz w:val="11"/>
                <w:szCs w:val="11"/>
                <w:color w:val="auto"/>
              </w:rPr>
            </w:pPr>
          </w:p>
        </w:tc>
        <w:tc>
          <w:tcPr>
            <w:tcW w:w="1280" w:type="dxa"/>
            <w:vAlign w:val="bottom"/>
            <w:shd w:val="clear" w:color="auto" w:fill="002B5F"/>
          </w:tcPr>
          <w:p>
            <w:pPr>
              <w:ind w:left="140"/>
              <w:spacing w:after="0" w:line="128" w:lineRule="exact"/>
              <w:rPr>
                <w:sz w:val="20"/>
                <w:szCs w:val="20"/>
                <w:color w:val="auto"/>
              </w:rPr>
            </w:pPr>
            <w:r>
              <w:rPr>
                <w:rFonts w:ascii="Arial" w:cs="Arial" w:eastAsia="Arial" w:hAnsi="Arial"/>
                <w:sz w:val="12"/>
                <w:szCs w:val="12"/>
                <w:color w:val="FFFFFF"/>
              </w:rPr>
              <w:t>Proposals and</w:t>
            </w:r>
          </w:p>
        </w:tc>
        <w:tc>
          <w:tcPr>
            <w:tcW w:w="460" w:type="dxa"/>
            <w:vAlign w:val="bottom"/>
            <w:shd w:val="clear" w:color="auto" w:fill="002B5F"/>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78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shd w:val="clear" w:color="auto" w:fill="002B5F"/>
          </w:tcPr>
          <w:p>
            <w:pPr>
              <w:spacing w:after="0"/>
              <w:rPr>
                <w:sz w:val="13"/>
                <w:szCs w:val="13"/>
                <w:color w:val="auto"/>
              </w:rPr>
            </w:pPr>
          </w:p>
        </w:tc>
        <w:tc>
          <w:tcPr>
            <w:tcW w:w="1280" w:type="dxa"/>
            <w:vAlign w:val="bottom"/>
            <w:shd w:val="clear" w:color="auto" w:fill="002B5F"/>
          </w:tcPr>
          <w:p>
            <w:pPr>
              <w:ind w:left="140"/>
              <w:spacing w:after="0"/>
              <w:rPr>
                <w:sz w:val="20"/>
                <w:szCs w:val="20"/>
                <w:color w:val="auto"/>
              </w:rPr>
            </w:pPr>
            <w:r>
              <w:rPr>
                <w:rFonts w:ascii="Arial" w:cs="Arial" w:eastAsia="Arial" w:hAnsi="Arial"/>
                <w:sz w:val="12"/>
                <w:szCs w:val="12"/>
                <w:color w:val="FFFFFF"/>
              </w:rPr>
              <w:t>Other Matters</w:t>
            </w:r>
          </w:p>
        </w:tc>
        <w:tc>
          <w:tcPr>
            <w:tcW w:w="460" w:type="dxa"/>
            <w:vAlign w:val="bottom"/>
            <w:shd w:val="clear" w:color="auto" w:fill="002B5F"/>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78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40" w:type="dxa"/>
            <w:vAlign w:val="bottom"/>
            <w:shd w:val="clear" w:color="auto" w:fill="002B5F"/>
          </w:tcPr>
          <w:p>
            <w:pPr>
              <w:spacing w:after="0"/>
              <w:rPr>
                <w:sz w:val="22"/>
                <w:szCs w:val="22"/>
                <w:color w:val="auto"/>
              </w:rPr>
            </w:pPr>
          </w:p>
        </w:tc>
        <w:tc>
          <w:tcPr>
            <w:tcW w:w="1280" w:type="dxa"/>
            <w:vAlign w:val="bottom"/>
            <w:shd w:val="clear" w:color="auto" w:fill="002B5F"/>
          </w:tcPr>
          <w:p>
            <w:pPr>
              <w:ind w:left="140"/>
              <w:spacing w:after="0"/>
              <w:rPr>
                <w:sz w:val="20"/>
                <w:szCs w:val="20"/>
                <w:color w:val="auto"/>
              </w:rPr>
            </w:pPr>
            <w:r>
              <w:rPr>
                <w:rFonts w:ascii="Arial" w:cs="Arial" w:eastAsia="Arial" w:hAnsi="Arial"/>
                <w:sz w:val="12"/>
                <w:szCs w:val="12"/>
                <w:color w:val="FFFFFF"/>
              </w:rPr>
              <w:t>Delinquent</w:t>
            </w:r>
          </w:p>
        </w:tc>
        <w:tc>
          <w:tcPr>
            <w:tcW w:w="460" w:type="dxa"/>
            <w:vAlign w:val="bottom"/>
            <w:shd w:val="clear" w:color="auto" w:fill="002B5F"/>
          </w:tcPr>
          <w:p>
            <w:pPr>
              <w:spacing w:after="0"/>
              <w:rPr>
                <w:sz w:val="22"/>
                <w:szCs w:val="22"/>
                <w:color w:val="auto"/>
              </w:rPr>
            </w:pPr>
          </w:p>
        </w:tc>
        <w:tc>
          <w:tcPr>
            <w:tcW w:w="0" w:type="dxa"/>
            <w:vAlign w:val="bottom"/>
          </w:tcPr>
          <w:p>
            <w:pPr>
              <w:spacing w:after="0"/>
              <w:rPr>
                <w:sz w:val="1"/>
                <w:szCs w:val="1"/>
                <w:color w:val="auto"/>
              </w:rPr>
            </w:pPr>
          </w:p>
        </w:tc>
      </w:tr>
      <w:tr>
        <w:trPr>
          <w:trHeight w:val="128"/>
        </w:trPr>
        <w:tc>
          <w:tcPr>
            <w:tcW w:w="78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shd w:val="clear" w:color="auto" w:fill="002B5F"/>
          </w:tcPr>
          <w:p>
            <w:pPr>
              <w:spacing w:after="0"/>
              <w:rPr>
                <w:sz w:val="11"/>
                <w:szCs w:val="11"/>
                <w:color w:val="auto"/>
              </w:rPr>
            </w:pPr>
          </w:p>
        </w:tc>
        <w:tc>
          <w:tcPr>
            <w:tcW w:w="1280" w:type="dxa"/>
            <w:vAlign w:val="bottom"/>
            <w:shd w:val="clear" w:color="auto" w:fill="002B5F"/>
          </w:tcPr>
          <w:p>
            <w:pPr>
              <w:ind w:left="140"/>
              <w:spacing w:after="0" w:line="128" w:lineRule="exact"/>
              <w:rPr>
                <w:sz w:val="20"/>
                <w:szCs w:val="20"/>
                <w:color w:val="auto"/>
              </w:rPr>
            </w:pPr>
            <w:r>
              <w:rPr>
                <w:rFonts w:ascii="Arial" w:cs="Arial" w:eastAsia="Arial" w:hAnsi="Arial"/>
                <w:sz w:val="12"/>
                <w:szCs w:val="12"/>
                <w:color w:val="FFFFFF"/>
              </w:rPr>
              <w:t>Section 16(a)</w:t>
            </w:r>
          </w:p>
        </w:tc>
        <w:tc>
          <w:tcPr>
            <w:tcW w:w="460" w:type="dxa"/>
            <w:vAlign w:val="bottom"/>
            <w:shd w:val="clear" w:color="auto" w:fill="002B5F"/>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78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shd w:val="clear" w:color="auto" w:fill="002B5F"/>
          </w:tcPr>
          <w:p>
            <w:pPr>
              <w:spacing w:after="0"/>
              <w:rPr>
                <w:sz w:val="13"/>
                <w:szCs w:val="13"/>
                <w:color w:val="auto"/>
              </w:rPr>
            </w:pPr>
          </w:p>
        </w:tc>
        <w:tc>
          <w:tcPr>
            <w:tcW w:w="1280" w:type="dxa"/>
            <w:vAlign w:val="bottom"/>
            <w:shd w:val="clear" w:color="auto" w:fill="002B5F"/>
          </w:tcPr>
          <w:p>
            <w:pPr>
              <w:ind w:left="140"/>
              <w:spacing w:after="0"/>
              <w:rPr>
                <w:sz w:val="20"/>
                <w:szCs w:val="20"/>
                <w:color w:val="auto"/>
              </w:rPr>
            </w:pPr>
            <w:r>
              <w:rPr>
                <w:rFonts w:ascii="Arial" w:cs="Arial" w:eastAsia="Arial" w:hAnsi="Arial"/>
                <w:sz w:val="12"/>
                <w:szCs w:val="12"/>
                <w:color w:val="FFFFFF"/>
              </w:rPr>
              <w:t>Reports</w:t>
            </w:r>
          </w:p>
        </w:tc>
        <w:tc>
          <w:tcPr>
            <w:tcW w:w="460" w:type="dxa"/>
            <w:vAlign w:val="bottom"/>
            <w:shd w:val="clear" w:color="auto" w:fill="002B5F"/>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78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40" w:type="dxa"/>
            <w:vAlign w:val="bottom"/>
            <w:shd w:val="clear" w:color="auto" w:fill="002B5F"/>
          </w:tcPr>
          <w:p>
            <w:pPr>
              <w:spacing w:after="0"/>
              <w:rPr>
                <w:sz w:val="22"/>
                <w:szCs w:val="22"/>
                <w:color w:val="auto"/>
              </w:rPr>
            </w:pPr>
          </w:p>
        </w:tc>
        <w:tc>
          <w:tcPr>
            <w:tcW w:w="1280" w:type="dxa"/>
            <w:vAlign w:val="bottom"/>
            <w:shd w:val="clear" w:color="auto" w:fill="002B5F"/>
          </w:tcPr>
          <w:p>
            <w:pPr>
              <w:ind w:left="140"/>
              <w:spacing w:after="0"/>
              <w:rPr>
                <w:sz w:val="20"/>
                <w:szCs w:val="20"/>
                <w:color w:val="auto"/>
              </w:rPr>
            </w:pPr>
            <w:r>
              <w:rPr>
                <w:rFonts w:ascii="Arial" w:cs="Arial" w:eastAsia="Arial" w:hAnsi="Arial"/>
                <w:sz w:val="12"/>
                <w:szCs w:val="12"/>
                <w:color w:val="FFFFFF"/>
              </w:rPr>
              <w:t>Other</w:t>
            </w:r>
          </w:p>
        </w:tc>
        <w:tc>
          <w:tcPr>
            <w:tcW w:w="460" w:type="dxa"/>
            <w:vAlign w:val="bottom"/>
            <w:shd w:val="clear" w:color="auto" w:fill="002B5F"/>
          </w:tcPr>
          <w:p>
            <w:pPr>
              <w:spacing w:after="0"/>
              <w:rPr>
                <w:sz w:val="22"/>
                <w:szCs w:val="22"/>
                <w:color w:val="auto"/>
              </w:rPr>
            </w:pPr>
          </w:p>
        </w:tc>
        <w:tc>
          <w:tcPr>
            <w:tcW w:w="0" w:type="dxa"/>
            <w:vAlign w:val="bottom"/>
          </w:tcPr>
          <w:p>
            <w:pPr>
              <w:spacing w:after="0"/>
              <w:rPr>
                <w:sz w:val="1"/>
                <w:szCs w:val="1"/>
                <w:color w:val="auto"/>
              </w:rPr>
            </w:pPr>
          </w:p>
        </w:tc>
      </w:tr>
      <w:tr>
        <w:trPr>
          <w:trHeight w:val="158"/>
        </w:trPr>
        <w:tc>
          <w:tcPr>
            <w:tcW w:w="78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shd w:val="clear" w:color="auto" w:fill="002B5F"/>
          </w:tcPr>
          <w:p>
            <w:pPr>
              <w:spacing w:after="0"/>
              <w:rPr>
                <w:sz w:val="13"/>
                <w:szCs w:val="13"/>
                <w:color w:val="auto"/>
              </w:rPr>
            </w:pPr>
          </w:p>
        </w:tc>
        <w:tc>
          <w:tcPr>
            <w:tcW w:w="1280" w:type="dxa"/>
            <w:vAlign w:val="bottom"/>
            <w:shd w:val="clear" w:color="auto" w:fill="002B5F"/>
          </w:tcPr>
          <w:p>
            <w:pPr>
              <w:ind w:left="140"/>
              <w:spacing w:after="0"/>
              <w:rPr>
                <w:sz w:val="20"/>
                <w:szCs w:val="20"/>
                <w:color w:val="auto"/>
              </w:rPr>
            </w:pPr>
            <w:r>
              <w:rPr>
                <w:rFonts w:ascii="Arial" w:cs="Arial" w:eastAsia="Arial" w:hAnsi="Arial"/>
                <w:sz w:val="12"/>
                <w:szCs w:val="12"/>
                <w:color w:val="FFFFFF"/>
              </w:rPr>
              <w:t>Information</w:t>
            </w:r>
          </w:p>
        </w:tc>
        <w:tc>
          <w:tcPr>
            <w:tcW w:w="460" w:type="dxa"/>
            <w:vAlign w:val="bottom"/>
            <w:shd w:val="clear" w:color="auto" w:fill="002B5F"/>
          </w:tcPr>
          <w:p>
            <w:pPr>
              <w:spacing w:after="0"/>
              <w:rPr>
                <w:sz w:val="13"/>
                <w:szCs w:val="13"/>
                <w:color w:val="auto"/>
              </w:rPr>
            </w:pPr>
          </w:p>
        </w:tc>
        <w:tc>
          <w:tcPr>
            <w:tcW w:w="0" w:type="dxa"/>
            <w:vAlign w:val="bottom"/>
          </w:tcPr>
          <w:p>
            <w:pPr>
              <w:spacing w:after="0"/>
              <w:rPr>
                <w:sz w:val="1"/>
                <w:szCs w:val="1"/>
                <w:color w:val="auto"/>
              </w:rPr>
            </w:pPr>
          </w:p>
        </w:tc>
      </w:tr>
      <w:tr>
        <w:trPr>
          <w:trHeight w:val="294"/>
        </w:trPr>
        <w:tc>
          <w:tcPr>
            <w:tcW w:w="78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shd w:val="clear" w:color="auto" w:fill="002B5F"/>
          </w:tcPr>
          <w:p>
            <w:pPr>
              <w:spacing w:after="0"/>
              <w:rPr>
                <w:sz w:val="24"/>
                <w:szCs w:val="24"/>
                <w:color w:val="auto"/>
              </w:rPr>
            </w:pPr>
          </w:p>
        </w:tc>
        <w:tc>
          <w:tcPr>
            <w:tcW w:w="1280" w:type="dxa"/>
            <w:vAlign w:val="bottom"/>
            <w:shd w:val="clear" w:color="auto" w:fill="002B5F"/>
          </w:tcPr>
          <w:p>
            <w:pPr>
              <w:ind w:left="140"/>
              <w:spacing w:after="0"/>
              <w:rPr>
                <w:sz w:val="20"/>
                <w:szCs w:val="20"/>
                <w:color w:val="auto"/>
              </w:rPr>
            </w:pPr>
            <w:r>
              <w:rPr>
                <w:rFonts w:ascii="Arial" w:cs="Arial" w:eastAsia="Arial" w:hAnsi="Arial"/>
                <w:sz w:val="12"/>
                <w:szCs w:val="12"/>
                <w:color w:val="FFFFFF"/>
              </w:rPr>
              <w:t>Appendix A</w:t>
            </w:r>
          </w:p>
        </w:tc>
        <w:tc>
          <w:tcPr>
            <w:tcW w:w="460" w:type="dxa"/>
            <w:vAlign w:val="bottom"/>
            <w:shd w:val="clear" w:color="auto" w:fill="002B5F"/>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78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shd w:val="clear" w:color="auto" w:fill="002B5F"/>
          </w:tcPr>
          <w:p>
            <w:pPr>
              <w:spacing w:after="0"/>
              <w:rPr>
                <w:sz w:val="24"/>
                <w:szCs w:val="24"/>
                <w:color w:val="auto"/>
              </w:rPr>
            </w:pPr>
          </w:p>
        </w:tc>
        <w:tc>
          <w:tcPr>
            <w:tcW w:w="1280" w:type="dxa"/>
            <w:vAlign w:val="bottom"/>
            <w:shd w:val="clear" w:color="auto" w:fill="002B5F"/>
          </w:tcPr>
          <w:p>
            <w:pPr>
              <w:ind w:left="140"/>
              <w:spacing w:after="0"/>
              <w:rPr>
                <w:sz w:val="20"/>
                <w:szCs w:val="20"/>
                <w:color w:val="auto"/>
              </w:rPr>
            </w:pPr>
            <w:r>
              <w:rPr>
                <w:rFonts w:ascii="Arial" w:cs="Arial" w:eastAsia="Arial" w:hAnsi="Arial"/>
                <w:sz w:val="12"/>
                <w:szCs w:val="12"/>
                <w:color w:val="FFFFFF"/>
              </w:rPr>
              <w:t>Appendix B</w:t>
            </w:r>
          </w:p>
        </w:tc>
        <w:tc>
          <w:tcPr>
            <w:tcW w:w="460" w:type="dxa"/>
            <w:vAlign w:val="bottom"/>
            <w:shd w:val="clear" w:color="auto" w:fill="002B5F"/>
          </w:tcPr>
          <w:p>
            <w:pPr>
              <w:spacing w:after="0"/>
              <w:rPr>
                <w:sz w:val="24"/>
                <w:szCs w:val="24"/>
                <w:color w:val="auto"/>
              </w:rPr>
            </w:pPr>
          </w:p>
        </w:tc>
        <w:tc>
          <w:tcPr>
            <w:tcW w:w="0" w:type="dxa"/>
            <w:vAlign w:val="bottom"/>
          </w:tcPr>
          <w:p>
            <w:pPr>
              <w:spacing w:after="0"/>
              <w:rPr>
                <w:sz w:val="1"/>
                <w:szCs w:val="1"/>
                <w:color w:val="auto"/>
              </w:rPr>
            </w:pPr>
          </w:p>
        </w:tc>
      </w:tr>
      <w:tr>
        <w:trPr>
          <w:trHeight w:val="651"/>
        </w:trPr>
        <w:tc>
          <w:tcPr>
            <w:tcW w:w="78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shd w:val="clear" w:color="auto" w:fill="002B5F"/>
          </w:tcPr>
          <w:p>
            <w:pPr>
              <w:spacing w:after="0"/>
              <w:rPr>
                <w:sz w:val="24"/>
                <w:szCs w:val="24"/>
                <w:color w:val="auto"/>
              </w:rPr>
            </w:pPr>
          </w:p>
        </w:tc>
        <w:tc>
          <w:tcPr>
            <w:tcW w:w="1280" w:type="dxa"/>
            <w:vAlign w:val="bottom"/>
            <w:shd w:val="clear" w:color="auto" w:fill="002B5F"/>
          </w:tcPr>
          <w:p>
            <w:pPr>
              <w:spacing w:after="0"/>
              <w:rPr>
                <w:sz w:val="24"/>
                <w:szCs w:val="24"/>
                <w:color w:val="auto"/>
              </w:rPr>
            </w:pPr>
          </w:p>
        </w:tc>
        <w:tc>
          <w:tcPr>
            <w:tcW w:w="460" w:type="dxa"/>
            <w:vAlign w:val="bottom"/>
            <w:shd w:val="clear" w:color="auto" w:fill="002B5F"/>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5771515</wp:posOffset>
            </wp:positionH>
            <wp:positionV relativeFrom="paragraph">
              <wp:posOffset>-1304290</wp:posOffset>
            </wp:positionV>
            <wp:extent cx="56515" cy="8890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56515" cy="88900"/>
                    </a:xfrm>
                    <a:prstGeom prst="rect">
                      <a:avLst/>
                    </a:prstGeom>
                    <a:noFill/>
                  </pic:spPr>
                </pic:pic>
              </a:graphicData>
            </a:graphic>
          </wp:anchor>
        </w:drawing>
      </w:r>
    </w:p>
    <w:p>
      <w:pPr>
        <w:spacing w:after="0" w:line="235" w:lineRule="exact"/>
        <w:rPr>
          <w:sz w:val="20"/>
          <w:szCs w:val="20"/>
          <w:color w:val="auto"/>
        </w:rPr>
      </w:pPr>
    </w:p>
    <w:p>
      <w:pPr>
        <w:ind w:left="6380"/>
        <w:spacing w:after="0"/>
        <w:tabs>
          <w:tab w:leader="none" w:pos="8500" w:val="left"/>
          <w:tab w:leader="none" w:pos="9960" w:val="left"/>
        </w:tabs>
        <w:rPr>
          <w:sz w:val="20"/>
          <w:szCs w:val="20"/>
          <w:color w:val="auto"/>
        </w:rPr>
      </w:pPr>
      <w:r>
        <w:rPr>
          <w:rFonts w:ascii="Arial" w:cs="Arial" w:eastAsia="Arial" w:hAnsi="Arial"/>
          <w:sz w:val="15"/>
          <w:szCs w:val="15"/>
          <w:b w:val="1"/>
          <w:bCs w:val="1"/>
          <w:color w:val="002B5F"/>
        </w:rPr>
        <w:t xml:space="preserve">2026 Proxy Statement  </w:t>
      </w:r>
      <w:r>
        <w:rPr>
          <w:rFonts w:ascii="Arial" w:cs="Arial" w:eastAsia="Arial" w:hAnsi="Arial"/>
          <w:sz w:val="20"/>
          <w:szCs w:val="20"/>
          <w:color w:val="002B5F"/>
        </w:rPr>
        <w:t>|</w:t>
      </w:r>
      <w:r>
        <w:rPr>
          <w:rFonts w:ascii="Arial" w:cs="Arial" w:eastAsia="Arial" w:hAnsi="Arial"/>
          <w:sz w:val="15"/>
          <w:szCs w:val="15"/>
          <w:b w:val="1"/>
          <w:bCs w:val="1"/>
          <w:color w:val="002B5F"/>
        </w:rPr>
        <w:t xml:space="preserve">  95</w:t>
      </w:r>
      <w:r>
        <w:rPr>
          <w:sz w:val="20"/>
          <w:szCs w:val="20"/>
          <w:color w:val="auto"/>
        </w:rPr>
        <w:tab/>
      </w:r>
      <w:r>
        <w:rPr>
          <w:rFonts w:ascii="Arial" w:cs="Arial" w:eastAsia="Arial" w:hAnsi="Arial"/>
          <w:sz w:val="17"/>
          <w:szCs w:val="17"/>
          <w:color w:val="auto"/>
        </w:rPr>
        <w:t xml:space="preserve">    </w:t>
      </w:r>
      <w:r>
        <w:rPr>
          <w:sz w:val="20"/>
          <w:szCs w:val="20"/>
          <w:color w:val="auto"/>
        </w:rPr>
        <w:tab/>
      </w:r>
      <w:r>
        <w:rPr>
          <w:rFonts w:ascii="Arial" w:cs="Arial" w:eastAsia="Arial" w:hAnsi="Arial"/>
          <w:sz w:val="17"/>
          <w:szCs w:val="17"/>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268605</wp:posOffset>
            </wp:positionH>
            <wp:positionV relativeFrom="paragraph">
              <wp:posOffset>-128905</wp:posOffset>
            </wp:positionV>
            <wp:extent cx="762000" cy="971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62000" cy="97155"/>
                    </a:xfrm>
                    <a:prstGeom prst="rect">
                      <a:avLst/>
                    </a:prstGeom>
                    <a:noFill/>
                  </pic:spPr>
                </pic:pic>
              </a:graphicData>
            </a:graphic>
          </wp:anchor>
        </w:drawing>
      </w:r>
    </w:p>
    <w:p>
      <w:pPr>
        <w:sectPr>
          <w:pgSz w:w="11900" w:h="16838" w:orient="portrait"/>
          <w:cols w:equalWidth="0" w:num="1">
            <w:col w:w="10820"/>
          </w:cols>
          <w:pgMar w:left="320" w:top="464" w:right="75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7"/>
          <w:szCs w:val="17"/>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268605</wp:posOffset>
            </wp:positionH>
            <wp:positionV relativeFrom="paragraph">
              <wp:posOffset>253365</wp:posOffset>
            </wp:positionV>
            <wp:extent cx="1183005" cy="76663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1183005" cy="7666355"/>
                    </a:xfrm>
                    <a:prstGeom prst="rect">
                      <a:avLst/>
                    </a:prstGeom>
                    <a:noFill/>
                  </pic:spPr>
                </pic:pic>
              </a:graphicData>
            </a:graphic>
          </wp:anchor>
        </w:drawing>
      </w:r>
    </w:p>
    <w:p>
      <w:pPr>
        <w:spacing w:after="0" w:line="200" w:lineRule="exact"/>
        <w:rPr>
          <w:sz w:val="20"/>
          <w:szCs w:val="20"/>
          <w:color w:val="auto"/>
        </w:rPr>
      </w:pPr>
    </w:p>
    <w:p>
      <w:pPr>
        <w:spacing w:after="0" w:line="304" w:lineRule="exact"/>
        <w:rPr>
          <w:sz w:val="20"/>
          <w:szCs w:val="20"/>
          <w:color w:val="auto"/>
        </w:rPr>
      </w:pPr>
    </w:p>
    <w:p>
      <w:pPr>
        <w:ind w:left="1120" w:right="460" w:hanging="672"/>
        <w:spacing w:after="0" w:line="382" w:lineRule="auto"/>
        <w:tabs>
          <w:tab w:leader="none" w:pos="610" w:val="left"/>
        </w:tabs>
        <w:numPr>
          <w:ilvl w:val="0"/>
          <w:numId w:val="138"/>
        </w:numPr>
        <w:rPr>
          <w:rFonts w:ascii="Arial" w:cs="Arial" w:eastAsia="Arial" w:hAnsi="Arial"/>
          <w:sz w:val="24"/>
          <w:szCs w:val="24"/>
          <w:color w:val="auto"/>
          <w:vertAlign w:val="subscript"/>
        </w:rPr>
      </w:pPr>
      <w:r>
        <w:rPr>
          <w:rFonts w:ascii="Arial" w:cs="Arial" w:eastAsia="Arial" w:hAnsi="Arial"/>
          <w:sz w:val="24"/>
          <w:szCs w:val="24"/>
          <w:color w:val="000000"/>
          <w:vertAlign w:val="subscript"/>
        </w:rPr>
        <w:t xml:space="preserve">     </w:t>
      </w:r>
      <w:r>
        <w:rPr>
          <w:rFonts w:ascii="Arial" w:cs="Arial" w:eastAsia="Arial" w:hAnsi="Arial"/>
          <w:sz w:val="10"/>
          <w:szCs w:val="10"/>
          <w:color w:val="FFFFFF"/>
        </w:rPr>
        <w:t xml:space="preserve"> General Information</w:t>
      </w:r>
    </w:p>
    <w:p>
      <w:pPr>
        <w:spacing w:after="0" w:line="1" w:lineRule="exact"/>
        <w:rPr>
          <w:sz w:val="20"/>
          <w:szCs w:val="20"/>
          <w:color w:val="auto"/>
        </w:rPr>
      </w:pPr>
    </w:p>
    <w:p>
      <w:pPr>
        <w:ind w:left="1120"/>
        <w:spacing w:after="0"/>
        <w:rPr>
          <w:sz w:val="20"/>
          <w:szCs w:val="20"/>
          <w:color w:val="auto"/>
        </w:rPr>
      </w:pPr>
      <w:r>
        <w:rPr>
          <w:rFonts w:ascii="Arial" w:cs="Arial" w:eastAsia="Arial" w:hAnsi="Arial"/>
          <w:sz w:val="11"/>
          <w:szCs w:val="11"/>
          <w:color w:val="FFFFFF"/>
        </w:rPr>
        <w:t>General Information</w:t>
      </w:r>
    </w:p>
    <w:p>
      <w:pPr>
        <w:spacing w:after="0" w:line="3"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About Corporate</w:t>
      </w:r>
    </w:p>
    <w:p>
      <w:pPr>
        <w:ind w:left="1120"/>
        <w:spacing w:after="0" w:line="221" w:lineRule="auto"/>
        <w:rPr>
          <w:sz w:val="20"/>
          <w:szCs w:val="20"/>
          <w:color w:val="auto"/>
        </w:rPr>
      </w:pPr>
      <w:r>
        <w:rPr>
          <w:rFonts w:ascii="Arial" w:cs="Arial" w:eastAsia="Arial" w:hAnsi="Arial"/>
          <w:sz w:val="12"/>
          <w:szCs w:val="12"/>
          <w:color w:val="FFFFFF"/>
        </w:rPr>
        <w:t>Governance</w:t>
      </w:r>
    </w:p>
    <w:p>
      <w:pPr>
        <w:ind w:left="1120"/>
        <w:spacing w:after="0" w:line="222" w:lineRule="auto"/>
        <w:rPr>
          <w:sz w:val="20"/>
          <w:szCs w:val="20"/>
          <w:color w:val="auto"/>
        </w:rPr>
      </w:pPr>
      <w:r>
        <w:rPr>
          <w:rFonts w:ascii="Arial" w:cs="Arial" w:eastAsia="Arial" w:hAnsi="Arial"/>
          <w:sz w:val="12"/>
          <w:szCs w:val="12"/>
          <w:color w:val="FFFFFF"/>
        </w:rPr>
        <w:t>and the Board of</w:t>
      </w:r>
    </w:p>
    <w:p>
      <w:pPr>
        <w:spacing w:after="0" w:line="1"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Directors</w:t>
      </w:r>
    </w:p>
    <w:p>
      <w:pPr>
        <w:spacing w:after="0" w:line="169" w:lineRule="exact"/>
        <w:rPr>
          <w:sz w:val="20"/>
          <w:szCs w:val="20"/>
          <w:color w:val="auto"/>
        </w:rPr>
      </w:pPr>
    </w:p>
    <w:p>
      <w:pPr>
        <w:jc w:val="center"/>
        <w:ind w:left="620"/>
        <w:spacing w:after="0"/>
        <w:rPr>
          <w:sz w:val="20"/>
          <w:szCs w:val="20"/>
          <w:color w:val="auto"/>
        </w:rPr>
      </w:pPr>
      <w:r>
        <w:rPr>
          <w:rFonts w:ascii="Arial" w:cs="Arial" w:eastAsia="Arial" w:hAnsi="Arial"/>
          <w:sz w:val="12"/>
          <w:szCs w:val="12"/>
          <w:color w:val="FFFFFF"/>
        </w:rPr>
        <w:t>Proposal 1</w:t>
      </w:r>
    </w:p>
    <w:p>
      <w:pPr>
        <w:spacing w:after="0" w:line="181"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Information</w:t>
      </w:r>
    </w:p>
    <w:p>
      <w:pPr>
        <w:ind w:left="1120"/>
        <w:spacing w:after="0" w:line="224" w:lineRule="auto"/>
        <w:rPr>
          <w:sz w:val="20"/>
          <w:szCs w:val="20"/>
          <w:color w:val="auto"/>
        </w:rPr>
      </w:pPr>
      <w:r>
        <w:rPr>
          <w:rFonts w:ascii="Arial" w:cs="Arial" w:eastAsia="Arial" w:hAnsi="Arial"/>
          <w:sz w:val="12"/>
          <w:szCs w:val="12"/>
          <w:color w:val="FFFFFF"/>
        </w:rPr>
        <w:t>Regarding Board</w:t>
      </w:r>
    </w:p>
    <w:p>
      <w:pPr>
        <w:ind w:left="1120"/>
        <w:spacing w:after="0" w:line="222" w:lineRule="auto"/>
        <w:rPr>
          <w:sz w:val="20"/>
          <w:szCs w:val="20"/>
          <w:color w:val="auto"/>
        </w:rPr>
      </w:pPr>
      <w:r>
        <w:rPr>
          <w:rFonts w:ascii="Arial" w:cs="Arial" w:eastAsia="Arial" w:hAnsi="Arial"/>
          <w:sz w:val="12"/>
          <w:szCs w:val="12"/>
          <w:color w:val="FFFFFF"/>
        </w:rPr>
        <w:t>and Committee</w:t>
      </w:r>
    </w:p>
    <w:p>
      <w:pPr>
        <w:ind w:left="1120"/>
        <w:spacing w:after="0"/>
        <w:rPr>
          <w:sz w:val="20"/>
          <w:szCs w:val="20"/>
          <w:color w:val="auto"/>
        </w:rPr>
      </w:pPr>
      <w:r>
        <w:rPr>
          <w:rFonts w:ascii="Arial" w:cs="Arial" w:eastAsia="Arial" w:hAnsi="Arial"/>
          <w:sz w:val="12"/>
          <w:szCs w:val="12"/>
          <w:color w:val="FFFFFF"/>
        </w:rPr>
        <w:t>Structure</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Board of Directors</w:t>
      </w:r>
    </w:p>
    <w:p>
      <w:pPr>
        <w:spacing w:after="0" w:line="2"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Compensation</w:t>
      </w:r>
    </w:p>
    <w:p>
      <w:pPr>
        <w:spacing w:after="0" w:line="169"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Compensation</w:t>
      </w:r>
    </w:p>
    <w:p>
      <w:pPr>
        <w:ind w:left="1120"/>
        <w:spacing w:after="0" w:line="224" w:lineRule="auto"/>
        <w:rPr>
          <w:sz w:val="20"/>
          <w:szCs w:val="20"/>
          <w:color w:val="auto"/>
        </w:rPr>
      </w:pPr>
      <w:r>
        <w:rPr>
          <w:rFonts w:ascii="Arial" w:cs="Arial" w:eastAsia="Arial" w:hAnsi="Arial"/>
          <w:sz w:val="12"/>
          <w:szCs w:val="12"/>
          <w:color w:val="FFFFFF"/>
        </w:rPr>
        <w:t>Discussion and</w:t>
      </w:r>
    </w:p>
    <w:p>
      <w:pPr>
        <w:ind w:left="1120"/>
        <w:spacing w:after="0"/>
        <w:rPr>
          <w:sz w:val="20"/>
          <w:szCs w:val="20"/>
          <w:color w:val="auto"/>
        </w:rPr>
      </w:pPr>
      <w:r>
        <w:rPr>
          <w:rFonts w:ascii="Arial" w:cs="Arial" w:eastAsia="Arial" w:hAnsi="Arial"/>
          <w:sz w:val="12"/>
          <w:szCs w:val="12"/>
          <w:color w:val="FFFFFF"/>
        </w:rPr>
        <w:t>Analysis</w:t>
      </w:r>
    </w:p>
    <w:p>
      <w:pPr>
        <w:spacing w:after="0" w:line="169"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Report of the</w:t>
      </w:r>
    </w:p>
    <w:p>
      <w:pPr>
        <w:ind w:left="1120"/>
        <w:spacing w:after="0" w:line="224" w:lineRule="auto"/>
        <w:rPr>
          <w:sz w:val="20"/>
          <w:szCs w:val="20"/>
          <w:color w:val="auto"/>
        </w:rPr>
      </w:pPr>
      <w:r>
        <w:rPr>
          <w:rFonts w:ascii="Arial" w:cs="Arial" w:eastAsia="Arial" w:hAnsi="Arial"/>
          <w:sz w:val="12"/>
          <w:szCs w:val="12"/>
          <w:color w:val="FFFFFF"/>
        </w:rPr>
        <w:t>Compensation</w:t>
      </w:r>
    </w:p>
    <w:p>
      <w:pPr>
        <w:ind w:left="1120"/>
        <w:spacing w:after="0" w:line="222" w:lineRule="auto"/>
        <w:rPr>
          <w:sz w:val="20"/>
          <w:szCs w:val="20"/>
          <w:color w:val="auto"/>
        </w:rPr>
      </w:pPr>
      <w:r>
        <w:rPr>
          <w:rFonts w:ascii="Arial" w:cs="Arial" w:eastAsia="Arial" w:hAnsi="Arial"/>
          <w:sz w:val="12"/>
          <w:szCs w:val="12"/>
          <w:color w:val="FFFFFF"/>
        </w:rPr>
        <w:t>and Human</w:t>
      </w:r>
    </w:p>
    <w:p>
      <w:pPr>
        <w:ind w:left="1120"/>
        <w:spacing w:after="0" w:line="222" w:lineRule="auto"/>
        <w:rPr>
          <w:sz w:val="20"/>
          <w:szCs w:val="20"/>
          <w:color w:val="auto"/>
        </w:rPr>
      </w:pPr>
      <w:r>
        <w:rPr>
          <w:rFonts w:ascii="Arial" w:cs="Arial" w:eastAsia="Arial" w:hAnsi="Arial"/>
          <w:sz w:val="12"/>
          <w:szCs w:val="12"/>
          <w:color w:val="FFFFFF"/>
        </w:rPr>
        <w:t>Resources</w:t>
      </w:r>
    </w:p>
    <w:p>
      <w:pPr>
        <w:ind w:left="1120"/>
        <w:spacing w:after="0" w:line="222" w:lineRule="auto"/>
        <w:rPr>
          <w:sz w:val="20"/>
          <w:szCs w:val="20"/>
          <w:color w:val="auto"/>
        </w:rPr>
      </w:pPr>
      <w:r>
        <w:rPr>
          <w:rFonts w:ascii="Arial" w:cs="Arial" w:eastAsia="Arial" w:hAnsi="Arial"/>
          <w:sz w:val="12"/>
          <w:szCs w:val="12"/>
          <w:color w:val="FFFFFF"/>
        </w:rPr>
        <w:t>Committee of the</w:t>
      </w:r>
    </w:p>
    <w:p>
      <w:pPr>
        <w:ind w:left="1120"/>
        <w:spacing w:after="0"/>
        <w:rPr>
          <w:sz w:val="20"/>
          <w:szCs w:val="20"/>
          <w:color w:val="auto"/>
        </w:rPr>
      </w:pPr>
      <w:r>
        <w:rPr>
          <w:rFonts w:ascii="Arial" w:cs="Arial" w:eastAsia="Arial" w:hAnsi="Arial"/>
          <w:sz w:val="12"/>
          <w:szCs w:val="12"/>
          <w:color w:val="FFFFFF"/>
        </w:rPr>
        <w:t>Board of Directors</w:t>
      </w:r>
    </w:p>
    <w:p>
      <w:pPr>
        <w:spacing w:after="0" w:line="169"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Compensation of</w:t>
      </w:r>
    </w:p>
    <w:p>
      <w:pPr>
        <w:ind w:left="1120"/>
        <w:spacing w:after="0" w:line="224" w:lineRule="auto"/>
        <w:rPr>
          <w:sz w:val="20"/>
          <w:szCs w:val="20"/>
          <w:color w:val="auto"/>
        </w:rPr>
      </w:pPr>
      <w:r>
        <w:rPr>
          <w:rFonts w:ascii="Arial" w:cs="Arial" w:eastAsia="Arial" w:hAnsi="Arial"/>
          <w:sz w:val="12"/>
          <w:szCs w:val="12"/>
          <w:color w:val="FFFFFF"/>
        </w:rPr>
        <w:t>Named Executive</w:t>
      </w:r>
    </w:p>
    <w:p>
      <w:pPr>
        <w:ind w:left="1120"/>
        <w:spacing w:after="0"/>
        <w:rPr>
          <w:sz w:val="20"/>
          <w:szCs w:val="20"/>
          <w:color w:val="auto"/>
        </w:rPr>
      </w:pPr>
      <w:r>
        <w:rPr>
          <w:rFonts w:ascii="Arial" w:cs="Arial" w:eastAsia="Arial" w:hAnsi="Arial"/>
          <w:sz w:val="12"/>
          <w:szCs w:val="12"/>
          <w:color w:val="FFFFFF"/>
        </w:rPr>
        <w:t>Officers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Pay Versus</w:t>
      </w:r>
    </w:p>
    <w:p>
      <w:pPr>
        <w:ind w:left="1120"/>
        <w:spacing w:after="0" w:line="224" w:lineRule="auto"/>
        <w:rPr>
          <w:sz w:val="20"/>
          <w:szCs w:val="20"/>
          <w:color w:val="auto"/>
        </w:rPr>
      </w:pPr>
      <w:r>
        <w:rPr>
          <w:rFonts w:ascii="Arial" w:cs="Arial" w:eastAsia="Arial" w:hAnsi="Arial"/>
          <w:sz w:val="12"/>
          <w:szCs w:val="12"/>
          <w:color w:val="FFFFFF"/>
        </w:rPr>
        <w:t>Performance</w:t>
      </w:r>
    </w:p>
    <w:p>
      <w:pPr>
        <w:ind w:left="1120"/>
        <w:spacing w:after="0"/>
        <w:rPr>
          <w:sz w:val="20"/>
          <w:szCs w:val="20"/>
          <w:color w:val="auto"/>
        </w:rPr>
      </w:pPr>
      <w:r>
        <w:rPr>
          <w:rFonts w:ascii="Arial" w:cs="Arial" w:eastAsia="Arial" w:hAnsi="Arial"/>
          <w:sz w:val="12"/>
          <w:szCs w:val="12"/>
          <w:color w:val="FFFFFF"/>
        </w:rPr>
        <w:t>Disclosure</w:t>
      </w:r>
    </w:p>
    <w:p>
      <w:pPr>
        <w:spacing w:after="0" w:line="169"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Security</w:t>
      </w:r>
    </w:p>
    <w:p>
      <w:pPr>
        <w:ind w:left="1120"/>
        <w:spacing w:after="0" w:line="224" w:lineRule="auto"/>
        <w:rPr>
          <w:sz w:val="20"/>
          <w:szCs w:val="20"/>
          <w:color w:val="auto"/>
        </w:rPr>
      </w:pPr>
      <w:r>
        <w:rPr>
          <w:rFonts w:ascii="Arial" w:cs="Arial" w:eastAsia="Arial" w:hAnsi="Arial"/>
          <w:sz w:val="12"/>
          <w:szCs w:val="12"/>
          <w:color w:val="FFFFFF"/>
        </w:rPr>
        <w:t>Ownership of</w:t>
      </w:r>
    </w:p>
    <w:p>
      <w:pPr>
        <w:ind w:left="1120"/>
        <w:spacing w:after="0" w:line="222" w:lineRule="auto"/>
        <w:rPr>
          <w:sz w:val="20"/>
          <w:szCs w:val="20"/>
          <w:color w:val="auto"/>
        </w:rPr>
      </w:pPr>
      <w:r>
        <w:rPr>
          <w:rFonts w:ascii="Arial" w:cs="Arial" w:eastAsia="Arial" w:hAnsi="Arial"/>
          <w:sz w:val="12"/>
          <w:szCs w:val="12"/>
          <w:color w:val="FFFFFF"/>
        </w:rPr>
        <w:t>Certain Beneficial</w:t>
      </w:r>
    </w:p>
    <w:p>
      <w:pPr>
        <w:ind w:left="1120"/>
        <w:spacing w:after="0" w:line="222" w:lineRule="auto"/>
        <w:rPr>
          <w:sz w:val="20"/>
          <w:szCs w:val="20"/>
          <w:color w:val="auto"/>
        </w:rPr>
      </w:pPr>
      <w:r>
        <w:rPr>
          <w:rFonts w:ascii="Arial" w:cs="Arial" w:eastAsia="Arial" w:hAnsi="Arial"/>
          <w:sz w:val="12"/>
          <w:szCs w:val="12"/>
          <w:color w:val="FFFFFF"/>
        </w:rPr>
        <w:t>Owners and</w:t>
      </w:r>
    </w:p>
    <w:p>
      <w:pPr>
        <w:ind w:left="1120"/>
        <w:spacing w:after="0"/>
        <w:rPr>
          <w:sz w:val="20"/>
          <w:szCs w:val="20"/>
          <w:color w:val="auto"/>
        </w:rPr>
      </w:pPr>
      <w:r>
        <w:rPr>
          <w:rFonts w:ascii="Arial" w:cs="Arial" w:eastAsia="Arial" w:hAnsi="Arial"/>
          <w:sz w:val="12"/>
          <w:szCs w:val="12"/>
          <w:color w:val="FFFFFF"/>
        </w:rPr>
        <w:t>Management</w:t>
      </w:r>
    </w:p>
    <w:p>
      <w:pPr>
        <w:spacing w:after="0" w:line="169"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Certain</w:t>
      </w:r>
    </w:p>
    <w:p>
      <w:pPr>
        <w:ind w:left="1120"/>
        <w:spacing w:after="0" w:line="224" w:lineRule="auto"/>
        <w:rPr>
          <w:sz w:val="20"/>
          <w:szCs w:val="20"/>
          <w:color w:val="auto"/>
        </w:rPr>
      </w:pPr>
      <w:r>
        <w:rPr>
          <w:rFonts w:ascii="Arial" w:cs="Arial" w:eastAsia="Arial" w:hAnsi="Arial"/>
          <w:sz w:val="12"/>
          <w:szCs w:val="12"/>
          <w:color w:val="FFFFFF"/>
        </w:rPr>
        <w:t>Relationships and</w:t>
      </w:r>
    </w:p>
    <w:p>
      <w:pPr>
        <w:ind w:left="1120"/>
        <w:spacing w:after="0" w:line="222" w:lineRule="auto"/>
        <w:rPr>
          <w:sz w:val="20"/>
          <w:szCs w:val="20"/>
          <w:color w:val="auto"/>
        </w:rPr>
      </w:pPr>
      <w:r>
        <w:rPr>
          <w:rFonts w:ascii="Arial" w:cs="Arial" w:eastAsia="Arial" w:hAnsi="Arial"/>
          <w:sz w:val="12"/>
          <w:szCs w:val="12"/>
          <w:color w:val="FFFFFF"/>
        </w:rPr>
        <w:t>Related Party</w:t>
      </w:r>
    </w:p>
    <w:p>
      <w:pPr>
        <w:ind w:left="1120"/>
        <w:spacing w:after="0"/>
        <w:rPr>
          <w:sz w:val="20"/>
          <w:szCs w:val="20"/>
          <w:color w:val="auto"/>
        </w:rPr>
      </w:pPr>
      <w:r>
        <w:rPr>
          <w:rFonts w:ascii="Arial" w:cs="Arial" w:eastAsia="Arial" w:hAnsi="Arial"/>
          <w:sz w:val="12"/>
          <w:szCs w:val="12"/>
          <w:color w:val="FFFFFF"/>
        </w:rPr>
        <w:t>Transactions</w:t>
      </w:r>
    </w:p>
    <w:p>
      <w:pPr>
        <w:spacing w:after="0" w:line="169"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Proposal 2</w:t>
      </w:r>
    </w:p>
    <w:p>
      <w:pPr>
        <w:spacing w:after="0" w:line="156"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Report of the</w:t>
      </w:r>
    </w:p>
    <w:p>
      <w:pPr>
        <w:ind w:left="1120"/>
        <w:spacing w:after="0" w:line="224" w:lineRule="auto"/>
        <w:rPr>
          <w:sz w:val="20"/>
          <w:szCs w:val="20"/>
          <w:color w:val="auto"/>
        </w:rPr>
      </w:pPr>
      <w:r>
        <w:rPr>
          <w:rFonts w:ascii="Arial" w:cs="Arial" w:eastAsia="Arial" w:hAnsi="Arial"/>
          <w:sz w:val="12"/>
          <w:szCs w:val="12"/>
          <w:color w:val="FFFFFF"/>
        </w:rPr>
        <w:t>Audit and Risk</w:t>
      </w:r>
    </w:p>
    <w:p>
      <w:pPr>
        <w:ind w:left="1120"/>
        <w:spacing w:after="0" w:line="222" w:lineRule="auto"/>
        <w:rPr>
          <w:sz w:val="20"/>
          <w:szCs w:val="20"/>
          <w:color w:val="auto"/>
        </w:rPr>
      </w:pPr>
      <w:r>
        <w:rPr>
          <w:rFonts w:ascii="Arial" w:cs="Arial" w:eastAsia="Arial" w:hAnsi="Arial"/>
          <w:sz w:val="12"/>
          <w:szCs w:val="12"/>
          <w:color w:val="FFFFFF"/>
        </w:rPr>
        <w:t>Committee of the</w:t>
      </w:r>
    </w:p>
    <w:p>
      <w:pPr>
        <w:ind w:left="1120"/>
        <w:spacing w:after="0"/>
        <w:rPr>
          <w:sz w:val="20"/>
          <w:szCs w:val="20"/>
          <w:color w:val="auto"/>
        </w:rPr>
      </w:pPr>
      <w:r>
        <w:rPr>
          <w:rFonts w:ascii="Arial" w:cs="Arial" w:eastAsia="Arial" w:hAnsi="Arial"/>
          <w:sz w:val="12"/>
          <w:szCs w:val="12"/>
          <w:color w:val="FFFFFF"/>
        </w:rPr>
        <w:t>Board of Directors</w:t>
      </w:r>
    </w:p>
    <w:p>
      <w:pPr>
        <w:spacing w:after="0" w:line="169" w:lineRule="exact"/>
        <w:rPr>
          <w:sz w:val="20"/>
          <w:szCs w:val="20"/>
          <w:color w:val="auto"/>
        </w:rPr>
      </w:pPr>
    </w:p>
    <w:p>
      <w:pPr>
        <w:jc w:val="center"/>
        <w:ind w:left="620"/>
        <w:spacing w:after="0"/>
        <w:rPr>
          <w:sz w:val="20"/>
          <w:szCs w:val="20"/>
          <w:color w:val="auto"/>
        </w:rPr>
      </w:pPr>
      <w:r>
        <w:rPr>
          <w:rFonts w:ascii="Arial" w:cs="Arial" w:eastAsia="Arial" w:hAnsi="Arial"/>
          <w:sz w:val="12"/>
          <w:szCs w:val="12"/>
          <w:color w:val="FFFFFF"/>
        </w:rPr>
        <w:t>Proposal 3</w:t>
      </w:r>
    </w:p>
    <w:p>
      <w:pPr>
        <w:spacing w:after="0" w:line="156" w:lineRule="exact"/>
        <w:rPr>
          <w:sz w:val="20"/>
          <w:szCs w:val="20"/>
          <w:color w:val="auto"/>
        </w:rPr>
      </w:pPr>
    </w:p>
    <w:p>
      <w:pPr>
        <w:jc w:val="center"/>
        <w:ind w:left="620"/>
        <w:spacing w:after="0"/>
        <w:rPr>
          <w:sz w:val="20"/>
          <w:szCs w:val="20"/>
          <w:color w:val="auto"/>
        </w:rPr>
      </w:pPr>
      <w:r>
        <w:rPr>
          <w:rFonts w:ascii="Arial" w:cs="Arial" w:eastAsia="Arial" w:hAnsi="Arial"/>
          <w:sz w:val="12"/>
          <w:szCs w:val="12"/>
          <w:color w:val="FFFFFF"/>
        </w:rPr>
        <w:t>Proposal 4</w:t>
      </w:r>
    </w:p>
    <w:p>
      <w:pPr>
        <w:spacing w:after="0" w:line="181" w:lineRule="exact"/>
        <w:rPr>
          <w:sz w:val="20"/>
          <w:szCs w:val="20"/>
          <w:color w:val="auto"/>
        </w:rPr>
      </w:pPr>
    </w:p>
    <w:p>
      <w:pPr>
        <w:jc w:val="center"/>
        <w:ind w:left="620"/>
        <w:spacing w:after="0"/>
        <w:rPr>
          <w:sz w:val="20"/>
          <w:szCs w:val="20"/>
          <w:color w:val="auto"/>
        </w:rPr>
      </w:pPr>
      <w:r>
        <w:rPr>
          <w:rFonts w:ascii="Arial" w:cs="Arial" w:eastAsia="Arial" w:hAnsi="Arial"/>
          <w:sz w:val="12"/>
          <w:szCs w:val="12"/>
          <w:color w:val="FFFFFF"/>
        </w:rPr>
        <w:t>Proposal 5</w:t>
      </w:r>
    </w:p>
    <w:p>
      <w:pPr>
        <w:spacing w:after="0" w:line="156"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Proposal 6</w:t>
      </w:r>
    </w:p>
    <w:p>
      <w:pPr>
        <w:spacing w:after="0" w:line="181"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Stockholder</w:t>
      </w:r>
    </w:p>
    <w:p>
      <w:pPr>
        <w:ind w:left="1120"/>
        <w:spacing w:after="0" w:line="224" w:lineRule="auto"/>
        <w:rPr>
          <w:sz w:val="20"/>
          <w:szCs w:val="20"/>
          <w:color w:val="auto"/>
        </w:rPr>
      </w:pPr>
      <w:r>
        <w:rPr>
          <w:rFonts w:ascii="Arial" w:cs="Arial" w:eastAsia="Arial" w:hAnsi="Arial"/>
          <w:sz w:val="12"/>
          <w:szCs w:val="12"/>
          <w:color w:val="FFFFFF"/>
        </w:rPr>
        <w:t>Proposals and</w:t>
      </w:r>
    </w:p>
    <w:p>
      <w:pPr>
        <w:ind w:left="1120"/>
        <w:spacing w:after="0"/>
        <w:rPr>
          <w:sz w:val="20"/>
          <w:szCs w:val="20"/>
          <w:color w:val="auto"/>
        </w:rPr>
      </w:pPr>
      <w:r>
        <w:rPr>
          <w:rFonts w:ascii="Arial" w:cs="Arial" w:eastAsia="Arial" w:hAnsi="Arial"/>
          <w:sz w:val="12"/>
          <w:szCs w:val="12"/>
          <w:color w:val="FFFFFF"/>
        </w:rPr>
        <w:t>Other Matters</w:t>
      </w:r>
    </w:p>
    <w:p>
      <w:pPr>
        <w:spacing w:after="0" w:line="169"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Delinquent</w:t>
      </w:r>
    </w:p>
    <w:p>
      <w:pPr>
        <w:ind w:left="1120"/>
        <w:spacing w:after="0" w:line="224" w:lineRule="auto"/>
        <w:rPr>
          <w:sz w:val="20"/>
          <w:szCs w:val="20"/>
          <w:color w:val="auto"/>
        </w:rPr>
      </w:pPr>
      <w:r>
        <w:rPr>
          <w:rFonts w:ascii="Arial" w:cs="Arial" w:eastAsia="Arial" w:hAnsi="Arial"/>
          <w:sz w:val="12"/>
          <w:szCs w:val="12"/>
          <w:color w:val="FFFFFF"/>
        </w:rPr>
        <w:t>Section 16(a)</w:t>
      </w:r>
    </w:p>
    <w:p>
      <w:pPr>
        <w:ind w:left="1120"/>
        <w:spacing w:after="0"/>
        <w:rPr>
          <w:sz w:val="20"/>
          <w:szCs w:val="20"/>
          <w:color w:val="auto"/>
        </w:rPr>
      </w:pPr>
      <w:r>
        <w:rPr>
          <w:rFonts w:ascii="Arial" w:cs="Arial" w:eastAsia="Arial" w:hAnsi="Arial"/>
          <w:sz w:val="12"/>
          <w:szCs w:val="12"/>
          <w:color w:val="FFFFFF"/>
        </w:rPr>
        <w:t>Reports</w:t>
      </w:r>
    </w:p>
    <w:p>
      <w:pPr>
        <w:spacing w:after="0" w:line="169" w:lineRule="exact"/>
        <w:rPr>
          <w:sz w:val="20"/>
          <w:szCs w:val="20"/>
          <w:color w:val="auto"/>
        </w:rPr>
      </w:pPr>
    </w:p>
    <w:p>
      <w:pPr>
        <w:ind w:left="1120"/>
        <w:spacing w:after="0"/>
        <w:rPr>
          <w:sz w:val="20"/>
          <w:szCs w:val="20"/>
          <w:color w:val="auto"/>
        </w:rPr>
      </w:pPr>
      <w:r>
        <w:rPr>
          <w:rFonts w:ascii="Arial" w:cs="Arial" w:eastAsia="Arial" w:hAnsi="Arial"/>
          <w:sz w:val="12"/>
          <w:szCs w:val="12"/>
          <w:b w:val="1"/>
          <w:bCs w:val="1"/>
          <w:color w:val="FFFFFF"/>
        </w:rPr>
        <w:t>Other</w:t>
      </w:r>
    </w:p>
    <w:p>
      <w:pPr>
        <w:spacing w:after="0" w:line="2" w:lineRule="exact"/>
        <w:rPr>
          <w:sz w:val="20"/>
          <w:szCs w:val="20"/>
          <w:color w:val="auto"/>
        </w:rPr>
      </w:pPr>
    </w:p>
    <w:p>
      <w:pPr>
        <w:ind w:left="1120"/>
        <w:spacing w:after="0"/>
        <w:rPr>
          <w:sz w:val="20"/>
          <w:szCs w:val="20"/>
          <w:color w:val="auto"/>
        </w:rPr>
      </w:pPr>
      <w:r>
        <w:rPr>
          <w:rFonts w:ascii="Arial" w:cs="Arial" w:eastAsia="Arial" w:hAnsi="Arial"/>
          <w:sz w:val="12"/>
          <w:szCs w:val="12"/>
          <w:b w:val="1"/>
          <w:bCs w:val="1"/>
          <w:color w:val="FFFFFF"/>
        </w:rPr>
        <w:t>Information</w:t>
      </w:r>
    </w:p>
    <w:p>
      <w:pPr>
        <w:spacing w:after="0" w:line="144" w:lineRule="exact"/>
        <w:rPr>
          <w:sz w:val="20"/>
          <w:szCs w:val="20"/>
          <w:color w:val="auto"/>
        </w:rPr>
      </w:pPr>
    </w:p>
    <w:p>
      <w:pPr>
        <w:jc w:val="center"/>
        <w:ind w:left="660"/>
        <w:spacing w:after="0"/>
        <w:rPr>
          <w:sz w:val="20"/>
          <w:szCs w:val="20"/>
          <w:color w:val="auto"/>
        </w:rPr>
      </w:pPr>
      <w:r>
        <w:rPr>
          <w:rFonts w:ascii="Arial" w:cs="Arial" w:eastAsia="Arial" w:hAnsi="Arial"/>
          <w:sz w:val="12"/>
          <w:szCs w:val="12"/>
          <w:color w:val="FFFFFF"/>
        </w:rPr>
        <w:t>Appendix A</w:t>
      </w:r>
    </w:p>
    <w:p>
      <w:pPr>
        <w:spacing w:after="0" w:line="156" w:lineRule="exact"/>
        <w:rPr>
          <w:sz w:val="20"/>
          <w:szCs w:val="20"/>
          <w:color w:val="auto"/>
        </w:rPr>
      </w:pPr>
    </w:p>
    <w:p>
      <w:pPr>
        <w:jc w:val="center"/>
        <w:ind w:left="660"/>
        <w:spacing w:after="0"/>
        <w:rPr>
          <w:sz w:val="20"/>
          <w:szCs w:val="20"/>
          <w:color w:val="auto"/>
        </w:rPr>
      </w:pPr>
      <w:r>
        <w:rPr>
          <w:rFonts w:ascii="Arial" w:cs="Arial" w:eastAsia="Arial" w:hAnsi="Arial"/>
          <w:sz w:val="12"/>
          <w:szCs w:val="12"/>
          <w:color w:val="FFFFFF"/>
        </w:rPr>
        <w:t>Appendix 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48"/>
          <w:szCs w:val="48"/>
          <w:b w:val="1"/>
          <w:bCs w:val="1"/>
          <w:color w:val="002B5F"/>
        </w:rPr>
        <w:t>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-1737995</wp:posOffset>
            </wp:positionH>
            <wp:positionV relativeFrom="paragraph">
              <wp:posOffset>-955040</wp:posOffset>
            </wp:positionV>
            <wp:extent cx="7181215" cy="5334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181215" cy="5334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64770</wp:posOffset>
            </wp:positionV>
            <wp:extent cx="5065395"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5065395" cy="8255"/>
                    </a:xfrm>
                    <a:prstGeom prst="rect">
                      <a:avLst/>
                    </a:prstGeom>
                    <a:noFill/>
                  </pic:spPr>
                </pic:pic>
              </a:graphicData>
            </a:graphic>
          </wp:anchor>
        </w:drawing>
      </w:r>
    </w:p>
    <w:p>
      <w:pPr>
        <w:spacing w:after="0" w:line="287" w:lineRule="exact"/>
        <w:rPr>
          <w:sz w:val="20"/>
          <w:szCs w:val="20"/>
          <w:color w:val="auto"/>
        </w:rPr>
      </w:pPr>
    </w:p>
    <w:p>
      <w:pPr>
        <w:spacing w:after="0" w:line="254" w:lineRule="auto"/>
        <w:rPr>
          <w:sz w:val="20"/>
          <w:szCs w:val="20"/>
          <w:color w:val="auto"/>
        </w:rPr>
      </w:pPr>
      <w:r>
        <w:rPr>
          <w:rFonts w:ascii="Arial" w:cs="Arial" w:eastAsia="Arial" w:hAnsi="Arial"/>
          <w:sz w:val="15"/>
          <w:szCs w:val="15"/>
          <w:color w:val="auto"/>
        </w:rPr>
        <w:t>Copies of our annual reports on Form 10-K, quarterly reports on Form 10-Q and current reports on Form 8-K, including the financial statements and financial statement schedules, and amendments to those reports filed or furnished pursuant to Section 13(a) or 15(d) of the Exchange Act, are available on our website at www.lpl.com or on the website maintained by the SEC at www.sec.gov</w:t>
      </w:r>
      <w:r>
        <w:rPr>
          <w:rFonts w:ascii="Arial" w:cs="Arial" w:eastAsia="Arial" w:hAnsi="Arial"/>
          <w:sz w:val="15"/>
          <w:szCs w:val="15"/>
          <w:i w:val="1"/>
          <w:iCs w:val="1"/>
          <w:color w:val="auto"/>
        </w:rPr>
        <w:t>.</w:t>
      </w:r>
      <w:r>
        <w:rPr>
          <w:rFonts w:ascii="Arial" w:cs="Arial" w:eastAsia="Arial" w:hAnsi="Arial"/>
          <w:sz w:val="15"/>
          <w:szCs w:val="15"/>
          <w:color w:val="auto"/>
        </w:rPr>
        <w:t xml:space="preserve"> Printed copies of these materials are available free of charge (except for the costs of duplication and mailing in the case of exhibits to such documents) to stockholders who request them in writing from our corporate secretary at LPL Financial Holdings Inc., 1055 LPL Way, Fort Mill, South Carolina 29715, or by calling our offices at (704) 733-3300. Information on our website or hyperlinked to it is not incorporated by reference into this proxy statement.</w:t>
      </w:r>
    </w:p>
    <w:p>
      <w:pPr>
        <w:spacing w:after="0" w:line="9273" w:lineRule="exact"/>
        <w:rPr>
          <w:sz w:val="20"/>
          <w:szCs w:val="20"/>
          <w:color w:val="auto"/>
        </w:rPr>
      </w:pPr>
    </w:p>
    <w:p>
      <w:pPr>
        <w:sectPr>
          <w:pgSz w:w="11900" w:h="16838" w:orient="portrait"/>
          <w:cols w:equalWidth="0" w:num="2">
            <w:col w:w="2160" w:space="560"/>
            <w:col w:w="7840"/>
          </w:cols>
          <w:pgMar w:left="320" w:top="464" w:right="1019" w:bottom="1440" w:gutter="0" w:footer="0" w:header="0"/>
        </w:sectPr>
      </w:pPr>
    </w:p>
    <w:p>
      <w:pPr>
        <w:spacing w:after="0" w:line="200" w:lineRule="exact"/>
        <w:rPr>
          <w:sz w:val="20"/>
          <w:szCs w:val="20"/>
          <w:color w:val="auto"/>
        </w:rPr>
      </w:pPr>
    </w:p>
    <w:p>
      <w:pPr>
        <w:spacing w:after="0" w:line="385" w:lineRule="exact"/>
        <w:rPr>
          <w:sz w:val="20"/>
          <w:szCs w:val="20"/>
          <w:color w:val="auto"/>
        </w:rPr>
      </w:pPr>
    </w:p>
    <w:p>
      <w:pPr>
        <w:ind w:left="420"/>
        <w:spacing w:after="0"/>
        <w:tabs>
          <w:tab w:leader="none" w:pos="2380" w:val="left"/>
          <w:tab w:leader="none" w:pos="2800" w:val="left"/>
        </w:tabs>
        <w:rPr>
          <w:sz w:val="20"/>
          <w:szCs w:val="20"/>
          <w:color w:val="auto"/>
        </w:rPr>
      </w:pPr>
      <w:r>
        <w:rPr>
          <w:rFonts w:ascii="Arial" w:cs="Arial" w:eastAsia="Arial" w:hAnsi="Arial"/>
          <w:sz w:val="30"/>
          <w:szCs w:val="30"/>
          <w:color w:val="000000"/>
          <w:vertAlign w:val="superscript"/>
        </w:rPr>
        <w:t xml:space="preserve">             </w:t>
      </w:r>
      <w:r>
        <w:rPr>
          <w:sz w:val="20"/>
          <w:szCs w:val="20"/>
          <w:color w:val="auto"/>
        </w:rPr>
        <w:tab/>
      </w:r>
      <w:r>
        <w:rPr>
          <w:rFonts w:ascii="Arial" w:cs="Arial" w:eastAsia="Arial" w:hAnsi="Arial"/>
          <w:sz w:val="31"/>
          <w:szCs w:val="31"/>
          <w:color w:val="auto"/>
          <w:vertAlign w:val="superscript"/>
        </w:rPr>
        <w:t xml:space="preserve">    </w:t>
      </w:r>
      <w:r>
        <w:rPr>
          <w:sz w:val="20"/>
          <w:szCs w:val="20"/>
          <w:color w:val="auto"/>
        </w:rPr>
        <w:tab/>
      </w:r>
      <w:r>
        <w:rPr>
          <w:rFonts w:ascii="Arial" w:cs="Arial" w:eastAsia="Arial" w:hAnsi="Arial"/>
          <w:sz w:val="15"/>
          <w:szCs w:val="15"/>
          <w:b w:val="1"/>
          <w:bCs w:val="1"/>
          <w:color w:val="002B5F"/>
        </w:rPr>
        <w:t xml:space="preserve">96  </w:t>
      </w:r>
      <w:r>
        <w:rPr>
          <w:rFonts w:ascii="Arial" w:cs="Arial" w:eastAsia="Arial" w:hAnsi="Arial"/>
          <w:sz w:val="20"/>
          <w:szCs w:val="20"/>
          <w:color w:val="002B5F"/>
        </w:rPr>
        <w:t>|</w:t>
      </w:r>
      <w:r>
        <w:rPr>
          <w:rFonts w:ascii="Arial" w:cs="Arial" w:eastAsia="Arial" w:hAnsi="Arial"/>
          <w:sz w:val="15"/>
          <w:szCs w:val="15"/>
          <w:b w:val="1"/>
          <w:bCs w:val="1"/>
          <w:color w:val="002B5F"/>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6111875</wp:posOffset>
            </wp:positionH>
            <wp:positionV relativeFrom="paragraph">
              <wp:posOffset>-208915</wp:posOffset>
            </wp:positionV>
            <wp:extent cx="769620" cy="971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69620" cy="97155"/>
                    </a:xfrm>
                    <a:prstGeom prst="rect">
                      <a:avLst/>
                    </a:prstGeom>
                    <a:noFill/>
                  </pic:spPr>
                </pic:pic>
              </a:graphicData>
            </a:graphic>
          </wp:anchor>
        </w:drawing>
      </w:r>
    </w:p>
    <w:p>
      <w:pPr>
        <w:sectPr>
          <w:pgSz w:w="11900" w:h="16838" w:orient="portrait"/>
          <w:cols w:equalWidth="0" w:num="1">
            <w:col w:w="10560"/>
          </w:cols>
          <w:pgMar w:left="320" w:top="464" w:right="1019" w:bottom="1440" w:gutter="0" w:footer="0" w:header="0"/>
          <w:type w:val="continuous"/>
        </w:sectPr>
      </w:pPr>
    </w:p>
    <w:bookmarkStart w:id="104" w:name="page105"/>
    <w:bookmarkEnd w:id="10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5334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181215" cy="5334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5617845</wp:posOffset>
            </wp:positionH>
            <wp:positionV relativeFrom="paragraph">
              <wp:posOffset>253365</wp:posOffset>
            </wp:positionV>
            <wp:extent cx="1256030" cy="747204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1256030" cy="7472045"/>
                    </a:xfrm>
                    <a:prstGeom prst="rect">
                      <a:avLst/>
                    </a:prstGeom>
                    <a:noFill/>
                  </pic:spPr>
                </pic:pic>
              </a:graphicData>
            </a:graphic>
          </wp:anchor>
        </w:drawing>
      </w:r>
    </w:p>
    <w:p>
      <w:pPr>
        <w:spacing w:after="0" w:line="166" w:lineRule="exact"/>
        <w:rPr>
          <w:sz w:val="20"/>
          <w:szCs w:val="20"/>
          <w:color w:val="auto"/>
        </w:rPr>
      </w:pPr>
    </w:p>
    <w:tbl>
      <w:tblPr>
        <w:tblLayout w:type="fixed"/>
        <w:tblInd w:w="540" w:type="dxa"/>
        <w:tblCellMar>
          <w:top w:w="0" w:type="dxa"/>
          <w:left w:w="0" w:type="dxa"/>
          <w:bottom w:w="0" w:type="dxa"/>
          <w:right w:w="0" w:type="dxa"/>
        </w:tblCellMar>
      </w:tblPr>
      <w:tr>
        <w:trPr>
          <w:trHeight w:val="552"/>
        </w:trPr>
        <w:tc>
          <w:tcPr>
            <w:tcW w:w="7880" w:type="dxa"/>
            <w:vAlign w:val="bottom"/>
          </w:tcPr>
          <w:p>
            <w:pPr>
              <w:spacing w:after="0"/>
              <w:rPr>
                <w:sz w:val="20"/>
                <w:szCs w:val="20"/>
                <w:color w:val="auto"/>
              </w:rPr>
            </w:pPr>
            <w:r>
              <w:rPr>
                <w:rFonts w:ascii="Times New Roman" w:cs="Times New Roman" w:eastAsia="Times New Roman" w:hAnsi="Times New Roman"/>
                <w:sz w:val="48"/>
                <w:szCs w:val="48"/>
                <w:b w:val="1"/>
                <w:bCs w:val="1"/>
                <w:color w:val="002B5F"/>
              </w:rPr>
              <w:t>Appendix A</w:t>
            </w:r>
          </w:p>
        </w:tc>
        <w:tc>
          <w:tcPr>
            <w:tcW w:w="660" w:type="dxa"/>
            <w:vAlign w:val="bottom"/>
            <w:vMerge w:val="restart"/>
          </w:tcPr>
          <w:p>
            <w:pPr>
              <w:ind w:left="460"/>
              <w:spacing w:after="0"/>
              <w:rPr>
                <w:sz w:val="20"/>
                <w:szCs w:val="20"/>
                <w:color w:val="auto"/>
              </w:rPr>
            </w:pPr>
            <w:r>
              <w:rPr>
                <w:rFonts w:ascii="Arial" w:cs="Arial" w:eastAsia="Arial" w:hAnsi="Arial"/>
                <w:sz w:val="15"/>
                <w:szCs w:val="15"/>
                <w:color w:val="auto"/>
              </w:rPr>
              <w:t> </w:t>
            </w:r>
          </w:p>
        </w:tc>
        <w:tc>
          <w:tcPr>
            <w:tcW w:w="1280" w:type="dxa"/>
            <w:vAlign w:val="bottom"/>
          </w:tcPr>
          <w:p>
            <w:pPr>
              <w:ind w:left="140"/>
              <w:spacing w:after="0"/>
              <w:rPr>
                <w:sz w:val="20"/>
                <w:szCs w:val="20"/>
                <w:color w:val="auto"/>
              </w:rPr>
            </w:pPr>
            <w:r>
              <w:rPr>
                <w:rFonts w:ascii="Arial" w:cs="Arial" w:eastAsia="Arial" w:hAnsi="Arial"/>
                <w:sz w:val="12"/>
                <w:szCs w:val="12"/>
                <w:color w:val="FFFFFF"/>
              </w:rPr>
              <w:t>Information</w:t>
            </w:r>
          </w:p>
        </w:tc>
        <w:tc>
          <w:tcPr>
            <w:tcW w:w="440" w:type="dxa"/>
            <w:vAlign w:val="bottom"/>
            <w:vMerge w:val="restart"/>
          </w:tcPr>
          <w:p>
            <w:pPr>
              <w:ind w:left="80"/>
              <w:spacing w:after="0"/>
              <w:rPr>
                <w:sz w:val="20"/>
                <w:szCs w:val="20"/>
                <w:color w:val="auto"/>
              </w:rPr>
            </w:pPr>
            <w:r>
              <w:rPr>
                <w:rFonts w:ascii="Arial" w:cs="Arial" w:eastAsia="Arial" w:hAnsi="Arial"/>
                <w:sz w:val="15"/>
                <w:szCs w:val="15"/>
                <w:color w:val="auto"/>
              </w:rPr>
              <w:t xml:space="preserve">       </w:t>
            </w:r>
          </w:p>
        </w:tc>
        <w:tc>
          <w:tcPr>
            <w:tcW w:w="0" w:type="dxa"/>
            <w:vAlign w:val="bottom"/>
          </w:tcPr>
          <w:p>
            <w:pPr>
              <w:spacing w:after="0"/>
              <w:rPr>
                <w:sz w:val="1"/>
                <w:szCs w:val="1"/>
                <w:color w:val="auto"/>
              </w:rPr>
            </w:pPr>
          </w:p>
        </w:tc>
      </w:tr>
      <w:tr>
        <w:trPr>
          <w:trHeight w:val="194"/>
        </w:trPr>
        <w:tc>
          <w:tcPr>
            <w:tcW w:w="788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General</w:t>
            </w:r>
          </w:p>
        </w:tc>
        <w:tc>
          <w:tcPr>
            <w:tcW w:w="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7880" w:type="dxa"/>
            <w:vAlign w:val="bottom"/>
            <w:tcBorders>
              <w:bottom w:val="single" w:sz="8" w:color="auto"/>
            </w:tcBorders>
          </w:tcPr>
          <w:p>
            <w:pPr>
              <w:spacing w:after="0"/>
              <w:rPr>
                <w:sz w:val="13"/>
                <w:szCs w:val="13"/>
                <w:color w:val="auto"/>
              </w:rPr>
            </w:pPr>
          </w:p>
        </w:tc>
        <w:tc>
          <w:tcPr>
            <w:tcW w:w="660" w:type="dxa"/>
            <w:vAlign w:val="bottom"/>
          </w:tcPr>
          <w:p>
            <w:pPr>
              <w:spacing w:after="0"/>
              <w:rPr>
                <w:sz w:val="13"/>
                <w:szCs w:val="13"/>
                <w:color w:val="auto"/>
              </w:rPr>
            </w:pPr>
          </w:p>
        </w:tc>
        <w:tc>
          <w:tcPr>
            <w:tcW w:w="1280" w:type="dxa"/>
            <w:vAlign w:val="bottom"/>
            <w:vMerge w:val="restart"/>
          </w:tcPr>
          <w:p>
            <w:pPr>
              <w:ind w:left="140"/>
              <w:spacing w:after="0"/>
              <w:rPr>
                <w:sz w:val="20"/>
                <w:szCs w:val="20"/>
                <w:color w:val="auto"/>
              </w:rPr>
            </w:pPr>
            <w:r>
              <w:rPr>
                <w:rFonts w:ascii="Arial" w:cs="Arial" w:eastAsia="Arial" w:hAnsi="Arial"/>
                <w:sz w:val="12"/>
                <w:szCs w:val="12"/>
                <w:color w:val="FFFFFF"/>
              </w:rPr>
              <w:t>General Information</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78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7880" w:type="dxa"/>
            <w:vAlign w:val="bottom"/>
            <w:vMerge w:val="restart"/>
          </w:tcPr>
          <w:p>
            <w:pPr>
              <w:spacing w:after="0" w:line="255" w:lineRule="exact"/>
              <w:rPr>
                <w:sz w:val="20"/>
                <w:szCs w:val="20"/>
                <w:color w:val="auto"/>
              </w:rPr>
            </w:pPr>
            <w:r>
              <w:rPr>
                <w:rFonts w:ascii="Arial" w:cs="Arial" w:eastAsia="Arial" w:hAnsi="Arial"/>
                <w:sz w:val="24"/>
                <w:szCs w:val="24"/>
                <w:color w:val="B95827"/>
              </w:rPr>
              <w:t>Non-GAAP Financial Measures</w:t>
            </w:r>
          </w:p>
        </w:tc>
        <w:tc>
          <w:tcPr>
            <w:tcW w:w="660" w:type="dxa"/>
            <w:vAlign w:val="bottom"/>
          </w:tcPr>
          <w:p>
            <w:pPr>
              <w:spacing w:after="0"/>
              <w:rPr>
                <w:sz w:val="11"/>
                <w:szCs w:val="11"/>
                <w:color w:val="auto"/>
              </w:rPr>
            </w:pPr>
          </w:p>
        </w:tc>
        <w:tc>
          <w:tcPr>
            <w:tcW w:w="1280" w:type="dxa"/>
            <w:vAlign w:val="bottom"/>
          </w:tcPr>
          <w:p>
            <w:pPr>
              <w:ind w:left="140"/>
              <w:spacing w:after="0" w:line="128" w:lineRule="exact"/>
              <w:rPr>
                <w:sz w:val="20"/>
                <w:szCs w:val="20"/>
                <w:color w:val="auto"/>
              </w:rPr>
            </w:pPr>
            <w:r>
              <w:rPr>
                <w:rFonts w:ascii="Arial" w:cs="Arial" w:eastAsia="Arial" w:hAnsi="Arial"/>
                <w:sz w:val="12"/>
                <w:szCs w:val="12"/>
                <w:color w:val="FFFFFF"/>
              </w:rPr>
              <w:t>About Corporate</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7880" w:type="dxa"/>
            <w:vAlign w:val="bottom"/>
            <w:vMerge w:val="continue"/>
          </w:tcPr>
          <w:p>
            <w:pPr>
              <w:spacing w:after="0"/>
              <w:rPr>
                <w:sz w:val="11"/>
                <w:szCs w:val="11"/>
                <w:color w:val="auto"/>
              </w:rPr>
            </w:pPr>
          </w:p>
        </w:tc>
        <w:tc>
          <w:tcPr>
            <w:tcW w:w="660" w:type="dxa"/>
            <w:vAlign w:val="bottom"/>
          </w:tcPr>
          <w:p>
            <w:pPr>
              <w:spacing w:after="0"/>
              <w:rPr>
                <w:sz w:val="11"/>
                <w:szCs w:val="11"/>
                <w:color w:val="auto"/>
              </w:rPr>
            </w:pPr>
          </w:p>
        </w:tc>
        <w:tc>
          <w:tcPr>
            <w:tcW w:w="1280" w:type="dxa"/>
            <w:vAlign w:val="bottom"/>
          </w:tcPr>
          <w:p>
            <w:pPr>
              <w:ind w:left="140"/>
              <w:spacing w:after="0" w:line="128" w:lineRule="exact"/>
              <w:rPr>
                <w:sz w:val="20"/>
                <w:szCs w:val="20"/>
                <w:color w:val="auto"/>
              </w:rPr>
            </w:pPr>
            <w:r>
              <w:rPr>
                <w:rFonts w:ascii="Arial" w:cs="Arial" w:eastAsia="Arial" w:hAnsi="Arial"/>
                <w:sz w:val="12"/>
                <w:szCs w:val="12"/>
                <w:color w:val="FFFFFF"/>
              </w:rPr>
              <w:t>Governance</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78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80" w:type="dxa"/>
            <w:vAlign w:val="bottom"/>
          </w:tcPr>
          <w:p>
            <w:pPr>
              <w:ind w:left="140"/>
              <w:spacing w:after="0" w:line="128" w:lineRule="exact"/>
              <w:rPr>
                <w:sz w:val="20"/>
                <w:szCs w:val="20"/>
                <w:color w:val="auto"/>
              </w:rPr>
            </w:pPr>
            <w:r>
              <w:rPr>
                <w:rFonts w:ascii="Arial" w:cs="Arial" w:eastAsia="Arial" w:hAnsi="Arial"/>
                <w:sz w:val="12"/>
                <w:szCs w:val="12"/>
                <w:color w:val="FFFFFF"/>
              </w:rPr>
              <w:t>and the Board of</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7"/>
        </w:trPr>
        <w:tc>
          <w:tcPr>
            <w:tcW w:w="7880" w:type="dxa"/>
            <w:vAlign w:val="bottom"/>
          </w:tcPr>
          <w:p>
            <w:pPr>
              <w:spacing w:after="0"/>
              <w:rPr>
                <w:sz w:val="20"/>
                <w:szCs w:val="20"/>
                <w:color w:val="auto"/>
              </w:rPr>
            </w:pPr>
            <w:r>
              <w:rPr>
                <w:rFonts w:ascii="Arial" w:cs="Arial" w:eastAsia="Arial" w:hAnsi="Arial"/>
                <w:sz w:val="15"/>
                <w:szCs w:val="15"/>
                <w:color w:val="auto"/>
              </w:rPr>
              <w:t>We believe that presenting certain non-GAAP financial measures by excluding or including certain items can be</w:t>
            </w:r>
          </w:p>
        </w:tc>
        <w:tc>
          <w:tcPr>
            <w:tcW w:w="660" w:type="dxa"/>
            <w:vAlign w:val="bottom"/>
          </w:tcPr>
          <w:p>
            <w:pPr>
              <w:spacing w:after="0"/>
              <w:rPr>
                <w:sz w:val="17"/>
                <w:szCs w:val="17"/>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Directors</w:t>
            </w: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9"/>
        </w:trPr>
        <w:tc>
          <w:tcPr>
            <w:tcW w:w="7880" w:type="dxa"/>
            <w:vAlign w:val="bottom"/>
          </w:tcPr>
          <w:p>
            <w:pPr>
              <w:spacing w:after="0"/>
              <w:rPr>
                <w:sz w:val="20"/>
                <w:szCs w:val="20"/>
                <w:color w:val="auto"/>
              </w:rPr>
            </w:pPr>
            <w:r>
              <w:rPr>
                <w:rFonts w:ascii="Arial" w:cs="Arial" w:eastAsia="Arial" w:hAnsi="Arial"/>
                <w:sz w:val="15"/>
                <w:szCs w:val="15"/>
                <w:color w:val="auto"/>
              </w:rPr>
              <w:t>helpful to investors and analysts who may wish to use some or all of this information to analyze the Company’s</w:t>
            </w:r>
          </w:p>
        </w:tc>
        <w:tc>
          <w:tcPr>
            <w:tcW w:w="660" w:type="dxa"/>
            <w:vAlign w:val="bottom"/>
          </w:tcPr>
          <w:p>
            <w:pPr>
              <w:spacing w:after="0"/>
              <w:rPr>
                <w:sz w:val="15"/>
                <w:szCs w:val="15"/>
                <w:color w:val="auto"/>
              </w:rPr>
            </w:pPr>
          </w:p>
        </w:tc>
        <w:tc>
          <w:tcPr>
            <w:tcW w:w="1280" w:type="dxa"/>
            <w:vAlign w:val="bottom"/>
            <w:vMerge w:val="restart"/>
          </w:tcPr>
          <w:p>
            <w:pPr>
              <w:ind w:left="140"/>
              <w:spacing w:after="0"/>
              <w:rPr>
                <w:sz w:val="20"/>
                <w:szCs w:val="20"/>
                <w:color w:val="auto"/>
              </w:rPr>
            </w:pPr>
            <w:r>
              <w:rPr>
                <w:rFonts w:ascii="Arial" w:cs="Arial" w:eastAsia="Arial" w:hAnsi="Arial"/>
                <w:sz w:val="12"/>
                <w:szCs w:val="12"/>
                <w:color w:val="FFFFFF"/>
              </w:rPr>
              <w:t>Proposal 1</w:t>
            </w: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6"/>
        </w:trPr>
        <w:tc>
          <w:tcPr>
            <w:tcW w:w="7880" w:type="dxa"/>
            <w:vAlign w:val="bottom"/>
            <w:vMerge w:val="restart"/>
          </w:tcPr>
          <w:p>
            <w:pPr>
              <w:spacing w:after="0"/>
              <w:rPr>
                <w:sz w:val="20"/>
                <w:szCs w:val="20"/>
                <w:color w:val="auto"/>
              </w:rPr>
            </w:pPr>
            <w:r>
              <w:rPr>
                <w:rFonts w:ascii="Arial" w:cs="Arial" w:eastAsia="Arial" w:hAnsi="Arial"/>
                <w:sz w:val="15"/>
                <w:szCs w:val="15"/>
                <w:color w:val="auto"/>
              </w:rPr>
              <w:t>current performance, prospects, and valuation. We use this non-GAAP information internally to evaluate operating</w:t>
            </w:r>
          </w:p>
        </w:tc>
        <w:tc>
          <w:tcPr>
            <w:tcW w:w="66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3"/>
        </w:trPr>
        <w:tc>
          <w:tcPr>
            <w:tcW w:w="7880" w:type="dxa"/>
            <w:vAlign w:val="bottom"/>
            <w:vMerge w:val="continue"/>
          </w:tcPr>
          <w:p>
            <w:pPr>
              <w:spacing w:after="0"/>
              <w:rPr>
                <w:sz w:val="8"/>
                <w:szCs w:val="8"/>
                <w:color w:val="auto"/>
              </w:rPr>
            </w:pPr>
          </w:p>
        </w:tc>
        <w:tc>
          <w:tcPr>
            <w:tcW w:w="660" w:type="dxa"/>
            <w:vAlign w:val="bottom"/>
          </w:tcPr>
          <w:p>
            <w:pPr>
              <w:spacing w:after="0"/>
              <w:rPr>
                <w:sz w:val="8"/>
                <w:szCs w:val="8"/>
                <w:color w:val="auto"/>
              </w:rPr>
            </w:pPr>
          </w:p>
        </w:tc>
        <w:tc>
          <w:tcPr>
            <w:tcW w:w="1280" w:type="dxa"/>
            <w:vAlign w:val="bottom"/>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0"/>
        </w:trPr>
        <w:tc>
          <w:tcPr>
            <w:tcW w:w="7880" w:type="dxa"/>
            <w:vAlign w:val="bottom"/>
          </w:tcPr>
          <w:p>
            <w:pPr>
              <w:spacing w:after="0" w:line="161" w:lineRule="exact"/>
              <w:rPr>
                <w:sz w:val="20"/>
                <w:szCs w:val="20"/>
                <w:color w:val="auto"/>
              </w:rPr>
            </w:pPr>
            <w:r>
              <w:rPr>
                <w:rFonts w:ascii="Arial" w:cs="Arial" w:eastAsia="Arial" w:hAnsi="Arial"/>
                <w:sz w:val="15"/>
                <w:szCs w:val="15"/>
                <w:color w:val="auto"/>
              </w:rPr>
              <w:t>performance and to formulate the budget for future periods. We believe that the non-GAAP measures and metrics</w:t>
            </w:r>
          </w:p>
        </w:tc>
        <w:tc>
          <w:tcPr>
            <w:tcW w:w="660" w:type="dxa"/>
            <w:vAlign w:val="bottom"/>
          </w:tcPr>
          <w:p>
            <w:pPr>
              <w:spacing w:after="0"/>
              <w:rPr>
                <w:sz w:val="13"/>
                <w:szCs w:val="13"/>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Information</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7880" w:type="dxa"/>
            <w:vAlign w:val="bottom"/>
          </w:tcPr>
          <w:p>
            <w:pPr>
              <w:spacing w:after="0" w:line="171" w:lineRule="exact"/>
              <w:rPr>
                <w:sz w:val="20"/>
                <w:szCs w:val="20"/>
                <w:color w:val="auto"/>
              </w:rPr>
            </w:pPr>
            <w:r>
              <w:rPr>
                <w:rFonts w:ascii="Arial" w:cs="Arial" w:eastAsia="Arial" w:hAnsi="Arial"/>
                <w:sz w:val="15"/>
                <w:szCs w:val="15"/>
                <w:color w:val="auto"/>
              </w:rPr>
              <w:t>discussed below are appropriate for evaluating the performance of the Company for compensation-related</w:t>
            </w:r>
          </w:p>
        </w:tc>
        <w:tc>
          <w:tcPr>
            <w:tcW w:w="660" w:type="dxa"/>
            <w:vAlign w:val="bottom"/>
          </w:tcPr>
          <w:p>
            <w:pPr>
              <w:spacing w:after="0"/>
              <w:rPr>
                <w:sz w:val="14"/>
                <w:szCs w:val="14"/>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Regarding Board</w:t>
            </w: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7880" w:type="dxa"/>
            <w:vAlign w:val="bottom"/>
            <w:vMerge w:val="restart"/>
          </w:tcPr>
          <w:p>
            <w:pPr>
              <w:spacing w:after="0"/>
              <w:rPr>
                <w:sz w:val="20"/>
                <w:szCs w:val="20"/>
                <w:color w:val="auto"/>
              </w:rPr>
            </w:pPr>
            <w:r>
              <w:rPr>
                <w:rFonts w:ascii="Arial" w:cs="Arial" w:eastAsia="Arial" w:hAnsi="Arial"/>
                <w:sz w:val="15"/>
                <w:szCs w:val="15"/>
                <w:color w:val="auto"/>
              </w:rPr>
              <w:t>purposes.</w:t>
            </w:r>
          </w:p>
        </w:tc>
        <w:tc>
          <w:tcPr>
            <w:tcW w:w="660" w:type="dxa"/>
            <w:vAlign w:val="bottom"/>
          </w:tcPr>
          <w:p>
            <w:pPr>
              <w:spacing w:after="0"/>
              <w:rPr>
                <w:sz w:val="7"/>
                <w:szCs w:val="7"/>
                <w:color w:val="auto"/>
              </w:rPr>
            </w:pPr>
          </w:p>
        </w:tc>
        <w:tc>
          <w:tcPr>
            <w:tcW w:w="1280" w:type="dxa"/>
            <w:vAlign w:val="bottom"/>
          </w:tcPr>
          <w:p>
            <w:pPr>
              <w:ind w:left="140"/>
              <w:spacing w:after="0" w:line="85" w:lineRule="exact"/>
              <w:rPr>
                <w:sz w:val="20"/>
                <w:szCs w:val="20"/>
                <w:color w:val="auto"/>
              </w:rPr>
            </w:pPr>
            <w:r>
              <w:rPr>
                <w:rFonts w:ascii="Arial" w:cs="Arial" w:eastAsia="Arial" w:hAnsi="Arial"/>
                <w:sz w:val="8"/>
                <w:szCs w:val="8"/>
                <w:color w:val="FFFFFF"/>
              </w:rPr>
              <w:t>and Committee</w:t>
            </w:r>
          </w:p>
        </w:tc>
        <w:tc>
          <w:tcPr>
            <w:tcW w:w="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8"/>
        </w:trPr>
        <w:tc>
          <w:tcPr>
            <w:tcW w:w="7880" w:type="dxa"/>
            <w:vAlign w:val="bottom"/>
            <w:vMerge w:val="continue"/>
          </w:tcPr>
          <w:p>
            <w:pPr>
              <w:spacing w:after="0"/>
              <w:rPr>
                <w:sz w:val="13"/>
                <w:szCs w:val="13"/>
                <w:color w:val="auto"/>
              </w:rPr>
            </w:pPr>
          </w:p>
        </w:tc>
        <w:tc>
          <w:tcPr>
            <w:tcW w:w="660" w:type="dxa"/>
            <w:vAlign w:val="bottom"/>
          </w:tcPr>
          <w:p>
            <w:pPr>
              <w:spacing w:after="0"/>
              <w:rPr>
                <w:sz w:val="13"/>
                <w:szCs w:val="13"/>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Structure</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7880" w:type="dxa"/>
            <w:vAlign w:val="bottom"/>
            <w:vMerge w:val="restart"/>
          </w:tcPr>
          <w:p>
            <w:pPr>
              <w:spacing w:after="0"/>
              <w:rPr>
                <w:sz w:val="20"/>
                <w:szCs w:val="20"/>
                <w:color w:val="auto"/>
              </w:rPr>
            </w:pPr>
            <w:r>
              <w:rPr>
                <w:rFonts w:ascii="Arial" w:cs="Arial" w:eastAsia="Arial" w:hAnsi="Arial"/>
                <w:sz w:val="24"/>
                <w:szCs w:val="24"/>
                <w:color w:val="B95827"/>
              </w:rPr>
              <w:t>Gross Profit</w:t>
            </w:r>
          </w:p>
        </w:tc>
        <w:tc>
          <w:tcPr>
            <w:tcW w:w="660" w:type="dxa"/>
            <w:vAlign w:val="bottom"/>
          </w:tcPr>
          <w:p>
            <w:pPr>
              <w:spacing w:after="0"/>
              <w:rPr>
                <w:sz w:val="22"/>
                <w:szCs w:val="22"/>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Board of Directors</w:t>
            </w:r>
          </w:p>
        </w:tc>
        <w:tc>
          <w:tcPr>
            <w:tcW w:w="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7880" w:type="dxa"/>
            <w:vAlign w:val="bottom"/>
            <w:vMerge w:val="continue"/>
          </w:tcPr>
          <w:p>
            <w:pPr>
              <w:spacing w:after="0"/>
              <w:rPr>
                <w:sz w:val="18"/>
                <w:szCs w:val="18"/>
                <w:color w:val="auto"/>
              </w:rPr>
            </w:pPr>
          </w:p>
        </w:tc>
        <w:tc>
          <w:tcPr>
            <w:tcW w:w="660" w:type="dxa"/>
            <w:vAlign w:val="bottom"/>
          </w:tcPr>
          <w:p>
            <w:pPr>
              <w:spacing w:after="0"/>
              <w:rPr>
                <w:sz w:val="18"/>
                <w:szCs w:val="18"/>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Compensation</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880" w:type="dxa"/>
            <w:vAlign w:val="bottom"/>
          </w:tcPr>
          <w:p>
            <w:pPr>
              <w:spacing w:after="0"/>
              <w:rPr>
                <w:sz w:val="20"/>
                <w:szCs w:val="20"/>
                <w:color w:val="auto"/>
              </w:rPr>
            </w:pPr>
            <w:r>
              <w:rPr>
                <w:rFonts w:ascii="Arial" w:cs="Arial" w:eastAsia="Arial" w:hAnsi="Arial"/>
                <w:sz w:val="15"/>
                <w:szCs w:val="15"/>
                <w:color w:val="auto"/>
              </w:rPr>
              <w:t>Gross profit is calculated as total revenue, which was $17.0 billion for the year ended December 31, 2025, less:</w:t>
            </w:r>
          </w:p>
        </w:tc>
        <w:tc>
          <w:tcPr>
            <w:tcW w:w="660" w:type="dxa"/>
            <w:vAlign w:val="bottom"/>
          </w:tcPr>
          <w:p>
            <w:pPr>
              <w:spacing w:after="0"/>
              <w:rPr>
                <w:sz w:val="20"/>
                <w:szCs w:val="20"/>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Compensation</w:t>
            </w: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0"/>
        </w:trPr>
        <w:tc>
          <w:tcPr>
            <w:tcW w:w="7880" w:type="dxa"/>
            <w:vAlign w:val="bottom"/>
            <w:vMerge w:val="restart"/>
          </w:tcPr>
          <w:p>
            <w:pPr>
              <w:spacing w:after="0"/>
              <w:rPr>
                <w:sz w:val="20"/>
                <w:szCs w:val="20"/>
                <w:color w:val="auto"/>
              </w:rPr>
            </w:pPr>
            <w:r>
              <w:rPr>
                <w:rFonts w:ascii="Arial" w:cs="Arial" w:eastAsia="Arial" w:hAnsi="Arial"/>
                <w:sz w:val="15"/>
                <w:szCs w:val="15"/>
                <w:color w:val="auto"/>
              </w:rPr>
              <w:t>advisory and commission expense; brokerage, clearing and exchange expense; and market fluctuations on</w:t>
            </w:r>
          </w:p>
        </w:tc>
        <w:tc>
          <w:tcPr>
            <w:tcW w:w="660" w:type="dxa"/>
            <w:vAlign w:val="bottom"/>
          </w:tcPr>
          <w:p>
            <w:pPr>
              <w:spacing w:after="0"/>
              <w:rPr>
                <w:sz w:val="9"/>
                <w:szCs w:val="9"/>
                <w:color w:val="auto"/>
              </w:rPr>
            </w:pPr>
          </w:p>
        </w:tc>
        <w:tc>
          <w:tcPr>
            <w:tcW w:w="1280" w:type="dxa"/>
            <w:vAlign w:val="bottom"/>
          </w:tcPr>
          <w:p>
            <w:pPr>
              <w:ind w:left="140"/>
              <w:spacing w:after="0" w:line="110" w:lineRule="exact"/>
              <w:rPr>
                <w:sz w:val="20"/>
                <w:szCs w:val="20"/>
                <w:color w:val="auto"/>
              </w:rPr>
            </w:pPr>
            <w:r>
              <w:rPr>
                <w:rFonts w:ascii="Arial" w:cs="Arial" w:eastAsia="Arial" w:hAnsi="Arial"/>
                <w:sz w:val="12"/>
                <w:szCs w:val="12"/>
                <w:color w:val="FFFFFF"/>
              </w:rPr>
              <w:t>Discussion and</w:t>
            </w: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5"/>
        </w:trPr>
        <w:tc>
          <w:tcPr>
            <w:tcW w:w="7880" w:type="dxa"/>
            <w:vAlign w:val="bottom"/>
            <w:vMerge w:val="continue"/>
          </w:tcPr>
          <w:p>
            <w:pPr>
              <w:spacing w:after="0"/>
              <w:rPr>
                <w:sz w:val="8"/>
                <w:szCs w:val="8"/>
                <w:color w:val="auto"/>
              </w:rPr>
            </w:pPr>
          </w:p>
        </w:tc>
        <w:tc>
          <w:tcPr>
            <w:tcW w:w="660" w:type="dxa"/>
            <w:vAlign w:val="bottom"/>
          </w:tcPr>
          <w:p>
            <w:pPr>
              <w:spacing w:after="0"/>
              <w:rPr>
                <w:sz w:val="8"/>
                <w:szCs w:val="8"/>
                <w:color w:val="auto"/>
              </w:rPr>
            </w:pPr>
          </w:p>
        </w:tc>
        <w:tc>
          <w:tcPr>
            <w:tcW w:w="1280" w:type="dxa"/>
            <w:vAlign w:val="bottom"/>
            <w:vMerge w:val="restart"/>
          </w:tcPr>
          <w:p>
            <w:pPr>
              <w:ind w:left="140"/>
              <w:spacing w:after="0"/>
              <w:rPr>
                <w:sz w:val="20"/>
                <w:szCs w:val="20"/>
                <w:color w:val="auto"/>
              </w:rPr>
            </w:pPr>
            <w:r>
              <w:rPr>
                <w:rFonts w:ascii="Arial" w:cs="Arial" w:eastAsia="Arial" w:hAnsi="Arial"/>
                <w:sz w:val="12"/>
                <w:szCs w:val="12"/>
                <w:color w:val="FFFFFF"/>
              </w:rPr>
              <w:t>Analysis</w:t>
            </w: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3"/>
        </w:trPr>
        <w:tc>
          <w:tcPr>
            <w:tcW w:w="7880" w:type="dxa"/>
            <w:vAlign w:val="bottom"/>
            <w:vMerge w:val="restart"/>
          </w:tcPr>
          <w:p>
            <w:pPr>
              <w:spacing w:after="0"/>
              <w:rPr>
                <w:sz w:val="20"/>
                <w:szCs w:val="20"/>
                <w:color w:val="auto"/>
              </w:rPr>
            </w:pPr>
            <w:r>
              <w:rPr>
                <w:rFonts w:ascii="Arial" w:cs="Arial" w:eastAsia="Arial" w:hAnsi="Arial"/>
                <w:sz w:val="15"/>
                <w:szCs w:val="15"/>
                <w:color w:val="auto"/>
              </w:rPr>
              <w:t>employee deferred compensation. All other expense categories, including depreciation and amortization of property</w:t>
            </w:r>
          </w:p>
        </w:tc>
        <w:tc>
          <w:tcPr>
            <w:tcW w:w="660" w:type="dxa"/>
            <w:vAlign w:val="bottom"/>
          </w:tcPr>
          <w:p>
            <w:pPr>
              <w:spacing w:after="0"/>
              <w:rPr>
                <w:sz w:val="5"/>
                <w:szCs w:val="5"/>
                <w:color w:val="auto"/>
              </w:rPr>
            </w:pPr>
          </w:p>
        </w:tc>
        <w:tc>
          <w:tcPr>
            <w:tcW w:w="128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6"/>
        </w:trPr>
        <w:tc>
          <w:tcPr>
            <w:tcW w:w="7880" w:type="dxa"/>
            <w:vAlign w:val="bottom"/>
            <w:vMerge w:val="continue"/>
          </w:tcPr>
          <w:p>
            <w:pPr>
              <w:spacing w:after="0"/>
              <w:rPr>
                <w:sz w:val="10"/>
                <w:szCs w:val="10"/>
                <w:color w:val="auto"/>
              </w:rPr>
            </w:pPr>
          </w:p>
        </w:tc>
        <w:tc>
          <w:tcPr>
            <w:tcW w:w="66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7880" w:type="dxa"/>
            <w:vAlign w:val="bottom"/>
          </w:tcPr>
          <w:p>
            <w:pPr>
              <w:spacing w:after="0" w:line="153" w:lineRule="exact"/>
              <w:rPr>
                <w:sz w:val="20"/>
                <w:szCs w:val="20"/>
                <w:color w:val="auto"/>
              </w:rPr>
            </w:pPr>
            <w:r>
              <w:rPr>
                <w:rFonts w:ascii="Arial" w:cs="Arial" w:eastAsia="Arial" w:hAnsi="Arial"/>
                <w:sz w:val="15"/>
                <w:szCs w:val="15"/>
                <w:color w:val="auto"/>
              </w:rPr>
              <w:t>and equipment and amortization of other intangibles, are considered by management to be general and</w:t>
            </w:r>
          </w:p>
        </w:tc>
        <w:tc>
          <w:tcPr>
            <w:tcW w:w="660" w:type="dxa"/>
            <w:vAlign w:val="bottom"/>
          </w:tcPr>
          <w:p>
            <w:pPr>
              <w:spacing w:after="0"/>
              <w:rPr>
                <w:sz w:val="13"/>
                <w:szCs w:val="13"/>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Report of the</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7880" w:type="dxa"/>
            <w:vAlign w:val="bottom"/>
          </w:tcPr>
          <w:p>
            <w:pPr>
              <w:spacing w:after="0"/>
              <w:rPr>
                <w:sz w:val="20"/>
                <w:szCs w:val="20"/>
                <w:color w:val="auto"/>
              </w:rPr>
            </w:pPr>
            <w:r>
              <w:rPr>
                <w:rFonts w:ascii="Arial" w:cs="Arial" w:eastAsia="Arial" w:hAnsi="Arial"/>
                <w:sz w:val="15"/>
                <w:szCs w:val="15"/>
                <w:color w:val="auto"/>
              </w:rPr>
              <w:t>administrative in nature. Because the Company’s gross profit amounts do not include any depreciation and</w:t>
            </w:r>
          </w:p>
        </w:tc>
        <w:tc>
          <w:tcPr>
            <w:tcW w:w="660" w:type="dxa"/>
            <w:vAlign w:val="bottom"/>
          </w:tcPr>
          <w:p>
            <w:pPr>
              <w:spacing w:after="0"/>
              <w:rPr>
                <w:sz w:val="15"/>
                <w:szCs w:val="15"/>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Compensation</w:t>
            </w: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2"/>
        </w:trPr>
        <w:tc>
          <w:tcPr>
            <w:tcW w:w="7880" w:type="dxa"/>
            <w:vAlign w:val="bottom"/>
            <w:vMerge w:val="restart"/>
          </w:tcPr>
          <w:p>
            <w:pPr>
              <w:spacing w:after="0"/>
              <w:rPr>
                <w:sz w:val="20"/>
                <w:szCs w:val="20"/>
                <w:color w:val="auto"/>
              </w:rPr>
            </w:pPr>
            <w:r>
              <w:rPr>
                <w:rFonts w:ascii="Arial" w:cs="Arial" w:eastAsia="Arial" w:hAnsi="Arial"/>
                <w:sz w:val="15"/>
                <w:szCs w:val="15"/>
                <w:color w:val="auto"/>
              </w:rPr>
              <w:t>amortization expense, the Company considers gross profit to be a non-GAAP financial measure that may not be</w:t>
            </w:r>
          </w:p>
        </w:tc>
        <w:tc>
          <w:tcPr>
            <w:tcW w:w="660" w:type="dxa"/>
            <w:vAlign w:val="bottom"/>
          </w:tcPr>
          <w:p>
            <w:pPr>
              <w:spacing w:after="0"/>
              <w:rPr>
                <w:sz w:val="6"/>
                <w:szCs w:val="6"/>
                <w:color w:val="auto"/>
              </w:rPr>
            </w:pPr>
          </w:p>
        </w:tc>
        <w:tc>
          <w:tcPr>
            <w:tcW w:w="1280" w:type="dxa"/>
            <w:vAlign w:val="bottom"/>
          </w:tcPr>
          <w:p>
            <w:pPr>
              <w:ind w:left="140"/>
              <w:spacing w:after="0" w:line="72" w:lineRule="exact"/>
              <w:rPr>
                <w:sz w:val="20"/>
                <w:szCs w:val="20"/>
                <w:color w:val="auto"/>
              </w:rPr>
            </w:pPr>
            <w:r>
              <w:rPr>
                <w:rFonts w:ascii="Arial" w:cs="Arial" w:eastAsia="Arial" w:hAnsi="Arial"/>
                <w:sz w:val="8"/>
                <w:szCs w:val="8"/>
                <w:color w:val="FFFFFF"/>
              </w:rPr>
              <w:t>and Human</w:t>
            </w:r>
          </w:p>
        </w:tc>
        <w:tc>
          <w:tcPr>
            <w:tcW w:w="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8"/>
        </w:trPr>
        <w:tc>
          <w:tcPr>
            <w:tcW w:w="7880" w:type="dxa"/>
            <w:vAlign w:val="bottom"/>
            <w:vMerge w:val="continue"/>
          </w:tcPr>
          <w:p>
            <w:pPr>
              <w:spacing w:after="0"/>
              <w:rPr>
                <w:sz w:val="11"/>
                <w:szCs w:val="11"/>
                <w:color w:val="auto"/>
              </w:rPr>
            </w:pPr>
          </w:p>
        </w:tc>
        <w:tc>
          <w:tcPr>
            <w:tcW w:w="660" w:type="dxa"/>
            <w:vAlign w:val="bottom"/>
          </w:tcPr>
          <w:p>
            <w:pPr>
              <w:spacing w:after="0"/>
              <w:rPr>
                <w:sz w:val="11"/>
                <w:szCs w:val="11"/>
                <w:color w:val="auto"/>
              </w:rPr>
            </w:pPr>
          </w:p>
        </w:tc>
        <w:tc>
          <w:tcPr>
            <w:tcW w:w="1280" w:type="dxa"/>
            <w:vAlign w:val="bottom"/>
          </w:tcPr>
          <w:p>
            <w:pPr>
              <w:ind w:left="140"/>
              <w:spacing w:after="0" w:line="128" w:lineRule="exact"/>
              <w:rPr>
                <w:sz w:val="20"/>
                <w:szCs w:val="20"/>
                <w:color w:val="auto"/>
              </w:rPr>
            </w:pPr>
            <w:r>
              <w:rPr>
                <w:rFonts w:ascii="Arial" w:cs="Arial" w:eastAsia="Arial" w:hAnsi="Arial"/>
                <w:sz w:val="12"/>
                <w:szCs w:val="12"/>
                <w:color w:val="FFFFFF"/>
              </w:rPr>
              <w:t>Resources</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7880" w:type="dxa"/>
            <w:vAlign w:val="bottom"/>
          </w:tcPr>
          <w:p>
            <w:pPr>
              <w:spacing w:after="0" w:line="158" w:lineRule="exact"/>
              <w:rPr>
                <w:sz w:val="20"/>
                <w:szCs w:val="20"/>
                <w:color w:val="auto"/>
              </w:rPr>
            </w:pPr>
            <w:r>
              <w:rPr>
                <w:rFonts w:ascii="Arial" w:cs="Arial" w:eastAsia="Arial" w:hAnsi="Arial"/>
                <w:sz w:val="15"/>
                <w:szCs w:val="15"/>
                <w:color w:val="auto"/>
              </w:rPr>
              <w:t>comparable to similar measures used by others in its industry. We believe that gross profit amounts can provide</w:t>
            </w:r>
          </w:p>
        </w:tc>
        <w:tc>
          <w:tcPr>
            <w:tcW w:w="660" w:type="dxa"/>
            <w:vAlign w:val="bottom"/>
          </w:tcPr>
          <w:p>
            <w:pPr>
              <w:spacing w:after="0"/>
              <w:rPr>
                <w:sz w:val="13"/>
                <w:szCs w:val="13"/>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Committee of the</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7880" w:type="dxa"/>
            <w:vAlign w:val="bottom"/>
            <w:vMerge w:val="restart"/>
          </w:tcPr>
          <w:p>
            <w:pPr>
              <w:spacing w:after="0"/>
              <w:rPr>
                <w:sz w:val="20"/>
                <w:szCs w:val="20"/>
                <w:color w:val="auto"/>
              </w:rPr>
            </w:pPr>
            <w:r>
              <w:rPr>
                <w:rFonts w:ascii="Arial" w:cs="Arial" w:eastAsia="Arial" w:hAnsi="Arial"/>
                <w:sz w:val="15"/>
                <w:szCs w:val="15"/>
                <w:color w:val="auto"/>
              </w:rPr>
              <w:t>investors with useful insight into the Company’s core operating performance before indirect costs that are general</w:t>
            </w:r>
          </w:p>
        </w:tc>
        <w:tc>
          <w:tcPr>
            <w:tcW w:w="660" w:type="dxa"/>
            <w:vAlign w:val="bottom"/>
          </w:tcPr>
          <w:p>
            <w:pPr>
              <w:spacing w:after="0"/>
              <w:rPr>
                <w:sz w:val="13"/>
                <w:szCs w:val="13"/>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Board of Directors</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7"/>
        </w:trPr>
        <w:tc>
          <w:tcPr>
            <w:tcW w:w="7880" w:type="dxa"/>
            <w:vAlign w:val="bottom"/>
            <w:vMerge w:val="continue"/>
          </w:tcPr>
          <w:p>
            <w:pPr>
              <w:spacing w:after="0"/>
              <w:rPr>
                <w:sz w:val="4"/>
                <w:szCs w:val="4"/>
                <w:color w:val="auto"/>
              </w:rPr>
            </w:pPr>
          </w:p>
        </w:tc>
        <w:tc>
          <w:tcPr>
            <w:tcW w:w="660" w:type="dxa"/>
            <w:vAlign w:val="bottom"/>
          </w:tcPr>
          <w:p>
            <w:pPr>
              <w:spacing w:after="0"/>
              <w:rPr>
                <w:sz w:val="4"/>
                <w:szCs w:val="4"/>
                <w:color w:val="auto"/>
              </w:rPr>
            </w:pPr>
          </w:p>
        </w:tc>
        <w:tc>
          <w:tcPr>
            <w:tcW w:w="128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9"/>
        </w:trPr>
        <w:tc>
          <w:tcPr>
            <w:tcW w:w="7880" w:type="dxa"/>
            <w:vAlign w:val="bottom"/>
          </w:tcPr>
          <w:p>
            <w:pPr>
              <w:spacing w:after="0"/>
              <w:rPr>
                <w:sz w:val="20"/>
                <w:szCs w:val="20"/>
                <w:color w:val="auto"/>
              </w:rPr>
            </w:pPr>
            <w:r>
              <w:rPr>
                <w:rFonts w:ascii="Arial" w:cs="Arial" w:eastAsia="Arial" w:hAnsi="Arial"/>
                <w:sz w:val="15"/>
                <w:szCs w:val="15"/>
                <w:color w:val="auto"/>
              </w:rPr>
              <w:t>and administrative in nature. Set forth below is a calculation of the Company’s gross profit for the years ended</w:t>
            </w:r>
          </w:p>
        </w:tc>
        <w:tc>
          <w:tcPr>
            <w:tcW w:w="660" w:type="dxa"/>
            <w:vAlign w:val="bottom"/>
          </w:tcPr>
          <w:p>
            <w:pPr>
              <w:spacing w:after="0"/>
              <w:rPr>
                <w:sz w:val="15"/>
                <w:szCs w:val="15"/>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Compensation of</w:t>
            </w: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7880" w:type="dxa"/>
            <w:vAlign w:val="bottom"/>
          </w:tcPr>
          <w:p>
            <w:pPr>
              <w:spacing w:after="0" w:line="153" w:lineRule="exact"/>
              <w:rPr>
                <w:sz w:val="20"/>
                <w:szCs w:val="20"/>
                <w:color w:val="auto"/>
              </w:rPr>
            </w:pPr>
            <w:r>
              <w:rPr>
                <w:rFonts w:ascii="Arial" w:cs="Arial" w:eastAsia="Arial" w:hAnsi="Arial"/>
                <w:sz w:val="15"/>
                <w:szCs w:val="15"/>
                <w:color w:val="auto"/>
              </w:rPr>
              <w:t>December 31, 2025, 2024 and 2023.</w:t>
            </w:r>
          </w:p>
        </w:tc>
        <w:tc>
          <w:tcPr>
            <w:tcW w:w="660" w:type="dxa"/>
            <w:vAlign w:val="bottom"/>
          </w:tcPr>
          <w:p>
            <w:pPr>
              <w:spacing w:after="0"/>
              <w:rPr>
                <w:sz w:val="13"/>
                <w:szCs w:val="13"/>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Named Executive</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7880" w:type="dxa"/>
            <w:vAlign w:val="bottom"/>
            <w:vMerge w:val="restart"/>
          </w:tcPr>
          <w:p>
            <w:pPr>
              <w:spacing w:after="0"/>
              <w:rPr>
                <w:sz w:val="20"/>
                <w:szCs w:val="20"/>
                <w:color w:val="auto"/>
              </w:rPr>
            </w:pPr>
            <w:r>
              <w:rPr>
                <w:rFonts w:ascii="Arial" w:cs="Arial" w:eastAsia="Arial" w:hAnsi="Arial"/>
                <w:sz w:val="24"/>
                <w:szCs w:val="24"/>
                <w:color w:val="B95827"/>
              </w:rPr>
              <w:t>Core G&amp;A</w:t>
            </w:r>
          </w:p>
        </w:tc>
        <w:tc>
          <w:tcPr>
            <w:tcW w:w="660" w:type="dxa"/>
            <w:vAlign w:val="bottom"/>
          </w:tcPr>
          <w:p>
            <w:pPr>
              <w:spacing w:after="0"/>
              <w:rPr>
                <w:sz w:val="13"/>
                <w:szCs w:val="13"/>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Officers</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7880" w:type="dxa"/>
            <w:vAlign w:val="bottom"/>
            <w:vMerge w:val="continue"/>
          </w:tcPr>
          <w:p>
            <w:pPr>
              <w:spacing w:after="0"/>
              <w:rPr>
                <w:sz w:val="11"/>
                <w:szCs w:val="11"/>
                <w:color w:val="auto"/>
              </w:rPr>
            </w:pPr>
          </w:p>
        </w:tc>
        <w:tc>
          <w:tcPr>
            <w:tcW w:w="660" w:type="dxa"/>
            <w:vAlign w:val="bottom"/>
          </w:tcPr>
          <w:p>
            <w:pPr>
              <w:spacing w:after="0"/>
              <w:rPr>
                <w:sz w:val="11"/>
                <w:szCs w:val="11"/>
                <w:color w:val="auto"/>
              </w:rPr>
            </w:pPr>
          </w:p>
        </w:tc>
        <w:tc>
          <w:tcPr>
            <w:tcW w:w="1280" w:type="dxa"/>
            <w:vAlign w:val="bottom"/>
          </w:tcPr>
          <w:p>
            <w:pPr>
              <w:ind w:left="140"/>
              <w:spacing w:after="0" w:line="130" w:lineRule="exact"/>
              <w:rPr>
                <w:sz w:val="20"/>
                <w:szCs w:val="20"/>
                <w:color w:val="auto"/>
              </w:rPr>
            </w:pPr>
            <w:r>
              <w:rPr>
                <w:rFonts w:ascii="Arial" w:cs="Arial" w:eastAsia="Arial" w:hAnsi="Arial"/>
                <w:sz w:val="12"/>
                <w:szCs w:val="12"/>
                <w:color w:val="FFFFFF"/>
              </w:rPr>
              <w:t>Performance</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78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Pay Versus</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7880" w:type="dxa"/>
            <w:vAlign w:val="bottom"/>
            <w:vMerge w:val="restart"/>
          </w:tcPr>
          <w:p>
            <w:pPr>
              <w:spacing w:after="0"/>
              <w:rPr>
                <w:sz w:val="20"/>
                <w:szCs w:val="20"/>
                <w:color w:val="auto"/>
              </w:rPr>
            </w:pPr>
            <w:r>
              <w:rPr>
                <w:rFonts w:ascii="Arial" w:cs="Arial" w:eastAsia="Arial" w:hAnsi="Arial"/>
                <w:sz w:val="15"/>
                <w:szCs w:val="15"/>
                <w:color w:val="auto"/>
              </w:rPr>
              <w:t>Core G&amp;A consists of total expense, which was $15.8 billion for the year ended December 31, 2025, less the</w:t>
            </w:r>
          </w:p>
        </w:tc>
        <w:tc>
          <w:tcPr>
            <w:tcW w:w="660" w:type="dxa"/>
            <w:vAlign w:val="bottom"/>
          </w:tcPr>
          <w:p>
            <w:pPr>
              <w:spacing w:after="0"/>
              <w:rPr>
                <w:sz w:val="21"/>
                <w:szCs w:val="21"/>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Disclosure</w:t>
            </w: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3"/>
        </w:trPr>
        <w:tc>
          <w:tcPr>
            <w:tcW w:w="7880" w:type="dxa"/>
            <w:vAlign w:val="bottom"/>
            <w:vMerge w:val="continue"/>
          </w:tcPr>
          <w:p>
            <w:pPr>
              <w:spacing w:after="0"/>
              <w:rPr>
                <w:sz w:val="8"/>
                <w:szCs w:val="8"/>
                <w:color w:val="auto"/>
              </w:rPr>
            </w:pPr>
          </w:p>
        </w:tc>
        <w:tc>
          <w:tcPr>
            <w:tcW w:w="660" w:type="dxa"/>
            <w:vAlign w:val="bottom"/>
          </w:tcPr>
          <w:p>
            <w:pPr>
              <w:spacing w:after="0"/>
              <w:rPr>
                <w:sz w:val="8"/>
                <w:szCs w:val="8"/>
                <w:color w:val="auto"/>
              </w:rPr>
            </w:pPr>
          </w:p>
        </w:tc>
        <w:tc>
          <w:tcPr>
            <w:tcW w:w="1280" w:type="dxa"/>
            <w:vAlign w:val="bottom"/>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0"/>
        </w:trPr>
        <w:tc>
          <w:tcPr>
            <w:tcW w:w="7880" w:type="dxa"/>
            <w:vAlign w:val="bottom"/>
          </w:tcPr>
          <w:p>
            <w:pPr>
              <w:spacing w:after="0" w:line="161" w:lineRule="exact"/>
              <w:rPr>
                <w:sz w:val="20"/>
                <w:szCs w:val="20"/>
                <w:color w:val="auto"/>
              </w:rPr>
            </w:pPr>
            <w:r>
              <w:rPr>
                <w:rFonts w:ascii="Arial" w:cs="Arial" w:eastAsia="Arial" w:hAnsi="Arial"/>
                <w:sz w:val="15"/>
                <w:szCs w:val="15"/>
                <w:color w:val="auto"/>
              </w:rPr>
              <w:t>following expenses: advisory and commission; depreciation and amortization; interest expense on borrowings;</w:t>
            </w:r>
          </w:p>
        </w:tc>
        <w:tc>
          <w:tcPr>
            <w:tcW w:w="660" w:type="dxa"/>
            <w:vAlign w:val="bottom"/>
          </w:tcPr>
          <w:p>
            <w:pPr>
              <w:spacing w:after="0"/>
              <w:rPr>
                <w:sz w:val="13"/>
                <w:szCs w:val="13"/>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Security</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7880" w:type="dxa"/>
            <w:vAlign w:val="bottom"/>
          </w:tcPr>
          <w:p>
            <w:pPr>
              <w:spacing w:after="0" w:line="171" w:lineRule="exact"/>
              <w:rPr>
                <w:sz w:val="20"/>
                <w:szCs w:val="20"/>
                <w:color w:val="auto"/>
              </w:rPr>
            </w:pPr>
            <w:r>
              <w:rPr>
                <w:rFonts w:ascii="Arial" w:cs="Arial" w:eastAsia="Arial" w:hAnsi="Arial"/>
                <w:sz w:val="15"/>
                <w:szCs w:val="15"/>
                <w:color w:val="auto"/>
              </w:rPr>
              <w:t>amortization of other intangibles; brokerage, clearing and exchange; market fluctuations on employee deferred</w:t>
            </w:r>
          </w:p>
        </w:tc>
        <w:tc>
          <w:tcPr>
            <w:tcW w:w="660" w:type="dxa"/>
            <w:vAlign w:val="bottom"/>
          </w:tcPr>
          <w:p>
            <w:pPr>
              <w:spacing w:after="0"/>
              <w:rPr>
                <w:sz w:val="14"/>
                <w:szCs w:val="14"/>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Ownership of</w:t>
            </w: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7880" w:type="dxa"/>
            <w:vAlign w:val="bottom"/>
            <w:vMerge w:val="restart"/>
          </w:tcPr>
          <w:p>
            <w:pPr>
              <w:spacing w:after="0"/>
              <w:rPr>
                <w:sz w:val="20"/>
                <w:szCs w:val="20"/>
                <w:color w:val="auto"/>
              </w:rPr>
            </w:pPr>
            <w:r>
              <w:rPr>
                <w:rFonts w:ascii="Arial" w:cs="Arial" w:eastAsia="Arial" w:hAnsi="Arial"/>
                <w:sz w:val="15"/>
                <w:szCs w:val="15"/>
                <w:color w:val="auto"/>
              </w:rPr>
              <w:t>compensation; losses on extinguishment of debt; promotional (ongoing); transition assistance loan amortization;</w:t>
            </w:r>
          </w:p>
        </w:tc>
        <w:tc>
          <w:tcPr>
            <w:tcW w:w="660" w:type="dxa"/>
            <w:vAlign w:val="bottom"/>
          </w:tcPr>
          <w:p>
            <w:pPr>
              <w:spacing w:after="0"/>
              <w:rPr>
                <w:sz w:val="7"/>
                <w:szCs w:val="7"/>
                <w:color w:val="auto"/>
              </w:rPr>
            </w:pPr>
          </w:p>
        </w:tc>
        <w:tc>
          <w:tcPr>
            <w:tcW w:w="1280" w:type="dxa"/>
            <w:vAlign w:val="bottom"/>
          </w:tcPr>
          <w:p>
            <w:pPr>
              <w:ind w:left="140"/>
              <w:spacing w:after="0" w:line="85" w:lineRule="exact"/>
              <w:rPr>
                <w:sz w:val="20"/>
                <w:szCs w:val="20"/>
                <w:color w:val="auto"/>
              </w:rPr>
            </w:pPr>
            <w:r>
              <w:rPr>
                <w:rFonts w:ascii="Arial" w:cs="Arial" w:eastAsia="Arial" w:hAnsi="Arial"/>
                <w:sz w:val="8"/>
                <w:szCs w:val="8"/>
                <w:color w:val="FFFFFF"/>
              </w:rPr>
              <w:t>Certain Beneficial</w:t>
            </w:r>
          </w:p>
        </w:tc>
        <w:tc>
          <w:tcPr>
            <w:tcW w:w="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0"/>
        </w:trPr>
        <w:tc>
          <w:tcPr>
            <w:tcW w:w="7880" w:type="dxa"/>
            <w:vAlign w:val="bottom"/>
            <w:vMerge w:val="continue"/>
          </w:tcPr>
          <w:p>
            <w:pPr>
              <w:spacing w:after="0"/>
              <w:rPr>
                <w:sz w:val="10"/>
                <w:szCs w:val="10"/>
                <w:color w:val="auto"/>
              </w:rPr>
            </w:pPr>
          </w:p>
        </w:tc>
        <w:tc>
          <w:tcPr>
            <w:tcW w:w="660" w:type="dxa"/>
            <w:vAlign w:val="bottom"/>
          </w:tcPr>
          <w:p>
            <w:pPr>
              <w:spacing w:after="0"/>
              <w:rPr>
                <w:sz w:val="10"/>
                <w:szCs w:val="10"/>
                <w:color w:val="auto"/>
              </w:rPr>
            </w:pPr>
          </w:p>
        </w:tc>
        <w:tc>
          <w:tcPr>
            <w:tcW w:w="1280" w:type="dxa"/>
            <w:vAlign w:val="bottom"/>
          </w:tcPr>
          <w:p>
            <w:pPr>
              <w:ind w:left="140"/>
              <w:spacing w:after="0" w:line="121" w:lineRule="exact"/>
              <w:rPr>
                <w:sz w:val="20"/>
                <w:szCs w:val="20"/>
                <w:color w:val="auto"/>
              </w:rPr>
            </w:pPr>
            <w:r>
              <w:rPr>
                <w:rFonts w:ascii="Arial" w:cs="Arial" w:eastAsia="Arial" w:hAnsi="Arial"/>
                <w:sz w:val="12"/>
                <w:szCs w:val="12"/>
                <w:color w:val="FFFFFF"/>
              </w:rPr>
              <w:t>Owners and</w:t>
            </w: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9"/>
        </w:trPr>
        <w:tc>
          <w:tcPr>
            <w:tcW w:w="7880" w:type="dxa"/>
            <w:vAlign w:val="bottom"/>
          </w:tcPr>
          <w:p>
            <w:pPr>
              <w:spacing w:after="0"/>
              <w:rPr>
                <w:sz w:val="20"/>
                <w:szCs w:val="20"/>
                <w:color w:val="auto"/>
              </w:rPr>
            </w:pPr>
            <w:r>
              <w:rPr>
                <w:rFonts w:ascii="Arial" w:cs="Arial" w:eastAsia="Arial" w:hAnsi="Arial"/>
                <w:sz w:val="15"/>
                <w:szCs w:val="15"/>
                <w:color w:val="auto"/>
              </w:rPr>
              <w:t>regulatory charges; employee share-based compensation; and acquisition costs. Management presents Core G&amp;A</w:t>
            </w:r>
          </w:p>
        </w:tc>
        <w:tc>
          <w:tcPr>
            <w:tcW w:w="660" w:type="dxa"/>
            <w:vAlign w:val="bottom"/>
          </w:tcPr>
          <w:p>
            <w:pPr>
              <w:spacing w:after="0"/>
              <w:rPr>
                <w:sz w:val="15"/>
                <w:szCs w:val="15"/>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Management</w:t>
            </w: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7880" w:type="dxa"/>
            <w:vAlign w:val="bottom"/>
          </w:tcPr>
          <w:p>
            <w:pPr>
              <w:spacing w:after="0"/>
              <w:rPr>
                <w:sz w:val="20"/>
                <w:szCs w:val="20"/>
                <w:color w:val="auto"/>
              </w:rPr>
            </w:pPr>
            <w:r>
              <w:rPr>
                <w:rFonts w:ascii="Arial" w:cs="Arial" w:eastAsia="Arial" w:hAnsi="Arial"/>
                <w:sz w:val="15"/>
                <w:szCs w:val="15"/>
                <w:color w:val="auto"/>
              </w:rPr>
              <w:t>because it believes Core G&amp;A reflects the corporate expense categories over which management can generally</w:t>
            </w:r>
          </w:p>
        </w:tc>
        <w:tc>
          <w:tcPr>
            <w:tcW w:w="660" w:type="dxa"/>
            <w:vAlign w:val="bottom"/>
          </w:tcPr>
          <w:p>
            <w:pPr>
              <w:spacing w:after="0"/>
              <w:rPr>
                <w:sz w:val="15"/>
                <w:szCs w:val="15"/>
                <w:color w:val="auto"/>
              </w:rPr>
            </w:pPr>
          </w:p>
        </w:tc>
        <w:tc>
          <w:tcPr>
            <w:tcW w:w="1280" w:type="dxa"/>
            <w:vAlign w:val="bottom"/>
            <w:vMerge w:val="restart"/>
          </w:tcPr>
          <w:p>
            <w:pPr>
              <w:ind w:left="140"/>
              <w:spacing w:after="0"/>
              <w:rPr>
                <w:sz w:val="20"/>
                <w:szCs w:val="20"/>
                <w:color w:val="auto"/>
              </w:rPr>
            </w:pPr>
            <w:r>
              <w:rPr>
                <w:rFonts w:ascii="Arial" w:cs="Arial" w:eastAsia="Arial" w:hAnsi="Arial"/>
                <w:sz w:val="12"/>
                <w:szCs w:val="12"/>
                <w:color w:val="FFFFFF"/>
              </w:rPr>
              <w:t>Certain</w:t>
            </w: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1"/>
        </w:trPr>
        <w:tc>
          <w:tcPr>
            <w:tcW w:w="7880" w:type="dxa"/>
            <w:vAlign w:val="bottom"/>
            <w:vMerge w:val="restart"/>
          </w:tcPr>
          <w:p>
            <w:pPr>
              <w:spacing w:after="0"/>
              <w:rPr>
                <w:sz w:val="20"/>
                <w:szCs w:val="20"/>
                <w:color w:val="auto"/>
              </w:rPr>
            </w:pPr>
            <w:r>
              <w:rPr>
                <w:rFonts w:ascii="Arial" w:cs="Arial" w:eastAsia="Arial" w:hAnsi="Arial"/>
                <w:sz w:val="15"/>
                <w:szCs w:val="15"/>
                <w:color w:val="auto"/>
              </w:rPr>
              <w:t>exercise a measure of control, compared with expense items over which management either cannot exercise</w:t>
            </w:r>
          </w:p>
        </w:tc>
        <w:tc>
          <w:tcPr>
            <w:tcW w:w="66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0"/>
        </w:trPr>
        <w:tc>
          <w:tcPr>
            <w:tcW w:w="7880" w:type="dxa"/>
            <w:vAlign w:val="bottom"/>
            <w:vMerge w:val="continue"/>
          </w:tcPr>
          <w:p>
            <w:pPr>
              <w:spacing w:after="0"/>
              <w:rPr>
                <w:sz w:val="10"/>
                <w:szCs w:val="10"/>
                <w:color w:val="auto"/>
              </w:rPr>
            </w:pPr>
          </w:p>
        </w:tc>
        <w:tc>
          <w:tcPr>
            <w:tcW w:w="660" w:type="dxa"/>
            <w:vAlign w:val="bottom"/>
          </w:tcPr>
          <w:p>
            <w:pPr>
              <w:spacing w:after="0"/>
              <w:rPr>
                <w:sz w:val="10"/>
                <w:szCs w:val="10"/>
                <w:color w:val="auto"/>
              </w:rPr>
            </w:pPr>
          </w:p>
        </w:tc>
        <w:tc>
          <w:tcPr>
            <w:tcW w:w="1280" w:type="dxa"/>
            <w:vAlign w:val="bottom"/>
          </w:tcPr>
          <w:p>
            <w:pPr>
              <w:ind w:left="140"/>
              <w:spacing w:after="0" w:line="120" w:lineRule="exact"/>
              <w:rPr>
                <w:sz w:val="20"/>
                <w:szCs w:val="20"/>
                <w:color w:val="auto"/>
              </w:rPr>
            </w:pPr>
            <w:r>
              <w:rPr>
                <w:rFonts w:ascii="Arial" w:cs="Arial" w:eastAsia="Arial" w:hAnsi="Arial"/>
                <w:sz w:val="12"/>
                <w:szCs w:val="12"/>
                <w:color w:val="FFFFFF"/>
              </w:rPr>
              <w:t>Relationships and</w:t>
            </w: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7880" w:type="dxa"/>
            <w:vAlign w:val="bottom"/>
          </w:tcPr>
          <w:p>
            <w:pPr>
              <w:spacing w:after="0" w:line="141" w:lineRule="exact"/>
              <w:rPr>
                <w:sz w:val="20"/>
                <w:szCs w:val="20"/>
                <w:color w:val="auto"/>
              </w:rPr>
            </w:pPr>
            <w:r>
              <w:rPr>
                <w:rFonts w:ascii="Arial" w:cs="Arial" w:eastAsia="Arial" w:hAnsi="Arial"/>
                <w:sz w:val="15"/>
                <w:szCs w:val="15"/>
                <w:color w:val="auto"/>
              </w:rPr>
              <w:t>control, such as advisory and commission expense, or which management views as a promotional expense</w:t>
            </w:r>
          </w:p>
        </w:tc>
        <w:tc>
          <w:tcPr>
            <w:tcW w:w="660" w:type="dxa"/>
            <w:vAlign w:val="bottom"/>
          </w:tcPr>
          <w:p>
            <w:pPr>
              <w:spacing w:after="0"/>
              <w:rPr>
                <w:sz w:val="12"/>
                <w:szCs w:val="12"/>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Related Party</w:t>
            </w: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5"/>
        </w:trPr>
        <w:tc>
          <w:tcPr>
            <w:tcW w:w="7880" w:type="dxa"/>
            <w:vAlign w:val="bottom"/>
          </w:tcPr>
          <w:p>
            <w:pPr>
              <w:spacing w:after="0"/>
              <w:rPr>
                <w:sz w:val="20"/>
                <w:szCs w:val="20"/>
                <w:color w:val="auto"/>
              </w:rPr>
            </w:pPr>
            <w:r>
              <w:rPr>
                <w:rFonts w:ascii="Arial" w:cs="Arial" w:eastAsia="Arial" w:hAnsi="Arial"/>
                <w:sz w:val="15"/>
                <w:szCs w:val="15"/>
                <w:color w:val="auto"/>
              </w:rPr>
              <w:t>necessary to support advisor growth and retention, including conferences and transition assistance. Core G&amp;A is</w:t>
            </w:r>
          </w:p>
        </w:tc>
        <w:tc>
          <w:tcPr>
            <w:tcW w:w="660" w:type="dxa"/>
            <w:vAlign w:val="bottom"/>
          </w:tcPr>
          <w:p>
            <w:pPr>
              <w:spacing w:after="0"/>
              <w:rPr>
                <w:sz w:val="17"/>
                <w:szCs w:val="17"/>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Transactions</w:t>
            </w: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9"/>
        </w:trPr>
        <w:tc>
          <w:tcPr>
            <w:tcW w:w="7880" w:type="dxa"/>
            <w:vAlign w:val="bottom"/>
          </w:tcPr>
          <w:p>
            <w:pPr>
              <w:spacing w:after="0"/>
              <w:rPr>
                <w:sz w:val="20"/>
                <w:szCs w:val="20"/>
                <w:color w:val="auto"/>
              </w:rPr>
            </w:pPr>
            <w:r>
              <w:rPr>
                <w:rFonts w:ascii="Arial" w:cs="Arial" w:eastAsia="Arial" w:hAnsi="Arial"/>
                <w:sz w:val="15"/>
                <w:szCs w:val="15"/>
                <w:color w:val="auto"/>
              </w:rPr>
              <w:t>not a measure of the Company’s total expense as calculated in accordance with GAAP. Set forth below is a</w:t>
            </w:r>
          </w:p>
        </w:tc>
        <w:tc>
          <w:tcPr>
            <w:tcW w:w="660" w:type="dxa"/>
            <w:vAlign w:val="bottom"/>
          </w:tcPr>
          <w:p>
            <w:pPr>
              <w:spacing w:after="0"/>
              <w:rPr>
                <w:sz w:val="15"/>
                <w:szCs w:val="15"/>
                <w:color w:val="auto"/>
              </w:rPr>
            </w:pPr>
          </w:p>
        </w:tc>
        <w:tc>
          <w:tcPr>
            <w:tcW w:w="1280" w:type="dxa"/>
            <w:vAlign w:val="bottom"/>
            <w:vMerge w:val="restart"/>
          </w:tcPr>
          <w:p>
            <w:pPr>
              <w:ind w:left="140"/>
              <w:spacing w:after="0"/>
              <w:rPr>
                <w:sz w:val="20"/>
                <w:szCs w:val="20"/>
                <w:color w:val="auto"/>
              </w:rPr>
            </w:pPr>
            <w:r>
              <w:rPr>
                <w:rFonts w:ascii="Arial" w:cs="Arial" w:eastAsia="Arial" w:hAnsi="Arial"/>
                <w:sz w:val="12"/>
                <w:szCs w:val="12"/>
                <w:color w:val="FFFFFF"/>
              </w:rPr>
              <w:t>Proposal 2</w:t>
            </w: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3"/>
        </w:trPr>
        <w:tc>
          <w:tcPr>
            <w:tcW w:w="7880" w:type="dxa"/>
            <w:vAlign w:val="bottom"/>
            <w:vMerge w:val="restart"/>
          </w:tcPr>
          <w:p>
            <w:pPr>
              <w:spacing w:after="0"/>
              <w:rPr>
                <w:sz w:val="20"/>
                <w:szCs w:val="20"/>
                <w:color w:val="auto"/>
              </w:rPr>
            </w:pPr>
            <w:r>
              <w:rPr>
                <w:rFonts w:ascii="Arial" w:cs="Arial" w:eastAsia="Arial" w:hAnsi="Arial"/>
                <w:sz w:val="15"/>
                <w:szCs w:val="15"/>
                <w:color w:val="auto"/>
              </w:rPr>
              <w:t>reconciliation of the Company’s total expense to Core G&amp;A for the years ended December 31, 2025, 2024 and</w:t>
            </w:r>
          </w:p>
        </w:tc>
        <w:tc>
          <w:tcPr>
            <w:tcW w:w="660" w:type="dxa"/>
            <w:vAlign w:val="bottom"/>
          </w:tcPr>
          <w:p>
            <w:pPr>
              <w:spacing w:after="0"/>
              <w:rPr>
                <w:sz w:val="5"/>
                <w:szCs w:val="5"/>
                <w:color w:val="auto"/>
              </w:rPr>
            </w:pPr>
          </w:p>
        </w:tc>
        <w:tc>
          <w:tcPr>
            <w:tcW w:w="128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6"/>
        </w:trPr>
        <w:tc>
          <w:tcPr>
            <w:tcW w:w="7880" w:type="dxa"/>
            <w:vAlign w:val="bottom"/>
            <w:vMerge w:val="continue"/>
          </w:tcPr>
          <w:p>
            <w:pPr>
              <w:spacing w:after="0"/>
              <w:rPr>
                <w:sz w:val="10"/>
                <w:szCs w:val="10"/>
                <w:color w:val="auto"/>
              </w:rPr>
            </w:pPr>
          </w:p>
        </w:tc>
        <w:tc>
          <w:tcPr>
            <w:tcW w:w="66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7880" w:type="dxa"/>
            <w:vAlign w:val="bottom"/>
          </w:tcPr>
          <w:p>
            <w:pPr>
              <w:spacing w:after="0" w:line="153" w:lineRule="exact"/>
              <w:rPr>
                <w:sz w:val="20"/>
                <w:szCs w:val="20"/>
                <w:color w:val="auto"/>
              </w:rPr>
            </w:pPr>
            <w:r>
              <w:rPr>
                <w:rFonts w:ascii="Arial" w:cs="Arial" w:eastAsia="Arial" w:hAnsi="Arial"/>
                <w:sz w:val="15"/>
                <w:szCs w:val="15"/>
                <w:color w:val="auto"/>
              </w:rPr>
              <w:t>2023.</w:t>
            </w:r>
          </w:p>
        </w:tc>
        <w:tc>
          <w:tcPr>
            <w:tcW w:w="660" w:type="dxa"/>
            <w:vAlign w:val="bottom"/>
          </w:tcPr>
          <w:p>
            <w:pPr>
              <w:spacing w:after="0"/>
              <w:rPr>
                <w:sz w:val="13"/>
                <w:szCs w:val="13"/>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Report of the</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3"/>
        </w:trPr>
        <w:tc>
          <w:tcPr>
            <w:tcW w:w="78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80" w:type="dxa"/>
            <w:vAlign w:val="bottom"/>
          </w:tcPr>
          <w:p>
            <w:pPr>
              <w:ind w:left="140"/>
              <w:spacing w:after="0" w:line="123" w:lineRule="exact"/>
              <w:rPr>
                <w:sz w:val="20"/>
                <w:szCs w:val="20"/>
                <w:color w:val="auto"/>
              </w:rPr>
            </w:pPr>
            <w:r>
              <w:rPr>
                <w:rFonts w:ascii="Arial" w:cs="Arial" w:eastAsia="Arial" w:hAnsi="Arial"/>
                <w:sz w:val="12"/>
                <w:szCs w:val="12"/>
                <w:color w:val="FFFFFF"/>
              </w:rPr>
              <w:t>Audit and Risk</w:t>
            </w: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7880" w:type="dxa"/>
            <w:vAlign w:val="bottom"/>
            <w:vMerge w:val="restart"/>
          </w:tcPr>
          <w:p>
            <w:pPr>
              <w:spacing w:after="0" w:line="248" w:lineRule="exact"/>
              <w:rPr>
                <w:sz w:val="20"/>
                <w:szCs w:val="20"/>
                <w:color w:val="auto"/>
              </w:rPr>
            </w:pPr>
            <w:r>
              <w:rPr>
                <w:rFonts w:ascii="Arial" w:cs="Arial" w:eastAsia="Arial" w:hAnsi="Arial"/>
                <w:sz w:val="24"/>
                <w:szCs w:val="24"/>
                <w:color w:val="B95827"/>
              </w:rPr>
              <w:t>EBITDA</w:t>
            </w:r>
          </w:p>
        </w:tc>
        <w:tc>
          <w:tcPr>
            <w:tcW w:w="660" w:type="dxa"/>
            <w:vAlign w:val="bottom"/>
          </w:tcPr>
          <w:p>
            <w:pPr>
              <w:spacing w:after="0"/>
              <w:rPr>
                <w:sz w:val="11"/>
                <w:szCs w:val="11"/>
                <w:color w:val="auto"/>
              </w:rPr>
            </w:pPr>
          </w:p>
        </w:tc>
        <w:tc>
          <w:tcPr>
            <w:tcW w:w="1280" w:type="dxa"/>
            <w:vAlign w:val="bottom"/>
          </w:tcPr>
          <w:p>
            <w:pPr>
              <w:ind w:left="140"/>
              <w:spacing w:after="0" w:line="128" w:lineRule="exact"/>
              <w:rPr>
                <w:sz w:val="20"/>
                <w:szCs w:val="20"/>
                <w:color w:val="auto"/>
              </w:rPr>
            </w:pPr>
            <w:r>
              <w:rPr>
                <w:rFonts w:ascii="Arial" w:cs="Arial" w:eastAsia="Arial" w:hAnsi="Arial"/>
                <w:sz w:val="12"/>
                <w:szCs w:val="12"/>
                <w:color w:val="FFFFFF"/>
              </w:rPr>
              <w:t>Committee of the</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7880" w:type="dxa"/>
            <w:vAlign w:val="bottom"/>
            <w:vMerge w:val="continue"/>
          </w:tcPr>
          <w:p>
            <w:pPr>
              <w:spacing w:after="0"/>
              <w:rPr>
                <w:sz w:val="10"/>
                <w:szCs w:val="10"/>
                <w:color w:val="auto"/>
              </w:rPr>
            </w:pPr>
          </w:p>
        </w:tc>
        <w:tc>
          <w:tcPr>
            <w:tcW w:w="660" w:type="dxa"/>
            <w:vAlign w:val="bottom"/>
          </w:tcPr>
          <w:p>
            <w:pPr>
              <w:spacing w:after="0"/>
              <w:rPr>
                <w:sz w:val="10"/>
                <w:szCs w:val="10"/>
                <w:color w:val="auto"/>
              </w:rPr>
            </w:pPr>
          </w:p>
        </w:tc>
        <w:tc>
          <w:tcPr>
            <w:tcW w:w="1280" w:type="dxa"/>
            <w:vAlign w:val="bottom"/>
            <w:vMerge w:val="restart"/>
          </w:tcPr>
          <w:p>
            <w:pPr>
              <w:ind w:left="140"/>
              <w:spacing w:after="0"/>
              <w:rPr>
                <w:sz w:val="20"/>
                <w:szCs w:val="20"/>
                <w:color w:val="auto"/>
              </w:rPr>
            </w:pPr>
            <w:r>
              <w:rPr>
                <w:rFonts w:ascii="Arial" w:cs="Arial" w:eastAsia="Arial" w:hAnsi="Arial"/>
                <w:sz w:val="12"/>
                <w:szCs w:val="12"/>
                <w:color w:val="FFFFFF"/>
              </w:rPr>
              <w:t>Board of Directors</w:t>
            </w: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8"/>
        </w:trPr>
        <w:tc>
          <w:tcPr>
            <w:tcW w:w="78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94"/>
        </w:trPr>
        <w:tc>
          <w:tcPr>
            <w:tcW w:w="7880" w:type="dxa"/>
            <w:vAlign w:val="bottom"/>
            <w:vMerge w:val="restart"/>
          </w:tcPr>
          <w:p>
            <w:pPr>
              <w:spacing w:after="0"/>
              <w:rPr>
                <w:sz w:val="20"/>
                <w:szCs w:val="20"/>
                <w:color w:val="auto"/>
              </w:rPr>
            </w:pPr>
            <w:r>
              <w:rPr>
                <w:rFonts w:ascii="Arial" w:cs="Arial" w:eastAsia="Arial" w:hAnsi="Arial"/>
                <w:sz w:val="15"/>
                <w:szCs w:val="15"/>
                <w:color w:val="auto"/>
              </w:rPr>
              <w:t>EBITDA is defined as net income plus interest expense on borrowings, provision for income taxes, depreciation and</w:t>
            </w:r>
          </w:p>
        </w:tc>
        <w:tc>
          <w:tcPr>
            <w:tcW w:w="660" w:type="dxa"/>
            <w:vAlign w:val="bottom"/>
          </w:tcPr>
          <w:p>
            <w:pPr>
              <w:spacing w:after="0"/>
              <w:rPr>
                <w:sz w:val="24"/>
                <w:szCs w:val="24"/>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Proposal 3</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0"/>
        </w:trPr>
        <w:tc>
          <w:tcPr>
            <w:tcW w:w="7880" w:type="dxa"/>
            <w:vAlign w:val="bottom"/>
            <w:vMerge w:val="continue"/>
          </w:tcPr>
          <w:p>
            <w:pPr>
              <w:spacing w:after="0"/>
              <w:rPr>
                <w:sz w:val="7"/>
                <w:szCs w:val="7"/>
                <w:color w:val="auto"/>
              </w:rPr>
            </w:pPr>
          </w:p>
        </w:tc>
        <w:tc>
          <w:tcPr>
            <w:tcW w:w="660" w:type="dxa"/>
            <w:vAlign w:val="bottom"/>
          </w:tcPr>
          <w:p>
            <w:pPr>
              <w:spacing w:after="0"/>
              <w:rPr>
                <w:sz w:val="7"/>
                <w:szCs w:val="7"/>
                <w:color w:val="auto"/>
              </w:rPr>
            </w:pPr>
          </w:p>
        </w:tc>
        <w:tc>
          <w:tcPr>
            <w:tcW w:w="1280" w:type="dxa"/>
            <w:vAlign w:val="bottom"/>
          </w:tcPr>
          <w:p>
            <w:pPr>
              <w:spacing w:after="0"/>
              <w:rPr>
                <w:sz w:val="7"/>
                <w:szCs w:val="7"/>
                <w:color w:val="auto"/>
              </w:rPr>
            </w:pPr>
          </w:p>
        </w:tc>
        <w:tc>
          <w:tcPr>
            <w:tcW w:w="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9"/>
        </w:trPr>
        <w:tc>
          <w:tcPr>
            <w:tcW w:w="7880" w:type="dxa"/>
            <w:vAlign w:val="bottom"/>
          </w:tcPr>
          <w:p>
            <w:pPr>
              <w:spacing w:after="0"/>
              <w:rPr>
                <w:sz w:val="20"/>
                <w:szCs w:val="20"/>
                <w:color w:val="auto"/>
              </w:rPr>
            </w:pPr>
            <w:r>
              <w:rPr>
                <w:rFonts w:ascii="Arial" w:cs="Arial" w:eastAsia="Arial" w:hAnsi="Arial"/>
                <w:sz w:val="15"/>
                <w:szCs w:val="15"/>
                <w:color w:val="auto"/>
              </w:rPr>
              <w:t>amortization, and amortization of other intangibles. We present EBITDA because we believe it can be a useful</w:t>
            </w:r>
          </w:p>
        </w:tc>
        <w:tc>
          <w:tcPr>
            <w:tcW w:w="660" w:type="dxa"/>
            <w:vAlign w:val="bottom"/>
          </w:tcPr>
          <w:p>
            <w:pPr>
              <w:spacing w:after="0"/>
              <w:rPr>
                <w:sz w:val="15"/>
                <w:szCs w:val="15"/>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Proposal 4</w:t>
            </w: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7880" w:type="dxa"/>
            <w:vAlign w:val="bottom"/>
          </w:tcPr>
          <w:p>
            <w:pPr>
              <w:spacing w:after="0"/>
              <w:rPr>
                <w:sz w:val="20"/>
                <w:szCs w:val="20"/>
                <w:color w:val="auto"/>
              </w:rPr>
            </w:pPr>
            <w:r>
              <w:rPr>
                <w:rFonts w:ascii="Arial" w:cs="Arial" w:eastAsia="Arial" w:hAnsi="Arial"/>
                <w:sz w:val="15"/>
                <w:szCs w:val="15"/>
                <w:color w:val="auto"/>
              </w:rPr>
              <w:t>financial metric in understanding the Company’s earnings from operations. EBITDA is not a measure of the</w:t>
            </w:r>
          </w:p>
        </w:tc>
        <w:tc>
          <w:tcPr>
            <w:tcW w:w="660" w:type="dxa"/>
            <w:vAlign w:val="bottom"/>
          </w:tcPr>
          <w:p>
            <w:pPr>
              <w:spacing w:after="0"/>
              <w:rPr>
                <w:sz w:val="15"/>
                <w:szCs w:val="15"/>
                <w:color w:val="auto"/>
              </w:rPr>
            </w:pPr>
          </w:p>
        </w:tc>
        <w:tc>
          <w:tcPr>
            <w:tcW w:w="1280" w:type="dxa"/>
            <w:vAlign w:val="bottom"/>
            <w:vMerge w:val="restart"/>
          </w:tcPr>
          <w:p>
            <w:pPr>
              <w:ind w:left="140"/>
              <w:spacing w:after="0"/>
              <w:rPr>
                <w:sz w:val="20"/>
                <w:szCs w:val="20"/>
                <w:color w:val="auto"/>
              </w:rPr>
            </w:pPr>
            <w:r>
              <w:rPr>
                <w:rFonts w:ascii="Arial" w:cs="Arial" w:eastAsia="Arial" w:hAnsi="Arial"/>
                <w:sz w:val="12"/>
                <w:szCs w:val="12"/>
                <w:color w:val="FFFFFF"/>
              </w:rPr>
              <w:t>Proposal 5</w:t>
            </w: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7880" w:type="dxa"/>
            <w:vAlign w:val="bottom"/>
          </w:tcPr>
          <w:p>
            <w:pPr>
              <w:spacing w:after="0"/>
              <w:rPr>
                <w:sz w:val="20"/>
                <w:szCs w:val="20"/>
                <w:color w:val="auto"/>
              </w:rPr>
            </w:pPr>
            <w:r>
              <w:rPr>
                <w:rFonts w:ascii="Arial" w:cs="Arial" w:eastAsia="Arial" w:hAnsi="Arial"/>
                <w:sz w:val="15"/>
                <w:szCs w:val="15"/>
                <w:color w:val="auto"/>
              </w:rPr>
              <w:t>Company’s financial performance under GAAP and should not be considered as an alternative to net income or any</w:t>
            </w:r>
          </w:p>
        </w:tc>
        <w:tc>
          <w:tcPr>
            <w:tcW w:w="660" w:type="dxa"/>
            <w:vAlign w:val="bottom"/>
          </w:tcPr>
          <w:p>
            <w:pPr>
              <w:spacing w:after="0"/>
              <w:rPr>
                <w:sz w:val="15"/>
                <w:szCs w:val="15"/>
                <w:color w:val="auto"/>
              </w:rPr>
            </w:pPr>
          </w:p>
        </w:tc>
        <w:tc>
          <w:tcPr>
            <w:tcW w:w="1280" w:type="dxa"/>
            <w:vAlign w:val="bottom"/>
            <w:vMerge w:val="continue"/>
          </w:tcPr>
          <w:p>
            <w:pPr>
              <w:spacing w:after="0"/>
              <w:rPr>
                <w:sz w:val="15"/>
                <w:szCs w:val="15"/>
                <w:color w:val="auto"/>
              </w:rPr>
            </w:pP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7880" w:type="dxa"/>
            <w:vAlign w:val="bottom"/>
          </w:tcPr>
          <w:p>
            <w:pPr>
              <w:spacing w:after="0"/>
              <w:rPr>
                <w:sz w:val="20"/>
                <w:szCs w:val="20"/>
                <w:color w:val="auto"/>
              </w:rPr>
            </w:pPr>
            <w:r>
              <w:rPr>
                <w:rFonts w:ascii="Arial" w:cs="Arial" w:eastAsia="Arial" w:hAnsi="Arial"/>
                <w:sz w:val="15"/>
                <w:szCs w:val="15"/>
                <w:color w:val="auto"/>
              </w:rPr>
              <w:t>other performance measure derived in accordance with GAAP. Set forth below is a reconciliation of the Company’s</w:t>
            </w:r>
          </w:p>
        </w:tc>
        <w:tc>
          <w:tcPr>
            <w:tcW w:w="660" w:type="dxa"/>
            <w:vAlign w:val="bottom"/>
          </w:tcPr>
          <w:p>
            <w:pPr>
              <w:spacing w:after="0"/>
              <w:rPr>
                <w:sz w:val="15"/>
                <w:szCs w:val="15"/>
                <w:color w:val="auto"/>
              </w:rPr>
            </w:pPr>
          </w:p>
        </w:tc>
        <w:tc>
          <w:tcPr>
            <w:tcW w:w="1280" w:type="dxa"/>
            <w:vAlign w:val="bottom"/>
            <w:vMerge w:val="restart"/>
          </w:tcPr>
          <w:p>
            <w:pPr>
              <w:ind w:left="140"/>
              <w:spacing w:after="0"/>
              <w:rPr>
                <w:sz w:val="20"/>
                <w:szCs w:val="20"/>
                <w:color w:val="auto"/>
              </w:rPr>
            </w:pPr>
            <w:r>
              <w:rPr>
                <w:rFonts w:ascii="Arial" w:cs="Arial" w:eastAsia="Arial" w:hAnsi="Arial"/>
                <w:sz w:val="12"/>
                <w:szCs w:val="12"/>
                <w:color w:val="FFFFFF"/>
              </w:rPr>
              <w:t>Proposal 6</w:t>
            </w: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6"/>
        </w:trPr>
        <w:tc>
          <w:tcPr>
            <w:tcW w:w="7880" w:type="dxa"/>
            <w:vAlign w:val="bottom"/>
            <w:vMerge w:val="restart"/>
          </w:tcPr>
          <w:p>
            <w:pPr>
              <w:spacing w:after="0"/>
              <w:rPr>
                <w:sz w:val="20"/>
                <w:szCs w:val="20"/>
                <w:color w:val="auto"/>
              </w:rPr>
            </w:pPr>
            <w:r>
              <w:rPr>
                <w:rFonts w:ascii="Arial" w:cs="Arial" w:eastAsia="Arial" w:hAnsi="Arial"/>
                <w:sz w:val="15"/>
                <w:szCs w:val="15"/>
                <w:color w:val="auto"/>
              </w:rPr>
              <w:t>net income to EBITDA for the years ended December 31, 2025, 2024 and 2023.</w:t>
            </w:r>
          </w:p>
        </w:tc>
        <w:tc>
          <w:tcPr>
            <w:tcW w:w="66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5"/>
        </w:trPr>
        <w:tc>
          <w:tcPr>
            <w:tcW w:w="7880" w:type="dxa"/>
            <w:vAlign w:val="bottom"/>
            <w:vMerge w:val="continue"/>
          </w:tcPr>
          <w:p>
            <w:pPr>
              <w:spacing w:after="0"/>
              <w:rPr>
                <w:sz w:val="10"/>
                <w:szCs w:val="10"/>
                <w:color w:val="auto"/>
              </w:rPr>
            </w:pPr>
          </w:p>
        </w:tc>
        <w:tc>
          <w:tcPr>
            <w:tcW w:w="66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1" w:lineRule="exact"/>
        <w:rPr>
          <w:sz w:val="20"/>
          <w:szCs w:val="20"/>
          <w:color w:val="auto"/>
        </w:rPr>
      </w:pPr>
    </w:p>
    <w:p>
      <w:pPr>
        <w:sectPr>
          <w:pgSz w:w="11900" w:h="16838" w:orient="portrait"/>
          <w:cols w:equalWidth="0" w:num="1">
            <w:col w:w="10800"/>
          </w:cols>
          <w:pgMar w:left="320" w:top="464" w:right="779" w:bottom="1440" w:gutter="0" w:footer="0" w:header="0"/>
        </w:sectPr>
      </w:pPr>
    </w:p>
    <w:p>
      <w:pPr>
        <w:spacing w:after="0" w:line="161" w:lineRule="exact"/>
        <w:rPr>
          <w:sz w:val="20"/>
          <w:szCs w:val="20"/>
          <w:color w:val="auto"/>
        </w:rPr>
      </w:pPr>
    </w:p>
    <w:p>
      <w:pPr>
        <w:ind w:left="540"/>
        <w:spacing w:after="0"/>
        <w:rPr>
          <w:sz w:val="20"/>
          <w:szCs w:val="20"/>
          <w:color w:val="auto"/>
        </w:rPr>
      </w:pPr>
      <w:r>
        <w:rPr>
          <w:rFonts w:ascii="Arial" w:cs="Arial" w:eastAsia="Arial" w:hAnsi="Arial"/>
          <w:sz w:val="24"/>
          <w:szCs w:val="24"/>
          <w:color w:val="B95827"/>
        </w:rPr>
        <w:t>Adjusted EBITDA</w:t>
      </w:r>
    </w:p>
    <w:p>
      <w:pPr>
        <w:spacing w:after="0" w:line="117" w:lineRule="exact"/>
        <w:rPr>
          <w:sz w:val="20"/>
          <w:szCs w:val="20"/>
          <w:color w:val="auto"/>
        </w:rPr>
      </w:pPr>
    </w:p>
    <w:p>
      <w:pPr>
        <w:ind w:left="540" w:right="260"/>
        <w:spacing w:after="0" w:line="287" w:lineRule="auto"/>
        <w:rPr>
          <w:sz w:val="20"/>
          <w:szCs w:val="20"/>
          <w:color w:val="auto"/>
        </w:rPr>
      </w:pPr>
      <w:r>
        <w:rPr>
          <w:rFonts w:ascii="Arial" w:cs="Arial" w:eastAsia="Arial" w:hAnsi="Arial"/>
          <w:sz w:val="15"/>
          <w:szCs w:val="15"/>
          <w:color w:val="auto"/>
        </w:rPr>
        <w:t>Adjusted EBITDA is defined as EBITDA, a non-GAAP measure, plus certain regulatory charges, acquisition costs, amounts related to the departure of our former chief executive officer, and losses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FFFFFF"/>
        </w:rPr>
        <w:t>Stockholder</w:t>
      </w:r>
    </w:p>
    <w:p>
      <w:pPr>
        <w:spacing w:after="0" w:line="2" w:lineRule="exact"/>
        <w:rPr>
          <w:sz w:val="20"/>
          <w:szCs w:val="20"/>
          <w:color w:val="auto"/>
        </w:rPr>
      </w:pPr>
    </w:p>
    <w:p>
      <w:pPr>
        <w:spacing w:after="0"/>
        <w:rPr>
          <w:sz w:val="20"/>
          <w:szCs w:val="20"/>
          <w:color w:val="auto"/>
        </w:rPr>
      </w:pPr>
      <w:r>
        <w:rPr>
          <w:rFonts w:ascii="Arial" w:cs="Arial" w:eastAsia="Arial" w:hAnsi="Arial"/>
          <w:sz w:val="11"/>
          <w:szCs w:val="11"/>
          <w:color w:val="FFFFFF"/>
        </w:rPr>
        <w:t>Proposals and</w:t>
      </w:r>
    </w:p>
    <w:p>
      <w:pPr>
        <w:spacing w:after="0" w:line="1" w:lineRule="exact"/>
        <w:rPr>
          <w:sz w:val="20"/>
          <w:szCs w:val="20"/>
          <w:color w:val="auto"/>
        </w:rPr>
      </w:pPr>
    </w:p>
    <w:p>
      <w:pPr>
        <w:spacing w:after="0"/>
        <w:rPr>
          <w:sz w:val="20"/>
          <w:szCs w:val="20"/>
          <w:color w:val="auto"/>
        </w:rPr>
      </w:pPr>
      <w:r>
        <w:rPr>
          <w:rFonts w:ascii="Arial" w:cs="Arial" w:eastAsia="Arial" w:hAnsi="Arial"/>
          <w:sz w:val="12"/>
          <w:szCs w:val="12"/>
          <w:color w:val="FFFFFF"/>
        </w:rPr>
        <w:t>Other Matters</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Delinquent</w:t>
      </w:r>
    </w:p>
    <w:p>
      <w:pPr>
        <w:spacing w:after="0" w:line="224" w:lineRule="auto"/>
        <w:rPr>
          <w:sz w:val="20"/>
          <w:szCs w:val="20"/>
          <w:color w:val="auto"/>
        </w:rPr>
      </w:pPr>
      <w:r>
        <w:rPr>
          <w:rFonts w:ascii="Arial" w:cs="Arial" w:eastAsia="Arial" w:hAnsi="Arial"/>
          <w:sz w:val="12"/>
          <w:szCs w:val="12"/>
          <w:color w:val="FFFFFF"/>
        </w:rPr>
        <w:t>Section 16(a)</w:t>
      </w:r>
    </w:p>
    <w:p>
      <w:pPr>
        <w:spacing w:after="0"/>
        <w:rPr>
          <w:sz w:val="20"/>
          <w:szCs w:val="20"/>
          <w:color w:val="auto"/>
        </w:rPr>
      </w:pPr>
      <w:r>
        <w:rPr>
          <w:rFonts w:ascii="Arial" w:cs="Arial" w:eastAsia="Arial" w:hAnsi="Arial"/>
          <w:sz w:val="12"/>
          <w:szCs w:val="12"/>
          <w:color w:val="FFFFFF"/>
        </w:rPr>
        <w:t>Reports</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Other</w:t>
      </w:r>
    </w:p>
    <w:p>
      <w:pPr>
        <w:spacing w:after="0" w:line="2" w:lineRule="exact"/>
        <w:rPr>
          <w:sz w:val="20"/>
          <w:szCs w:val="20"/>
          <w:color w:val="auto"/>
        </w:rPr>
      </w:pPr>
    </w:p>
    <w:p>
      <w:pPr>
        <w:spacing w:after="0"/>
        <w:rPr>
          <w:sz w:val="20"/>
          <w:szCs w:val="20"/>
          <w:color w:val="auto"/>
        </w:rPr>
      </w:pPr>
      <w:r>
        <w:rPr>
          <w:rFonts w:ascii="Arial" w:cs="Arial" w:eastAsia="Arial" w:hAnsi="Arial"/>
          <w:sz w:val="12"/>
          <w:szCs w:val="12"/>
          <w:color w:val="FFFFFF"/>
        </w:rPr>
        <w:t>Information</w:t>
      </w:r>
    </w:p>
    <w:p>
      <w:pPr>
        <w:spacing w:after="0" w:line="141" w:lineRule="exact"/>
        <w:rPr>
          <w:sz w:val="20"/>
          <w:szCs w:val="20"/>
          <w:color w:val="auto"/>
        </w:rPr>
      </w:pPr>
    </w:p>
    <w:p>
      <w:pPr>
        <w:sectPr>
          <w:pgSz w:w="11900" w:h="16838" w:orient="portrait"/>
          <w:cols w:equalWidth="0" w:num="2">
            <w:col w:w="8500" w:space="720"/>
            <w:col w:w="1580"/>
          </w:cols>
          <w:pgMar w:left="320" w:top="464" w:right="779" w:bottom="1440" w:gutter="0" w:footer="0" w:header="0"/>
          <w:type w:val="continuous"/>
        </w:sectPr>
      </w:pPr>
    </w:p>
    <w:p>
      <w:pPr>
        <w:ind w:left="9080"/>
        <w:spacing w:after="0"/>
        <w:rPr>
          <w:sz w:val="20"/>
          <w:szCs w:val="20"/>
          <w:color w:val="auto"/>
        </w:rPr>
      </w:pPr>
      <w:r>
        <w:rPr>
          <w:sz w:val="1"/>
          <w:szCs w:val="1"/>
          <w:color w:val="auto"/>
        </w:rPr>
        <w:drawing>
          <wp:inline distT="0" distB="0" distL="0" distR="0">
            <wp:extent cx="56515" cy="88900"/>
            <wp:effectExtent l="0" t="0" r="0" b="0"/>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56515" cy="88900"/>
                    </a:xfrm>
                    <a:prstGeom prst="rect">
                      <a:avLst/>
                    </a:prstGeom>
                    <a:noFill/>
                    <a:ln>
                      <a:noFill/>
                    </a:ln>
                  </pic:spPr>
                </pic:pic>
              </a:graphicData>
            </a:graphic>
          </wp:inline>
        </w:drawing>
      </w:r>
      <w:r>
        <w:rPr>
          <w:rFonts w:ascii="Arial" w:cs="Arial" w:eastAsia="Arial" w:hAnsi="Arial"/>
          <w:sz w:val="12"/>
          <w:szCs w:val="12"/>
          <w:b w:val="1"/>
          <w:bCs w:val="1"/>
          <w:color w:val="FFFFFF"/>
        </w:rPr>
        <w:t xml:space="preserve"> Appendix A</w:t>
      </w:r>
    </w:p>
    <w:p>
      <w:pPr>
        <w:spacing w:after="0" w:line="130" w:lineRule="exact"/>
        <w:rPr>
          <w:sz w:val="20"/>
          <w:szCs w:val="20"/>
          <w:color w:val="auto"/>
        </w:rPr>
      </w:pPr>
    </w:p>
    <w:p>
      <w:pPr>
        <w:ind w:left="9220"/>
        <w:spacing w:after="0"/>
        <w:rPr>
          <w:sz w:val="20"/>
          <w:szCs w:val="20"/>
          <w:color w:val="auto"/>
        </w:rPr>
      </w:pPr>
      <w:r>
        <w:rPr>
          <w:rFonts w:ascii="Arial" w:cs="Arial" w:eastAsia="Arial" w:hAnsi="Arial"/>
          <w:sz w:val="12"/>
          <w:szCs w:val="12"/>
          <w:color w:val="FFFFFF"/>
        </w:rPr>
        <w:t>Appendix 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6380"/>
        <w:spacing w:after="0"/>
        <w:tabs>
          <w:tab w:leader="none" w:pos="8500" w:val="left"/>
          <w:tab w:leader="none" w:pos="9960" w:val="left"/>
        </w:tabs>
        <w:rPr>
          <w:sz w:val="20"/>
          <w:szCs w:val="20"/>
          <w:color w:val="auto"/>
        </w:rPr>
      </w:pPr>
      <w:r>
        <w:rPr>
          <w:rFonts w:ascii="Arial" w:cs="Arial" w:eastAsia="Arial" w:hAnsi="Arial"/>
          <w:sz w:val="15"/>
          <w:szCs w:val="15"/>
          <w:b w:val="1"/>
          <w:bCs w:val="1"/>
          <w:color w:val="002B5F"/>
        </w:rPr>
        <w:t xml:space="preserve">2026 Proxy Statement  </w:t>
      </w:r>
      <w:r>
        <w:rPr>
          <w:rFonts w:ascii="Arial" w:cs="Arial" w:eastAsia="Arial" w:hAnsi="Arial"/>
          <w:sz w:val="20"/>
          <w:szCs w:val="20"/>
          <w:color w:val="002B5F"/>
        </w:rPr>
        <w:t>|</w:t>
      </w:r>
      <w:r>
        <w:rPr>
          <w:rFonts w:ascii="Arial" w:cs="Arial" w:eastAsia="Arial" w:hAnsi="Arial"/>
          <w:sz w:val="15"/>
          <w:szCs w:val="15"/>
          <w:b w:val="1"/>
          <w:bCs w:val="1"/>
          <w:color w:val="002B5F"/>
        </w:rPr>
        <w:t xml:space="preserve">  97</w:t>
      </w:r>
      <w:r>
        <w:rPr>
          <w:sz w:val="20"/>
          <w:szCs w:val="20"/>
          <w:color w:val="auto"/>
        </w:rPr>
        <w:tab/>
      </w:r>
      <w:r>
        <w:rPr>
          <w:rFonts w:ascii="Arial" w:cs="Arial" w:eastAsia="Arial" w:hAnsi="Arial"/>
          <w:sz w:val="17"/>
          <w:szCs w:val="17"/>
          <w:color w:val="auto"/>
        </w:rPr>
        <w:t xml:space="preserve">    </w:t>
      </w:r>
      <w:r>
        <w:rPr>
          <w:sz w:val="20"/>
          <w:szCs w:val="20"/>
          <w:color w:val="auto"/>
        </w:rPr>
        <w:tab/>
      </w:r>
      <w:r>
        <w:rPr>
          <w:rFonts w:ascii="Arial" w:cs="Arial" w:eastAsia="Arial" w:hAnsi="Arial"/>
          <w:sz w:val="17"/>
          <w:szCs w:val="17"/>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268605</wp:posOffset>
            </wp:positionH>
            <wp:positionV relativeFrom="paragraph">
              <wp:posOffset>-128905</wp:posOffset>
            </wp:positionV>
            <wp:extent cx="762000" cy="971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62000" cy="97155"/>
                    </a:xfrm>
                    <a:prstGeom prst="rect">
                      <a:avLst/>
                    </a:prstGeom>
                    <a:noFill/>
                  </pic:spPr>
                </pic:pic>
              </a:graphicData>
            </a:graphic>
          </wp:anchor>
        </w:drawing>
      </w:r>
    </w:p>
    <w:p>
      <w:pPr>
        <w:sectPr>
          <w:pgSz w:w="11900" w:h="16838" w:orient="portrait"/>
          <w:cols w:equalWidth="0" w:num="1">
            <w:col w:w="10800"/>
          </w:cols>
          <w:pgMar w:left="320" w:top="464" w:right="779" w:bottom="1440" w:gutter="0" w:footer="0" w:header="0"/>
          <w:type w:val="continuous"/>
        </w:sectPr>
      </w:pPr>
    </w:p>
    <w:bookmarkStart w:id="105" w:name="page106"/>
    <w:bookmarkEnd w:id="105"/>
    <w:p>
      <w:pPr>
        <w:spacing w:after="0"/>
        <w:rPr>
          <w:sz w:val="20"/>
          <w:szCs w:val="20"/>
          <w:color w:val="auto"/>
        </w:rPr>
      </w:pPr>
      <w:r>
        <w:rPr>
          <w:rFonts w:ascii="Times New Roman" w:cs="Times New Roman" w:eastAsia="Times New Roman" w:hAnsi="Times New Roman"/>
          <w:sz w:val="17"/>
          <w:szCs w:val="17"/>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268605</wp:posOffset>
            </wp:positionH>
            <wp:positionV relativeFrom="paragraph">
              <wp:posOffset>253365</wp:posOffset>
            </wp:positionV>
            <wp:extent cx="1183005" cy="768286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1183005" cy="7682865"/>
                    </a:xfrm>
                    <a:prstGeom prst="rect">
                      <a:avLst/>
                    </a:prstGeom>
                    <a:noFill/>
                  </pic:spPr>
                </pic:pic>
              </a:graphicData>
            </a:graphic>
          </wp:anchor>
        </w:drawing>
      </w:r>
    </w:p>
    <w:p>
      <w:pPr>
        <w:spacing w:after="0" w:line="200" w:lineRule="exact"/>
        <w:rPr>
          <w:sz w:val="20"/>
          <w:szCs w:val="20"/>
          <w:color w:val="auto"/>
        </w:rPr>
      </w:pPr>
    </w:p>
    <w:p>
      <w:pPr>
        <w:spacing w:after="0" w:line="304" w:lineRule="exact"/>
        <w:rPr>
          <w:sz w:val="20"/>
          <w:szCs w:val="20"/>
          <w:color w:val="auto"/>
        </w:rPr>
      </w:pPr>
    </w:p>
    <w:p>
      <w:pPr>
        <w:ind w:left="1120" w:right="460" w:hanging="672"/>
        <w:spacing w:after="0" w:line="382" w:lineRule="auto"/>
        <w:tabs>
          <w:tab w:leader="none" w:pos="610" w:val="left"/>
        </w:tabs>
        <w:numPr>
          <w:ilvl w:val="0"/>
          <w:numId w:val="139"/>
        </w:numPr>
        <w:rPr>
          <w:rFonts w:ascii="Arial" w:cs="Arial" w:eastAsia="Arial" w:hAnsi="Arial"/>
          <w:sz w:val="24"/>
          <w:szCs w:val="24"/>
          <w:color w:val="auto"/>
          <w:vertAlign w:val="subscript"/>
        </w:rPr>
      </w:pPr>
      <w:r>
        <w:rPr>
          <w:rFonts w:ascii="Arial" w:cs="Arial" w:eastAsia="Arial" w:hAnsi="Arial"/>
          <w:sz w:val="24"/>
          <w:szCs w:val="24"/>
          <w:color w:val="000000"/>
          <w:vertAlign w:val="subscript"/>
        </w:rPr>
        <w:t xml:space="preserve">     </w:t>
      </w:r>
      <w:r>
        <w:rPr>
          <w:rFonts w:ascii="Arial" w:cs="Arial" w:eastAsia="Arial" w:hAnsi="Arial"/>
          <w:sz w:val="10"/>
          <w:szCs w:val="10"/>
          <w:color w:val="FFFFFF"/>
        </w:rPr>
        <w:t xml:space="preserve"> General Information</w:t>
      </w:r>
    </w:p>
    <w:p>
      <w:pPr>
        <w:spacing w:after="0" w:line="1" w:lineRule="exact"/>
        <w:rPr>
          <w:sz w:val="20"/>
          <w:szCs w:val="20"/>
          <w:color w:val="auto"/>
        </w:rPr>
      </w:pPr>
    </w:p>
    <w:p>
      <w:pPr>
        <w:ind w:left="1120"/>
        <w:spacing w:after="0"/>
        <w:rPr>
          <w:sz w:val="20"/>
          <w:szCs w:val="20"/>
          <w:color w:val="auto"/>
        </w:rPr>
      </w:pPr>
      <w:r>
        <w:rPr>
          <w:rFonts w:ascii="Arial" w:cs="Arial" w:eastAsia="Arial" w:hAnsi="Arial"/>
          <w:sz w:val="11"/>
          <w:szCs w:val="11"/>
          <w:color w:val="FFFFFF"/>
        </w:rPr>
        <w:t>General Information</w:t>
      </w:r>
    </w:p>
    <w:p>
      <w:pPr>
        <w:spacing w:after="0" w:line="3"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About Corporate</w:t>
      </w:r>
    </w:p>
    <w:p>
      <w:pPr>
        <w:ind w:left="1120"/>
        <w:spacing w:after="0" w:line="221" w:lineRule="auto"/>
        <w:rPr>
          <w:sz w:val="20"/>
          <w:szCs w:val="20"/>
          <w:color w:val="auto"/>
        </w:rPr>
      </w:pPr>
      <w:r>
        <w:rPr>
          <w:rFonts w:ascii="Arial" w:cs="Arial" w:eastAsia="Arial" w:hAnsi="Arial"/>
          <w:sz w:val="12"/>
          <w:szCs w:val="12"/>
          <w:color w:val="FFFFFF"/>
        </w:rPr>
        <w:t>Governance</w:t>
      </w:r>
    </w:p>
    <w:p>
      <w:pPr>
        <w:ind w:left="1120"/>
        <w:spacing w:after="0" w:line="222" w:lineRule="auto"/>
        <w:rPr>
          <w:sz w:val="20"/>
          <w:szCs w:val="20"/>
          <w:color w:val="auto"/>
        </w:rPr>
      </w:pPr>
      <w:r>
        <w:rPr>
          <w:rFonts w:ascii="Arial" w:cs="Arial" w:eastAsia="Arial" w:hAnsi="Arial"/>
          <w:sz w:val="12"/>
          <w:szCs w:val="12"/>
          <w:color w:val="FFFFFF"/>
        </w:rPr>
        <w:t>and the Board of</w:t>
      </w:r>
    </w:p>
    <w:p>
      <w:pPr>
        <w:spacing w:after="0" w:line="1"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Directors</w:t>
      </w:r>
    </w:p>
    <w:p>
      <w:pPr>
        <w:spacing w:after="0" w:line="169" w:lineRule="exact"/>
        <w:rPr>
          <w:sz w:val="20"/>
          <w:szCs w:val="20"/>
          <w:color w:val="auto"/>
        </w:rPr>
      </w:pPr>
    </w:p>
    <w:p>
      <w:pPr>
        <w:jc w:val="center"/>
        <w:ind w:left="620"/>
        <w:spacing w:after="0"/>
        <w:rPr>
          <w:sz w:val="20"/>
          <w:szCs w:val="20"/>
          <w:color w:val="auto"/>
        </w:rPr>
      </w:pPr>
      <w:r>
        <w:rPr>
          <w:rFonts w:ascii="Arial" w:cs="Arial" w:eastAsia="Arial" w:hAnsi="Arial"/>
          <w:sz w:val="12"/>
          <w:szCs w:val="12"/>
          <w:color w:val="FFFFFF"/>
        </w:rPr>
        <w:t>Proposal 1</w:t>
      </w:r>
    </w:p>
    <w:p>
      <w:pPr>
        <w:spacing w:after="0" w:line="181"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Information</w:t>
      </w:r>
    </w:p>
    <w:p>
      <w:pPr>
        <w:ind w:left="1120"/>
        <w:spacing w:after="0" w:line="224" w:lineRule="auto"/>
        <w:rPr>
          <w:sz w:val="20"/>
          <w:szCs w:val="20"/>
          <w:color w:val="auto"/>
        </w:rPr>
      </w:pPr>
      <w:r>
        <w:rPr>
          <w:rFonts w:ascii="Arial" w:cs="Arial" w:eastAsia="Arial" w:hAnsi="Arial"/>
          <w:sz w:val="12"/>
          <w:szCs w:val="12"/>
          <w:color w:val="FFFFFF"/>
        </w:rPr>
        <w:t>Regarding Board</w:t>
      </w:r>
    </w:p>
    <w:p>
      <w:pPr>
        <w:ind w:left="1120"/>
        <w:spacing w:after="0" w:line="222" w:lineRule="auto"/>
        <w:rPr>
          <w:sz w:val="20"/>
          <w:szCs w:val="20"/>
          <w:color w:val="auto"/>
        </w:rPr>
      </w:pPr>
      <w:r>
        <w:rPr>
          <w:rFonts w:ascii="Arial" w:cs="Arial" w:eastAsia="Arial" w:hAnsi="Arial"/>
          <w:sz w:val="12"/>
          <w:szCs w:val="12"/>
          <w:color w:val="FFFFFF"/>
        </w:rPr>
        <w:t>and Committee</w:t>
      </w:r>
    </w:p>
    <w:p>
      <w:pPr>
        <w:ind w:left="1120"/>
        <w:spacing w:after="0"/>
        <w:rPr>
          <w:sz w:val="20"/>
          <w:szCs w:val="20"/>
          <w:color w:val="auto"/>
        </w:rPr>
      </w:pPr>
      <w:r>
        <w:rPr>
          <w:rFonts w:ascii="Arial" w:cs="Arial" w:eastAsia="Arial" w:hAnsi="Arial"/>
          <w:sz w:val="12"/>
          <w:szCs w:val="12"/>
          <w:color w:val="FFFFFF"/>
        </w:rPr>
        <w:t>Structure</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Board of Directors</w:t>
      </w:r>
    </w:p>
    <w:p>
      <w:pPr>
        <w:spacing w:after="0" w:line="2"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Compensation</w:t>
      </w:r>
    </w:p>
    <w:p>
      <w:pPr>
        <w:spacing w:after="0" w:line="169"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Compensation</w:t>
      </w:r>
    </w:p>
    <w:p>
      <w:pPr>
        <w:ind w:left="1120"/>
        <w:spacing w:after="0" w:line="224" w:lineRule="auto"/>
        <w:rPr>
          <w:sz w:val="20"/>
          <w:szCs w:val="20"/>
          <w:color w:val="auto"/>
        </w:rPr>
      </w:pPr>
      <w:r>
        <w:rPr>
          <w:rFonts w:ascii="Arial" w:cs="Arial" w:eastAsia="Arial" w:hAnsi="Arial"/>
          <w:sz w:val="12"/>
          <w:szCs w:val="12"/>
          <w:color w:val="FFFFFF"/>
        </w:rPr>
        <w:t>Discussion and</w:t>
      </w:r>
    </w:p>
    <w:p>
      <w:pPr>
        <w:ind w:left="1120"/>
        <w:spacing w:after="0"/>
        <w:rPr>
          <w:sz w:val="20"/>
          <w:szCs w:val="20"/>
          <w:color w:val="auto"/>
        </w:rPr>
      </w:pPr>
      <w:r>
        <w:rPr>
          <w:rFonts w:ascii="Arial" w:cs="Arial" w:eastAsia="Arial" w:hAnsi="Arial"/>
          <w:sz w:val="12"/>
          <w:szCs w:val="12"/>
          <w:color w:val="FFFFFF"/>
        </w:rPr>
        <w:t>Analysis</w:t>
      </w:r>
    </w:p>
    <w:p>
      <w:pPr>
        <w:spacing w:after="0" w:line="169"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Report of the</w:t>
      </w:r>
    </w:p>
    <w:p>
      <w:pPr>
        <w:ind w:left="1120"/>
        <w:spacing w:after="0" w:line="224" w:lineRule="auto"/>
        <w:rPr>
          <w:sz w:val="20"/>
          <w:szCs w:val="20"/>
          <w:color w:val="auto"/>
        </w:rPr>
      </w:pPr>
      <w:r>
        <w:rPr>
          <w:rFonts w:ascii="Arial" w:cs="Arial" w:eastAsia="Arial" w:hAnsi="Arial"/>
          <w:sz w:val="12"/>
          <w:szCs w:val="12"/>
          <w:color w:val="FFFFFF"/>
        </w:rPr>
        <w:t>Compensation</w:t>
      </w:r>
    </w:p>
    <w:p>
      <w:pPr>
        <w:ind w:left="1120"/>
        <w:spacing w:after="0" w:line="222" w:lineRule="auto"/>
        <w:rPr>
          <w:sz w:val="20"/>
          <w:szCs w:val="20"/>
          <w:color w:val="auto"/>
        </w:rPr>
      </w:pPr>
      <w:r>
        <w:rPr>
          <w:rFonts w:ascii="Arial" w:cs="Arial" w:eastAsia="Arial" w:hAnsi="Arial"/>
          <w:sz w:val="12"/>
          <w:szCs w:val="12"/>
          <w:color w:val="FFFFFF"/>
        </w:rPr>
        <w:t>and Human</w:t>
      </w:r>
    </w:p>
    <w:p>
      <w:pPr>
        <w:ind w:left="1120"/>
        <w:spacing w:after="0" w:line="222" w:lineRule="auto"/>
        <w:rPr>
          <w:sz w:val="20"/>
          <w:szCs w:val="20"/>
          <w:color w:val="auto"/>
        </w:rPr>
      </w:pPr>
      <w:r>
        <w:rPr>
          <w:rFonts w:ascii="Arial" w:cs="Arial" w:eastAsia="Arial" w:hAnsi="Arial"/>
          <w:sz w:val="12"/>
          <w:szCs w:val="12"/>
          <w:color w:val="FFFFFF"/>
        </w:rPr>
        <w:t>Resources</w:t>
      </w:r>
    </w:p>
    <w:p>
      <w:pPr>
        <w:ind w:left="1120"/>
        <w:spacing w:after="0" w:line="222" w:lineRule="auto"/>
        <w:rPr>
          <w:sz w:val="20"/>
          <w:szCs w:val="20"/>
          <w:color w:val="auto"/>
        </w:rPr>
      </w:pPr>
      <w:r>
        <w:rPr>
          <w:rFonts w:ascii="Arial" w:cs="Arial" w:eastAsia="Arial" w:hAnsi="Arial"/>
          <w:sz w:val="12"/>
          <w:szCs w:val="12"/>
          <w:color w:val="FFFFFF"/>
        </w:rPr>
        <w:t>Committee of the</w:t>
      </w:r>
    </w:p>
    <w:p>
      <w:pPr>
        <w:ind w:left="1120"/>
        <w:spacing w:after="0"/>
        <w:rPr>
          <w:sz w:val="20"/>
          <w:szCs w:val="20"/>
          <w:color w:val="auto"/>
        </w:rPr>
      </w:pPr>
      <w:r>
        <w:rPr>
          <w:rFonts w:ascii="Arial" w:cs="Arial" w:eastAsia="Arial" w:hAnsi="Arial"/>
          <w:sz w:val="12"/>
          <w:szCs w:val="12"/>
          <w:color w:val="FFFFFF"/>
        </w:rPr>
        <w:t>Board of Directors</w:t>
      </w:r>
    </w:p>
    <w:p>
      <w:pPr>
        <w:spacing w:after="0" w:line="169"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Compensation of</w:t>
      </w:r>
    </w:p>
    <w:p>
      <w:pPr>
        <w:ind w:left="1120"/>
        <w:spacing w:after="0" w:line="224" w:lineRule="auto"/>
        <w:rPr>
          <w:sz w:val="20"/>
          <w:szCs w:val="20"/>
          <w:color w:val="auto"/>
        </w:rPr>
      </w:pPr>
      <w:r>
        <w:rPr>
          <w:rFonts w:ascii="Arial" w:cs="Arial" w:eastAsia="Arial" w:hAnsi="Arial"/>
          <w:sz w:val="12"/>
          <w:szCs w:val="12"/>
          <w:color w:val="FFFFFF"/>
        </w:rPr>
        <w:t>Named Executive</w:t>
      </w:r>
    </w:p>
    <w:p>
      <w:pPr>
        <w:ind w:left="1120"/>
        <w:spacing w:after="0"/>
        <w:rPr>
          <w:sz w:val="20"/>
          <w:szCs w:val="20"/>
          <w:color w:val="auto"/>
        </w:rPr>
      </w:pPr>
      <w:r>
        <w:rPr>
          <w:rFonts w:ascii="Arial" w:cs="Arial" w:eastAsia="Arial" w:hAnsi="Arial"/>
          <w:sz w:val="12"/>
          <w:szCs w:val="12"/>
          <w:color w:val="FFFFFF"/>
        </w:rPr>
        <w:t>Officers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Pay Versus</w:t>
      </w:r>
    </w:p>
    <w:p>
      <w:pPr>
        <w:ind w:left="1120"/>
        <w:spacing w:after="0" w:line="224" w:lineRule="auto"/>
        <w:rPr>
          <w:sz w:val="20"/>
          <w:szCs w:val="20"/>
          <w:color w:val="auto"/>
        </w:rPr>
      </w:pPr>
      <w:r>
        <w:rPr>
          <w:rFonts w:ascii="Arial" w:cs="Arial" w:eastAsia="Arial" w:hAnsi="Arial"/>
          <w:sz w:val="12"/>
          <w:szCs w:val="12"/>
          <w:color w:val="FFFFFF"/>
        </w:rPr>
        <w:t>Performance</w:t>
      </w:r>
    </w:p>
    <w:p>
      <w:pPr>
        <w:ind w:left="1120"/>
        <w:spacing w:after="0"/>
        <w:rPr>
          <w:sz w:val="20"/>
          <w:szCs w:val="20"/>
          <w:color w:val="auto"/>
        </w:rPr>
      </w:pPr>
      <w:r>
        <w:rPr>
          <w:rFonts w:ascii="Arial" w:cs="Arial" w:eastAsia="Arial" w:hAnsi="Arial"/>
          <w:sz w:val="12"/>
          <w:szCs w:val="12"/>
          <w:color w:val="FFFFFF"/>
        </w:rPr>
        <w:t>Disclosure</w:t>
      </w:r>
    </w:p>
    <w:p>
      <w:pPr>
        <w:spacing w:after="0" w:line="169"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Security</w:t>
      </w:r>
    </w:p>
    <w:p>
      <w:pPr>
        <w:ind w:left="1120"/>
        <w:spacing w:after="0" w:line="224" w:lineRule="auto"/>
        <w:rPr>
          <w:sz w:val="20"/>
          <w:szCs w:val="20"/>
          <w:color w:val="auto"/>
        </w:rPr>
      </w:pPr>
      <w:r>
        <w:rPr>
          <w:rFonts w:ascii="Arial" w:cs="Arial" w:eastAsia="Arial" w:hAnsi="Arial"/>
          <w:sz w:val="12"/>
          <w:szCs w:val="12"/>
          <w:color w:val="FFFFFF"/>
        </w:rPr>
        <w:t>Ownership of</w:t>
      </w:r>
    </w:p>
    <w:p>
      <w:pPr>
        <w:ind w:left="1120"/>
        <w:spacing w:after="0" w:line="222" w:lineRule="auto"/>
        <w:rPr>
          <w:sz w:val="20"/>
          <w:szCs w:val="20"/>
          <w:color w:val="auto"/>
        </w:rPr>
      </w:pPr>
      <w:r>
        <w:rPr>
          <w:rFonts w:ascii="Arial" w:cs="Arial" w:eastAsia="Arial" w:hAnsi="Arial"/>
          <w:sz w:val="12"/>
          <w:szCs w:val="12"/>
          <w:color w:val="FFFFFF"/>
        </w:rPr>
        <w:t>Certain Beneficial</w:t>
      </w:r>
    </w:p>
    <w:p>
      <w:pPr>
        <w:ind w:left="1120"/>
        <w:spacing w:after="0" w:line="222" w:lineRule="auto"/>
        <w:rPr>
          <w:sz w:val="20"/>
          <w:szCs w:val="20"/>
          <w:color w:val="auto"/>
        </w:rPr>
      </w:pPr>
      <w:r>
        <w:rPr>
          <w:rFonts w:ascii="Arial" w:cs="Arial" w:eastAsia="Arial" w:hAnsi="Arial"/>
          <w:sz w:val="12"/>
          <w:szCs w:val="12"/>
          <w:color w:val="FFFFFF"/>
        </w:rPr>
        <w:t>Owners and</w:t>
      </w:r>
    </w:p>
    <w:p>
      <w:pPr>
        <w:ind w:left="1120"/>
        <w:spacing w:after="0"/>
        <w:rPr>
          <w:sz w:val="20"/>
          <w:szCs w:val="20"/>
          <w:color w:val="auto"/>
        </w:rPr>
      </w:pPr>
      <w:r>
        <w:rPr>
          <w:rFonts w:ascii="Arial" w:cs="Arial" w:eastAsia="Arial" w:hAnsi="Arial"/>
          <w:sz w:val="12"/>
          <w:szCs w:val="12"/>
          <w:color w:val="FFFFFF"/>
        </w:rPr>
        <w:t>Management</w:t>
      </w:r>
    </w:p>
    <w:p>
      <w:pPr>
        <w:spacing w:after="0" w:line="169"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Certain</w:t>
      </w:r>
    </w:p>
    <w:p>
      <w:pPr>
        <w:ind w:left="1120"/>
        <w:spacing w:after="0" w:line="224" w:lineRule="auto"/>
        <w:rPr>
          <w:sz w:val="20"/>
          <w:szCs w:val="20"/>
          <w:color w:val="auto"/>
        </w:rPr>
      </w:pPr>
      <w:r>
        <w:rPr>
          <w:rFonts w:ascii="Arial" w:cs="Arial" w:eastAsia="Arial" w:hAnsi="Arial"/>
          <w:sz w:val="12"/>
          <w:szCs w:val="12"/>
          <w:color w:val="FFFFFF"/>
        </w:rPr>
        <w:t>Relationships and</w:t>
      </w:r>
    </w:p>
    <w:p>
      <w:pPr>
        <w:ind w:left="1120"/>
        <w:spacing w:after="0" w:line="222" w:lineRule="auto"/>
        <w:rPr>
          <w:sz w:val="20"/>
          <w:szCs w:val="20"/>
          <w:color w:val="auto"/>
        </w:rPr>
      </w:pPr>
      <w:r>
        <w:rPr>
          <w:rFonts w:ascii="Arial" w:cs="Arial" w:eastAsia="Arial" w:hAnsi="Arial"/>
          <w:sz w:val="12"/>
          <w:szCs w:val="12"/>
          <w:color w:val="FFFFFF"/>
        </w:rPr>
        <w:t>Related Party</w:t>
      </w:r>
    </w:p>
    <w:p>
      <w:pPr>
        <w:ind w:left="1120"/>
        <w:spacing w:after="0"/>
        <w:rPr>
          <w:sz w:val="20"/>
          <w:szCs w:val="20"/>
          <w:color w:val="auto"/>
        </w:rPr>
      </w:pPr>
      <w:r>
        <w:rPr>
          <w:rFonts w:ascii="Arial" w:cs="Arial" w:eastAsia="Arial" w:hAnsi="Arial"/>
          <w:sz w:val="12"/>
          <w:szCs w:val="12"/>
          <w:color w:val="FFFFFF"/>
        </w:rPr>
        <w:t>Transactions</w:t>
      </w:r>
    </w:p>
    <w:p>
      <w:pPr>
        <w:spacing w:after="0" w:line="169"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Proposal 2</w:t>
      </w:r>
    </w:p>
    <w:p>
      <w:pPr>
        <w:spacing w:after="0" w:line="156"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Report of the</w:t>
      </w:r>
    </w:p>
    <w:p>
      <w:pPr>
        <w:ind w:left="1120"/>
        <w:spacing w:after="0" w:line="224" w:lineRule="auto"/>
        <w:rPr>
          <w:sz w:val="20"/>
          <w:szCs w:val="20"/>
          <w:color w:val="auto"/>
        </w:rPr>
      </w:pPr>
      <w:r>
        <w:rPr>
          <w:rFonts w:ascii="Arial" w:cs="Arial" w:eastAsia="Arial" w:hAnsi="Arial"/>
          <w:sz w:val="12"/>
          <w:szCs w:val="12"/>
          <w:color w:val="FFFFFF"/>
        </w:rPr>
        <w:t>Audit and Risk</w:t>
      </w:r>
    </w:p>
    <w:p>
      <w:pPr>
        <w:ind w:left="1120"/>
        <w:spacing w:after="0" w:line="222" w:lineRule="auto"/>
        <w:rPr>
          <w:sz w:val="20"/>
          <w:szCs w:val="20"/>
          <w:color w:val="auto"/>
        </w:rPr>
      </w:pPr>
      <w:r>
        <w:rPr>
          <w:rFonts w:ascii="Arial" w:cs="Arial" w:eastAsia="Arial" w:hAnsi="Arial"/>
          <w:sz w:val="12"/>
          <w:szCs w:val="12"/>
          <w:color w:val="FFFFFF"/>
        </w:rPr>
        <w:t>Committee of the</w:t>
      </w:r>
    </w:p>
    <w:p>
      <w:pPr>
        <w:ind w:left="1120"/>
        <w:spacing w:after="0"/>
        <w:rPr>
          <w:sz w:val="20"/>
          <w:szCs w:val="20"/>
          <w:color w:val="auto"/>
        </w:rPr>
      </w:pPr>
      <w:r>
        <w:rPr>
          <w:rFonts w:ascii="Arial" w:cs="Arial" w:eastAsia="Arial" w:hAnsi="Arial"/>
          <w:sz w:val="12"/>
          <w:szCs w:val="12"/>
          <w:color w:val="FFFFFF"/>
        </w:rPr>
        <w:t>Board of Directors</w:t>
      </w:r>
    </w:p>
    <w:p>
      <w:pPr>
        <w:spacing w:after="0" w:line="169" w:lineRule="exact"/>
        <w:rPr>
          <w:sz w:val="20"/>
          <w:szCs w:val="20"/>
          <w:color w:val="auto"/>
        </w:rPr>
      </w:pPr>
    </w:p>
    <w:p>
      <w:pPr>
        <w:jc w:val="center"/>
        <w:ind w:left="620"/>
        <w:spacing w:after="0"/>
        <w:rPr>
          <w:sz w:val="20"/>
          <w:szCs w:val="20"/>
          <w:color w:val="auto"/>
        </w:rPr>
      </w:pPr>
      <w:r>
        <w:rPr>
          <w:rFonts w:ascii="Arial" w:cs="Arial" w:eastAsia="Arial" w:hAnsi="Arial"/>
          <w:sz w:val="12"/>
          <w:szCs w:val="12"/>
          <w:color w:val="FFFFFF"/>
        </w:rPr>
        <w:t>Proposal 3</w:t>
      </w:r>
    </w:p>
    <w:p>
      <w:pPr>
        <w:spacing w:after="0" w:line="156" w:lineRule="exact"/>
        <w:rPr>
          <w:sz w:val="20"/>
          <w:szCs w:val="20"/>
          <w:color w:val="auto"/>
        </w:rPr>
      </w:pPr>
    </w:p>
    <w:p>
      <w:pPr>
        <w:jc w:val="center"/>
        <w:ind w:left="620"/>
        <w:spacing w:after="0"/>
        <w:rPr>
          <w:sz w:val="20"/>
          <w:szCs w:val="20"/>
          <w:color w:val="auto"/>
        </w:rPr>
      </w:pPr>
      <w:r>
        <w:rPr>
          <w:rFonts w:ascii="Arial" w:cs="Arial" w:eastAsia="Arial" w:hAnsi="Arial"/>
          <w:sz w:val="12"/>
          <w:szCs w:val="12"/>
          <w:color w:val="FFFFFF"/>
        </w:rPr>
        <w:t>Proposal 4</w:t>
      </w:r>
    </w:p>
    <w:p>
      <w:pPr>
        <w:spacing w:after="0" w:line="181" w:lineRule="exact"/>
        <w:rPr>
          <w:sz w:val="20"/>
          <w:szCs w:val="20"/>
          <w:color w:val="auto"/>
        </w:rPr>
      </w:pPr>
    </w:p>
    <w:p>
      <w:pPr>
        <w:jc w:val="center"/>
        <w:ind w:left="620"/>
        <w:spacing w:after="0"/>
        <w:rPr>
          <w:sz w:val="20"/>
          <w:szCs w:val="20"/>
          <w:color w:val="auto"/>
        </w:rPr>
      </w:pPr>
      <w:r>
        <w:rPr>
          <w:rFonts w:ascii="Arial" w:cs="Arial" w:eastAsia="Arial" w:hAnsi="Arial"/>
          <w:sz w:val="12"/>
          <w:szCs w:val="12"/>
          <w:color w:val="FFFFFF"/>
        </w:rPr>
        <w:t>Proposal 5</w:t>
      </w:r>
    </w:p>
    <w:p>
      <w:pPr>
        <w:spacing w:after="0" w:line="156"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Proposal 6</w:t>
      </w:r>
    </w:p>
    <w:p>
      <w:pPr>
        <w:spacing w:after="0" w:line="181"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Stockholder</w:t>
      </w:r>
    </w:p>
    <w:p>
      <w:pPr>
        <w:ind w:left="1120"/>
        <w:spacing w:after="0" w:line="224" w:lineRule="auto"/>
        <w:rPr>
          <w:sz w:val="20"/>
          <w:szCs w:val="20"/>
          <w:color w:val="auto"/>
        </w:rPr>
      </w:pPr>
      <w:r>
        <w:rPr>
          <w:rFonts w:ascii="Arial" w:cs="Arial" w:eastAsia="Arial" w:hAnsi="Arial"/>
          <w:sz w:val="12"/>
          <w:szCs w:val="12"/>
          <w:color w:val="FFFFFF"/>
        </w:rPr>
        <w:t>Proposals and</w:t>
      </w:r>
    </w:p>
    <w:p>
      <w:pPr>
        <w:ind w:left="1120"/>
        <w:spacing w:after="0"/>
        <w:rPr>
          <w:sz w:val="20"/>
          <w:szCs w:val="20"/>
          <w:color w:val="auto"/>
        </w:rPr>
      </w:pPr>
      <w:r>
        <w:rPr>
          <w:rFonts w:ascii="Arial" w:cs="Arial" w:eastAsia="Arial" w:hAnsi="Arial"/>
          <w:sz w:val="12"/>
          <w:szCs w:val="12"/>
          <w:color w:val="FFFFFF"/>
        </w:rPr>
        <w:t>Other Matters</w:t>
      </w:r>
    </w:p>
    <w:p>
      <w:pPr>
        <w:spacing w:after="0" w:line="169"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Delinquent</w:t>
      </w:r>
    </w:p>
    <w:p>
      <w:pPr>
        <w:ind w:left="1120"/>
        <w:spacing w:after="0" w:line="224" w:lineRule="auto"/>
        <w:rPr>
          <w:sz w:val="20"/>
          <w:szCs w:val="20"/>
          <w:color w:val="auto"/>
        </w:rPr>
      </w:pPr>
      <w:r>
        <w:rPr>
          <w:rFonts w:ascii="Arial" w:cs="Arial" w:eastAsia="Arial" w:hAnsi="Arial"/>
          <w:sz w:val="12"/>
          <w:szCs w:val="12"/>
          <w:color w:val="FFFFFF"/>
        </w:rPr>
        <w:t>Section 16(a)</w:t>
      </w:r>
    </w:p>
    <w:p>
      <w:pPr>
        <w:ind w:left="1120"/>
        <w:spacing w:after="0"/>
        <w:rPr>
          <w:sz w:val="20"/>
          <w:szCs w:val="20"/>
          <w:color w:val="auto"/>
        </w:rPr>
      </w:pPr>
      <w:r>
        <w:rPr>
          <w:rFonts w:ascii="Arial" w:cs="Arial" w:eastAsia="Arial" w:hAnsi="Arial"/>
          <w:sz w:val="12"/>
          <w:szCs w:val="12"/>
          <w:color w:val="FFFFFF"/>
        </w:rPr>
        <w:t>Reports</w:t>
      </w:r>
    </w:p>
    <w:p>
      <w:pPr>
        <w:spacing w:after="0" w:line="169"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Other</w:t>
      </w:r>
    </w:p>
    <w:p>
      <w:pPr>
        <w:spacing w:after="0" w:line="2"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Information</w:t>
      </w:r>
    </w:p>
    <w:p>
      <w:pPr>
        <w:spacing w:after="0" w:line="141" w:lineRule="exact"/>
        <w:rPr>
          <w:sz w:val="20"/>
          <w:szCs w:val="20"/>
          <w:color w:val="auto"/>
        </w:rPr>
      </w:pPr>
    </w:p>
    <w:p>
      <w:pPr>
        <w:jc w:val="center"/>
        <w:ind w:left="600"/>
        <w:spacing w:after="0"/>
        <w:rPr>
          <w:sz w:val="20"/>
          <w:szCs w:val="20"/>
          <w:color w:val="auto"/>
        </w:rPr>
      </w:pPr>
      <w:r>
        <w:rPr>
          <w:sz w:val="1"/>
          <w:szCs w:val="1"/>
          <w:color w:val="auto"/>
        </w:rPr>
        <w:drawing>
          <wp:inline distT="0" distB="0" distL="0" distR="0">
            <wp:extent cx="56515" cy="88900"/>
            <wp:effectExtent l="0" t="0" r="0" b="0"/>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56515" cy="88900"/>
                    </a:xfrm>
                    <a:prstGeom prst="rect">
                      <a:avLst/>
                    </a:prstGeom>
                    <a:noFill/>
                    <a:ln>
                      <a:noFill/>
                    </a:ln>
                  </pic:spPr>
                </pic:pic>
              </a:graphicData>
            </a:graphic>
          </wp:inline>
        </w:drawing>
      </w:r>
      <w:r>
        <w:rPr>
          <w:rFonts w:ascii="Arial" w:cs="Arial" w:eastAsia="Arial" w:hAnsi="Arial"/>
          <w:sz w:val="12"/>
          <w:szCs w:val="12"/>
          <w:b w:val="1"/>
          <w:bCs w:val="1"/>
          <w:color w:val="FFFFFF"/>
        </w:rPr>
        <w:t xml:space="preserve"> Appendix A</w:t>
      </w:r>
    </w:p>
    <w:p>
      <w:pPr>
        <w:spacing w:after="0" w:line="155" w:lineRule="exact"/>
        <w:rPr>
          <w:sz w:val="20"/>
          <w:szCs w:val="20"/>
          <w:color w:val="auto"/>
        </w:rPr>
      </w:pPr>
    </w:p>
    <w:p>
      <w:pPr>
        <w:jc w:val="center"/>
        <w:ind w:left="660"/>
        <w:spacing w:after="0"/>
        <w:rPr>
          <w:sz w:val="20"/>
          <w:szCs w:val="20"/>
          <w:color w:val="auto"/>
        </w:rPr>
      </w:pPr>
      <w:r>
        <w:rPr>
          <w:rFonts w:ascii="Arial" w:cs="Arial" w:eastAsia="Arial" w:hAnsi="Arial"/>
          <w:sz w:val="12"/>
          <w:szCs w:val="12"/>
          <w:color w:val="FFFFFF"/>
        </w:rPr>
        <w:t>Appendix 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right="420"/>
        <w:spacing w:after="0" w:line="261" w:lineRule="auto"/>
        <w:rPr>
          <w:sz w:val="20"/>
          <w:szCs w:val="20"/>
          <w:color w:val="auto"/>
        </w:rPr>
      </w:pPr>
      <w:r>
        <w:rPr>
          <w:rFonts w:ascii="Arial" w:cs="Arial" w:eastAsia="Arial" w:hAnsi="Arial"/>
          <w:sz w:val="15"/>
          <w:szCs w:val="15"/>
          <w:color w:val="auto"/>
        </w:rPr>
        <w:t>on extinguishment of debt. We believe that Adjusted EBITDA can be a useful financial metric in assessing our historical operating performance from period to period by excluding certain items that we believe are not representative of our core business. Set forth below is a reconciliation of the Company’s net income to Adjusted EBITDA for the years ended December 31, 2025, 2024 and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-1737995</wp:posOffset>
            </wp:positionH>
            <wp:positionV relativeFrom="paragraph">
              <wp:posOffset>-1108075</wp:posOffset>
            </wp:positionV>
            <wp:extent cx="7181215" cy="5334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181215" cy="53340"/>
                    </a:xfrm>
                    <a:prstGeom prst="rect">
                      <a:avLst/>
                    </a:prstGeom>
                    <a:noFill/>
                  </pic:spPr>
                </pic:pic>
              </a:graphicData>
            </a:graphic>
          </wp:anchor>
        </w:drawing>
      </w:r>
    </w:p>
    <w:p>
      <w:pPr>
        <w:spacing w:after="0" w:line="138" w:lineRule="exact"/>
        <w:rPr>
          <w:sz w:val="20"/>
          <w:szCs w:val="20"/>
          <w:color w:val="auto"/>
        </w:rPr>
      </w:pPr>
    </w:p>
    <w:p>
      <w:pPr>
        <w:spacing w:after="0"/>
        <w:rPr>
          <w:sz w:val="20"/>
          <w:szCs w:val="20"/>
          <w:color w:val="auto"/>
        </w:rPr>
      </w:pPr>
      <w:r>
        <w:rPr>
          <w:rFonts w:ascii="Arial" w:cs="Arial" w:eastAsia="Arial" w:hAnsi="Arial"/>
          <w:sz w:val="24"/>
          <w:szCs w:val="24"/>
          <w:color w:val="B95827"/>
        </w:rPr>
        <w:t>Incentive EBITDA</w:t>
      </w:r>
    </w:p>
    <w:p>
      <w:pPr>
        <w:spacing w:after="0" w:line="117" w:lineRule="exact"/>
        <w:rPr>
          <w:sz w:val="20"/>
          <w:szCs w:val="20"/>
          <w:color w:val="auto"/>
        </w:rPr>
      </w:pPr>
    </w:p>
    <w:p>
      <w:pPr>
        <w:ind w:right="140"/>
        <w:spacing w:after="0" w:line="256" w:lineRule="auto"/>
        <w:rPr>
          <w:sz w:val="20"/>
          <w:szCs w:val="20"/>
          <w:color w:val="auto"/>
        </w:rPr>
      </w:pPr>
      <w:r>
        <w:rPr>
          <w:rFonts w:ascii="Arial" w:cs="Arial" w:eastAsia="Arial" w:hAnsi="Arial"/>
          <w:sz w:val="15"/>
          <w:szCs w:val="15"/>
          <w:color w:val="auto"/>
        </w:rPr>
        <w:t>Incentive EBITDA is defined as Adjusted EBITDA, a non-GAAP measure, further adjusted to exclude the impact of certain acquisitions or integrations during the periods. We believe that Incentive EBITDA can be a useful financial metric in assessing our historical operating performance over a given period for purposes of determining bonus pool funding, by excluding certain items that are related to transactional activity during the periods. Set forth below is a reconciliation of the Company’s net income to Incentive EBITDA for the years ended December 31, 2025, 2024 and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149860</wp:posOffset>
            </wp:positionV>
            <wp:extent cx="810260" cy="1651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810260" cy="16510"/>
                    </a:xfrm>
                    <a:prstGeom prst="rect">
                      <a:avLst/>
                    </a:prstGeom>
                    <a:noFill/>
                  </pic:spPr>
                </pic:pic>
              </a:graphicData>
            </a:graphic>
          </wp:anchor>
        </w:drawing>
      </w:r>
    </w:p>
    <w:p>
      <w:pPr>
        <w:spacing w:after="0" w:line="331" w:lineRule="exact"/>
        <w:rPr>
          <w:sz w:val="20"/>
          <w:szCs w:val="20"/>
          <w:color w:val="auto"/>
        </w:rPr>
      </w:pPr>
    </w:p>
    <w:p>
      <w:pPr>
        <w:spacing w:after="0"/>
        <w:rPr>
          <w:sz w:val="20"/>
          <w:szCs w:val="20"/>
          <w:color w:val="auto"/>
        </w:rPr>
      </w:pPr>
      <w:r>
        <w:rPr>
          <w:rFonts w:ascii="Arial" w:cs="Arial" w:eastAsia="Arial" w:hAnsi="Arial"/>
          <w:sz w:val="15"/>
          <w:szCs w:val="15"/>
          <w:color w:val="auto"/>
        </w:rPr>
        <w:t>Set forth below is a calculation of gross profit for the periods presented (in thousands):</w:t>
      </w:r>
    </w:p>
    <w:p>
      <w:pPr>
        <w:spacing w:after="0" w:line="264" w:lineRule="exact"/>
        <w:rPr>
          <w:sz w:val="20"/>
          <w:szCs w:val="20"/>
          <w:color w:val="auto"/>
        </w:rPr>
      </w:pPr>
    </w:p>
    <w:tbl>
      <w:tblPr>
        <w:tblLayout w:type="fixed"/>
        <w:tblInd w:w="20" w:type="dxa"/>
        <w:tblCellMar>
          <w:top w:w="0" w:type="dxa"/>
          <w:left w:w="0" w:type="dxa"/>
          <w:bottom w:w="0" w:type="dxa"/>
          <w:right w:w="0" w:type="dxa"/>
        </w:tblCellMar>
      </w:tblPr>
      <w:tr>
        <w:trPr>
          <w:trHeight w:val="194"/>
        </w:trPr>
        <w:tc>
          <w:tcPr>
            <w:tcW w:w="4800" w:type="dxa"/>
            <w:vAlign w:val="bottom"/>
          </w:tcPr>
          <w:p>
            <w:pPr>
              <w:spacing w:after="0"/>
              <w:rPr>
                <w:sz w:val="16"/>
                <w:szCs w:val="16"/>
                <w:color w:val="auto"/>
              </w:rPr>
            </w:pPr>
          </w:p>
        </w:tc>
        <w:tc>
          <w:tcPr>
            <w:tcW w:w="140" w:type="dxa"/>
            <w:vAlign w:val="bottom"/>
            <w:tcBorders>
              <w:bottom w:val="single" w:sz="8" w:color="002B5F"/>
            </w:tcBorders>
          </w:tcPr>
          <w:p>
            <w:pPr>
              <w:spacing w:after="0"/>
              <w:rPr>
                <w:sz w:val="16"/>
                <w:szCs w:val="16"/>
                <w:color w:val="auto"/>
              </w:rPr>
            </w:pPr>
          </w:p>
        </w:tc>
        <w:tc>
          <w:tcPr>
            <w:tcW w:w="100" w:type="dxa"/>
            <w:vAlign w:val="bottom"/>
            <w:tcBorders>
              <w:bottom w:val="single" w:sz="8" w:color="002B5F"/>
            </w:tcBorders>
          </w:tcPr>
          <w:p>
            <w:pPr>
              <w:spacing w:after="0"/>
              <w:rPr>
                <w:sz w:val="16"/>
                <w:szCs w:val="16"/>
                <w:color w:val="auto"/>
              </w:rPr>
            </w:pPr>
          </w:p>
        </w:tc>
        <w:tc>
          <w:tcPr>
            <w:tcW w:w="2920" w:type="dxa"/>
            <w:vAlign w:val="bottom"/>
            <w:tcBorders>
              <w:bottom w:val="single" w:sz="8" w:color="002B5F"/>
            </w:tcBorders>
            <w:gridSpan w:val="6"/>
          </w:tcPr>
          <w:p>
            <w:pPr>
              <w:ind w:left="500"/>
              <w:spacing w:after="0"/>
              <w:rPr>
                <w:sz w:val="20"/>
                <w:szCs w:val="20"/>
                <w:color w:val="auto"/>
              </w:rPr>
            </w:pPr>
            <w:r>
              <w:rPr>
                <w:rFonts w:ascii="Arial" w:cs="Arial" w:eastAsia="Arial" w:hAnsi="Arial"/>
                <w:sz w:val="14"/>
                <w:szCs w:val="14"/>
                <w:b w:val="1"/>
                <w:bCs w:val="1"/>
                <w:color w:val="002B5F"/>
              </w:rPr>
              <w:t>Years Ended December 31,</w:t>
            </w:r>
          </w:p>
        </w:tc>
      </w:tr>
      <w:tr>
        <w:trPr>
          <w:trHeight w:val="222"/>
        </w:trPr>
        <w:tc>
          <w:tcPr>
            <w:tcW w:w="4800" w:type="dxa"/>
            <w:vAlign w:val="bottom"/>
            <w:tcBorders>
              <w:bottom w:val="single" w:sz="8" w:color="002B5F"/>
            </w:tcBorders>
          </w:tcPr>
          <w:p>
            <w:pPr>
              <w:spacing w:after="0"/>
              <w:rPr>
                <w:sz w:val="19"/>
                <w:szCs w:val="19"/>
                <w:color w:val="auto"/>
              </w:rPr>
            </w:pPr>
          </w:p>
        </w:tc>
        <w:tc>
          <w:tcPr>
            <w:tcW w:w="140" w:type="dxa"/>
            <w:vAlign w:val="bottom"/>
            <w:tcBorders>
              <w:bottom w:val="single" w:sz="8" w:color="002B5F"/>
            </w:tcBorders>
          </w:tcPr>
          <w:p>
            <w:pPr>
              <w:spacing w:after="0"/>
              <w:rPr>
                <w:sz w:val="19"/>
                <w:szCs w:val="19"/>
                <w:color w:val="auto"/>
              </w:rPr>
            </w:pPr>
          </w:p>
        </w:tc>
        <w:tc>
          <w:tcPr>
            <w:tcW w:w="100" w:type="dxa"/>
            <w:vAlign w:val="bottom"/>
            <w:tcBorders>
              <w:bottom w:val="single" w:sz="8" w:color="002B5F"/>
            </w:tcBorders>
          </w:tcPr>
          <w:p>
            <w:pPr>
              <w:spacing w:after="0"/>
              <w:rPr>
                <w:sz w:val="19"/>
                <w:szCs w:val="19"/>
                <w:color w:val="auto"/>
              </w:rPr>
            </w:pPr>
          </w:p>
        </w:tc>
        <w:tc>
          <w:tcPr>
            <w:tcW w:w="880" w:type="dxa"/>
            <w:vAlign w:val="bottom"/>
            <w:tcBorders>
              <w:bottom w:val="single" w:sz="8" w:color="002B5F"/>
            </w:tcBorders>
          </w:tcPr>
          <w:p>
            <w:pPr>
              <w:jc w:val="right"/>
              <w:ind w:right="326"/>
              <w:spacing w:after="0"/>
              <w:rPr>
                <w:sz w:val="20"/>
                <w:szCs w:val="20"/>
                <w:color w:val="auto"/>
              </w:rPr>
            </w:pPr>
            <w:r>
              <w:rPr>
                <w:rFonts w:ascii="Arial" w:cs="Arial" w:eastAsia="Arial" w:hAnsi="Arial"/>
                <w:sz w:val="14"/>
                <w:szCs w:val="14"/>
                <w:b w:val="1"/>
                <w:bCs w:val="1"/>
                <w:color w:val="002B5F"/>
              </w:rPr>
              <w:t>2025</w:t>
            </w:r>
          </w:p>
        </w:tc>
        <w:tc>
          <w:tcPr>
            <w:tcW w:w="180" w:type="dxa"/>
            <w:vAlign w:val="bottom"/>
            <w:tcBorders>
              <w:bottom w:val="single" w:sz="8" w:color="002B5F"/>
            </w:tcBorders>
          </w:tcPr>
          <w:p>
            <w:pPr>
              <w:spacing w:after="0"/>
              <w:rPr>
                <w:sz w:val="19"/>
                <w:szCs w:val="19"/>
                <w:color w:val="auto"/>
              </w:rPr>
            </w:pPr>
          </w:p>
        </w:tc>
        <w:tc>
          <w:tcPr>
            <w:tcW w:w="860" w:type="dxa"/>
            <w:vAlign w:val="bottom"/>
            <w:tcBorders>
              <w:bottom w:val="single" w:sz="8" w:color="002B5F"/>
            </w:tcBorders>
          </w:tcPr>
          <w:p>
            <w:pPr>
              <w:jc w:val="right"/>
              <w:ind w:right="285"/>
              <w:spacing w:after="0"/>
              <w:rPr>
                <w:sz w:val="20"/>
                <w:szCs w:val="20"/>
                <w:color w:val="auto"/>
              </w:rPr>
            </w:pPr>
            <w:r>
              <w:rPr>
                <w:rFonts w:ascii="Arial" w:cs="Arial" w:eastAsia="Arial" w:hAnsi="Arial"/>
                <w:sz w:val="14"/>
                <w:szCs w:val="14"/>
                <w:b w:val="1"/>
                <w:bCs w:val="1"/>
                <w:color w:val="002B5F"/>
              </w:rPr>
              <w:t>2024</w:t>
            </w:r>
          </w:p>
        </w:tc>
        <w:tc>
          <w:tcPr>
            <w:tcW w:w="160" w:type="dxa"/>
            <w:vAlign w:val="bottom"/>
            <w:tcBorders>
              <w:bottom w:val="single" w:sz="8" w:color="002B5F"/>
            </w:tcBorders>
          </w:tcPr>
          <w:p>
            <w:pPr>
              <w:spacing w:after="0"/>
              <w:rPr>
                <w:sz w:val="19"/>
                <w:szCs w:val="19"/>
                <w:color w:val="auto"/>
              </w:rPr>
            </w:pPr>
          </w:p>
        </w:tc>
        <w:tc>
          <w:tcPr>
            <w:tcW w:w="780" w:type="dxa"/>
            <w:vAlign w:val="bottom"/>
            <w:tcBorders>
              <w:bottom w:val="single" w:sz="8" w:color="002B5F"/>
            </w:tcBorders>
          </w:tcPr>
          <w:p>
            <w:pPr>
              <w:jc w:val="right"/>
              <w:ind w:right="225"/>
              <w:spacing w:after="0"/>
              <w:rPr>
                <w:sz w:val="20"/>
                <w:szCs w:val="20"/>
                <w:color w:val="auto"/>
              </w:rPr>
            </w:pPr>
            <w:r>
              <w:rPr>
                <w:rFonts w:ascii="Arial" w:cs="Arial" w:eastAsia="Arial" w:hAnsi="Arial"/>
                <w:sz w:val="14"/>
                <w:szCs w:val="14"/>
                <w:b w:val="1"/>
                <w:bCs w:val="1"/>
                <w:color w:val="002B5F"/>
              </w:rPr>
              <w:t>2023</w:t>
            </w:r>
          </w:p>
        </w:tc>
        <w:tc>
          <w:tcPr>
            <w:tcW w:w="60" w:type="dxa"/>
            <w:vAlign w:val="bottom"/>
            <w:tcBorders>
              <w:bottom w:val="single" w:sz="8" w:color="002B5F"/>
            </w:tcBorders>
          </w:tcPr>
          <w:p>
            <w:pPr>
              <w:spacing w:after="0"/>
              <w:rPr>
                <w:sz w:val="19"/>
                <w:szCs w:val="19"/>
                <w:color w:val="auto"/>
              </w:rPr>
            </w:pPr>
          </w:p>
        </w:tc>
      </w:tr>
      <w:tr>
        <w:trPr>
          <w:trHeight w:val="274"/>
        </w:trPr>
        <w:tc>
          <w:tcPr>
            <w:tcW w:w="4800" w:type="dxa"/>
            <w:vAlign w:val="bottom"/>
            <w:tcBorders>
              <w:bottom w:val="single" w:sz="8" w:color="F7F1EC"/>
            </w:tcBorders>
            <w:shd w:val="clear" w:color="auto" w:fill="F7F1EC"/>
          </w:tcPr>
          <w:p>
            <w:pPr>
              <w:ind w:left="60"/>
              <w:spacing w:after="0"/>
              <w:rPr>
                <w:sz w:val="20"/>
                <w:szCs w:val="20"/>
                <w:color w:val="auto"/>
              </w:rPr>
            </w:pPr>
            <w:r>
              <w:rPr>
                <w:rFonts w:ascii="Arial" w:cs="Arial" w:eastAsia="Arial" w:hAnsi="Arial"/>
                <w:sz w:val="15"/>
                <w:szCs w:val="15"/>
                <w:color w:val="auto"/>
              </w:rPr>
              <w:t>Total revenue</w:t>
            </w:r>
          </w:p>
        </w:tc>
        <w:tc>
          <w:tcPr>
            <w:tcW w:w="240" w:type="dxa"/>
            <w:vAlign w:val="bottom"/>
            <w:tcBorders>
              <w:bottom w:val="single" w:sz="8" w:color="F7F1EC"/>
            </w:tcBorders>
            <w:gridSpan w:val="2"/>
            <w:shd w:val="clear" w:color="auto" w:fill="F7F1EC"/>
          </w:tcPr>
          <w:p>
            <w:pPr>
              <w:jc w:val="right"/>
              <w:spacing w:after="0"/>
              <w:rPr>
                <w:sz w:val="20"/>
                <w:szCs w:val="20"/>
                <w:color w:val="auto"/>
              </w:rPr>
            </w:pPr>
            <w:r>
              <w:rPr>
                <w:rFonts w:ascii="Arial" w:cs="Arial" w:eastAsia="Arial" w:hAnsi="Arial"/>
                <w:sz w:val="15"/>
                <w:szCs w:val="15"/>
                <w:color w:val="auto"/>
              </w:rPr>
              <w:t>$</w:t>
            </w:r>
          </w:p>
        </w:tc>
        <w:tc>
          <w:tcPr>
            <w:tcW w:w="880" w:type="dxa"/>
            <w:vAlign w:val="bottom"/>
            <w:tcBorders>
              <w:bottom w:val="single" w:sz="8" w:color="F7F1EC"/>
            </w:tcBorders>
            <w:shd w:val="clear" w:color="auto" w:fill="F7F1EC"/>
          </w:tcPr>
          <w:p>
            <w:pPr>
              <w:jc w:val="right"/>
              <w:ind w:right="46"/>
              <w:spacing w:after="0"/>
              <w:rPr>
                <w:sz w:val="20"/>
                <w:szCs w:val="20"/>
                <w:color w:val="auto"/>
              </w:rPr>
            </w:pPr>
            <w:r>
              <w:rPr>
                <w:rFonts w:ascii="Arial" w:cs="Arial" w:eastAsia="Arial" w:hAnsi="Arial"/>
                <w:sz w:val="15"/>
                <w:szCs w:val="15"/>
                <w:color w:val="auto"/>
                <w:w w:val="98"/>
              </w:rPr>
              <w:t>16,989,479</w:t>
            </w:r>
          </w:p>
        </w:tc>
        <w:tc>
          <w:tcPr>
            <w:tcW w:w="180" w:type="dxa"/>
            <w:vAlign w:val="bottom"/>
            <w:tcBorders>
              <w:bottom w:val="single" w:sz="8" w:color="F7F1EC"/>
            </w:tcBorders>
            <w:shd w:val="clear" w:color="auto" w:fill="F7F1EC"/>
          </w:tcPr>
          <w:p>
            <w:pPr>
              <w:jc w:val="right"/>
              <w:spacing w:after="0"/>
              <w:rPr>
                <w:sz w:val="20"/>
                <w:szCs w:val="20"/>
                <w:color w:val="auto"/>
              </w:rPr>
            </w:pPr>
            <w:r>
              <w:rPr>
                <w:rFonts w:ascii="Arial" w:cs="Arial" w:eastAsia="Arial" w:hAnsi="Arial"/>
                <w:sz w:val="15"/>
                <w:szCs w:val="15"/>
                <w:color w:val="auto"/>
              </w:rPr>
              <w:t>$</w:t>
            </w:r>
          </w:p>
        </w:tc>
        <w:tc>
          <w:tcPr>
            <w:tcW w:w="860" w:type="dxa"/>
            <w:vAlign w:val="bottom"/>
            <w:tcBorders>
              <w:bottom w:val="single" w:sz="8" w:color="F7F1EC"/>
            </w:tcBorders>
            <w:shd w:val="clear" w:color="auto" w:fill="F7F1EC"/>
          </w:tcPr>
          <w:p>
            <w:pPr>
              <w:jc w:val="right"/>
              <w:ind w:right="5"/>
              <w:spacing w:after="0"/>
              <w:rPr>
                <w:sz w:val="20"/>
                <w:szCs w:val="20"/>
                <w:color w:val="auto"/>
              </w:rPr>
            </w:pPr>
            <w:r>
              <w:rPr>
                <w:rFonts w:ascii="Arial" w:cs="Arial" w:eastAsia="Arial" w:hAnsi="Arial"/>
                <w:sz w:val="15"/>
                <w:szCs w:val="15"/>
                <w:color w:val="auto"/>
              </w:rPr>
              <w:t>12,385,107</w:t>
            </w:r>
          </w:p>
        </w:tc>
        <w:tc>
          <w:tcPr>
            <w:tcW w:w="160" w:type="dxa"/>
            <w:vAlign w:val="bottom"/>
            <w:tcBorders>
              <w:bottom w:val="single" w:sz="8" w:color="F7F1EC"/>
            </w:tcBorders>
            <w:shd w:val="clear" w:color="auto" w:fill="F7F1EC"/>
          </w:tcPr>
          <w:p>
            <w:pPr>
              <w:jc w:val="right"/>
              <w:spacing w:after="0"/>
              <w:rPr>
                <w:sz w:val="20"/>
                <w:szCs w:val="20"/>
                <w:color w:val="auto"/>
              </w:rPr>
            </w:pPr>
            <w:r>
              <w:rPr>
                <w:rFonts w:ascii="Arial" w:cs="Arial" w:eastAsia="Arial" w:hAnsi="Arial"/>
                <w:sz w:val="15"/>
                <w:szCs w:val="15"/>
                <w:color w:val="auto"/>
              </w:rPr>
              <w:t>$</w:t>
            </w:r>
          </w:p>
        </w:tc>
        <w:tc>
          <w:tcPr>
            <w:tcW w:w="780" w:type="dxa"/>
            <w:vAlign w:val="bottom"/>
            <w:tcBorders>
              <w:bottom w:val="single" w:sz="8" w:color="F7F1EC"/>
            </w:tcBorders>
            <w:shd w:val="clear" w:color="auto" w:fill="F7F1EC"/>
          </w:tcPr>
          <w:p>
            <w:pPr>
              <w:jc w:val="right"/>
              <w:spacing w:after="0"/>
              <w:rPr>
                <w:sz w:val="20"/>
                <w:szCs w:val="20"/>
                <w:color w:val="auto"/>
              </w:rPr>
            </w:pPr>
            <w:r>
              <w:rPr>
                <w:rFonts w:ascii="Arial" w:cs="Arial" w:eastAsia="Arial" w:hAnsi="Arial"/>
                <w:sz w:val="15"/>
                <w:szCs w:val="15"/>
                <w:color w:val="auto"/>
                <w:w w:val="98"/>
              </w:rPr>
              <w:t>10,052,848</w:t>
            </w:r>
          </w:p>
        </w:tc>
        <w:tc>
          <w:tcPr>
            <w:tcW w:w="60" w:type="dxa"/>
            <w:vAlign w:val="bottom"/>
            <w:tcBorders>
              <w:bottom w:val="single" w:sz="8" w:color="F7F1EC"/>
            </w:tcBorders>
            <w:shd w:val="clear" w:color="auto" w:fill="F7F1EC"/>
          </w:tcPr>
          <w:p>
            <w:pPr>
              <w:spacing w:after="0"/>
              <w:rPr>
                <w:sz w:val="23"/>
                <w:szCs w:val="23"/>
                <w:color w:val="auto"/>
              </w:rPr>
            </w:pPr>
          </w:p>
        </w:tc>
      </w:tr>
      <w:tr>
        <w:trPr>
          <w:trHeight w:val="265"/>
        </w:trPr>
        <w:tc>
          <w:tcPr>
            <w:tcW w:w="4800" w:type="dxa"/>
            <w:vAlign w:val="bottom"/>
          </w:tcPr>
          <w:p>
            <w:pPr>
              <w:ind w:left="200"/>
              <w:spacing w:after="0"/>
              <w:rPr>
                <w:sz w:val="20"/>
                <w:szCs w:val="20"/>
                <w:color w:val="auto"/>
              </w:rPr>
            </w:pPr>
            <w:r>
              <w:rPr>
                <w:rFonts w:ascii="Arial" w:cs="Arial" w:eastAsia="Arial" w:hAnsi="Arial"/>
                <w:sz w:val="15"/>
                <w:szCs w:val="15"/>
                <w:color w:val="auto"/>
              </w:rPr>
              <w:t>Advisory and commission expense</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80" w:type="dxa"/>
            <w:vAlign w:val="bottom"/>
          </w:tcPr>
          <w:p>
            <w:pPr>
              <w:jc w:val="right"/>
              <w:ind w:right="46"/>
              <w:spacing w:after="0"/>
              <w:rPr>
                <w:sz w:val="20"/>
                <w:szCs w:val="20"/>
                <w:color w:val="auto"/>
              </w:rPr>
            </w:pPr>
            <w:r>
              <w:rPr>
                <w:rFonts w:ascii="Arial" w:cs="Arial" w:eastAsia="Arial" w:hAnsi="Arial"/>
                <w:sz w:val="15"/>
                <w:szCs w:val="15"/>
                <w:color w:val="auto"/>
                <w:w w:val="98"/>
              </w:rPr>
              <w:t>11,204,046</w:t>
            </w:r>
          </w:p>
        </w:tc>
        <w:tc>
          <w:tcPr>
            <w:tcW w:w="180" w:type="dxa"/>
            <w:vAlign w:val="bottom"/>
          </w:tcPr>
          <w:p>
            <w:pPr>
              <w:spacing w:after="0"/>
              <w:rPr>
                <w:sz w:val="23"/>
                <w:szCs w:val="23"/>
                <w:color w:val="auto"/>
              </w:rPr>
            </w:pPr>
          </w:p>
        </w:tc>
        <w:tc>
          <w:tcPr>
            <w:tcW w:w="860" w:type="dxa"/>
            <w:vAlign w:val="bottom"/>
          </w:tcPr>
          <w:p>
            <w:pPr>
              <w:jc w:val="right"/>
              <w:ind w:right="5"/>
              <w:spacing w:after="0"/>
              <w:rPr>
                <w:sz w:val="20"/>
                <w:szCs w:val="20"/>
                <w:color w:val="auto"/>
              </w:rPr>
            </w:pPr>
            <w:r>
              <w:rPr>
                <w:rFonts w:ascii="Arial" w:cs="Arial" w:eastAsia="Arial" w:hAnsi="Arial"/>
                <w:sz w:val="15"/>
                <w:szCs w:val="15"/>
                <w:color w:val="auto"/>
              </w:rPr>
              <w:t>7,751,006</w:t>
            </w:r>
          </w:p>
        </w:tc>
        <w:tc>
          <w:tcPr>
            <w:tcW w:w="16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5,915,807</w:t>
            </w:r>
          </w:p>
        </w:tc>
        <w:tc>
          <w:tcPr>
            <w:tcW w:w="60" w:type="dxa"/>
            <w:vAlign w:val="bottom"/>
          </w:tcPr>
          <w:p>
            <w:pPr>
              <w:spacing w:after="0"/>
              <w:rPr>
                <w:sz w:val="23"/>
                <w:szCs w:val="23"/>
                <w:color w:val="auto"/>
              </w:rPr>
            </w:pPr>
          </w:p>
        </w:tc>
      </w:tr>
      <w:tr>
        <w:trPr>
          <w:trHeight w:val="41"/>
        </w:trPr>
        <w:tc>
          <w:tcPr>
            <w:tcW w:w="4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60" w:type="dxa"/>
            <w:vAlign w:val="bottom"/>
          </w:tcPr>
          <w:p>
            <w:pPr>
              <w:spacing w:after="0"/>
              <w:rPr>
                <w:sz w:val="3"/>
                <w:szCs w:val="3"/>
                <w:color w:val="auto"/>
              </w:rPr>
            </w:pPr>
          </w:p>
        </w:tc>
        <w:tc>
          <w:tcPr>
            <w:tcW w:w="160" w:type="dxa"/>
            <w:vAlign w:val="bottom"/>
          </w:tcPr>
          <w:p>
            <w:pPr>
              <w:spacing w:after="0"/>
              <w:rPr>
                <w:sz w:val="3"/>
                <w:szCs w:val="3"/>
                <w:color w:val="auto"/>
              </w:rPr>
            </w:pPr>
          </w:p>
        </w:tc>
        <w:tc>
          <w:tcPr>
            <w:tcW w:w="780" w:type="dxa"/>
            <w:vAlign w:val="bottom"/>
          </w:tcPr>
          <w:p>
            <w:pPr>
              <w:spacing w:after="0"/>
              <w:rPr>
                <w:sz w:val="3"/>
                <w:szCs w:val="3"/>
                <w:color w:val="auto"/>
              </w:rPr>
            </w:pPr>
          </w:p>
        </w:tc>
        <w:tc>
          <w:tcPr>
            <w:tcW w:w="60" w:type="dxa"/>
            <w:vAlign w:val="bottom"/>
          </w:tcPr>
          <w:p>
            <w:pPr>
              <w:spacing w:after="0"/>
              <w:rPr>
                <w:sz w:val="3"/>
                <w:szCs w:val="3"/>
                <w:color w:val="auto"/>
              </w:rPr>
            </w:pPr>
          </w:p>
        </w:tc>
      </w:tr>
      <w:tr>
        <w:trPr>
          <w:trHeight w:val="286"/>
        </w:trPr>
        <w:tc>
          <w:tcPr>
            <w:tcW w:w="4800" w:type="dxa"/>
            <w:vAlign w:val="bottom"/>
            <w:tcBorders>
              <w:bottom w:val="single" w:sz="8" w:color="F7F1EC"/>
            </w:tcBorders>
            <w:shd w:val="clear" w:color="auto" w:fill="F7F1EC"/>
          </w:tcPr>
          <w:p>
            <w:pPr>
              <w:ind w:left="200"/>
              <w:spacing w:after="0"/>
              <w:rPr>
                <w:sz w:val="20"/>
                <w:szCs w:val="20"/>
                <w:color w:val="auto"/>
              </w:rPr>
            </w:pPr>
            <w:r>
              <w:rPr>
                <w:rFonts w:ascii="Arial" w:cs="Arial" w:eastAsia="Arial" w:hAnsi="Arial"/>
                <w:sz w:val="15"/>
                <w:szCs w:val="15"/>
                <w:color w:val="auto"/>
              </w:rPr>
              <w:t>Brokerage, clearing and exchange expense</w:t>
            </w:r>
          </w:p>
        </w:tc>
        <w:tc>
          <w:tcPr>
            <w:tcW w:w="140" w:type="dxa"/>
            <w:vAlign w:val="bottom"/>
            <w:tcBorders>
              <w:bottom w:val="single" w:sz="8" w:color="F7F1EC"/>
            </w:tcBorders>
            <w:shd w:val="clear" w:color="auto" w:fill="F7F1EC"/>
          </w:tcPr>
          <w:p>
            <w:pPr>
              <w:spacing w:after="0"/>
              <w:rPr>
                <w:sz w:val="24"/>
                <w:szCs w:val="24"/>
                <w:color w:val="auto"/>
              </w:rPr>
            </w:pPr>
          </w:p>
        </w:tc>
        <w:tc>
          <w:tcPr>
            <w:tcW w:w="100" w:type="dxa"/>
            <w:vAlign w:val="bottom"/>
            <w:tcBorders>
              <w:bottom w:val="single" w:sz="8" w:color="F7F1EC"/>
            </w:tcBorders>
            <w:shd w:val="clear" w:color="auto" w:fill="F7F1EC"/>
          </w:tcPr>
          <w:p>
            <w:pPr>
              <w:spacing w:after="0"/>
              <w:rPr>
                <w:sz w:val="24"/>
                <w:szCs w:val="24"/>
                <w:color w:val="auto"/>
              </w:rPr>
            </w:pPr>
          </w:p>
        </w:tc>
        <w:tc>
          <w:tcPr>
            <w:tcW w:w="880" w:type="dxa"/>
            <w:vAlign w:val="bottom"/>
            <w:tcBorders>
              <w:bottom w:val="single" w:sz="8" w:color="F7F1EC"/>
            </w:tcBorders>
            <w:shd w:val="clear" w:color="auto" w:fill="F7F1EC"/>
          </w:tcPr>
          <w:p>
            <w:pPr>
              <w:jc w:val="right"/>
              <w:ind w:right="46"/>
              <w:spacing w:after="0"/>
              <w:rPr>
                <w:sz w:val="20"/>
                <w:szCs w:val="20"/>
                <w:color w:val="auto"/>
              </w:rPr>
            </w:pPr>
            <w:r>
              <w:rPr>
                <w:rFonts w:ascii="Arial" w:cs="Arial" w:eastAsia="Arial" w:hAnsi="Arial"/>
                <w:sz w:val="15"/>
                <w:szCs w:val="15"/>
                <w:color w:val="auto"/>
              </w:rPr>
              <w:t>178,133</w:t>
            </w:r>
          </w:p>
        </w:tc>
        <w:tc>
          <w:tcPr>
            <w:tcW w:w="180" w:type="dxa"/>
            <w:vAlign w:val="bottom"/>
            <w:tcBorders>
              <w:bottom w:val="single" w:sz="8" w:color="F7F1EC"/>
            </w:tcBorders>
            <w:shd w:val="clear" w:color="auto" w:fill="F7F1EC"/>
          </w:tcPr>
          <w:p>
            <w:pPr>
              <w:spacing w:after="0"/>
              <w:rPr>
                <w:sz w:val="24"/>
                <w:szCs w:val="24"/>
                <w:color w:val="auto"/>
              </w:rPr>
            </w:pPr>
          </w:p>
        </w:tc>
        <w:tc>
          <w:tcPr>
            <w:tcW w:w="860" w:type="dxa"/>
            <w:vAlign w:val="bottom"/>
            <w:tcBorders>
              <w:bottom w:val="single" w:sz="8" w:color="F7F1EC"/>
            </w:tcBorders>
            <w:shd w:val="clear" w:color="auto" w:fill="F7F1EC"/>
          </w:tcPr>
          <w:p>
            <w:pPr>
              <w:jc w:val="right"/>
              <w:ind w:right="5"/>
              <w:spacing w:after="0"/>
              <w:rPr>
                <w:sz w:val="20"/>
                <w:szCs w:val="20"/>
                <w:color w:val="auto"/>
              </w:rPr>
            </w:pPr>
            <w:r>
              <w:rPr>
                <w:rFonts w:ascii="Arial" w:cs="Arial" w:eastAsia="Arial" w:hAnsi="Arial"/>
                <w:sz w:val="15"/>
                <w:szCs w:val="15"/>
                <w:color w:val="auto"/>
              </w:rPr>
              <w:t>127,941</w:t>
            </w:r>
          </w:p>
        </w:tc>
        <w:tc>
          <w:tcPr>
            <w:tcW w:w="160" w:type="dxa"/>
            <w:vAlign w:val="bottom"/>
            <w:tcBorders>
              <w:bottom w:val="single" w:sz="8" w:color="F7F1EC"/>
            </w:tcBorders>
            <w:shd w:val="clear" w:color="auto" w:fill="F7F1EC"/>
          </w:tcPr>
          <w:p>
            <w:pPr>
              <w:spacing w:after="0"/>
              <w:rPr>
                <w:sz w:val="24"/>
                <w:szCs w:val="24"/>
                <w:color w:val="auto"/>
              </w:rPr>
            </w:pPr>
          </w:p>
        </w:tc>
        <w:tc>
          <w:tcPr>
            <w:tcW w:w="780" w:type="dxa"/>
            <w:vAlign w:val="bottom"/>
            <w:tcBorders>
              <w:bottom w:val="single" w:sz="8" w:color="F7F1EC"/>
            </w:tcBorders>
            <w:shd w:val="clear" w:color="auto" w:fill="F7F1EC"/>
          </w:tcPr>
          <w:p>
            <w:pPr>
              <w:jc w:val="right"/>
              <w:spacing w:after="0"/>
              <w:rPr>
                <w:sz w:val="20"/>
                <w:szCs w:val="20"/>
                <w:color w:val="auto"/>
              </w:rPr>
            </w:pPr>
            <w:r>
              <w:rPr>
                <w:rFonts w:ascii="Arial" w:cs="Arial" w:eastAsia="Arial" w:hAnsi="Arial"/>
                <w:sz w:val="15"/>
                <w:szCs w:val="15"/>
                <w:color w:val="auto"/>
              </w:rPr>
              <w:t>105,984</w:t>
            </w:r>
          </w:p>
        </w:tc>
        <w:tc>
          <w:tcPr>
            <w:tcW w:w="60" w:type="dxa"/>
            <w:vAlign w:val="bottom"/>
            <w:tcBorders>
              <w:bottom w:val="single" w:sz="8" w:color="F7F1EC"/>
            </w:tcBorders>
            <w:shd w:val="clear" w:color="auto" w:fill="F7F1EC"/>
          </w:tcPr>
          <w:p>
            <w:pPr>
              <w:spacing w:after="0"/>
              <w:rPr>
                <w:sz w:val="24"/>
                <w:szCs w:val="24"/>
                <w:color w:val="auto"/>
              </w:rPr>
            </w:pPr>
          </w:p>
        </w:tc>
      </w:tr>
      <w:tr>
        <w:trPr>
          <w:trHeight w:val="265"/>
        </w:trPr>
        <w:tc>
          <w:tcPr>
            <w:tcW w:w="4800" w:type="dxa"/>
            <w:vAlign w:val="bottom"/>
          </w:tcPr>
          <w:p>
            <w:pPr>
              <w:ind w:left="200"/>
              <w:spacing w:after="0"/>
              <w:rPr>
                <w:sz w:val="20"/>
                <w:szCs w:val="20"/>
                <w:color w:val="auto"/>
              </w:rPr>
            </w:pPr>
            <w:r>
              <w:rPr>
                <w:rFonts w:ascii="Arial" w:cs="Arial" w:eastAsia="Arial" w:hAnsi="Arial"/>
                <w:sz w:val="15"/>
                <w:szCs w:val="15"/>
                <w:color w:val="auto"/>
              </w:rPr>
              <w:t>Employee deferred compensation</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80" w:type="dxa"/>
            <w:vAlign w:val="bottom"/>
          </w:tcPr>
          <w:p>
            <w:pPr>
              <w:jc w:val="right"/>
              <w:ind w:right="46"/>
              <w:spacing w:after="0"/>
              <w:rPr>
                <w:sz w:val="20"/>
                <w:szCs w:val="20"/>
                <w:color w:val="auto"/>
              </w:rPr>
            </w:pPr>
            <w:r>
              <w:rPr>
                <w:rFonts w:ascii="Arial" w:cs="Arial" w:eastAsia="Arial" w:hAnsi="Arial"/>
                <w:sz w:val="15"/>
                <w:szCs w:val="15"/>
                <w:color w:val="auto"/>
              </w:rPr>
              <w:t>9,392</w:t>
            </w:r>
          </w:p>
        </w:tc>
        <w:tc>
          <w:tcPr>
            <w:tcW w:w="180" w:type="dxa"/>
            <w:vAlign w:val="bottom"/>
          </w:tcPr>
          <w:p>
            <w:pPr>
              <w:spacing w:after="0"/>
              <w:rPr>
                <w:sz w:val="23"/>
                <w:szCs w:val="23"/>
                <w:color w:val="auto"/>
              </w:rPr>
            </w:pPr>
          </w:p>
        </w:tc>
        <w:tc>
          <w:tcPr>
            <w:tcW w:w="860" w:type="dxa"/>
            <w:vAlign w:val="bottom"/>
          </w:tcPr>
          <w:p>
            <w:pPr>
              <w:jc w:val="right"/>
              <w:ind w:right="5"/>
              <w:spacing w:after="0"/>
              <w:rPr>
                <w:sz w:val="20"/>
                <w:szCs w:val="20"/>
                <w:color w:val="auto"/>
              </w:rPr>
            </w:pPr>
            <w:r>
              <w:rPr>
                <w:rFonts w:ascii="Arial" w:cs="Arial" w:eastAsia="Arial" w:hAnsi="Arial"/>
                <w:sz w:val="15"/>
                <w:szCs w:val="15"/>
                <w:color w:val="auto"/>
              </w:rPr>
              <w:t>4,815</w:t>
            </w:r>
          </w:p>
        </w:tc>
        <w:tc>
          <w:tcPr>
            <w:tcW w:w="16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4,101</w:t>
            </w:r>
          </w:p>
        </w:tc>
        <w:tc>
          <w:tcPr>
            <w:tcW w:w="60" w:type="dxa"/>
            <w:vAlign w:val="bottom"/>
          </w:tcPr>
          <w:p>
            <w:pPr>
              <w:spacing w:after="0"/>
              <w:rPr>
                <w:sz w:val="23"/>
                <w:szCs w:val="23"/>
                <w:color w:val="auto"/>
              </w:rPr>
            </w:pPr>
          </w:p>
        </w:tc>
      </w:tr>
      <w:tr>
        <w:trPr>
          <w:trHeight w:val="41"/>
        </w:trPr>
        <w:tc>
          <w:tcPr>
            <w:tcW w:w="4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Borders>
              <w:bottom w:val="single" w:sz="8" w:color="002B5F"/>
            </w:tcBorders>
          </w:tcPr>
          <w:p>
            <w:pPr>
              <w:spacing w:after="0"/>
              <w:rPr>
                <w:sz w:val="3"/>
                <w:szCs w:val="3"/>
                <w:color w:val="auto"/>
              </w:rPr>
            </w:pPr>
          </w:p>
        </w:tc>
        <w:tc>
          <w:tcPr>
            <w:tcW w:w="880" w:type="dxa"/>
            <w:vAlign w:val="bottom"/>
            <w:tcBorders>
              <w:bottom w:val="single" w:sz="8" w:color="002B5F"/>
            </w:tcBorders>
          </w:tcPr>
          <w:p>
            <w:pPr>
              <w:spacing w:after="0"/>
              <w:rPr>
                <w:sz w:val="3"/>
                <w:szCs w:val="3"/>
                <w:color w:val="auto"/>
              </w:rPr>
            </w:pPr>
          </w:p>
        </w:tc>
        <w:tc>
          <w:tcPr>
            <w:tcW w:w="180" w:type="dxa"/>
            <w:vAlign w:val="bottom"/>
            <w:tcBorders>
              <w:bottom w:val="single" w:sz="8" w:color="002B5F"/>
            </w:tcBorders>
          </w:tcPr>
          <w:p>
            <w:pPr>
              <w:spacing w:after="0"/>
              <w:rPr>
                <w:sz w:val="3"/>
                <w:szCs w:val="3"/>
                <w:color w:val="auto"/>
              </w:rPr>
            </w:pPr>
          </w:p>
        </w:tc>
        <w:tc>
          <w:tcPr>
            <w:tcW w:w="860" w:type="dxa"/>
            <w:vAlign w:val="bottom"/>
            <w:tcBorders>
              <w:bottom w:val="single" w:sz="8" w:color="002B5F"/>
            </w:tcBorders>
          </w:tcPr>
          <w:p>
            <w:pPr>
              <w:spacing w:after="0"/>
              <w:rPr>
                <w:sz w:val="3"/>
                <w:szCs w:val="3"/>
                <w:color w:val="auto"/>
              </w:rPr>
            </w:pPr>
          </w:p>
        </w:tc>
        <w:tc>
          <w:tcPr>
            <w:tcW w:w="160" w:type="dxa"/>
            <w:vAlign w:val="bottom"/>
            <w:tcBorders>
              <w:bottom w:val="single" w:sz="8" w:color="002B5F"/>
            </w:tcBorders>
          </w:tcPr>
          <w:p>
            <w:pPr>
              <w:spacing w:after="0"/>
              <w:rPr>
                <w:sz w:val="3"/>
                <w:szCs w:val="3"/>
                <w:color w:val="auto"/>
              </w:rPr>
            </w:pPr>
          </w:p>
        </w:tc>
        <w:tc>
          <w:tcPr>
            <w:tcW w:w="780" w:type="dxa"/>
            <w:vAlign w:val="bottom"/>
            <w:tcBorders>
              <w:bottom w:val="single" w:sz="8" w:color="002B5F"/>
            </w:tcBorders>
          </w:tcPr>
          <w:p>
            <w:pPr>
              <w:spacing w:after="0"/>
              <w:rPr>
                <w:sz w:val="3"/>
                <w:szCs w:val="3"/>
                <w:color w:val="auto"/>
              </w:rPr>
            </w:pPr>
          </w:p>
        </w:tc>
        <w:tc>
          <w:tcPr>
            <w:tcW w:w="60" w:type="dxa"/>
            <w:vAlign w:val="bottom"/>
          </w:tcPr>
          <w:p>
            <w:pPr>
              <w:spacing w:after="0"/>
              <w:rPr>
                <w:sz w:val="3"/>
                <w:szCs w:val="3"/>
                <w:color w:val="auto"/>
              </w:rPr>
            </w:pPr>
          </w:p>
        </w:tc>
      </w:tr>
      <w:tr>
        <w:trPr>
          <w:trHeight w:val="20"/>
        </w:trPr>
        <w:tc>
          <w:tcPr>
            <w:tcW w:w="4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72"/>
        </w:trPr>
        <w:tc>
          <w:tcPr>
            <w:tcW w:w="4800" w:type="dxa"/>
            <w:vAlign w:val="bottom"/>
            <w:tcBorders>
              <w:bottom w:val="single" w:sz="8" w:color="F7F1EC"/>
            </w:tcBorders>
            <w:shd w:val="clear" w:color="auto" w:fill="F7F1EC"/>
          </w:tcPr>
          <w:p>
            <w:pPr>
              <w:ind w:left="60"/>
              <w:spacing w:after="0"/>
              <w:rPr>
                <w:sz w:val="20"/>
                <w:szCs w:val="20"/>
                <w:color w:val="auto"/>
              </w:rPr>
            </w:pPr>
            <w:r>
              <w:rPr>
                <w:rFonts w:ascii="Arial" w:cs="Arial" w:eastAsia="Arial" w:hAnsi="Arial"/>
                <w:sz w:val="15"/>
                <w:szCs w:val="15"/>
                <w:b w:val="1"/>
                <w:bCs w:val="1"/>
                <w:color w:val="auto"/>
              </w:rPr>
              <w:t>Gross Profit</w:t>
            </w:r>
          </w:p>
        </w:tc>
        <w:tc>
          <w:tcPr>
            <w:tcW w:w="140" w:type="dxa"/>
            <w:vAlign w:val="bottom"/>
            <w:tcBorders>
              <w:bottom w:val="single" w:sz="8" w:color="F7F1EC"/>
            </w:tcBorders>
            <w:shd w:val="clear" w:color="auto" w:fill="F7F1EC"/>
          </w:tcPr>
          <w:p>
            <w:pPr>
              <w:spacing w:after="0"/>
              <w:rPr>
                <w:sz w:val="23"/>
                <w:szCs w:val="23"/>
                <w:color w:val="auto"/>
              </w:rPr>
            </w:pPr>
          </w:p>
        </w:tc>
        <w:tc>
          <w:tcPr>
            <w:tcW w:w="100" w:type="dxa"/>
            <w:vAlign w:val="bottom"/>
            <w:tcBorders>
              <w:bottom w:val="single" w:sz="8" w:color="F7F1EC"/>
            </w:tcBorders>
            <w:shd w:val="clear" w:color="auto" w:fill="F7F1EC"/>
          </w:tcPr>
          <w:p>
            <w:pPr>
              <w:jc w:val="right"/>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bottom w:val="single" w:sz="8" w:color="F7F1EC"/>
            </w:tcBorders>
            <w:shd w:val="clear" w:color="auto" w:fill="F7F1EC"/>
          </w:tcPr>
          <w:p>
            <w:pPr>
              <w:jc w:val="right"/>
              <w:ind w:right="46"/>
              <w:spacing w:after="0"/>
              <w:rPr>
                <w:sz w:val="20"/>
                <w:szCs w:val="20"/>
                <w:color w:val="auto"/>
              </w:rPr>
            </w:pPr>
            <w:r>
              <w:rPr>
                <w:rFonts w:ascii="Arial" w:cs="Arial" w:eastAsia="Arial" w:hAnsi="Arial"/>
                <w:sz w:val="15"/>
                <w:szCs w:val="15"/>
                <w:b w:val="1"/>
                <w:bCs w:val="1"/>
                <w:color w:val="auto"/>
              </w:rPr>
              <w:t>5,597,808</w:t>
            </w:r>
          </w:p>
        </w:tc>
        <w:tc>
          <w:tcPr>
            <w:tcW w:w="180" w:type="dxa"/>
            <w:vAlign w:val="bottom"/>
            <w:tcBorders>
              <w:bottom w:val="single" w:sz="8" w:color="F7F1EC"/>
            </w:tcBorders>
            <w:shd w:val="clear" w:color="auto" w:fill="F7F1EC"/>
          </w:tcPr>
          <w:p>
            <w:pPr>
              <w:jc w:val="right"/>
              <w:spacing w:after="0"/>
              <w:rPr>
                <w:sz w:val="20"/>
                <w:szCs w:val="20"/>
                <w:color w:val="auto"/>
              </w:rPr>
            </w:pPr>
            <w:r>
              <w:rPr>
                <w:rFonts w:ascii="Arial" w:cs="Arial" w:eastAsia="Arial" w:hAnsi="Arial"/>
                <w:sz w:val="15"/>
                <w:szCs w:val="15"/>
                <w:b w:val="1"/>
                <w:bCs w:val="1"/>
                <w:color w:val="auto"/>
              </w:rPr>
              <w:t>$</w:t>
            </w:r>
          </w:p>
        </w:tc>
        <w:tc>
          <w:tcPr>
            <w:tcW w:w="860" w:type="dxa"/>
            <w:vAlign w:val="bottom"/>
            <w:tcBorders>
              <w:bottom w:val="single" w:sz="8" w:color="F7F1EC"/>
            </w:tcBorders>
            <w:shd w:val="clear" w:color="auto" w:fill="F7F1EC"/>
          </w:tcPr>
          <w:p>
            <w:pPr>
              <w:jc w:val="right"/>
              <w:ind w:right="5"/>
              <w:spacing w:after="0"/>
              <w:rPr>
                <w:sz w:val="20"/>
                <w:szCs w:val="20"/>
                <w:color w:val="auto"/>
              </w:rPr>
            </w:pPr>
            <w:r>
              <w:rPr>
                <w:rFonts w:ascii="Arial" w:cs="Arial" w:eastAsia="Arial" w:hAnsi="Arial"/>
                <w:sz w:val="15"/>
                <w:szCs w:val="15"/>
                <w:b w:val="1"/>
                <w:bCs w:val="1"/>
                <w:color w:val="auto"/>
              </w:rPr>
              <w:t>4,501,345</w:t>
            </w:r>
          </w:p>
        </w:tc>
        <w:tc>
          <w:tcPr>
            <w:tcW w:w="160" w:type="dxa"/>
            <w:vAlign w:val="bottom"/>
            <w:tcBorders>
              <w:bottom w:val="single" w:sz="8" w:color="F7F1EC"/>
            </w:tcBorders>
            <w:shd w:val="clear" w:color="auto" w:fill="F7F1EC"/>
          </w:tcPr>
          <w:p>
            <w:pPr>
              <w:jc w:val="right"/>
              <w:spacing w:after="0"/>
              <w:rPr>
                <w:sz w:val="20"/>
                <w:szCs w:val="20"/>
                <w:color w:val="auto"/>
              </w:rPr>
            </w:pPr>
            <w:r>
              <w:rPr>
                <w:rFonts w:ascii="Arial" w:cs="Arial" w:eastAsia="Arial" w:hAnsi="Arial"/>
                <w:sz w:val="15"/>
                <w:szCs w:val="15"/>
                <w:b w:val="1"/>
                <w:bCs w:val="1"/>
                <w:color w:val="auto"/>
              </w:rPr>
              <w:t>$</w:t>
            </w:r>
          </w:p>
        </w:tc>
        <w:tc>
          <w:tcPr>
            <w:tcW w:w="780" w:type="dxa"/>
            <w:vAlign w:val="bottom"/>
            <w:tcBorders>
              <w:bottom w:val="single" w:sz="8" w:color="F7F1EC"/>
            </w:tcBorders>
            <w:shd w:val="clear" w:color="auto" w:fill="F7F1EC"/>
          </w:tcPr>
          <w:p>
            <w:pPr>
              <w:jc w:val="right"/>
              <w:spacing w:after="0"/>
              <w:rPr>
                <w:sz w:val="20"/>
                <w:szCs w:val="20"/>
                <w:color w:val="auto"/>
              </w:rPr>
            </w:pPr>
            <w:r>
              <w:rPr>
                <w:rFonts w:ascii="Arial" w:cs="Arial" w:eastAsia="Arial" w:hAnsi="Arial"/>
                <w:sz w:val="15"/>
                <w:szCs w:val="15"/>
                <w:b w:val="1"/>
                <w:bCs w:val="1"/>
                <w:color w:val="auto"/>
              </w:rPr>
              <w:t>4,026,956</w:t>
            </w:r>
          </w:p>
        </w:tc>
        <w:tc>
          <w:tcPr>
            <w:tcW w:w="60" w:type="dxa"/>
            <w:vAlign w:val="bottom"/>
            <w:tcBorders>
              <w:bottom w:val="single" w:sz="8" w:color="F7F1EC"/>
            </w:tcBorders>
            <w:shd w:val="clear" w:color="auto" w:fill="F7F1EC"/>
          </w:tcPr>
          <w:p>
            <w:pPr>
              <w:spacing w:after="0"/>
              <w:rPr>
                <w:sz w:val="23"/>
                <w:szCs w:val="23"/>
                <w:color w:val="auto"/>
              </w:rPr>
            </w:pPr>
          </w:p>
        </w:tc>
      </w:tr>
      <w:tr>
        <w:trPr>
          <w:trHeight w:val="38"/>
        </w:trPr>
        <w:tc>
          <w:tcPr>
            <w:tcW w:w="4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shd w:val="clear" w:color="auto" w:fill="002B5F"/>
          </w:tcPr>
          <w:p>
            <w:pPr>
              <w:spacing w:after="0"/>
              <w:rPr>
                <w:sz w:val="3"/>
                <w:szCs w:val="3"/>
                <w:color w:val="auto"/>
              </w:rPr>
            </w:pPr>
          </w:p>
        </w:tc>
        <w:tc>
          <w:tcPr>
            <w:tcW w:w="880" w:type="dxa"/>
            <w:vAlign w:val="bottom"/>
            <w:shd w:val="clear" w:color="auto" w:fill="002B5F"/>
          </w:tcPr>
          <w:p>
            <w:pPr>
              <w:spacing w:after="0"/>
              <w:rPr>
                <w:sz w:val="3"/>
                <w:szCs w:val="3"/>
                <w:color w:val="auto"/>
              </w:rPr>
            </w:pPr>
          </w:p>
        </w:tc>
        <w:tc>
          <w:tcPr>
            <w:tcW w:w="180" w:type="dxa"/>
            <w:vAlign w:val="bottom"/>
            <w:shd w:val="clear" w:color="auto" w:fill="002B5F"/>
          </w:tcPr>
          <w:p>
            <w:pPr>
              <w:spacing w:after="0"/>
              <w:rPr>
                <w:sz w:val="3"/>
                <w:szCs w:val="3"/>
                <w:color w:val="auto"/>
              </w:rPr>
            </w:pPr>
          </w:p>
        </w:tc>
        <w:tc>
          <w:tcPr>
            <w:tcW w:w="860" w:type="dxa"/>
            <w:vAlign w:val="bottom"/>
            <w:shd w:val="clear" w:color="auto" w:fill="002B5F"/>
          </w:tcPr>
          <w:p>
            <w:pPr>
              <w:spacing w:after="0"/>
              <w:rPr>
                <w:sz w:val="3"/>
                <w:szCs w:val="3"/>
                <w:color w:val="auto"/>
              </w:rPr>
            </w:pPr>
          </w:p>
        </w:tc>
        <w:tc>
          <w:tcPr>
            <w:tcW w:w="160" w:type="dxa"/>
            <w:vAlign w:val="bottom"/>
            <w:shd w:val="clear" w:color="auto" w:fill="002B5F"/>
          </w:tcPr>
          <w:p>
            <w:pPr>
              <w:spacing w:after="0"/>
              <w:rPr>
                <w:sz w:val="3"/>
                <w:szCs w:val="3"/>
                <w:color w:val="auto"/>
              </w:rPr>
            </w:pPr>
          </w:p>
        </w:tc>
        <w:tc>
          <w:tcPr>
            <w:tcW w:w="780" w:type="dxa"/>
            <w:vAlign w:val="bottom"/>
            <w:shd w:val="clear" w:color="auto" w:fill="002B5F"/>
          </w:tcPr>
          <w:p>
            <w:pPr>
              <w:spacing w:after="0"/>
              <w:rPr>
                <w:sz w:val="3"/>
                <w:szCs w:val="3"/>
                <w:color w:val="auto"/>
              </w:rPr>
            </w:pPr>
          </w:p>
        </w:tc>
        <w:tc>
          <w:tcPr>
            <w:tcW w:w="60" w:type="dxa"/>
            <w:vAlign w:val="bottom"/>
          </w:tcPr>
          <w:p>
            <w:pPr>
              <w:spacing w:after="0"/>
              <w:rPr>
                <w:sz w:val="3"/>
                <w:szCs w:val="3"/>
                <w:color w:val="auto"/>
              </w:rPr>
            </w:pPr>
          </w:p>
        </w:tc>
      </w:tr>
    </w:tbl>
    <w:p>
      <w:pPr>
        <w:spacing w:after="0" w:line="103" w:lineRule="exact"/>
        <w:rPr>
          <w:sz w:val="20"/>
          <w:szCs w:val="20"/>
          <w:color w:val="auto"/>
        </w:rPr>
      </w:pPr>
    </w:p>
    <w:p>
      <w:pPr>
        <w:ind w:right="900"/>
        <w:spacing w:after="0" w:line="287" w:lineRule="auto"/>
        <w:rPr>
          <w:sz w:val="20"/>
          <w:szCs w:val="20"/>
          <w:color w:val="auto"/>
        </w:rPr>
      </w:pPr>
      <w:r>
        <w:rPr>
          <w:rFonts w:ascii="Arial" w:cs="Arial" w:eastAsia="Arial" w:hAnsi="Arial"/>
          <w:sz w:val="15"/>
          <w:szCs w:val="15"/>
          <w:color w:val="auto"/>
        </w:rPr>
        <w:t>Set forth below is a reconciliation of the Company’s total expense to Core G&amp;A for the periods presented (in thousands):</w:t>
      </w:r>
    </w:p>
    <w:p>
      <w:pPr>
        <w:spacing w:after="0" w:line="203" w:lineRule="exact"/>
        <w:rPr>
          <w:sz w:val="20"/>
          <w:szCs w:val="20"/>
          <w:color w:val="auto"/>
        </w:rPr>
      </w:pPr>
    </w:p>
    <w:tbl>
      <w:tblPr>
        <w:tblLayout w:type="fixed"/>
        <w:tblInd w:w="20" w:type="dxa"/>
        <w:tblCellMar>
          <w:top w:w="0" w:type="dxa"/>
          <w:left w:w="0" w:type="dxa"/>
          <w:bottom w:w="0" w:type="dxa"/>
          <w:right w:w="0" w:type="dxa"/>
        </w:tblCellMar>
      </w:tblPr>
      <w:tr>
        <w:trPr>
          <w:trHeight w:val="194"/>
        </w:trPr>
        <w:tc>
          <w:tcPr>
            <w:tcW w:w="4720" w:type="dxa"/>
            <w:vAlign w:val="bottom"/>
          </w:tcPr>
          <w:p>
            <w:pPr>
              <w:spacing w:after="0"/>
              <w:rPr>
                <w:sz w:val="16"/>
                <w:szCs w:val="16"/>
                <w:color w:val="auto"/>
              </w:rPr>
            </w:pPr>
          </w:p>
        </w:tc>
        <w:tc>
          <w:tcPr>
            <w:tcW w:w="140" w:type="dxa"/>
            <w:vAlign w:val="bottom"/>
            <w:tcBorders>
              <w:bottom w:val="single" w:sz="8" w:color="002B5F"/>
            </w:tcBorders>
          </w:tcPr>
          <w:p>
            <w:pPr>
              <w:spacing w:after="0"/>
              <w:rPr>
                <w:sz w:val="16"/>
                <w:szCs w:val="16"/>
                <w:color w:val="auto"/>
              </w:rPr>
            </w:pPr>
          </w:p>
        </w:tc>
        <w:tc>
          <w:tcPr>
            <w:tcW w:w="80" w:type="dxa"/>
            <w:vAlign w:val="bottom"/>
            <w:tcBorders>
              <w:bottom w:val="single" w:sz="8" w:color="002B5F"/>
            </w:tcBorders>
          </w:tcPr>
          <w:p>
            <w:pPr>
              <w:spacing w:after="0"/>
              <w:rPr>
                <w:sz w:val="16"/>
                <w:szCs w:val="16"/>
                <w:color w:val="auto"/>
              </w:rPr>
            </w:pPr>
          </w:p>
        </w:tc>
        <w:tc>
          <w:tcPr>
            <w:tcW w:w="3020" w:type="dxa"/>
            <w:vAlign w:val="bottom"/>
            <w:tcBorders>
              <w:bottom w:val="single" w:sz="8" w:color="002B5F"/>
            </w:tcBorders>
            <w:gridSpan w:val="5"/>
          </w:tcPr>
          <w:p>
            <w:pPr>
              <w:jc w:val="right"/>
              <w:ind w:right="740"/>
              <w:spacing w:after="0"/>
              <w:rPr>
                <w:sz w:val="20"/>
                <w:szCs w:val="20"/>
                <w:color w:val="auto"/>
              </w:rPr>
            </w:pPr>
            <w:r>
              <w:rPr>
                <w:rFonts w:ascii="Arial" w:cs="Arial" w:eastAsia="Arial" w:hAnsi="Arial"/>
                <w:sz w:val="14"/>
                <w:szCs w:val="14"/>
                <w:b w:val="1"/>
                <w:bCs w:val="1"/>
                <w:color w:val="002B5F"/>
              </w:rPr>
              <w:t>Years Ended December 31,</w:t>
            </w:r>
          </w:p>
        </w:tc>
      </w:tr>
      <w:tr>
        <w:trPr>
          <w:trHeight w:val="222"/>
        </w:trPr>
        <w:tc>
          <w:tcPr>
            <w:tcW w:w="4720" w:type="dxa"/>
            <w:vAlign w:val="bottom"/>
            <w:tcBorders>
              <w:bottom w:val="single" w:sz="8" w:color="002B5F"/>
            </w:tcBorders>
          </w:tcPr>
          <w:p>
            <w:pPr>
              <w:spacing w:after="0"/>
              <w:rPr>
                <w:sz w:val="19"/>
                <w:szCs w:val="19"/>
                <w:color w:val="auto"/>
              </w:rPr>
            </w:pPr>
          </w:p>
        </w:tc>
        <w:tc>
          <w:tcPr>
            <w:tcW w:w="140" w:type="dxa"/>
            <w:vAlign w:val="bottom"/>
            <w:tcBorders>
              <w:bottom w:val="single" w:sz="8" w:color="002B5F"/>
            </w:tcBorders>
          </w:tcPr>
          <w:p>
            <w:pPr>
              <w:spacing w:after="0"/>
              <w:rPr>
                <w:sz w:val="19"/>
                <w:szCs w:val="19"/>
                <w:color w:val="auto"/>
              </w:rPr>
            </w:pPr>
          </w:p>
        </w:tc>
        <w:tc>
          <w:tcPr>
            <w:tcW w:w="80" w:type="dxa"/>
            <w:vAlign w:val="bottom"/>
            <w:tcBorders>
              <w:bottom w:val="single" w:sz="8" w:color="002B5F"/>
            </w:tcBorders>
          </w:tcPr>
          <w:p>
            <w:pPr>
              <w:spacing w:after="0"/>
              <w:rPr>
                <w:sz w:val="19"/>
                <w:szCs w:val="19"/>
                <w:color w:val="auto"/>
              </w:rPr>
            </w:pPr>
          </w:p>
        </w:tc>
        <w:tc>
          <w:tcPr>
            <w:tcW w:w="960" w:type="dxa"/>
            <w:vAlign w:val="bottom"/>
            <w:tcBorders>
              <w:bottom w:val="single" w:sz="8" w:color="002B5F"/>
            </w:tcBorders>
          </w:tcPr>
          <w:p>
            <w:pPr>
              <w:jc w:val="right"/>
              <w:ind w:right="364"/>
              <w:spacing w:after="0"/>
              <w:rPr>
                <w:sz w:val="20"/>
                <w:szCs w:val="20"/>
                <w:color w:val="auto"/>
              </w:rPr>
            </w:pPr>
            <w:r>
              <w:rPr>
                <w:rFonts w:ascii="Arial" w:cs="Arial" w:eastAsia="Arial" w:hAnsi="Arial"/>
                <w:sz w:val="14"/>
                <w:szCs w:val="14"/>
                <w:b w:val="1"/>
                <w:bCs w:val="1"/>
                <w:color w:val="002B5F"/>
              </w:rPr>
              <w:t>2025</w:t>
            </w:r>
          </w:p>
        </w:tc>
        <w:tc>
          <w:tcPr>
            <w:tcW w:w="180" w:type="dxa"/>
            <w:vAlign w:val="bottom"/>
            <w:tcBorders>
              <w:bottom w:val="single" w:sz="8" w:color="002B5F"/>
            </w:tcBorders>
          </w:tcPr>
          <w:p>
            <w:pPr>
              <w:spacing w:after="0"/>
              <w:rPr>
                <w:sz w:val="19"/>
                <w:szCs w:val="19"/>
                <w:color w:val="auto"/>
              </w:rPr>
            </w:pPr>
          </w:p>
        </w:tc>
        <w:tc>
          <w:tcPr>
            <w:tcW w:w="880" w:type="dxa"/>
            <w:vAlign w:val="bottom"/>
            <w:tcBorders>
              <w:bottom w:val="single" w:sz="8" w:color="002B5F"/>
            </w:tcBorders>
          </w:tcPr>
          <w:p>
            <w:pPr>
              <w:jc w:val="right"/>
              <w:ind w:right="304"/>
              <w:spacing w:after="0"/>
              <w:rPr>
                <w:sz w:val="20"/>
                <w:szCs w:val="20"/>
                <w:color w:val="auto"/>
              </w:rPr>
            </w:pPr>
            <w:r>
              <w:rPr>
                <w:rFonts w:ascii="Arial" w:cs="Arial" w:eastAsia="Arial" w:hAnsi="Arial"/>
                <w:sz w:val="14"/>
                <w:szCs w:val="14"/>
                <w:b w:val="1"/>
                <w:bCs w:val="1"/>
                <w:color w:val="002B5F"/>
              </w:rPr>
              <w:t>2024</w:t>
            </w:r>
          </w:p>
        </w:tc>
        <w:tc>
          <w:tcPr>
            <w:tcW w:w="900" w:type="dxa"/>
            <w:vAlign w:val="bottom"/>
            <w:tcBorders>
              <w:bottom w:val="single" w:sz="8" w:color="002B5F"/>
            </w:tcBorders>
          </w:tcPr>
          <w:p>
            <w:pPr>
              <w:jc w:val="right"/>
              <w:ind w:right="184"/>
              <w:spacing w:after="0"/>
              <w:rPr>
                <w:sz w:val="20"/>
                <w:szCs w:val="20"/>
                <w:color w:val="auto"/>
              </w:rPr>
            </w:pPr>
            <w:r>
              <w:rPr>
                <w:rFonts w:ascii="Arial" w:cs="Arial" w:eastAsia="Arial" w:hAnsi="Arial"/>
                <w:sz w:val="14"/>
                <w:szCs w:val="14"/>
                <w:b w:val="1"/>
                <w:bCs w:val="1"/>
                <w:color w:val="002B5F"/>
              </w:rPr>
              <w:t>2023</w:t>
            </w:r>
          </w:p>
        </w:tc>
        <w:tc>
          <w:tcPr>
            <w:tcW w:w="100" w:type="dxa"/>
            <w:vAlign w:val="bottom"/>
            <w:tcBorders>
              <w:bottom w:val="single" w:sz="8" w:color="002B5F"/>
            </w:tcBorders>
          </w:tcPr>
          <w:p>
            <w:pPr>
              <w:spacing w:after="0"/>
              <w:rPr>
                <w:sz w:val="19"/>
                <w:szCs w:val="19"/>
                <w:color w:val="auto"/>
              </w:rPr>
            </w:pPr>
          </w:p>
        </w:tc>
      </w:tr>
      <w:tr>
        <w:trPr>
          <w:trHeight w:val="274"/>
        </w:trPr>
        <w:tc>
          <w:tcPr>
            <w:tcW w:w="4720" w:type="dxa"/>
            <w:vAlign w:val="bottom"/>
            <w:tcBorders>
              <w:bottom w:val="single" w:sz="8" w:color="F7F1EC"/>
            </w:tcBorders>
            <w:shd w:val="clear" w:color="auto" w:fill="F7F1EC"/>
          </w:tcPr>
          <w:p>
            <w:pPr>
              <w:ind w:left="60"/>
              <w:spacing w:after="0"/>
              <w:rPr>
                <w:sz w:val="20"/>
                <w:szCs w:val="20"/>
                <w:color w:val="auto"/>
              </w:rPr>
            </w:pPr>
            <w:r>
              <w:rPr>
                <w:rFonts w:ascii="Arial" w:cs="Arial" w:eastAsia="Arial" w:hAnsi="Arial"/>
                <w:sz w:val="15"/>
                <w:szCs w:val="15"/>
                <w:color w:val="auto"/>
              </w:rPr>
              <w:t>Total expense</w:t>
            </w:r>
          </w:p>
        </w:tc>
        <w:tc>
          <w:tcPr>
            <w:tcW w:w="220" w:type="dxa"/>
            <w:vAlign w:val="bottom"/>
            <w:tcBorders>
              <w:bottom w:val="single" w:sz="8" w:color="F7F1EC"/>
            </w:tcBorders>
            <w:gridSpan w:val="2"/>
            <w:shd w:val="clear" w:color="auto" w:fill="F7F1EC"/>
          </w:tcPr>
          <w:p>
            <w:pPr>
              <w:jc w:val="right"/>
              <w:spacing w:after="0"/>
              <w:rPr>
                <w:sz w:val="20"/>
                <w:szCs w:val="20"/>
                <w:color w:val="auto"/>
              </w:rPr>
            </w:pPr>
            <w:r>
              <w:rPr>
                <w:rFonts w:ascii="Arial" w:cs="Arial" w:eastAsia="Arial" w:hAnsi="Arial"/>
                <w:sz w:val="15"/>
                <w:szCs w:val="15"/>
                <w:color w:val="auto"/>
              </w:rPr>
              <w:t>$</w:t>
            </w:r>
          </w:p>
        </w:tc>
        <w:tc>
          <w:tcPr>
            <w:tcW w:w="960" w:type="dxa"/>
            <w:vAlign w:val="bottom"/>
            <w:tcBorders>
              <w:bottom w:val="single" w:sz="8" w:color="F7F1EC"/>
            </w:tcBorders>
            <w:shd w:val="clear" w:color="auto" w:fill="F7F1EC"/>
          </w:tcPr>
          <w:p>
            <w:pPr>
              <w:jc w:val="right"/>
              <w:ind w:right="64"/>
              <w:spacing w:after="0"/>
              <w:rPr>
                <w:sz w:val="20"/>
                <w:szCs w:val="20"/>
                <w:color w:val="auto"/>
              </w:rPr>
            </w:pPr>
            <w:r>
              <w:rPr>
                <w:rFonts w:ascii="Arial" w:cs="Arial" w:eastAsia="Arial" w:hAnsi="Arial"/>
                <w:sz w:val="15"/>
                <w:szCs w:val="15"/>
                <w:color w:val="auto"/>
              </w:rPr>
              <w:t>15,839,972</w:t>
            </w:r>
          </w:p>
        </w:tc>
        <w:tc>
          <w:tcPr>
            <w:tcW w:w="180" w:type="dxa"/>
            <w:vAlign w:val="bottom"/>
            <w:tcBorders>
              <w:bottom w:val="single" w:sz="8" w:color="F7F1EC"/>
            </w:tcBorders>
            <w:shd w:val="clear" w:color="auto" w:fill="F7F1EC"/>
          </w:tcPr>
          <w:p>
            <w:pPr>
              <w:jc w:val="right"/>
              <w:spacing w:after="0"/>
              <w:rPr>
                <w:sz w:val="20"/>
                <w:szCs w:val="20"/>
                <w:color w:val="auto"/>
              </w:rPr>
            </w:pPr>
            <w:r>
              <w:rPr>
                <w:rFonts w:ascii="Arial" w:cs="Arial" w:eastAsia="Arial" w:hAnsi="Arial"/>
                <w:sz w:val="15"/>
                <w:szCs w:val="15"/>
                <w:color w:val="auto"/>
              </w:rPr>
              <w:t>$</w:t>
            </w:r>
          </w:p>
        </w:tc>
        <w:tc>
          <w:tcPr>
            <w:tcW w:w="880" w:type="dxa"/>
            <w:vAlign w:val="bottom"/>
            <w:tcBorders>
              <w:bottom w:val="single" w:sz="8" w:color="F7F1EC"/>
            </w:tcBorders>
            <w:shd w:val="clear" w:color="auto" w:fill="F7F1EC"/>
          </w:tcPr>
          <w:p>
            <w:pPr>
              <w:jc w:val="right"/>
              <w:ind w:right="24"/>
              <w:spacing w:after="0"/>
              <w:rPr>
                <w:sz w:val="20"/>
                <w:szCs w:val="20"/>
                <w:color w:val="auto"/>
              </w:rPr>
            </w:pPr>
            <w:r>
              <w:rPr>
                <w:rFonts w:ascii="Arial" w:cs="Arial" w:eastAsia="Arial" w:hAnsi="Arial"/>
                <w:sz w:val="15"/>
                <w:szCs w:val="15"/>
                <w:color w:val="auto"/>
              </w:rPr>
              <w:t>10,992,215</w:t>
            </w:r>
          </w:p>
        </w:tc>
        <w:tc>
          <w:tcPr>
            <w:tcW w:w="900" w:type="dxa"/>
            <w:vAlign w:val="bottom"/>
            <w:tcBorders>
              <w:bottom w:val="single" w:sz="8" w:color="F7F1EC"/>
            </w:tcBorders>
            <w:shd w:val="clear" w:color="auto" w:fill="F7F1EC"/>
          </w:tcPr>
          <w:p>
            <w:pPr>
              <w:jc w:val="right"/>
              <w:spacing w:after="0"/>
              <w:rPr>
                <w:sz w:val="20"/>
                <w:szCs w:val="20"/>
                <w:color w:val="auto"/>
              </w:rPr>
            </w:pPr>
            <w:r>
              <w:rPr>
                <w:rFonts w:ascii="Arial" w:cs="Arial" w:eastAsia="Arial" w:hAnsi="Arial"/>
                <w:sz w:val="15"/>
                <w:szCs w:val="15"/>
                <w:color w:val="auto"/>
              </w:rPr>
              <w:t>$ 8,608,073</w:t>
            </w:r>
          </w:p>
        </w:tc>
        <w:tc>
          <w:tcPr>
            <w:tcW w:w="100" w:type="dxa"/>
            <w:vAlign w:val="bottom"/>
            <w:tcBorders>
              <w:bottom w:val="single" w:sz="8" w:color="F7F1EC"/>
            </w:tcBorders>
            <w:shd w:val="clear" w:color="auto" w:fill="F7F1EC"/>
          </w:tcPr>
          <w:p>
            <w:pPr>
              <w:spacing w:after="0"/>
              <w:rPr>
                <w:sz w:val="23"/>
                <w:szCs w:val="23"/>
                <w:color w:val="auto"/>
              </w:rPr>
            </w:pPr>
          </w:p>
        </w:tc>
      </w:tr>
      <w:tr>
        <w:trPr>
          <w:trHeight w:val="265"/>
        </w:trPr>
        <w:tc>
          <w:tcPr>
            <w:tcW w:w="4720" w:type="dxa"/>
            <w:vAlign w:val="bottom"/>
          </w:tcPr>
          <w:p>
            <w:pPr>
              <w:ind w:left="200"/>
              <w:spacing w:after="0"/>
              <w:rPr>
                <w:sz w:val="20"/>
                <w:szCs w:val="20"/>
                <w:color w:val="auto"/>
              </w:rPr>
            </w:pPr>
            <w:r>
              <w:rPr>
                <w:rFonts w:ascii="Arial" w:cs="Arial" w:eastAsia="Arial" w:hAnsi="Arial"/>
                <w:sz w:val="15"/>
                <w:szCs w:val="15"/>
                <w:color w:val="auto"/>
              </w:rPr>
              <w:t>Advisory and commission</w:t>
            </w: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60" w:type="dxa"/>
            <w:vAlign w:val="bottom"/>
          </w:tcPr>
          <w:p>
            <w:pPr>
              <w:jc w:val="right"/>
              <w:ind w:right="24"/>
              <w:spacing w:after="0"/>
              <w:rPr>
                <w:sz w:val="20"/>
                <w:szCs w:val="20"/>
                <w:color w:val="auto"/>
              </w:rPr>
            </w:pPr>
            <w:r>
              <w:rPr>
                <w:rFonts w:ascii="Arial" w:cs="Arial" w:eastAsia="Arial" w:hAnsi="Arial"/>
                <w:sz w:val="15"/>
                <w:szCs w:val="15"/>
                <w:color w:val="auto"/>
                <w:w w:val="98"/>
              </w:rPr>
              <w:t>(11,204,046)</w:t>
            </w:r>
          </w:p>
        </w:tc>
        <w:tc>
          <w:tcPr>
            <w:tcW w:w="1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(7,751,006)</w:t>
            </w:r>
          </w:p>
        </w:tc>
        <w:tc>
          <w:tcPr>
            <w:tcW w:w="1000" w:type="dxa"/>
            <w:vAlign w:val="bottom"/>
            <w:gridSpan w:val="2"/>
          </w:tcPr>
          <w:p>
            <w:pPr>
              <w:jc w:val="right"/>
              <w:ind w:right="40"/>
              <w:spacing w:after="0"/>
              <w:rPr>
                <w:sz w:val="20"/>
                <w:szCs w:val="20"/>
                <w:color w:val="auto"/>
              </w:rPr>
            </w:pPr>
            <w:r>
              <w:rPr>
                <w:rFonts w:ascii="Arial" w:cs="Arial" w:eastAsia="Arial" w:hAnsi="Arial"/>
                <w:sz w:val="15"/>
                <w:szCs w:val="15"/>
                <w:color w:val="auto"/>
              </w:rPr>
              <w:t>(5,915,807)</w:t>
            </w:r>
          </w:p>
        </w:tc>
      </w:tr>
      <w:tr>
        <w:trPr>
          <w:trHeight w:val="41"/>
        </w:trPr>
        <w:tc>
          <w:tcPr>
            <w:tcW w:w="47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86"/>
        </w:trPr>
        <w:tc>
          <w:tcPr>
            <w:tcW w:w="4720" w:type="dxa"/>
            <w:vAlign w:val="bottom"/>
            <w:tcBorders>
              <w:bottom w:val="single" w:sz="8" w:color="F7F1EC"/>
            </w:tcBorders>
            <w:shd w:val="clear" w:color="auto" w:fill="F7F1EC"/>
          </w:tcPr>
          <w:p>
            <w:pPr>
              <w:ind w:left="200"/>
              <w:spacing w:after="0"/>
              <w:rPr>
                <w:sz w:val="20"/>
                <w:szCs w:val="20"/>
                <w:color w:val="auto"/>
              </w:rPr>
            </w:pPr>
            <w:r>
              <w:rPr>
                <w:rFonts w:ascii="Arial" w:cs="Arial" w:eastAsia="Arial" w:hAnsi="Arial"/>
                <w:sz w:val="15"/>
                <w:szCs w:val="15"/>
                <w:color w:val="auto"/>
              </w:rPr>
              <w:t>Depreciation and amortization</w:t>
            </w:r>
          </w:p>
        </w:tc>
        <w:tc>
          <w:tcPr>
            <w:tcW w:w="140" w:type="dxa"/>
            <w:vAlign w:val="bottom"/>
            <w:tcBorders>
              <w:bottom w:val="single" w:sz="8" w:color="F7F1EC"/>
            </w:tcBorders>
            <w:shd w:val="clear" w:color="auto" w:fill="F7F1EC"/>
          </w:tcPr>
          <w:p>
            <w:pPr>
              <w:spacing w:after="0"/>
              <w:rPr>
                <w:sz w:val="24"/>
                <w:szCs w:val="24"/>
                <w:color w:val="auto"/>
              </w:rPr>
            </w:pPr>
          </w:p>
        </w:tc>
        <w:tc>
          <w:tcPr>
            <w:tcW w:w="80" w:type="dxa"/>
            <w:vAlign w:val="bottom"/>
            <w:tcBorders>
              <w:bottom w:val="single" w:sz="8" w:color="F7F1EC"/>
            </w:tcBorders>
            <w:shd w:val="clear" w:color="auto" w:fill="F7F1EC"/>
          </w:tcPr>
          <w:p>
            <w:pPr>
              <w:spacing w:after="0"/>
              <w:rPr>
                <w:sz w:val="24"/>
                <w:szCs w:val="24"/>
                <w:color w:val="auto"/>
              </w:rPr>
            </w:pPr>
          </w:p>
        </w:tc>
        <w:tc>
          <w:tcPr>
            <w:tcW w:w="960" w:type="dxa"/>
            <w:vAlign w:val="bottom"/>
            <w:tcBorders>
              <w:bottom w:val="single" w:sz="8" w:color="F7F1EC"/>
            </w:tcBorders>
            <w:shd w:val="clear" w:color="auto" w:fill="F7F1EC"/>
          </w:tcPr>
          <w:p>
            <w:pPr>
              <w:jc w:val="right"/>
              <w:ind w:right="24"/>
              <w:spacing w:after="0"/>
              <w:rPr>
                <w:sz w:val="20"/>
                <w:szCs w:val="20"/>
                <w:color w:val="auto"/>
              </w:rPr>
            </w:pPr>
            <w:r>
              <w:rPr>
                <w:rFonts w:ascii="Arial" w:cs="Arial" w:eastAsia="Arial" w:hAnsi="Arial"/>
                <w:sz w:val="15"/>
                <w:szCs w:val="15"/>
                <w:color w:val="auto"/>
              </w:rPr>
              <w:t>(393,434)</w:t>
            </w:r>
          </w:p>
        </w:tc>
        <w:tc>
          <w:tcPr>
            <w:tcW w:w="180" w:type="dxa"/>
            <w:vAlign w:val="bottom"/>
            <w:tcBorders>
              <w:bottom w:val="single" w:sz="8" w:color="F7F1EC"/>
            </w:tcBorders>
            <w:shd w:val="clear" w:color="auto" w:fill="F7F1EC"/>
          </w:tcPr>
          <w:p>
            <w:pPr>
              <w:spacing w:after="0"/>
              <w:rPr>
                <w:sz w:val="24"/>
                <w:szCs w:val="24"/>
                <w:color w:val="auto"/>
              </w:rPr>
            </w:pPr>
          </w:p>
        </w:tc>
        <w:tc>
          <w:tcPr>
            <w:tcW w:w="880" w:type="dxa"/>
            <w:vAlign w:val="bottom"/>
            <w:tcBorders>
              <w:bottom w:val="single" w:sz="8" w:color="F7F1EC"/>
            </w:tcBorders>
            <w:shd w:val="clear" w:color="auto" w:fill="F7F1EC"/>
          </w:tcPr>
          <w:p>
            <w:pPr>
              <w:jc w:val="right"/>
              <w:spacing w:after="0"/>
              <w:rPr>
                <w:sz w:val="20"/>
                <w:szCs w:val="20"/>
                <w:color w:val="auto"/>
              </w:rPr>
            </w:pPr>
            <w:r>
              <w:rPr>
                <w:rFonts w:ascii="Arial" w:cs="Arial" w:eastAsia="Arial" w:hAnsi="Arial"/>
                <w:sz w:val="15"/>
                <w:szCs w:val="15"/>
                <w:color w:val="auto"/>
              </w:rPr>
              <w:t>(308,527)</w:t>
            </w:r>
          </w:p>
        </w:tc>
        <w:tc>
          <w:tcPr>
            <w:tcW w:w="1000" w:type="dxa"/>
            <w:vAlign w:val="bottom"/>
            <w:tcBorders>
              <w:bottom w:val="single" w:sz="8" w:color="F7F1EC"/>
            </w:tcBorders>
            <w:gridSpan w:val="2"/>
            <w:shd w:val="clear" w:color="auto" w:fill="F7F1EC"/>
          </w:tcPr>
          <w:p>
            <w:pPr>
              <w:jc w:val="right"/>
              <w:ind w:right="40"/>
              <w:spacing w:after="0"/>
              <w:rPr>
                <w:sz w:val="20"/>
                <w:szCs w:val="20"/>
                <w:color w:val="auto"/>
              </w:rPr>
            </w:pPr>
            <w:r>
              <w:rPr>
                <w:rFonts w:ascii="Arial" w:cs="Arial" w:eastAsia="Arial" w:hAnsi="Arial"/>
                <w:sz w:val="15"/>
                <w:szCs w:val="15"/>
                <w:color w:val="auto"/>
              </w:rPr>
              <w:t>(246,994)</w:t>
            </w:r>
          </w:p>
        </w:tc>
      </w:tr>
      <w:tr>
        <w:trPr>
          <w:trHeight w:val="265"/>
        </w:trPr>
        <w:tc>
          <w:tcPr>
            <w:tcW w:w="4720" w:type="dxa"/>
            <w:vAlign w:val="bottom"/>
          </w:tcPr>
          <w:p>
            <w:pPr>
              <w:ind w:left="200"/>
              <w:spacing w:after="0"/>
              <w:rPr>
                <w:sz w:val="20"/>
                <w:szCs w:val="20"/>
                <w:color w:val="auto"/>
              </w:rPr>
            </w:pPr>
            <w:r>
              <w:rPr>
                <w:rFonts w:ascii="Arial" w:cs="Arial" w:eastAsia="Arial" w:hAnsi="Arial"/>
                <w:sz w:val="15"/>
                <w:szCs w:val="15"/>
                <w:color w:val="auto"/>
              </w:rPr>
              <w:t>Interest expense on borrowings</w:t>
            </w: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60" w:type="dxa"/>
            <w:vAlign w:val="bottom"/>
          </w:tcPr>
          <w:p>
            <w:pPr>
              <w:jc w:val="right"/>
              <w:ind w:right="24"/>
              <w:spacing w:after="0"/>
              <w:rPr>
                <w:sz w:val="20"/>
                <w:szCs w:val="20"/>
                <w:color w:val="auto"/>
              </w:rPr>
            </w:pPr>
            <w:r>
              <w:rPr>
                <w:rFonts w:ascii="Arial" w:cs="Arial" w:eastAsia="Arial" w:hAnsi="Arial"/>
                <w:sz w:val="15"/>
                <w:szCs w:val="15"/>
                <w:color w:val="auto"/>
              </w:rPr>
              <w:t>(403,406)</w:t>
            </w:r>
          </w:p>
        </w:tc>
        <w:tc>
          <w:tcPr>
            <w:tcW w:w="1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(274,181)</w:t>
            </w:r>
          </w:p>
        </w:tc>
        <w:tc>
          <w:tcPr>
            <w:tcW w:w="1000" w:type="dxa"/>
            <w:vAlign w:val="bottom"/>
            <w:gridSpan w:val="2"/>
          </w:tcPr>
          <w:p>
            <w:pPr>
              <w:jc w:val="right"/>
              <w:ind w:right="40"/>
              <w:spacing w:after="0"/>
              <w:rPr>
                <w:sz w:val="20"/>
                <w:szCs w:val="20"/>
                <w:color w:val="auto"/>
              </w:rPr>
            </w:pPr>
            <w:r>
              <w:rPr>
                <w:rFonts w:ascii="Arial" w:cs="Arial" w:eastAsia="Arial" w:hAnsi="Arial"/>
                <w:sz w:val="15"/>
                <w:szCs w:val="15"/>
                <w:color w:val="auto"/>
              </w:rPr>
              <w:t>(186,804)</w:t>
            </w:r>
          </w:p>
        </w:tc>
      </w:tr>
      <w:tr>
        <w:trPr>
          <w:trHeight w:val="41"/>
        </w:trPr>
        <w:tc>
          <w:tcPr>
            <w:tcW w:w="47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86"/>
        </w:trPr>
        <w:tc>
          <w:tcPr>
            <w:tcW w:w="4720" w:type="dxa"/>
            <w:vAlign w:val="bottom"/>
            <w:tcBorders>
              <w:bottom w:val="single" w:sz="8" w:color="F7F1EC"/>
            </w:tcBorders>
            <w:shd w:val="clear" w:color="auto" w:fill="F7F1EC"/>
          </w:tcPr>
          <w:p>
            <w:pPr>
              <w:ind w:left="200"/>
              <w:spacing w:after="0"/>
              <w:rPr>
                <w:sz w:val="20"/>
                <w:szCs w:val="20"/>
                <w:color w:val="auto"/>
              </w:rPr>
            </w:pPr>
            <w:r>
              <w:rPr>
                <w:rFonts w:ascii="Arial" w:cs="Arial" w:eastAsia="Arial" w:hAnsi="Arial"/>
                <w:sz w:val="15"/>
                <w:szCs w:val="15"/>
                <w:color w:val="auto"/>
              </w:rPr>
              <w:t>Amortization of other intangibles</w:t>
            </w:r>
          </w:p>
        </w:tc>
        <w:tc>
          <w:tcPr>
            <w:tcW w:w="140" w:type="dxa"/>
            <w:vAlign w:val="bottom"/>
            <w:tcBorders>
              <w:bottom w:val="single" w:sz="8" w:color="F7F1EC"/>
            </w:tcBorders>
            <w:shd w:val="clear" w:color="auto" w:fill="F7F1EC"/>
          </w:tcPr>
          <w:p>
            <w:pPr>
              <w:spacing w:after="0"/>
              <w:rPr>
                <w:sz w:val="24"/>
                <w:szCs w:val="24"/>
                <w:color w:val="auto"/>
              </w:rPr>
            </w:pPr>
          </w:p>
        </w:tc>
        <w:tc>
          <w:tcPr>
            <w:tcW w:w="80" w:type="dxa"/>
            <w:vAlign w:val="bottom"/>
            <w:tcBorders>
              <w:bottom w:val="single" w:sz="8" w:color="F7F1EC"/>
            </w:tcBorders>
            <w:shd w:val="clear" w:color="auto" w:fill="F7F1EC"/>
          </w:tcPr>
          <w:p>
            <w:pPr>
              <w:spacing w:after="0"/>
              <w:rPr>
                <w:sz w:val="24"/>
                <w:szCs w:val="24"/>
                <w:color w:val="auto"/>
              </w:rPr>
            </w:pPr>
          </w:p>
        </w:tc>
        <w:tc>
          <w:tcPr>
            <w:tcW w:w="960" w:type="dxa"/>
            <w:vAlign w:val="bottom"/>
            <w:tcBorders>
              <w:bottom w:val="single" w:sz="8" w:color="F7F1EC"/>
            </w:tcBorders>
            <w:shd w:val="clear" w:color="auto" w:fill="F7F1EC"/>
          </w:tcPr>
          <w:p>
            <w:pPr>
              <w:jc w:val="right"/>
              <w:ind w:right="24"/>
              <w:spacing w:after="0"/>
              <w:rPr>
                <w:sz w:val="20"/>
                <w:szCs w:val="20"/>
                <w:color w:val="auto"/>
              </w:rPr>
            </w:pPr>
            <w:r>
              <w:rPr>
                <w:rFonts w:ascii="Arial" w:cs="Arial" w:eastAsia="Arial" w:hAnsi="Arial"/>
                <w:sz w:val="15"/>
                <w:szCs w:val="15"/>
                <w:color w:val="auto"/>
              </w:rPr>
              <w:t>(236,578)</w:t>
            </w:r>
          </w:p>
        </w:tc>
        <w:tc>
          <w:tcPr>
            <w:tcW w:w="180" w:type="dxa"/>
            <w:vAlign w:val="bottom"/>
            <w:tcBorders>
              <w:bottom w:val="single" w:sz="8" w:color="F7F1EC"/>
            </w:tcBorders>
            <w:shd w:val="clear" w:color="auto" w:fill="F7F1EC"/>
          </w:tcPr>
          <w:p>
            <w:pPr>
              <w:spacing w:after="0"/>
              <w:rPr>
                <w:sz w:val="24"/>
                <w:szCs w:val="24"/>
                <w:color w:val="auto"/>
              </w:rPr>
            </w:pPr>
          </w:p>
        </w:tc>
        <w:tc>
          <w:tcPr>
            <w:tcW w:w="880" w:type="dxa"/>
            <w:vAlign w:val="bottom"/>
            <w:tcBorders>
              <w:bottom w:val="single" w:sz="8" w:color="F7F1EC"/>
            </w:tcBorders>
            <w:shd w:val="clear" w:color="auto" w:fill="F7F1EC"/>
          </w:tcPr>
          <w:p>
            <w:pPr>
              <w:jc w:val="right"/>
              <w:spacing w:after="0"/>
              <w:rPr>
                <w:sz w:val="20"/>
                <w:szCs w:val="20"/>
                <w:color w:val="auto"/>
              </w:rPr>
            </w:pPr>
            <w:r>
              <w:rPr>
                <w:rFonts w:ascii="Arial" w:cs="Arial" w:eastAsia="Arial" w:hAnsi="Arial"/>
                <w:sz w:val="15"/>
                <w:szCs w:val="15"/>
                <w:color w:val="auto"/>
              </w:rPr>
              <w:t>(135,234)</w:t>
            </w:r>
          </w:p>
        </w:tc>
        <w:tc>
          <w:tcPr>
            <w:tcW w:w="1000" w:type="dxa"/>
            <w:vAlign w:val="bottom"/>
            <w:tcBorders>
              <w:bottom w:val="single" w:sz="8" w:color="F7F1EC"/>
            </w:tcBorders>
            <w:gridSpan w:val="2"/>
            <w:shd w:val="clear" w:color="auto" w:fill="F7F1EC"/>
          </w:tcPr>
          <w:p>
            <w:pPr>
              <w:jc w:val="right"/>
              <w:ind w:right="40"/>
              <w:spacing w:after="0"/>
              <w:rPr>
                <w:sz w:val="20"/>
                <w:szCs w:val="20"/>
                <w:color w:val="auto"/>
              </w:rPr>
            </w:pPr>
            <w:r>
              <w:rPr>
                <w:rFonts w:ascii="Arial" w:cs="Arial" w:eastAsia="Arial" w:hAnsi="Arial"/>
                <w:sz w:val="15"/>
                <w:szCs w:val="15"/>
                <w:color w:val="auto"/>
              </w:rPr>
              <w:t>(107,211)</w:t>
            </w:r>
          </w:p>
        </w:tc>
      </w:tr>
      <w:tr>
        <w:trPr>
          <w:trHeight w:val="265"/>
        </w:trPr>
        <w:tc>
          <w:tcPr>
            <w:tcW w:w="4720" w:type="dxa"/>
            <w:vAlign w:val="bottom"/>
          </w:tcPr>
          <w:p>
            <w:pPr>
              <w:ind w:left="200"/>
              <w:spacing w:after="0"/>
              <w:rPr>
                <w:sz w:val="20"/>
                <w:szCs w:val="20"/>
                <w:color w:val="auto"/>
              </w:rPr>
            </w:pPr>
            <w:r>
              <w:rPr>
                <w:rFonts w:ascii="Arial" w:cs="Arial" w:eastAsia="Arial" w:hAnsi="Arial"/>
                <w:sz w:val="15"/>
                <w:szCs w:val="15"/>
                <w:color w:val="auto"/>
              </w:rPr>
              <w:t>Brokerage, clearing and exchange</w:t>
            </w: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60" w:type="dxa"/>
            <w:vAlign w:val="bottom"/>
          </w:tcPr>
          <w:p>
            <w:pPr>
              <w:jc w:val="right"/>
              <w:ind w:right="24"/>
              <w:spacing w:after="0"/>
              <w:rPr>
                <w:sz w:val="20"/>
                <w:szCs w:val="20"/>
                <w:color w:val="auto"/>
              </w:rPr>
            </w:pPr>
            <w:r>
              <w:rPr>
                <w:rFonts w:ascii="Arial" w:cs="Arial" w:eastAsia="Arial" w:hAnsi="Arial"/>
                <w:sz w:val="15"/>
                <w:szCs w:val="15"/>
                <w:color w:val="auto"/>
              </w:rPr>
              <w:t>(178,133)</w:t>
            </w:r>
          </w:p>
        </w:tc>
        <w:tc>
          <w:tcPr>
            <w:tcW w:w="1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(127,941)</w:t>
            </w:r>
          </w:p>
        </w:tc>
        <w:tc>
          <w:tcPr>
            <w:tcW w:w="1000" w:type="dxa"/>
            <w:vAlign w:val="bottom"/>
            <w:gridSpan w:val="2"/>
          </w:tcPr>
          <w:p>
            <w:pPr>
              <w:jc w:val="right"/>
              <w:ind w:right="40"/>
              <w:spacing w:after="0"/>
              <w:rPr>
                <w:sz w:val="20"/>
                <w:szCs w:val="20"/>
                <w:color w:val="auto"/>
              </w:rPr>
            </w:pPr>
            <w:r>
              <w:rPr>
                <w:rFonts w:ascii="Arial" w:cs="Arial" w:eastAsia="Arial" w:hAnsi="Arial"/>
                <w:sz w:val="15"/>
                <w:szCs w:val="15"/>
                <w:color w:val="auto"/>
              </w:rPr>
              <w:t>(105,984)</w:t>
            </w:r>
          </w:p>
        </w:tc>
      </w:tr>
      <w:tr>
        <w:trPr>
          <w:trHeight w:val="41"/>
        </w:trPr>
        <w:tc>
          <w:tcPr>
            <w:tcW w:w="47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86"/>
        </w:trPr>
        <w:tc>
          <w:tcPr>
            <w:tcW w:w="4720" w:type="dxa"/>
            <w:vAlign w:val="bottom"/>
            <w:tcBorders>
              <w:bottom w:val="single" w:sz="8" w:color="F7F1EC"/>
            </w:tcBorders>
            <w:shd w:val="clear" w:color="auto" w:fill="F7F1EC"/>
          </w:tcPr>
          <w:p>
            <w:pPr>
              <w:ind w:left="200"/>
              <w:spacing w:after="0"/>
              <w:rPr>
                <w:sz w:val="20"/>
                <w:szCs w:val="20"/>
                <w:color w:val="auto"/>
              </w:rPr>
            </w:pPr>
            <w:r>
              <w:rPr>
                <w:rFonts w:ascii="Arial" w:cs="Arial" w:eastAsia="Arial" w:hAnsi="Arial"/>
                <w:sz w:val="15"/>
                <w:szCs w:val="15"/>
                <w:color w:val="auto"/>
              </w:rPr>
              <w:t>Employee deferred compensation</w:t>
            </w:r>
          </w:p>
        </w:tc>
        <w:tc>
          <w:tcPr>
            <w:tcW w:w="140" w:type="dxa"/>
            <w:vAlign w:val="bottom"/>
            <w:tcBorders>
              <w:bottom w:val="single" w:sz="8" w:color="F7F1EC"/>
            </w:tcBorders>
            <w:shd w:val="clear" w:color="auto" w:fill="F7F1EC"/>
          </w:tcPr>
          <w:p>
            <w:pPr>
              <w:spacing w:after="0"/>
              <w:rPr>
                <w:sz w:val="24"/>
                <w:szCs w:val="24"/>
                <w:color w:val="auto"/>
              </w:rPr>
            </w:pPr>
          </w:p>
        </w:tc>
        <w:tc>
          <w:tcPr>
            <w:tcW w:w="80" w:type="dxa"/>
            <w:vAlign w:val="bottom"/>
            <w:tcBorders>
              <w:bottom w:val="single" w:sz="8" w:color="F7F1EC"/>
            </w:tcBorders>
            <w:shd w:val="clear" w:color="auto" w:fill="F7F1EC"/>
          </w:tcPr>
          <w:p>
            <w:pPr>
              <w:spacing w:after="0"/>
              <w:rPr>
                <w:sz w:val="24"/>
                <w:szCs w:val="24"/>
                <w:color w:val="auto"/>
              </w:rPr>
            </w:pPr>
          </w:p>
        </w:tc>
        <w:tc>
          <w:tcPr>
            <w:tcW w:w="960" w:type="dxa"/>
            <w:vAlign w:val="bottom"/>
            <w:tcBorders>
              <w:bottom w:val="single" w:sz="8" w:color="F7F1EC"/>
            </w:tcBorders>
            <w:shd w:val="clear" w:color="auto" w:fill="F7F1EC"/>
          </w:tcPr>
          <w:p>
            <w:pPr>
              <w:jc w:val="right"/>
              <w:ind w:right="24"/>
              <w:spacing w:after="0"/>
              <w:rPr>
                <w:sz w:val="20"/>
                <w:szCs w:val="20"/>
                <w:color w:val="auto"/>
              </w:rPr>
            </w:pPr>
            <w:r>
              <w:rPr>
                <w:rFonts w:ascii="Arial" w:cs="Arial" w:eastAsia="Arial" w:hAnsi="Arial"/>
                <w:sz w:val="15"/>
                <w:szCs w:val="15"/>
                <w:color w:val="auto"/>
              </w:rPr>
              <w:t>(9,392)</w:t>
            </w:r>
          </w:p>
        </w:tc>
        <w:tc>
          <w:tcPr>
            <w:tcW w:w="180" w:type="dxa"/>
            <w:vAlign w:val="bottom"/>
            <w:tcBorders>
              <w:bottom w:val="single" w:sz="8" w:color="F7F1EC"/>
            </w:tcBorders>
            <w:shd w:val="clear" w:color="auto" w:fill="F7F1EC"/>
          </w:tcPr>
          <w:p>
            <w:pPr>
              <w:spacing w:after="0"/>
              <w:rPr>
                <w:sz w:val="24"/>
                <w:szCs w:val="24"/>
                <w:color w:val="auto"/>
              </w:rPr>
            </w:pPr>
          </w:p>
        </w:tc>
        <w:tc>
          <w:tcPr>
            <w:tcW w:w="880" w:type="dxa"/>
            <w:vAlign w:val="bottom"/>
            <w:tcBorders>
              <w:bottom w:val="single" w:sz="8" w:color="F7F1EC"/>
            </w:tcBorders>
            <w:shd w:val="clear" w:color="auto" w:fill="F7F1EC"/>
          </w:tcPr>
          <w:p>
            <w:pPr>
              <w:jc w:val="right"/>
              <w:spacing w:after="0"/>
              <w:rPr>
                <w:sz w:val="20"/>
                <w:szCs w:val="20"/>
                <w:color w:val="auto"/>
              </w:rPr>
            </w:pPr>
            <w:r>
              <w:rPr>
                <w:rFonts w:ascii="Arial" w:cs="Arial" w:eastAsia="Arial" w:hAnsi="Arial"/>
                <w:sz w:val="15"/>
                <w:szCs w:val="15"/>
                <w:color w:val="auto"/>
              </w:rPr>
              <w:t>(4,815)</w:t>
            </w:r>
          </w:p>
        </w:tc>
        <w:tc>
          <w:tcPr>
            <w:tcW w:w="1000" w:type="dxa"/>
            <w:vAlign w:val="bottom"/>
            <w:tcBorders>
              <w:bottom w:val="single" w:sz="8" w:color="F7F1EC"/>
            </w:tcBorders>
            <w:gridSpan w:val="2"/>
            <w:shd w:val="clear" w:color="auto" w:fill="F7F1EC"/>
          </w:tcPr>
          <w:p>
            <w:pPr>
              <w:jc w:val="right"/>
              <w:ind w:right="40"/>
              <w:spacing w:after="0"/>
              <w:rPr>
                <w:sz w:val="20"/>
                <w:szCs w:val="20"/>
                <w:color w:val="auto"/>
              </w:rPr>
            </w:pPr>
            <w:r>
              <w:rPr>
                <w:rFonts w:ascii="Arial" w:cs="Arial" w:eastAsia="Arial" w:hAnsi="Arial"/>
                <w:sz w:val="15"/>
                <w:szCs w:val="15"/>
                <w:color w:val="auto"/>
              </w:rPr>
              <w:t>(4,101)</w:t>
            </w:r>
          </w:p>
        </w:tc>
      </w:tr>
      <w:tr>
        <w:trPr>
          <w:trHeight w:val="265"/>
        </w:trPr>
        <w:tc>
          <w:tcPr>
            <w:tcW w:w="4720" w:type="dxa"/>
            <w:vAlign w:val="bottom"/>
          </w:tcPr>
          <w:p>
            <w:pPr>
              <w:ind w:left="200"/>
              <w:spacing w:after="0"/>
              <w:rPr>
                <w:sz w:val="20"/>
                <w:szCs w:val="20"/>
                <w:color w:val="auto"/>
              </w:rPr>
            </w:pPr>
            <w:r>
              <w:rPr>
                <w:rFonts w:ascii="Arial" w:cs="Arial" w:eastAsia="Arial" w:hAnsi="Arial"/>
                <w:sz w:val="15"/>
                <w:szCs w:val="15"/>
                <w:color w:val="auto"/>
              </w:rPr>
              <w:t>Loss on extinguishment of debt</w:t>
            </w: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60" w:type="dxa"/>
            <w:vAlign w:val="bottom"/>
          </w:tcPr>
          <w:p>
            <w:pPr>
              <w:jc w:val="right"/>
              <w:ind w:right="64"/>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(3,983)</w:t>
            </w:r>
          </w:p>
        </w:tc>
        <w:tc>
          <w:tcPr>
            <w:tcW w:w="100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r>
      <w:tr>
        <w:trPr>
          <w:trHeight w:val="41"/>
        </w:trPr>
        <w:tc>
          <w:tcPr>
            <w:tcW w:w="47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Borders>
              <w:bottom w:val="single" w:sz="8" w:color="002B5F"/>
            </w:tcBorders>
          </w:tcPr>
          <w:p>
            <w:pPr>
              <w:spacing w:after="0"/>
              <w:rPr>
                <w:sz w:val="3"/>
                <w:szCs w:val="3"/>
                <w:color w:val="auto"/>
              </w:rPr>
            </w:pPr>
          </w:p>
        </w:tc>
        <w:tc>
          <w:tcPr>
            <w:tcW w:w="960" w:type="dxa"/>
            <w:vAlign w:val="bottom"/>
            <w:tcBorders>
              <w:bottom w:val="single" w:sz="8" w:color="002B5F"/>
            </w:tcBorders>
          </w:tcPr>
          <w:p>
            <w:pPr>
              <w:spacing w:after="0"/>
              <w:rPr>
                <w:sz w:val="3"/>
                <w:szCs w:val="3"/>
                <w:color w:val="auto"/>
              </w:rPr>
            </w:pPr>
          </w:p>
        </w:tc>
        <w:tc>
          <w:tcPr>
            <w:tcW w:w="180" w:type="dxa"/>
            <w:vAlign w:val="bottom"/>
            <w:tcBorders>
              <w:bottom w:val="single" w:sz="8" w:color="002B5F"/>
            </w:tcBorders>
          </w:tcPr>
          <w:p>
            <w:pPr>
              <w:spacing w:after="0"/>
              <w:rPr>
                <w:sz w:val="3"/>
                <w:szCs w:val="3"/>
                <w:color w:val="auto"/>
              </w:rPr>
            </w:pPr>
          </w:p>
        </w:tc>
        <w:tc>
          <w:tcPr>
            <w:tcW w:w="880" w:type="dxa"/>
            <w:vAlign w:val="bottom"/>
            <w:tcBorders>
              <w:bottom w:val="single" w:sz="8" w:color="002B5F"/>
            </w:tcBorders>
          </w:tcPr>
          <w:p>
            <w:pPr>
              <w:spacing w:after="0"/>
              <w:rPr>
                <w:sz w:val="3"/>
                <w:szCs w:val="3"/>
                <w:color w:val="auto"/>
              </w:rPr>
            </w:pPr>
          </w:p>
        </w:tc>
        <w:tc>
          <w:tcPr>
            <w:tcW w:w="900" w:type="dxa"/>
            <w:vAlign w:val="bottom"/>
            <w:tcBorders>
              <w:bottom w:val="single" w:sz="8" w:color="002B5F"/>
            </w:tcBorders>
          </w:tcPr>
          <w:p>
            <w:pPr>
              <w:spacing w:after="0"/>
              <w:rPr>
                <w:sz w:val="3"/>
                <w:szCs w:val="3"/>
                <w:color w:val="auto"/>
              </w:rPr>
            </w:pPr>
          </w:p>
        </w:tc>
        <w:tc>
          <w:tcPr>
            <w:tcW w:w="100" w:type="dxa"/>
            <w:vAlign w:val="bottom"/>
          </w:tcPr>
          <w:p>
            <w:pPr>
              <w:spacing w:after="0"/>
              <w:rPr>
                <w:sz w:val="3"/>
                <w:szCs w:val="3"/>
                <w:color w:val="auto"/>
              </w:rPr>
            </w:pPr>
          </w:p>
        </w:tc>
      </w:tr>
      <w:tr>
        <w:trPr>
          <w:trHeight w:val="20"/>
        </w:trPr>
        <w:tc>
          <w:tcPr>
            <w:tcW w:w="4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72"/>
        </w:trPr>
        <w:tc>
          <w:tcPr>
            <w:tcW w:w="4720" w:type="dxa"/>
            <w:vAlign w:val="bottom"/>
            <w:tcBorders>
              <w:bottom w:val="single" w:sz="8" w:color="F7F1EC"/>
            </w:tcBorders>
            <w:shd w:val="clear" w:color="auto" w:fill="F7F1EC"/>
          </w:tcPr>
          <w:p>
            <w:pPr>
              <w:ind w:left="320"/>
              <w:spacing w:after="0"/>
              <w:rPr>
                <w:sz w:val="20"/>
                <w:szCs w:val="20"/>
                <w:color w:val="auto"/>
              </w:rPr>
            </w:pPr>
            <w:r>
              <w:rPr>
                <w:rFonts w:ascii="Arial" w:cs="Arial" w:eastAsia="Arial" w:hAnsi="Arial"/>
                <w:sz w:val="15"/>
                <w:szCs w:val="15"/>
                <w:color w:val="auto"/>
              </w:rPr>
              <w:t>Total general and administrative expense</w:t>
            </w:r>
          </w:p>
        </w:tc>
        <w:tc>
          <w:tcPr>
            <w:tcW w:w="140" w:type="dxa"/>
            <w:vAlign w:val="bottom"/>
            <w:tcBorders>
              <w:bottom w:val="single" w:sz="8" w:color="F7F1EC"/>
            </w:tcBorders>
            <w:shd w:val="clear" w:color="auto" w:fill="F7F1EC"/>
          </w:tcPr>
          <w:p>
            <w:pPr>
              <w:spacing w:after="0"/>
              <w:rPr>
                <w:sz w:val="23"/>
                <w:szCs w:val="23"/>
                <w:color w:val="auto"/>
              </w:rPr>
            </w:pPr>
          </w:p>
        </w:tc>
        <w:tc>
          <w:tcPr>
            <w:tcW w:w="80" w:type="dxa"/>
            <w:vAlign w:val="bottom"/>
            <w:tcBorders>
              <w:bottom w:val="single" w:sz="8" w:color="F7F1EC"/>
            </w:tcBorders>
            <w:shd w:val="clear" w:color="auto" w:fill="F7F1EC"/>
          </w:tcPr>
          <w:p>
            <w:pPr>
              <w:spacing w:after="0"/>
              <w:rPr>
                <w:sz w:val="23"/>
                <w:szCs w:val="23"/>
                <w:color w:val="auto"/>
              </w:rPr>
            </w:pPr>
          </w:p>
        </w:tc>
        <w:tc>
          <w:tcPr>
            <w:tcW w:w="960" w:type="dxa"/>
            <w:vAlign w:val="bottom"/>
            <w:tcBorders>
              <w:bottom w:val="single" w:sz="8" w:color="F7F1EC"/>
            </w:tcBorders>
            <w:shd w:val="clear" w:color="auto" w:fill="F7F1EC"/>
          </w:tcPr>
          <w:p>
            <w:pPr>
              <w:jc w:val="right"/>
              <w:ind w:right="64"/>
              <w:spacing w:after="0"/>
              <w:rPr>
                <w:sz w:val="20"/>
                <w:szCs w:val="20"/>
                <w:color w:val="auto"/>
              </w:rPr>
            </w:pPr>
            <w:r>
              <w:rPr>
                <w:rFonts w:ascii="Arial" w:cs="Arial" w:eastAsia="Arial" w:hAnsi="Arial"/>
                <w:sz w:val="15"/>
                <w:szCs w:val="15"/>
                <w:b w:val="1"/>
                <w:bCs w:val="1"/>
                <w:color w:val="auto"/>
              </w:rPr>
              <w:t>3,414,983</w:t>
            </w:r>
          </w:p>
        </w:tc>
        <w:tc>
          <w:tcPr>
            <w:tcW w:w="180" w:type="dxa"/>
            <w:vAlign w:val="bottom"/>
            <w:tcBorders>
              <w:bottom w:val="single" w:sz="8" w:color="F7F1EC"/>
            </w:tcBorders>
            <w:shd w:val="clear" w:color="auto" w:fill="F7F1EC"/>
          </w:tcPr>
          <w:p>
            <w:pPr>
              <w:spacing w:after="0"/>
              <w:rPr>
                <w:sz w:val="23"/>
                <w:szCs w:val="23"/>
                <w:color w:val="auto"/>
              </w:rPr>
            </w:pPr>
          </w:p>
        </w:tc>
        <w:tc>
          <w:tcPr>
            <w:tcW w:w="880" w:type="dxa"/>
            <w:vAlign w:val="bottom"/>
            <w:tcBorders>
              <w:bottom w:val="single" w:sz="8" w:color="F7F1EC"/>
            </w:tcBorders>
            <w:shd w:val="clear" w:color="auto" w:fill="F7F1EC"/>
          </w:tcPr>
          <w:p>
            <w:pPr>
              <w:jc w:val="right"/>
              <w:ind w:right="24"/>
              <w:spacing w:after="0"/>
              <w:rPr>
                <w:sz w:val="20"/>
                <w:szCs w:val="20"/>
                <w:color w:val="auto"/>
              </w:rPr>
            </w:pPr>
            <w:r>
              <w:rPr>
                <w:rFonts w:ascii="Arial" w:cs="Arial" w:eastAsia="Arial" w:hAnsi="Arial"/>
                <w:sz w:val="15"/>
                <w:szCs w:val="15"/>
                <w:b w:val="1"/>
                <w:bCs w:val="1"/>
                <w:color w:val="auto"/>
              </w:rPr>
              <w:t>2,386,528</w:t>
            </w:r>
          </w:p>
        </w:tc>
        <w:tc>
          <w:tcPr>
            <w:tcW w:w="900" w:type="dxa"/>
            <w:vAlign w:val="bottom"/>
            <w:tcBorders>
              <w:bottom w:val="single" w:sz="8" w:color="F7F1EC"/>
            </w:tcBorders>
            <w:shd w:val="clear" w:color="auto" w:fill="F7F1EC"/>
          </w:tcPr>
          <w:p>
            <w:pPr>
              <w:jc w:val="right"/>
              <w:spacing w:after="0"/>
              <w:rPr>
                <w:sz w:val="20"/>
                <w:szCs w:val="20"/>
                <w:color w:val="auto"/>
              </w:rPr>
            </w:pPr>
            <w:r>
              <w:rPr>
                <w:rFonts w:ascii="Arial" w:cs="Arial" w:eastAsia="Arial" w:hAnsi="Arial"/>
                <w:sz w:val="15"/>
                <w:szCs w:val="15"/>
                <w:b w:val="1"/>
                <w:bCs w:val="1"/>
                <w:color w:val="auto"/>
              </w:rPr>
              <w:t>2,041,172</w:t>
            </w:r>
          </w:p>
        </w:tc>
        <w:tc>
          <w:tcPr>
            <w:tcW w:w="100" w:type="dxa"/>
            <w:vAlign w:val="bottom"/>
            <w:tcBorders>
              <w:bottom w:val="single" w:sz="8" w:color="F7F1EC"/>
            </w:tcBorders>
            <w:shd w:val="clear" w:color="auto" w:fill="F7F1EC"/>
          </w:tcPr>
          <w:p>
            <w:pPr>
              <w:spacing w:after="0"/>
              <w:rPr>
                <w:sz w:val="23"/>
                <w:szCs w:val="23"/>
                <w:color w:val="auto"/>
              </w:rPr>
            </w:pPr>
          </w:p>
        </w:tc>
      </w:tr>
      <w:tr>
        <w:trPr>
          <w:trHeight w:val="20"/>
        </w:trPr>
        <w:tc>
          <w:tcPr>
            <w:tcW w:w="4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2B5F"/>
          </w:tcPr>
          <w:p>
            <w:pPr>
              <w:spacing w:after="0" w:line="20" w:lineRule="exact"/>
              <w:rPr>
                <w:sz w:val="1"/>
                <w:szCs w:val="1"/>
                <w:color w:val="auto"/>
              </w:rPr>
            </w:pPr>
          </w:p>
        </w:tc>
        <w:tc>
          <w:tcPr>
            <w:tcW w:w="960" w:type="dxa"/>
            <w:vAlign w:val="bottom"/>
            <w:shd w:val="clear" w:color="auto" w:fill="002B5F"/>
          </w:tcPr>
          <w:p>
            <w:pPr>
              <w:spacing w:after="0" w:line="20" w:lineRule="exact"/>
              <w:rPr>
                <w:sz w:val="1"/>
                <w:szCs w:val="1"/>
                <w:color w:val="auto"/>
              </w:rPr>
            </w:pPr>
          </w:p>
        </w:tc>
        <w:tc>
          <w:tcPr>
            <w:tcW w:w="180" w:type="dxa"/>
            <w:vAlign w:val="bottom"/>
            <w:shd w:val="clear" w:color="auto" w:fill="002B5F"/>
          </w:tcPr>
          <w:p>
            <w:pPr>
              <w:spacing w:after="0" w:line="20" w:lineRule="exact"/>
              <w:rPr>
                <w:sz w:val="1"/>
                <w:szCs w:val="1"/>
                <w:color w:val="auto"/>
              </w:rPr>
            </w:pPr>
          </w:p>
        </w:tc>
        <w:tc>
          <w:tcPr>
            <w:tcW w:w="880" w:type="dxa"/>
            <w:vAlign w:val="bottom"/>
            <w:shd w:val="clear" w:color="auto" w:fill="002B5F"/>
          </w:tcPr>
          <w:p>
            <w:pPr>
              <w:spacing w:after="0" w:line="20" w:lineRule="exact"/>
              <w:rPr>
                <w:sz w:val="1"/>
                <w:szCs w:val="1"/>
                <w:color w:val="auto"/>
              </w:rPr>
            </w:pPr>
          </w:p>
        </w:tc>
        <w:tc>
          <w:tcPr>
            <w:tcW w:w="900" w:type="dxa"/>
            <w:vAlign w:val="bottom"/>
            <w:shd w:val="clear" w:color="auto" w:fill="002B5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70"/>
        </w:trPr>
        <w:tc>
          <w:tcPr>
            <w:tcW w:w="4720" w:type="dxa"/>
            <w:vAlign w:val="bottom"/>
          </w:tcPr>
          <w:p>
            <w:pPr>
              <w:ind w:left="200"/>
              <w:spacing w:after="0"/>
              <w:rPr>
                <w:sz w:val="20"/>
                <w:szCs w:val="20"/>
                <w:color w:val="auto"/>
              </w:rPr>
            </w:pPr>
            <w:r>
              <w:rPr>
                <w:rFonts w:ascii="Arial" w:cs="Arial" w:eastAsia="Arial" w:hAnsi="Arial"/>
                <w:sz w:val="15"/>
                <w:szCs w:val="15"/>
                <w:color w:val="auto"/>
              </w:rPr>
              <w:t>Promotional (ongoing)</w:t>
            </w: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60" w:type="dxa"/>
            <w:vAlign w:val="bottom"/>
          </w:tcPr>
          <w:p>
            <w:pPr>
              <w:jc w:val="right"/>
              <w:ind w:right="24"/>
              <w:spacing w:after="0"/>
              <w:rPr>
                <w:sz w:val="20"/>
                <w:szCs w:val="20"/>
                <w:color w:val="auto"/>
              </w:rPr>
            </w:pPr>
            <w:r>
              <w:rPr>
                <w:rFonts w:ascii="Arial" w:cs="Arial" w:eastAsia="Arial" w:hAnsi="Arial"/>
                <w:sz w:val="15"/>
                <w:szCs w:val="15"/>
                <w:color w:val="auto"/>
              </w:rPr>
              <w:t>(317,219)</w:t>
            </w:r>
          </w:p>
        </w:tc>
        <w:tc>
          <w:tcPr>
            <w:tcW w:w="1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(363,401)</w:t>
            </w:r>
          </w:p>
        </w:tc>
        <w:tc>
          <w:tcPr>
            <w:tcW w:w="1000" w:type="dxa"/>
            <w:vAlign w:val="bottom"/>
            <w:gridSpan w:val="2"/>
          </w:tcPr>
          <w:p>
            <w:pPr>
              <w:jc w:val="right"/>
              <w:ind w:right="40"/>
              <w:spacing w:after="0"/>
              <w:rPr>
                <w:sz w:val="20"/>
                <w:szCs w:val="20"/>
                <w:color w:val="auto"/>
              </w:rPr>
            </w:pPr>
            <w:r>
              <w:rPr>
                <w:rFonts w:ascii="Arial" w:cs="Arial" w:eastAsia="Arial" w:hAnsi="Arial"/>
                <w:sz w:val="15"/>
                <w:szCs w:val="15"/>
                <w:color w:val="auto"/>
              </w:rPr>
              <w:t>(280,272)</w:t>
            </w:r>
          </w:p>
        </w:tc>
      </w:tr>
      <w:tr>
        <w:trPr>
          <w:trHeight w:val="41"/>
        </w:trPr>
        <w:tc>
          <w:tcPr>
            <w:tcW w:w="47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86"/>
        </w:trPr>
        <w:tc>
          <w:tcPr>
            <w:tcW w:w="4720" w:type="dxa"/>
            <w:vAlign w:val="bottom"/>
            <w:tcBorders>
              <w:bottom w:val="single" w:sz="8" w:color="F7F1EC"/>
            </w:tcBorders>
            <w:shd w:val="clear" w:color="auto" w:fill="F7F1EC"/>
          </w:tcPr>
          <w:p>
            <w:pPr>
              <w:ind w:left="200"/>
              <w:spacing w:after="0"/>
              <w:rPr>
                <w:sz w:val="20"/>
                <w:szCs w:val="20"/>
                <w:color w:val="auto"/>
              </w:rPr>
            </w:pPr>
            <w:r>
              <w:rPr>
                <w:rFonts w:ascii="Arial" w:cs="Arial" w:eastAsia="Arial" w:hAnsi="Arial"/>
                <w:sz w:val="15"/>
                <w:szCs w:val="15"/>
                <w:color w:val="auto"/>
              </w:rPr>
              <w:t>Transition assistance loan amortization</w:t>
            </w:r>
          </w:p>
        </w:tc>
        <w:tc>
          <w:tcPr>
            <w:tcW w:w="140" w:type="dxa"/>
            <w:vAlign w:val="bottom"/>
            <w:tcBorders>
              <w:bottom w:val="single" w:sz="8" w:color="F7F1EC"/>
            </w:tcBorders>
            <w:shd w:val="clear" w:color="auto" w:fill="F7F1EC"/>
          </w:tcPr>
          <w:p>
            <w:pPr>
              <w:spacing w:after="0"/>
              <w:rPr>
                <w:sz w:val="24"/>
                <w:szCs w:val="24"/>
                <w:color w:val="auto"/>
              </w:rPr>
            </w:pPr>
          </w:p>
        </w:tc>
        <w:tc>
          <w:tcPr>
            <w:tcW w:w="80" w:type="dxa"/>
            <w:vAlign w:val="bottom"/>
            <w:tcBorders>
              <w:bottom w:val="single" w:sz="8" w:color="F7F1EC"/>
            </w:tcBorders>
            <w:shd w:val="clear" w:color="auto" w:fill="F7F1EC"/>
          </w:tcPr>
          <w:p>
            <w:pPr>
              <w:spacing w:after="0"/>
              <w:rPr>
                <w:sz w:val="24"/>
                <w:szCs w:val="24"/>
                <w:color w:val="auto"/>
              </w:rPr>
            </w:pPr>
          </w:p>
        </w:tc>
        <w:tc>
          <w:tcPr>
            <w:tcW w:w="960" w:type="dxa"/>
            <w:vAlign w:val="bottom"/>
            <w:tcBorders>
              <w:bottom w:val="single" w:sz="8" w:color="F7F1EC"/>
            </w:tcBorders>
            <w:shd w:val="clear" w:color="auto" w:fill="F7F1EC"/>
          </w:tcPr>
          <w:p>
            <w:pPr>
              <w:jc w:val="right"/>
              <w:ind w:right="24"/>
              <w:spacing w:after="0"/>
              <w:rPr>
                <w:sz w:val="20"/>
                <w:szCs w:val="20"/>
                <w:color w:val="auto"/>
              </w:rPr>
            </w:pPr>
            <w:r>
              <w:rPr>
                <w:rFonts w:ascii="Arial" w:cs="Arial" w:eastAsia="Arial" w:hAnsi="Arial"/>
                <w:sz w:val="15"/>
                <w:szCs w:val="15"/>
                <w:color w:val="auto"/>
              </w:rPr>
              <w:t>(408,678)</w:t>
            </w:r>
          </w:p>
        </w:tc>
        <w:tc>
          <w:tcPr>
            <w:tcW w:w="180" w:type="dxa"/>
            <w:vAlign w:val="bottom"/>
            <w:tcBorders>
              <w:bottom w:val="single" w:sz="8" w:color="F7F1EC"/>
            </w:tcBorders>
            <w:shd w:val="clear" w:color="auto" w:fill="F7F1EC"/>
          </w:tcPr>
          <w:p>
            <w:pPr>
              <w:spacing w:after="0"/>
              <w:rPr>
                <w:sz w:val="24"/>
                <w:szCs w:val="24"/>
                <w:color w:val="auto"/>
              </w:rPr>
            </w:pPr>
          </w:p>
        </w:tc>
        <w:tc>
          <w:tcPr>
            <w:tcW w:w="880" w:type="dxa"/>
            <w:vAlign w:val="bottom"/>
            <w:tcBorders>
              <w:bottom w:val="single" w:sz="8" w:color="F7F1EC"/>
            </w:tcBorders>
            <w:shd w:val="clear" w:color="auto" w:fill="F7F1EC"/>
          </w:tcPr>
          <w:p>
            <w:pPr>
              <w:jc w:val="right"/>
              <w:spacing w:after="0"/>
              <w:rPr>
                <w:sz w:val="20"/>
                <w:szCs w:val="20"/>
                <w:color w:val="auto"/>
              </w:rPr>
            </w:pPr>
            <w:r>
              <w:rPr>
                <w:rFonts w:ascii="Arial" w:cs="Arial" w:eastAsia="Arial" w:hAnsi="Arial"/>
                <w:sz w:val="15"/>
                <w:szCs w:val="15"/>
                <w:color w:val="auto"/>
              </w:rPr>
              <w:t>(265,537)</w:t>
            </w:r>
          </w:p>
        </w:tc>
        <w:tc>
          <w:tcPr>
            <w:tcW w:w="1000" w:type="dxa"/>
            <w:vAlign w:val="bottom"/>
            <w:tcBorders>
              <w:bottom w:val="single" w:sz="8" w:color="F7F1EC"/>
            </w:tcBorders>
            <w:gridSpan w:val="2"/>
            <w:shd w:val="clear" w:color="auto" w:fill="F7F1EC"/>
          </w:tcPr>
          <w:p>
            <w:pPr>
              <w:jc w:val="right"/>
              <w:ind w:right="40"/>
              <w:spacing w:after="0"/>
              <w:rPr>
                <w:sz w:val="20"/>
                <w:szCs w:val="20"/>
                <w:color w:val="auto"/>
              </w:rPr>
            </w:pPr>
            <w:r>
              <w:rPr>
                <w:rFonts w:ascii="Arial" w:cs="Arial" w:eastAsia="Arial" w:hAnsi="Arial"/>
                <w:sz w:val="15"/>
                <w:szCs w:val="15"/>
                <w:color w:val="auto"/>
              </w:rPr>
              <w:t>(206,054)</w:t>
            </w:r>
          </w:p>
        </w:tc>
      </w:tr>
      <w:tr>
        <w:trPr>
          <w:trHeight w:val="265"/>
        </w:trPr>
        <w:tc>
          <w:tcPr>
            <w:tcW w:w="4720" w:type="dxa"/>
            <w:vAlign w:val="bottom"/>
          </w:tcPr>
          <w:p>
            <w:pPr>
              <w:ind w:left="200"/>
              <w:spacing w:after="0"/>
              <w:rPr>
                <w:sz w:val="20"/>
                <w:szCs w:val="20"/>
                <w:color w:val="auto"/>
              </w:rPr>
            </w:pPr>
            <w:r>
              <w:rPr>
                <w:rFonts w:ascii="Arial" w:cs="Arial" w:eastAsia="Arial" w:hAnsi="Arial"/>
                <w:sz w:val="15"/>
                <w:szCs w:val="15"/>
                <w:color w:val="auto"/>
              </w:rPr>
              <w:t>Regulatory charges</w:t>
            </w: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60" w:type="dxa"/>
            <w:vAlign w:val="bottom"/>
          </w:tcPr>
          <w:p>
            <w:pPr>
              <w:jc w:val="right"/>
              <w:ind w:right="24"/>
              <w:spacing w:after="0"/>
              <w:rPr>
                <w:sz w:val="20"/>
                <w:szCs w:val="20"/>
                <w:color w:val="auto"/>
              </w:rPr>
            </w:pPr>
            <w:r>
              <w:rPr>
                <w:rFonts w:ascii="Arial" w:cs="Arial" w:eastAsia="Arial" w:hAnsi="Arial"/>
                <w:sz w:val="15"/>
                <w:szCs w:val="15"/>
                <w:color w:val="auto"/>
              </w:rPr>
              <w:t>(29,028)</w:t>
            </w:r>
          </w:p>
        </w:tc>
        <w:tc>
          <w:tcPr>
            <w:tcW w:w="1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(47,278)</w:t>
            </w:r>
          </w:p>
        </w:tc>
        <w:tc>
          <w:tcPr>
            <w:tcW w:w="1000" w:type="dxa"/>
            <w:vAlign w:val="bottom"/>
            <w:gridSpan w:val="2"/>
          </w:tcPr>
          <w:p>
            <w:pPr>
              <w:jc w:val="right"/>
              <w:ind w:right="40"/>
              <w:spacing w:after="0"/>
              <w:rPr>
                <w:sz w:val="20"/>
                <w:szCs w:val="20"/>
                <w:color w:val="auto"/>
              </w:rPr>
            </w:pPr>
            <w:r>
              <w:rPr>
                <w:rFonts w:ascii="Arial" w:cs="Arial" w:eastAsia="Arial" w:hAnsi="Arial"/>
                <w:sz w:val="15"/>
                <w:szCs w:val="15"/>
                <w:color w:val="auto"/>
              </w:rPr>
              <w:t>(71,320)</w:t>
            </w:r>
          </w:p>
        </w:tc>
      </w:tr>
      <w:tr>
        <w:trPr>
          <w:trHeight w:val="41"/>
        </w:trPr>
        <w:tc>
          <w:tcPr>
            <w:tcW w:w="47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86"/>
        </w:trPr>
        <w:tc>
          <w:tcPr>
            <w:tcW w:w="4720" w:type="dxa"/>
            <w:vAlign w:val="bottom"/>
            <w:tcBorders>
              <w:bottom w:val="single" w:sz="8" w:color="F7F1EC"/>
            </w:tcBorders>
            <w:shd w:val="clear" w:color="auto" w:fill="F7F1EC"/>
          </w:tcPr>
          <w:p>
            <w:pPr>
              <w:ind w:left="200"/>
              <w:spacing w:after="0"/>
              <w:rPr>
                <w:sz w:val="20"/>
                <w:szCs w:val="20"/>
                <w:color w:val="auto"/>
              </w:rPr>
            </w:pPr>
            <w:r>
              <w:rPr>
                <w:rFonts w:ascii="Arial" w:cs="Arial" w:eastAsia="Arial" w:hAnsi="Arial"/>
                <w:sz w:val="15"/>
                <w:szCs w:val="15"/>
                <w:color w:val="auto"/>
              </w:rPr>
              <w:t>Employee share-based compensation</w:t>
            </w:r>
          </w:p>
        </w:tc>
        <w:tc>
          <w:tcPr>
            <w:tcW w:w="140" w:type="dxa"/>
            <w:vAlign w:val="bottom"/>
            <w:tcBorders>
              <w:bottom w:val="single" w:sz="8" w:color="F7F1EC"/>
            </w:tcBorders>
            <w:shd w:val="clear" w:color="auto" w:fill="F7F1EC"/>
          </w:tcPr>
          <w:p>
            <w:pPr>
              <w:spacing w:after="0"/>
              <w:rPr>
                <w:sz w:val="24"/>
                <w:szCs w:val="24"/>
                <w:color w:val="auto"/>
              </w:rPr>
            </w:pPr>
          </w:p>
        </w:tc>
        <w:tc>
          <w:tcPr>
            <w:tcW w:w="80" w:type="dxa"/>
            <w:vAlign w:val="bottom"/>
            <w:tcBorders>
              <w:bottom w:val="single" w:sz="8" w:color="F7F1EC"/>
            </w:tcBorders>
            <w:shd w:val="clear" w:color="auto" w:fill="F7F1EC"/>
          </w:tcPr>
          <w:p>
            <w:pPr>
              <w:spacing w:after="0"/>
              <w:rPr>
                <w:sz w:val="24"/>
                <w:szCs w:val="24"/>
                <w:color w:val="auto"/>
              </w:rPr>
            </w:pPr>
          </w:p>
        </w:tc>
        <w:tc>
          <w:tcPr>
            <w:tcW w:w="960" w:type="dxa"/>
            <w:vAlign w:val="bottom"/>
            <w:tcBorders>
              <w:bottom w:val="single" w:sz="8" w:color="F7F1EC"/>
            </w:tcBorders>
            <w:shd w:val="clear" w:color="auto" w:fill="F7F1EC"/>
          </w:tcPr>
          <w:p>
            <w:pPr>
              <w:jc w:val="right"/>
              <w:ind w:right="24"/>
              <w:spacing w:after="0"/>
              <w:rPr>
                <w:sz w:val="20"/>
                <w:szCs w:val="20"/>
                <w:color w:val="auto"/>
              </w:rPr>
            </w:pPr>
            <w:r>
              <w:rPr>
                <w:rFonts w:ascii="Arial" w:cs="Arial" w:eastAsia="Arial" w:hAnsi="Arial"/>
                <w:sz w:val="15"/>
                <w:szCs w:val="15"/>
                <w:color w:val="auto"/>
              </w:rPr>
              <w:t>(75,956)</w:t>
            </w:r>
          </w:p>
        </w:tc>
        <w:tc>
          <w:tcPr>
            <w:tcW w:w="180" w:type="dxa"/>
            <w:vAlign w:val="bottom"/>
            <w:tcBorders>
              <w:bottom w:val="single" w:sz="8" w:color="F7F1EC"/>
            </w:tcBorders>
            <w:shd w:val="clear" w:color="auto" w:fill="F7F1EC"/>
          </w:tcPr>
          <w:p>
            <w:pPr>
              <w:spacing w:after="0"/>
              <w:rPr>
                <w:sz w:val="24"/>
                <w:szCs w:val="24"/>
                <w:color w:val="auto"/>
              </w:rPr>
            </w:pPr>
          </w:p>
        </w:tc>
        <w:tc>
          <w:tcPr>
            <w:tcW w:w="880" w:type="dxa"/>
            <w:vAlign w:val="bottom"/>
            <w:tcBorders>
              <w:bottom w:val="single" w:sz="8" w:color="F7F1EC"/>
            </w:tcBorders>
            <w:shd w:val="clear" w:color="auto" w:fill="F7F1EC"/>
          </w:tcPr>
          <w:p>
            <w:pPr>
              <w:jc w:val="right"/>
              <w:spacing w:after="0"/>
              <w:rPr>
                <w:sz w:val="20"/>
                <w:szCs w:val="20"/>
                <w:color w:val="auto"/>
              </w:rPr>
            </w:pPr>
            <w:r>
              <w:rPr>
                <w:rFonts w:ascii="Arial" w:cs="Arial" w:eastAsia="Arial" w:hAnsi="Arial"/>
                <w:sz w:val="15"/>
                <w:szCs w:val="15"/>
                <w:color w:val="auto"/>
              </w:rPr>
              <w:t>(88,957)</w:t>
            </w:r>
          </w:p>
        </w:tc>
        <w:tc>
          <w:tcPr>
            <w:tcW w:w="1000" w:type="dxa"/>
            <w:vAlign w:val="bottom"/>
            <w:tcBorders>
              <w:bottom w:val="single" w:sz="8" w:color="F7F1EC"/>
            </w:tcBorders>
            <w:gridSpan w:val="2"/>
            <w:shd w:val="clear" w:color="auto" w:fill="F7F1EC"/>
          </w:tcPr>
          <w:p>
            <w:pPr>
              <w:jc w:val="right"/>
              <w:ind w:right="40"/>
              <w:spacing w:after="0"/>
              <w:rPr>
                <w:sz w:val="20"/>
                <w:szCs w:val="20"/>
                <w:color w:val="auto"/>
              </w:rPr>
            </w:pPr>
            <w:r>
              <w:rPr>
                <w:rFonts w:ascii="Arial" w:cs="Arial" w:eastAsia="Arial" w:hAnsi="Arial"/>
                <w:sz w:val="15"/>
                <w:szCs w:val="15"/>
                <w:color w:val="auto"/>
              </w:rPr>
              <w:t>(66,024)</w:t>
            </w:r>
          </w:p>
        </w:tc>
      </w:tr>
      <w:tr>
        <w:trPr>
          <w:trHeight w:val="265"/>
        </w:trPr>
        <w:tc>
          <w:tcPr>
            <w:tcW w:w="4720" w:type="dxa"/>
            <w:vAlign w:val="bottom"/>
          </w:tcPr>
          <w:p>
            <w:pPr>
              <w:ind w:left="200"/>
              <w:spacing w:after="0"/>
              <w:rPr>
                <w:sz w:val="20"/>
                <w:szCs w:val="20"/>
                <w:color w:val="auto"/>
              </w:rPr>
            </w:pPr>
            <w:r>
              <w:rPr>
                <w:rFonts w:ascii="Arial" w:cs="Arial" w:eastAsia="Arial" w:hAnsi="Arial"/>
                <w:sz w:val="15"/>
                <w:szCs w:val="15"/>
                <w:color w:val="auto"/>
              </w:rPr>
              <w:t>Acquisition costs</w:t>
            </w: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60" w:type="dxa"/>
            <w:vAlign w:val="bottom"/>
          </w:tcPr>
          <w:p>
            <w:pPr>
              <w:jc w:val="right"/>
              <w:ind w:right="24"/>
              <w:spacing w:after="0"/>
              <w:rPr>
                <w:sz w:val="20"/>
                <w:szCs w:val="20"/>
                <w:color w:val="auto"/>
              </w:rPr>
            </w:pPr>
            <w:r>
              <w:rPr>
                <w:rFonts w:ascii="Arial" w:cs="Arial" w:eastAsia="Arial" w:hAnsi="Arial"/>
                <w:sz w:val="15"/>
                <w:szCs w:val="15"/>
                <w:color w:val="auto"/>
              </w:rPr>
              <w:t>(731,961)</w:t>
            </w:r>
          </w:p>
        </w:tc>
        <w:tc>
          <w:tcPr>
            <w:tcW w:w="1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(105,905)</w:t>
            </w:r>
          </w:p>
        </w:tc>
        <w:tc>
          <w:tcPr>
            <w:tcW w:w="1000" w:type="dxa"/>
            <w:vAlign w:val="bottom"/>
            <w:gridSpan w:val="2"/>
          </w:tcPr>
          <w:p>
            <w:pPr>
              <w:jc w:val="right"/>
              <w:ind w:right="40"/>
              <w:spacing w:after="0"/>
              <w:rPr>
                <w:sz w:val="20"/>
                <w:szCs w:val="20"/>
                <w:color w:val="auto"/>
              </w:rPr>
            </w:pPr>
            <w:r>
              <w:rPr>
                <w:rFonts w:ascii="Arial" w:cs="Arial" w:eastAsia="Arial" w:hAnsi="Arial"/>
                <w:sz w:val="15"/>
                <w:szCs w:val="15"/>
                <w:color w:val="auto"/>
              </w:rPr>
              <w:t>(48,103)</w:t>
            </w:r>
          </w:p>
        </w:tc>
      </w:tr>
      <w:tr>
        <w:trPr>
          <w:trHeight w:val="41"/>
        </w:trPr>
        <w:tc>
          <w:tcPr>
            <w:tcW w:w="47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Borders>
              <w:bottom w:val="single" w:sz="8" w:color="002B5F"/>
            </w:tcBorders>
          </w:tcPr>
          <w:p>
            <w:pPr>
              <w:spacing w:after="0"/>
              <w:rPr>
                <w:sz w:val="3"/>
                <w:szCs w:val="3"/>
                <w:color w:val="auto"/>
              </w:rPr>
            </w:pPr>
          </w:p>
        </w:tc>
        <w:tc>
          <w:tcPr>
            <w:tcW w:w="960" w:type="dxa"/>
            <w:vAlign w:val="bottom"/>
            <w:tcBorders>
              <w:bottom w:val="single" w:sz="8" w:color="002B5F"/>
            </w:tcBorders>
          </w:tcPr>
          <w:p>
            <w:pPr>
              <w:spacing w:after="0"/>
              <w:rPr>
                <w:sz w:val="3"/>
                <w:szCs w:val="3"/>
                <w:color w:val="auto"/>
              </w:rPr>
            </w:pPr>
          </w:p>
        </w:tc>
        <w:tc>
          <w:tcPr>
            <w:tcW w:w="180" w:type="dxa"/>
            <w:vAlign w:val="bottom"/>
            <w:tcBorders>
              <w:bottom w:val="single" w:sz="8" w:color="002B5F"/>
            </w:tcBorders>
          </w:tcPr>
          <w:p>
            <w:pPr>
              <w:spacing w:after="0"/>
              <w:rPr>
                <w:sz w:val="3"/>
                <w:szCs w:val="3"/>
                <w:color w:val="auto"/>
              </w:rPr>
            </w:pPr>
          </w:p>
        </w:tc>
        <w:tc>
          <w:tcPr>
            <w:tcW w:w="880" w:type="dxa"/>
            <w:vAlign w:val="bottom"/>
            <w:tcBorders>
              <w:bottom w:val="single" w:sz="8" w:color="002B5F"/>
            </w:tcBorders>
          </w:tcPr>
          <w:p>
            <w:pPr>
              <w:spacing w:after="0"/>
              <w:rPr>
                <w:sz w:val="3"/>
                <w:szCs w:val="3"/>
                <w:color w:val="auto"/>
              </w:rPr>
            </w:pPr>
          </w:p>
        </w:tc>
        <w:tc>
          <w:tcPr>
            <w:tcW w:w="900" w:type="dxa"/>
            <w:vAlign w:val="bottom"/>
            <w:tcBorders>
              <w:bottom w:val="single" w:sz="8" w:color="002B5F"/>
            </w:tcBorders>
          </w:tcPr>
          <w:p>
            <w:pPr>
              <w:spacing w:after="0"/>
              <w:rPr>
                <w:sz w:val="3"/>
                <w:szCs w:val="3"/>
                <w:color w:val="auto"/>
              </w:rPr>
            </w:pPr>
          </w:p>
        </w:tc>
        <w:tc>
          <w:tcPr>
            <w:tcW w:w="100" w:type="dxa"/>
            <w:vAlign w:val="bottom"/>
          </w:tcPr>
          <w:p>
            <w:pPr>
              <w:spacing w:after="0"/>
              <w:rPr>
                <w:sz w:val="3"/>
                <w:szCs w:val="3"/>
                <w:color w:val="auto"/>
              </w:rPr>
            </w:pPr>
          </w:p>
        </w:tc>
      </w:tr>
      <w:tr>
        <w:trPr>
          <w:trHeight w:val="20"/>
        </w:trPr>
        <w:tc>
          <w:tcPr>
            <w:tcW w:w="4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72"/>
        </w:trPr>
        <w:tc>
          <w:tcPr>
            <w:tcW w:w="4720" w:type="dxa"/>
            <w:vAlign w:val="bottom"/>
            <w:tcBorders>
              <w:bottom w:val="single" w:sz="8" w:color="F7F1EC"/>
            </w:tcBorders>
            <w:shd w:val="clear" w:color="auto" w:fill="F7F1EC"/>
          </w:tcPr>
          <w:p>
            <w:pPr>
              <w:ind w:left="60"/>
              <w:spacing w:after="0"/>
              <w:rPr>
                <w:sz w:val="20"/>
                <w:szCs w:val="20"/>
                <w:color w:val="auto"/>
              </w:rPr>
            </w:pPr>
            <w:r>
              <w:rPr>
                <w:rFonts w:ascii="Arial" w:cs="Arial" w:eastAsia="Arial" w:hAnsi="Arial"/>
                <w:sz w:val="15"/>
                <w:szCs w:val="15"/>
                <w:b w:val="1"/>
                <w:bCs w:val="1"/>
                <w:color w:val="auto"/>
              </w:rPr>
              <w:t>Core G&amp;A</w:t>
            </w:r>
          </w:p>
        </w:tc>
        <w:tc>
          <w:tcPr>
            <w:tcW w:w="220" w:type="dxa"/>
            <w:vAlign w:val="bottom"/>
            <w:tcBorders>
              <w:bottom w:val="single" w:sz="8" w:color="F7F1EC"/>
            </w:tcBorders>
            <w:gridSpan w:val="2"/>
            <w:shd w:val="clear" w:color="auto" w:fill="F7F1EC"/>
          </w:tcPr>
          <w:p>
            <w:pPr>
              <w:jc w:val="right"/>
              <w:spacing w:after="0"/>
              <w:rPr>
                <w:sz w:val="20"/>
                <w:szCs w:val="20"/>
                <w:color w:val="auto"/>
              </w:rPr>
            </w:pPr>
            <w:r>
              <w:rPr>
                <w:rFonts w:ascii="Arial" w:cs="Arial" w:eastAsia="Arial" w:hAnsi="Arial"/>
                <w:sz w:val="15"/>
                <w:szCs w:val="15"/>
                <w:b w:val="1"/>
                <w:bCs w:val="1"/>
                <w:color w:val="auto"/>
              </w:rPr>
              <w:t>$</w:t>
            </w:r>
          </w:p>
        </w:tc>
        <w:tc>
          <w:tcPr>
            <w:tcW w:w="960" w:type="dxa"/>
            <w:vAlign w:val="bottom"/>
            <w:tcBorders>
              <w:bottom w:val="single" w:sz="8" w:color="F7F1EC"/>
            </w:tcBorders>
            <w:shd w:val="clear" w:color="auto" w:fill="F7F1EC"/>
          </w:tcPr>
          <w:p>
            <w:pPr>
              <w:jc w:val="right"/>
              <w:ind w:right="64"/>
              <w:spacing w:after="0"/>
              <w:rPr>
                <w:sz w:val="20"/>
                <w:szCs w:val="20"/>
                <w:color w:val="auto"/>
              </w:rPr>
            </w:pPr>
            <w:r>
              <w:rPr>
                <w:rFonts w:ascii="Arial" w:cs="Arial" w:eastAsia="Arial" w:hAnsi="Arial"/>
                <w:sz w:val="15"/>
                <w:szCs w:val="15"/>
                <w:b w:val="1"/>
                <w:bCs w:val="1"/>
                <w:color w:val="auto"/>
              </w:rPr>
              <w:t>1,852,141</w:t>
            </w:r>
          </w:p>
        </w:tc>
        <w:tc>
          <w:tcPr>
            <w:tcW w:w="180" w:type="dxa"/>
            <w:vAlign w:val="bottom"/>
            <w:tcBorders>
              <w:bottom w:val="single" w:sz="8" w:color="F7F1EC"/>
            </w:tcBorders>
            <w:shd w:val="clear" w:color="auto" w:fill="F7F1EC"/>
          </w:tcPr>
          <w:p>
            <w:pPr>
              <w:jc w:val="right"/>
              <w:spacing w:after="0"/>
              <w:rPr>
                <w:sz w:val="20"/>
                <w:szCs w:val="20"/>
                <w:color w:val="auto"/>
              </w:rPr>
            </w:pPr>
            <w:r>
              <w:rPr>
                <w:rFonts w:ascii="Arial" w:cs="Arial" w:eastAsia="Arial" w:hAnsi="Arial"/>
                <w:sz w:val="15"/>
                <w:szCs w:val="15"/>
                <w:b w:val="1"/>
                <w:bCs w:val="1"/>
                <w:color w:val="auto"/>
              </w:rPr>
              <w:t>$</w:t>
            </w:r>
          </w:p>
        </w:tc>
        <w:tc>
          <w:tcPr>
            <w:tcW w:w="880" w:type="dxa"/>
            <w:vAlign w:val="bottom"/>
            <w:tcBorders>
              <w:bottom w:val="single" w:sz="8" w:color="F7F1EC"/>
            </w:tcBorders>
            <w:shd w:val="clear" w:color="auto" w:fill="F7F1EC"/>
          </w:tcPr>
          <w:p>
            <w:pPr>
              <w:jc w:val="right"/>
              <w:ind w:right="24"/>
              <w:spacing w:after="0"/>
              <w:rPr>
                <w:sz w:val="20"/>
                <w:szCs w:val="20"/>
                <w:color w:val="auto"/>
              </w:rPr>
            </w:pPr>
            <w:r>
              <w:rPr>
                <w:rFonts w:ascii="Arial" w:cs="Arial" w:eastAsia="Arial" w:hAnsi="Arial"/>
                <w:sz w:val="15"/>
                <w:szCs w:val="15"/>
                <w:b w:val="1"/>
                <w:bCs w:val="1"/>
                <w:color w:val="auto"/>
              </w:rPr>
              <w:t>1,515,450</w:t>
            </w:r>
          </w:p>
        </w:tc>
        <w:tc>
          <w:tcPr>
            <w:tcW w:w="900" w:type="dxa"/>
            <w:vAlign w:val="bottom"/>
            <w:tcBorders>
              <w:bottom w:val="single" w:sz="8" w:color="F7F1EC"/>
            </w:tcBorders>
            <w:shd w:val="clear" w:color="auto" w:fill="F7F1EC"/>
          </w:tcPr>
          <w:p>
            <w:pPr>
              <w:jc w:val="right"/>
              <w:spacing w:after="0"/>
              <w:rPr>
                <w:sz w:val="20"/>
                <w:szCs w:val="20"/>
                <w:color w:val="auto"/>
              </w:rPr>
            </w:pPr>
            <w:r>
              <w:rPr>
                <w:rFonts w:ascii="Arial" w:cs="Arial" w:eastAsia="Arial" w:hAnsi="Arial"/>
                <w:sz w:val="15"/>
                <w:szCs w:val="15"/>
                <w:b w:val="1"/>
                <w:bCs w:val="1"/>
                <w:color w:val="auto"/>
              </w:rPr>
              <w:t>$ 1,369,399</w:t>
            </w:r>
          </w:p>
        </w:tc>
        <w:tc>
          <w:tcPr>
            <w:tcW w:w="100" w:type="dxa"/>
            <w:vAlign w:val="bottom"/>
            <w:tcBorders>
              <w:bottom w:val="single" w:sz="8" w:color="F7F1EC"/>
            </w:tcBorders>
            <w:shd w:val="clear" w:color="auto" w:fill="F7F1EC"/>
          </w:tcPr>
          <w:p>
            <w:pPr>
              <w:spacing w:after="0"/>
              <w:rPr>
                <w:sz w:val="23"/>
                <w:szCs w:val="23"/>
                <w:color w:val="auto"/>
              </w:rPr>
            </w:pPr>
          </w:p>
        </w:tc>
      </w:tr>
      <w:tr>
        <w:trPr>
          <w:trHeight w:val="38"/>
        </w:trPr>
        <w:tc>
          <w:tcPr>
            <w:tcW w:w="47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shd w:val="clear" w:color="auto" w:fill="002B5F"/>
          </w:tcPr>
          <w:p>
            <w:pPr>
              <w:spacing w:after="0"/>
              <w:rPr>
                <w:sz w:val="3"/>
                <w:szCs w:val="3"/>
                <w:color w:val="auto"/>
              </w:rPr>
            </w:pPr>
          </w:p>
        </w:tc>
        <w:tc>
          <w:tcPr>
            <w:tcW w:w="960" w:type="dxa"/>
            <w:vAlign w:val="bottom"/>
            <w:shd w:val="clear" w:color="auto" w:fill="002B5F"/>
          </w:tcPr>
          <w:p>
            <w:pPr>
              <w:spacing w:after="0"/>
              <w:rPr>
                <w:sz w:val="3"/>
                <w:szCs w:val="3"/>
                <w:color w:val="auto"/>
              </w:rPr>
            </w:pPr>
          </w:p>
        </w:tc>
        <w:tc>
          <w:tcPr>
            <w:tcW w:w="180" w:type="dxa"/>
            <w:vAlign w:val="bottom"/>
            <w:shd w:val="clear" w:color="auto" w:fill="002B5F"/>
          </w:tcPr>
          <w:p>
            <w:pPr>
              <w:spacing w:after="0"/>
              <w:rPr>
                <w:sz w:val="3"/>
                <w:szCs w:val="3"/>
                <w:color w:val="auto"/>
              </w:rPr>
            </w:pPr>
          </w:p>
        </w:tc>
        <w:tc>
          <w:tcPr>
            <w:tcW w:w="880" w:type="dxa"/>
            <w:vAlign w:val="bottom"/>
            <w:shd w:val="clear" w:color="auto" w:fill="002B5F"/>
          </w:tcPr>
          <w:p>
            <w:pPr>
              <w:spacing w:after="0"/>
              <w:rPr>
                <w:sz w:val="3"/>
                <w:szCs w:val="3"/>
                <w:color w:val="auto"/>
              </w:rPr>
            </w:pPr>
          </w:p>
        </w:tc>
        <w:tc>
          <w:tcPr>
            <w:tcW w:w="900" w:type="dxa"/>
            <w:vAlign w:val="bottom"/>
            <w:shd w:val="clear" w:color="auto" w:fill="002B5F"/>
          </w:tcPr>
          <w:p>
            <w:pPr>
              <w:spacing w:after="0"/>
              <w:rPr>
                <w:sz w:val="3"/>
                <w:szCs w:val="3"/>
                <w:color w:val="auto"/>
              </w:rPr>
            </w:pPr>
          </w:p>
        </w:tc>
        <w:tc>
          <w:tcPr>
            <w:tcW w:w="100" w:type="dxa"/>
            <w:vAlign w:val="bottom"/>
          </w:tcPr>
          <w:p>
            <w:pPr>
              <w:spacing w:after="0"/>
              <w:rPr>
                <w:sz w:val="3"/>
                <w:szCs w:val="3"/>
                <w:color w:val="auto"/>
              </w:rPr>
            </w:pPr>
          </w:p>
        </w:tc>
      </w:tr>
    </w:tbl>
    <w:p>
      <w:pPr>
        <w:spacing w:after="0" w:line="473" w:lineRule="exact"/>
        <w:rPr>
          <w:sz w:val="20"/>
          <w:szCs w:val="20"/>
          <w:color w:val="auto"/>
        </w:rPr>
      </w:pPr>
    </w:p>
    <w:p>
      <w:pPr>
        <w:sectPr>
          <w:pgSz w:w="11900" w:h="16838" w:orient="portrait"/>
          <w:cols w:equalWidth="0" w:num="2">
            <w:col w:w="2160" w:space="560"/>
            <w:col w:w="7980"/>
          </w:cols>
          <w:pgMar w:left="320" w:top="464" w:right="879" w:bottom="1440" w:gutter="0" w:footer="0" w:header="0"/>
        </w:sectPr>
      </w:pPr>
    </w:p>
    <w:p>
      <w:pPr>
        <w:spacing w:after="0" w:line="200" w:lineRule="exact"/>
        <w:rPr>
          <w:sz w:val="20"/>
          <w:szCs w:val="20"/>
          <w:color w:val="auto"/>
        </w:rPr>
      </w:pPr>
    </w:p>
    <w:p>
      <w:pPr>
        <w:spacing w:after="0" w:line="385" w:lineRule="exact"/>
        <w:rPr>
          <w:sz w:val="20"/>
          <w:szCs w:val="20"/>
          <w:color w:val="auto"/>
        </w:rPr>
      </w:pPr>
    </w:p>
    <w:p>
      <w:pPr>
        <w:ind w:left="420"/>
        <w:spacing w:after="0"/>
        <w:tabs>
          <w:tab w:leader="none" w:pos="2380" w:val="left"/>
          <w:tab w:leader="none" w:pos="2800" w:val="left"/>
        </w:tabs>
        <w:rPr>
          <w:sz w:val="20"/>
          <w:szCs w:val="20"/>
          <w:color w:val="auto"/>
        </w:rPr>
      </w:pPr>
      <w:r>
        <w:rPr>
          <w:rFonts w:ascii="Arial" w:cs="Arial" w:eastAsia="Arial" w:hAnsi="Arial"/>
          <w:sz w:val="30"/>
          <w:szCs w:val="30"/>
          <w:color w:val="000000"/>
          <w:vertAlign w:val="superscript"/>
        </w:rPr>
        <w:t xml:space="preserve">             </w:t>
      </w:r>
      <w:r>
        <w:rPr>
          <w:sz w:val="20"/>
          <w:szCs w:val="20"/>
          <w:color w:val="auto"/>
        </w:rPr>
        <w:tab/>
      </w:r>
      <w:r>
        <w:rPr>
          <w:rFonts w:ascii="Arial" w:cs="Arial" w:eastAsia="Arial" w:hAnsi="Arial"/>
          <w:sz w:val="31"/>
          <w:szCs w:val="31"/>
          <w:color w:val="auto"/>
          <w:vertAlign w:val="superscript"/>
        </w:rPr>
        <w:t xml:space="preserve">    </w:t>
      </w:r>
      <w:r>
        <w:rPr>
          <w:sz w:val="20"/>
          <w:szCs w:val="20"/>
          <w:color w:val="auto"/>
        </w:rPr>
        <w:tab/>
      </w:r>
      <w:r>
        <w:rPr>
          <w:rFonts w:ascii="Arial" w:cs="Arial" w:eastAsia="Arial" w:hAnsi="Arial"/>
          <w:sz w:val="15"/>
          <w:szCs w:val="15"/>
          <w:b w:val="1"/>
          <w:bCs w:val="1"/>
          <w:color w:val="002B5F"/>
        </w:rPr>
        <w:t xml:space="preserve">98  </w:t>
      </w:r>
      <w:r>
        <w:rPr>
          <w:rFonts w:ascii="Arial" w:cs="Arial" w:eastAsia="Arial" w:hAnsi="Arial"/>
          <w:sz w:val="20"/>
          <w:szCs w:val="20"/>
          <w:color w:val="002B5F"/>
        </w:rPr>
        <w:t>|</w:t>
      </w:r>
      <w:r>
        <w:rPr>
          <w:rFonts w:ascii="Arial" w:cs="Arial" w:eastAsia="Arial" w:hAnsi="Arial"/>
          <w:sz w:val="15"/>
          <w:szCs w:val="15"/>
          <w:b w:val="1"/>
          <w:bCs w:val="1"/>
          <w:color w:val="002B5F"/>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6111875</wp:posOffset>
            </wp:positionH>
            <wp:positionV relativeFrom="paragraph">
              <wp:posOffset>-208915</wp:posOffset>
            </wp:positionV>
            <wp:extent cx="769620" cy="971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69620" cy="97155"/>
                    </a:xfrm>
                    <a:prstGeom prst="rect">
                      <a:avLst/>
                    </a:prstGeom>
                    <a:noFill/>
                  </pic:spPr>
                </pic:pic>
              </a:graphicData>
            </a:graphic>
          </wp:anchor>
        </w:drawing>
      </w:r>
    </w:p>
    <w:p>
      <w:pPr>
        <w:sectPr>
          <w:pgSz w:w="11900" w:h="16838" w:orient="portrait"/>
          <w:cols w:equalWidth="0" w:num="1">
            <w:col w:w="10700"/>
          </w:cols>
          <w:pgMar w:left="320" w:top="464" w:right="879" w:bottom="1440" w:gutter="0" w:footer="0" w:header="0"/>
          <w:type w:val="continuous"/>
        </w:sectPr>
      </w:pPr>
    </w:p>
    <w:bookmarkStart w:id="106" w:name="page107"/>
    <w:bookmarkEnd w:id="10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5334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181215" cy="5334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5617845</wp:posOffset>
            </wp:positionH>
            <wp:positionV relativeFrom="paragraph">
              <wp:posOffset>253365</wp:posOffset>
            </wp:positionV>
            <wp:extent cx="1256030" cy="747204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1256030" cy="7472045"/>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tbl>
      <w:tblPr>
        <w:tblLayout w:type="fixed"/>
        <w:tblInd w:w="540" w:type="dxa"/>
        <w:tblCellMar>
          <w:top w:w="0" w:type="dxa"/>
          <w:left w:w="0" w:type="dxa"/>
          <w:bottom w:w="0" w:type="dxa"/>
          <w:right w:w="0" w:type="dxa"/>
        </w:tblCellMar>
      </w:tblPr>
      <w:tr>
        <w:trPr>
          <w:trHeight w:val="179"/>
        </w:trPr>
        <w:tc>
          <w:tcPr>
            <w:tcW w:w="8540" w:type="dxa"/>
            <w:vAlign w:val="bottom"/>
            <w:gridSpan w:val="5"/>
          </w:tcPr>
          <w:p>
            <w:pPr>
              <w:spacing w:after="0"/>
              <w:rPr>
                <w:sz w:val="20"/>
                <w:szCs w:val="20"/>
                <w:color w:val="auto"/>
              </w:rPr>
            </w:pPr>
            <w:r>
              <w:rPr>
                <w:rFonts w:ascii="Arial" w:cs="Arial" w:eastAsia="Arial" w:hAnsi="Arial"/>
                <w:sz w:val="15"/>
                <w:szCs w:val="15"/>
                <w:color w:val="auto"/>
              </w:rPr>
              <w:t>Set forth below is a reconciliation of the Company’s net income to EBITDA, Adjusted EBITDA and Incentive EBITDA</w:t>
            </w:r>
          </w:p>
        </w:tc>
        <w:tc>
          <w:tcPr>
            <w:tcW w:w="1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4920" w:type="dxa"/>
            <w:vAlign w:val="bottom"/>
          </w:tcPr>
          <w:p>
            <w:pPr>
              <w:spacing w:after="0"/>
              <w:rPr>
                <w:sz w:val="20"/>
                <w:szCs w:val="20"/>
                <w:color w:val="auto"/>
              </w:rPr>
            </w:pPr>
            <w:r>
              <w:rPr>
                <w:rFonts w:ascii="Arial" w:cs="Arial" w:eastAsia="Arial" w:hAnsi="Arial"/>
                <w:sz w:val="15"/>
                <w:szCs w:val="15"/>
                <w:color w:val="auto"/>
              </w:rPr>
              <w:t>for the periods presented (in thousands):</w:t>
            </w:r>
          </w:p>
        </w:tc>
        <w:tc>
          <w:tcPr>
            <w:tcW w:w="10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60" w:type="dxa"/>
            <w:vAlign w:val="bottom"/>
            <w:vMerge w:val="restart"/>
          </w:tcPr>
          <w:p>
            <w:pPr>
              <w:ind w:left="460"/>
              <w:spacing w:after="0"/>
              <w:rPr>
                <w:sz w:val="20"/>
                <w:szCs w:val="20"/>
                <w:color w:val="auto"/>
              </w:rPr>
            </w:pPr>
            <w:r>
              <w:rPr>
                <w:rFonts w:ascii="Arial" w:cs="Arial" w:eastAsia="Arial" w:hAnsi="Arial"/>
                <w:sz w:val="15"/>
                <w:szCs w:val="15"/>
                <w:color w:val="auto"/>
              </w:rPr>
              <w:t> </w:t>
            </w:r>
          </w:p>
        </w:tc>
        <w:tc>
          <w:tcPr>
            <w:tcW w:w="1280" w:type="dxa"/>
            <w:vAlign w:val="bottom"/>
            <w:vMerge w:val="restart"/>
          </w:tcPr>
          <w:p>
            <w:pPr>
              <w:ind w:left="140"/>
              <w:spacing w:after="0"/>
              <w:rPr>
                <w:sz w:val="20"/>
                <w:szCs w:val="20"/>
                <w:color w:val="auto"/>
              </w:rPr>
            </w:pPr>
            <w:r>
              <w:rPr>
                <w:rFonts w:ascii="Arial" w:cs="Arial" w:eastAsia="Arial" w:hAnsi="Arial"/>
                <w:sz w:val="12"/>
                <w:szCs w:val="12"/>
                <w:color w:val="FFFFFF"/>
              </w:rPr>
              <w:t>General</w:t>
            </w:r>
          </w:p>
        </w:tc>
        <w:tc>
          <w:tcPr>
            <w:tcW w:w="440" w:type="dxa"/>
            <w:vAlign w:val="bottom"/>
            <w:vMerge w:val="restart"/>
          </w:tcPr>
          <w:p>
            <w:pPr>
              <w:ind w:left="80"/>
              <w:spacing w:after="0"/>
              <w:rPr>
                <w:sz w:val="20"/>
                <w:szCs w:val="20"/>
                <w:color w:val="auto"/>
              </w:rPr>
            </w:pPr>
            <w:r>
              <w:rPr>
                <w:rFonts w:ascii="Arial" w:cs="Arial" w:eastAsia="Arial" w:hAnsi="Arial"/>
                <w:sz w:val="15"/>
                <w:szCs w:val="15"/>
                <w:color w:val="auto"/>
              </w:rPr>
              <w:t xml:space="preserve">       </w:t>
            </w:r>
          </w:p>
        </w:tc>
        <w:tc>
          <w:tcPr>
            <w:tcW w:w="0" w:type="dxa"/>
            <w:vAlign w:val="bottom"/>
          </w:tcPr>
          <w:p>
            <w:pPr>
              <w:spacing w:after="0"/>
              <w:rPr>
                <w:sz w:val="1"/>
                <w:szCs w:val="1"/>
                <w:color w:val="auto"/>
              </w:rPr>
            </w:pPr>
          </w:p>
        </w:tc>
      </w:tr>
      <w:tr>
        <w:trPr>
          <w:trHeight w:val="29"/>
        </w:trPr>
        <w:tc>
          <w:tcPr>
            <w:tcW w:w="49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94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1280" w:type="dxa"/>
            <w:vAlign w:val="bottom"/>
            <w:vMerge w:val="continue"/>
          </w:tcPr>
          <w:p>
            <w:pPr>
              <w:spacing w:after="0"/>
              <w:rPr>
                <w:sz w:val="2"/>
                <w:szCs w:val="2"/>
                <w:color w:val="auto"/>
              </w:rPr>
            </w:pPr>
          </w:p>
        </w:tc>
        <w:tc>
          <w:tcPr>
            <w:tcW w:w="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8"/>
        </w:trPr>
        <w:tc>
          <w:tcPr>
            <w:tcW w:w="49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Information</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4920" w:type="dxa"/>
            <w:vAlign w:val="bottom"/>
          </w:tcPr>
          <w:p>
            <w:pPr>
              <w:spacing w:after="0"/>
              <w:rPr>
                <w:sz w:val="21"/>
                <w:szCs w:val="21"/>
                <w:color w:val="auto"/>
              </w:rPr>
            </w:pPr>
          </w:p>
        </w:tc>
        <w:tc>
          <w:tcPr>
            <w:tcW w:w="3620" w:type="dxa"/>
            <w:vAlign w:val="bottom"/>
            <w:gridSpan w:val="4"/>
          </w:tcPr>
          <w:p>
            <w:pPr>
              <w:ind w:left="640"/>
              <w:spacing w:after="0"/>
              <w:rPr>
                <w:sz w:val="20"/>
                <w:szCs w:val="20"/>
                <w:color w:val="auto"/>
              </w:rPr>
            </w:pPr>
            <w:r>
              <w:rPr>
                <w:rFonts w:ascii="Arial" w:cs="Arial" w:eastAsia="Arial" w:hAnsi="Arial"/>
                <w:sz w:val="14"/>
                <w:szCs w:val="14"/>
                <w:b w:val="1"/>
                <w:bCs w:val="1"/>
                <w:color w:val="002B5F"/>
              </w:rPr>
              <w:t>Years Ended December 31,</w:t>
            </w:r>
          </w:p>
        </w:tc>
        <w:tc>
          <w:tcPr>
            <w:tcW w:w="1280" w:type="dxa"/>
            <w:vAlign w:val="bottom"/>
          </w:tcPr>
          <w:p>
            <w:pPr>
              <w:ind w:left="140"/>
              <w:spacing w:after="0"/>
              <w:rPr>
                <w:sz w:val="20"/>
                <w:szCs w:val="20"/>
                <w:color w:val="auto"/>
              </w:rPr>
            </w:pPr>
            <w:r>
              <w:rPr>
                <w:rFonts w:ascii="Arial" w:cs="Arial" w:eastAsia="Arial" w:hAnsi="Arial"/>
                <w:sz w:val="12"/>
                <w:szCs w:val="12"/>
                <w:color w:val="FFFFFF"/>
              </w:rPr>
              <w:t>General Information</w:t>
            </w: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7"/>
        </w:trPr>
        <w:tc>
          <w:tcPr>
            <w:tcW w:w="4920" w:type="dxa"/>
            <w:vAlign w:val="bottom"/>
          </w:tcPr>
          <w:p>
            <w:pPr>
              <w:spacing w:after="0"/>
              <w:rPr>
                <w:sz w:val="8"/>
                <w:szCs w:val="8"/>
                <w:color w:val="auto"/>
              </w:rPr>
            </w:pPr>
          </w:p>
        </w:tc>
        <w:tc>
          <w:tcPr>
            <w:tcW w:w="1020" w:type="dxa"/>
            <w:vAlign w:val="bottom"/>
            <w:tcBorders>
              <w:top w:val="single" w:sz="8" w:color="002B5F"/>
            </w:tcBorders>
            <w:vMerge w:val="restart"/>
          </w:tcPr>
          <w:p>
            <w:pPr>
              <w:jc w:val="right"/>
              <w:ind w:right="269"/>
              <w:spacing w:after="0"/>
              <w:rPr>
                <w:sz w:val="20"/>
                <w:szCs w:val="20"/>
                <w:color w:val="auto"/>
              </w:rPr>
            </w:pPr>
            <w:r>
              <w:rPr>
                <w:rFonts w:ascii="Arial" w:cs="Arial" w:eastAsia="Arial" w:hAnsi="Arial"/>
                <w:sz w:val="14"/>
                <w:szCs w:val="14"/>
                <w:b w:val="1"/>
                <w:bCs w:val="1"/>
                <w:color w:val="002B5F"/>
              </w:rPr>
              <w:t>2025</w:t>
            </w:r>
          </w:p>
        </w:tc>
        <w:tc>
          <w:tcPr>
            <w:tcW w:w="1000" w:type="dxa"/>
            <w:vAlign w:val="bottom"/>
            <w:tcBorders>
              <w:top w:val="single" w:sz="8" w:color="002B5F"/>
            </w:tcBorders>
            <w:vMerge w:val="restart"/>
          </w:tcPr>
          <w:p>
            <w:pPr>
              <w:jc w:val="right"/>
              <w:ind w:right="268"/>
              <w:spacing w:after="0"/>
              <w:rPr>
                <w:sz w:val="20"/>
                <w:szCs w:val="20"/>
                <w:color w:val="auto"/>
              </w:rPr>
            </w:pPr>
            <w:r>
              <w:rPr>
                <w:rFonts w:ascii="Arial" w:cs="Arial" w:eastAsia="Arial" w:hAnsi="Arial"/>
                <w:sz w:val="14"/>
                <w:szCs w:val="14"/>
                <w:b w:val="1"/>
                <w:bCs w:val="1"/>
                <w:color w:val="002B5F"/>
              </w:rPr>
              <w:t>2024</w:t>
            </w:r>
          </w:p>
        </w:tc>
        <w:tc>
          <w:tcPr>
            <w:tcW w:w="940" w:type="dxa"/>
            <w:vAlign w:val="bottom"/>
            <w:tcBorders>
              <w:top w:val="single" w:sz="8" w:color="002B5F"/>
            </w:tcBorders>
            <w:vMerge w:val="restart"/>
          </w:tcPr>
          <w:p>
            <w:pPr>
              <w:jc w:val="right"/>
              <w:ind w:right="248"/>
              <w:spacing w:after="0"/>
              <w:rPr>
                <w:sz w:val="20"/>
                <w:szCs w:val="20"/>
                <w:color w:val="auto"/>
              </w:rPr>
            </w:pPr>
            <w:r>
              <w:rPr>
                <w:rFonts w:ascii="Arial" w:cs="Arial" w:eastAsia="Arial" w:hAnsi="Arial"/>
                <w:sz w:val="14"/>
                <w:szCs w:val="14"/>
                <w:b w:val="1"/>
                <w:bCs w:val="1"/>
                <w:color w:val="002B5F"/>
              </w:rPr>
              <w:t>2023</w:t>
            </w:r>
          </w:p>
        </w:tc>
        <w:tc>
          <w:tcPr>
            <w:tcW w:w="660" w:type="dxa"/>
            <w:vAlign w:val="bottom"/>
          </w:tcPr>
          <w:p>
            <w:pPr>
              <w:spacing w:after="0"/>
              <w:rPr>
                <w:sz w:val="8"/>
                <w:szCs w:val="8"/>
                <w:color w:val="auto"/>
              </w:rPr>
            </w:pPr>
          </w:p>
        </w:tc>
        <w:tc>
          <w:tcPr>
            <w:tcW w:w="1280" w:type="dxa"/>
            <w:vAlign w:val="bottom"/>
          </w:tcPr>
          <w:p>
            <w:pPr>
              <w:ind w:left="140"/>
              <w:spacing w:after="0" w:line="97" w:lineRule="exact"/>
              <w:rPr>
                <w:sz w:val="20"/>
                <w:szCs w:val="20"/>
                <w:color w:val="auto"/>
              </w:rPr>
            </w:pPr>
            <w:r>
              <w:rPr>
                <w:rFonts w:ascii="Arial" w:cs="Arial" w:eastAsia="Arial" w:hAnsi="Arial"/>
                <w:sz w:val="11"/>
                <w:szCs w:val="11"/>
                <w:color w:val="FFFFFF"/>
              </w:rPr>
              <w:t>About Corporate</w:t>
            </w: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4920" w:type="dxa"/>
            <w:vAlign w:val="bottom"/>
            <w:tcBorders>
              <w:bottom w:val="single" w:sz="8" w:color="002B5F"/>
            </w:tcBorders>
          </w:tcPr>
          <w:p>
            <w:pPr>
              <w:spacing w:after="0"/>
              <w:rPr>
                <w:sz w:val="10"/>
                <w:szCs w:val="10"/>
                <w:color w:val="auto"/>
              </w:rPr>
            </w:pPr>
          </w:p>
        </w:tc>
        <w:tc>
          <w:tcPr>
            <w:tcW w:w="1020" w:type="dxa"/>
            <w:vAlign w:val="bottom"/>
            <w:tcBorders>
              <w:bottom w:val="single" w:sz="8" w:color="002B5F"/>
            </w:tcBorders>
            <w:vMerge w:val="continue"/>
          </w:tcPr>
          <w:p>
            <w:pPr>
              <w:spacing w:after="0"/>
              <w:rPr>
                <w:sz w:val="10"/>
                <w:szCs w:val="10"/>
                <w:color w:val="auto"/>
              </w:rPr>
            </w:pPr>
          </w:p>
        </w:tc>
        <w:tc>
          <w:tcPr>
            <w:tcW w:w="1000" w:type="dxa"/>
            <w:vAlign w:val="bottom"/>
            <w:tcBorders>
              <w:bottom w:val="single" w:sz="8" w:color="002B5F"/>
            </w:tcBorders>
            <w:vMerge w:val="continue"/>
          </w:tcPr>
          <w:p>
            <w:pPr>
              <w:spacing w:after="0"/>
              <w:rPr>
                <w:sz w:val="10"/>
                <w:szCs w:val="10"/>
                <w:color w:val="auto"/>
              </w:rPr>
            </w:pPr>
          </w:p>
        </w:tc>
        <w:tc>
          <w:tcPr>
            <w:tcW w:w="940" w:type="dxa"/>
            <w:vAlign w:val="bottom"/>
            <w:tcBorders>
              <w:bottom w:val="single" w:sz="8" w:color="002B5F"/>
            </w:tcBorders>
            <w:vMerge w:val="continue"/>
          </w:tcPr>
          <w:p>
            <w:pPr>
              <w:spacing w:after="0"/>
              <w:rPr>
                <w:sz w:val="10"/>
                <w:szCs w:val="10"/>
                <w:color w:val="auto"/>
              </w:rPr>
            </w:pPr>
          </w:p>
        </w:tc>
        <w:tc>
          <w:tcPr>
            <w:tcW w:w="660" w:type="dxa"/>
            <w:vAlign w:val="bottom"/>
          </w:tcPr>
          <w:p>
            <w:pPr>
              <w:spacing w:after="0"/>
              <w:rPr>
                <w:sz w:val="10"/>
                <w:szCs w:val="10"/>
                <w:color w:val="auto"/>
              </w:rPr>
            </w:pPr>
          </w:p>
        </w:tc>
        <w:tc>
          <w:tcPr>
            <w:tcW w:w="1280" w:type="dxa"/>
            <w:vAlign w:val="bottom"/>
          </w:tcPr>
          <w:p>
            <w:pPr>
              <w:ind w:left="140"/>
              <w:spacing w:after="0" w:line="100" w:lineRule="exact"/>
              <w:rPr>
                <w:sz w:val="20"/>
                <w:szCs w:val="20"/>
                <w:color w:val="auto"/>
              </w:rPr>
            </w:pPr>
            <w:r>
              <w:rPr>
                <w:rFonts w:ascii="Arial" w:cs="Arial" w:eastAsia="Arial" w:hAnsi="Arial"/>
                <w:sz w:val="11"/>
                <w:szCs w:val="11"/>
                <w:color w:val="FFFFFF"/>
              </w:rPr>
              <w:t>Governance</w:t>
            </w: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0"/>
        </w:trPr>
        <w:tc>
          <w:tcPr>
            <w:tcW w:w="4920" w:type="dxa"/>
            <w:vAlign w:val="bottom"/>
            <w:vMerge w:val="restart"/>
            <w:shd w:val="clear" w:color="auto" w:fill="F7F1EC"/>
          </w:tcPr>
          <w:p>
            <w:pPr>
              <w:ind w:left="60"/>
              <w:spacing w:after="0"/>
              <w:rPr>
                <w:sz w:val="20"/>
                <w:szCs w:val="20"/>
                <w:color w:val="auto"/>
              </w:rPr>
            </w:pPr>
            <w:r>
              <w:rPr>
                <w:rFonts w:ascii="Arial" w:cs="Arial" w:eastAsia="Arial" w:hAnsi="Arial"/>
                <w:sz w:val="15"/>
                <w:szCs w:val="15"/>
                <w:color w:val="auto"/>
              </w:rPr>
              <w:t>Net income</w:t>
            </w:r>
          </w:p>
        </w:tc>
        <w:tc>
          <w:tcPr>
            <w:tcW w:w="1020" w:type="dxa"/>
            <w:vAlign w:val="bottom"/>
            <w:vMerge w:val="restart"/>
            <w:shd w:val="clear" w:color="auto" w:fill="F7F1EC"/>
          </w:tcPr>
          <w:p>
            <w:pPr>
              <w:jc w:val="right"/>
              <w:ind w:right="29"/>
              <w:spacing w:after="0"/>
              <w:rPr>
                <w:sz w:val="20"/>
                <w:szCs w:val="20"/>
                <w:color w:val="auto"/>
              </w:rPr>
            </w:pPr>
            <w:r>
              <w:rPr>
                <w:rFonts w:ascii="Arial" w:cs="Arial" w:eastAsia="Arial" w:hAnsi="Arial"/>
                <w:sz w:val="15"/>
                <w:szCs w:val="15"/>
                <w:color w:val="auto"/>
              </w:rPr>
              <w:t>$  863,024</w:t>
            </w:r>
          </w:p>
        </w:tc>
        <w:tc>
          <w:tcPr>
            <w:tcW w:w="1000" w:type="dxa"/>
            <w:vAlign w:val="bottom"/>
            <w:vMerge w:val="restart"/>
            <w:shd w:val="clear" w:color="auto" w:fill="F7F1EC"/>
          </w:tcPr>
          <w:p>
            <w:pPr>
              <w:jc w:val="right"/>
              <w:ind w:right="28"/>
              <w:spacing w:after="0"/>
              <w:rPr>
                <w:sz w:val="20"/>
                <w:szCs w:val="20"/>
                <w:color w:val="auto"/>
              </w:rPr>
            </w:pPr>
            <w:r>
              <w:rPr>
                <w:rFonts w:ascii="Arial" w:cs="Arial" w:eastAsia="Arial" w:hAnsi="Arial"/>
                <w:sz w:val="15"/>
                <w:szCs w:val="15"/>
                <w:color w:val="auto"/>
              </w:rPr>
              <w:t>$1,058,616</w:t>
            </w:r>
          </w:p>
        </w:tc>
        <w:tc>
          <w:tcPr>
            <w:tcW w:w="940" w:type="dxa"/>
            <w:vAlign w:val="bottom"/>
            <w:vMerge w:val="restart"/>
            <w:shd w:val="clear" w:color="auto" w:fill="F7F1EC"/>
          </w:tcPr>
          <w:p>
            <w:pPr>
              <w:jc w:val="right"/>
              <w:ind w:right="8"/>
              <w:spacing w:after="0"/>
              <w:rPr>
                <w:sz w:val="20"/>
                <w:szCs w:val="20"/>
                <w:color w:val="auto"/>
              </w:rPr>
            </w:pPr>
            <w:r>
              <w:rPr>
                <w:rFonts w:ascii="Arial" w:cs="Arial" w:eastAsia="Arial" w:hAnsi="Arial"/>
                <w:sz w:val="15"/>
                <w:szCs w:val="15"/>
                <w:color w:val="auto"/>
              </w:rPr>
              <w:t>$1,066,250</w:t>
            </w:r>
          </w:p>
        </w:tc>
        <w:tc>
          <w:tcPr>
            <w:tcW w:w="660" w:type="dxa"/>
            <w:vAlign w:val="bottom"/>
          </w:tcPr>
          <w:p>
            <w:pPr>
              <w:spacing w:after="0"/>
              <w:rPr>
                <w:sz w:val="9"/>
                <w:szCs w:val="9"/>
                <w:color w:val="auto"/>
              </w:rPr>
            </w:pPr>
          </w:p>
        </w:tc>
        <w:tc>
          <w:tcPr>
            <w:tcW w:w="1280" w:type="dxa"/>
            <w:vAlign w:val="bottom"/>
          </w:tcPr>
          <w:p>
            <w:pPr>
              <w:ind w:left="140"/>
              <w:spacing w:after="0" w:line="110" w:lineRule="exact"/>
              <w:rPr>
                <w:sz w:val="20"/>
                <w:szCs w:val="20"/>
                <w:color w:val="auto"/>
              </w:rPr>
            </w:pPr>
            <w:r>
              <w:rPr>
                <w:rFonts w:ascii="Arial" w:cs="Arial" w:eastAsia="Arial" w:hAnsi="Arial"/>
                <w:sz w:val="12"/>
                <w:szCs w:val="12"/>
                <w:color w:val="FFFFFF"/>
              </w:rPr>
              <w:t>and the Board of</w:t>
            </w: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4920" w:type="dxa"/>
            <w:vAlign w:val="bottom"/>
            <w:vMerge w:val="continue"/>
            <w:shd w:val="clear" w:color="auto" w:fill="F7F1EC"/>
          </w:tcPr>
          <w:p>
            <w:pPr>
              <w:spacing w:after="0"/>
              <w:rPr>
                <w:sz w:val="13"/>
                <w:szCs w:val="13"/>
                <w:color w:val="auto"/>
              </w:rPr>
            </w:pPr>
          </w:p>
        </w:tc>
        <w:tc>
          <w:tcPr>
            <w:tcW w:w="1020" w:type="dxa"/>
            <w:vAlign w:val="bottom"/>
            <w:vMerge w:val="continue"/>
            <w:shd w:val="clear" w:color="auto" w:fill="F7F1EC"/>
          </w:tcPr>
          <w:p>
            <w:pPr>
              <w:spacing w:after="0"/>
              <w:rPr>
                <w:sz w:val="13"/>
                <w:szCs w:val="13"/>
                <w:color w:val="auto"/>
              </w:rPr>
            </w:pPr>
          </w:p>
        </w:tc>
        <w:tc>
          <w:tcPr>
            <w:tcW w:w="1000" w:type="dxa"/>
            <w:vAlign w:val="bottom"/>
            <w:vMerge w:val="continue"/>
            <w:shd w:val="clear" w:color="auto" w:fill="F7F1EC"/>
          </w:tcPr>
          <w:p>
            <w:pPr>
              <w:spacing w:after="0"/>
              <w:rPr>
                <w:sz w:val="13"/>
                <w:szCs w:val="13"/>
                <w:color w:val="auto"/>
              </w:rPr>
            </w:pPr>
          </w:p>
        </w:tc>
        <w:tc>
          <w:tcPr>
            <w:tcW w:w="940" w:type="dxa"/>
            <w:vAlign w:val="bottom"/>
            <w:vMerge w:val="continue"/>
            <w:shd w:val="clear" w:color="auto" w:fill="F7F1EC"/>
          </w:tcPr>
          <w:p>
            <w:pPr>
              <w:spacing w:after="0"/>
              <w:rPr>
                <w:sz w:val="13"/>
                <w:szCs w:val="13"/>
                <w:color w:val="auto"/>
              </w:rPr>
            </w:pPr>
          </w:p>
        </w:tc>
        <w:tc>
          <w:tcPr>
            <w:tcW w:w="660" w:type="dxa"/>
            <w:vAlign w:val="bottom"/>
          </w:tcPr>
          <w:p>
            <w:pPr>
              <w:spacing w:after="0"/>
              <w:rPr>
                <w:sz w:val="13"/>
                <w:szCs w:val="13"/>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Directors</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
        </w:trPr>
        <w:tc>
          <w:tcPr>
            <w:tcW w:w="4920" w:type="dxa"/>
            <w:vAlign w:val="bottom"/>
            <w:shd w:val="clear" w:color="auto" w:fill="F7F1EC"/>
          </w:tcPr>
          <w:p>
            <w:pPr>
              <w:spacing w:after="0"/>
              <w:rPr>
                <w:sz w:val="2"/>
                <w:szCs w:val="2"/>
                <w:color w:val="auto"/>
              </w:rPr>
            </w:pPr>
          </w:p>
        </w:tc>
        <w:tc>
          <w:tcPr>
            <w:tcW w:w="1020" w:type="dxa"/>
            <w:vAlign w:val="bottom"/>
            <w:shd w:val="clear" w:color="auto" w:fill="F7F1EC"/>
          </w:tcPr>
          <w:p>
            <w:pPr>
              <w:spacing w:after="0"/>
              <w:rPr>
                <w:sz w:val="2"/>
                <w:szCs w:val="2"/>
                <w:color w:val="auto"/>
              </w:rPr>
            </w:pPr>
          </w:p>
        </w:tc>
        <w:tc>
          <w:tcPr>
            <w:tcW w:w="1000" w:type="dxa"/>
            <w:vAlign w:val="bottom"/>
            <w:shd w:val="clear" w:color="auto" w:fill="F7F1EC"/>
          </w:tcPr>
          <w:p>
            <w:pPr>
              <w:spacing w:after="0"/>
              <w:rPr>
                <w:sz w:val="2"/>
                <w:szCs w:val="2"/>
                <w:color w:val="auto"/>
              </w:rPr>
            </w:pPr>
          </w:p>
        </w:tc>
        <w:tc>
          <w:tcPr>
            <w:tcW w:w="940" w:type="dxa"/>
            <w:vAlign w:val="bottom"/>
            <w:shd w:val="clear" w:color="auto" w:fill="F7F1EC"/>
          </w:tcPr>
          <w:p>
            <w:pPr>
              <w:spacing w:after="0"/>
              <w:rPr>
                <w:sz w:val="2"/>
                <w:szCs w:val="2"/>
                <w:color w:val="auto"/>
              </w:rPr>
            </w:pPr>
          </w:p>
        </w:tc>
        <w:tc>
          <w:tcPr>
            <w:tcW w:w="6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64" w:lineRule="exact"/>
        <w:rPr>
          <w:sz w:val="20"/>
          <w:szCs w:val="20"/>
          <w:color w:val="auto"/>
        </w:rPr>
      </w:pPr>
    </w:p>
    <w:p>
      <w:pPr>
        <w:sectPr>
          <w:pgSz w:w="11900" w:h="16838" w:orient="portrait"/>
          <w:cols w:equalWidth="0" w:num="1">
            <w:col w:w="10800"/>
          </w:cols>
          <w:pgMar w:left="320" w:top="464" w:right="779" w:bottom="1440" w:gutter="0" w:footer="0" w:header="0"/>
        </w:sectPr>
      </w:pPr>
    </w:p>
    <w:tbl>
      <w:tblPr>
        <w:tblLayout w:type="fixed"/>
        <w:tblInd w:w="540" w:type="dxa"/>
        <w:tblCellMar>
          <w:top w:w="0" w:type="dxa"/>
          <w:left w:w="0" w:type="dxa"/>
          <w:bottom w:w="0" w:type="dxa"/>
          <w:right w:w="0" w:type="dxa"/>
        </w:tblCellMar>
      </w:tblPr>
      <w:tr>
        <w:trPr>
          <w:trHeight w:val="201"/>
        </w:trPr>
        <w:tc>
          <w:tcPr>
            <w:tcW w:w="4920" w:type="dxa"/>
            <w:vAlign w:val="bottom"/>
          </w:tcPr>
          <w:p>
            <w:pPr>
              <w:ind w:left="200"/>
              <w:spacing w:after="0"/>
              <w:rPr>
                <w:sz w:val="20"/>
                <w:szCs w:val="20"/>
                <w:color w:val="auto"/>
              </w:rPr>
            </w:pPr>
            <w:r>
              <w:rPr>
                <w:rFonts w:ascii="Arial" w:cs="Arial" w:eastAsia="Arial" w:hAnsi="Arial"/>
                <w:sz w:val="15"/>
                <w:szCs w:val="15"/>
                <w:color w:val="auto"/>
              </w:rPr>
              <w:t>Interest expense on borrowings</w:t>
            </w:r>
          </w:p>
        </w:tc>
        <w:tc>
          <w:tcPr>
            <w:tcW w:w="1060" w:type="dxa"/>
            <w:vAlign w:val="bottom"/>
            <w:gridSpan w:val="2"/>
          </w:tcPr>
          <w:p>
            <w:pPr>
              <w:jc w:val="right"/>
              <w:ind w:right="63"/>
              <w:spacing w:after="0"/>
              <w:rPr>
                <w:sz w:val="20"/>
                <w:szCs w:val="20"/>
                <w:color w:val="auto"/>
              </w:rPr>
            </w:pPr>
            <w:r>
              <w:rPr>
                <w:rFonts w:ascii="Arial" w:cs="Arial" w:eastAsia="Arial" w:hAnsi="Arial"/>
                <w:sz w:val="15"/>
                <w:szCs w:val="15"/>
                <w:color w:val="auto"/>
              </w:rPr>
              <w:t>403,406</w:t>
            </w:r>
          </w:p>
        </w:tc>
        <w:tc>
          <w:tcPr>
            <w:tcW w:w="980" w:type="dxa"/>
            <w:vAlign w:val="bottom"/>
          </w:tcPr>
          <w:p>
            <w:pPr>
              <w:jc w:val="right"/>
              <w:ind w:right="43"/>
              <w:spacing w:after="0"/>
              <w:rPr>
                <w:sz w:val="20"/>
                <w:szCs w:val="20"/>
                <w:color w:val="auto"/>
              </w:rPr>
            </w:pPr>
            <w:r>
              <w:rPr>
                <w:rFonts w:ascii="Arial" w:cs="Arial" w:eastAsia="Arial" w:hAnsi="Arial"/>
                <w:sz w:val="15"/>
                <w:szCs w:val="15"/>
                <w:color w:val="auto"/>
              </w:rPr>
              <w:t>274,181</w:t>
            </w:r>
          </w:p>
        </w:tc>
        <w:tc>
          <w:tcPr>
            <w:tcW w:w="840" w:type="dxa"/>
            <w:vAlign w:val="bottom"/>
          </w:tcPr>
          <w:p>
            <w:pPr>
              <w:jc w:val="right"/>
              <w:spacing w:after="0"/>
              <w:rPr>
                <w:sz w:val="20"/>
                <w:szCs w:val="20"/>
                <w:color w:val="auto"/>
              </w:rPr>
            </w:pPr>
            <w:r>
              <w:rPr>
                <w:rFonts w:ascii="Arial" w:cs="Arial" w:eastAsia="Arial" w:hAnsi="Arial"/>
                <w:sz w:val="15"/>
                <w:szCs w:val="15"/>
                <w:color w:val="auto"/>
              </w:rPr>
              <w:t>186,804</w:t>
            </w:r>
          </w:p>
        </w:tc>
        <w:tc>
          <w:tcPr>
            <w:tcW w:w="80" w:type="dxa"/>
            <w:vAlign w:val="bottom"/>
          </w:tcPr>
          <w:p>
            <w:pPr>
              <w:spacing w:after="0"/>
              <w:rPr>
                <w:sz w:val="17"/>
                <w:szCs w:val="17"/>
                <w:color w:val="auto"/>
              </w:rPr>
            </w:pPr>
          </w:p>
        </w:tc>
      </w:tr>
      <w:tr>
        <w:trPr>
          <w:trHeight w:val="41"/>
        </w:trPr>
        <w:tc>
          <w:tcPr>
            <w:tcW w:w="4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920" w:type="dxa"/>
            <w:vAlign w:val="bottom"/>
          </w:tcPr>
          <w:p>
            <w:pPr>
              <w:spacing w:after="0"/>
              <w:rPr>
                <w:sz w:val="3"/>
                <w:szCs w:val="3"/>
                <w:color w:val="auto"/>
              </w:rPr>
            </w:pPr>
          </w:p>
        </w:tc>
        <w:tc>
          <w:tcPr>
            <w:tcW w:w="98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r>
      <w:tr>
        <w:trPr>
          <w:trHeight w:val="286"/>
        </w:trPr>
        <w:tc>
          <w:tcPr>
            <w:tcW w:w="4920" w:type="dxa"/>
            <w:vAlign w:val="bottom"/>
            <w:tcBorders>
              <w:bottom w:val="single" w:sz="8" w:color="F7F1EC"/>
            </w:tcBorders>
            <w:shd w:val="clear" w:color="auto" w:fill="F7F1EC"/>
          </w:tcPr>
          <w:p>
            <w:pPr>
              <w:ind w:left="200"/>
              <w:spacing w:after="0"/>
              <w:rPr>
                <w:sz w:val="20"/>
                <w:szCs w:val="20"/>
                <w:color w:val="auto"/>
              </w:rPr>
            </w:pPr>
            <w:r>
              <w:rPr>
                <w:rFonts w:ascii="Arial" w:cs="Arial" w:eastAsia="Arial" w:hAnsi="Arial"/>
                <w:sz w:val="15"/>
                <w:szCs w:val="15"/>
                <w:color w:val="auto"/>
              </w:rPr>
              <w:t>Provision for income taxes</w:t>
            </w:r>
          </w:p>
        </w:tc>
        <w:tc>
          <w:tcPr>
            <w:tcW w:w="1060" w:type="dxa"/>
            <w:vAlign w:val="bottom"/>
            <w:tcBorders>
              <w:bottom w:val="single" w:sz="8" w:color="F7F1EC"/>
            </w:tcBorders>
            <w:gridSpan w:val="2"/>
            <w:shd w:val="clear" w:color="auto" w:fill="F7F1EC"/>
          </w:tcPr>
          <w:p>
            <w:pPr>
              <w:jc w:val="right"/>
              <w:ind w:right="63"/>
              <w:spacing w:after="0"/>
              <w:rPr>
                <w:sz w:val="20"/>
                <w:szCs w:val="20"/>
                <w:color w:val="auto"/>
              </w:rPr>
            </w:pPr>
            <w:r>
              <w:rPr>
                <w:rFonts w:ascii="Arial" w:cs="Arial" w:eastAsia="Arial" w:hAnsi="Arial"/>
                <w:sz w:val="15"/>
                <w:szCs w:val="15"/>
                <w:color w:val="auto"/>
              </w:rPr>
              <w:t>286,483</w:t>
            </w:r>
          </w:p>
        </w:tc>
        <w:tc>
          <w:tcPr>
            <w:tcW w:w="980" w:type="dxa"/>
            <w:vAlign w:val="bottom"/>
            <w:tcBorders>
              <w:bottom w:val="single" w:sz="8" w:color="F7F1EC"/>
            </w:tcBorders>
            <w:shd w:val="clear" w:color="auto" w:fill="F7F1EC"/>
          </w:tcPr>
          <w:p>
            <w:pPr>
              <w:jc w:val="right"/>
              <w:ind w:right="43"/>
              <w:spacing w:after="0"/>
              <w:rPr>
                <w:sz w:val="20"/>
                <w:szCs w:val="20"/>
                <w:color w:val="auto"/>
              </w:rPr>
            </w:pPr>
            <w:r>
              <w:rPr>
                <w:rFonts w:ascii="Arial" w:cs="Arial" w:eastAsia="Arial" w:hAnsi="Arial"/>
                <w:sz w:val="15"/>
                <w:szCs w:val="15"/>
                <w:color w:val="auto"/>
              </w:rPr>
              <w:t>334,276</w:t>
            </w:r>
          </w:p>
        </w:tc>
        <w:tc>
          <w:tcPr>
            <w:tcW w:w="840" w:type="dxa"/>
            <w:vAlign w:val="bottom"/>
            <w:tcBorders>
              <w:bottom w:val="single" w:sz="8" w:color="F7F1EC"/>
            </w:tcBorders>
            <w:shd w:val="clear" w:color="auto" w:fill="F7F1EC"/>
          </w:tcPr>
          <w:p>
            <w:pPr>
              <w:jc w:val="right"/>
              <w:spacing w:after="0"/>
              <w:rPr>
                <w:sz w:val="20"/>
                <w:szCs w:val="20"/>
                <w:color w:val="auto"/>
              </w:rPr>
            </w:pPr>
            <w:r>
              <w:rPr>
                <w:rFonts w:ascii="Arial" w:cs="Arial" w:eastAsia="Arial" w:hAnsi="Arial"/>
                <w:sz w:val="15"/>
                <w:szCs w:val="15"/>
                <w:color w:val="auto"/>
              </w:rPr>
              <w:t>378,525</w:t>
            </w:r>
          </w:p>
        </w:tc>
        <w:tc>
          <w:tcPr>
            <w:tcW w:w="80" w:type="dxa"/>
            <w:vAlign w:val="bottom"/>
            <w:tcBorders>
              <w:bottom w:val="single" w:sz="8" w:color="F7F1EC"/>
            </w:tcBorders>
            <w:shd w:val="clear" w:color="auto" w:fill="F7F1EC"/>
          </w:tcPr>
          <w:p>
            <w:pPr>
              <w:spacing w:after="0"/>
              <w:rPr>
                <w:sz w:val="24"/>
                <w:szCs w:val="24"/>
                <w:color w:val="auto"/>
              </w:rPr>
            </w:pPr>
          </w:p>
        </w:tc>
      </w:tr>
      <w:tr>
        <w:trPr>
          <w:trHeight w:val="265"/>
        </w:trPr>
        <w:tc>
          <w:tcPr>
            <w:tcW w:w="4920" w:type="dxa"/>
            <w:vAlign w:val="bottom"/>
          </w:tcPr>
          <w:p>
            <w:pPr>
              <w:ind w:left="200"/>
              <w:spacing w:after="0"/>
              <w:rPr>
                <w:sz w:val="20"/>
                <w:szCs w:val="20"/>
                <w:color w:val="auto"/>
              </w:rPr>
            </w:pPr>
            <w:r>
              <w:rPr>
                <w:rFonts w:ascii="Arial" w:cs="Arial" w:eastAsia="Arial" w:hAnsi="Arial"/>
                <w:sz w:val="15"/>
                <w:szCs w:val="15"/>
                <w:color w:val="auto"/>
              </w:rPr>
              <w:t>Depreciation and amortization</w:t>
            </w:r>
          </w:p>
        </w:tc>
        <w:tc>
          <w:tcPr>
            <w:tcW w:w="1060" w:type="dxa"/>
            <w:vAlign w:val="bottom"/>
            <w:gridSpan w:val="2"/>
          </w:tcPr>
          <w:p>
            <w:pPr>
              <w:jc w:val="right"/>
              <w:ind w:right="63"/>
              <w:spacing w:after="0"/>
              <w:rPr>
                <w:sz w:val="20"/>
                <w:szCs w:val="20"/>
                <w:color w:val="auto"/>
              </w:rPr>
            </w:pPr>
            <w:r>
              <w:rPr>
                <w:rFonts w:ascii="Arial" w:cs="Arial" w:eastAsia="Arial" w:hAnsi="Arial"/>
                <w:sz w:val="15"/>
                <w:szCs w:val="15"/>
                <w:color w:val="auto"/>
              </w:rPr>
              <w:t>393,434</w:t>
            </w:r>
          </w:p>
        </w:tc>
        <w:tc>
          <w:tcPr>
            <w:tcW w:w="980" w:type="dxa"/>
            <w:vAlign w:val="bottom"/>
          </w:tcPr>
          <w:p>
            <w:pPr>
              <w:jc w:val="right"/>
              <w:ind w:right="43"/>
              <w:spacing w:after="0"/>
              <w:rPr>
                <w:sz w:val="20"/>
                <w:szCs w:val="20"/>
                <w:color w:val="auto"/>
              </w:rPr>
            </w:pPr>
            <w:r>
              <w:rPr>
                <w:rFonts w:ascii="Arial" w:cs="Arial" w:eastAsia="Arial" w:hAnsi="Arial"/>
                <w:sz w:val="15"/>
                <w:szCs w:val="15"/>
                <w:color w:val="auto"/>
              </w:rPr>
              <w:t>308,527</w:t>
            </w:r>
          </w:p>
        </w:tc>
        <w:tc>
          <w:tcPr>
            <w:tcW w:w="840" w:type="dxa"/>
            <w:vAlign w:val="bottom"/>
          </w:tcPr>
          <w:p>
            <w:pPr>
              <w:jc w:val="right"/>
              <w:spacing w:after="0"/>
              <w:rPr>
                <w:sz w:val="20"/>
                <w:szCs w:val="20"/>
                <w:color w:val="auto"/>
              </w:rPr>
            </w:pPr>
            <w:r>
              <w:rPr>
                <w:rFonts w:ascii="Arial" w:cs="Arial" w:eastAsia="Arial" w:hAnsi="Arial"/>
                <w:sz w:val="15"/>
                <w:szCs w:val="15"/>
                <w:color w:val="auto"/>
              </w:rPr>
              <w:t>246,994</w:t>
            </w:r>
          </w:p>
        </w:tc>
        <w:tc>
          <w:tcPr>
            <w:tcW w:w="80" w:type="dxa"/>
            <w:vAlign w:val="bottom"/>
          </w:tcPr>
          <w:p>
            <w:pPr>
              <w:spacing w:after="0"/>
              <w:rPr>
                <w:sz w:val="23"/>
                <w:szCs w:val="23"/>
                <w:color w:val="auto"/>
              </w:rPr>
            </w:pPr>
          </w:p>
        </w:tc>
      </w:tr>
      <w:tr>
        <w:trPr>
          <w:trHeight w:val="41"/>
        </w:trPr>
        <w:tc>
          <w:tcPr>
            <w:tcW w:w="4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920" w:type="dxa"/>
            <w:vAlign w:val="bottom"/>
          </w:tcPr>
          <w:p>
            <w:pPr>
              <w:spacing w:after="0"/>
              <w:rPr>
                <w:sz w:val="3"/>
                <w:szCs w:val="3"/>
                <w:color w:val="auto"/>
              </w:rPr>
            </w:pPr>
          </w:p>
        </w:tc>
        <w:tc>
          <w:tcPr>
            <w:tcW w:w="98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r>
      <w:tr>
        <w:trPr>
          <w:trHeight w:val="306"/>
        </w:trPr>
        <w:tc>
          <w:tcPr>
            <w:tcW w:w="4920" w:type="dxa"/>
            <w:vAlign w:val="bottom"/>
            <w:tcBorders>
              <w:bottom w:val="single" w:sz="8" w:color="F7F1EC"/>
            </w:tcBorders>
            <w:shd w:val="clear" w:color="auto" w:fill="F7F1EC"/>
          </w:tcPr>
          <w:p>
            <w:pPr>
              <w:ind w:left="200"/>
              <w:spacing w:after="0"/>
              <w:rPr>
                <w:sz w:val="20"/>
                <w:szCs w:val="20"/>
                <w:color w:val="auto"/>
              </w:rPr>
            </w:pPr>
            <w:r>
              <w:rPr>
                <w:rFonts w:ascii="Arial" w:cs="Arial" w:eastAsia="Arial" w:hAnsi="Arial"/>
                <w:sz w:val="15"/>
                <w:szCs w:val="15"/>
                <w:color w:val="auto"/>
              </w:rPr>
              <w:t>Amortization of other intangibles</w:t>
            </w:r>
          </w:p>
        </w:tc>
        <w:tc>
          <w:tcPr>
            <w:tcW w:w="140" w:type="dxa"/>
            <w:vAlign w:val="bottom"/>
            <w:tcBorders>
              <w:bottom w:val="single" w:sz="8" w:color="F7F1EC"/>
            </w:tcBorders>
            <w:shd w:val="clear" w:color="auto" w:fill="F7F1EC"/>
          </w:tcPr>
          <w:p>
            <w:pPr>
              <w:spacing w:after="0"/>
              <w:rPr>
                <w:sz w:val="24"/>
                <w:szCs w:val="24"/>
                <w:color w:val="auto"/>
              </w:rPr>
            </w:pPr>
          </w:p>
        </w:tc>
        <w:tc>
          <w:tcPr>
            <w:tcW w:w="920" w:type="dxa"/>
            <w:vAlign w:val="bottom"/>
            <w:tcBorders>
              <w:bottom w:val="single" w:sz="8" w:color="F7F1EC"/>
            </w:tcBorders>
            <w:shd w:val="clear" w:color="auto" w:fill="F7F1EC"/>
          </w:tcPr>
          <w:p>
            <w:pPr>
              <w:jc w:val="right"/>
              <w:ind w:right="63"/>
              <w:spacing w:after="0"/>
              <w:rPr>
                <w:sz w:val="20"/>
                <w:szCs w:val="20"/>
                <w:color w:val="auto"/>
              </w:rPr>
            </w:pPr>
            <w:r>
              <w:rPr>
                <w:rFonts w:ascii="Arial" w:cs="Arial" w:eastAsia="Arial" w:hAnsi="Arial"/>
                <w:sz w:val="15"/>
                <w:szCs w:val="15"/>
                <w:color w:val="auto"/>
              </w:rPr>
              <w:t>236,578</w:t>
            </w:r>
          </w:p>
        </w:tc>
        <w:tc>
          <w:tcPr>
            <w:tcW w:w="980" w:type="dxa"/>
            <w:vAlign w:val="bottom"/>
            <w:tcBorders>
              <w:bottom w:val="single" w:sz="8" w:color="F7F1EC"/>
            </w:tcBorders>
            <w:shd w:val="clear" w:color="auto" w:fill="F7F1EC"/>
          </w:tcPr>
          <w:p>
            <w:pPr>
              <w:jc w:val="right"/>
              <w:ind w:right="43"/>
              <w:spacing w:after="0"/>
              <w:rPr>
                <w:sz w:val="20"/>
                <w:szCs w:val="20"/>
                <w:color w:val="auto"/>
              </w:rPr>
            </w:pPr>
            <w:r>
              <w:rPr>
                <w:rFonts w:ascii="Arial" w:cs="Arial" w:eastAsia="Arial" w:hAnsi="Arial"/>
                <w:sz w:val="15"/>
                <w:szCs w:val="15"/>
                <w:color w:val="auto"/>
              </w:rPr>
              <w:t>135,234</w:t>
            </w:r>
          </w:p>
        </w:tc>
        <w:tc>
          <w:tcPr>
            <w:tcW w:w="840" w:type="dxa"/>
            <w:vAlign w:val="bottom"/>
            <w:tcBorders>
              <w:bottom w:val="single" w:sz="8" w:color="F7F1EC"/>
            </w:tcBorders>
            <w:shd w:val="clear" w:color="auto" w:fill="F7F1EC"/>
          </w:tcPr>
          <w:p>
            <w:pPr>
              <w:jc w:val="right"/>
              <w:spacing w:after="0"/>
              <w:rPr>
                <w:sz w:val="20"/>
                <w:szCs w:val="20"/>
                <w:color w:val="auto"/>
              </w:rPr>
            </w:pPr>
            <w:r>
              <w:rPr>
                <w:rFonts w:ascii="Arial" w:cs="Arial" w:eastAsia="Arial" w:hAnsi="Arial"/>
                <w:sz w:val="15"/>
                <w:szCs w:val="15"/>
                <w:color w:val="auto"/>
              </w:rPr>
              <w:t>107,211</w:t>
            </w:r>
          </w:p>
        </w:tc>
        <w:tc>
          <w:tcPr>
            <w:tcW w:w="80" w:type="dxa"/>
            <w:vAlign w:val="bottom"/>
            <w:tcBorders>
              <w:bottom w:val="single" w:sz="8" w:color="F7F1EC"/>
            </w:tcBorders>
            <w:shd w:val="clear" w:color="auto" w:fill="F7F1EC"/>
          </w:tcPr>
          <w:p>
            <w:pPr>
              <w:spacing w:after="0"/>
              <w:rPr>
                <w:sz w:val="24"/>
                <w:szCs w:val="24"/>
                <w:color w:val="auto"/>
              </w:rPr>
            </w:pPr>
          </w:p>
        </w:tc>
      </w:tr>
      <w:tr>
        <w:trPr>
          <w:trHeight w:val="278"/>
        </w:trPr>
        <w:tc>
          <w:tcPr>
            <w:tcW w:w="4920" w:type="dxa"/>
            <w:vAlign w:val="bottom"/>
          </w:tcPr>
          <w:p>
            <w:pPr>
              <w:ind w:left="340"/>
              <w:spacing w:after="0"/>
              <w:rPr>
                <w:sz w:val="20"/>
                <w:szCs w:val="20"/>
                <w:color w:val="auto"/>
              </w:rPr>
            </w:pPr>
            <w:r>
              <w:rPr>
                <w:rFonts w:ascii="Arial" w:cs="Arial" w:eastAsia="Arial" w:hAnsi="Arial"/>
                <w:sz w:val="15"/>
                <w:szCs w:val="15"/>
                <w:color w:val="auto"/>
              </w:rPr>
              <w:t>EBITDA</w:t>
            </w:r>
          </w:p>
        </w:tc>
        <w:tc>
          <w:tcPr>
            <w:tcW w:w="140" w:type="dxa"/>
            <w:vAlign w:val="bottom"/>
          </w:tcPr>
          <w:p>
            <w:pPr>
              <w:spacing w:after="0"/>
              <w:rPr>
                <w:sz w:val="24"/>
                <w:szCs w:val="24"/>
                <w:color w:val="auto"/>
              </w:rPr>
            </w:pPr>
          </w:p>
        </w:tc>
        <w:tc>
          <w:tcPr>
            <w:tcW w:w="920" w:type="dxa"/>
            <w:vAlign w:val="bottom"/>
            <w:tcBorders>
              <w:top w:val="single" w:sz="8" w:color="002B5F"/>
            </w:tcBorders>
          </w:tcPr>
          <w:p>
            <w:pPr>
              <w:jc w:val="right"/>
              <w:ind w:right="63"/>
              <w:spacing w:after="0"/>
              <w:rPr>
                <w:sz w:val="20"/>
                <w:szCs w:val="20"/>
                <w:color w:val="auto"/>
              </w:rPr>
            </w:pPr>
            <w:r>
              <w:rPr>
                <w:rFonts w:ascii="Arial" w:cs="Arial" w:eastAsia="Arial" w:hAnsi="Arial"/>
                <w:sz w:val="15"/>
                <w:szCs w:val="15"/>
                <w:b w:val="1"/>
                <w:bCs w:val="1"/>
                <w:color w:val="auto"/>
              </w:rPr>
              <w:t>2,182,925</w:t>
            </w:r>
          </w:p>
        </w:tc>
        <w:tc>
          <w:tcPr>
            <w:tcW w:w="980" w:type="dxa"/>
            <w:vAlign w:val="bottom"/>
            <w:tcBorders>
              <w:top w:val="single" w:sz="8" w:color="002B5F"/>
            </w:tcBorders>
          </w:tcPr>
          <w:p>
            <w:pPr>
              <w:jc w:val="right"/>
              <w:ind w:right="43"/>
              <w:spacing w:after="0"/>
              <w:rPr>
                <w:sz w:val="20"/>
                <w:szCs w:val="20"/>
                <w:color w:val="auto"/>
              </w:rPr>
            </w:pPr>
            <w:r>
              <w:rPr>
                <w:rFonts w:ascii="Arial" w:cs="Arial" w:eastAsia="Arial" w:hAnsi="Arial"/>
                <w:sz w:val="15"/>
                <w:szCs w:val="15"/>
                <w:b w:val="1"/>
                <w:bCs w:val="1"/>
                <w:color w:val="auto"/>
              </w:rPr>
              <w:t>2,110,834</w:t>
            </w:r>
          </w:p>
        </w:tc>
        <w:tc>
          <w:tcPr>
            <w:tcW w:w="840" w:type="dxa"/>
            <w:vAlign w:val="bottom"/>
            <w:tcBorders>
              <w:top w:val="single" w:sz="8" w:color="002B5F"/>
            </w:tcBorders>
          </w:tcPr>
          <w:p>
            <w:pPr>
              <w:jc w:val="right"/>
              <w:spacing w:after="0"/>
              <w:rPr>
                <w:sz w:val="20"/>
                <w:szCs w:val="20"/>
                <w:color w:val="auto"/>
              </w:rPr>
            </w:pPr>
            <w:r>
              <w:rPr>
                <w:rFonts w:ascii="Arial" w:cs="Arial" w:eastAsia="Arial" w:hAnsi="Arial"/>
                <w:sz w:val="15"/>
                <w:szCs w:val="15"/>
                <w:b w:val="1"/>
                <w:bCs w:val="1"/>
                <w:color w:val="auto"/>
              </w:rPr>
              <w:t>1,985,784</w:t>
            </w:r>
          </w:p>
        </w:tc>
        <w:tc>
          <w:tcPr>
            <w:tcW w:w="80" w:type="dxa"/>
            <w:vAlign w:val="bottom"/>
          </w:tcPr>
          <w:p>
            <w:pPr>
              <w:spacing w:after="0"/>
              <w:rPr>
                <w:sz w:val="24"/>
                <w:szCs w:val="24"/>
                <w:color w:val="auto"/>
              </w:rPr>
            </w:pPr>
          </w:p>
        </w:tc>
      </w:tr>
      <w:tr>
        <w:trPr>
          <w:trHeight w:val="33"/>
        </w:trPr>
        <w:tc>
          <w:tcPr>
            <w:tcW w:w="4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Borders>
              <w:bottom w:val="single" w:sz="8" w:color="002B5F"/>
            </w:tcBorders>
          </w:tcPr>
          <w:p>
            <w:pPr>
              <w:spacing w:after="0"/>
              <w:rPr>
                <w:sz w:val="2"/>
                <w:szCs w:val="2"/>
                <w:color w:val="auto"/>
              </w:rPr>
            </w:pPr>
          </w:p>
        </w:tc>
        <w:tc>
          <w:tcPr>
            <w:tcW w:w="980" w:type="dxa"/>
            <w:vAlign w:val="bottom"/>
            <w:tcBorders>
              <w:bottom w:val="single" w:sz="8" w:color="002B5F"/>
            </w:tcBorders>
          </w:tcPr>
          <w:p>
            <w:pPr>
              <w:spacing w:after="0"/>
              <w:rPr>
                <w:sz w:val="2"/>
                <w:szCs w:val="2"/>
                <w:color w:val="auto"/>
              </w:rPr>
            </w:pPr>
          </w:p>
        </w:tc>
        <w:tc>
          <w:tcPr>
            <w:tcW w:w="840" w:type="dxa"/>
            <w:vAlign w:val="bottom"/>
            <w:tcBorders>
              <w:bottom w:val="single" w:sz="8" w:color="002B5F"/>
            </w:tcBorders>
          </w:tcPr>
          <w:p>
            <w:pPr>
              <w:spacing w:after="0"/>
              <w:rPr>
                <w:sz w:val="2"/>
                <w:szCs w:val="2"/>
                <w:color w:val="auto"/>
              </w:rPr>
            </w:pPr>
          </w:p>
        </w:tc>
        <w:tc>
          <w:tcPr>
            <w:tcW w:w="80" w:type="dxa"/>
            <w:vAlign w:val="bottom"/>
          </w:tcPr>
          <w:p>
            <w:pPr>
              <w:spacing w:after="0"/>
              <w:rPr>
                <w:sz w:val="2"/>
                <w:szCs w:val="2"/>
                <w:color w:val="auto"/>
              </w:rPr>
            </w:pPr>
          </w:p>
        </w:tc>
      </w:tr>
      <w:tr>
        <w:trPr>
          <w:trHeight w:val="20"/>
        </w:trPr>
        <w:tc>
          <w:tcPr>
            <w:tcW w:w="4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72"/>
        </w:trPr>
        <w:tc>
          <w:tcPr>
            <w:tcW w:w="4920" w:type="dxa"/>
            <w:vAlign w:val="bottom"/>
            <w:tcBorders>
              <w:bottom w:val="single" w:sz="8" w:color="F7F1EC"/>
            </w:tcBorders>
            <w:shd w:val="clear" w:color="auto" w:fill="F7F1EC"/>
          </w:tcPr>
          <w:p>
            <w:pPr>
              <w:ind w:left="200"/>
              <w:spacing w:after="0"/>
              <w:rPr>
                <w:sz w:val="20"/>
                <w:szCs w:val="20"/>
                <w:color w:val="auto"/>
              </w:rPr>
            </w:pPr>
            <w:r>
              <w:rPr>
                <w:rFonts w:ascii="Arial" w:cs="Arial" w:eastAsia="Arial" w:hAnsi="Arial"/>
                <w:sz w:val="15"/>
                <w:szCs w:val="15"/>
                <w:color w:val="auto"/>
              </w:rPr>
              <w:t>Regulatory charges</w:t>
            </w:r>
          </w:p>
        </w:tc>
        <w:tc>
          <w:tcPr>
            <w:tcW w:w="140" w:type="dxa"/>
            <w:vAlign w:val="bottom"/>
            <w:tcBorders>
              <w:bottom w:val="single" w:sz="8" w:color="F7F1EC"/>
            </w:tcBorders>
            <w:shd w:val="clear" w:color="auto" w:fill="F7F1EC"/>
          </w:tcPr>
          <w:p>
            <w:pPr>
              <w:spacing w:after="0"/>
              <w:rPr>
                <w:sz w:val="23"/>
                <w:szCs w:val="23"/>
                <w:color w:val="auto"/>
              </w:rPr>
            </w:pPr>
          </w:p>
        </w:tc>
        <w:tc>
          <w:tcPr>
            <w:tcW w:w="920" w:type="dxa"/>
            <w:vAlign w:val="bottom"/>
            <w:tcBorders>
              <w:bottom w:val="single" w:sz="8" w:color="F7F1EC"/>
            </w:tcBorders>
            <w:shd w:val="clear" w:color="auto" w:fill="F7F1EC"/>
          </w:tcPr>
          <w:p>
            <w:pPr>
              <w:jc w:val="right"/>
              <w:ind w:right="63"/>
              <w:spacing w:after="0"/>
              <w:rPr>
                <w:sz w:val="20"/>
                <w:szCs w:val="20"/>
                <w:color w:val="auto"/>
              </w:rPr>
            </w:pPr>
            <w:r>
              <w:rPr>
                <w:rFonts w:ascii="Arial" w:cs="Arial" w:eastAsia="Arial" w:hAnsi="Arial"/>
                <w:sz w:val="15"/>
                <w:szCs w:val="15"/>
                <w:color w:val="auto"/>
              </w:rPr>
              <w:t>—</w:t>
            </w:r>
          </w:p>
        </w:tc>
        <w:tc>
          <w:tcPr>
            <w:tcW w:w="980" w:type="dxa"/>
            <w:vAlign w:val="bottom"/>
            <w:tcBorders>
              <w:bottom w:val="single" w:sz="8" w:color="F7F1EC"/>
            </w:tcBorders>
            <w:shd w:val="clear" w:color="auto" w:fill="F7F1EC"/>
          </w:tcPr>
          <w:p>
            <w:pPr>
              <w:jc w:val="right"/>
              <w:ind w:right="43"/>
              <w:spacing w:after="0"/>
              <w:rPr>
                <w:sz w:val="20"/>
                <w:szCs w:val="20"/>
                <w:color w:val="auto"/>
              </w:rPr>
            </w:pPr>
            <w:r>
              <w:rPr>
                <w:rFonts w:ascii="Arial" w:cs="Arial" w:eastAsia="Arial" w:hAnsi="Arial"/>
                <w:sz w:val="15"/>
                <w:szCs w:val="15"/>
                <w:color w:val="auto"/>
              </w:rPr>
              <w:t>18,000</w:t>
            </w:r>
          </w:p>
        </w:tc>
        <w:tc>
          <w:tcPr>
            <w:tcW w:w="840" w:type="dxa"/>
            <w:vAlign w:val="bottom"/>
            <w:tcBorders>
              <w:bottom w:val="single" w:sz="8" w:color="F7F1EC"/>
            </w:tcBorders>
            <w:shd w:val="clear" w:color="auto" w:fill="F7F1EC"/>
          </w:tcPr>
          <w:p>
            <w:pPr>
              <w:jc w:val="right"/>
              <w:spacing w:after="0"/>
              <w:rPr>
                <w:sz w:val="20"/>
                <w:szCs w:val="20"/>
                <w:color w:val="auto"/>
              </w:rPr>
            </w:pPr>
            <w:r>
              <w:rPr>
                <w:rFonts w:ascii="Arial" w:cs="Arial" w:eastAsia="Arial" w:hAnsi="Arial"/>
                <w:sz w:val="15"/>
                <w:szCs w:val="15"/>
                <w:color w:val="auto"/>
              </w:rPr>
              <w:t>40,000</w:t>
            </w:r>
          </w:p>
        </w:tc>
        <w:tc>
          <w:tcPr>
            <w:tcW w:w="80" w:type="dxa"/>
            <w:vAlign w:val="bottom"/>
            <w:tcBorders>
              <w:bottom w:val="single" w:sz="8" w:color="F7F1EC"/>
            </w:tcBorders>
            <w:shd w:val="clear" w:color="auto" w:fill="F7F1EC"/>
          </w:tcPr>
          <w:p>
            <w:pPr>
              <w:spacing w:after="0"/>
              <w:rPr>
                <w:sz w:val="23"/>
                <w:szCs w:val="23"/>
                <w:color w:val="auto"/>
              </w:rPr>
            </w:pPr>
          </w:p>
        </w:tc>
      </w:tr>
      <w:tr>
        <w:trPr>
          <w:trHeight w:val="265"/>
        </w:trPr>
        <w:tc>
          <w:tcPr>
            <w:tcW w:w="4920" w:type="dxa"/>
            <w:vAlign w:val="bottom"/>
          </w:tcPr>
          <w:p>
            <w:pPr>
              <w:ind w:left="200"/>
              <w:spacing w:after="0"/>
              <w:rPr>
                <w:sz w:val="20"/>
                <w:szCs w:val="20"/>
                <w:color w:val="auto"/>
              </w:rPr>
            </w:pPr>
            <w:r>
              <w:rPr>
                <w:rFonts w:ascii="Arial" w:cs="Arial" w:eastAsia="Arial" w:hAnsi="Arial"/>
                <w:sz w:val="15"/>
                <w:szCs w:val="15"/>
                <w:color w:val="auto"/>
              </w:rPr>
              <w:t>Acquisition costs</w:t>
            </w:r>
          </w:p>
        </w:tc>
        <w:tc>
          <w:tcPr>
            <w:tcW w:w="1060" w:type="dxa"/>
            <w:vAlign w:val="bottom"/>
            <w:gridSpan w:val="2"/>
          </w:tcPr>
          <w:p>
            <w:pPr>
              <w:jc w:val="right"/>
              <w:ind w:right="63"/>
              <w:spacing w:after="0"/>
              <w:rPr>
                <w:sz w:val="20"/>
                <w:szCs w:val="20"/>
                <w:color w:val="auto"/>
              </w:rPr>
            </w:pPr>
            <w:r>
              <w:rPr>
                <w:rFonts w:ascii="Arial" w:cs="Arial" w:eastAsia="Arial" w:hAnsi="Arial"/>
                <w:sz w:val="15"/>
                <w:szCs w:val="15"/>
                <w:color w:val="auto"/>
              </w:rPr>
              <w:t>731,961</w:t>
            </w:r>
          </w:p>
        </w:tc>
        <w:tc>
          <w:tcPr>
            <w:tcW w:w="980" w:type="dxa"/>
            <w:vAlign w:val="bottom"/>
          </w:tcPr>
          <w:p>
            <w:pPr>
              <w:jc w:val="right"/>
              <w:ind w:right="43"/>
              <w:spacing w:after="0"/>
              <w:rPr>
                <w:sz w:val="20"/>
                <w:szCs w:val="20"/>
                <w:color w:val="auto"/>
              </w:rPr>
            </w:pPr>
            <w:r>
              <w:rPr>
                <w:rFonts w:ascii="Arial" w:cs="Arial" w:eastAsia="Arial" w:hAnsi="Arial"/>
                <w:sz w:val="15"/>
                <w:szCs w:val="15"/>
                <w:color w:val="auto"/>
              </w:rPr>
              <w:t>105,905</w:t>
            </w:r>
          </w:p>
        </w:tc>
        <w:tc>
          <w:tcPr>
            <w:tcW w:w="840" w:type="dxa"/>
            <w:vAlign w:val="bottom"/>
          </w:tcPr>
          <w:p>
            <w:pPr>
              <w:jc w:val="right"/>
              <w:spacing w:after="0"/>
              <w:rPr>
                <w:sz w:val="20"/>
                <w:szCs w:val="20"/>
                <w:color w:val="auto"/>
              </w:rPr>
            </w:pPr>
            <w:r>
              <w:rPr>
                <w:rFonts w:ascii="Arial" w:cs="Arial" w:eastAsia="Arial" w:hAnsi="Arial"/>
                <w:sz w:val="15"/>
                <w:szCs w:val="15"/>
                <w:color w:val="auto"/>
              </w:rPr>
              <w:t>48,103</w:t>
            </w:r>
          </w:p>
        </w:tc>
        <w:tc>
          <w:tcPr>
            <w:tcW w:w="80" w:type="dxa"/>
            <w:vAlign w:val="bottom"/>
          </w:tcPr>
          <w:p>
            <w:pPr>
              <w:spacing w:after="0"/>
              <w:rPr>
                <w:sz w:val="23"/>
                <w:szCs w:val="23"/>
                <w:color w:val="auto"/>
              </w:rPr>
            </w:pPr>
          </w:p>
        </w:tc>
      </w:tr>
      <w:tr>
        <w:trPr>
          <w:trHeight w:val="41"/>
        </w:trPr>
        <w:tc>
          <w:tcPr>
            <w:tcW w:w="4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920" w:type="dxa"/>
            <w:vAlign w:val="bottom"/>
          </w:tcPr>
          <w:p>
            <w:pPr>
              <w:spacing w:after="0"/>
              <w:rPr>
                <w:sz w:val="3"/>
                <w:szCs w:val="3"/>
                <w:color w:val="auto"/>
              </w:rPr>
            </w:pPr>
          </w:p>
        </w:tc>
        <w:tc>
          <w:tcPr>
            <w:tcW w:w="98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r>
      <w:tr>
        <w:trPr>
          <w:trHeight w:val="286"/>
        </w:trPr>
        <w:tc>
          <w:tcPr>
            <w:tcW w:w="4920" w:type="dxa"/>
            <w:vAlign w:val="bottom"/>
            <w:tcBorders>
              <w:bottom w:val="single" w:sz="8" w:color="F7F1EC"/>
            </w:tcBorders>
            <w:shd w:val="clear" w:color="auto" w:fill="F7F1EC"/>
          </w:tcPr>
          <w:p>
            <w:pPr>
              <w:ind w:left="200"/>
              <w:spacing w:after="0"/>
              <w:rPr>
                <w:sz w:val="20"/>
                <w:szCs w:val="20"/>
                <w:color w:val="auto"/>
              </w:rPr>
            </w:pPr>
            <w:r>
              <w:rPr>
                <w:rFonts w:ascii="Arial" w:cs="Arial" w:eastAsia="Arial" w:hAnsi="Arial"/>
                <w:sz w:val="15"/>
                <w:szCs w:val="15"/>
                <w:color w:val="auto"/>
              </w:rPr>
              <w:t>Departure of former chief executive officer</w:t>
            </w:r>
          </w:p>
        </w:tc>
        <w:tc>
          <w:tcPr>
            <w:tcW w:w="140" w:type="dxa"/>
            <w:vAlign w:val="bottom"/>
            <w:tcBorders>
              <w:bottom w:val="single" w:sz="8" w:color="F7F1EC"/>
            </w:tcBorders>
            <w:shd w:val="clear" w:color="auto" w:fill="F7F1EC"/>
          </w:tcPr>
          <w:p>
            <w:pPr>
              <w:spacing w:after="0"/>
              <w:rPr>
                <w:sz w:val="24"/>
                <w:szCs w:val="24"/>
                <w:color w:val="auto"/>
              </w:rPr>
            </w:pPr>
          </w:p>
        </w:tc>
        <w:tc>
          <w:tcPr>
            <w:tcW w:w="920" w:type="dxa"/>
            <w:vAlign w:val="bottom"/>
            <w:tcBorders>
              <w:bottom w:val="single" w:sz="8" w:color="F7F1EC"/>
            </w:tcBorders>
            <w:shd w:val="clear" w:color="auto" w:fill="F7F1EC"/>
          </w:tcPr>
          <w:p>
            <w:pPr>
              <w:jc w:val="right"/>
              <w:ind w:right="63"/>
              <w:spacing w:after="0"/>
              <w:rPr>
                <w:sz w:val="20"/>
                <w:szCs w:val="20"/>
                <w:color w:val="auto"/>
              </w:rPr>
            </w:pPr>
            <w:r>
              <w:rPr>
                <w:rFonts w:ascii="Arial" w:cs="Arial" w:eastAsia="Arial" w:hAnsi="Arial"/>
                <w:sz w:val="15"/>
                <w:szCs w:val="15"/>
                <w:color w:val="auto"/>
              </w:rPr>
              <w:t>—</w:t>
            </w:r>
          </w:p>
        </w:tc>
        <w:tc>
          <w:tcPr>
            <w:tcW w:w="980" w:type="dxa"/>
            <w:vAlign w:val="bottom"/>
            <w:tcBorders>
              <w:bottom w:val="single" w:sz="8" w:color="F7F1EC"/>
            </w:tcBorders>
            <w:shd w:val="clear" w:color="auto" w:fill="F7F1EC"/>
          </w:tcPr>
          <w:p>
            <w:pPr>
              <w:jc w:val="right"/>
              <w:spacing w:after="0"/>
              <w:rPr>
                <w:sz w:val="20"/>
                <w:szCs w:val="20"/>
                <w:color w:val="auto"/>
              </w:rPr>
            </w:pPr>
            <w:r>
              <w:rPr>
                <w:rFonts w:ascii="Arial" w:cs="Arial" w:eastAsia="Arial" w:hAnsi="Arial"/>
                <w:sz w:val="15"/>
                <w:szCs w:val="15"/>
                <w:color w:val="auto"/>
              </w:rPr>
              <w:t>(14,367)</w:t>
            </w:r>
          </w:p>
        </w:tc>
        <w:tc>
          <w:tcPr>
            <w:tcW w:w="920" w:type="dxa"/>
            <w:vAlign w:val="bottom"/>
            <w:tcBorders>
              <w:bottom w:val="single" w:sz="8" w:color="F7F1EC"/>
            </w:tcBorders>
            <w:gridSpan w:val="2"/>
            <w:shd w:val="clear" w:color="auto" w:fill="F7F1EC"/>
          </w:tcPr>
          <w:p>
            <w:pPr>
              <w:jc w:val="right"/>
              <w:ind w:right="80"/>
              <w:spacing w:after="0"/>
              <w:rPr>
                <w:sz w:val="20"/>
                <w:szCs w:val="20"/>
                <w:color w:val="auto"/>
              </w:rPr>
            </w:pPr>
            <w:r>
              <w:rPr>
                <w:rFonts w:ascii="Arial" w:cs="Arial" w:eastAsia="Arial" w:hAnsi="Arial"/>
                <w:sz w:val="15"/>
                <w:szCs w:val="15"/>
                <w:color w:val="auto"/>
              </w:rPr>
              <w:t>—</w:t>
            </w:r>
          </w:p>
        </w:tc>
      </w:tr>
      <w:tr>
        <w:trPr>
          <w:trHeight w:val="265"/>
        </w:trPr>
        <w:tc>
          <w:tcPr>
            <w:tcW w:w="4920" w:type="dxa"/>
            <w:vAlign w:val="bottom"/>
          </w:tcPr>
          <w:p>
            <w:pPr>
              <w:ind w:left="200"/>
              <w:spacing w:after="0"/>
              <w:rPr>
                <w:sz w:val="20"/>
                <w:szCs w:val="20"/>
                <w:color w:val="auto"/>
              </w:rPr>
            </w:pPr>
            <w:r>
              <w:rPr>
                <w:rFonts w:ascii="Arial" w:cs="Arial" w:eastAsia="Arial" w:hAnsi="Arial"/>
                <w:sz w:val="15"/>
                <w:szCs w:val="15"/>
                <w:color w:val="auto"/>
              </w:rPr>
              <w:t>Loss on extinguishment of debt</w:t>
            </w:r>
          </w:p>
        </w:tc>
        <w:tc>
          <w:tcPr>
            <w:tcW w:w="140" w:type="dxa"/>
            <w:vAlign w:val="bottom"/>
          </w:tcPr>
          <w:p>
            <w:pPr>
              <w:spacing w:after="0"/>
              <w:rPr>
                <w:sz w:val="23"/>
                <w:szCs w:val="23"/>
                <w:color w:val="auto"/>
              </w:rPr>
            </w:pPr>
          </w:p>
        </w:tc>
        <w:tc>
          <w:tcPr>
            <w:tcW w:w="920" w:type="dxa"/>
            <w:vAlign w:val="bottom"/>
          </w:tcPr>
          <w:p>
            <w:pPr>
              <w:jc w:val="right"/>
              <w:ind w:right="63"/>
              <w:spacing w:after="0"/>
              <w:rPr>
                <w:sz w:val="20"/>
                <w:szCs w:val="20"/>
                <w:color w:val="auto"/>
              </w:rPr>
            </w:pPr>
            <w:r>
              <w:rPr>
                <w:rFonts w:ascii="Arial" w:cs="Arial" w:eastAsia="Arial" w:hAnsi="Arial"/>
                <w:sz w:val="15"/>
                <w:szCs w:val="15"/>
                <w:color w:val="auto"/>
              </w:rPr>
              <w:t>—</w:t>
            </w:r>
          </w:p>
        </w:tc>
        <w:tc>
          <w:tcPr>
            <w:tcW w:w="980" w:type="dxa"/>
            <w:vAlign w:val="bottom"/>
          </w:tcPr>
          <w:p>
            <w:pPr>
              <w:jc w:val="right"/>
              <w:ind w:right="43"/>
              <w:spacing w:after="0"/>
              <w:rPr>
                <w:sz w:val="20"/>
                <w:szCs w:val="20"/>
                <w:color w:val="auto"/>
              </w:rPr>
            </w:pPr>
            <w:r>
              <w:rPr>
                <w:rFonts w:ascii="Arial" w:cs="Arial" w:eastAsia="Arial" w:hAnsi="Arial"/>
                <w:sz w:val="15"/>
                <w:szCs w:val="15"/>
                <w:color w:val="auto"/>
              </w:rPr>
              <w:t>3,983</w:t>
            </w:r>
          </w:p>
        </w:tc>
        <w:tc>
          <w:tcPr>
            <w:tcW w:w="92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r>
      <w:tr>
        <w:trPr>
          <w:trHeight w:val="41"/>
        </w:trPr>
        <w:tc>
          <w:tcPr>
            <w:tcW w:w="4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920" w:type="dxa"/>
            <w:vAlign w:val="bottom"/>
            <w:tcBorders>
              <w:bottom w:val="single" w:sz="8" w:color="002B5F"/>
            </w:tcBorders>
          </w:tcPr>
          <w:p>
            <w:pPr>
              <w:spacing w:after="0"/>
              <w:rPr>
                <w:sz w:val="3"/>
                <w:szCs w:val="3"/>
                <w:color w:val="auto"/>
              </w:rPr>
            </w:pPr>
          </w:p>
        </w:tc>
        <w:tc>
          <w:tcPr>
            <w:tcW w:w="980" w:type="dxa"/>
            <w:vAlign w:val="bottom"/>
            <w:tcBorders>
              <w:bottom w:val="single" w:sz="8" w:color="002B5F"/>
            </w:tcBorders>
          </w:tcPr>
          <w:p>
            <w:pPr>
              <w:spacing w:after="0"/>
              <w:rPr>
                <w:sz w:val="3"/>
                <w:szCs w:val="3"/>
                <w:color w:val="auto"/>
              </w:rPr>
            </w:pPr>
          </w:p>
        </w:tc>
        <w:tc>
          <w:tcPr>
            <w:tcW w:w="840" w:type="dxa"/>
            <w:vAlign w:val="bottom"/>
            <w:tcBorders>
              <w:bottom w:val="single" w:sz="8" w:color="002B5F"/>
            </w:tcBorders>
          </w:tcPr>
          <w:p>
            <w:pPr>
              <w:spacing w:after="0"/>
              <w:rPr>
                <w:sz w:val="3"/>
                <w:szCs w:val="3"/>
                <w:color w:val="auto"/>
              </w:rPr>
            </w:pPr>
          </w:p>
        </w:tc>
        <w:tc>
          <w:tcPr>
            <w:tcW w:w="80" w:type="dxa"/>
            <w:vAlign w:val="bottom"/>
          </w:tcPr>
          <w:p>
            <w:pPr>
              <w:spacing w:after="0"/>
              <w:rPr>
                <w:sz w:val="3"/>
                <w:szCs w:val="3"/>
                <w:color w:val="auto"/>
              </w:rPr>
            </w:pPr>
          </w:p>
        </w:tc>
      </w:tr>
      <w:tr>
        <w:trPr>
          <w:trHeight w:val="20"/>
        </w:trPr>
        <w:tc>
          <w:tcPr>
            <w:tcW w:w="4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92"/>
        </w:trPr>
        <w:tc>
          <w:tcPr>
            <w:tcW w:w="4920" w:type="dxa"/>
            <w:vAlign w:val="bottom"/>
            <w:tcBorders>
              <w:bottom w:val="single" w:sz="8" w:color="F7F1EC"/>
            </w:tcBorders>
            <w:shd w:val="clear" w:color="auto" w:fill="F7F1EC"/>
          </w:tcPr>
          <w:p>
            <w:pPr>
              <w:ind w:left="340"/>
              <w:spacing w:after="0"/>
              <w:rPr>
                <w:sz w:val="20"/>
                <w:szCs w:val="20"/>
                <w:color w:val="auto"/>
              </w:rPr>
            </w:pPr>
            <w:r>
              <w:rPr>
                <w:rFonts w:ascii="Arial" w:cs="Arial" w:eastAsia="Arial" w:hAnsi="Arial"/>
                <w:sz w:val="15"/>
                <w:szCs w:val="15"/>
                <w:color w:val="auto"/>
              </w:rPr>
              <w:t>Adjusted EBITDA</w:t>
            </w:r>
          </w:p>
        </w:tc>
        <w:tc>
          <w:tcPr>
            <w:tcW w:w="1060" w:type="dxa"/>
            <w:vAlign w:val="bottom"/>
            <w:tcBorders>
              <w:bottom w:val="single" w:sz="8" w:color="F7F1EC"/>
            </w:tcBorders>
            <w:gridSpan w:val="2"/>
            <w:shd w:val="clear" w:color="auto" w:fill="F7F1EC"/>
          </w:tcPr>
          <w:p>
            <w:pPr>
              <w:jc w:val="right"/>
              <w:ind w:right="63"/>
              <w:spacing w:after="0"/>
              <w:rPr>
                <w:sz w:val="20"/>
                <w:szCs w:val="20"/>
                <w:color w:val="auto"/>
              </w:rPr>
            </w:pPr>
            <w:r>
              <w:rPr>
                <w:rFonts w:ascii="Arial" w:cs="Arial" w:eastAsia="Arial" w:hAnsi="Arial"/>
                <w:sz w:val="15"/>
                <w:szCs w:val="15"/>
                <w:b w:val="1"/>
                <w:bCs w:val="1"/>
                <w:color w:val="auto"/>
              </w:rPr>
              <w:t>2,914,886</w:t>
            </w:r>
          </w:p>
        </w:tc>
        <w:tc>
          <w:tcPr>
            <w:tcW w:w="980" w:type="dxa"/>
            <w:vAlign w:val="bottom"/>
            <w:tcBorders>
              <w:bottom w:val="single" w:sz="8" w:color="F7F1EC"/>
            </w:tcBorders>
            <w:shd w:val="clear" w:color="auto" w:fill="F7F1EC"/>
          </w:tcPr>
          <w:p>
            <w:pPr>
              <w:jc w:val="right"/>
              <w:ind w:right="43"/>
              <w:spacing w:after="0"/>
              <w:rPr>
                <w:sz w:val="20"/>
                <w:szCs w:val="20"/>
                <w:color w:val="auto"/>
              </w:rPr>
            </w:pPr>
            <w:r>
              <w:rPr>
                <w:rFonts w:ascii="Arial" w:cs="Arial" w:eastAsia="Arial" w:hAnsi="Arial"/>
                <w:sz w:val="15"/>
                <w:szCs w:val="15"/>
                <w:b w:val="1"/>
                <w:bCs w:val="1"/>
                <w:color w:val="auto"/>
              </w:rPr>
              <w:t>2,224,355</w:t>
            </w:r>
          </w:p>
        </w:tc>
        <w:tc>
          <w:tcPr>
            <w:tcW w:w="840" w:type="dxa"/>
            <w:vAlign w:val="bottom"/>
            <w:tcBorders>
              <w:bottom w:val="single" w:sz="8" w:color="F7F1EC"/>
            </w:tcBorders>
            <w:shd w:val="clear" w:color="auto" w:fill="F7F1EC"/>
          </w:tcPr>
          <w:p>
            <w:pPr>
              <w:jc w:val="right"/>
              <w:spacing w:after="0"/>
              <w:rPr>
                <w:sz w:val="20"/>
                <w:szCs w:val="20"/>
                <w:color w:val="auto"/>
              </w:rPr>
            </w:pPr>
            <w:r>
              <w:rPr>
                <w:rFonts w:ascii="Arial" w:cs="Arial" w:eastAsia="Arial" w:hAnsi="Arial"/>
                <w:sz w:val="15"/>
                <w:szCs w:val="15"/>
                <w:b w:val="1"/>
                <w:bCs w:val="1"/>
                <w:color w:val="auto"/>
              </w:rPr>
              <w:t>2,073,887</w:t>
            </w:r>
          </w:p>
        </w:tc>
        <w:tc>
          <w:tcPr>
            <w:tcW w:w="80" w:type="dxa"/>
            <w:vAlign w:val="bottom"/>
            <w:tcBorders>
              <w:bottom w:val="single" w:sz="8" w:color="F7F1EC"/>
            </w:tcBorders>
            <w:shd w:val="clear" w:color="auto" w:fill="F7F1EC"/>
          </w:tcPr>
          <w:p>
            <w:pPr>
              <w:spacing w:after="0"/>
              <w:rPr>
                <w:sz w:val="24"/>
                <w:szCs w:val="24"/>
                <w:color w:val="auto"/>
              </w:rPr>
            </w:pPr>
          </w:p>
        </w:tc>
      </w:tr>
      <w:tr>
        <w:trPr>
          <w:trHeight w:val="312"/>
        </w:trPr>
        <w:tc>
          <w:tcPr>
            <w:tcW w:w="4920" w:type="dxa"/>
            <w:vAlign w:val="bottom"/>
          </w:tcPr>
          <w:p>
            <w:pPr>
              <w:ind w:left="200"/>
              <w:spacing w:after="0"/>
              <w:rPr>
                <w:sz w:val="20"/>
                <w:szCs w:val="20"/>
                <w:color w:val="auto"/>
              </w:rPr>
            </w:pPr>
            <w:r>
              <w:rPr>
                <w:rFonts w:ascii="Arial" w:cs="Arial" w:eastAsia="Arial" w:hAnsi="Arial"/>
                <w:sz w:val="15"/>
                <w:szCs w:val="15"/>
                <w:color w:val="auto"/>
              </w:rPr>
              <w:t>Employee share-based compensation</w:t>
            </w:r>
            <w:r>
              <w:rPr>
                <w:rFonts w:ascii="Arial" w:cs="Arial" w:eastAsia="Arial" w:hAnsi="Arial"/>
                <w:sz w:val="22"/>
                <w:szCs w:val="22"/>
                <w:color w:val="auto"/>
                <w:vertAlign w:val="superscript"/>
              </w:rPr>
              <w:t>(1)</w:t>
            </w:r>
          </w:p>
        </w:tc>
        <w:tc>
          <w:tcPr>
            <w:tcW w:w="140" w:type="dxa"/>
            <w:vAlign w:val="bottom"/>
          </w:tcPr>
          <w:p>
            <w:pPr>
              <w:spacing w:after="0"/>
              <w:rPr>
                <w:sz w:val="24"/>
                <w:szCs w:val="24"/>
                <w:color w:val="auto"/>
              </w:rPr>
            </w:pPr>
          </w:p>
        </w:tc>
        <w:tc>
          <w:tcPr>
            <w:tcW w:w="920" w:type="dxa"/>
            <w:vAlign w:val="bottom"/>
            <w:tcBorders>
              <w:top w:val="single" w:sz="8" w:color="002B5F"/>
            </w:tcBorders>
          </w:tcPr>
          <w:p>
            <w:pPr>
              <w:jc w:val="right"/>
              <w:ind w:right="63"/>
              <w:spacing w:after="0"/>
              <w:rPr>
                <w:sz w:val="20"/>
                <w:szCs w:val="20"/>
                <w:color w:val="auto"/>
              </w:rPr>
            </w:pPr>
            <w:r>
              <w:rPr>
                <w:rFonts w:ascii="Arial" w:cs="Arial" w:eastAsia="Arial" w:hAnsi="Arial"/>
                <w:sz w:val="15"/>
                <w:szCs w:val="15"/>
                <w:color w:val="auto"/>
              </w:rPr>
              <w:t>—</w:t>
            </w:r>
          </w:p>
        </w:tc>
        <w:tc>
          <w:tcPr>
            <w:tcW w:w="980" w:type="dxa"/>
            <w:vAlign w:val="bottom"/>
            <w:tcBorders>
              <w:top w:val="single" w:sz="8" w:color="002B5F"/>
            </w:tcBorders>
          </w:tcPr>
          <w:p>
            <w:pPr>
              <w:jc w:val="right"/>
              <w:ind w:right="43"/>
              <w:spacing w:after="0"/>
              <w:rPr>
                <w:sz w:val="20"/>
                <w:szCs w:val="20"/>
                <w:color w:val="auto"/>
              </w:rPr>
            </w:pPr>
            <w:r>
              <w:rPr>
                <w:rFonts w:ascii="Arial" w:cs="Arial" w:eastAsia="Arial" w:hAnsi="Arial"/>
                <w:sz w:val="15"/>
                <w:szCs w:val="15"/>
                <w:color w:val="auto"/>
              </w:rPr>
              <w:t>—</w:t>
            </w:r>
          </w:p>
        </w:tc>
        <w:tc>
          <w:tcPr>
            <w:tcW w:w="840" w:type="dxa"/>
            <w:vAlign w:val="bottom"/>
            <w:tcBorders>
              <w:top w:val="single" w:sz="8" w:color="002B5F"/>
            </w:tcBorders>
          </w:tcPr>
          <w:p>
            <w:pPr>
              <w:jc w:val="right"/>
              <w:spacing w:after="0"/>
              <w:rPr>
                <w:sz w:val="20"/>
                <w:szCs w:val="20"/>
                <w:color w:val="auto"/>
              </w:rPr>
            </w:pPr>
            <w:r>
              <w:rPr>
                <w:rFonts w:ascii="Arial" w:cs="Arial" w:eastAsia="Arial" w:hAnsi="Arial"/>
                <w:sz w:val="15"/>
                <w:szCs w:val="15"/>
                <w:color w:val="auto"/>
              </w:rPr>
              <w:t>66,024</w:t>
            </w:r>
          </w:p>
        </w:tc>
        <w:tc>
          <w:tcPr>
            <w:tcW w:w="80" w:type="dxa"/>
            <w:vAlign w:val="bottom"/>
          </w:tcPr>
          <w:p>
            <w:pPr>
              <w:spacing w:after="0"/>
              <w:rPr>
                <w:sz w:val="24"/>
                <w:szCs w:val="24"/>
                <w:color w:val="auto"/>
              </w:rPr>
            </w:pPr>
          </w:p>
        </w:tc>
      </w:tr>
      <w:tr>
        <w:trPr>
          <w:trHeight w:val="306"/>
        </w:trPr>
        <w:tc>
          <w:tcPr>
            <w:tcW w:w="4920" w:type="dxa"/>
            <w:vAlign w:val="bottom"/>
            <w:shd w:val="clear" w:color="auto" w:fill="F7F1EC"/>
          </w:tcPr>
          <w:p>
            <w:pPr>
              <w:ind w:left="200"/>
              <w:spacing w:after="0"/>
              <w:rPr>
                <w:sz w:val="20"/>
                <w:szCs w:val="20"/>
                <w:color w:val="auto"/>
              </w:rPr>
            </w:pPr>
            <w:r>
              <w:rPr>
                <w:rFonts w:ascii="Arial" w:cs="Arial" w:eastAsia="Arial" w:hAnsi="Arial"/>
                <w:sz w:val="15"/>
                <w:szCs w:val="15"/>
                <w:color w:val="auto"/>
              </w:rPr>
              <w:t>Other</w:t>
            </w:r>
            <w:r>
              <w:rPr>
                <w:rFonts w:ascii="Arial" w:cs="Arial" w:eastAsia="Arial" w:hAnsi="Arial"/>
                <w:sz w:val="22"/>
                <w:szCs w:val="22"/>
                <w:color w:val="auto"/>
                <w:vertAlign w:val="superscript"/>
              </w:rPr>
              <w:t>(2)</w:t>
            </w:r>
          </w:p>
        </w:tc>
        <w:tc>
          <w:tcPr>
            <w:tcW w:w="140" w:type="dxa"/>
            <w:vAlign w:val="bottom"/>
            <w:shd w:val="clear" w:color="auto" w:fill="F7F1EC"/>
          </w:tcPr>
          <w:p>
            <w:pPr>
              <w:spacing w:after="0"/>
              <w:rPr>
                <w:sz w:val="24"/>
                <w:szCs w:val="24"/>
                <w:color w:val="auto"/>
              </w:rPr>
            </w:pPr>
          </w:p>
        </w:tc>
        <w:tc>
          <w:tcPr>
            <w:tcW w:w="920" w:type="dxa"/>
            <w:vAlign w:val="bottom"/>
            <w:tcBorders>
              <w:bottom w:val="single" w:sz="8" w:color="002B5F"/>
            </w:tcBorders>
            <w:shd w:val="clear" w:color="auto" w:fill="F7F1EC"/>
          </w:tcPr>
          <w:p>
            <w:pPr>
              <w:jc w:val="right"/>
              <w:ind w:right="23"/>
              <w:spacing w:after="0"/>
              <w:rPr>
                <w:sz w:val="20"/>
                <w:szCs w:val="20"/>
                <w:color w:val="auto"/>
              </w:rPr>
            </w:pPr>
            <w:r>
              <w:rPr>
                <w:rFonts w:ascii="Arial" w:cs="Arial" w:eastAsia="Arial" w:hAnsi="Arial"/>
                <w:sz w:val="15"/>
                <w:szCs w:val="15"/>
                <w:color w:val="auto"/>
              </w:rPr>
              <w:t>(121,845)</w:t>
            </w:r>
          </w:p>
        </w:tc>
        <w:tc>
          <w:tcPr>
            <w:tcW w:w="980" w:type="dxa"/>
            <w:vAlign w:val="bottom"/>
            <w:tcBorders>
              <w:bottom w:val="single" w:sz="8" w:color="002B5F"/>
            </w:tcBorders>
            <w:shd w:val="clear" w:color="auto" w:fill="F7F1EC"/>
          </w:tcPr>
          <w:p>
            <w:pPr>
              <w:jc w:val="right"/>
              <w:ind w:right="43"/>
              <w:spacing w:after="0"/>
              <w:rPr>
                <w:sz w:val="20"/>
                <w:szCs w:val="20"/>
                <w:color w:val="auto"/>
              </w:rPr>
            </w:pPr>
            <w:r>
              <w:rPr>
                <w:rFonts w:ascii="Arial" w:cs="Arial" w:eastAsia="Arial" w:hAnsi="Arial"/>
                <w:sz w:val="15"/>
                <w:szCs w:val="15"/>
                <w:color w:val="auto"/>
              </w:rPr>
              <w:t>80,710</w:t>
            </w:r>
          </w:p>
        </w:tc>
        <w:tc>
          <w:tcPr>
            <w:tcW w:w="840" w:type="dxa"/>
            <w:vAlign w:val="bottom"/>
            <w:tcBorders>
              <w:bottom w:val="single" w:sz="8" w:color="002B5F"/>
            </w:tcBorders>
            <w:shd w:val="clear" w:color="auto" w:fill="F7F1EC"/>
          </w:tcPr>
          <w:p>
            <w:pPr>
              <w:jc w:val="right"/>
              <w:spacing w:after="0"/>
              <w:rPr>
                <w:sz w:val="20"/>
                <w:szCs w:val="20"/>
                <w:color w:val="auto"/>
              </w:rPr>
            </w:pPr>
            <w:r>
              <w:rPr>
                <w:rFonts w:ascii="Arial" w:cs="Arial" w:eastAsia="Arial" w:hAnsi="Arial"/>
                <w:sz w:val="15"/>
                <w:szCs w:val="15"/>
                <w:color w:val="auto"/>
              </w:rPr>
              <w:t>30,456</w:t>
            </w:r>
          </w:p>
        </w:tc>
        <w:tc>
          <w:tcPr>
            <w:tcW w:w="80" w:type="dxa"/>
            <w:vAlign w:val="bottom"/>
            <w:shd w:val="clear" w:color="auto" w:fill="F7F1EC"/>
          </w:tcPr>
          <w:p>
            <w:pPr>
              <w:spacing w:after="0"/>
              <w:rPr>
                <w:sz w:val="24"/>
                <w:szCs w:val="24"/>
                <w:color w:val="auto"/>
              </w:rPr>
            </w:pPr>
          </w:p>
        </w:tc>
      </w:tr>
      <w:tr>
        <w:trPr>
          <w:trHeight w:val="278"/>
        </w:trPr>
        <w:tc>
          <w:tcPr>
            <w:tcW w:w="4920" w:type="dxa"/>
            <w:vAlign w:val="bottom"/>
          </w:tcPr>
          <w:p>
            <w:pPr>
              <w:ind w:left="60"/>
              <w:spacing w:after="0"/>
              <w:rPr>
                <w:sz w:val="20"/>
                <w:szCs w:val="20"/>
                <w:color w:val="auto"/>
              </w:rPr>
            </w:pPr>
            <w:r>
              <w:rPr>
                <w:rFonts w:ascii="Arial" w:cs="Arial" w:eastAsia="Arial" w:hAnsi="Arial"/>
                <w:sz w:val="15"/>
                <w:szCs w:val="15"/>
                <w:b w:val="1"/>
                <w:bCs w:val="1"/>
                <w:color w:val="auto"/>
              </w:rPr>
              <w:t>Incentive EBITDA</w:t>
            </w:r>
          </w:p>
        </w:tc>
        <w:tc>
          <w:tcPr>
            <w:tcW w:w="1060" w:type="dxa"/>
            <w:vAlign w:val="bottom"/>
            <w:gridSpan w:val="2"/>
          </w:tcPr>
          <w:p>
            <w:pPr>
              <w:jc w:val="right"/>
              <w:ind w:right="63"/>
              <w:spacing w:after="0"/>
              <w:rPr>
                <w:sz w:val="20"/>
                <w:szCs w:val="20"/>
                <w:color w:val="auto"/>
              </w:rPr>
            </w:pPr>
            <w:r>
              <w:rPr>
                <w:rFonts w:ascii="Arial" w:cs="Arial" w:eastAsia="Arial" w:hAnsi="Arial"/>
                <w:sz w:val="15"/>
                <w:szCs w:val="15"/>
                <w:b w:val="1"/>
                <w:bCs w:val="1"/>
                <w:color w:val="auto"/>
              </w:rPr>
              <w:t>$2,793,041</w:t>
            </w:r>
          </w:p>
        </w:tc>
        <w:tc>
          <w:tcPr>
            <w:tcW w:w="980" w:type="dxa"/>
            <w:vAlign w:val="bottom"/>
          </w:tcPr>
          <w:p>
            <w:pPr>
              <w:jc w:val="right"/>
              <w:ind w:right="43"/>
              <w:spacing w:after="0"/>
              <w:rPr>
                <w:sz w:val="20"/>
                <w:szCs w:val="20"/>
                <w:color w:val="auto"/>
              </w:rPr>
            </w:pPr>
            <w:r>
              <w:rPr>
                <w:rFonts w:ascii="Arial" w:cs="Arial" w:eastAsia="Arial" w:hAnsi="Arial"/>
                <w:sz w:val="15"/>
                <w:szCs w:val="15"/>
                <w:b w:val="1"/>
                <w:bCs w:val="1"/>
                <w:color w:val="auto"/>
              </w:rPr>
              <w:t>$2,305,065</w:t>
            </w:r>
          </w:p>
        </w:tc>
        <w:tc>
          <w:tcPr>
            <w:tcW w:w="840" w:type="dxa"/>
            <w:vAlign w:val="bottom"/>
          </w:tcPr>
          <w:p>
            <w:pPr>
              <w:jc w:val="right"/>
              <w:spacing w:after="0"/>
              <w:rPr>
                <w:sz w:val="20"/>
                <w:szCs w:val="20"/>
                <w:color w:val="auto"/>
              </w:rPr>
            </w:pPr>
            <w:r>
              <w:rPr>
                <w:rFonts w:ascii="Arial" w:cs="Arial" w:eastAsia="Arial" w:hAnsi="Arial"/>
                <w:sz w:val="15"/>
                <w:szCs w:val="15"/>
                <w:b w:val="1"/>
                <w:bCs w:val="1"/>
                <w:color w:val="auto"/>
              </w:rPr>
              <w:t>$2,170,367</w:t>
            </w:r>
          </w:p>
        </w:tc>
        <w:tc>
          <w:tcPr>
            <w:tcW w:w="80" w:type="dxa"/>
            <w:vAlign w:val="bottom"/>
          </w:tcPr>
          <w:p>
            <w:pPr>
              <w:spacing w:after="0"/>
              <w:rPr>
                <w:sz w:val="24"/>
                <w:szCs w:val="24"/>
                <w:color w:val="auto"/>
              </w:rPr>
            </w:pPr>
          </w:p>
        </w:tc>
      </w:tr>
      <w:tr>
        <w:trPr>
          <w:trHeight w:val="52"/>
        </w:trPr>
        <w:tc>
          <w:tcPr>
            <w:tcW w:w="4920" w:type="dxa"/>
            <w:vAlign w:val="bottom"/>
          </w:tcPr>
          <w:p>
            <w:pPr>
              <w:spacing w:after="0"/>
              <w:rPr>
                <w:sz w:val="4"/>
                <w:szCs w:val="4"/>
                <w:color w:val="auto"/>
              </w:rPr>
            </w:pPr>
          </w:p>
        </w:tc>
        <w:tc>
          <w:tcPr>
            <w:tcW w:w="140" w:type="dxa"/>
            <w:vAlign w:val="bottom"/>
          </w:tcPr>
          <w:p>
            <w:pPr>
              <w:spacing w:after="0"/>
              <w:rPr>
                <w:sz w:val="4"/>
                <w:szCs w:val="4"/>
                <w:color w:val="auto"/>
              </w:rPr>
            </w:pPr>
          </w:p>
        </w:tc>
        <w:tc>
          <w:tcPr>
            <w:tcW w:w="920" w:type="dxa"/>
            <w:vAlign w:val="bottom"/>
            <w:tcBorders>
              <w:bottom w:val="single" w:sz="8" w:color="002B5F"/>
            </w:tcBorders>
          </w:tcPr>
          <w:p>
            <w:pPr>
              <w:spacing w:after="0"/>
              <w:rPr>
                <w:sz w:val="4"/>
                <w:szCs w:val="4"/>
                <w:color w:val="auto"/>
              </w:rPr>
            </w:pPr>
          </w:p>
        </w:tc>
        <w:tc>
          <w:tcPr>
            <w:tcW w:w="980" w:type="dxa"/>
            <w:vAlign w:val="bottom"/>
            <w:tcBorders>
              <w:bottom w:val="single" w:sz="8" w:color="002B5F"/>
            </w:tcBorders>
          </w:tcPr>
          <w:p>
            <w:pPr>
              <w:spacing w:after="0"/>
              <w:rPr>
                <w:sz w:val="4"/>
                <w:szCs w:val="4"/>
                <w:color w:val="auto"/>
              </w:rPr>
            </w:pPr>
          </w:p>
        </w:tc>
        <w:tc>
          <w:tcPr>
            <w:tcW w:w="840" w:type="dxa"/>
            <w:vAlign w:val="bottom"/>
            <w:tcBorders>
              <w:bottom w:val="single" w:sz="8" w:color="002B5F"/>
            </w:tcBorders>
          </w:tcPr>
          <w:p>
            <w:pPr>
              <w:spacing w:after="0"/>
              <w:rPr>
                <w:sz w:val="4"/>
                <w:szCs w:val="4"/>
                <w:color w:val="auto"/>
              </w:rPr>
            </w:pPr>
          </w:p>
        </w:tc>
        <w:tc>
          <w:tcPr>
            <w:tcW w:w="80" w:type="dxa"/>
            <w:vAlign w:val="bottom"/>
          </w:tcPr>
          <w:p>
            <w:pPr>
              <w:spacing w:after="0"/>
              <w:rPr>
                <w:sz w:val="4"/>
                <w:szCs w:val="4"/>
                <w:color w:val="auto"/>
              </w:rPr>
            </w:pPr>
          </w:p>
        </w:tc>
      </w:tr>
    </w:tbl>
    <w:p>
      <w:pPr>
        <w:spacing w:after="0" w:line="110" w:lineRule="exact"/>
        <w:rPr>
          <w:sz w:val="20"/>
          <w:szCs w:val="20"/>
          <w:color w:val="auto"/>
        </w:rPr>
      </w:pPr>
    </w:p>
    <w:p>
      <w:pPr>
        <w:ind w:left="780" w:right="220" w:hanging="241"/>
        <w:spacing w:after="0" w:line="235" w:lineRule="auto"/>
        <w:tabs>
          <w:tab w:leader="none" w:pos="780" w:val="left"/>
        </w:tabs>
        <w:numPr>
          <w:ilvl w:val="0"/>
          <w:numId w:val="140"/>
        </w:numPr>
        <w:rPr>
          <w:rFonts w:ascii="Arial" w:cs="Arial" w:eastAsia="Arial" w:hAnsi="Arial"/>
          <w:sz w:val="12"/>
          <w:szCs w:val="12"/>
          <w:color w:val="auto"/>
        </w:rPr>
      </w:pPr>
      <w:r>
        <w:rPr>
          <w:rFonts w:ascii="Arial" w:cs="Arial" w:eastAsia="Arial" w:hAnsi="Arial"/>
          <w:sz w:val="12"/>
          <w:szCs w:val="12"/>
          <w:color w:val="auto"/>
        </w:rPr>
        <w:t>Represents share-based compensation expense for equity awards granted to employees, officers, and directors. Such awards are measured based on the grant-date fair value and recognized over the requisite service period of the individual awards, which generally equals the vesting period. In 2024, the Company revised its approach and no longer excludes the impact of share-based compensation in determining its performance against corporate goals.</w:t>
      </w:r>
    </w:p>
    <w:p>
      <w:pPr>
        <w:spacing w:after="0" w:line="33" w:lineRule="exact"/>
        <w:rPr>
          <w:rFonts w:ascii="Arial" w:cs="Arial" w:eastAsia="Arial" w:hAnsi="Arial"/>
          <w:sz w:val="12"/>
          <w:szCs w:val="12"/>
          <w:color w:val="auto"/>
        </w:rPr>
      </w:pPr>
    </w:p>
    <w:p>
      <w:pPr>
        <w:ind w:left="780" w:right="120" w:hanging="241"/>
        <w:spacing w:after="0" w:line="232" w:lineRule="auto"/>
        <w:tabs>
          <w:tab w:leader="none" w:pos="780" w:val="left"/>
        </w:tabs>
        <w:numPr>
          <w:ilvl w:val="0"/>
          <w:numId w:val="140"/>
        </w:numPr>
        <w:rPr>
          <w:rFonts w:ascii="Arial" w:cs="Arial" w:eastAsia="Arial" w:hAnsi="Arial"/>
          <w:sz w:val="12"/>
          <w:szCs w:val="12"/>
          <w:color w:val="auto"/>
        </w:rPr>
      </w:pPr>
      <w:r>
        <w:rPr>
          <w:rFonts w:ascii="Arial" w:cs="Arial" w:eastAsia="Arial" w:hAnsi="Arial"/>
          <w:sz w:val="12"/>
          <w:szCs w:val="12"/>
          <w:color w:val="auto"/>
        </w:rPr>
        <w:t>Other for the year ended December 31, 2025 primarily includes adjustments to exclude the impact of the acquisition of Commonwealth Financial Network during the year. Other for the year ended December 31, 2024 primarily includes adjustments to exclude the impact of the transition of Prudential Advisors to LPL Enterprise, LLC (“LPL Enterprise”) and the acquisition of Atria Wealth Solutions, Inc. during the year. Other for the year ended December 31, 2023 primarily includes costs incurred related to the transition of Prudential Advisors to LPL Enterprise during the year.</w:t>
      </w:r>
    </w:p>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spacing w:after="0"/>
        <w:rPr>
          <w:sz w:val="20"/>
          <w:szCs w:val="20"/>
          <w:color w:val="auto"/>
        </w:rPr>
      </w:pPr>
      <w:r>
        <w:rPr>
          <w:rFonts w:ascii="Arial" w:cs="Arial" w:eastAsia="Arial" w:hAnsi="Arial"/>
          <w:sz w:val="12"/>
          <w:szCs w:val="12"/>
          <w:color w:val="FFFFFF"/>
        </w:rPr>
        <w:t>Proposal 1</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FFFFFF"/>
        </w:rPr>
        <w:t>Information</w:t>
      </w:r>
    </w:p>
    <w:p>
      <w:pPr>
        <w:spacing w:after="0" w:line="224" w:lineRule="auto"/>
        <w:rPr>
          <w:sz w:val="20"/>
          <w:szCs w:val="20"/>
          <w:color w:val="auto"/>
        </w:rPr>
      </w:pPr>
      <w:r>
        <w:rPr>
          <w:rFonts w:ascii="Arial" w:cs="Arial" w:eastAsia="Arial" w:hAnsi="Arial"/>
          <w:sz w:val="12"/>
          <w:szCs w:val="12"/>
          <w:color w:val="FFFFFF"/>
        </w:rPr>
        <w:t>Regarding Board</w:t>
      </w:r>
    </w:p>
    <w:p>
      <w:pPr>
        <w:spacing w:after="0" w:line="222" w:lineRule="auto"/>
        <w:rPr>
          <w:sz w:val="20"/>
          <w:szCs w:val="20"/>
          <w:color w:val="auto"/>
        </w:rPr>
      </w:pPr>
      <w:r>
        <w:rPr>
          <w:rFonts w:ascii="Arial" w:cs="Arial" w:eastAsia="Arial" w:hAnsi="Arial"/>
          <w:sz w:val="12"/>
          <w:szCs w:val="12"/>
          <w:color w:val="FFFFFF"/>
        </w:rPr>
        <w:t>and Committee</w:t>
      </w:r>
    </w:p>
    <w:p>
      <w:pPr>
        <w:spacing w:after="0"/>
        <w:rPr>
          <w:sz w:val="20"/>
          <w:szCs w:val="20"/>
          <w:color w:val="auto"/>
        </w:rPr>
      </w:pPr>
      <w:r>
        <w:rPr>
          <w:rFonts w:ascii="Arial" w:cs="Arial" w:eastAsia="Arial" w:hAnsi="Arial"/>
          <w:sz w:val="12"/>
          <w:szCs w:val="12"/>
          <w:color w:val="FFFFFF"/>
        </w:rPr>
        <w:t>Structure</w:t>
      </w:r>
    </w:p>
    <w:p>
      <w:pPr>
        <w:spacing w:after="0" w:line="144" w:lineRule="exact"/>
        <w:rPr>
          <w:sz w:val="20"/>
          <w:szCs w:val="20"/>
          <w:color w:val="auto"/>
        </w:rPr>
      </w:pPr>
    </w:p>
    <w:p>
      <w:pPr>
        <w:spacing w:after="0"/>
        <w:rPr>
          <w:sz w:val="20"/>
          <w:szCs w:val="20"/>
          <w:color w:val="auto"/>
        </w:rPr>
      </w:pPr>
      <w:r>
        <w:rPr>
          <w:rFonts w:ascii="Arial" w:cs="Arial" w:eastAsia="Arial" w:hAnsi="Arial"/>
          <w:sz w:val="11"/>
          <w:szCs w:val="11"/>
          <w:color w:val="FFFFFF"/>
        </w:rPr>
        <w:t>Board of Directors</w:t>
      </w:r>
    </w:p>
    <w:p>
      <w:pPr>
        <w:spacing w:after="0" w:line="13" w:lineRule="exact"/>
        <w:rPr>
          <w:sz w:val="20"/>
          <w:szCs w:val="20"/>
          <w:color w:val="auto"/>
        </w:rPr>
      </w:pPr>
    </w:p>
    <w:p>
      <w:pPr>
        <w:spacing w:after="0"/>
        <w:rPr>
          <w:sz w:val="20"/>
          <w:szCs w:val="20"/>
          <w:color w:val="auto"/>
        </w:rPr>
      </w:pPr>
      <w:r>
        <w:rPr>
          <w:rFonts w:ascii="Arial" w:cs="Arial" w:eastAsia="Arial" w:hAnsi="Arial"/>
          <w:sz w:val="12"/>
          <w:szCs w:val="12"/>
          <w:color w:val="FFFFFF"/>
        </w:rPr>
        <w:t>Compensation</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Compensation</w:t>
      </w:r>
    </w:p>
    <w:p>
      <w:pPr>
        <w:spacing w:after="0" w:line="224" w:lineRule="auto"/>
        <w:rPr>
          <w:sz w:val="20"/>
          <w:szCs w:val="20"/>
          <w:color w:val="auto"/>
        </w:rPr>
      </w:pPr>
      <w:r>
        <w:rPr>
          <w:rFonts w:ascii="Arial" w:cs="Arial" w:eastAsia="Arial" w:hAnsi="Arial"/>
          <w:sz w:val="12"/>
          <w:szCs w:val="12"/>
          <w:color w:val="FFFFFF"/>
        </w:rPr>
        <w:t>Discussion and</w:t>
      </w:r>
    </w:p>
    <w:p>
      <w:pPr>
        <w:spacing w:after="0"/>
        <w:rPr>
          <w:sz w:val="20"/>
          <w:szCs w:val="20"/>
          <w:color w:val="auto"/>
        </w:rPr>
      </w:pPr>
      <w:r>
        <w:rPr>
          <w:rFonts w:ascii="Arial" w:cs="Arial" w:eastAsia="Arial" w:hAnsi="Arial"/>
          <w:sz w:val="12"/>
          <w:szCs w:val="12"/>
          <w:color w:val="FFFFFF"/>
        </w:rPr>
        <w:t>Analysis</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Report of the</w:t>
      </w:r>
    </w:p>
    <w:p>
      <w:pPr>
        <w:spacing w:after="0" w:line="224" w:lineRule="auto"/>
        <w:rPr>
          <w:sz w:val="20"/>
          <w:szCs w:val="20"/>
          <w:color w:val="auto"/>
        </w:rPr>
      </w:pPr>
      <w:r>
        <w:rPr>
          <w:rFonts w:ascii="Arial" w:cs="Arial" w:eastAsia="Arial" w:hAnsi="Arial"/>
          <w:sz w:val="12"/>
          <w:szCs w:val="12"/>
          <w:color w:val="FFFFFF"/>
        </w:rPr>
        <w:t>Compensation</w:t>
      </w:r>
    </w:p>
    <w:p>
      <w:pPr>
        <w:spacing w:after="0" w:line="222" w:lineRule="auto"/>
        <w:rPr>
          <w:sz w:val="20"/>
          <w:szCs w:val="20"/>
          <w:color w:val="auto"/>
        </w:rPr>
      </w:pPr>
      <w:r>
        <w:rPr>
          <w:rFonts w:ascii="Arial" w:cs="Arial" w:eastAsia="Arial" w:hAnsi="Arial"/>
          <w:sz w:val="12"/>
          <w:szCs w:val="12"/>
          <w:color w:val="FFFFFF"/>
        </w:rPr>
        <w:t>and Human</w:t>
      </w:r>
    </w:p>
    <w:p>
      <w:pPr>
        <w:spacing w:after="0" w:line="222" w:lineRule="auto"/>
        <w:rPr>
          <w:sz w:val="20"/>
          <w:szCs w:val="20"/>
          <w:color w:val="auto"/>
        </w:rPr>
      </w:pPr>
      <w:r>
        <w:rPr>
          <w:rFonts w:ascii="Arial" w:cs="Arial" w:eastAsia="Arial" w:hAnsi="Arial"/>
          <w:sz w:val="12"/>
          <w:szCs w:val="12"/>
          <w:color w:val="FFFFFF"/>
        </w:rPr>
        <w:t>Resources</w:t>
      </w:r>
    </w:p>
    <w:p>
      <w:pPr>
        <w:spacing w:after="0" w:line="222" w:lineRule="auto"/>
        <w:rPr>
          <w:sz w:val="20"/>
          <w:szCs w:val="20"/>
          <w:color w:val="auto"/>
        </w:rPr>
      </w:pPr>
      <w:r>
        <w:rPr>
          <w:rFonts w:ascii="Arial" w:cs="Arial" w:eastAsia="Arial" w:hAnsi="Arial"/>
          <w:sz w:val="12"/>
          <w:szCs w:val="12"/>
          <w:color w:val="FFFFFF"/>
        </w:rPr>
        <w:t>Committee of the</w:t>
      </w:r>
    </w:p>
    <w:p>
      <w:pPr>
        <w:spacing w:after="0"/>
        <w:rPr>
          <w:sz w:val="20"/>
          <w:szCs w:val="20"/>
          <w:color w:val="auto"/>
        </w:rPr>
      </w:pPr>
      <w:r>
        <w:rPr>
          <w:rFonts w:ascii="Arial" w:cs="Arial" w:eastAsia="Arial" w:hAnsi="Arial"/>
          <w:sz w:val="11"/>
          <w:szCs w:val="11"/>
          <w:color w:val="FFFFFF"/>
        </w:rPr>
        <w:t>Board of Directors</w:t>
      </w:r>
    </w:p>
    <w:p>
      <w:pPr>
        <w:spacing w:after="0" w:line="155" w:lineRule="exact"/>
        <w:rPr>
          <w:sz w:val="20"/>
          <w:szCs w:val="20"/>
          <w:color w:val="auto"/>
        </w:rPr>
      </w:pPr>
    </w:p>
    <w:p>
      <w:pPr>
        <w:spacing w:after="0"/>
        <w:rPr>
          <w:sz w:val="20"/>
          <w:szCs w:val="20"/>
          <w:color w:val="auto"/>
        </w:rPr>
      </w:pPr>
      <w:r>
        <w:rPr>
          <w:rFonts w:ascii="Arial" w:cs="Arial" w:eastAsia="Arial" w:hAnsi="Arial"/>
          <w:sz w:val="12"/>
          <w:szCs w:val="12"/>
          <w:color w:val="FFFFFF"/>
        </w:rPr>
        <w:t>Compensation of</w:t>
      </w:r>
    </w:p>
    <w:p>
      <w:pPr>
        <w:spacing w:after="0" w:line="224" w:lineRule="auto"/>
        <w:rPr>
          <w:sz w:val="20"/>
          <w:szCs w:val="20"/>
          <w:color w:val="auto"/>
        </w:rPr>
      </w:pPr>
      <w:r>
        <w:rPr>
          <w:rFonts w:ascii="Arial" w:cs="Arial" w:eastAsia="Arial" w:hAnsi="Arial"/>
          <w:sz w:val="12"/>
          <w:szCs w:val="12"/>
          <w:color w:val="FFFFFF"/>
        </w:rPr>
        <w:t>Named Executive</w:t>
      </w:r>
    </w:p>
    <w:p>
      <w:pPr>
        <w:spacing w:after="0"/>
        <w:rPr>
          <w:sz w:val="20"/>
          <w:szCs w:val="20"/>
          <w:color w:val="auto"/>
        </w:rPr>
      </w:pPr>
      <w:r>
        <w:rPr>
          <w:rFonts w:ascii="Arial" w:cs="Arial" w:eastAsia="Arial" w:hAnsi="Arial"/>
          <w:sz w:val="12"/>
          <w:szCs w:val="12"/>
          <w:color w:val="FFFFFF"/>
        </w:rPr>
        <w:t>Officers</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Pay Versus</w:t>
      </w:r>
    </w:p>
    <w:p>
      <w:pPr>
        <w:spacing w:after="0" w:line="224" w:lineRule="auto"/>
        <w:rPr>
          <w:sz w:val="20"/>
          <w:szCs w:val="20"/>
          <w:color w:val="auto"/>
        </w:rPr>
      </w:pPr>
      <w:r>
        <w:rPr>
          <w:rFonts w:ascii="Arial" w:cs="Arial" w:eastAsia="Arial" w:hAnsi="Arial"/>
          <w:sz w:val="12"/>
          <w:szCs w:val="12"/>
          <w:color w:val="FFFFFF"/>
        </w:rPr>
        <w:t>Performance</w:t>
      </w:r>
    </w:p>
    <w:p>
      <w:pPr>
        <w:spacing w:after="0"/>
        <w:rPr>
          <w:sz w:val="20"/>
          <w:szCs w:val="20"/>
          <w:color w:val="auto"/>
        </w:rPr>
      </w:pPr>
      <w:r>
        <w:rPr>
          <w:rFonts w:ascii="Arial" w:cs="Arial" w:eastAsia="Arial" w:hAnsi="Arial"/>
          <w:sz w:val="12"/>
          <w:szCs w:val="12"/>
          <w:color w:val="FFFFFF"/>
        </w:rPr>
        <w:t>Disclosure</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Security</w:t>
      </w:r>
    </w:p>
    <w:p>
      <w:pPr>
        <w:spacing w:after="0" w:line="224" w:lineRule="auto"/>
        <w:rPr>
          <w:sz w:val="20"/>
          <w:szCs w:val="20"/>
          <w:color w:val="auto"/>
        </w:rPr>
      </w:pPr>
      <w:r>
        <w:rPr>
          <w:rFonts w:ascii="Arial" w:cs="Arial" w:eastAsia="Arial" w:hAnsi="Arial"/>
          <w:sz w:val="12"/>
          <w:szCs w:val="12"/>
          <w:color w:val="FFFFFF"/>
        </w:rPr>
        <w:t>Ownership of</w:t>
      </w:r>
    </w:p>
    <w:p>
      <w:pPr>
        <w:spacing w:after="0" w:line="222" w:lineRule="auto"/>
        <w:rPr>
          <w:sz w:val="20"/>
          <w:szCs w:val="20"/>
          <w:color w:val="auto"/>
        </w:rPr>
      </w:pPr>
      <w:r>
        <w:rPr>
          <w:rFonts w:ascii="Arial" w:cs="Arial" w:eastAsia="Arial" w:hAnsi="Arial"/>
          <w:sz w:val="12"/>
          <w:szCs w:val="12"/>
          <w:color w:val="FFFFFF"/>
        </w:rPr>
        <w:t>Certain Beneficial</w:t>
      </w:r>
    </w:p>
    <w:p>
      <w:pPr>
        <w:spacing w:after="0" w:line="222" w:lineRule="auto"/>
        <w:rPr>
          <w:sz w:val="20"/>
          <w:szCs w:val="20"/>
          <w:color w:val="auto"/>
        </w:rPr>
      </w:pPr>
      <w:r>
        <w:rPr>
          <w:rFonts w:ascii="Arial" w:cs="Arial" w:eastAsia="Arial" w:hAnsi="Arial"/>
          <w:sz w:val="12"/>
          <w:szCs w:val="12"/>
          <w:color w:val="FFFFFF"/>
        </w:rPr>
        <w:t>Owners and</w:t>
      </w:r>
    </w:p>
    <w:p>
      <w:pPr>
        <w:spacing w:after="0"/>
        <w:rPr>
          <w:sz w:val="20"/>
          <w:szCs w:val="20"/>
          <w:color w:val="auto"/>
        </w:rPr>
      </w:pPr>
      <w:r>
        <w:rPr>
          <w:rFonts w:ascii="Arial" w:cs="Arial" w:eastAsia="Arial" w:hAnsi="Arial"/>
          <w:sz w:val="12"/>
          <w:szCs w:val="12"/>
          <w:color w:val="FFFFFF"/>
        </w:rPr>
        <w:t>Management</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Certain</w:t>
      </w:r>
    </w:p>
    <w:p>
      <w:pPr>
        <w:spacing w:after="0" w:line="224" w:lineRule="auto"/>
        <w:rPr>
          <w:sz w:val="20"/>
          <w:szCs w:val="20"/>
          <w:color w:val="auto"/>
        </w:rPr>
      </w:pPr>
      <w:r>
        <w:rPr>
          <w:rFonts w:ascii="Arial" w:cs="Arial" w:eastAsia="Arial" w:hAnsi="Arial"/>
          <w:sz w:val="12"/>
          <w:szCs w:val="12"/>
          <w:color w:val="FFFFFF"/>
        </w:rPr>
        <w:t>Relationships and</w:t>
      </w:r>
    </w:p>
    <w:p>
      <w:pPr>
        <w:spacing w:after="0" w:line="222" w:lineRule="auto"/>
        <w:rPr>
          <w:sz w:val="20"/>
          <w:szCs w:val="20"/>
          <w:color w:val="auto"/>
        </w:rPr>
      </w:pPr>
      <w:r>
        <w:rPr>
          <w:rFonts w:ascii="Arial" w:cs="Arial" w:eastAsia="Arial" w:hAnsi="Arial"/>
          <w:sz w:val="12"/>
          <w:szCs w:val="12"/>
          <w:color w:val="FFFFFF"/>
        </w:rPr>
        <w:t>Related Party</w:t>
      </w:r>
    </w:p>
    <w:p>
      <w:pPr>
        <w:spacing w:after="0"/>
        <w:rPr>
          <w:sz w:val="20"/>
          <w:szCs w:val="20"/>
          <w:color w:val="auto"/>
        </w:rPr>
      </w:pPr>
      <w:r>
        <w:rPr>
          <w:rFonts w:ascii="Arial" w:cs="Arial" w:eastAsia="Arial" w:hAnsi="Arial"/>
          <w:sz w:val="12"/>
          <w:szCs w:val="12"/>
          <w:color w:val="FFFFFF"/>
        </w:rPr>
        <w:t>Transactions</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Proposal 2</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FFFFFF"/>
        </w:rPr>
        <w:t>Report of the</w:t>
      </w:r>
    </w:p>
    <w:p>
      <w:pPr>
        <w:spacing w:after="0" w:line="224" w:lineRule="auto"/>
        <w:rPr>
          <w:sz w:val="20"/>
          <w:szCs w:val="20"/>
          <w:color w:val="auto"/>
        </w:rPr>
      </w:pPr>
      <w:r>
        <w:rPr>
          <w:rFonts w:ascii="Arial" w:cs="Arial" w:eastAsia="Arial" w:hAnsi="Arial"/>
          <w:sz w:val="12"/>
          <w:szCs w:val="12"/>
          <w:color w:val="FFFFFF"/>
        </w:rPr>
        <w:t>Audit and Risk</w:t>
      </w:r>
    </w:p>
    <w:p>
      <w:pPr>
        <w:spacing w:after="0" w:line="222" w:lineRule="auto"/>
        <w:rPr>
          <w:sz w:val="20"/>
          <w:szCs w:val="20"/>
          <w:color w:val="auto"/>
        </w:rPr>
      </w:pPr>
      <w:r>
        <w:rPr>
          <w:rFonts w:ascii="Arial" w:cs="Arial" w:eastAsia="Arial" w:hAnsi="Arial"/>
          <w:sz w:val="12"/>
          <w:szCs w:val="12"/>
          <w:color w:val="FFFFFF"/>
        </w:rPr>
        <w:t>Committee of the</w:t>
      </w:r>
    </w:p>
    <w:p>
      <w:pPr>
        <w:spacing w:after="0"/>
        <w:rPr>
          <w:sz w:val="20"/>
          <w:szCs w:val="20"/>
          <w:color w:val="auto"/>
        </w:rPr>
      </w:pPr>
      <w:r>
        <w:rPr>
          <w:rFonts w:ascii="Arial" w:cs="Arial" w:eastAsia="Arial" w:hAnsi="Arial"/>
          <w:sz w:val="11"/>
          <w:szCs w:val="11"/>
          <w:color w:val="FFFFFF"/>
        </w:rPr>
        <w:t>Board of Directors</w:t>
      </w:r>
    </w:p>
    <w:p>
      <w:pPr>
        <w:spacing w:after="0" w:line="155" w:lineRule="exact"/>
        <w:rPr>
          <w:sz w:val="20"/>
          <w:szCs w:val="20"/>
          <w:color w:val="auto"/>
        </w:rPr>
      </w:pPr>
    </w:p>
    <w:p>
      <w:pPr>
        <w:spacing w:after="0"/>
        <w:rPr>
          <w:sz w:val="20"/>
          <w:szCs w:val="20"/>
          <w:color w:val="auto"/>
        </w:rPr>
      </w:pPr>
      <w:r>
        <w:rPr>
          <w:rFonts w:ascii="Arial" w:cs="Arial" w:eastAsia="Arial" w:hAnsi="Arial"/>
          <w:sz w:val="12"/>
          <w:szCs w:val="12"/>
          <w:color w:val="FFFFFF"/>
        </w:rPr>
        <w:t>Proposal 3</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FFFFFF"/>
        </w:rPr>
        <w:t>Proposal 4</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FFFFFF"/>
        </w:rPr>
        <w:t>Proposal 5</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FFFFFF"/>
        </w:rPr>
        <w:t>Proposal 6</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FFFFFF"/>
        </w:rPr>
        <w:t>Stockholder</w:t>
      </w:r>
    </w:p>
    <w:p>
      <w:pPr>
        <w:spacing w:after="0" w:line="224" w:lineRule="auto"/>
        <w:rPr>
          <w:sz w:val="20"/>
          <w:szCs w:val="20"/>
          <w:color w:val="auto"/>
        </w:rPr>
      </w:pPr>
      <w:r>
        <w:rPr>
          <w:rFonts w:ascii="Arial" w:cs="Arial" w:eastAsia="Arial" w:hAnsi="Arial"/>
          <w:sz w:val="12"/>
          <w:szCs w:val="12"/>
          <w:color w:val="FFFFFF"/>
        </w:rPr>
        <w:t>Proposals and</w:t>
      </w:r>
    </w:p>
    <w:p>
      <w:pPr>
        <w:spacing w:after="0"/>
        <w:rPr>
          <w:sz w:val="20"/>
          <w:szCs w:val="20"/>
          <w:color w:val="auto"/>
        </w:rPr>
      </w:pPr>
      <w:r>
        <w:rPr>
          <w:rFonts w:ascii="Arial" w:cs="Arial" w:eastAsia="Arial" w:hAnsi="Arial"/>
          <w:sz w:val="12"/>
          <w:szCs w:val="12"/>
          <w:color w:val="FFFFFF"/>
        </w:rPr>
        <w:t>Other Matters</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Delinquent</w:t>
      </w:r>
    </w:p>
    <w:p>
      <w:pPr>
        <w:spacing w:after="0" w:line="224" w:lineRule="auto"/>
        <w:rPr>
          <w:sz w:val="20"/>
          <w:szCs w:val="20"/>
          <w:color w:val="auto"/>
        </w:rPr>
      </w:pPr>
      <w:r>
        <w:rPr>
          <w:rFonts w:ascii="Arial" w:cs="Arial" w:eastAsia="Arial" w:hAnsi="Arial"/>
          <w:sz w:val="12"/>
          <w:szCs w:val="12"/>
          <w:color w:val="FFFFFF"/>
        </w:rPr>
        <w:t>Section 16(a)</w:t>
      </w:r>
    </w:p>
    <w:p>
      <w:pPr>
        <w:spacing w:after="0"/>
        <w:rPr>
          <w:sz w:val="20"/>
          <w:szCs w:val="20"/>
          <w:color w:val="auto"/>
        </w:rPr>
      </w:pPr>
      <w:r>
        <w:rPr>
          <w:rFonts w:ascii="Arial" w:cs="Arial" w:eastAsia="Arial" w:hAnsi="Arial"/>
          <w:sz w:val="12"/>
          <w:szCs w:val="12"/>
          <w:color w:val="FFFFFF"/>
        </w:rPr>
        <w:t>Reports</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Other</w:t>
      </w:r>
    </w:p>
    <w:p>
      <w:pPr>
        <w:spacing w:after="0" w:line="2" w:lineRule="exact"/>
        <w:rPr>
          <w:sz w:val="20"/>
          <w:szCs w:val="20"/>
          <w:color w:val="auto"/>
        </w:rPr>
      </w:pPr>
    </w:p>
    <w:p>
      <w:pPr>
        <w:spacing w:after="0"/>
        <w:rPr>
          <w:sz w:val="20"/>
          <w:szCs w:val="20"/>
          <w:color w:val="auto"/>
        </w:rPr>
      </w:pPr>
      <w:r>
        <w:rPr>
          <w:rFonts w:ascii="Arial" w:cs="Arial" w:eastAsia="Arial" w:hAnsi="Arial"/>
          <w:sz w:val="12"/>
          <w:szCs w:val="12"/>
          <w:color w:val="FFFFFF"/>
        </w:rPr>
        <w:t>Information</w:t>
      </w:r>
    </w:p>
    <w:p>
      <w:pPr>
        <w:spacing w:after="0" w:line="141" w:lineRule="exact"/>
        <w:rPr>
          <w:sz w:val="20"/>
          <w:szCs w:val="20"/>
          <w:color w:val="auto"/>
        </w:rPr>
      </w:pPr>
    </w:p>
    <w:p>
      <w:pPr>
        <w:sectPr>
          <w:pgSz w:w="11900" w:h="16838" w:orient="portrait"/>
          <w:cols w:equalWidth="0" w:num="2">
            <w:col w:w="8500" w:space="720"/>
            <w:col w:w="1580"/>
          </w:cols>
          <w:pgMar w:left="320" w:top="464" w:right="779" w:bottom="1440" w:gutter="0" w:footer="0" w:header="0"/>
          <w:type w:val="continuous"/>
        </w:sectPr>
      </w:pPr>
    </w:p>
    <w:p>
      <w:pPr>
        <w:ind w:left="9080"/>
        <w:spacing w:after="0"/>
        <w:rPr>
          <w:sz w:val="20"/>
          <w:szCs w:val="20"/>
          <w:color w:val="auto"/>
        </w:rPr>
      </w:pPr>
      <w:r>
        <w:rPr>
          <w:sz w:val="1"/>
          <w:szCs w:val="1"/>
          <w:color w:val="auto"/>
        </w:rPr>
        <w:drawing>
          <wp:inline distT="0" distB="0" distL="0" distR="0">
            <wp:extent cx="56515" cy="88900"/>
            <wp:effectExtent l="0" t="0" r="0" b="0"/>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56515" cy="88900"/>
                    </a:xfrm>
                    <a:prstGeom prst="rect">
                      <a:avLst/>
                    </a:prstGeom>
                    <a:noFill/>
                    <a:ln>
                      <a:noFill/>
                    </a:ln>
                  </pic:spPr>
                </pic:pic>
              </a:graphicData>
            </a:graphic>
          </wp:inline>
        </w:drawing>
      </w:r>
      <w:r>
        <w:rPr>
          <w:rFonts w:ascii="Arial" w:cs="Arial" w:eastAsia="Arial" w:hAnsi="Arial"/>
          <w:sz w:val="12"/>
          <w:szCs w:val="12"/>
          <w:b w:val="1"/>
          <w:bCs w:val="1"/>
          <w:color w:val="FFFFFF"/>
        </w:rPr>
        <w:t xml:space="preserve"> Appendix A</w:t>
      </w:r>
    </w:p>
    <w:p>
      <w:pPr>
        <w:spacing w:after="0" w:line="130" w:lineRule="exact"/>
        <w:rPr>
          <w:sz w:val="20"/>
          <w:szCs w:val="20"/>
          <w:color w:val="auto"/>
        </w:rPr>
      </w:pPr>
    </w:p>
    <w:p>
      <w:pPr>
        <w:ind w:left="9220"/>
        <w:spacing w:after="0"/>
        <w:rPr>
          <w:sz w:val="20"/>
          <w:szCs w:val="20"/>
          <w:color w:val="auto"/>
        </w:rPr>
      </w:pPr>
      <w:r>
        <w:rPr>
          <w:rFonts w:ascii="Arial" w:cs="Arial" w:eastAsia="Arial" w:hAnsi="Arial"/>
          <w:sz w:val="12"/>
          <w:szCs w:val="12"/>
          <w:color w:val="FFFFFF"/>
        </w:rPr>
        <w:t>Appendix 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6380"/>
        <w:spacing w:after="0"/>
        <w:tabs>
          <w:tab w:leader="none" w:pos="8500" w:val="left"/>
          <w:tab w:leader="none" w:pos="9960" w:val="left"/>
        </w:tabs>
        <w:rPr>
          <w:sz w:val="20"/>
          <w:szCs w:val="20"/>
          <w:color w:val="auto"/>
        </w:rPr>
      </w:pPr>
      <w:r>
        <w:rPr>
          <w:rFonts w:ascii="Arial" w:cs="Arial" w:eastAsia="Arial" w:hAnsi="Arial"/>
          <w:sz w:val="15"/>
          <w:szCs w:val="15"/>
          <w:b w:val="1"/>
          <w:bCs w:val="1"/>
          <w:color w:val="002B5F"/>
        </w:rPr>
        <w:t xml:space="preserve">2026 Proxy Statement  </w:t>
      </w:r>
      <w:r>
        <w:rPr>
          <w:rFonts w:ascii="Arial" w:cs="Arial" w:eastAsia="Arial" w:hAnsi="Arial"/>
          <w:sz w:val="20"/>
          <w:szCs w:val="20"/>
          <w:color w:val="002B5F"/>
        </w:rPr>
        <w:t>|</w:t>
      </w:r>
      <w:r>
        <w:rPr>
          <w:rFonts w:ascii="Arial" w:cs="Arial" w:eastAsia="Arial" w:hAnsi="Arial"/>
          <w:sz w:val="15"/>
          <w:szCs w:val="15"/>
          <w:b w:val="1"/>
          <w:bCs w:val="1"/>
          <w:color w:val="002B5F"/>
        </w:rPr>
        <w:t xml:space="preserve">  99</w:t>
      </w:r>
      <w:r>
        <w:rPr>
          <w:sz w:val="20"/>
          <w:szCs w:val="20"/>
          <w:color w:val="auto"/>
        </w:rPr>
        <w:tab/>
      </w:r>
      <w:r>
        <w:rPr>
          <w:rFonts w:ascii="Arial" w:cs="Arial" w:eastAsia="Arial" w:hAnsi="Arial"/>
          <w:sz w:val="17"/>
          <w:szCs w:val="17"/>
          <w:color w:val="auto"/>
        </w:rPr>
        <w:t xml:space="preserve">    </w:t>
      </w:r>
      <w:r>
        <w:rPr>
          <w:sz w:val="20"/>
          <w:szCs w:val="20"/>
          <w:color w:val="auto"/>
        </w:rPr>
        <w:tab/>
      </w:r>
      <w:r>
        <w:rPr>
          <w:rFonts w:ascii="Arial" w:cs="Arial" w:eastAsia="Arial" w:hAnsi="Arial"/>
          <w:sz w:val="17"/>
          <w:szCs w:val="17"/>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268605</wp:posOffset>
            </wp:positionH>
            <wp:positionV relativeFrom="paragraph">
              <wp:posOffset>-128905</wp:posOffset>
            </wp:positionV>
            <wp:extent cx="762000" cy="971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62000" cy="97155"/>
                    </a:xfrm>
                    <a:prstGeom prst="rect">
                      <a:avLst/>
                    </a:prstGeom>
                    <a:noFill/>
                  </pic:spPr>
                </pic:pic>
              </a:graphicData>
            </a:graphic>
          </wp:anchor>
        </w:drawing>
      </w:r>
    </w:p>
    <w:p>
      <w:pPr>
        <w:sectPr>
          <w:pgSz w:w="11900" w:h="16838" w:orient="portrait"/>
          <w:cols w:equalWidth="0" w:num="1">
            <w:col w:w="10800"/>
          </w:cols>
          <w:pgMar w:left="320" w:top="464" w:right="779" w:bottom="1440" w:gutter="0" w:footer="0" w:header="0"/>
          <w:type w:val="continuous"/>
        </w:sectPr>
      </w:pPr>
    </w:p>
    <w:bookmarkStart w:id="107" w:name="page108"/>
    <w:bookmarkEnd w:id="107"/>
    <w:p>
      <w:pPr>
        <w:spacing w:after="0"/>
        <w:rPr>
          <w:sz w:val="20"/>
          <w:szCs w:val="20"/>
          <w:color w:val="auto"/>
        </w:rPr>
      </w:pPr>
      <w:r>
        <w:rPr>
          <w:rFonts w:ascii="Times New Roman" w:cs="Times New Roman" w:eastAsia="Times New Roman" w:hAnsi="Times New Roman"/>
          <w:sz w:val="17"/>
          <w:szCs w:val="17"/>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268605</wp:posOffset>
            </wp:positionH>
            <wp:positionV relativeFrom="paragraph">
              <wp:posOffset>253365</wp:posOffset>
            </wp:positionV>
            <wp:extent cx="1183005" cy="768286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1183005" cy="7682865"/>
                    </a:xfrm>
                    <a:prstGeom prst="rect">
                      <a:avLst/>
                    </a:prstGeom>
                    <a:noFill/>
                  </pic:spPr>
                </pic:pic>
              </a:graphicData>
            </a:graphic>
          </wp:anchor>
        </w:drawing>
      </w:r>
    </w:p>
    <w:p>
      <w:pPr>
        <w:spacing w:after="0" w:line="200" w:lineRule="exact"/>
        <w:rPr>
          <w:sz w:val="20"/>
          <w:szCs w:val="20"/>
          <w:color w:val="auto"/>
        </w:rPr>
      </w:pPr>
    </w:p>
    <w:p>
      <w:pPr>
        <w:spacing w:after="0" w:line="304" w:lineRule="exact"/>
        <w:rPr>
          <w:sz w:val="20"/>
          <w:szCs w:val="20"/>
          <w:color w:val="auto"/>
        </w:rPr>
      </w:pPr>
    </w:p>
    <w:p>
      <w:pPr>
        <w:ind w:left="1120" w:right="460" w:hanging="672"/>
        <w:spacing w:after="0" w:line="382" w:lineRule="auto"/>
        <w:tabs>
          <w:tab w:leader="none" w:pos="610" w:val="left"/>
        </w:tabs>
        <w:numPr>
          <w:ilvl w:val="0"/>
          <w:numId w:val="141"/>
        </w:numPr>
        <w:rPr>
          <w:rFonts w:ascii="Arial" w:cs="Arial" w:eastAsia="Arial" w:hAnsi="Arial"/>
          <w:sz w:val="24"/>
          <w:szCs w:val="24"/>
          <w:color w:val="auto"/>
          <w:vertAlign w:val="subscript"/>
        </w:rPr>
      </w:pPr>
      <w:r>
        <w:rPr>
          <w:rFonts w:ascii="Arial" w:cs="Arial" w:eastAsia="Arial" w:hAnsi="Arial"/>
          <w:sz w:val="24"/>
          <w:szCs w:val="24"/>
          <w:color w:val="000000"/>
          <w:vertAlign w:val="subscript"/>
        </w:rPr>
        <w:t xml:space="preserve">     </w:t>
      </w:r>
      <w:r>
        <w:rPr>
          <w:rFonts w:ascii="Arial" w:cs="Arial" w:eastAsia="Arial" w:hAnsi="Arial"/>
          <w:sz w:val="10"/>
          <w:szCs w:val="10"/>
          <w:color w:val="FFFFFF"/>
        </w:rPr>
        <w:t xml:space="preserve"> General Information</w:t>
      </w:r>
    </w:p>
    <w:p>
      <w:pPr>
        <w:spacing w:after="0" w:line="1" w:lineRule="exact"/>
        <w:rPr>
          <w:sz w:val="20"/>
          <w:szCs w:val="20"/>
          <w:color w:val="auto"/>
        </w:rPr>
      </w:pPr>
    </w:p>
    <w:p>
      <w:pPr>
        <w:ind w:left="1120"/>
        <w:spacing w:after="0"/>
        <w:rPr>
          <w:sz w:val="20"/>
          <w:szCs w:val="20"/>
          <w:color w:val="auto"/>
        </w:rPr>
      </w:pPr>
      <w:r>
        <w:rPr>
          <w:rFonts w:ascii="Arial" w:cs="Arial" w:eastAsia="Arial" w:hAnsi="Arial"/>
          <w:sz w:val="11"/>
          <w:szCs w:val="11"/>
          <w:color w:val="FFFFFF"/>
        </w:rPr>
        <w:t>General Information</w:t>
      </w:r>
    </w:p>
    <w:p>
      <w:pPr>
        <w:spacing w:after="0" w:line="3"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About Corporate</w:t>
      </w:r>
    </w:p>
    <w:p>
      <w:pPr>
        <w:ind w:left="1120"/>
        <w:spacing w:after="0" w:line="221" w:lineRule="auto"/>
        <w:rPr>
          <w:sz w:val="20"/>
          <w:szCs w:val="20"/>
          <w:color w:val="auto"/>
        </w:rPr>
      </w:pPr>
      <w:r>
        <w:rPr>
          <w:rFonts w:ascii="Arial" w:cs="Arial" w:eastAsia="Arial" w:hAnsi="Arial"/>
          <w:sz w:val="12"/>
          <w:szCs w:val="12"/>
          <w:color w:val="FFFFFF"/>
        </w:rPr>
        <w:t>Governance</w:t>
      </w:r>
    </w:p>
    <w:p>
      <w:pPr>
        <w:ind w:left="1120"/>
        <w:spacing w:after="0" w:line="222" w:lineRule="auto"/>
        <w:rPr>
          <w:sz w:val="20"/>
          <w:szCs w:val="20"/>
          <w:color w:val="auto"/>
        </w:rPr>
      </w:pPr>
      <w:r>
        <w:rPr>
          <w:rFonts w:ascii="Arial" w:cs="Arial" w:eastAsia="Arial" w:hAnsi="Arial"/>
          <w:sz w:val="12"/>
          <w:szCs w:val="12"/>
          <w:color w:val="FFFFFF"/>
        </w:rPr>
        <w:t>and the Board of</w:t>
      </w:r>
    </w:p>
    <w:p>
      <w:pPr>
        <w:spacing w:after="0" w:line="1"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Directors</w:t>
      </w:r>
    </w:p>
    <w:p>
      <w:pPr>
        <w:spacing w:after="0" w:line="169" w:lineRule="exact"/>
        <w:rPr>
          <w:sz w:val="20"/>
          <w:szCs w:val="20"/>
          <w:color w:val="auto"/>
        </w:rPr>
      </w:pPr>
    </w:p>
    <w:p>
      <w:pPr>
        <w:jc w:val="center"/>
        <w:ind w:left="620"/>
        <w:spacing w:after="0"/>
        <w:rPr>
          <w:sz w:val="20"/>
          <w:szCs w:val="20"/>
          <w:color w:val="auto"/>
        </w:rPr>
      </w:pPr>
      <w:r>
        <w:rPr>
          <w:rFonts w:ascii="Arial" w:cs="Arial" w:eastAsia="Arial" w:hAnsi="Arial"/>
          <w:sz w:val="12"/>
          <w:szCs w:val="12"/>
          <w:color w:val="FFFFFF"/>
        </w:rPr>
        <w:t>Proposal 1</w:t>
      </w:r>
    </w:p>
    <w:p>
      <w:pPr>
        <w:spacing w:after="0" w:line="181"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Information</w:t>
      </w:r>
    </w:p>
    <w:p>
      <w:pPr>
        <w:ind w:left="1120"/>
        <w:spacing w:after="0" w:line="224" w:lineRule="auto"/>
        <w:rPr>
          <w:sz w:val="20"/>
          <w:szCs w:val="20"/>
          <w:color w:val="auto"/>
        </w:rPr>
      </w:pPr>
      <w:r>
        <w:rPr>
          <w:rFonts w:ascii="Arial" w:cs="Arial" w:eastAsia="Arial" w:hAnsi="Arial"/>
          <w:sz w:val="12"/>
          <w:szCs w:val="12"/>
          <w:color w:val="FFFFFF"/>
        </w:rPr>
        <w:t>Regarding Board</w:t>
      </w:r>
    </w:p>
    <w:p>
      <w:pPr>
        <w:ind w:left="1120"/>
        <w:spacing w:after="0" w:line="222" w:lineRule="auto"/>
        <w:rPr>
          <w:sz w:val="20"/>
          <w:szCs w:val="20"/>
          <w:color w:val="auto"/>
        </w:rPr>
      </w:pPr>
      <w:r>
        <w:rPr>
          <w:rFonts w:ascii="Arial" w:cs="Arial" w:eastAsia="Arial" w:hAnsi="Arial"/>
          <w:sz w:val="12"/>
          <w:szCs w:val="12"/>
          <w:color w:val="FFFFFF"/>
        </w:rPr>
        <w:t>and Committee</w:t>
      </w:r>
    </w:p>
    <w:p>
      <w:pPr>
        <w:ind w:left="1120"/>
        <w:spacing w:after="0"/>
        <w:rPr>
          <w:sz w:val="20"/>
          <w:szCs w:val="20"/>
          <w:color w:val="auto"/>
        </w:rPr>
      </w:pPr>
      <w:r>
        <w:rPr>
          <w:rFonts w:ascii="Arial" w:cs="Arial" w:eastAsia="Arial" w:hAnsi="Arial"/>
          <w:sz w:val="12"/>
          <w:szCs w:val="12"/>
          <w:color w:val="FFFFFF"/>
        </w:rPr>
        <w:t>Structure</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Board of Directors</w:t>
      </w:r>
    </w:p>
    <w:p>
      <w:pPr>
        <w:spacing w:after="0" w:line="2"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Compensation</w:t>
      </w:r>
    </w:p>
    <w:p>
      <w:pPr>
        <w:spacing w:after="0" w:line="169"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Compensation</w:t>
      </w:r>
    </w:p>
    <w:p>
      <w:pPr>
        <w:ind w:left="1120"/>
        <w:spacing w:after="0" w:line="224" w:lineRule="auto"/>
        <w:rPr>
          <w:sz w:val="20"/>
          <w:szCs w:val="20"/>
          <w:color w:val="auto"/>
        </w:rPr>
      </w:pPr>
      <w:r>
        <w:rPr>
          <w:rFonts w:ascii="Arial" w:cs="Arial" w:eastAsia="Arial" w:hAnsi="Arial"/>
          <w:sz w:val="12"/>
          <w:szCs w:val="12"/>
          <w:color w:val="FFFFFF"/>
        </w:rPr>
        <w:t>Discussion and</w:t>
      </w:r>
    </w:p>
    <w:p>
      <w:pPr>
        <w:ind w:left="1120"/>
        <w:spacing w:after="0"/>
        <w:rPr>
          <w:sz w:val="20"/>
          <w:szCs w:val="20"/>
          <w:color w:val="auto"/>
        </w:rPr>
      </w:pPr>
      <w:r>
        <w:rPr>
          <w:rFonts w:ascii="Arial" w:cs="Arial" w:eastAsia="Arial" w:hAnsi="Arial"/>
          <w:sz w:val="12"/>
          <w:szCs w:val="12"/>
          <w:color w:val="FFFFFF"/>
        </w:rPr>
        <w:t>Analysis</w:t>
      </w:r>
    </w:p>
    <w:p>
      <w:pPr>
        <w:spacing w:after="0" w:line="169"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Report of the</w:t>
      </w:r>
    </w:p>
    <w:p>
      <w:pPr>
        <w:ind w:left="1120"/>
        <w:spacing w:after="0" w:line="224" w:lineRule="auto"/>
        <w:rPr>
          <w:sz w:val="20"/>
          <w:szCs w:val="20"/>
          <w:color w:val="auto"/>
        </w:rPr>
      </w:pPr>
      <w:r>
        <w:rPr>
          <w:rFonts w:ascii="Arial" w:cs="Arial" w:eastAsia="Arial" w:hAnsi="Arial"/>
          <w:sz w:val="12"/>
          <w:szCs w:val="12"/>
          <w:color w:val="FFFFFF"/>
        </w:rPr>
        <w:t>Compensation</w:t>
      </w:r>
    </w:p>
    <w:p>
      <w:pPr>
        <w:ind w:left="1120"/>
        <w:spacing w:after="0" w:line="222" w:lineRule="auto"/>
        <w:rPr>
          <w:sz w:val="20"/>
          <w:szCs w:val="20"/>
          <w:color w:val="auto"/>
        </w:rPr>
      </w:pPr>
      <w:r>
        <w:rPr>
          <w:rFonts w:ascii="Arial" w:cs="Arial" w:eastAsia="Arial" w:hAnsi="Arial"/>
          <w:sz w:val="12"/>
          <w:szCs w:val="12"/>
          <w:color w:val="FFFFFF"/>
        </w:rPr>
        <w:t>and Human</w:t>
      </w:r>
    </w:p>
    <w:p>
      <w:pPr>
        <w:ind w:left="1120"/>
        <w:spacing w:after="0" w:line="222" w:lineRule="auto"/>
        <w:rPr>
          <w:sz w:val="20"/>
          <w:szCs w:val="20"/>
          <w:color w:val="auto"/>
        </w:rPr>
      </w:pPr>
      <w:r>
        <w:rPr>
          <w:rFonts w:ascii="Arial" w:cs="Arial" w:eastAsia="Arial" w:hAnsi="Arial"/>
          <w:sz w:val="12"/>
          <w:szCs w:val="12"/>
          <w:color w:val="FFFFFF"/>
        </w:rPr>
        <w:t>Resources</w:t>
      </w:r>
    </w:p>
    <w:p>
      <w:pPr>
        <w:ind w:left="1120"/>
        <w:spacing w:after="0" w:line="222" w:lineRule="auto"/>
        <w:rPr>
          <w:sz w:val="20"/>
          <w:szCs w:val="20"/>
          <w:color w:val="auto"/>
        </w:rPr>
      </w:pPr>
      <w:r>
        <w:rPr>
          <w:rFonts w:ascii="Arial" w:cs="Arial" w:eastAsia="Arial" w:hAnsi="Arial"/>
          <w:sz w:val="12"/>
          <w:szCs w:val="12"/>
          <w:color w:val="FFFFFF"/>
        </w:rPr>
        <w:t>Committee of the</w:t>
      </w:r>
    </w:p>
    <w:p>
      <w:pPr>
        <w:ind w:left="1120"/>
        <w:spacing w:after="0"/>
        <w:rPr>
          <w:sz w:val="20"/>
          <w:szCs w:val="20"/>
          <w:color w:val="auto"/>
        </w:rPr>
      </w:pPr>
      <w:r>
        <w:rPr>
          <w:rFonts w:ascii="Arial" w:cs="Arial" w:eastAsia="Arial" w:hAnsi="Arial"/>
          <w:sz w:val="12"/>
          <w:szCs w:val="12"/>
          <w:color w:val="FFFFFF"/>
        </w:rPr>
        <w:t>Board of Directors</w:t>
      </w:r>
    </w:p>
    <w:p>
      <w:pPr>
        <w:spacing w:after="0" w:line="169"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Compensation of</w:t>
      </w:r>
    </w:p>
    <w:p>
      <w:pPr>
        <w:ind w:left="1120"/>
        <w:spacing w:after="0" w:line="224" w:lineRule="auto"/>
        <w:rPr>
          <w:sz w:val="20"/>
          <w:szCs w:val="20"/>
          <w:color w:val="auto"/>
        </w:rPr>
      </w:pPr>
      <w:r>
        <w:rPr>
          <w:rFonts w:ascii="Arial" w:cs="Arial" w:eastAsia="Arial" w:hAnsi="Arial"/>
          <w:sz w:val="12"/>
          <w:szCs w:val="12"/>
          <w:color w:val="FFFFFF"/>
        </w:rPr>
        <w:t>Named Executive</w:t>
      </w:r>
    </w:p>
    <w:p>
      <w:pPr>
        <w:ind w:left="1120"/>
        <w:spacing w:after="0"/>
        <w:rPr>
          <w:sz w:val="20"/>
          <w:szCs w:val="20"/>
          <w:color w:val="auto"/>
        </w:rPr>
      </w:pPr>
      <w:r>
        <w:rPr>
          <w:rFonts w:ascii="Arial" w:cs="Arial" w:eastAsia="Arial" w:hAnsi="Arial"/>
          <w:sz w:val="12"/>
          <w:szCs w:val="12"/>
          <w:color w:val="FFFFFF"/>
        </w:rPr>
        <w:t>Officers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Pay Versus</w:t>
      </w:r>
    </w:p>
    <w:p>
      <w:pPr>
        <w:ind w:left="1120"/>
        <w:spacing w:after="0" w:line="224" w:lineRule="auto"/>
        <w:rPr>
          <w:sz w:val="20"/>
          <w:szCs w:val="20"/>
          <w:color w:val="auto"/>
        </w:rPr>
      </w:pPr>
      <w:r>
        <w:rPr>
          <w:rFonts w:ascii="Arial" w:cs="Arial" w:eastAsia="Arial" w:hAnsi="Arial"/>
          <w:sz w:val="12"/>
          <w:szCs w:val="12"/>
          <w:color w:val="FFFFFF"/>
        </w:rPr>
        <w:t>Performance</w:t>
      </w:r>
    </w:p>
    <w:p>
      <w:pPr>
        <w:ind w:left="1120"/>
        <w:spacing w:after="0"/>
        <w:rPr>
          <w:sz w:val="20"/>
          <w:szCs w:val="20"/>
          <w:color w:val="auto"/>
        </w:rPr>
      </w:pPr>
      <w:r>
        <w:rPr>
          <w:rFonts w:ascii="Arial" w:cs="Arial" w:eastAsia="Arial" w:hAnsi="Arial"/>
          <w:sz w:val="12"/>
          <w:szCs w:val="12"/>
          <w:color w:val="FFFFFF"/>
        </w:rPr>
        <w:t>Disclosure</w:t>
      </w:r>
    </w:p>
    <w:p>
      <w:pPr>
        <w:spacing w:after="0" w:line="169"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Security</w:t>
      </w:r>
    </w:p>
    <w:p>
      <w:pPr>
        <w:ind w:left="1120"/>
        <w:spacing w:after="0" w:line="224" w:lineRule="auto"/>
        <w:rPr>
          <w:sz w:val="20"/>
          <w:szCs w:val="20"/>
          <w:color w:val="auto"/>
        </w:rPr>
      </w:pPr>
      <w:r>
        <w:rPr>
          <w:rFonts w:ascii="Arial" w:cs="Arial" w:eastAsia="Arial" w:hAnsi="Arial"/>
          <w:sz w:val="12"/>
          <w:szCs w:val="12"/>
          <w:color w:val="FFFFFF"/>
        </w:rPr>
        <w:t>Ownership of</w:t>
      </w:r>
    </w:p>
    <w:p>
      <w:pPr>
        <w:ind w:left="1120"/>
        <w:spacing w:after="0" w:line="222" w:lineRule="auto"/>
        <w:rPr>
          <w:sz w:val="20"/>
          <w:szCs w:val="20"/>
          <w:color w:val="auto"/>
        </w:rPr>
      </w:pPr>
      <w:r>
        <w:rPr>
          <w:rFonts w:ascii="Arial" w:cs="Arial" w:eastAsia="Arial" w:hAnsi="Arial"/>
          <w:sz w:val="12"/>
          <w:szCs w:val="12"/>
          <w:color w:val="FFFFFF"/>
        </w:rPr>
        <w:t>Certain Beneficial</w:t>
      </w:r>
    </w:p>
    <w:p>
      <w:pPr>
        <w:ind w:left="1120"/>
        <w:spacing w:after="0" w:line="222" w:lineRule="auto"/>
        <w:rPr>
          <w:sz w:val="20"/>
          <w:szCs w:val="20"/>
          <w:color w:val="auto"/>
        </w:rPr>
      </w:pPr>
      <w:r>
        <w:rPr>
          <w:rFonts w:ascii="Arial" w:cs="Arial" w:eastAsia="Arial" w:hAnsi="Arial"/>
          <w:sz w:val="12"/>
          <w:szCs w:val="12"/>
          <w:color w:val="FFFFFF"/>
        </w:rPr>
        <w:t>Owners and</w:t>
      </w:r>
    </w:p>
    <w:p>
      <w:pPr>
        <w:ind w:left="1120"/>
        <w:spacing w:after="0"/>
        <w:rPr>
          <w:sz w:val="20"/>
          <w:szCs w:val="20"/>
          <w:color w:val="auto"/>
        </w:rPr>
      </w:pPr>
      <w:r>
        <w:rPr>
          <w:rFonts w:ascii="Arial" w:cs="Arial" w:eastAsia="Arial" w:hAnsi="Arial"/>
          <w:sz w:val="12"/>
          <w:szCs w:val="12"/>
          <w:color w:val="FFFFFF"/>
        </w:rPr>
        <w:t>Management</w:t>
      </w:r>
    </w:p>
    <w:p>
      <w:pPr>
        <w:spacing w:after="0" w:line="169"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Certain</w:t>
      </w:r>
    </w:p>
    <w:p>
      <w:pPr>
        <w:ind w:left="1120"/>
        <w:spacing w:after="0" w:line="224" w:lineRule="auto"/>
        <w:rPr>
          <w:sz w:val="20"/>
          <w:szCs w:val="20"/>
          <w:color w:val="auto"/>
        </w:rPr>
      </w:pPr>
      <w:r>
        <w:rPr>
          <w:rFonts w:ascii="Arial" w:cs="Arial" w:eastAsia="Arial" w:hAnsi="Arial"/>
          <w:sz w:val="12"/>
          <w:szCs w:val="12"/>
          <w:color w:val="FFFFFF"/>
        </w:rPr>
        <w:t>Relationships and</w:t>
      </w:r>
    </w:p>
    <w:p>
      <w:pPr>
        <w:ind w:left="1120"/>
        <w:spacing w:after="0" w:line="222" w:lineRule="auto"/>
        <w:rPr>
          <w:sz w:val="20"/>
          <w:szCs w:val="20"/>
          <w:color w:val="auto"/>
        </w:rPr>
      </w:pPr>
      <w:r>
        <w:rPr>
          <w:rFonts w:ascii="Arial" w:cs="Arial" w:eastAsia="Arial" w:hAnsi="Arial"/>
          <w:sz w:val="12"/>
          <w:szCs w:val="12"/>
          <w:color w:val="FFFFFF"/>
        </w:rPr>
        <w:t>Related Party</w:t>
      </w:r>
    </w:p>
    <w:p>
      <w:pPr>
        <w:ind w:left="1120"/>
        <w:spacing w:after="0"/>
        <w:rPr>
          <w:sz w:val="20"/>
          <w:szCs w:val="20"/>
          <w:color w:val="auto"/>
        </w:rPr>
      </w:pPr>
      <w:r>
        <w:rPr>
          <w:rFonts w:ascii="Arial" w:cs="Arial" w:eastAsia="Arial" w:hAnsi="Arial"/>
          <w:sz w:val="12"/>
          <w:szCs w:val="12"/>
          <w:color w:val="FFFFFF"/>
        </w:rPr>
        <w:t>Transactions</w:t>
      </w:r>
    </w:p>
    <w:p>
      <w:pPr>
        <w:spacing w:after="0" w:line="169"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Proposal 2</w:t>
      </w:r>
    </w:p>
    <w:p>
      <w:pPr>
        <w:spacing w:after="0" w:line="156"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Report of the</w:t>
      </w:r>
    </w:p>
    <w:p>
      <w:pPr>
        <w:ind w:left="1120"/>
        <w:spacing w:after="0" w:line="224" w:lineRule="auto"/>
        <w:rPr>
          <w:sz w:val="20"/>
          <w:szCs w:val="20"/>
          <w:color w:val="auto"/>
        </w:rPr>
      </w:pPr>
      <w:r>
        <w:rPr>
          <w:rFonts w:ascii="Arial" w:cs="Arial" w:eastAsia="Arial" w:hAnsi="Arial"/>
          <w:sz w:val="12"/>
          <w:szCs w:val="12"/>
          <w:color w:val="FFFFFF"/>
        </w:rPr>
        <w:t>Audit and Risk</w:t>
      </w:r>
    </w:p>
    <w:p>
      <w:pPr>
        <w:ind w:left="1120"/>
        <w:spacing w:after="0" w:line="222" w:lineRule="auto"/>
        <w:rPr>
          <w:sz w:val="20"/>
          <w:szCs w:val="20"/>
          <w:color w:val="auto"/>
        </w:rPr>
      </w:pPr>
      <w:r>
        <w:rPr>
          <w:rFonts w:ascii="Arial" w:cs="Arial" w:eastAsia="Arial" w:hAnsi="Arial"/>
          <w:sz w:val="12"/>
          <w:szCs w:val="12"/>
          <w:color w:val="FFFFFF"/>
        </w:rPr>
        <w:t>Committee of the</w:t>
      </w:r>
    </w:p>
    <w:p>
      <w:pPr>
        <w:ind w:left="1120"/>
        <w:spacing w:after="0"/>
        <w:rPr>
          <w:sz w:val="20"/>
          <w:szCs w:val="20"/>
          <w:color w:val="auto"/>
        </w:rPr>
      </w:pPr>
      <w:r>
        <w:rPr>
          <w:rFonts w:ascii="Arial" w:cs="Arial" w:eastAsia="Arial" w:hAnsi="Arial"/>
          <w:sz w:val="12"/>
          <w:szCs w:val="12"/>
          <w:color w:val="FFFFFF"/>
        </w:rPr>
        <w:t>Board of Directors</w:t>
      </w:r>
    </w:p>
    <w:p>
      <w:pPr>
        <w:spacing w:after="0" w:line="169" w:lineRule="exact"/>
        <w:rPr>
          <w:sz w:val="20"/>
          <w:szCs w:val="20"/>
          <w:color w:val="auto"/>
        </w:rPr>
      </w:pPr>
    </w:p>
    <w:p>
      <w:pPr>
        <w:jc w:val="center"/>
        <w:ind w:left="620"/>
        <w:spacing w:after="0"/>
        <w:rPr>
          <w:sz w:val="20"/>
          <w:szCs w:val="20"/>
          <w:color w:val="auto"/>
        </w:rPr>
      </w:pPr>
      <w:r>
        <w:rPr>
          <w:rFonts w:ascii="Arial" w:cs="Arial" w:eastAsia="Arial" w:hAnsi="Arial"/>
          <w:sz w:val="12"/>
          <w:szCs w:val="12"/>
          <w:color w:val="FFFFFF"/>
        </w:rPr>
        <w:t>Proposal 3</w:t>
      </w:r>
    </w:p>
    <w:p>
      <w:pPr>
        <w:spacing w:after="0" w:line="156" w:lineRule="exact"/>
        <w:rPr>
          <w:sz w:val="20"/>
          <w:szCs w:val="20"/>
          <w:color w:val="auto"/>
        </w:rPr>
      </w:pPr>
    </w:p>
    <w:p>
      <w:pPr>
        <w:jc w:val="center"/>
        <w:ind w:left="620"/>
        <w:spacing w:after="0"/>
        <w:rPr>
          <w:sz w:val="20"/>
          <w:szCs w:val="20"/>
          <w:color w:val="auto"/>
        </w:rPr>
      </w:pPr>
      <w:r>
        <w:rPr>
          <w:rFonts w:ascii="Arial" w:cs="Arial" w:eastAsia="Arial" w:hAnsi="Arial"/>
          <w:sz w:val="12"/>
          <w:szCs w:val="12"/>
          <w:color w:val="FFFFFF"/>
        </w:rPr>
        <w:t>Proposal 4</w:t>
      </w:r>
    </w:p>
    <w:p>
      <w:pPr>
        <w:spacing w:after="0" w:line="181" w:lineRule="exact"/>
        <w:rPr>
          <w:sz w:val="20"/>
          <w:szCs w:val="20"/>
          <w:color w:val="auto"/>
        </w:rPr>
      </w:pPr>
    </w:p>
    <w:p>
      <w:pPr>
        <w:jc w:val="center"/>
        <w:ind w:left="620"/>
        <w:spacing w:after="0"/>
        <w:rPr>
          <w:sz w:val="20"/>
          <w:szCs w:val="20"/>
          <w:color w:val="auto"/>
        </w:rPr>
      </w:pPr>
      <w:r>
        <w:rPr>
          <w:rFonts w:ascii="Arial" w:cs="Arial" w:eastAsia="Arial" w:hAnsi="Arial"/>
          <w:sz w:val="12"/>
          <w:szCs w:val="12"/>
          <w:color w:val="FFFFFF"/>
        </w:rPr>
        <w:t>Proposal 5</w:t>
      </w:r>
    </w:p>
    <w:p>
      <w:pPr>
        <w:spacing w:after="0" w:line="156"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Proposal 6</w:t>
      </w:r>
    </w:p>
    <w:p>
      <w:pPr>
        <w:spacing w:after="0" w:line="181"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Stockholder</w:t>
      </w:r>
    </w:p>
    <w:p>
      <w:pPr>
        <w:ind w:left="1120"/>
        <w:spacing w:after="0" w:line="224" w:lineRule="auto"/>
        <w:rPr>
          <w:sz w:val="20"/>
          <w:szCs w:val="20"/>
          <w:color w:val="auto"/>
        </w:rPr>
      </w:pPr>
      <w:r>
        <w:rPr>
          <w:rFonts w:ascii="Arial" w:cs="Arial" w:eastAsia="Arial" w:hAnsi="Arial"/>
          <w:sz w:val="12"/>
          <w:szCs w:val="12"/>
          <w:color w:val="FFFFFF"/>
        </w:rPr>
        <w:t>Proposals and</w:t>
      </w:r>
    </w:p>
    <w:p>
      <w:pPr>
        <w:ind w:left="1120"/>
        <w:spacing w:after="0"/>
        <w:rPr>
          <w:sz w:val="20"/>
          <w:szCs w:val="20"/>
          <w:color w:val="auto"/>
        </w:rPr>
      </w:pPr>
      <w:r>
        <w:rPr>
          <w:rFonts w:ascii="Arial" w:cs="Arial" w:eastAsia="Arial" w:hAnsi="Arial"/>
          <w:sz w:val="12"/>
          <w:szCs w:val="12"/>
          <w:color w:val="FFFFFF"/>
        </w:rPr>
        <w:t>Other Matters</w:t>
      </w:r>
    </w:p>
    <w:p>
      <w:pPr>
        <w:spacing w:after="0" w:line="169"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Delinquent</w:t>
      </w:r>
    </w:p>
    <w:p>
      <w:pPr>
        <w:ind w:left="1120"/>
        <w:spacing w:after="0" w:line="224" w:lineRule="auto"/>
        <w:rPr>
          <w:sz w:val="20"/>
          <w:szCs w:val="20"/>
          <w:color w:val="auto"/>
        </w:rPr>
      </w:pPr>
      <w:r>
        <w:rPr>
          <w:rFonts w:ascii="Arial" w:cs="Arial" w:eastAsia="Arial" w:hAnsi="Arial"/>
          <w:sz w:val="12"/>
          <w:szCs w:val="12"/>
          <w:color w:val="FFFFFF"/>
        </w:rPr>
        <w:t>Section 16(a)</w:t>
      </w:r>
    </w:p>
    <w:p>
      <w:pPr>
        <w:ind w:left="1120"/>
        <w:spacing w:after="0"/>
        <w:rPr>
          <w:sz w:val="20"/>
          <w:szCs w:val="20"/>
          <w:color w:val="auto"/>
        </w:rPr>
      </w:pPr>
      <w:r>
        <w:rPr>
          <w:rFonts w:ascii="Arial" w:cs="Arial" w:eastAsia="Arial" w:hAnsi="Arial"/>
          <w:sz w:val="12"/>
          <w:szCs w:val="12"/>
          <w:color w:val="FFFFFF"/>
        </w:rPr>
        <w:t>Reports</w:t>
      </w:r>
    </w:p>
    <w:p>
      <w:pPr>
        <w:spacing w:after="0" w:line="169"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Other</w:t>
      </w:r>
    </w:p>
    <w:p>
      <w:pPr>
        <w:spacing w:after="0" w:line="2"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Information</w:t>
      </w:r>
    </w:p>
    <w:p>
      <w:pPr>
        <w:spacing w:after="0" w:line="144" w:lineRule="exact"/>
        <w:rPr>
          <w:sz w:val="20"/>
          <w:szCs w:val="20"/>
          <w:color w:val="auto"/>
        </w:rPr>
      </w:pPr>
    </w:p>
    <w:p>
      <w:pPr>
        <w:jc w:val="center"/>
        <w:ind w:left="660"/>
        <w:spacing w:after="0"/>
        <w:rPr>
          <w:sz w:val="20"/>
          <w:szCs w:val="20"/>
          <w:color w:val="auto"/>
        </w:rPr>
      </w:pPr>
      <w:r>
        <w:rPr>
          <w:rFonts w:ascii="Arial" w:cs="Arial" w:eastAsia="Arial" w:hAnsi="Arial"/>
          <w:sz w:val="12"/>
          <w:szCs w:val="12"/>
          <w:color w:val="FFFFFF"/>
        </w:rPr>
        <w:t>Appendix A</w:t>
      </w:r>
    </w:p>
    <w:p>
      <w:pPr>
        <w:spacing w:after="0" w:line="179" w:lineRule="exact"/>
        <w:rPr>
          <w:sz w:val="20"/>
          <w:szCs w:val="20"/>
          <w:color w:val="auto"/>
        </w:rPr>
      </w:pPr>
    </w:p>
    <w:p>
      <w:pPr>
        <w:jc w:val="center"/>
        <w:ind w:left="600"/>
        <w:spacing w:after="0"/>
        <w:rPr>
          <w:sz w:val="20"/>
          <w:szCs w:val="20"/>
          <w:color w:val="auto"/>
        </w:rPr>
      </w:pPr>
      <w:r>
        <w:rPr>
          <w:sz w:val="1"/>
          <w:szCs w:val="1"/>
          <w:color w:val="auto"/>
        </w:rPr>
        <w:drawing>
          <wp:inline distT="0" distB="0" distL="0" distR="0">
            <wp:extent cx="56515" cy="88900"/>
            <wp:effectExtent l="0" t="0" r="0" b="0"/>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56515" cy="88900"/>
                    </a:xfrm>
                    <a:prstGeom prst="rect">
                      <a:avLst/>
                    </a:prstGeom>
                    <a:noFill/>
                    <a:ln>
                      <a:noFill/>
                    </a:ln>
                  </pic:spPr>
                </pic:pic>
              </a:graphicData>
            </a:graphic>
          </wp:inline>
        </w:drawing>
      </w:r>
      <w:r>
        <w:rPr>
          <w:rFonts w:ascii="Arial" w:cs="Arial" w:eastAsia="Arial" w:hAnsi="Arial"/>
          <w:sz w:val="12"/>
          <w:szCs w:val="12"/>
          <w:b w:val="1"/>
          <w:bCs w:val="1"/>
          <w:color w:val="FFFFFF"/>
        </w:rPr>
        <w:t xml:space="preserve"> Appendix 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48"/>
          <w:szCs w:val="48"/>
          <w:b w:val="1"/>
          <w:bCs w:val="1"/>
          <w:color w:val="002B5F"/>
        </w:rPr>
        <w:t>Appendix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-1737995</wp:posOffset>
            </wp:positionH>
            <wp:positionV relativeFrom="paragraph">
              <wp:posOffset>-955675</wp:posOffset>
            </wp:positionV>
            <wp:extent cx="7181215" cy="5334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181215" cy="5334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64770</wp:posOffset>
            </wp:positionV>
            <wp:extent cx="5065395" cy="82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5065395" cy="8255"/>
                    </a:xfrm>
                    <a:prstGeom prst="rect">
                      <a:avLst/>
                    </a:prstGeom>
                    <a:noFill/>
                  </pic:spPr>
                </pic:pic>
              </a:graphicData>
            </a:graphic>
          </wp:anchor>
        </w:drawing>
      </w:r>
    </w:p>
    <w:p>
      <w:pPr>
        <w:spacing w:after="0" w:line="283"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i w:val="1"/>
          <w:iCs w:val="1"/>
          <w:u w:val="single" w:color="auto"/>
          <w:color w:val="auto"/>
        </w:rPr>
        <w:t>SECOND</w:t>
      </w:r>
      <w:r>
        <w:rPr>
          <w:rFonts w:ascii="Arial" w:cs="Arial" w:eastAsia="Arial" w:hAnsi="Arial"/>
          <w:sz w:val="17"/>
          <w:szCs w:val="17"/>
          <w:b w:val="1"/>
          <w:bCs w:val="1"/>
          <w:i w:val="1"/>
          <w:iCs w:val="1"/>
          <w:color w:val="auto"/>
        </w:rPr>
        <w:t xml:space="preserve"> AMENDED AND RESTATED CERTIFICATE OF INCORPORATION</w:t>
      </w:r>
    </w:p>
    <w:p>
      <w:pPr>
        <w:spacing w:after="0" w:line="8"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i w:val="1"/>
          <w:iCs w:val="1"/>
          <w:color w:val="auto"/>
        </w:rPr>
        <w:t>OF</w:t>
      </w:r>
    </w:p>
    <w:p>
      <w:pPr>
        <w:jc w:val="center"/>
        <w:ind w:right="-39"/>
        <w:spacing w:after="0"/>
        <w:rPr>
          <w:sz w:val="20"/>
          <w:szCs w:val="20"/>
          <w:color w:val="auto"/>
        </w:rPr>
      </w:pPr>
      <w:r>
        <w:rPr>
          <w:rFonts w:ascii="Arial" w:cs="Arial" w:eastAsia="Arial" w:hAnsi="Arial"/>
          <w:sz w:val="17"/>
          <w:szCs w:val="17"/>
          <w:b w:val="1"/>
          <w:bCs w:val="1"/>
          <w:i w:val="1"/>
          <w:iCs w:val="1"/>
          <w:color w:val="auto"/>
        </w:rPr>
        <w:t>LPL FINANCIAL HOLDINGS INC.</w:t>
      </w:r>
      <w:r>
        <w:rPr>
          <w:rFonts w:ascii="Arial" w:cs="Arial" w:eastAsia="Arial" w:hAnsi="Arial"/>
          <w:sz w:val="25"/>
          <w:szCs w:val="25"/>
          <w:b w:val="1"/>
          <w:bCs w:val="1"/>
          <w:i w:val="1"/>
          <w:iCs w:val="1"/>
          <w:color w:val="auto"/>
          <w:vertAlign w:val="superscript"/>
        </w:rPr>
        <w:t>1</w:t>
      </w:r>
    </w:p>
    <w:p>
      <w:pPr>
        <w:spacing w:after="0" w:line="97" w:lineRule="exact"/>
        <w:rPr>
          <w:sz w:val="20"/>
          <w:szCs w:val="20"/>
          <w:color w:val="auto"/>
        </w:rPr>
      </w:pPr>
    </w:p>
    <w:p>
      <w:pPr>
        <w:ind w:left="320"/>
        <w:spacing w:after="0"/>
        <w:rPr>
          <w:sz w:val="20"/>
          <w:szCs w:val="20"/>
          <w:color w:val="auto"/>
        </w:rPr>
      </w:pPr>
      <w:r>
        <w:rPr>
          <w:rFonts w:ascii="Arial" w:cs="Arial" w:eastAsia="Arial" w:hAnsi="Arial"/>
          <w:sz w:val="15"/>
          <w:szCs w:val="15"/>
          <w:color w:val="auto"/>
        </w:rPr>
        <w:t>LPL Financial Holdings Inc., a Delaware corporation (the “</w:t>
      </w:r>
      <w:r>
        <w:rPr>
          <w:rFonts w:ascii="Arial" w:cs="Arial" w:eastAsia="Arial" w:hAnsi="Arial"/>
          <w:sz w:val="15"/>
          <w:szCs w:val="15"/>
          <w:u w:val="single" w:color="auto"/>
          <w:color w:val="auto"/>
        </w:rPr>
        <w:t>Corporation</w:t>
      </w:r>
      <w:r>
        <w:rPr>
          <w:rFonts w:ascii="Arial" w:cs="Arial" w:eastAsia="Arial" w:hAnsi="Arial"/>
          <w:sz w:val="15"/>
          <w:szCs w:val="15"/>
          <w:color w:val="auto"/>
        </w:rPr>
        <w:t xml:space="preserve">”), hereby certifies that this </w:t>
      </w:r>
      <w:r>
        <w:rPr>
          <w:rFonts w:ascii="Arial" w:cs="Arial" w:eastAsia="Arial" w:hAnsi="Arial"/>
          <w:sz w:val="15"/>
          <w:szCs w:val="15"/>
          <w:b w:val="1"/>
          <w:bCs w:val="1"/>
          <w:i w:val="1"/>
          <w:iCs w:val="1"/>
          <w:u w:val="single" w:color="auto"/>
          <w:color w:val="auto"/>
        </w:rPr>
        <w:t>Second</w:t>
      </w:r>
    </w:p>
    <w:p>
      <w:pPr>
        <w:spacing w:after="0" w:line="20" w:lineRule="exact"/>
        <w:rPr>
          <w:sz w:val="20"/>
          <w:szCs w:val="20"/>
          <w:color w:val="auto"/>
        </w:rPr>
      </w:pPr>
    </w:p>
    <w:p>
      <w:pPr>
        <w:spacing w:after="0"/>
        <w:rPr>
          <w:sz w:val="20"/>
          <w:szCs w:val="20"/>
          <w:color w:val="auto"/>
        </w:rPr>
      </w:pPr>
      <w:r>
        <w:rPr>
          <w:rFonts w:ascii="Arial" w:cs="Arial" w:eastAsia="Arial" w:hAnsi="Arial"/>
          <w:sz w:val="15"/>
          <w:szCs w:val="15"/>
          <w:color w:val="auto"/>
        </w:rPr>
        <w:t>Amended and Restated Certificate of Incorporation (the “</w:t>
      </w:r>
      <w:r>
        <w:rPr>
          <w:rFonts w:ascii="Arial" w:cs="Arial" w:eastAsia="Arial" w:hAnsi="Arial"/>
          <w:sz w:val="15"/>
          <w:szCs w:val="15"/>
          <w:b w:val="1"/>
          <w:bCs w:val="1"/>
          <w:i w:val="1"/>
          <w:iCs w:val="1"/>
          <w:u w:val="single" w:color="auto"/>
          <w:color w:val="auto"/>
        </w:rPr>
        <w:t>Second</w:t>
      </w:r>
      <w:r>
        <w:rPr>
          <w:rFonts w:ascii="Arial" w:cs="Arial" w:eastAsia="Arial" w:hAnsi="Arial"/>
          <w:sz w:val="15"/>
          <w:szCs w:val="15"/>
          <w:color w:val="auto"/>
        </w:rPr>
        <w:t xml:space="preserve"> </w:t>
      </w:r>
      <w:r>
        <w:rPr>
          <w:rFonts w:ascii="Arial" w:cs="Arial" w:eastAsia="Arial" w:hAnsi="Arial"/>
          <w:sz w:val="15"/>
          <w:szCs w:val="15"/>
          <w:u w:val="single" w:color="auto"/>
          <w:color w:val="auto"/>
        </w:rPr>
        <w:t>Amended and Restated Certificate of</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Incorporation</w:t>
      </w:r>
      <w:r>
        <w:rPr>
          <w:rFonts w:ascii="Arial" w:cs="Arial" w:eastAsia="Arial" w:hAnsi="Arial"/>
          <w:sz w:val="15"/>
          <w:szCs w:val="15"/>
          <w:color w:val="auto"/>
        </w:rPr>
        <w:t xml:space="preserve">”) has been duly adopted in accordance with Sections </w:t>
      </w:r>
      <w:r>
        <w:rPr>
          <w:rFonts w:ascii="Arial" w:cs="Arial" w:eastAsia="Arial" w:hAnsi="Arial"/>
          <w:sz w:val="15"/>
          <w:szCs w:val="15"/>
          <w:b w:val="1"/>
          <w:bCs w:val="1"/>
          <w:i w:val="1"/>
          <w:iCs w:val="1"/>
          <w:color w:val="auto"/>
          <w:strike w:val="1"/>
        </w:rPr>
        <w:t>228,</w:t>
      </w:r>
      <w:r>
        <w:rPr>
          <w:rFonts w:ascii="Arial" w:cs="Arial" w:eastAsia="Arial" w:hAnsi="Arial"/>
          <w:sz w:val="15"/>
          <w:szCs w:val="15"/>
          <w:color w:val="auto"/>
        </w:rPr>
        <w:t xml:space="preserve"> 242 and 245 of the General Corporation Law</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of the State of Delaware, and that:</w:t>
      </w:r>
    </w:p>
    <w:p>
      <w:pPr>
        <w:spacing w:after="0" w:line="196" w:lineRule="exact"/>
        <w:rPr>
          <w:sz w:val="20"/>
          <w:szCs w:val="20"/>
          <w:color w:val="auto"/>
        </w:rPr>
      </w:pPr>
    </w:p>
    <w:p>
      <w:pPr>
        <w:ind w:left="320"/>
        <w:spacing w:after="0"/>
        <w:rPr>
          <w:sz w:val="20"/>
          <w:szCs w:val="20"/>
          <w:color w:val="auto"/>
        </w:rPr>
      </w:pPr>
      <w:r>
        <w:rPr>
          <w:rFonts w:ascii="Arial" w:cs="Arial" w:eastAsia="Arial" w:hAnsi="Arial"/>
          <w:sz w:val="15"/>
          <w:szCs w:val="15"/>
          <w:color w:val="auto"/>
        </w:rPr>
        <w:t>A. The name of the Corporation is: LPL Financial Holdings Inc.</w:t>
      </w:r>
    </w:p>
    <w:p>
      <w:pPr>
        <w:spacing w:after="0" w:line="210" w:lineRule="exact"/>
        <w:rPr>
          <w:sz w:val="20"/>
          <w:szCs w:val="20"/>
          <w:color w:val="auto"/>
        </w:rPr>
      </w:pPr>
    </w:p>
    <w:p>
      <w:pPr>
        <w:jc w:val="both"/>
        <w:ind w:right="560" w:firstLine="319"/>
        <w:spacing w:after="0" w:line="268" w:lineRule="auto"/>
        <w:rPr>
          <w:sz w:val="20"/>
          <w:szCs w:val="20"/>
          <w:color w:val="auto"/>
        </w:rPr>
      </w:pPr>
      <w:r>
        <w:rPr>
          <w:rFonts w:ascii="Arial" w:cs="Arial" w:eastAsia="Arial" w:hAnsi="Arial"/>
          <w:sz w:val="15"/>
          <w:szCs w:val="15"/>
          <w:color w:val="auto"/>
        </w:rPr>
        <w:t>B. The original Certificate of Incorporation of the Corporation was filed with the Secretary of the State of Delaware on October 25, 2005 (as amended, the “</w:t>
      </w:r>
      <w:r>
        <w:rPr>
          <w:rFonts w:ascii="Arial" w:cs="Arial" w:eastAsia="Arial" w:hAnsi="Arial"/>
          <w:sz w:val="15"/>
          <w:szCs w:val="15"/>
          <w:u w:val="single" w:color="auto"/>
          <w:color w:val="auto"/>
        </w:rPr>
        <w:t>Original Certificate of Incorporation</w:t>
      </w:r>
      <w:r>
        <w:rPr>
          <w:rFonts w:ascii="Arial" w:cs="Arial" w:eastAsia="Arial" w:hAnsi="Arial"/>
          <w:sz w:val="15"/>
          <w:szCs w:val="15"/>
          <w:color w:val="auto"/>
        </w:rPr>
        <w:t>”). The Corporation was incorporated under the name BD Investment Holdings Inc.</w:t>
      </w:r>
    </w:p>
    <w:p>
      <w:pPr>
        <w:spacing w:after="0" w:line="162" w:lineRule="exact"/>
        <w:rPr>
          <w:sz w:val="20"/>
          <w:szCs w:val="20"/>
          <w:color w:val="auto"/>
        </w:rPr>
      </w:pPr>
    </w:p>
    <w:p>
      <w:pPr>
        <w:ind w:right="80" w:firstLine="319"/>
        <w:spacing w:after="0" w:line="265" w:lineRule="auto"/>
        <w:rPr>
          <w:sz w:val="20"/>
          <w:szCs w:val="20"/>
          <w:color w:val="auto"/>
        </w:rPr>
      </w:pPr>
      <w:r>
        <w:rPr>
          <w:rFonts w:ascii="Arial" w:cs="Arial" w:eastAsia="Arial" w:hAnsi="Arial"/>
          <w:sz w:val="15"/>
          <w:szCs w:val="15"/>
          <w:b w:val="1"/>
          <w:bCs w:val="1"/>
          <w:i w:val="1"/>
          <w:iCs w:val="1"/>
          <w:u w:val="single" w:color="auto"/>
          <w:color w:val="auto"/>
        </w:rPr>
        <w:t>C. The Original Certificate of Incorporation was amended and restated on November 23, 2010 under the name LPL Investment Holdings Inc. (as amended, the “Amended and Restated Certificate of Incorporation”), amended on June 15, 2012 by a Certificate of Ownership and Merger pursuant to which the name of the Corporation became LPL Financial Holdings Inc. and further amended on May 8, 2014.</w:t>
      </w:r>
    </w:p>
    <w:p>
      <w:pPr>
        <w:spacing w:after="0" w:line="157" w:lineRule="exact"/>
        <w:rPr>
          <w:sz w:val="20"/>
          <w:szCs w:val="20"/>
          <w:color w:val="auto"/>
        </w:rPr>
      </w:pPr>
    </w:p>
    <w:p>
      <w:pPr>
        <w:ind w:right="1220" w:firstLine="319"/>
        <w:spacing w:after="0" w:line="298" w:lineRule="auto"/>
        <w:rPr>
          <w:sz w:val="20"/>
          <w:szCs w:val="20"/>
          <w:color w:val="auto"/>
        </w:rPr>
      </w:pPr>
      <w:r>
        <w:rPr>
          <w:rFonts w:ascii="Arial" w:cs="Arial" w:eastAsia="Arial" w:hAnsi="Arial"/>
          <w:sz w:val="15"/>
          <w:szCs w:val="15"/>
          <w:b w:val="1"/>
          <w:bCs w:val="1"/>
          <w:i w:val="1"/>
          <w:iCs w:val="1"/>
          <w:color w:val="auto"/>
          <w:strike w:val="1"/>
        </w:rPr>
        <w:t>C</w:t>
      </w:r>
      <w:r>
        <w:rPr>
          <w:rFonts w:ascii="Arial" w:cs="Arial" w:eastAsia="Arial" w:hAnsi="Arial"/>
          <w:sz w:val="15"/>
          <w:szCs w:val="15"/>
          <w:b w:val="1"/>
          <w:bCs w:val="1"/>
          <w:i w:val="1"/>
          <w:iCs w:val="1"/>
          <w:u w:val="single" w:color="auto"/>
          <w:color w:val="auto"/>
        </w:rPr>
        <w:t>D</w:t>
      </w:r>
      <w:r>
        <w:rPr>
          <w:rFonts w:ascii="Arial" w:cs="Arial" w:eastAsia="Arial" w:hAnsi="Arial"/>
          <w:sz w:val="15"/>
          <w:szCs w:val="15"/>
          <w:color w:val="auto"/>
        </w:rPr>
        <w:t>. This</w:t>
      </w:r>
      <w:r>
        <w:rPr>
          <w:rFonts w:ascii="Arial" w:cs="Arial" w:eastAsia="Arial" w:hAnsi="Arial"/>
          <w:sz w:val="15"/>
          <w:szCs w:val="15"/>
          <w:b w:val="1"/>
          <w:bCs w:val="1"/>
          <w:i w:val="1"/>
          <w:iCs w:val="1"/>
          <w:color w:val="auto"/>
        </w:rPr>
        <w:t xml:space="preserve"> </w:t>
      </w:r>
      <w:r>
        <w:rPr>
          <w:rFonts w:ascii="Arial" w:cs="Arial" w:eastAsia="Arial" w:hAnsi="Arial"/>
          <w:sz w:val="15"/>
          <w:szCs w:val="15"/>
          <w:b w:val="1"/>
          <w:bCs w:val="1"/>
          <w:i w:val="1"/>
          <w:iCs w:val="1"/>
          <w:u w:val="single" w:color="auto"/>
          <w:color w:val="auto"/>
        </w:rPr>
        <w:t>Second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Amended and Restated Certificate of Incorporation amends and restates the</w:t>
      </w:r>
      <w:r>
        <w:rPr>
          <w:rFonts w:ascii="Arial" w:cs="Arial" w:eastAsia="Arial" w:hAnsi="Arial"/>
          <w:sz w:val="15"/>
          <w:szCs w:val="15"/>
          <w:b w:val="1"/>
          <w:bCs w:val="1"/>
          <w:i w:val="1"/>
          <w:iCs w:val="1"/>
          <w:color w:val="auto"/>
        </w:rPr>
        <w:t xml:space="preserve"> </w:t>
      </w:r>
      <w:r>
        <w:rPr>
          <w:rFonts w:ascii="Arial" w:cs="Arial" w:eastAsia="Arial" w:hAnsi="Arial"/>
          <w:sz w:val="15"/>
          <w:szCs w:val="15"/>
          <w:b w:val="1"/>
          <w:bCs w:val="1"/>
          <w:i w:val="1"/>
          <w:iCs w:val="1"/>
          <w:color w:val="auto"/>
          <w:strike w:val="1"/>
        </w:rPr>
        <w:t>Original</w:t>
      </w:r>
      <w:r>
        <w:rPr>
          <w:rFonts w:ascii="Arial" w:cs="Arial" w:eastAsia="Arial" w:hAnsi="Arial"/>
          <w:sz w:val="15"/>
          <w:szCs w:val="15"/>
          <w:b w:val="1"/>
          <w:bCs w:val="1"/>
          <w:i w:val="1"/>
          <w:iCs w:val="1"/>
          <w:u w:val="single" w:color="auto"/>
          <w:color w:val="auto"/>
        </w:rPr>
        <w:t>Amended and Restated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Certificate of Incorporation of the Corporation.</w:t>
      </w:r>
    </w:p>
    <w:p>
      <w:pPr>
        <w:spacing w:after="0" w:line="133" w:lineRule="exact"/>
        <w:rPr>
          <w:sz w:val="20"/>
          <w:szCs w:val="20"/>
          <w:color w:val="auto"/>
        </w:rPr>
      </w:pPr>
    </w:p>
    <w:p>
      <w:pPr>
        <w:ind w:left="320"/>
        <w:spacing w:after="0"/>
        <w:rPr>
          <w:sz w:val="20"/>
          <w:szCs w:val="20"/>
          <w:color w:val="auto"/>
        </w:rPr>
      </w:pPr>
      <w:r>
        <w:rPr>
          <w:rFonts w:ascii="Arial" w:cs="Arial" w:eastAsia="Arial" w:hAnsi="Arial"/>
          <w:sz w:val="15"/>
          <w:szCs w:val="15"/>
          <w:b w:val="1"/>
          <w:bCs w:val="1"/>
          <w:i w:val="1"/>
          <w:iCs w:val="1"/>
          <w:color w:val="auto"/>
          <w:strike w:val="1"/>
        </w:rPr>
        <w:t>D</w:t>
      </w:r>
      <w:r>
        <w:rPr>
          <w:rFonts w:ascii="Arial" w:cs="Arial" w:eastAsia="Arial" w:hAnsi="Arial"/>
          <w:sz w:val="15"/>
          <w:szCs w:val="15"/>
          <w:b w:val="1"/>
          <w:bCs w:val="1"/>
          <w:i w:val="1"/>
          <w:iCs w:val="1"/>
          <w:u w:val="single" w:color="auto"/>
          <w:color w:val="auto"/>
        </w:rPr>
        <w:t>E</w:t>
      </w:r>
      <w:r>
        <w:rPr>
          <w:rFonts w:ascii="Arial" w:cs="Arial" w:eastAsia="Arial" w:hAnsi="Arial"/>
          <w:sz w:val="15"/>
          <w:szCs w:val="15"/>
          <w:color w:val="auto"/>
        </w:rPr>
        <w:t>. The Certificate of Incorporation, upon the filing of this</w:t>
      </w:r>
      <w:r>
        <w:rPr>
          <w:rFonts w:ascii="Arial" w:cs="Arial" w:eastAsia="Arial" w:hAnsi="Arial"/>
          <w:sz w:val="15"/>
          <w:szCs w:val="15"/>
          <w:b w:val="1"/>
          <w:bCs w:val="1"/>
          <w:i w:val="1"/>
          <w:iCs w:val="1"/>
          <w:color w:val="auto"/>
        </w:rPr>
        <w:t xml:space="preserve"> </w:t>
      </w:r>
      <w:r>
        <w:rPr>
          <w:rFonts w:ascii="Arial" w:cs="Arial" w:eastAsia="Arial" w:hAnsi="Arial"/>
          <w:sz w:val="15"/>
          <w:szCs w:val="15"/>
          <w:b w:val="1"/>
          <w:bCs w:val="1"/>
          <w:i w:val="1"/>
          <w:iCs w:val="1"/>
          <w:u w:val="single" w:color="auto"/>
          <w:color w:val="auto"/>
        </w:rPr>
        <w:t>Second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Amended and Restated Certificate of</w:t>
      </w:r>
    </w:p>
    <w:p>
      <w:pPr>
        <w:spacing w:after="0" w:line="20" w:lineRule="exact"/>
        <w:rPr>
          <w:sz w:val="20"/>
          <w:szCs w:val="20"/>
          <w:color w:val="auto"/>
        </w:rPr>
      </w:pPr>
    </w:p>
    <w:p>
      <w:pPr>
        <w:spacing w:after="0"/>
        <w:rPr>
          <w:sz w:val="20"/>
          <w:szCs w:val="20"/>
          <w:color w:val="auto"/>
        </w:rPr>
      </w:pPr>
      <w:r>
        <w:rPr>
          <w:rFonts w:ascii="Arial" w:cs="Arial" w:eastAsia="Arial" w:hAnsi="Arial"/>
          <w:sz w:val="15"/>
          <w:szCs w:val="15"/>
          <w:color w:val="auto"/>
        </w:rPr>
        <w:t>Incorporation, shall read in its entirety as follows:</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i w:val="1"/>
          <w:iCs w:val="1"/>
          <w:color w:val="auto"/>
        </w:rPr>
        <w:t>ARTICLE I</w:t>
      </w:r>
    </w:p>
    <w:p>
      <w:pPr>
        <w:spacing w:after="0" w:line="12"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i w:val="1"/>
          <w:iCs w:val="1"/>
          <w:color w:val="auto"/>
        </w:rPr>
        <w:t>NAME</w:t>
      </w:r>
    </w:p>
    <w:p>
      <w:pPr>
        <w:spacing w:after="0" w:line="189" w:lineRule="exact"/>
        <w:rPr>
          <w:sz w:val="20"/>
          <w:szCs w:val="20"/>
          <w:color w:val="auto"/>
        </w:rPr>
      </w:pPr>
    </w:p>
    <w:p>
      <w:pPr>
        <w:ind w:left="320"/>
        <w:spacing w:after="0"/>
        <w:rPr>
          <w:sz w:val="20"/>
          <w:szCs w:val="20"/>
          <w:color w:val="auto"/>
        </w:rPr>
      </w:pPr>
      <w:r>
        <w:rPr>
          <w:rFonts w:ascii="Arial" w:cs="Arial" w:eastAsia="Arial" w:hAnsi="Arial"/>
          <w:sz w:val="15"/>
          <w:szCs w:val="15"/>
          <w:color w:val="auto"/>
        </w:rPr>
        <w:t>The name of the corporation is LPL Financial Holdings Inc. (the “</w:t>
      </w:r>
      <w:r>
        <w:rPr>
          <w:rFonts w:ascii="Arial" w:cs="Arial" w:eastAsia="Arial" w:hAnsi="Arial"/>
          <w:sz w:val="15"/>
          <w:szCs w:val="15"/>
          <w:u w:val="single" w:color="auto"/>
          <w:color w:val="auto"/>
        </w:rPr>
        <w:t>Corporation</w:t>
      </w:r>
      <w:r>
        <w:rPr>
          <w:rFonts w:ascii="Arial" w:cs="Arial" w:eastAsia="Arial" w:hAnsi="Arial"/>
          <w:sz w:val="15"/>
          <w:szCs w:val="15"/>
          <w:color w:val="auto"/>
        </w:rPr>
        <w:t>”).</w:t>
      </w: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i w:val="1"/>
          <w:iCs w:val="1"/>
          <w:color w:val="auto"/>
        </w:rPr>
        <w:t>ARTICLE II</w:t>
      </w:r>
    </w:p>
    <w:p>
      <w:pPr>
        <w:spacing w:after="0" w:line="12"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i w:val="1"/>
          <w:iCs w:val="1"/>
          <w:color w:val="auto"/>
        </w:rPr>
        <w:t>REGISTERED OFFICE AND AGENT</w:t>
      </w:r>
    </w:p>
    <w:p>
      <w:pPr>
        <w:spacing w:after="0" w:line="189" w:lineRule="exact"/>
        <w:rPr>
          <w:sz w:val="20"/>
          <w:szCs w:val="20"/>
          <w:color w:val="auto"/>
        </w:rPr>
      </w:pPr>
    </w:p>
    <w:p>
      <w:pPr>
        <w:ind w:right="120" w:firstLine="319"/>
        <w:spacing w:after="0" w:line="268" w:lineRule="auto"/>
        <w:rPr>
          <w:sz w:val="20"/>
          <w:szCs w:val="20"/>
          <w:color w:val="auto"/>
        </w:rPr>
      </w:pPr>
      <w:r>
        <w:rPr>
          <w:rFonts w:ascii="Arial" w:cs="Arial" w:eastAsia="Arial" w:hAnsi="Arial"/>
          <w:sz w:val="15"/>
          <w:szCs w:val="15"/>
          <w:color w:val="auto"/>
        </w:rPr>
        <w:t>The address of the Corporation’s registered office in the State of Delaware is 1209 Orange Street, in the City of Wilmington, County of New Castle, 19801. The name of the Corporation’s registered agent at such address is The Corporation Trust Company.</w:t>
      </w:r>
    </w:p>
    <w:p>
      <w:pPr>
        <w:spacing w:after="0" w:line="158" w:lineRule="exact"/>
        <w:rPr>
          <w:sz w:val="20"/>
          <w:szCs w:val="20"/>
          <w:color w:val="auto"/>
        </w:rPr>
      </w:pPr>
    </w:p>
    <w:p>
      <w:pPr>
        <w:ind w:left="3540"/>
        <w:spacing w:after="0"/>
        <w:rPr>
          <w:sz w:val="20"/>
          <w:szCs w:val="20"/>
          <w:color w:val="auto"/>
        </w:rPr>
      </w:pPr>
      <w:r>
        <w:rPr>
          <w:rFonts w:ascii="Arial" w:cs="Arial" w:eastAsia="Arial" w:hAnsi="Arial"/>
          <w:sz w:val="17"/>
          <w:szCs w:val="17"/>
          <w:b w:val="1"/>
          <w:bCs w:val="1"/>
          <w:i w:val="1"/>
          <w:iCs w:val="1"/>
          <w:color w:val="auto"/>
        </w:rPr>
        <w:t>ARTICLE III</w:t>
      </w:r>
    </w:p>
    <w:p>
      <w:pPr>
        <w:spacing w:after="0" w:line="12" w:lineRule="exact"/>
        <w:rPr>
          <w:sz w:val="20"/>
          <w:szCs w:val="20"/>
          <w:color w:val="auto"/>
        </w:rPr>
      </w:pPr>
    </w:p>
    <w:p>
      <w:pPr>
        <w:ind w:left="3580"/>
        <w:spacing w:after="0"/>
        <w:rPr>
          <w:sz w:val="20"/>
          <w:szCs w:val="20"/>
          <w:color w:val="auto"/>
        </w:rPr>
      </w:pPr>
      <w:r>
        <w:rPr>
          <w:rFonts w:ascii="Arial" w:cs="Arial" w:eastAsia="Arial" w:hAnsi="Arial"/>
          <w:sz w:val="17"/>
          <w:szCs w:val="17"/>
          <w:b w:val="1"/>
          <w:bCs w:val="1"/>
          <w:i w:val="1"/>
          <w:iCs w:val="1"/>
          <w:color w:val="auto"/>
        </w:rPr>
        <w:t>PURPOSE</w:t>
      </w:r>
    </w:p>
    <w:p>
      <w:pPr>
        <w:spacing w:after="0" w:line="189" w:lineRule="exact"/>
        <w:rPr>
          <w:sz w:val="20"/>
          <w:szCs w:val="20"/>
          <w:color w:val="auto"/>
        </w:rPr>
      </w:pPr>
    </w:p>
    <w:p>
      <w:pPr>
        <w:ind w:firstLine="319"/>
        <w:spacing w:after="0" w:line="287" w:lineRule="auto"/>
        <w:rPr>
          <w:sz w:val="20"/>
          <w:szCs w:val="20"/>
          <w:color w:val="auto"/>
        </w:rPr>
      </w:pPr>
      <w:r>
        <w:rPr>
          <w:rFonts w:ascii="Arial" w:cs="Arial" w:eastAsia="Arial" w:hAnsi="Arial"/>
          <w:sz w:val="15"/>
          <w:szCs w:val="15"/>
          <w:color w:val="auto"/>
        </w:rPr>
        <w:t>The purpose of the Corporation is to engage in any lawful act or activity for which corporations may be organized under the General Corporation Law of the State of Delaware (the “</w:t>
      </w:r>
      <w:r>
        <w:rPr>
          <w:rFonts w:ascii="Arial" w:cs="Arial" w:eastAsia="Arial" w:hAnsi="Arial"/>
          <w:sz w:val="15"/>
          <w:szCs w:val="15"/>
          <w:u w:val="single" w:color="auto"/>
          <w:color w:val="auto"/>
        </w:rPr>
        <w:t>DGCL</w:t>
      </w:r>
      <w:r>
        <w:rPr>
          <w:rFonts w:ascii="Arial" w:cs="Arial" w:eastAsia="Arial" w:hAnsi="Arial"/>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677545</wp:posOffset>
            </wp:positionV>
            <wp:extent cx="551180" cy="825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5511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60" w:right="80" w:hanging="153"/>
        <w:spacing w:after="0" w:line="208" w:lineRule="auto"/>
        <w:tabs>
          <w:tab w:leader="none" w:pos="160" w:val="left"/>
        </w:tabs>
        <w:numPr>
          <w:ilvl w:val="0"/>
          <w:numId w:val="142"/>
        </w:numPr>
        <w:rPr>
          <w:rFonts w:ascii="Arial" w:cs="Arial" w:eastAsia="Arial" w:hAnsi="Arial"/>
          <w:sz w:val="23"/>
          <w:szCs w:val="23"/>
          <w:color w:val="auto"/>
          <w:vertAlign w:val="superscript"/>
        </w:rPr>
      </w:pPr>
      <w:r>
        <w:rPr>
          <w:rFonts w:ascii="Arial" w:cs="Arial" w:eastAsia="Arial" w:hAnsi="Arial"/>
          <w:sz w:val="15"/>
          <w:szCs w:val="15"/>
          <w:color w:val="auto"/>
        </w:rPr>
        <w:t>Note: Previously approved amendments (</w:t>
      </w:r>
      <w:r>
        <w:rPr>
          <w:rFonts w:ascii="Arial" w:cs="Arial" w:eastAsia="Arial" w:hAnsi="Arial"/>
          <w:sz w:val="15"/>
          <w:szCs w:val="15"/>
          <w:i w:val="1"/>
          <w:iCs w:val="1"/>
          <w:color w:val="auto"/>
        </w:rPr>
        <w:t>e.g.</w:t>
      </w:r>
      <w:r>
        <w:rPr>
          <w:rFonts w:ascii="Arial" w:cs="Arial" w:eastAsia="Arial" w:hAnsi="Arial"/>
          <w:sz w:val="15"/>
          <w:szCs w:val="15"/>
          <w:color w:val="auto"/>
        </w:rPr>
        <w:t>, to change the Company’s name to LPL Financial Holdings, Inc. and to declassify the Board of Directors) are not shown as changes.</w:t>
      </w:r>
    </w:p>
    <w:p>
      <w:pPr>
        <w:spacing w:after="0" w:line="1141" w:lineRule="exact"/>
        <w:rPr>
          <w:sz w:val="20"/>
          <w:szCs w:val="20"/>
          <w:color w:val="auto"/>
        </w:rPr>
      </w:pPr>
    </w:p>
    <w:p>
      <w:pPr>
        <w:sectPr>
          <w:pgSz w:w="11900" w:h="16838" w:orient="portrait"/>
          <w:cols w:equalWidth="0" w:num="2">
            <w:col w:w="2160" w:space="560"/>
            <w:col w:w="7960"/>
          </w:cols>
          <w:pgMar w:left="320" w:top="464" w:right="899" w:bottom="1440" w:gutter="0" w:footer="0" w:header="0"/>
        </w:sectPr>
      </w:pPr>
    </w:p>
    <w:p>
      <w:pPr>
        <w:spacing w:after="0" w:line="200" w:lineRule="exact"/>
        <w:rPr>
          <w:sz w:val="20"/>
          <w:szCs w:val="20"/>
          <w:color w:val="auto"/>
        </w:rPr>
      </w:pPr>
    </w:p>
    <w:p>
      <w:pPr>
        <w:spacing w:after="0" w:line="359" w:lineRule="exact"/>
        <w:rPr>
          <w:sz w:val="20"/>
          <w:szCs w:val="20"/>
          <w:color w:val="auto"/>
        </w:rPr>
      </w:pPr>
    </w:p>
    <w:p>
      <w:pPr>
        <w:ind w:left="420"/>
        <w:spacing w:after="0"/>
        <w:tabs>
          <w:tab w:leader="none" w:pos="2380" w:val="left"/>
          <w:tab w:leader="none" w:pos="2800" w:val="left"/>
        </w:tabs>
        <w:rPr>
          <w:sz w:val="20"/>
          <w:szCs w:val="20"/>
          <w:color w:val="auto"/>
        </w:rPr>
      </w:pPr>
      <w:r>
        <w:rPr>
          <w:rFonts w:ascii="Arial" w:cs="Arial" w:eastAsia="Arial" w:hAnsi="Arial"/>
          <w:sz w:val="30"/>
          <w:szCs w:val="30"/>
          <w:color w:val="000000"/>
          <w:vertAlign w:val="superscript"/>
        </w:rPr>
        <w:t xml:space="preserve">             </w:t>
      </w:r>
      <w:r>
        <w:rPr>
          <w:sz w:val="20"/>
          <w:szCs w:val="20"/>
          <w:color w:val="auto"/>
        </w:rPr>
        <w:tab/>
      </w:r>
      <w:r>
        <w:rPr>
          <w:rFonts w:ascii="Arial" w:cs="Arial" w:eastAsia="Arial" w:hAnsi="Arial"/>
          <w:sz w:val="31"/>
          <w:szCs w:val="31"/>
          <w:color w:val="auto"/>
          <w:vertAlign w:val="superscript"/>
        </w:rPr>
        <w:t xml:space="preserve">    </w:t>
      </w:r>
      <w:r>
        <w:rPr>
          <w:sz w:val="20"/>
          <w:szCs w:val="20"/>
          <w:color w:val="auto"/>
        </w:rPr>
        <w:tab/>
      </w:r>
      <w:r>
        <w:rPr>
          <w:rFonts w:ascii="Arial" w:cs="Arial" w:eastAsia="Arial" w:hAnsi="Arial"/>
          <w:sz w:val="15"/>
          <w:szCs w:val="15"/>
          <w:b w:val="1"/>
          <w:bCs w:val="1"/>
          <w:color w:val="002B5F"/>
        </w:rPr>
        <w:t xml:space="preserve">100  </w:t>
      </w:r>
      <w:r>
        <w:rPr>
          <w:rFonts w:ascii="Arial" w:cs="Arial" w:eastAsia="Arial" w:hAnsi="Arial"/>
          <w:sz w:val="19"/>
          <w:szCs w:val="19"/>
          <w:color w:val="002B5F"/>
        </w:rPr>
        <w:t>|</w:t>
      </w:r>
      <w:r>
        <w:rPr>
          <w:rFonts w:ascii="Arial" w:cs="Arial" w:eastAsia="Arial" w:hAnsi="Arial"/>
          <w:sz w:val="15"/>
          <w:szCs w:val="15"/>
          <w:b w:val="1"/>
          <w:bCs w:val="1"/>
          <w:color w:val="002B5F"/>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6111875</wp:posOffset>
            </wp:positionH>
            <wp:positionV relativeFrom="paragraph">
              <wp:posOffset>-208915</wp:posOffset>
            </wp:positionV>
            <wp:extent cx="769620" cy="9715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69620" cy="97155"/>
                    </a:xfrm>
                    <a:prstGeom prst="rect">
                      <a:avLst/>
                    </a:prstGeom>
                    <a:noFill/>
                  </pic:spPr>
                </pic:pic>
              </a:graphicData>
            </a:graphic>
          </wp:anchor>
        </w:drawing>
      </w:r>
    </w:p>
    <w:p>
      <w:pPr>
        <w:sectPr>
          <w:pgSz w:w="11900" w:h="16838" w:orient="portrait"/>
          <w:cols w:equalWidth="0" w:num="1">
            <w:col w:w="10680"/>
          </w:cols>
          <w:pgMar w:left="320" w:top="464" w:right="899" w:bottom="1440" w:gutter="0" w:footer="0" w:header="0"/>
          <w:type w:val="continuous"/>
        </w:sectPr>
      </w:pPr>
    </w:p>
    <w:bookmarkStart w:id="108" w:name="page109"/>
    <w:bookmarkEnd w:id="10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5334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181215" cy="5334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5617845</wp:posOffset>
            </wp:positionH>
            <wp:positionV relativeFrom="paragraph">
              <wp:posOffset>253365</wp:posOffset>
            </wp:positionV>
            <wp:extent cx="1256030" cy="747204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1256030" cy="74720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tbl>
      <w:tblPr>
        <w:tblLayout w:type="fixed"/>
        <w:tblInd w:w="3780" w:type="dxa"/>
        <w:tblCellMar>
          <w:top w:w="0" w:type="dxa"/>
          <w:left w:w="0" w:type="dxa"/>
          <w:bottom w:w="0" w:type="dxa"/>
          <w:right w:w="0" w:type="dxa"/>
        </w:tblCellMar>
      </w:tblPr>
      <w:tr>
        <w:trPr>
          <w:trHeight w:val="195"/>
        </w:trPr>
        <w:tc>
          <w:tcPr>
            <w:tcW w:w="3240" w:type="dxa"/>
            <w:vAlign w:val="bottom"/>
          </w:tcPr>
          <w:p>
            <w:pPr>
              <w:jc w:val="center"/>
              <w:ind w:right="1775"/>
              <w:spacing w:after="0"/>
              <w:rPr>
                <w:sz w:val="20"/>
                <w:szCs w:val="20"/>
                <w:color w:val="auto"/>
              </w:rPr>
            </w:pPr>
            <w:r>
              <w:rPr>
                <w:rFonts w:ascii="Arial" w:cs="Arial" w:eastAsia="Arial" w:hAnsi="Arial"/>
                <w:sz w:val="17"/>
                <w:szCs w:val="17"/>
                <w:b w:val="1"/>
                <w:bCs w:val="1"/>
                <w:i w:val="1"/>
                <w:iCs w:val="1"/>
                <w:color w:val="auto"/>
                <w:w w:val="99"/>
              </w:rPr>
              <w:t>ARTICLE IV</w:t>
            </w:r>
          </w:p>
        </w:tc>
        <w:tc>
          <w:tcPr>
            <w:tcW w:w="20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203"/>
        </w:trPr>
        <w:tc>
          <w:tcPr>
            <w:tcW w:w="3240" w:type="dxa"/>
            <w:vAlign w:val="bottom"/>
          </w:tcPr>
          <w:p>
            <w:pPr>
              <w:jc w:val="center"/>
              <w:ind w:right="1755"/>
              <w:spacing w:after="0"/>
              <w:rPr>
                <w:sz w:val="20"/>
                <w:szCs w:val="20"/>
                <w:color w:val="auto"/>
              </w:rPr>
            </w:pPr>
            <w:r>
              <w:rPr>
                <w:rFonts w:ascii="Arial" w:cs="Arial" w:eastAsia="Arial" w:hAnsi="Arial"/>
                <w:sz w:val="17"/>
                <w:szCs w:val="17"/>
                <w:b w:val="1"/>
                <w:bCs w:val="1"/>
                <w:i w:val="1"/>
                <w:iCs w:val="1"/>
                <w:color w:val="auto"/>
                <w:w w:val="98"/>
              </w:rPr>
              <w:t>CAPITALIZATION</w:t>
            </w:r>
          </w:p>
        </w:tc>
        <w:tc>
          <w:tcPr>
            <w:tcW w:w="2060" w:type="dxa"/>
            <w:vAlign w:val="bottom"/>
          </w:tcPr>
          <w:p>
            <w:pPr>
              <w:ind w:left="1860"/>
              <w:spacing w:after="0"/>
              <w:rPr>
                <w:sz w:val="20"/>
                <w:szCs w:val="20"/>
                <w:color w:val="auto"/>
              </w:rPr>
            </w:pPr>
            <w:r>
              <w:rPr>
                <w:rFonts w:ascii="Arial" w:cs="Arial" w:eastAsia="Arial" w:hAnsi="Arial"/>
                <w:sz w:val="15"/>
                <w:szCs w:val="15"/>
                <w:color w:val="auto"/>
              </w:rPr>
              <w:t> </w:t>
            </w:r>
          </w:p>
        </w:tc>
        <w:tc>
          <w:tcPr>
            <w:tcW w:w="1060" w:type="dxa"/>
            <w:vAlign w:val="bottom"/>
          </w:tcPr>
          <w:p>
            <w:pPr>
              <w:ind w:left="140"/>
              <w:spacing w:after="0"/>
              <w:rPr>
                <w:sz w:val="20"/>
                <w:szCs w:val="20"/>
                <w:color w:val="auto"/>
              </w:rPr>
            </w:pPr>
            <w:r>
              <w:rPr>
                <w:rFonts w:ascii="Arial" w:cs="Arial" w:eastAsia="Arial" w:hAnsi="Arial"/>
                <w:sz w:val="12"/>
                <w:szCs w:val="12"/>
                <w:color w:val="FFFFFF"/>
              </w:rPr>
              <w:t>General</w:t>
            </w:r>
          </w:p>
        </w:tc>
        <w:tc>
          <w:tcPr>
            <w:tcW w:w="660" w:type="dxa"/>
            <w:vAlign w:val="bottom"/>
          </w:tcPr>
          <w:p>
            <w:pPr>
              <w:ind w:left="300"/>
              <w:spacing w:after="0"/>
              <w:rPr>
                <w:sz w:val="20"/>
                <w:szCs w:val="20"/>
                <w:color w:val="auto"/>
              </w:rPr>
            </w:pPr>
            <w:r>
              <w:rPr>
                <w:rFonts w:ascii="Arial" w:cs="Arial" w:eastAsia="Arial" w:hAnsi="Arial"/>
                <w:sz w:val="15"/>
                <w:szCs w:val="15"/>
                <w:color w:val="auto"/>
              </w:rPr>
              <w:t xml:space="preserve">       </w:t>
            </w:r>
          </w:p>
        </w:tc>
      </w:tr>
      <w:tr>
        <w:trPr>
          <w:trHeight w:val="158"/>
        </w:trPr>
        <w:tc>
          <w:tcPr>
            <w:tcW w:w="324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1060" w:type="dxa"/>
            <w:vAlign w:val="bottom"/>
          </w:tcPr>
          <w:p>
            <w:pPr>
              <w:ind w:left="140"/>
              <w:spacing w:after="0"/>
              <w:rPr>
                <w:sz w:val="20"/>
                <w:szCs w:val="20"/>
                <w:color w:val="auto"/>
              </w:rPr>
            </w:pPr>
            <w:r>
              <w:rPr>
                <w:rFonts w:ascii="Arial" w:cs="Arial" w:eastAsia="Arial" w:hAnsi="Arial"/>
                <w:sz w:val="12"/>
                <w:szCs w:val="12"/>
                <w:color w:val="FFFFFF"/>
              </w:rPr>
              <w:t>Information</w:t>
            </w:r>
          </w:p>
        </w:tc>
        <w:tc>
          <w:tcPr>
            <w:tcW w:w="660" w:type="dxa"/>
            <w:vAlign w:val="bottom"/>
          </w:tcPr>
          <w:p>
            <w:pPr>
              <w:spacing w:after="0"/>
              <w:rPr>
                <w:sz w:val="13"/>
                <w:szCs w:val="13"/>
                <w:color w:val="auto"/>
              </w:rPr>
            </w:pPr>
          </w:p>
        </w:tc>
      </w:tr>
    </w:tbl>
    <w:p>
      <w:pPr>
        <w:spacing w:after="0" w:line="40" w:lineRule="exact"/>
        <w:rPr>
          <w:sz w:val="20"/>
          <w:szCs w:val="20"/>
          <w:color w:val="auto"/>
        </w:rPr>
      </w:pPr>
    </w:p>
    <w:p>
      <w:pPr>
        <w:sectPr>
          <w:pgSz w:w="11900" w:h="16838" w:orient="portrait"/>
          <w:cols w:equalWidth="0" w:num="1">
            <w:col w:w="10800"/>
          </w:cols>
          <w:pgMar w:left="320" w:top="464" w:right="779" w:bottom="1440" w:gutter="0" w:footer="0" w:header="0"/>
        </w:sectPr>
      </w:pPr>
    </w:p>
    <w:p>
      <w:pPr>
        <w:ind w:left="540" w:right="120" w:firstLine="314"/>
        <w:spacing w:after="0" w:line="268" w:lineRule="auto"/>
        <w:tabs>
          <w:tab w:leader="none" w:pos="1085" w:val="left"/>
        </w:tabs>
        <w:numPr>
          <w:ilvl w:val="0"/>
          <w:numId w:val="143"/>
        </w:numPr>
        <w:rPr>
          <w:rFonts w:ascii="Arial" w:cs="Arial" w:eastAsia="Arial" w:hAnsi="Arial"/>
          <w:sz w:val="15"/>
          <w:szCs w:val="15"/>
          <w:color w:val="auto"/>
        </w:rPr>
      </w:pPr>
      <w:r>
        <w:rPr>
          <w:rFonts w:ascii="Arial" w:cs="Arial" w:eastAsia="Arial" w:hAnsi="Arial"/>
          <w:sz w:val="15"/>
          <w:szCs w:val="15"/>
          <w:u w:val="single" w:color="auto"/>
          <w:color w:val="auto"/>
        </w:rPr>
        <w:t>Authorized Shares</w:t>
      </w:r>
      <w:r>
        <w:rPr>
          <w:rFonts w:ascii="Arial" w:cs="Arial" w:eastAsia="Arial" w:hAnsi="Arial"/>
          <w:sz w:val="15"/>
          <w:szCs w:val="15"/>
          <w:color w:val="auto"/>
        </w:rPr>
        <w:t>. The total number of shares of stock which the Corporation shall have authority to issue is 675,000,000, consisting of 600,000,000 shares of Common Stock, par value $0.001 per share (“</w:t>
      </w:r>
      <w:r>
        <w:rPr>
          <w:rFonts w:ascii="Arial" w:cs="Arial" w:eastAsia="Arial" w:hAnsi="Arial"/>
          <w:sz w:val="15"/>
          <w:szCs w:val="15"/>
          <w:u w:val="single" w:color="auto"/>
          <w:color w:val="auto"/>
        </w:rPr>
        <w:t>Common Stock</w:t>
      </w:r>
      <w:r>
        <w:rPr>
          <w:rFonts w:ascii="Arial" w:cs="Arial" w:eastAsia="Arial" w:hAnsi="Arial"/>
          <w:sz w:val="15"/>
          <w:szCs w:val="15"/>
          <w:color w:val="auto"/>
        </w:rPr>
        <w:t>”), and 75,000,000 shares of Preferred Stock, par value $0.001 per share (“</w:t>
      </w:r>
      <w:r>
        <w:rPr>
          <w:rFonts w:ascii="Arial" w:cs="Arial" w:eastAsia="Arial" w:hAnsi="Arial"/>
          <w:sz w:val="15"/>
          <w:szCs w:val="15"/>
          <w:u w:val="single" w:color="auto"/>
          <w:color w:val="auto"/>
        </w:rPr>
        <w:t>Preferred Stock</w:t>
      </w:r>
      <w:r>
        <w:rPr>
          <w:rFonts w:ascii="Arial" w:cs="Arial" w:eastAsia="Arial" w:hAnsi="Arial"/>
          <w:sz w:val="15"/>
          <w:szCs w:val="15"/>
          <w:color w:val="auto"/>
        </w:rPr>
        <w:t>”).</w:t>
      </w:r>
    </w:p>
    <w:p>
      <w:pPr>
        <w:spacing w:after="0" w:line="162" w:lineRule="exact"/>
        <w:rPr>
          <w:rFonts w:ascii="Arial" w:cs="Arial" w:eastAsia="Arial" w:hAnsi="Arial"/>
          <w:sz w:val="15"/>
          <w:szCs w:val="15"/>
          <w:color w:val="auto"/>
        </w:rPr>
      </w:pPr>
    </w:p>
    <w:p>
      <w:pPr>
        <w:ind w:left="540" w:right="180" w:firstLine="314"/>
        <w:spacing w:after="0" w:line="254" w:lineRule="auto"/>
        <w:tabs>
          <w:tab w:leader="none" w:pos="1085" w:val="left"/>
        </w:tabs>
        <w:numPr>
          <w:ilvl w:val="0"/>
          <w:numId w:val="143"/>
        </w:numPr>
        <w:rPr>
          <w:rFonts w:ascii="Arial" w:cs="Arial" w:eastAsia="Arial" w:hAnsi="Arial"/>
          <w:sz w:val="15"/>
          <w:szCs w:val="15"/>
          <w:color w:val="auto"/>
        </w:rPr>
      </w:pPr>
      <w:r>
        <w:rPr>
          <w:rFonts w:ascii="Arial" w:cs="Arial" w:eastAsia="Arial" w:hAnsi="Arial"/>
          <w:sz w:val="15"/>
          <w:szCs w:val="15"/>
          <w:u w:val="single" w:color="auto"/>
          <w:color w:val="auto"/>
        </w:rPr>
        <w:t>Preferred Stock</w:t>
      </w:r>
      <w:r>
        <w:rPr>
          <w:rFonts w:ascii="Arial" w:cs="Arial" w:eastAsia="Arial" w:hAnsi="Arial"/>
          <w:sz w:val="15"/>
          <w:szCs w:val="15"/>
          <w:color w:val="auto"/>
        </w:rPr>
        <w:t>. Shares of Preferred Stock may be issued in one or more series, from time to time, with each such series to consist of such number of shares and to have such voting powers relative to other classes or series of Preferred Stock, if any, or Common Stock, full or limited or no voting powers, and such designations, preferences and relative, participating, optional or other special rights, and the qualifications, limitations or restrictions thereof, as shall be stated in the resolution or resolutions providing for the issuance of such series adopted by the board of directors of the Corporation (the “</w:t>
      </w:r>
      <w:r>
        <w:rPr>
          <w:rFonts w:ascii="Arial" w:cs="Arial" w:eastAsia="Arial" w:hAnsi="Arial"/>
          <w:sz w:val="15"/>
          <w:szCs w:val="15"/>
          <w:u w:val="single" w:color="auto"/>
          <w:color w:val="auto"/>
        </w:rPr>
        <w:t>Board of Directors</w:t>
      </w:r>
      <w:r>
        <w:rPr>
          <w:rFonts w:ascii="Arial" w:cs="Arial" w:eastAsia="Arial" w:hAnsi="Arial"/>
          <w:sz w:val="15"/>
          <w:szCs w:val="15"/>
          <w:color w:val="auto"/>
        </w:rPr>
        <w:t>”), and the Board of Directors is hereby expressly vested with the authority, to the full extent now or hereafter provided by applicable law, to adopt any such resolution or resolutions.</w:t>
      </w:r>
    </w:p>
    <w:p>
      <w:pPr>
        <w:spacing w:after="0" w:line="355" w:lineRule="exact"/>
        <w:rPr>
          <w:rFonts w:ascii="Arial" w:cs="Arial" w:eastAsia="Arial" w:hAnsi="Arial"/>
          <w:sz w:val="15"/>
          <w:szCs w:val="15"/>
          <w:color w:val="auto"/>
        </w:rPr>
      </w:pPr>
    </w:p>
    <w:p>
      <w:pPr>
        <w:ind w:left="540" w:right="140" w:firstLine="314"/>
        <w:spacing w:after="0" w:line="253" w:lineRule="auto"/>
        <w:tabs>
          <w:tab w:leader="none" w:pos="1076" w:val="left"/>
        </w:tabs>
        <w:numPr>
          <w:ilvl w:val="0"/>
          <w:numId w:val="143"/>
        </w:numPr>
        <w:rPr>
          <w:rFonts w:ascii="Arial" w:cs="Arial" w:eastAsia="Arial" w:hAnsi="Arial"/>
          <w:sz w:val="15"/>
          <w:szCs w:val="15"/>
          <w:color w:val="auto"/>
        </w:rPr>
      </w:pPr>
      <w:r>
        <w:rPr>
          <w:rFonts w:ascii="Arial" w:cs="Arial" w:eastAsia="Arial" w:hAnsi="Arial"/>
          <w:sz w:val="15"/>
          <w:szCs w:val="15"/>
          <w:u w:val="single" w:color="auto"/>
          <w:color w:val="auto"/>
        </w:rPr>
        <w:t>Voting</w:t>
      </w:r>
      <w:r>
        <w:rPr>
          <w:rFonts w:ascii="Arial" w:cs="Arial" w:eastAsia="Arial" w:hAnsi="Arial"/>
          <w:sz w:val="15"/>
          <w:szCs w:val="15"/>
          <w:color w:val="auto"/>
        </w:rPr>
        <w:t xml:space="preserve">. Each holder of Common Stock, as such, shall be entitled to one vote for each share of Common Stock held of record by such holder on all matters on which stockholders generally are entitled to vote;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except as otherwise required by law, holders of Common Stock, as such, shall not be entitled to vote on any amendment to this </w:t>
      </w:r>
      <w:r>
        <w:rPr>
          <w:rFonts w:ascii="Arial" w:cs="Arial" w:eastAsia="Arial" w:hAnsi="Arial"/>
          <w:sz w:val="15"/>
          <w:szCs w:val="15"/>
          <w:b w:val="1"/>
          <w:bCs w:val="1"/>
          <w:i w:val="1"/>
          <w:iCs w:val="1"/>
          <w:u w:val="single" w:color="auto"/>
          <w:color w:val="auto"/>
        </w:rPr>
        <w:t>Second</w:t>
      </w:r>
      <w:r>
        <w:rPr>
          <w:rFonts w:ascii="Arial" w:cs="Arial" w:eastAsia="Arial" w:hAnsi="Arial"/>
          <w:sz w:val="15"/>
          <w:szCs w:val="15"/>
          <w:color w:val="auto"/>
        </w:rPr>
        <w:t xml:space="preserve"> Amended and Restated Certificate of Incorporation (including, but not limited to, any certificate of designations relating to any series of Preferred Stock) that relates solely to the terms of one or more outstanding series of Preferred Stock if the holders of such affected series are entitled, either separately or together with the holders of one or more other such series, to vote thereon pursuant to this </w:t>
      </w:r>
      <w:r>
        <w:rPr>
          <w:rFonts w:ascii="Arial" w:cs="Arial" w:eastAsia="Arial" w:hAnsi="Arial"/>
          <w:sz w:val="15"/>
          <w:szCs w:val="15"/>
          <w:b w:val="1"/>
          <w:bCs w:val="1"/>
          <w:i w:val="1"/>
          <w:iCs w:val="1"/>
          <w:u w:val="single" w:color="auto"/>
          <w:color w:val="auto"/>
        </w:rPr>
        <w:t>Second</w:t>
      </w:r>
      <w:r>
        <w:rPr>
          <w:rFonts w:ascii="Arial" w:cs="Arial" w:eastAsia="Arial" w:hAnsi="Arial"/>
          <w:sz w:val="15"/>
          <w:szCs w:val="15"/>
          <w:color w:val="auto"/>
        </w:rPr>
        <w:t xml:space="preserve"> Amended and Restated Certificate of Incorporation (including, but not limited to, any certificate of designations relating to any series of Preferred Stock) or pursuant to the DGCL.</w:t>
      </w:r>
    </w:p>
    <w:p>
      <w:pPr>
        <w:spacing w:after="0" w:line="175" w:lineRule="exact"/>
        <w:rPr>
          <w:rFonts w:ascii="Arial" w:cs="Arial" w:eastAsia="Arial" w:hAnsi="Arial"/>
          <w:sz w:val="15"/>
          <w:szCs w:val="15"/>
          <w:color w:val="auto"/>
        </w:rPr>
      </w:pPr>
    </w:p>
    <w:p>
      <w:pPr>
        <w:ind w:left="540" w:right="140" w:firstLine="314"/>
        <w:spacing w:after="0" w:line="255" w:lineRule="auto"/>
        <w:tabs>
          <w:tab w:leader="none" w:pos="1085" w:val="left"/>
        </w:tabs>
        <w:numPr>
          <w:ilvl w:val="0"/>
          <w:numId w:val="143"/>
        </w:numPr>
        <w:rPr>
          <w:rFonts w:ascii="Arial" w:cs="Arial" w:eastAsia="Arial" w:hAnsi="Arial"/>
          <w:sz w:val="15"/>
          <w:szCs w:val="15"/>
          <w:color w:val="auto"/>
        </w:rPr>
      </w:pPr>
      <w:r>
        <w:rPr>
          <w:rFonts w:ascii="Arial" w:cs="Arial" w:eastAsia="Arial" w:hAnsi="Arial"/>
          <w:sz w:val="15"/>
          <w:szCs w:val="15"/>
          <w:u w:val="single" w:color="auto"/>
          <w:color w:val="auto"/>
        </w:rPr>
        <w:t>No Class Vote On Changes In Authorized Number of Shares Of Preferred Stock</w:t>
      </w:r>
      <w:r>
        <w:rPr>
          <w:rFonts w:ascii="Arial" w:cs="Arial" w:eastAsia="Arial" w:hAnsi="Arial"/>
          <w:sz w:val="15"/>
          <w:szCs w:val="15"/>
          <w:color w:val="auto"/>
        </w:rPr>
        <w:t xml:space="preserve">. Subject to the special rights of the holders of any series of Preferred Stock pursuant to the terms of this </w:t>
      </w:r>
      <w:r>
        <w:rPr>
          <w:rFonts w:ascii="Arial" w:cs="Arial" w:eastAsia="Arial" w:hAnsi="Arial"/>
          <w:sz w:val="15"/>
          <w:szCs w:val="15"/>
          <w:b w:val="1"/>
          <w:bCs w:val="1"/>
          <w:i w:val="1"/>
          <w:iCs w:val="1"/>
          <w:u w:val="single" w:color="auto"/>
          <w:color w:val="auto"/>
        </w:rPr>
        <w:t>Second</w:t>
      </w:r>
      <w:r>
        <w:rPr>
          <w:rFonts w:ascii="Arial" w:cs="Arial" w:eastAsia="Arial" w:hAnsi="Arial"/>
          <w:sz w:val="15"/>
          <w:szCs w:val="15"/>
          <w:color w:val="auto"/>
        </w:rPr>
        <w:t xml:space="preserve"> Amended and Restated Certificate of Incorporation, any certificate of designations or any resolution or resolutions providing for the issuance of such series of stock adopted by the Board of Directors, the number of authorized shares of Preferred Stock may be increased or decreased (but not below the number of shares thereof then outstanding) by the affirmative vote of the holders of a majority of the voting power of the outstanding shares of capital stock of the Corporation entitled to vote generally in the election of directors irrespective of the provisions of Section 242(b)(2) of the DGCL.</w:t>
      </w:r>
    </w:p>
    <w:p>
      <w:pPr>
        <w:spacing w:after="0" w:line="167" w:lineRule="exact"/>
        <w:rPr>
          <w:sz w:val="20"/>
          <w:szCs w:val="20"/>
          <w:color w:val="auto"/>
        </w:rPr>
      </w:pPr>
    </w:p>
    <w:p>
      <w:pPr>
        <w:jc w:val="center"/>
        <w:ind w:left="440"/>
        <w:spacing w:after="0"/>
        <w:rPr>
          <w:sz w:val="20"/>
          <w:szCs w:val="20"/>
          <w:color w:val="auto"/>
        </w:rPr>
      </w:pPr>
      <w:r>
        <w:rPr>
          <w:rFonts w:ascii="Arial" w:cs="Arial" w:eastAsia="Arial" w:hAnsi="Arial"/>
          <w:sz w:val="17"/>
          <w:szCs w:val="17"/>
          <w:b w:val="1"/>
          <w:bCs w:val="1"/>
          <w:i w:val="1"/>
          <w:iCs w:val="1"/>
          <w:color w:val="auto"/>
        </w:rPr>
        <w:t>ARTICLE V</w:t>
      </w:r>
    </w:p>
    <w:p>
      <w:pPr>
        <w:spacing w:after="0" w:line="12" w:lineRule="exact"/>
        <w:rPr>
          <w:sz w:val="20"/>
          <w:szCs w:val="20"/>
          <w:color w:val="auto"/>
        </w:rPr>
      </w:pPr>
    </w:p>
    <w:p>
      <w:pPr>
        <w:jc w:val="center"/>
        <w:ind w:left="440"/>
        <w:spacing w:after="0"/>
        <w:rPr>
          <w:sz w:val="20"/>
          <w:szCs w:val="20"/>
          <w:color w:val="auto"/>
        </w:rPr>
      </w:pPr>
      <w:r>
        <w:rPr>
          <w:rFonts w:ascii="Arial" w:cs="Arial" w:eastAsia="Arial" w:hAnsi="Arial"/>
          <w:sz w:val="17"/>
          <w:szCs w:val="17"/>
          <w:b w:val="1"/>
          <w:bCs w:val="1"/>
          <w:i w:val="1"/>
          <w:iCs w:val="1"/>
          <w:color w:val="auto"/>
        </w:rPr>
        <w:t>BOARD OF DIRECTORS</w:t>
      </w:r>
    </w:p>
    <w:p>
      <w:pPr>
        <w:spacing w:after="0" w:line="189" w:lineRule="exact"/>
        <w:rPr>
          <w:sz w:val="20"/>
          <w:szCs w:val="20"/>
          <w:color w:val="auto"/>
        </w:rPr>
      </w:pPr>
    </w:p>
    <w:p>
      <w:pPr>
        <w:ind w:left="540" w:right="120" w:firstLine="314"/>
        <w:spacing w:after="0" w:line="252" w:lineRule="auto"/>
        <w:tabs>
          <w:tab w:leader="none" w:pos="1085" w:val="left"/>
        </w:tabs>
        <w:numPr>
          <w:ilvl w:val="0"/>
          <w:numId w:val="144"/>
        </w:numPr>
        <w:rPr>
          <w:rFonts w:ascii="Arial" w:cs="Arial" w:eastAsia="Arial" w:hAnsi="Arial"/>
          <w:sz w:val="15"/>
          <w:szCs w:val="15"/>
          <w:color w:val="auto"/>
        </w:rPr>
      </w:pPr>
      <w:r>
        <w:rPr>
          <w:rFonts w:ascii="Arial" w:cs="Arial" w:eastAsia="Arial" w:hAnsi="Arial"/>
          <w:sz w:val="15"/>
          <w:szCs w:val="15"/>
          <w:u w:val="single" w:color="auto"/>
          <w:color w:val="auto"/>
        </w:rPr>
        <w:t>Number of Directors; Vacancies and Newly Created Directorship</w:t>
      </w:r>
      <w:r>
        <w:rPr>
          <w:rFonts w:ascii="Arial" w:cs="Arial" w:eastAsia="Arial" w:hAnsi="Arial"/>
          <w:sz w:val="15"/>
          <w:szCs w:val="15"/>
          <w:color w:val="auto"/>
        </w:rPr>
        <w:t>s. The number of directors constituting the Board of Directors shall be not fewer than 3 and not more than 15, each of whom shall be a natural person. Subject to the previous sentence and to the special rights of the holders of any series of Preferred Stock to elect directors, the precise number of directors shall be fixed exclusively pursuant to a resolution adopted by the Board of Directors</w:t>
      </w:r>
      <w:r>
        <w:rPr>
          <w:rFonts w:ascii="Arial" w:cs="Arial" w:eastAsia="Arial" w:hAnsi="Arial"/>
          <w:sz w:val="15"/>
          <w:szCs w:val="15"/>
          <w:b w:val="1"/>
          <w:bCs w:val="1"/>
          <w:i w:val="1"/>
          <w:iCs w:val="1"/>
          <w:color w:val="auto"/>
          <w:strike w:val="1"/>
        </w:rPr>
        <w:t>,</w:t>
      </w:r>
      <w:r>
        <w:rPr>
          <w:rFonts w:ascii="Arial" w:cs="Arial" w:eastAsia="Arial" w:hAnsi="Arial"/>
          <w:sz w:val="15"/>
          <w:szCs w:val="15"/>
          <w:color w:val="auto"/>
        </w:rPr>
        <w:t xml:space="preserve"> </w:t>
      </w:r>
      <w:r>
        <w:rPr>
          <w:rFonts w:ascii="Arial" w:cs="Arial" w:eastAsia="Arial" w:hAnsi="Arial"/>
          <w:sz w:val="15"/>
          <w:szCs w:val="15"/>
          <w:b w:val="1"/>
          <w:bCs w:val="1"/>
          <w:i w:val="1"/>
          <w:iCs w:val="1"/>
          <w:color w:val="auto"/>
          <w:strike w:val="1"/>
        </w:rPr>
        <w:t>provided, however, that until the first date (the “</w:t>
      </w:r>
      <w:r>
        <w:rPr>
          <w:rFonts w:ascii="Arial" w:cs="Arial" w:eastAsia="Arial" w:hAnsi="Arial"/>
          <w:sz w:val="15"/>
          <w:szCs w:val="15"/>
          <w:b w:val="1"/>
          <w:bCs w:val="1"/>
          <w:i w:val="1"/>
          <w:iCs w:val="1"/>
          <w:u w:val="single" w:color="auto"/>
          <w:color w:val="auto"/>
          <w:strike w:val="1"/>
        </w:rPr>
        <w:t>Trigger Date</w:t>
      </w:r>
      <w:r>
        <w:rPr>
          <w:rFonts w:ascii="Arial" w:cs="Arial" w:eastAsia="Arial" w:hAnsi="Arial"/>
          <w:sz w:val="15"/>
          <w:szCs w:val="15"/>
          <w:b w:val="1"/>
          <w:bCs w:val="1"/>
          <w:i w:val="1"/>
          <w:iCs w:val="1"/>
          <w:color w:val="auto"/>
          <w:strike w:val="1"/>
        </w:rPr>
        <w:t>”) on which TPG Partners IV, L.P. and its successors and Affiliates (collectively, “</w:t>
      </w:r>
      <w:r>
        <w:rPr>
          <w:rFonts w:ascii="Arial" w:cs="Arial" w:eastAsia="Arial" w:hAnsi="Arial"/>
          <w:sz w:val="15"/>
          <w:szCs w:val="15"/>
          <w:b w:val="1"/>
          <w:bCs w:val="1"/>
          <w:u w:val="single" w:color="auto"/>
          <w:color w:val="auto"/>
          <w:strike w:val="1"/>
        </w:rPr>
        <w:t>TPG</w:t>
      </w:r>
      <w:r>
        <w:rPr>
          <w:rFonts w:ascii="Arial" w:cs="Arial" w:eastAsia="Arial" w:hAnsi="Arial"/>
          <w:sz w:val="15"/>
          <w:szCs w:val="15"/>
          <w:b w:val="1"/>
          <w:bCs w:val="1"/>
          <w:i w:val="1"/>
          <w:iCs w:val="1"/>
          <w:color w:val="auto"/>
          <w:strike w:val="1"/>
        </w:rPr>
        <w:t>”) and Hellman &amp; Friedman Capital Partners V, L.P., Hellman &amp; Friedman Capital Partners V (Parallel), L.P. and Hellman &amp; Friedman Capital Associates V, L.P. and their respective successors and Affiliates (collectively the “</w:t>
      </w:r>
      <w:r>
        <w:rPr>
          <w:rFonts w:ascii="Arial" w:cs="Arial" w:eastAsia="Arial" w:hAnsi="Arial"/>
          <w:sz w:val="15"/>
          <w:szCs w:val="15"/>
          <w:b w:val="1"/>
          <w:bCs w:val="1"/>
          <w:i w:val="1"/>
          <w:iCs w:val="1"/>
          <w:u w:val="single" w:color="auto"/>
          <w:color w:val="auto"/>
          <w:strike w:val="1"/>
        </w:rPr>
        <w:t>H&amp;F Entitie</w:t>
      </w:r>
      <w:r>
        <w:rPr>
          <w:rFonts w:ascii="Arial" w:cs="Arial" w:eastAsia="Arial" w:hAnsi="Arial"/>
          <w:sz w:val="15"/>
          <w:szCs w:val="15"/>
          <w:b w:val="1"/>
          <w:bCs w:val="1"/>
          <w:i w:val="1"/>
          <w:iCs w:val="1"/>
          <w:color w:val="auto"/>
          <w:strike w:val="1"/>
        </w:rPr>
        <w:t>s” and, together with TPG, the “</w:t>
      </w:r>
      <w:r>
        <w:rPr>
          <w:rFonts w:ascii="Arial" w:cs="Arial" w:eastAsia="Arial" w:hAnsi="Arial"/>
          <w:sz w:val="15"/>
          <w:szCs w:val="15"/>
          <w:b w:val="1"/>
          <w:bCs w:val="1"/>
          <w:i w:val="1"/>
          <w:iCs w:val="1"/>
          <w:u w:val="single" w:color="auto"/>
          <w:color w:val="auto"/>
          <w:strike w:val="1"/>
        </w:rPr>
        <w:t>Sponsor</w:t>
      </w:r>
      <w:r>
        <w:rPr>
          <w:rFonts w:ascii="Arial" w:cs="Arial" w:eastAsia="Arial" w:hAnsi="Arial"/>
          <w:sz w:val="15"/>
          <w:szCs w:val="15"/>
          <w:b w:val="1"/>
          <w:bCs w:val="1"/>
          <w:i w:val="1"/>
          <w:iCs w:val="1"/>
          <w:color w:val="auto"/>
          <w:strike w:val="1"/>
        </w:rPr>
        <w:t xml:space="preserve"> </w:t>
      </w:r>
      <w:r>
        <w:rPr>
          <w:rFonts w:ascii="Arial" w:cs="Arial" w:eastAsia="Arial" w:hAnsi="Arial"/>
          <w:sz w:val="15"/>
          <w:szCs w:val="15"/>
          <w:b w:val="1"/>
          <w:bCs w:val="1"/>
          <w:i w:val="1"/>
          <w:iCs w:val="1"/>
          <w:u w:val="single" w:color="auto"/>
          <w:color w:val="auto"/>
          <w:strike w:val="1"/>
        </w:rPr>
        <w:t>Holders</w:t>
      </w:r>
      <w:r>
        <w:rPr>
          <w:rFonts w:ascii="Arial" w:cs="Arial" w:eastAsia="Arial" w:hAnsi="Arial"/>
          <w:sz w:val="15"/>
          <w:szCs w:val="15"/>
          <w:b w:val="1"/>
          <w:bCs w:val="1"/>
          <w:color w:val="auto"/>
          <w:strike w:val="1"/>
        </w:rPr>
        <w:t>”) cease collectively to beneficially own (directly or indirectly) forty percent (40%) or more of the</w:t>
      </w:r>
      <w:r>
        <w:rPr>
          <w:rFonts w:ascii="Arial" w:cs="Arial" w:eastAsia="Arial" w:hAnsi="Arial"/>
          <w:sz w:val="15"/>
          <w:szCs w:val="15"/>
          <w:b w:val="1"/>
          <w:bCs w:val="1"/>
          <w:i w:val="1"/>
          <w:iCs w:val="1"/>
          <w:u w:val="single" w:color="auto"/>
          <w:color w:val="auto"/>
          <w:strike w:val="1"/>
        </w:rPr>
        <w:t xml:space="preserve"> </w:t>
      </w:r>
      <w:r>
        <w:rPr>
          <w:rFonts w:ascii="Arial" w:cs="Arial" w:eastAsia="Arial" w:hAnsi="Arial"/>
          <w:sz w:val="15"/>
          <w:szCs w:val="15"/>
          <w:b w:val="1"/>
          <w:bCs w:val="1"/>
          <w:color w:val="auto"/>
          <w:strike w:val="1"/>
        </w:rPr>
        <w:t>outstanding shares of Common Stock, the number of directors shall not be increased to more than nine without, in addition to any other vote otherwise required by law, the affirmative vote or written consent of sixty percent (60%) of the outstanding shares of Common Stock. “</w:t>
      </w:r>
      <w:r>
        <w:rPr>
          <w:rFonts w:ascii="Arial" w:cs="Arial" w:eastAsia="Arial" w:hAnsi="Arial"/>
          <w:sz w:val="15"/>
          <w:szCs w:val="15"/>
          <w:b w:val="1"/>
          <w:bCs w:val="1"/>
          <w:i w:val="1"/>
          <w:iCs w:val="1"/>
          <w:u w:val="single" w:color="auto"/>
          <w:color w:val="auto"/>
          <w:strike w:val="1"/>
        </w:rPr>
        <w:t>Affiliate</w:t>
      </w:r>
      <w:r>
        <w:rPr>
          <w:rFonts w:ascii="Arial" w:cs="Arial" w:eastAsia="Arial" w:hAnsi="Arial"/>
          <w:sz w:val="15"/>
          <w:szCs w:val="15"/>
          <w:b w:val="1"/>
          <w:bCs w:val="1"/>
          <w:i w:val="1"/>
          <w:iCs w:val="1"/>
          <w:color w:val="auto"/>
          <w:strike w:val="1"/>
        </w:rPr>
        <w:t>” means, with respect to any</w:t>
      </w:r>
      <w:r>
        <w:rPr>
          <w:rFonts w:ascii="Arial" w:cs="Arial" w:eastAsia="Arial" w:hAnsi="Arial"/>
          <w:sz w:val="15"/>
          <w:szCs w:val="15"/>
          <w:b w:val="1"/>
          <w:bCs w:val="1"/>
          <w:color w:val="auto"/>
          <w:strike w:val="1"/>
        </w:rPr>
        <w:t xml:space="preserve"> </w:t>
      </w:r>
      <w:r>
        <w:rPr>
          <w:rFonts w:ascii="Arial" w:cs="Arial" w:eastAsia="Arial" w:hAnsi="Arial"/>
          <w:sz w:val="15"/>
          <w:szCs w:val="15"/>
          <w:b w:val="1"/>
          <w:bCs w:val="1"/>
          <w:i w:val="1"/>
          <w:iCs w:val="1"/>
          <w:color w:val="auto"/>
          <w:strike w:val="1"/>
        </w:rPr>
        <w:t>Person, any other Person that controls, is controlled by, or is under common control</w:t>
      </w:r>
    </w:p>
    <w:p>
      <w:pPr>
        <w:spacing w:after="0" w:line="20" w:lineRule="exact"/>
        <w:rPr>
          <w:sz w:val="20"/>
          <w:szCs w:val="20"/>
          <w:color w:val="auto"/>
        </w:rPr>
      </w:pPr>
      <w:r>
        <w:rPr>
          <w:sz w:val="20"/>
          <w:szCs w:val="20"/>
          <w:color w:val="auto"/>
        </w:rPr>
        <w:br w:type="column"/>
      </w:r>
    </w:p>
    <w:p>
      <w:pPr>
        <w:spacing w:after="0" w:line="64" w:lineRule="exact"/>
        <w:rPr>
          <w:sz w:val="20"/>
          <w:szCs w:val="20"/>
          <w:color w:val="auto"/>
        </w:rPr>
      </w:pPr>
    </w:p>
    <w:p>
      <w:pPr>
        <w:spacing w:after="0"/>
        <w:rPr>
          <w:sz w:val="20"/>
          <w:szCs w:val="20"/>
          <w:color w:val="auto"/>
        </w:rPr>
      </w:pPr>
      <w:r>
        <w:rPr>
          <w:rFonts w:ascii="Arial" w:cs="Arial" w:eastAsia="Arial" w:hAnsi="Arial"/>
          <w:sz w:val="11"/>
          <w:szCs w:val="11"/>
          <w:color w:val="FFFFFF"/>
        </w:rPr>
        <w:t>General Information</w:t>
      </w:r>
    </w:p>
    <w:p>
      <w:pPr>
        <w:spacing w:after="0" w:line="3" w:lineRule="exact"/>
        <w:rPr>
          <w:sz w:val="20"/>
          <w:szCs w:val="20"/>
          <w:color w:val="auto"/>
        </w:rPr>
      </w:pPr>
    </w:p>
    <w:p>
      <w:pPr>
        <w:spacing w:after="0"/>
        <w:rPr>
          <w:sz w:val="20"/>
          <w:szCs w:val="20"/>
          <w:color w:val="auto"/>
        </w:rPr>
      </w:pPr>
      <w:r>
        <w:rPr>
          <w:rFonts w:ascii="Arial" w:cs="Arial" w:eastAsia="Arial" w:hAnsi="Arial"/>
          <w:sz w:val="12"/>
          <w:szCs w:val="12"/>
          <w:color w:val="FFFFFF"/>
        </w:rPr>
        <w:t>About Corporate</w:t>
      </w:r>
    </w:p>
    <w:p>
      <w:pPr>
        <w:spacing w:after="0" w:line="221" w:lineRule="auto"/>
        <w:rPr>
          <w:sz w:val="20"/>
          <w:szCs w:val="20"/>
          <w:color w:val="auto"/>
        </w:rPr>
      </w:pPr>
      <w:r>
        <w:rPr>
          <w:rFonts w:ascii="Arial" w:cs="Arial" w:eastAsia="Arial" w:hAnsi="Arial"/>
          <w:sz w:val="12"/>
          <w:szCs w:val="12"/>
          <w:color w:val="FFFFFF"/>
        </w:rPr>
        <w:t>Governance</w:t>
      </w:r>
    </w:p>
    <w:p>
      <w:pPr>
        <w:spacing w:after="0" w:line="222" w:lineRule="auto"/>
        <w:rPr>
          <w:sz w:val="20"/>
          <w:szCs w:val="20"/>
          <w:color w:val="auto"/>
        </w:rPr>
      </w:pPr>
      <w:r>
        <w:rPr>
          <w:rFonts w:ascii="Arial" w:cs="Arial" w:eastAsia="Arial" w:hAnsi="Arial"/>
          <w:sz w:val="12"/>
          <w:szCs w:val="12"/>
          <w:color w:val="FFFFFF"/>
        </w:rPr>
        <w:t>and the Board of</w:t>
      </w:r>
    </w:p>
    <w:p>
      <w:pPr>
        <w:spacing w:after="0" w:line="1" w:lineRule="exact"/>
        <w:rPr>
          <w:sz w:val="20"/>
          <w:szCs w:val="20"/>
          <w:color w:val="auto"/>
        </w:rPr>
      </w:pPr>
    </w:p>
    <w:p>
      <w:pPr>
        <w:spacing w:after="0"/>
        <w:rPr>
          <w:sz w:val="20"/>
          <w:szCs w:val="20"/>
          <w:color w:val="auto"/>
        </w:rPr>
      </w:pPr>
      <w:r>
        <w:rPr>
          <w:rFonts w:ascii="Arial" w:cs="Arial" w:eastAsia="Arial" w:hAnsi="Arial"/>
          <w:sz w:val="12"/>
          <w:szCs w:val="12"/>
          <w:color w:val="FFFFFF"/>
        </w:rPr>
        <w:t>Directors</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Proposal 1</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FFFFFF"/>
        </w:rPr>
        <w:t>Information</w:t>
      </w:r>
    </w:p>
    <w:p>
      <w:pPr>
        <w:spacing w:after="0" w:line="224" w:lineRule="auto"/>
        <w:rPr>
          <w:sz w:val="20"/>
          <w:szCs w:val="20"/>
          <w:color w:val="auto"/>
        </w:rPr>
      </w:pPr>
      <w:r>
        <w:rPr>
          <w:rFonts w:ascii="Arial" w:cs="Arial" w:eastAsia="Arial" w:hAnsi="Arial"/>
          <w:sz w:val="12"/>
          <w:szCs w:val="12"/>
          <w:color w:val="FFFFFF"/>
        </w:rPr>
        <w:t>Regarding Board</w:t>
      </w:r>
    </w:p>
    <w:p>
      <w:pPr>
        <w:spacing w:after="0" w:line="222" w:lineRule="auto"/>
        <w:rPr>
          <w:sz w:val="20"/>
          <w:szCs w:val="20"/>
          <w:color w:val="auto"/>
        </w:rPr>
      </w:pPr>
      <w:r>
        <w:rPr>
          <w:rFonts w:ascii="Arial" w:cs="Arial" w:eastAsia="Arial" w:hAnsi="Arial"/>
          <w:sz w:val="12"/>
          <w:szCs w:val="12"/>
          <w:color w:val="FFFFFF"/>
        </w:rPr>
        <w:t>and Committee</w:t>
      </w:r>
    </w:p>
    <w:p>
      <w:pPr>
        <w:spacing w:after="0"/>
        <w:rPr>
          <w:sz w:val="20"/>
          <w:szCs w:val="20"/>
          <w:color w:val="auto"/>
        </w:rPr>
      </w:pPr>
      <w:r>
        <w:rPr>
          <w:rFonts w:ascii="Arial" w:cs="Arial" w:eastAsia="Arial" w:hAnsi="Arial"/>
          <w:sz w:val="12"/>
          <w:szCs w:val="12"/>
          <w:color w:val="FFFFFF"/>
        </w:rPr>
        <w:t>Structure</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Board of Directors</w:t>
      </w:r>
    </w:p>
    <w:p>
      <w:pPr>
        <w:spacing w:after="0" w:line="2" w:lineRule="exact"/>
        <w:rPr>
          <w:sz w:val="20"/>
          <w:szCs w:val="20"/>
          <w:color w:val="auto"/>
        </w:rPr>
      </w:pPr>
    </w:p>
    <w:p>
      <w:pPr>
        <w:spacing w:after="0"/>
        <w:rPr>
          <w:sz w:val="20"/>
          <w:szCs w:val="20"/>
          <w:color w:val="auto"/>
        </w:rPr>
      </w:pPr>
      <w:r>
        <w:rPr>
          <w:rFonts w:ascii="Arial" w:cs="Arial" w:eastAsia="Arial" w:hAnsi="Arial"/>
          <w:sz w:val="12"/>
          <w:szCs w:val="12"/>
          <w:color w:val="FFFFFF"/>
        </w:rPr>
        <w:t>Compensation</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Compensation</w:t>
      </w:r>
    </w:p>
    <w:p>
      <w:pPr>
        <w:spacing w:after="0" w:line="224" w:lineRule="auto"/>
        <w:rPr>
          <w:sz w:val="20"/>
          <w:szCs w:val="20"/>
          <w:color w:val="auto"/>
        </w:rPr>
      </w:pPr>
      <w:r>
        <w:rPr>
          <w:rFonts w:ascii="Arial" w:cs="Arial" w:eastAsia="Arial" w:hAnsi="Arial"/>
          <w:sz w:val="12"/>
          <w:szCs w:val="12"/>
          <w:color w:val="FFFFFF"/>
        </w:rPr>
        <w:t>Discussion and</w:t>
      </w:r>
    </w:p>
    <w:p>
      <w:pPr>
        <w:spacing w:after="0"/>
        <w:rPr>
          <w:sz w:val="20"/>
          <w:szCs w:val="20"/>
          <w:color w:val="auto"/>
        </w:rPr>
      </w:pPr>
      <w:r>
        <w:rPr>
          <w:rFonts w:ascii="Arial" w:cs="Arial" w:eastAsia="Arial" w:hAnsi="Arial"/>
          <w:sz w:val="12"/>
          <w:szCs w:val="12"/>
          <w:color w:val="FFFFFF"/>
        </w:rPr>
        <w:t>Analysis</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Report of the</w:t>
      </w:r>
    </w:p>
    <w:p>
      <w:pPr>
        <w:spacing w:after="0" w:line="224" w:lineRule="auto"/>
        <w:rPr>
          <w:sz w:val="20"/>
          <w:szCs w:val="20"/>
          <w:color w:val="auto"/>
        </w:rPr>
      </w:pPr>
      <w:r>
        <w:rPr>
          <w:rFonts w:ascii="Arial" w:cs="Arial" w:eastAsia="Arial" w:hAnsi="Arial"/>
          <w:sz w:val="12"/>
          <w:szCs w:val="12"/>
          <w:color w:val="FFFFFF"/>
        </w:rPr>
        <w:t>Compensation</w:t>
      </w:r>
    </w:p>
    <w:p>
      <w:pPr>
        <w:spacing w:after="0" w:line="222" w:lineRule="auto"/>
        <w:rPr>
          <w:sz w:val="20"/>
          <w:szCs w:val="20"/>
          <w:color w:val="auto"/>
        </w:rPr>
      </w:pPr>
      <w:r>
        <w:rPr>
          <w:rFonts w:ascii="Arial" w:cs="Arial" w:eastAsia="Arial" w:hAnsi="Arial"/>
          <w:sz w:val="12"/>
          <w:szCs w:val="12"/>
          <w:color w:val="FFFFFF"/>
        </w:rPr>
        <w:t>and Human</w:t>
      </w:r>
    </w:p>
    <w:p>
      <w:pPr>
        <w:spacing w:after="0" w:line="222" w:lineRule="auto"/>
        <w:rPr>
          <w:sz w:val="20"/>
          <w:szCs w:val="20"/>
          <w:color w:val="auto"/>
        </w:rPr>
      </w:pPr>
      <w:r>
        <w:rPr>
          <w:rFonts w:ascii="Arial" w:cs="Arial" w:eastAsia="Arial" w:hAnsi="Arial"/>
          <w:sz w:val="12"/>
          <w:szCs w:val="12"/>
          <w:color w:val="FFFFFF"/>
        </w:rPr>
        <w:t>Resources</w:t>
      </w:r>
    </w:p>
    <w:p>
      <w:pPr>
        <w:spacing w:after="0" w:line="222" w:lineRule="auto"/>
        <w:rPr>
          <w:sz w:val="20"/>
          <w:szCs w:val="20"/>
          <w:color w:val="auto"/>
        </w:rPr>
      </w:pPr>
      <w:r>
        <w:rPr>
          <w:rFonts w:ascii="Arial" w:cs="Arial" w:eastAsia="Arial" w:hAnsi="Arial"/>
          <w:sz w:val="12"/>
          <w:szCs w:val="12"/>
          <w:color w:val="FFFFFF"/>
        </w:rPr>
        <w:t>Committee of the</w:t>
      </w:r>
    </w:p>
    <w:p>
      <w:pPr>
        <w:spacing w:after="0"/>
        <w:rPr>
          <w:sz w:val="20"/>
          <w:szCs w:val="20"/>
          <w:color w:val="auto"/>
        </w:rPr>
      </w:pPr>
      <w:r>
        <w:rPr>
          <w:rFonts w:ascii="Arial" w:cs="Arial" w:eastAsia="Arial" w:hAnsi="Arial"/>
          <w:sz w:val="12"/>
          <w:szCs w:val="12"/>
          <w:color w:val="FFFFFF"/>
        </w:rPr>
        <w:t>Board of Directors</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Compensation of</w:t>
      </w:r>
    </w:p>
    <w:p>
      <w:pPr>
        <w:spacing w:after="0" w:line="224" w:lineRule="auto"/>
        <w:rPr>
          <w:sz w:val="20"/>
          <w:szCs w:val="20"/>
          <w:color w:val="auto"/>
        </w:rPr>
      </w:pPr>
      <w:r>
        <w:rPr>
          <w:rFonts w:ascii="Arial" w:cs="Arial" w:eastAsia="Arial" w:hAnsi="Arial"/>
          <w:sz w:val="12"/>
          <w:szCs w:val="12"/>
          <w:color w:val="FFFFFF"/>
        </w:rPr>
        <w:t>Named Executive</w:t>
      </w:r>
    </w:p>
    <w:p>
      <w:pPr>
        <w:spacing w:after="0"/>
        <w:rPr>
          <w:sz w:val="20"/>
          <w:szCs w:val="20"/>
          <w:color w:val="auto"/>
        </w:rPr>
      </w:pPr>
      <w:r>
        <w:rPr>
          <w:rFonts w:ascii="Arial" w:cs="Arial" w:eastAsia="Arial" w:hAnsi="Arial"/>
          <w:sz w:val="12"/>
          <w:szCs w:val="12"/>
          <w:color w:val="FFFFFF"/>
        </w:rPr>
        <w:t>Officers</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Pay Versus</w:t>
      </w:r>
    </w:p>
    <w:p>
      <w:pPr>
        <w:spacing w:after="0" w:line="224" w:lineRule="auto"/>
        <w:rPr>
          <w:sz w:val="20"/>
          <w:szCs w:val="20"/>
          <w:color w:val="auto"/>
        </w:rPr>
      </w:pPr>
      <w:r>
        <w:rPr>
          <w:rFonts w:ascii="Arial" w:cs="Arial" w:eastAsia="Arial" w:hAnsi="Arial"/>
          <w:sz w:val="12"/>
          <w:szCs w:val="12"/>
          <w:color w:val="FFFFFF"/>
        </w:rPr>
        <w:t>Performance</w:t>
      </w:r>
    </w:p>
    <w:p>
      <w:pPr>
        <w:spacing w:after="0"/>
        <w:rPr>
          <w:sz w:val="20"/>
          <w:szCs w:val="20"/>
          <w:color w:val="auto"/>
        </w:rPr>
      </w:pPr>
      <w:r>
        <w:rPr>
          <w:rFonts w:ascii="Arial" w:cs="Arial" w:eastAsia="Arial" w:hAnsi="Arial"/>
          <w:sz w:val="12"/>
          <w:szCs w:val="12"/>
          <w:color w:val="FFFFFF"/>
        </w:rPr>
        <w:t>Disclosure</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Security</w:t>
      </w:r>
    </w:p>
    <w:p>
      <w:pPr>
        <w:spacing w:after="0" w:line="224" w:lineRule="auto"/>
        <w:rPr>
          <w:sz w:val="20"/>
          <w:szCs w:val="20"/>
          <w:color w:val="auto"/>
        </w:rPr>
      </w:pPr>
      <w:r>
        <w:rPr>
          <w:rFonts w:ascii="Arial" w:cs="Arial" w:eastAsia="Arial" w:hAnsi="Arial"/>
          <w:sz w:val="12"/>
          <w:szCs w:val="12"/>
          <w:color w:val="FFFFFF"/>
        </w:rPr>
        <w:t>Ownership of</w:t>
      </w:r>
    </w:p>
    <w:p>
      <w:pPr>
        <w:spacing w:after="0" w:line="222" w:lineRule="auto"/>
        <w:rPr>
          <w:sz w:val="20"/>
          <w:szCs w:val="20"/>
          <w:color w:val="auto"/>
        </w:rPr>
      </w:pPr>
      <w:r>
        <w:rPr>
          <w:rFonts w:ascii="Arial" w:cs="Arial" w:eastAsia="Arial" w:hAnsi="Arial"/>
          <w:sz w:val="12"/>
          <w:szCs w:val="12"/>
          <w:color w:val="FFFFFF"/>
        </w:rPr>
        <w:t>Certain Beneficial</w:t>
      </w:r>
    </w:p>
    <w:p>
      <w:pPr>
        <w:spacing w:after="0" w:line="222" w:lineRule="auto"/>
        <w:rPr>
          <w:sz w:val="20"/>
          <w:szCs w:val="20"/>
          <w:color w:val="auto"/>
        </w:rPr>
      </w:pPr>
      <w:r>
        <w:rPr>
          <w:rFonts w:ascii="Arial" w:cs="Arial" w:eastAsia="Arial" w:hAnsi="Arial"/>
          <w:sz w:val="12"/>
          <w:szCs w:val="12"/>
          <w:color w:val="FFFFFF"/>
        </w:rPr>
        <w:t>Owners and</w:t>
      </w:r>
    </w:p>
    <w:p>
      <w:pPr>
        <w:spacing w:after="0"/>
        <w:rPr>
          <w:sz w:val="20"/>
          <w:szCs w:val="20"/>
          <w:color w:val="auto"/>
        </w:rPr>
      </w:pPr>
      <w:r>
        <w:rPr>
          <w:rFonts w:ascii="Arial" w:cs="Arial" w:eastAsia="Arial" w:hAnsi="Arial"/>
          <w:sz w:val="12"/>
          <w:szCs w:val="12"/>
          <w:color w:val="FFFFFF"/>
        </w:rPr>
        <w:t>Management</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Certain</w:t>
      </w:r>
    </w:p>
    <w:p>
      <w:pPr>
        <w:spacing w:after="0" w:line="224" w:lineRule="auto"/>
        <w:rPr>
          <w:sz w:val="20"/>
          <w:szCs w:val="20"/>
          <w:color w:val="auto"/>
        </w:rPr>
      </w:pPr>
      <w:r>
        <w:rPr>
          <w:rFonts w:ascii="Arial" w:cs="Arial" w:eastAsia="Arial" w:hAnsi="Arial"/>
          <w:sz w:val="12"/>
          <w:szCs w:val="12"/>
          <w:color w:val="FFFFFF"/>
        </w:rPr>
        <w:t>Relationships and</w:t>
      </w:r>
    </w:p>
    <w:p>
      <w:pPr>
        <w:spacing w:after="0" w:line="222" w:lineRule="auto"/>
        <w:rPr>
          <w:sz w:val="20"/>
          <w:szCs w:val="20"/>
          <w:color w:val="auto"/>
        </w:rPr>
      </w:pPr>
      <w:r>
        <w:rPr>
          <w:rFonts w:ascii="Arial" w:cs="Arial" w:eastAsia="Arial" w:hAnsi="Arial"/>
          <w:sz w:val="12"/>
          <w:szCs w:val="12"/>
          <w:color w:val="FFFFFF"/>
        </w:rPr>
        <w:t>Related Party</w:t>
      </w:r>
    </w:p>
    <w:p>
      <w:pPr>
        <w:spacing w:after="0"/>
        <w:rPr>
          <w:sz w:val="20"/>
          <w:szCs w:val="20"/>
          <w:color w:val="auto"/>
        </w:rPr>
      </w:pPr>
      <w:r>
        <w:rPr>
          <w:rFonts w:ascii="Arial" w:cs="Arial" w:eastAsia="Arial" w:hAnsi="Arial"/>
          <w:sz w:val="12"/>
          <w:szCs w:val="12"/>
          <w:color w:val="FFFFFF"/>
        </w:rPr>
        <w:t>Transactions</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Proposal 2</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FFFFFF"/>
        </w:rPr>
        <w:t>Report of the</w:t>
      </w:r>
    </w:p>
    <w:p>
      <w:pPr>
        <w:spacing w:after="0" w:line="224" w:lineRule="auto"/>
        <w:rPr>
          <w:sz w:val="20"/>
          <w:szCs w:val="20"/>
          <w:color w:val="auto"/>
        </w:rPr>
      </w:pPr>
      <w:r>
        <w:rPr>
          <w:rFonts w:ascii="Arial" w:cs="Arial" w:eastAsia="Arial" w:hAnsi="Arial"/>
          <w:sz w:val="12"/>
          <w:szCs w:val="12"/>
          <w:color w:val="FFFFFF"/>
        </w:rPr>
        <w:t>Audit and Risk</w:t>
      </w:r>
    </w:p>
    <w:p>
      <w:pPr>
        <w:spacing w:after="0" w:line="222" w:lineRule="auto"/>
        <w:rPr>
          <w:sz w:val="20"/>
          <w:szCs w:val="20"/>
          <w:color w:val="auto"/>
        </w:rPr>
      </w:pPr>
      <w:r>
        <w:rPr>
          <w:rFonts w:ascii="Arial" w:cs="Arial" w:eastAsia="Arial" w:hAnsi="Arial"/>
          <w:sz w:val="12"/>
          <w:szCs w:val="12"/>
          <w:color w:val="FFFFFF"/>
        </w:rPr>
        <w:t>Committee of the</w:t>
      </w:r>
    </w:p>
    <w:p>
      <w:pPr>
        <w:spacing w:after="0"/>
        <w:rPr>
          <w:sz w:val="20"/>
          <w:szCs w:val="20"/>
          <w:color w:val="auto"/>
        </w:rPr>
      </w:pPr>
      <w:r>
        <w:rPr>
          <w:rFonts w:ascii="Arial" w:cs="Arial" w:eastAsia="Arial" w:hAnsi="Arial"/>
          <w:sz w:val="12"/>
          <w:szCs w:val="12"/>
          <w:color w:val="FFFFFF"/>
        </w:rPr>
        <w:t>Board of Directors</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Proposal 3</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FFFFFF"/>
        </w:rPr>
        <w:t>Proposal 4</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FFFFFF"/>
        </w:rPr>
        <w:t>Proposal 5</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FFFFFF"/>
        </w:rPr>
        <w:t>Proposal 6</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FFFFFF"/>
        </w:rPr>
        <w:t>Stockholder</w:t>
      </w:r>
    </w:p>
    <w:p>
      <w:pPr>
        <w:spacing w:after="0" w:line="224" w:lineRule="auto"/>
        <w:rPr>
          <w:sz w:val="20"/>
          <w:szCs w:val="20"/>
          <w:color w:val="auto"/>
        </w:rPr>
      </w:pPr>
      <w:r>
        <w:rPr>
          <w:rFonts w:ascii="Arial" w:cs="Arial" w:eastAsia="Arial" w:hAnsi="Arial"/>
          <w:sz w:val="12"/>
          <w:szCs w:val="12"/>
          <w:color w:val="FFFFFF"/>
        </w:rPr>
        <w:t>Proposals and</w:t>
      </w:r>
    </w:p>
    <w:p>
      <w:pPr>
        <w:spacing w:after="0"/>
        <w:rPr>
          <w:sz w:val="20"/>
          <w:szCs w:val="20"/>
          <w:color w:val="auto"/>
        </w:rPr>
      </w:pPr>
      <w:r>
        <w:rPr>
          <w:rFonts w:ascii="Arial" w:cs="Arial" w:eastAsia="Arial" w:hAnsi="Arial"/>
          <w:sz w:val="12"/>
          <w:szCs w:val="12"/>
          <w:color w:val="FFFFFF"/>
        </w:rPr>
        <w:t>Other Matters</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Delinquent</w:t>
      </w:r>
    </w:p>
    <w:p>
      <w:pPr>
        <w:spacing w:after="0" w:line="224" w:lineRule="auto"/>
        <w:rPr>
          <w:sz w:val="20"/>
          <w:szCs w:val="20"/>
          <w:color w:val="auto"/>
        </w:rPr>
      </w:pPr>
      <w:r>
        <w:rPr>
          <w:rFonts w:ascii="Arial" w:cs="Arial" w:eastAsia="Arial" w:hAnsi="Arial"/>
          <w:sz w:val="12"/>
          <w:szCs w:val="12"/>
          <w:color w:val="FFFFFF"/>
        </w:rPr>
        <w:t>Section 16(a)</w:t>
      </w:r>
    </w:p>
    <w:p>
      <w:pPr>
        <w:spacing w:after="0"/>
        <w:rPr>
          <w:sz w:val="20"/>
          <w:szCs w:val="20"/>
          <w:color w:val="auto"/>
        </w:rPr>
      </w:pPr>
      <w:r>
        <w:rPr>
          <w:rFonts w:ascii="Arial" w:cs="Arial" w:eastAsia="Arial" w:hAnsi="Arial"/>
          <w:sz w:val="12"/>
          <w:szCs w:val="12"/>
          <w:color w:val="FFFFFF"/>
        </w:rPr>
        <w:t>Reports</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Other</w:t>
      </w:r>
    </w:p>
    <w:p>
      <w:pPr>
        <w:spacing w:after="0" w:line="2" w:lineRule="exact"/>
        <w:rPr>
          <w:sz w:val="20"/>
          <w:szCs w:val="20"/>
          <w:color w:val="auto"/>
        </w:rPr>
      </w:pPr>
    </w:p>
    <w:p>
      <w:pPr>
        <w:spacing w:after="0"/>
        <w:rPr>
          <w:sz w:val="20"/>
          <w:szCs w:val="20"/>
          <w:color w:val="auto"/>
        </w:rPr>
      </w:pPr>
      <w:r>
        <w:rPr>
          <w:rFonts w:ascii="Arial" w:cs="Arial" w:eastAsia="Arial" w:hAnsi="Arial"/>
          <w:sz w:val="12"/>
          <w:szCs w:val="12"/>
          <w:color w:val="FFFFFF"/>
        </w:rPr>
        <w:t>Information</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Appendix A</w:t>
      </w:r>
    </w:p>
    <w:p>
      <w:pPr>
        <w:spacing w:after="0" w:line="153" w:lineRule="exact"/>
        <w:rPr>
          <w:sz w:val="20"/>
          <w:szCs w:val="20"/>
          <w:color w:val="auto"/>
        </w:rPr>
      </w:pPr>
    </w:p>
    <w:p>
      <w:pPr>
        <w:sectPr>
          <w:pgSz w:w="11900" w:h="16838" w:orient="portrait"/>
          <w:cols w:equalWidth="0" w:num="2">
            <w:col w:w="8500" w:space="720"/>
            <w:col w:w="1580"/>
          </w:cols>
          <w:pgMar w:left="320" w:top="464" w:right="779" w:bottom="1440" w:gutter="0" w:footer="0" w:header="0"/>
          <w:type w:val="continuous"/>
        </w:sectPr>
      </w:pPr>
    </w:p>
    <w:p>
      <w:pPr>
        <w:ind w:left="9080"/>
        <w:spacing w:after="0"/>
        <w:rPr>
          <w:sz w:val="20"/>
          <w:szCs w:val="20"/>
          <w:color w:val="auto"/>
        </w:rPr>
      </w:pPr>
      <w:r>
        <w:rPr>
          <w:sz w:val="1"/>
          <w:szCs w:val="1"/>
          <w:color w:val="auto"/>
        </w:rPr>
        <w:drawing>
          <wp:inline distT="0" distB="0" distL="0" distR="0">
            <wp:extent cx="56515" cy="88900"/>
            <wp:effectExtent l="0" t="0" r="0" b="0"/>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56515" cy="88900"/>
                    </a:xfrm>
                    <a:prstGeom prst="rect">
                      <a:avLst/>
                    </a:prstGeom>
                    <a:noFill/>
                    <a:ln>
                      <a:noFill/>
                    </a:ln>
                  </pic:spPr>
                </pic:pic>
              </a:graphicData>
            </a:graphic>
          </wp:inline>
        </w:drawing>
      </w:r>
      <w:r>
        <w:rPr>
          <w:rFonts w:ascii="Arial" w:cs="Arial" w:eastAsia="Arial" w:hAnsi="Arial"/>
          <w:sz w:val="12"/>
          <w:szCs w:val="12"/>
          <w:b w:val="1"/>
          <w:bCs w:val="1"/>
          <w:color w:val="FFFFFF"/>
        </w:rPr>
        <w:t xml:space="preserve"> Appendix 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300"/>
        <w:spacing w:after="0"/>
        <w:tabs>
          <w:tab w:leader="none" w:pos="8500" w:val="left"/>
          <w:tab w:leader="none" w:pos="9960" w:val="left"/>
        </w:tabs>
        <w:rPr>
          <w:sz w:val="20"/>
          <w:szCs w:val="20"/>
          <w:color w:val="auto"/>
        </w:rPr>
      </w:pPr>
      <w:r>
        <w:rPr>
          <w:rFonts w:ascii="Arial" w:cs="Arial" w:eastAsia="Arial" w:hAnsi="Arial"/>
          <w:sz w:val="15"/>
          <w:szCs w:val="15"/>
          <w:b w:val="1"/>
          <w:bCs w:val="1"/>
          <w:color w:val="002B5F"/>
        </w:rPr>
        <w:t xml:space="preserve">2026 Proxy Statement  </w:t>
      </w:r>
      <w:r>
        <w:rPr>
          <w:rFonts w:ascii="Arial" w:cs="Arial" w:eastAsia="Arial" w:hAnsi="Arial"/>
          <w:sz w:val="20"/>
          <w:szCs w:val="20"/>
          <w:color w:val="002B5F"/>
        </w:rPr>
        <w:t>|</w:t>
      </w:r>
      <w:r>
        <w:rPr>
          <w:rFonts w:ascii="Arial" w:cs="Arial" w:eastAsia="Arial" w:hAnsi="Arial"/>
          <w:sz w:val="15"/>
          <w:szCs w:val="15"/>
          <w:b w:val="1"/>
          <w:bCs w:val="1"/>
          <w:color w:val="002B5F"/>
        </w:rPr>
        <w:t xml:space="preserve">  101</w:t>
      </w:r>
      <w:r>
        <w:rPr>
          <w:sz w:val="20"/>
          <w:szCs w:val="20"/>
          <w:color w:val="auto"/>
        </w:rPr>
        <w:tab/>
      </w:r>
      <w:r>
        <w:rPr>
          <w:rFonts w:ascii="Arial" w:cs="Arial" w:eastAsia="Arial" w:hAnsi="Arial"/>
          <w:sz w:val="17"/>
          <w:szCs w:val="17"/>
          <w:color w:val="auto"/>
        </w:rPr>
        <w:t xml:space="preserve">    </w:t>
      </w:r>
      <w:r>
        <w:rPr>
          <w:sz w:val="20"/>
          <w:szCs w:val="20"/>
          <w:color w:val="auto"/>
        </w:rPr>
        <w:tab/>
      </w:r>
      <w:r>
        <w:rPr>
          <w:rFonts w:ascii="Arial" w:cs="Arial" w:eastAsia="Arial" w:hAnsi="Arial"/>
          <w:sz w:val="17"/>
          <w:szCs w:val="17"/>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268605</wp:posOffset>
            </wp:positionH>
            <wp:positionV relativeFrom="paragraph">
              <wp:posOffset>-128905</wp:posOffset>
            </wp:positionV>
            <wp:extent cx="762000" cy="9715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62000" cy="97155"/>
                    </a:xfrm>
                    <a:prstGeom prst="rect">
                      <a:avLst/>
                    </a:prstGeom>
                    <a:noFill/>
                  </pic:spPr>
                </pic:pic>
              </a:graphicData>
            </a:graphic>
          </wp:anchor>
        </w:drawing>
      </w:r>
    </w:p>
    <w:p>
      <w:pPr>
        <w:sectPr>
          <w:pgSz w:w="11900" w:h="16838" w:orient="portrait"/>
          <w:cols w:equalWidth="0" w:num="1">
            <w:col w:w="10800"/>
          </w:cols>
          <w:pgMar w:left="320" w:top="464" w:right="779" w:bottom="1440" w:gutter="0" w:footer="0" w:header="0"/>
          <w:type w:val="continuous"/>
        </w:sectPr>
      </w:pPr>
    </w:p>
    <w:bookmarkStart w:id="109" w:name="page110"/>
    <w:bookmarkEnd w:id="109"/>
    <w:p>
      <w:pPr>
        <w:spacing w:after="0"/>
        <w:rPr>
          <w:sz w:val="20"/>
          <w:szCs w:val="20"/>
          <w:color w:val="auto"/>
        </w:rPr>
      </w:pPr>
      <w:r>
        <w:rPr>
          <w:rFonts w:ascii="Times New Roman" w:cs="Times New Roman" w:eastAsia="Times New Roman" w:hAnsi="Times New Roman"/>
          <w:sz w:val="17"/>
          <w:szCs w:val="17"/>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268605</wp:posOffset>
            </wp:positionH>
            <wp:positionV relativeFrom="paragraph">
              <wp:posOffset>253365</wp:posOffset>
            </wp:positionV>
            <wp:extent cx="1183005" cy="745617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1183005" cy="7456170"/>
                    </a:xfrm>
                    <a:prstGeom prst="rect">
                      <a:avLst/>
                    </a:prstGeom>
                    <a:noFill/>
                  </pic:spPr>
                </pic:pic>
              </a:graphicData>
            </a:graphic>
          </wp:anchor>
        </w:drawing>
      </w:r>
    </w:p>
    <w:p>
      <w:pPr>
        <w:spacing w:after="0" w:line="200" w:lineRule="exact"/>
        <w:rPr>
          <w:sz w:val="20"/>
          <w:szCs w:val="20"/>
          <w:color w:val="auto"/>
        </w:rPr>
      </w:pPr>
    </w:p>
    <w:p>
      <w:pPr>
        <w:spacing w:after="0" w:line="304" w:lineRule="exact"/>
        <w:rPr>
          <w:sz w:val="20"/>
          <w:szCs w:val="20"/>
          <w:color w:val="auto"/>
        </w:rPr>
      </w:pPr>
    </w:p>
    <w:p>
      <w:pPr>
        <w:ind w:left="1120" w:right="460" w:hanging="672"/>
        <w:spacing w:after="0" w:line="382" w:lineRule="auto"/>
        <w:tabs>
          <w:tab w:leader="none" w:pos="610" w:val="left"/>
        </w:tabs>
        <w:numPr>
          <w:ilvl w:val="0"/>
          <w:numId w:val="145"/>
        </w:numPr>
        <w:rPr>
          <w:rFonts w:ascii="Arial" w:cs="Arial" w:eastAsia="Arial" w:hAnsi="Arial"/>
          <w:sz w:val="24"/>
          <w:szCs w:val="24"/>
          <w:color w:val="auto"/>
          <w:vertAlign w:val="subscript"/>
        </w:rPr>
      </w:pPr>
      <w:r>
        <w:rPr>
          <w:rFonts w:ascii="Arial" w:cs="Arial" w:eastAsia="Arial" w:hAnsi="Arial"/>
          <w:sz w:val="24"/>
          <w:szCs w:val="24"/>
          <w:color w:val="000000"/>
          <w:vertAlign w:val="subscript"/>
        </w:rPr>
        <w:t xml:space="preserve">     </w:t>
      </w:r>
      <w:r>
        <w:rPr>
          <w:rFonts w:ascii="Arial" w:cs="Arial" w:eastAsia="Arial" w:hAnsi="Arial"/>
          <w:sz w:val="10"/>
          <w:szCs w:val="10"/>
          <w:color w:val="FFFFFF"/>
        </w:rPr>
        <w:t xml:space="preserve"> General Information</w:t>
      </w:r>
    </w:p>
    <w:p>
      <w:pPr>
        <w:spacing w:after="0" w:line="1" w:lineRule="exact"/>
        <w:rPr>
          <w:sz w:val="20"/>
          <w:szCs w:val="20"/>
          <w:color w:val="auto"/>
        </w:rPr>
      </w:pPr>
    </w:p>
    <w:p>
      <w:pPr>
        <w:ind w:left="1120"/>
        <w:spacing w:after="0"/>
        <w:rPr>
          <w:sz w:val="20"/>
          <w:szCs w:val="20"/>
          <w:color w:val="auto"/>
        </w:rPr>
      </w:pPr>
      <w:r>
        <w:rPr>
          <w:rFonts w:ascii="Arial" w:cs="Arial" w:eastAsia="Arial" w:hAnsi="Arial"/>
          <w:sz w:val="11"/>
          <w:szCs w:val="11"/>
          <w:color w:val="FFFFFF"/>
        </w:rPr>
        <w:t>General Information</w:t>
      </w:r>
    </w:p>
    <w:p>
      <w:pPr>
        <w:spacing w:after="0" w:line="3"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About Corporate</w:t>
      </w:r>
    </w:p>
    <w:p>
      <w:pPr>
        <w:ind w:left="1120"/>
        <w:spacing w:after="0" w:line="221" w:lineRule="auto"/>
        <w:rPr>
          <w:sz w:val="20"/>
          <w:szCs w:val="20"/>
          <w:color w:val="auto"/>
        </w:rPr>
      </w:pPr>
      <w:r>
        <w:rPr>
          <w:rFonts w:ascii="Arial" w:cs="Arial" w:eastAsia="Arial" w:hAnsi="Arial"/>
          <w:sz w:val="12"/>
          <w:szCs w:val="12"/>
          <w:color w:val="FFFFFF"/>
        </w:rPr>
        <w:t>Governance</w:t>
      </w:r>
    </w:p>
    <w:p>
      <w:pPr>
        <w:ind w:left="1120"/>
        <w:spacing w:after="0" w:line="222" w:lineRule="auto"/>
        <w:rPr>
          <w:sz w:val="20"/>
          <w:szCs w:val="20"/>
          <w:color w:val="auto"/>
        </w:rPr>
      </w:pPr>
      <w:r>
        <w:rPr>
          <w:rFonts w:ascii="Arial" w:cs="Arial" w:eastAsia="Arial" w:hAnsi="Arial"/>
          <w:sz w:val="12"/>
          <w:szCs w:val="12"/>
          <w:color w:val="FFFFFF"/>
        </w:rPr>
        <w:t>and the Board of</w:t>
      </w:r>
    </w:p>
    <w:p>
      <w:pPr>
        <w:spacing w:after="0" w:line="1"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Directors</w:t>
      </w:r>
    </w:p>
    <w:p>
      <w:pPr>
        <w:spacing w:after="0" w:line="144" w:lineRule="exact"/>
        <w:rPr>
          <w:sz w:val="20"/>
          <w:szCs w:val="20"/>
          <w:color w:val="auto"/>
        </w:rPr>
      </w:pPr>
    </w:p>
    <w:p>
      <w:pPr>
        <w:jc w:val="center"/>
        <w:ind w:left="620"/>
        <w:spacing w:after="0"/>
        <w:rPr>
          <w:sz w:val="20"/>
          <w:szCs w:val="20"/>
          <w:color w:val="auto"/>
        </w:rPr>
      </w:pPr>
      <w:r>
        <w:rPr>
          <w:rFonts w:ascii="Arial" w:cs="Arial" w:eastAsia="Arial" w:hAnsi="Arial"/>
          <w:sz w:val="12"/>
          <w:szCs w:val="12"/>
          <w:color w:val="FFFFFF"/>
        </w:rPr>
        <w:t>Proposal 1</w:t>
      </w:r>
    </w:p>
    <w:p>
      <w:pPr>
        <w:spacing w:after="0" w:line="156"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Information</w:t>
      </w:r>
    </w:p>
    <w:p>
      <w:pPr>
        <w:ind w:left="1120"/>
        <w:spacing w:after="0" w:line="224" w:lineRule="auto"/>
        <w:rPr>
          <w:sz w:val="20"/>
          <w:szCs w:val="20"/>
          <w:color w:val="auto"/>
        </w:rPr>
      </w:pPr>
      <w:r>
        <w:rPr>
          <w:rFonts w:ascii="Arial" w:cs="Arial" w:eastAsia="Arial" w:hAnsi="Arial"/>
          <w:sz w:val="12"/>
          <w:szCs w:val="12"/>
          <w:color w:val="FFFFFF"/>
        </w:rPr>
        <w:t>Regarding Board</w:t>
      </w:r>
    </w:p>
    <w:p>
      <w:pPr>
        <w:ind w:left="1120"/>
        <w:spacing w:after="0" w:line="222" w:lineRule="auto"/>
        <w:rPr>
          <w:sz w:val="20"/>
          <w:szCs w:val="20"/>
          <w:color w:val="auto"/>
        </w:rPr>
      </w:pPr>
      <w:r>
        <w:rPr>
          <w:rFonts w:ascii="Arial" w:cs="Arial" w:eastAsia="Arial" w:hAnsi="Arial"/>
          <w:sz w:val="12"/>
          <w:szCs w:val="12"/>
          <w:color w:val="FFFFFF"/>
        </w:rPr>
        <w:t>and Committee</w:t>
      </w:r>
    </w:p>
    <w:p>
      <w:pPr>
        <w:ind w:left="1120"/>
        <w:spacing w:after="0"/>
        <w:rPr>
          <w:sz w:val="20"/>
          <w:szCs w:val="20"/>
          <w:color w:val="auto"/>
        </w:rPr>
      </w:pPr>
      <w:r>
        <w:rPr>
          <w:rFonts w:ascii="Arial" w:cs="Arial" w:eastAsia="Arial" w:hAnsi="Arial"/>
          <w:sz w:val="12"/>
          <w:szCs w:val="12"/>
          <w:color w:val="FFFFFF"/>
        </w:rPr>
        <w:t>Structure</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Board of Directors</w:t>
      </w:r>
    </w:p>
    <w:p>
      <w:pPr>
        <w:spacing w:after="0" w:line="2"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Compensation</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Compensation</w:t>
      </w:r>
    </w:p>
    <w:p>
      <w:pPr>
        <w:ind w:left="1120"/>
        <w:spacing w:after="0" w:line="224" w:lineRule="auto"/>
        <w:rPr>
          <w:sz w:val="20"/>
          <w:szCs w:val="20"/>
          <w:color w:val="auto"/>
        </w:rPr>
      </w:pPr>
      <w:r>
        <w:rPr>
          <w:rFonts w:ascii="Arial" w:cs="Arial" w:eastAsia="Arial" w:hAnsi="Arial"/>
          <w:sz w:val="12"/>
          <w:szCs w:val="12"/>
          <w:color w:val="FFFFFF"/>
        </w:rPr>
        <w:t>Discussion and</w:t>
      </w:r>
    </w:p>
    <w:p>
      <w:pPr>
        <w:ind w:left="1120"/>
        <w:spacing w:after="0"/>
        <w:rPr>
          <w:sz w:val="20"/>
          <w:szCs w:val="20"/>
          <w:color w:val="auto"/>
        </w:rPr>
      </w:pPr>
      <w:r>
        <w:rPr>
          <w:rFonts w:ascii="Arial" w:cs="Arial" w:eastAsia="Arial" w:hAnsi="Arial"/>
          <w:sz w:val="12"/>
          <w:szCs w:val="12"/>
          <w:color w:val="FFFFFF"/>
        </w:rPr>
        <w:t>Analysis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Report of the</w:t>
      </w:r>
    </w:p>
    <w:p>
      <w:pPr>
        <w:ind w:left="1120"/>
        <w:spacing w:after="0" w:line="224" w:lineRule="auto"/>
        <w:rPr>
          <w:sz w:val="20"/>
          <w:szCs w:val="20"/>
          <w:color w:val="auto"/>
        </w:rPr>
      </w:pPr>
      <w:r>
        <w:rPr>
          <w:rFonts w:ascii="Arial" w:cs="Arial" w:eastAsia="Arial" w:hAnsi="Arial"/>
          <w:sz w:val="12"/>
          <w:szCs w:val="12"/>
          <w:color w:val="FFFFFF"/>
        </w:rPr>
        <w:t>Compensation</w:t>
      </w:r>
    </w:p>
    <w:p>
      <w:pPr>
        <w:ind w:left="1120"/>
        <w:spacing w:after="0" w:line="222" w:lineRule="auto"/>
        <w:rPr>
          <w:sz w:val="20"/>
          <w:szCs w:val="20"/>
          <w:color w:val="auto"/>
        </w:rPr>
      </w:pPr>
      <w:r>
        <w:rPr>
          <w:rFonts w:ascii="Arial" w:cs="Arial" w:eastAsia="Arial" w:hAnsi="Arial"/>
          <w:sz w:val="12"/>
          <w:szCs w:val="12"/>
          <w:color w:val="FFFFFF"/>
        </w:rPr>
        <w:t>and Human</w:t>
      </w:r>
    </w:p>
    <w:p>
      <w:pPr>
        <w:ind w:left="1120"/>
        <w:spacing w:after="0" w:line="222" w:lineRule="auto"/>
        <w:rPr>
          <w:sz w:val="20"/>
          <w:szCs w:val="20"/>
          <w:color w:val="auto"/>
        </w:rPr>
      </w:pPr>
      <w:r>
        <w:rPr>
          <w:rFonts w:ascii="Arial" w:cs="Arial" w:eastAsia="Arial" w:hAnsi="Arial"/>
          <w:sz w:val="12"/>
          <w:szCs w:val="12"/>
          <w:color w:val="FFFFFF"/>
        </w:rPr>
        <w:t>Resources</w:t>
      </w:r>
    </w:p>
    <w:p>
      <w:pPr>
        <w:ind w:left="1120"/>
        <w:spacing w:after="0" w:line="222" w:lineRule="auto"/>
        <w:rPr>
          <w:sz w:val="20"/>
          <w:szCs w:val="20"/>
          <w:color w:val="auto"/>
        </w:rPr>
      </w:pPr>
      <w:r>
        <w:rPr>
          <w:rFonts w:ascii="Arial" w:cs="Arial" w:eastAsia="Arial" w:hAnsi="Arial"/>
          <w:sz w:val="12"/>
          <w:szCs w:val="12"/>
          <w:color w:val="FFFFFF"/>
        </w:rPr>
        <w:t>Committee of the</w:t>
      </w:r>
    </w:p>
    <w:p>
      <w:pPr>
        <w:ind w:left="1120"/>
        <w:spacing w:after="0"/>
        <w:rPr>
          <w:sz w:val="20"/>
          <w:szCs w:val="20"/>
          <w:color w:val="auto"/>
        </w:rPr>
      </w:pPr>
      <w:r>
        <w:rPr>
          <w:rFonts w:ascii="Arial" w:cs="Arial" w:eastAsia="Arial" w:hAnsi="Arial"/>
          <w:sz w:val="12"/>
          <w:szCs w:val="12"/>
          <w:color w:val="FFFFFF"/>
        </w:rPr>
        <w:t>Board of Directors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Compensation of</w:t>
      </w:r>
    </w:p>
    <w:p>
      <w:pPr>
        <w:ind w:left="1120"/>
        <w:spacing w:after="0" w:line="224" w:lineRule="auto"/>
        <w:rPr>
          <w:sz w:val="20"/>
          <w:szCs w:val="20"/>
          <w:color w:val="auto"/>
        </w:rPr>
      </w:pPr>
      <w:r>
        <w:rPr>
          <w:rFonts w:ascii="Arial" w:cs="Arial" w:eastAsia="Arial" w:hAnsi="Arial"/>
          <w:sz w:val="12"/>
          <w:szCs w:val="12"/>
          <w:color w:val="FFFFFF"/>
        </w:rPr>
        <w:t>Named Executive</w:t>
      </w:r>
    </w:p>
    <w:p>
      <w:pPr>
        <w:ind w:left="1120"/>
        <w:spacing w:after="0"/>
        <w:rPr>
          <w:sz w:val="20"/>
          <w:szCs w:val="20"/>
          <w:color w:val="auto"/>
        </w:rPr>
      </w:pPr>
      <w:r>
        <w:rPr>
          <w:rFonts w:ascii="Arial" w:cs="Arial" w:eastAsia="Arial" w:hAnsi="Arial"/>
          <w:sz w:val="12"/>
          <w:szCs w:val="12"/>
          <w:color w:val="FFFFFF"/>
        </w:rPr>
        <w:t>Officers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Pay Versus</w:t>
      </w:r>
    </w:p>
    <w:p>
      <w:pPr>
        <w:ind w:left="1120"/>
        <w:spacing w:after="0" w:line="224" w:lineRule="auto"/>
        <w:rPr>
          <w:sz w:val="20"/>
          <w:szCs w:val="20"/>
          <w:color w:val="auto"/>
        </w:rPr>
      </w:pPr>
      <w:r>
        <w:rPr>
          <w:rFonts w:ascii="Arial" w:cs="Arial" w:eastAsia="Arial" w:hAnsi="Arial"/>
          <w:sz w:val="12"/>
          <w:szCs w:val="12"/>
          <w:color w:val="FFFFFF"/>
        </w:rPr>
        <w:t>Performance</w:t>
      </w:r>
    </w:p>
    <w:p>
      <w:pPr>
        <w:ind w:left="1120"/>
        <w:spacing w:after="0"/>
        <w:rPr>
          <w:sz w:val="20"/>
          <w:szCs w:val="20"/>
          <w:color w:val="auto"/>
        </w:rPr>
      </w:pPr>
      <w:r>
        <w:rPr>
          <w:rFonts w:ascii="Arial" w:cs="Arial" w:eastAsia="Arial" w:hAnsi="Arial"/>
          <w:sz w:val="12"/>
          <w:szCs w:val="12"/>
          <w:color w:val="FFFFFF"/>
        </w:rPr>
        <w:t>Disclosure</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Security</w:t>
      </w:r>
    </w:p>
    <w:p>
      <w:pPr>
        <w:ind w:left="1120"/>
        <w:spacing w:after="0" w:line="224" w:lineRule="auto"/>
        <w:rPr>
          <w:sz w:val="20"/>
          <w:szCs w:val="20"/>
          <w:color w:val="auto"/>
        </w:rPr>
      </w:pPr>
      <w:r>
        <w:rPr>
          <w:rFonts w:ascii="Arial" w:cs="Arial" w:eastAsia="Arial" w:hAnsi="Arial"/>
          <w:sz w:val="12"/>
          <w:szCs w:val="12"/>
          <w:color w:val="FFFFFF"/>
        </w:rPr>
        <w:t>Ownership of</w:t>
      </w:r>
    </w:p>
    <w:p>
      <w:pPr>
        <w:ind w:left="1120"/>
        <w:spacing w:after="0" w:line="222" w:lineRule="auto"/>
        <w:rPr>
          <w:sz w:val="20"/>
          <w:szCs w:val="20"/>
          <w:color w:val="auto"/>
        </w:rPr>
      </w:pPr>
      <w:r>
        <w:rPr>
          <w:rFonts w:ascii="Arial" w:cs="Arial" w:eastAsia="Arial" w:hAnsi="Arial"/>
          <w:sz w:val="12"/>
          <w:szCs w:val="12"/>
          <w:color w:val="FFFFFF"/>
        </w:rPr>
        <w:t>Certain Beneficial</w:t>
      </w:r>
    </w:p>
    <w:p>
      <w:pPr>
        <w:ind w:left="1120"/>
        <w:spacing w:after="0" w:line="222" w:lineRule="auto"/>
        <w:rPr>
          <w:sz w:val="20"/>
          <w:szCs w:val="20"/>
          <w:color w:val="auto"/>
        </w:rPr>
      </w:pPr>
      <w:r>
        <w:rPr>
          <w:rFonts w:ascii="Arial" w:cs="Arial" w:eastAsia="Arial" w:hAnsi="Arial"/>
          <w:sz w:val="12"/>
          <w:szCs w:val="12"/>
          <w:color w:val="FFFFFF"/>
        </w:rPr>
        <w:t>Owners and</w:t>
      </w:r>
    </w:p>
    <w:p>
      <w:pPr>
        <w:ind w:left="1120"/>
        <w:spacing w:after="0"/>
        <w:rPr>
          <w:sz w:val="20"/>
          <w:szCs w:val="20"/>
          <w:color w:val="auto"/>
        </w:rPr>
      </w:pPr>
      <w:r>
        <w:rPr>
          <w:rFonts w:ascii="Arial" w:cs="Arial" w:eastAsia="Arial" w:hAnsi="Arial"/>
          <w:sz w:val="12"/>
          <w:szCs w:val="12"/>
          <w:color w:val="FFFFFF"/>
        </w:rPr>
        <w:t>Management</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Certain</w:t>
      </w:r>
    </w:p>
    <w:p>
      <w:pPr>
        <w:ind w:left="1120"/>
        <w:spacing w:after="0" w:line="224" w:lineRule="auto"/>
        <w:rPr>
          <w:sz w:val="20"/>
          <w:szCs w:val="20"/>
          <w:color w:val="auto"/>
        </w:rPr>
      </w:pPr>
      <w:r>
        <w:rPr>
          <w:rFonts w:ascii="Arial" w:cs="Arial" w:eastAsia="Arial" w:hAnsi="Arial"/>
          <w:sz w:val="12"/>
          <w:szCs w:val="12"/>
          <w:color w:val="FFFFFF"/>
        </w:rPr>
        <w:t>Relationships and</w:t>
      </w:r>
    </w:p>
    <w:p>
      <w:pPr>
        <w:ind w:left="1120"/>
        <w:spacing w:after="0" w:line="222" w:lineRule="auto"/>
        <w:rPr>
          <w:sz w:val="20"/>
          <w:szCs w:val="20"/>
          <w:color w:val="auto"/>
        </w:rPr>
      </w:pPr>
      <w:r>
        <w:rPr>
          <w:rFonts w:ascii="Arial" w:cs="Arial" w:eastAsia="Arial" w:hAnsi="Arial"/>
          <w:sz w:val="12"/>
          <w:szCs w:val="12"/>
          <w:color w:val="FFFFFF"/>
        </w:rPr>
        <w:t>Related Party</w:t>
      </w:r>
    </w:p>
    <w:p>
      <w:pPr>
        <w:ind w:left="1120"/>
        <w:spacing w:after="0"/>
        <w:rPr>
          <w:sz w:val="20"/>
          <w:szCs w:val="20"/>
          <w:color w:val="auto"/>
        </w:rPr>
      </w:pPr>
      <w:r>
        <w:rPr>
          <w:rFonts w:ascii="Arial" w:cs="Arial" w:eastAsia="Arial" w:hAnsi="Arial"/>
          <w:sz w:val="12"/>
          <w:szCs w:val="12"/>
          <w:color w:val="FFFFFF"/>
        </w:rPr>
        <w:t>Transactions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Proposal 2</w:t>
      </w:r>
    </w:p>
    <w:p>
      <w:pPr>
        <w:spacing w:after="0" w:line="156"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Report of the</w:t>
      </w:r>
    </w:p>
    <w:p>
      <w:pPr>
        <w:ind w:left="1120"/>
        <w:spacing w:after="0" w:line="224" w:lineRule="auto"/>
        <w:rPr>
          <w:sz w:val="20"/>
          <w:szCs w:val="20"/>
          <w:color w:val="auto"/>
        </w:rPr>
      </w:pPr>
      <w:r>
        <w:rPr>
          <w:rFonts w:ascii="Arial" w:cs="Arial" w:eastAsia="Arial" w:hAnsi="Arial"/>
          <w:sz w:val="12"/>
          <w:szCs w:val="12"/>
          <w:color w:val="FFFFFF"/>
        </w:rPr>
        <w:t>Audit and Risk</w:t>
      </w:r>
    </w:p>
    <w:p>
      <w:pPr>
        <w:ind w:left="1120"/>
        <w:spacing w:after="0" w:line="222" w:lineRule="auto"/>
        <w:rPr>
          <w:sz w:val="20"/>
          <w:szCs w:val="20"/>
          <w:color w:val="auto"/>
        </w:rPr>
      </w:pPr>
      <w:r>
        <w:rPr>
          <w:rFonts w:ascii="Arial" w:cs="Arial" w:eastAsia="Arial" w:hAnsi="Arial"/>
          <w:sz w:val="12"/>
          <w:szCs w:val="12"/>
          <w:color w:val="FFFFFF"/>
        </w:rPr>
        <w:t>Committee of the</w:t>
      </w:r>
    </w:p>
    <w:p>
      <w:pPr>
        <w:ind w:left="1120"/>
        <w:spacing w:after="0"/>
        <w:rPr>
          <w:sz w:val="20"/>
          <w:szCs w:val="20"/>
          <w:color w:val="auto"/>
        </w:rPr>
      </w:pPr>
      <w:r>
        <w:rPr>
          <w:rFonts w:ascii="Arial" w:cs="Arial" w:eastAsia="Arial" w:hAnsi="Arial"/>
          <w:sz w:val="12"/>
          <w:szCs w:val="12"/>
          <w:color w:val="FFFFFF"/>
        </w:rPr>
        <w:t>Board of Directors</w:t>
      </w:r>
    </w:p>
    <w:p>
      <w:pPr>
        <w:spacing w:after="0" w:line="144" w:lineRule="exact"/>
        <w:rPr>
          <w:sz w:val="20"/>
          <w:szCs w:val="20"/>
          <w:color w:val="auto"/>
        </w:rPr>
      </w:pPr>
    </w:p>
    <w:p>
      <w:pPr>
        <w:jc w:val="center"/>
        <w:ind w:left="620"/>
        <w:spacing w:after="0"/>
        <w:rPr>
          <w:sz w:val="20"/>
          <w:szCs w:val="20"/>
          <w:color w:val="auto"/>
        </w:rPr>
      </w:pPr>
      <w:r>
        <w:rPr>
          <w:rFonts w:ascii="Arial" w:cs="Arial" w:eastAsia="Arial" w:hAnsi="Arial"/>
          <w:sz w:val="12"/>
          <w:szCs w:val="12"/>
          <w:color w:val="FFFFFF"/>
        </w:rPr>
        <w:t>Proposal 3</w:t>
      </w:r>
    </w:p>
    <w:p>
      <w:pPr>
        <w:spacing w:after="0" w:line="156" w:lineRule="exact"/>
        <w:rPr>
          <w:sz w:val="20"/>
          <w:szCs w:val="20"/>
          <w:color w:val="auto"/>
        </w:rPr>
      </w:pPr>
    </w:p>
    <w:p>
      <w:pPr>
        <w:jc w:val="center"/>
        <w:ind w:left="620"/>
        <w:spacing w:after="0"/>
        <w:rPr>
          <w:sz w:val="20"/>
          <w:szCs w:val="20"/>
          <w:color w:val="auto"/>
        </w:rPr>
      </w:pPr>
      <w:r>
        <w:rPr>
          <w:rFonts w:ascii="Arial" w:cs="Arial" w:eastAsia="Arial" w:hAnsi="Arial"/>
          <w:sz w:val="12"/>
          <w:szCs w:val="12"/>
          <w:color w:val="FFFFFF"/>
        </w:rPr>
        <w:t>Proposal 4</w:t>
      </w:r>
    </w:p>
    <w:p>
      <w:pPr>
        <w:spacing w:after="0" w:line="156" w:lineRule="exact"/>
        <w:rPr>
          <w:sz w:val="20"/>
          <w:szCs w:val="20"/>
          <w:color w:val="auto"/>
        </w:rPr>
      </w:pPr>
    </w:p>
    <w:p>
      <w:pPr>
        <w:jc w:val="center"/>
        <w:ind w:left="620"/>
        <w:spacing w:after="0"/>
        <w:rPr>
          <w:sz w:val="20"/>
          <w:szCs w:val="20"/>
          <w:color w:val="auto"/>
        </w:rPr>
      </w:pPr>
      <w:r>
        <w:rPr>
          <w:rFonts w:ascii="Arial" w:cs="Arial" w:eastAsia="Arial" w:hAnsi="Arial"/>
          <w:sz w:val="12"/>
          <w:szCs w:val="12"/>
          <w:color w:val="FFFFFF"/>
        </w:rPr>
        <w:t>Proposal 5</w:t>
      </w:r>
    </w:p>
    <w:p>
      <w:pPr>
        <w:spacing w:after="0" w:line="156"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Proposal 6</w:t>
      </w:r>
    </w:p>
    <w:p>
      <w:pPr>
        <w:spacing w:after="0" w:line="156"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Stockholder</w:t>
      </w:r>
    </w:p>
    <w:p>
      <w:pPr>
        <w:ind w:left="1120"/>
        <w:spacing w:after="0" w:line="224" w:lineRule="auto"/>
        <w:rPr>
          <w:sz w:val="20"/>
          <w:szCs w:val="20"/>
          <w:color w:val="auto"/>
        </w:rPr>
      </w:pPr>
      <w:r>
        <w:rPr>
          <w:rFonts w:ascii="Arial" w:cs="Arial" w:eastAsia="Arial" w:hAnsi="Arial"/>
          <w:sz w:val="12"/>
          <w:szCs w:val="12"/>
          <w:color w:val="FFFFFF"/>
        </w:rPr>
        <w:t>Proposals and</w:t>
      </w:r>
    </w:p>
    <w:p>
      <w:pPr>
        <w:ind w:left="1120"/>
        <w:spacing w:after="0"/>
        <w:rPr>
          <w:sz w:val="20"/>
          <w:szCs w:val="20"/>
          <w:color w:val="auto"/>
        </w:rPr>
      </w:pPr>
      <w:r>
        <w:rPr>
          <w:rFonts w:ascii="Arial" w:cs="Arial" w:eastAsia="Arial" w:hAnsi="Arial"/>
          <w:sz w:val="12"/>
          <w:szCs w:val="12"/>
          <w:color w:val="FFFFFF"/>
        </w:rPr>
        <w:t>Other Matters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Delinquent</w:t>
      </w:r>
    </w:p>
    <w:p>
      <w:pPr>
        <w:ind w:left="1120"/>
        <w:spacing w:after="0" w:line="224" w:lineRule="auto"/>
        <w:rPr>
          <w:sz w:val="20"/>
          <w:szCs w:val="20"/>
          <w:color w:val="auto"/>
        </w:rPr>
      </w:pPr>
      <w:r>
        <w:rPr>
          <w:rFonts w:ascii="Arial" w:cs="Arial" w:eastAsia="Arial" w:hAnsi="Arial"/>
          <w:sz w:val="12"/>
          <w:szCs w:val="12"/>
          <w:color w:val="FFFFFF"/>
        </w:rPr>
        <w:t>Section 16(a)</w:t>
      </w:r>
    </w:p>
    <w:p>
      <w:pPr>
        <w:ind w:left="1120"/>
        <w:spacing w:after="0"/>
        <w:rPr>
          <w:sz w:val="20"/>
          <w:szCs w:val="20"/>
          <w:color w:val="auto"/>
        </w:rPr>
      </w:pPr>
      <w:r>
        <w:rPr>
          <w:rFonts w:ascii="Arial" w:cs="Arial" w:eastAsia="Arial" w:hAnsi="Arial"/>
          <w:sz w:val="12"/>
          <w:szCs w:val="12"/>
          <w:color w:val="FFFFFF"/>
        </w:rPr>
        <w:t>Reports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Other</w:t>
      </w:r>
    </w:p>
    <w:p>
      <w:pPr>
        <w:spacing w:after="0" w:line="2"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Information</w:t>
      </w:r>
    </w:p>
    <w:p>
      <w:pPr>
        <w:spacing w:after="0" w:line="144" w:lineRule="exact"/>
        <w:rPr>
          <w:sz w:val="20"/>
          <w:szCs w:val="20"/>
          <w:color w:val="auto"/>
        </w:rPr>
      </w:pPr>
    </w:p>
    <w:p>
      <w:pPr>
        <w:jc w:val="center"/>
        <w:ind w:left="660"/>
        <w:spacing w:after="0"/>
        <w:rPr>
          <w:sz w:val="20"/>
          <w:szCs w:val="20"/>
          <w:color w:val="auto"/>
        </w:rPr>
      </w:pPr>
      <w:r>
        <w:rPr>
          <w:rFonts w:ascii="Arial" w:cs="Arial" w:eastAsia="Arial" w:hAnsi="Arial"/>
          <w:sz w:val="12"/>
          <w:szCs w:val="12"/>
          <w:color w:val="FFFFFF"/>
        </w:rPr>
        <w:t>Appendix A</w:t>
      </w:r>
    </w:p>
    <w:p>
      <w:pPr>
        <w:spacing w:after="0" w:line="153" w:lineRule="exact"/>
        <w:rPr>
          <w:sz w:val="20"/>
          <w:szCs w:val="20"/>
          <w:color w:val="auto"/>
        </w:rPr>
      </w:pPr>
    </w:p>
    <w:p>
      <w:pPr>
        <w:jc w:val="center"/>
        <w:ind w:left="600"/>
        <w:spacing w:after="0"/>
        <w:rPr>
          <w:sz w:val="20"/>
          <w:szCs w:val="20"/>
          <w:color w:val="auto"/>
        </w:rPr>
      </w:pPr>
      <w:r>
        <w:rPr>
          <w:sz w:val="1"/>
          <w:szCs w:val="1"/>
          <w:color w:val="auto"/>
        </w:rPr>
        <w:drawing>
          <wp:inline distT="0" distB="0" distL="0" distR="0">
            <wp:extent cx="56515" cy="88900"/>
            <wp:effectExtent l="0" t="0" r="0" b="0"/>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56515" cy="88900"/>
                    </a:xfrm>
                    <a:prstGeom prst="rect">
                      <a:avLst/>
                    </a:prstGeom>
                    <a:noFill/>
                    <a:ln>
                      <a:noFill/>
                    </a:ln>
                  </pic:spPr>
                </pic:pic>
              </a:graphicData>
            </a:graphic>
          </wp:inline>
        </w:drawing>
      </w:r>
      <w:r>
        <w:rPr>
          <w:rFonts w:ascii="Arial" w:cs="Arial" w:eastAsia="Arial" w:hAnsi="Arial"/>
          <w:sz w:val="12"/>
          <w:szCs w:val="12"/>
          <w:b w:val="1"/>
          <w:bCs w:val="1"/>
          <w:color w:val="FFFFFF"/>
        </w:rPr>
        <w:t xml:space="preserve"> Appendix 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line="250" w:lineRule="auto"/>
        <w:rPr>
          <w:sz w:val="20"/>
          <w:szCs w:val="20"/>
          <w:color w:val="auto"/>
        </w:rPr>
      </w:pPr>
      <w:r>
        <w:rPr>
          <w:rFonts w:ascii="Arial" w:cs="Arial" w:eastAsia="Arial" w:hAnsi="Arial"/>
          <w:sz w:val="15"/>
          <w:szCs w:val="15"/>
          <w:b w:val="1"/>
          <w:bCs w:val="1"/>
          <w:i w:val="1"/>
          <w:iCs w:val="1"/>
          <w:color w:val="auto"/>
          <w:strike w:val="1"/>
        </w:rPr>
        <w:t>with such Person; the term “control,” as used in this definition, means the power to direct or cause the direction of the management and policies of such Person, directly or indirectly, whether through the ownership of voting securities, by contract or otherwise, and “</w:t>
      </w:r>
      <w:r>
        <w:rPr>
          <w:rFonts w:ascii="Arial" w:cs="Arial" w:eastAsia="Arial" w:hAnsi="Arial"/>
          <w:sz w:val="15"/>
          <w:szCs w:val="15"/>
          <w:b w:val="1"/>
          <w:bCs w:val="1"/>
          <w:i w:val="1"/>
          <w:iCs w:val="1"/>
          <w:u w:val="single" w:color="auto"/>
          <w:color w:val="auto"/>
          <w:strike w:val="1"/>
        </w:rPr>
        <w:t>controlled</w:t>
      </w:r>
      <w:r>
        <w:rPr>
          <w:rFonts w:ascii="Arial" w:cs="Arial" w:eastAsia="Arial" w:hAnsi="Arial"/>
          <w:sz w:val="15"/>
          <w:szCs w:val="15"/>
          <w:b w:val="1"/>
          <w:bCs w:val="1"/>
          <w:i w:val="1"/>
          <w:iCs w:val="1"/>
          <w:color w:val="auto"/>
          <w:strike w:val="1"/>
        </w:rPr>
        <w:t>” and “</w:t>
      </w:r>
      <w:r>
        <w:rPr>
          <w:rFonts w:ascii="Arial" w:cs="Arial" w:eastAsia="Arial" w:hAnsi="Arial"/>
          <w:sz w:val="15"/>
          <w:szCs w:val="15"/>
          <w:b w:val="1"/>
          <w:bCs w:val="1"/>
          <w:i w:val="1"/>
          <w:iCs w:val="1"/>
          <w:u w:val="single" w:color="auto"/>
          <w:color w:val="auto"/>
          <w:strike w:val="1"/>
        </w:rPr>
        <w:t>controlling</w:t>
      </w:r>
      <w:r>
        <w:rPr>
          <w:rFonts w:ascii="Arial" w:cs="Arial" w:eastAsia="Arial" w:hAnsi="Arial"/>
          <w:sz w:val="15"/>
          <w:szCs w:val="15"/>
          <w:b w:val="1"/>
          <w:bCs w:val="1"/>
          <w:i w:val="1"/>
          <w:iCs w:val="1"/>
          <w:color w:val="auto"/>
          <w:strike w:val="1"/>
        </w:rPr>
        <w:t>” have meanings correlative to the foregoing. “</w:t>
      </w:r>
      <w:r>
        <w:rPr>
          <w:rFonts w:ascii="Arial" w:cs="Arial" w:eastAsia="Arial" w:hAnsi="Arial"/>
          <w:sz w:val="15"/>
          <w:szCs w:val="15"/>
          <w:b w:val="1"/>
          <w:bCs w:val="1"/>
          <w:i w:val="1"/>
          <w:iCs w:val="1"/>
          <w:u w:val="single" w:color="auto"/>
          <w:color w:val="auto"/>
          <w:strike w:val="1"/>
        </w:rPr>
        <w:t>Person</w:t>
      </w:r>
      <w:r>
        <w:rPr>
          <w:rFonts w:ascii="Arial" w:cs="Arial" w:eastAsia="Arial" w:hAnsi="Arial"/>
          <w:sz w:val="15"/>
          <w:szCs w:val="15"/>
          <w:b w:val="1"/>
          <w:bCs w:val="1"/>
          <w:i w:val="1"/>
          <w:iCs w:val="1"/>
          <w:color w:val="auto"/>
          <w:strike w:val="1"/>
        </w:rPr>
        <w:t>” means an individual, any general partnership, limited partnership, limited liability company, corporation, trust, business trust, joint stock company, joint venture, unincorporated association, cooperative or association or any other legal entity or organization of whatever nature, and shall include any successor (by merger or otherwise) of such entity. For the purpose of this Amended and Restated Certificate of Incorporation “</w:t>
      </w:r>
      <w:r>
        <w:rPr>
          <w:rFonts w:ascii="Arial" w:cs="Arial" w:eastAsia="Arial" w:hAnsi="Arial"/>
          <w:sz w:val="15"/>
          <w:szCs w:val="15"/>
          <w:b w:val="1"/>
          <w:bCs w:val="1"/>
          <w:i w:val="1"/>
          <w:iCs w:val="1"/>
          <w:u w:val="single" w:color="auto"/>
          <w:color w:val="auto"/>
          <w:strike w:val="1"/>
        </w:rPr>
        <w:t>beneficial ownership</w:t>
      </w:r>
      <w:r>
        <w:rPr>
          <w:rFonts w:ascii="Arial" w:cs="Arial" w:eastAsia="Arial" w:hAnsi="Arial"/>
          <w:sz w:val="15"/>
          <w:szCs w:val="15"/>
          <w:b w:val="1"/>
          <w:bCs w:val="1"/>
          <w:i w:val="1"/>
          <w:iCs w:val="1"/>
          <w:color w:val="auto"/>
          <w:strike w:val="1"/>
        </w:rPr>
        <w:t>” shall be determined in accordance with Rule 13d-3 promulgated under the Securities Exchange Act of 1934, as amended (the “</w:t>
      </w:r>
      <w:r>
        <w:rPr>
          <w:rFonts w:ascii="Arial" w:cs="Arial" w:eastAsia="Arial" w:hAnsi="Arial"/>
          <w:sz w:val="15"/>
          <w:szCs w:val="15"/>
          <w:b w:val="1"/>
          <w:bCs w:val="1"/>
          <w:i w:val="1"/>
          <w:iCs w:val="1"/>
          <w:u w:val="single" w:color="auto"/>
          <w:color w:val="auto"/>
          <w:strike w:val="1"/>
        </w:rPr>
        <w:t>Exchange Act</w:t>
      </w:r>
      <w:r>
        <w:rPr>
          <w:rFonts w:ascii="Arial" w:cs="Arial" w:eastAsia="Arial" w:hAnsi="Arial"/>
          <w:sz w:val="15"/>
          <w:szCs w:val="15"/>
          <w:b w:val="1"/>
          <w:bCs w:val="1"/>
          <w:color w:val="auto"/>
          <w:strike w:val="1"/>
        </w:rPr>
        <w:t>”)</w:t>
      </w:r>
      <w:r>
        <w:rPr>
          <w:rFonts w:ascii="Arial" w:cs="Arial" w:eastAsia="Arial" w:hAnsi="Arial"/>
          <w:sz w:val="15"/>
          <w:szCs w:val="15"/>
          <w:color w:val="auto"/>
          <w:strike w:val="1"/>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-1737995</wp:posOffset>
            </wp:positionH>
            <wp:positionV relativeFrom="paragraph">
              <wp:posOffset>-1658620</wp:posOffset>
            </wp:positionV>
            <wp:extent cx="7181215" cy="5334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181215" cy="53340"/>
                    </a:xfrm>
                    <a:prstGeom prst="rect">
                      <a:avLst/>
                    </a:prstGeom>
                    <a:noFill/>
                  </pic:spPr>
                </pic:pic>
              </a:graphicData>
            </a:graphic>
          </wp:anchor>
        </w:drawing>
      </w:r>
    </w:p>
    <w:p>
      <w:pPr>
        <w:ind w:right="100"/>
        <w:spacing w:after="0" w:line="253" w:lineRule="auto"/>
        <w:rPr>
          <w:sz w:val="20"/>
          <w:szCs w:val="20"/>
          <w:color w:val="auto"/>
        </w:rPr>
      </w:pPr>
      <w:r>
        <w:rPr>
          <w:rFonts w:ascii="Arial" w:cs="Arial" w:eastAsia="Arial" w:hAnsi="Arial"/>
          <w:sz w:val="15"/>
          <w:szCs w:val="15"/>
          <w:color w:val="auto"/>
        </w:rPr>
        <w:t>Vacancies and newly-created directorships shall be filled by vote of a majority of the directors then in office, although less than a quorum, or by a sole remaining director. Any vacancy created by the removal of a director by the stockholders shall only be filled, in addition to any other vote otherwise required by law, by vote of a majority of the outstanding shares of Common Stock. No decrease in the number of directors constituting the Board of Directors shall shorten the term of any incumbent director.</w:t>
      </w:r>
    </w:p>
    <w:p>
      <w:pPr>
        <w:spacing w:after="0" w:line="174" w:lineRule="exact"/>
        <w:rPr>
          <w:sz w:val="20"/>
          <w:szCs w:val="20"/>
          <w:color w:val="auto"/>
        </w:rPr>
      </w:pPr>
    </w:p>
    <w:p>
      <w:pPr>
        <w:jc w:val="both"/>
        <w:ind w:right="240" w:firstLine="326"/>
        <w:spacing w:after="0" w:line="261" w:lineRule="auto"/>
        <w:tabs>
          <w:tab w:leader="none" w:pos="549" w:val="left"/>
        </w:tabs>
        <w:numPr>
          <w:ilvl w:val="0"/>
          <w:numId w:val="146"/>
        </w:numPr>
        <w:rPr>
          <w:rFonts w:ascii="Arial" w:cs="Arial" w:eastAsia="Arial" w:hAnsi="Arial"/>
          <w:sz w:val="15"/>
          <w:szCs w:val="15"/>
          <w:color w:val="auto"/>
        </w:rPr>
      </w:pPr>
      <w:r>
        <w:rPr>
          <w:rFonts w:ascii="Arial" w:cs="Arial" w:eastAsia="Arial" w:hAnsi="Arial"/>
          <w:sz w:val="15"/>
          <w:szCs w:val="15"/>
          <w:u w:val="single" w:color="auto"/>
          <w:color w:val="auto"/>
        </w:rPr>
        <w:t>Removal</w:t>
      </w:r>
      <w:r>
        <w:rPr>
          <w:rFonts w:ascii="Arial" w:cs="Arial" w:eastAsia="Arial" w:hAnsi="Arial"/>
          <w:sz w:val="15"/>
          <w:szCs w:val="15"/>
          <w:color w:val="auto"/>
        </w:rPr>
        <w:t xml:space="preserve">. Subject to the special rights of the holders of any series of Preferred Stock to elect directors, the directors of the Corporation may be removed only by the affirmative vote of </w:t>
      </w:r>
      <w:r>
        <w:rPr>
          <w:rFonts w:ascii="Arial" w:cs="Arial" w:eastAsia="Arial" w:hAnsi="Arial"/>
          <w:sz w:val="15"/>
          <w:szCs w:val="15"/>
          <w:b w:val="1"/>
          <w:bCs w:val="1"/>
          <w:i w:val="1"/>
          <w:iCs w:val="1"/>
          <w:color w:val="auto"/>
          <w:strike w:val="1"/>
        </w:rPr>
        <w:t>sixty-six and two-thirds percent (66</w:t>
      </w:r>
      <w:r>
        <w:rPr>
          <w:rFonts w:ascii="Arial" w:cs="Arial" w:eastAsia="Arial" w:hAnsi="Arial"/>
          <w:sz w:val="15"/>
          <w:szCs w:val="15"/>
          <w:color w:val="auto"/>
        </w:rPr>
        <w:t xml:space="preserve"> </w:t>
      </w:r>
      <w:r>
        <w:rPr>
          <w:rFonts w:ascii="Arial" w:cs="Arial" w:eastAsia="Arial" w:hAnsi="Arial"/>
          <w:sz w:val="15"/>
          <w:szCs w:val="15"/>
          <w:b w:val="1"/>
          <w:bCs w:val="1"/>
          <w:i w:val="1"/>
          <w:iCs w:val="1"/>
          <w:color w:val="auto"/>
          <w:strike w:val="1"/>
        </w:rPr>
        <w:t>2/3%)</w:t>
      </w:r>
      <w:r>
        <w:rPr>
          <w:rFonts w:ascii="Arial" w:cs="Arial" w:eastAsia="Arial" w:hAnsi="Arial"/>
          <w:sz w:val="15"/>
          <w:szCs w:val="15"/>
          <w:b w:val="1"/>
          <w:bCs w:val="1"/>
          <w:i w:val="1"/>
          <w:iCs w:val="1"/>
          <w:u w:val="single" w:color="auto"/>
          <w:color w:val="auto"/>
        </w:rPr>
        <w:t>a majority</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of the voting power of the outstanding shares of capital stock of the Corporation entitled to vote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generally in the election of directors, voting together as a single class.</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i w:val="1"/>
          <w:iCs w:val="1"/>
          <w:color w:val="auto"/>
        </w:rPr>
        <w:t>ARTICLE VI</w:t>
      </w:r>
    </w:p>
    <w:p>
      <w:pPr>
        <w:spacing w:after="0" w:line="1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i w:val="1"/>
          <w:iCs w:val="1"/>
          <w:color w:val="auto"/>
        </w:rPr>
        <w:t xml:space="preserve">LIMITATION OF DIRECTOR </w:t>
      </w:r>
      <w:r>
        <w:rPr>
          <w:rFonts w:ascii="Arial" w:cs="Arial" w:eastAsia="Arial" w:hAnsi="Arial"/>
          <w:sz w:val="17"/>
          <w:szCs w:val="17"/>
          <w:b w:val="1"/>
          <w:bCs w:val="1"/>
          <w:i w:val="1"/>
          <w:iCs w:val="1"/>
          <w:u w:val="single" w:color="auto"/>
          <w:color w:val="auto"/>
        </w:rPr>
        <w:t>AND OFFICER</w:t>
      </w:r>
      <w:r>
        <w:rPr>
          <w:rFonts w:ascii="Arial" w:cs="Arial" w:eastAsia="Arial" w:hAnsi="Arial"/>
          <w:sz w:val="17"/>
          <w:szCs w:val="17"/>
          <w:b w:val="1"/>
          <w:bCs w:val="1"/>
          <w:i w:val="1"/>
          <w:iCs w:val="1"/>
          <w:color w:val="auto"/>
        </w:rPr>
        <w:t xml:space="preserve"> LIABILITY</w:t>
      </w:r>
    </w:p>
    <w:p>
      <w:pPr>
        <w:spacing w:after="0" w:line="189" w:lineRule="exact"/>
        <w:rPr>
          <w:sz w:val="20"/>
          <w:szCs w:val="20"/>
          <w:color w:val="auto"/>
        </w:rPr>
      </w:pPr>
    </w:p>
    <w:p>
      <w:pPr>
        <w:ind w:firstLine="319"/>
        <w:spacing w:after="0" w:line="251" w:lineRule="auto"/>
        <w:rPr>
          <w:sz w:val="20"/>
          <w:szCs w:val="20"/>
          <w:color w:val="auto"/>
        </w:rPr>
      </w:pPr>
      <w:r>
        <w:rPr>
          <w:rFonts w:ascii="Arial" w:cs="Arial" w:eastAsia="Arial" w:hAnsi="Arial"/>
          <w:sz w:val="15"/>
          <w:szCs w:val="15"/>
          <w:color w:val="auto"/>
        </w:rPr>
        <w:t xml:space="preserve">To the fullest extent that the DGCL or any other law of the State of Delaware (as they exist on the date hereof or as they may hereafter be amended) permits the limitation or elimination of the liability of directors </w:t>
      </w:r>
      <w:r>
        <w:rPr>
          <w:rFonts w:ascii="Arial" w:cs="Arial" w:eastAsia="Arial" w:hAnsi="Arial"/>
          <w:sz w:val="15"/>
          <w:szCs w:val="15"/>
          <w:b w:val="1"/>
          <w:bCs w:val="1"/>
          <w:i w:val="1"/>
          <w:iCs w:val="1"/>
          <w:color w:val="auto"/>
        </w:rPr>
        <w:t>or officers</w:t>
      </w:r>
      <w:r>
        <w:rPr>
          <w:rFonts w:ascii="Arial" w:cs="Arial" w:eastAsia="Arial" w:hAnsi="Arial"/>
          <w:sz w:val="15"/>
          <w:szCs w:val="15"/>
          <w:color w:val="auto"/>
        </w:rPr>
        <w:t xml:space="preserve">, no director </w:t>
      </w:r>
      <w:r>
        <w:rPr>
          <w:rFonts w:ascii="Arial" w:cs="Arial" w:eastAsia="Arial" w:hAnsi="Arial"/>
          <w:sz w:val="15"/>
          <w:szCs w:val="15"/>
          <w:b w:val="1"/>
          <w:bCs w:val="1"/>
          <w:i w:val="1"/>
          <w:iCs w:val="1"/>
          <w:u w:val="single" w:color="auto"/>
          <w:color w:val="auto"/>
        </w:rPr>
        <w:t>or officer</w:t>
      </w:r>
      <w:r>
        <w:rPr>
          <w:rFonts w:ascii="Arial" w:cs="Arial" w:eastAsia="Arial" w:hAnsi="Arial"/>
          <w:sz w:val="15"/>
          <w:szCs w:val="15"/>
          <w:color w:val="auto"/>
        </w:rPr>
        <w:t xml:space="preserve"> of the Corporation shall be </w:t>
      </w:r>
      <w:r>
        <w:rPr>
          <w:rFonts w:ascii="Arial" w:cs="Arial" w:eastAsia="Arial" w:hAnsi="Arial"/>
          <w:sz w:val="15"/>
          <w:szCs w:val="15"/>
          <w:b w:val="1"/>
          <w:bCs w:val="1"/>
          <w:i w:val="1"/>
          <w:iCs w:val="1"/>
          <w:u w:val="single" w:color="auto"/>
          <w:color w:val="auto"/>
        </w:rPr>
        <w:t>personally</w:t>
      </w:r>
      <w:r>
        <w:rPr>
          <w:rFonts w:ascii="Arial" w:cs="Arial" w:eastAsia="Arial" w:hAnsi="Arial"/>
          <w:sz w:val="15"/>
          <w:szCs w:val="15"/>
          <w:color w:val="auto"/>
        </w:rPr>
        <w:t xml:space="preserve"> liable to the Corporation or its stockholders for monetary damages for breach of fiduciary duty as a director </w:t>
      </w:r>
      <w:r>
        <w:rPr>
          <w:rFonts w:ascii="Arial" w:cs="Arial" w:eastAsia="Arial" w:hAnsi="Arial"/>
          <w:sz w:val="15"/>
          <w:szCs w:val="15"/>
          <w:b w:val="1"/>
          <w:bCs w:val="1"/>
          <w:i w:val="1"/>
          <w:iCs w:val="1"/>
          <w:color w:val="auto"/>
        </w:rPr>
        <w:t>or officer</w:t>
      </w:r>
      <w:r>
        <w:rPr>
          <w:rFonts w:ascii="Arial" w:cs="Arial" w:eastAsia="Arial" w:hAnsi="Arial"/>
          <w:sz w:val="15"/>
          <w:szCs w:val="15"/>
          <w:color w:val="auto"/>
        </w:rPr>
        <w:t xml:space="preserve">. No amendment to, or modification or repeal of, this Article VI shall adversely affect any right or protection of a director </w:t>
      </w:r>
      <w:r>
        <w:rPr>
          <w:rFonts w:ascii="Arial" w:cs="Arial" w:eastAsia="Arial" w:hAnsi="Arial"/>
          <w:sz w:val="15"/>
          <w:szCs w:val="15"/>
          <w:b w:val="1"/>
          <w:bCs w:val="1"/>
          <w:i w:val="1"/>
          <w:iCs w:val="1"/>
          <w:u w:val="single" w:color="auto"/>
          <w:color w:val="auto"/>
        </w:rPr>
        <w:t>or officer</w:t>
      </w:r>
      <w:r>
        <w:rPr>
          <w:rFonts w:ascii="Arial" w:cs="Arial" w:eastAsia="Arial" w:hAnsi="Arial"/>
          <w:sz w:val="15"/>
          <w:szCs w:val="15"/>
          <w:color w:val="auto"/>
        </w:rPr>
        <w:t xml:space="preserve"> of the Corporation existing hereunder with respect to any state of facts existing or act or omission occurring, or any cause of action, suit or claim that, but for this Article VI, would accrue or arise, prior to such amendment, modification or repeal. </w:t>
      </w:r>
      <w:r>
        <w:rPr>
          <w:rFonts w:ascii="Arial" w:cs="Arial" w:eastAsia="Arial" w:hAnsi="Arial"/>
          <w:sz w:val="15"/>
          <w:szCs w:val="15"/>
          <w:b w:val="1"/>
          <w:bCs w:val="1"/>
          <w:i w:val="1"/>
          <w:iCs w:val="1"/>
          <w:color w:val="auto"/>
        </w:rPr>
        <w:t>For purposes of this Article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4166235</wp:posOffset>
            </wp:positionH>
            <wp:positionV relativeFrom="paragraph">
              <wp:posOffset>-582930</wp:posOffset>
            </wp:positionV>
            <wp:extent cx="501015" cy="825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501015" cy="8255"/>
                    </a:xfrm>
                    <a:prstGeom prst="rect">
                      <a:avLst/>
                    </a:prstGeom>
                    <a:noFill/>
                  </pic:spPr>
                </pic:pic>
              </a:graphicData>
            </a:graphic>
          </wp:anchor>
        </w:drawing>
        <w:drawing>
          <wp:anchor simplePos="0" relativeHeight="251657728" behindDoc="1" locked="0" layoutInCell="0" allowOverlap="1">
            <wp:simplePos x="0" y="0"/>
            <wp:positionH relativeFrom="column">
              <wp:posOffset>2139315</wp:posOffset>
            </wp:positionH>
            <wp:positionV relativeFrom="paragraph">
              <wp:posOffset>-355600</wp:posOffset>
            </wp:positionV>
            <wp:extent cx="447040" cy="825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447040" cy="8255"/>
                    </a:xfrm>
                    <a:prstGeom prst="rect">
                      <a:avLst/>
                    </a:prstGeom>
                    <a:noFill/>
                  </pic:spPr>
                </pic:pic>
              </a:graphicData>
            </a:graphic>
          </wp:anchor>
        </w:drawing>
        <w:drawing>
          <wp:anchor simplePos="0" relativeHeight="251657728" behindDoc="1" locked="0" layoutInCell="0" allowOverlap="1">
            <wp:simplePos x="0" y="0"/>
            <wp:positionH relativeFrom="column">
              <wp:posOffset>3690620</wp:posOffset>
            </wp:positionH>
            <wp:positionV relativeFrom="paragraph">
              <wp:posOffset>-15240</wp:posOffset>
            </wp:positionV>
            <wp:extent cx="1296670" cy="825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1296670" cy="8255"/>
                    </a:xfrm>
                    <a:prstGeom prst="rect">
                      <a:avLst/>
                    </a:prstGeom>
                    <a:noFill/>
                  </pic:spPr>
                </pic:pic>
              </a:graphicData>
            </a:graphic>
          </wp:anchor>
        </w:drawing>
      </w:r>
    </w:p>
    <w:p>
      <w:pPr>
        <w:ind w:right="180"/>
        <w:spacing w:after="0" w:line="279" w:lineRule="auto"/>
        <w:rPr>
          <w:sz w:val="20"/>
          <w:szCs w:val="20"/>
          <w:color w:val="auto"/>
        </w:rPr>
      </w:pPr>
      <w:r>
        <w:rPr>
          <w:rFonts w:ascii="Arial" w:cs="Arial" w:eastAsia="Arial" w:hAnsi="Arial"/>
          <w:sz w:val="15"/>
          <w:szCs w:val="15"/>
          <w:b w:val="1"/>
          <w:bCs w:val="1"/>
          <w:i w:val="1"/>
          <w:iCs w:val="1"/>
          <w:u w:val="single" w:color="auto"/>
          <w:color w:val="auto"/>
        </w:rPr>
        <w:t xml:space="preserve">VI, “officer” shall have the meaning provided in Section </w:t>
      </w:r>
      <w:r>
        <w:rPr>
          <w:rFonts w:ascii="Arial" w:cs="Arial" w:eastAsia="Arial" w:hAnsi="Arial"/>
          <w:sz w:val="15"/>
          <w:szCs w:val="15"/>
          <w:b w:val="1"/>
          <w:bCs w:val="1"/>
          <w:u w:val="single" w:color="auto"/>
          <w:color w:val="auto"/>
        </w:rPr>
        <w:t>102(b)(7) of the DGCL, as it presently exists or may</w:t>
      </w:r>
      <w:r>
        <w:rPr>
          <w:rFonts w:ascii="Arial" w:cs="Arial" w:eastAsia="Arial" w:hAnsi="Arial"/>
          <w:sz w:val="15"/>
          <w:szCs w:val="15"/>
          <w:b w:val="1"/>
          <w:bCs w:val="1"/>
          <w:i w:val="1"/>
          <w:iCs w:val="1"/>
          <w:u w:val="single" w:color="auto"/>
          <w:color w:val="auto"/>
        </w:rPr>
        <w:t xml:space="preserve"> </w:t>
      </w:r>
      <w:r>
        <w:rPr>
          <w:rFonts w:ascii="Arial" w:cs="Arial" w:eastAsia="Arial" w:hAnsi="Arial"/>
          <w:sz w:val="15"/>
          <w:szCs w:val="15"/>
          <w:b w:val="1"/>
          <w:bCs w:val="1"/>
          <w:u w:val="single" w:color="auto"/>
          <w:color w:val="auto"/>
        </w:rPr>
        <w:t>hereafter be amended from time to time.</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i w:val="1"/>
          <w:iCs w:val="1"/>
          <w:color w:val="auto"/>
        </w:rPr>
        <w:t>ARTICLE VII</w:t>
      </w:r>
    </w:p>
    <w:p>
      <w:pPr>
        <w:spacing w:after="0" w:line="1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i w:val="1"/>
          <w:iCs w:val="1"/>
          <w:color w:val="auto"/>
        </w:rPr>
        <w:t>MEETINGS OF STOCKHOLDERS</w:t>
      </w:r>
    </w:p>
    <w:p>
      <w:pPr>
        <w:spacing w:after="0" w:line="189" w:lineRule="exact"/>
        <w:rPr>
          <w:sz w:val="20"/>
          <w:szCs w:val="20"/>
          <w:color w:val="auto"/>
        </w:rPr>
      </w:pPr>
    </w:p>
    <w:p>
      <w:pPr>
        <w:ind w:right="60" w:firstLine="326"/>
        <w:spacing w:after="0" w:line="268" w:lineRule="auto"/>
        <w:tabs>
          <w:tab w:leader="none" w:pos="549" w:val="left"/>
        </w:tabs>
        <w:numPr>
          <w:ilvl w:val="1"/>
          <w:numId w:val="147"/>
        </w:numPr>
        <w:rPr>
          <w:rFonts w:ascii="Arial" w:cs="Arial" w:eastAsia="Arial" w:hAnsi="Arial"/>
          <w:sz w:val="15"/>
          <w:szCs w:val="15"/>
          <w:color w:val="auto"/>
        </w:rPr>
      </w:pPr>
      <w:r>
        <w:rPr>
          <w:rFonts w:ascii="Arial" w:cs="Arial" w:eastAsia="Arial" w:hAnsi="Arial"/>
          <w:sz w:val="15"/>
          <w:szCs w:val="15"/>
          <w:u w:val="single" w:color="auto"/>
          <w:color w:val="auto"/>
        </w:rPr>
        <w:t>No Action by Written Consent</w:t>
      </w:r>
      <w:r>
        <w:rPr>
          <w:rFonts w:ascii="Arial" w:cs="Arial" w:eastAsia="Arial" w:hAnsi="Arial"/>
          <w:sz w:val="15"/>
          <w:szCs w:val="15"/>
          <w:color w:val="auto"/>
        </w:rPr>
        <w:t xml:space="preserve">. </w:t>
      </w:r>
      <w:r>
        <w:rPr>
          <w:rFonts w:ascii="Arial" w:cs="Arial" w:eastAsia="Arial" w:hAnsi="Arial"/>
          <w:sz w:val="15"/>
          <w:szCs w:val="15"/>
          <w:b w:val="1"/>
          <w:bCs w:val="1"/>
          <w:i w:val="1"/>
          <w:iCs w:val="1"/>
          <w:color w:val="auto"/>
          <w:strike w:val="1"/>
        </w:rPr>
        <w:t>On or following the Trigger Date, any</w:t>
      </w:r>
      <w:r>
        <w:rPr>
          <w:rFonts w:ascii="Arial" w:cs="Arial" w:eastAsia="Arial" w:hAnsi="Arial"/>
          <w:sz w:val="15"/>
          <w:szCs w:val="15"/>
          <w:b w:val="1"/>
          <w:bCs w:val="1"/>
          <w:i w:val="1"/>
          <w:iCs w:val="1"/>
          <w:u w:val="single" w:color="auto"/>
          <w:color w:val="auto"/>
        </w:rPr>
        <w:t>Any</w:t>
      </w:r>
      <w:r>
        <w:rPr>
          <w:rFonts w:ascii="Arial" w:cs="Arial" w:eastAsia="Arial" w:hAnsi="Arial"/>
          <w:sz w:val="15"/>
          <w:szCs w:val="15"/>
          <w:color w:val="auto"/>
        </w:rPr>
        <w:t xml:space="preserve"> action required or permitted to be taken by the stockholders of the Corporation may be effected only at a duly called annual or special meeting of stockholders of the Corporation and may not be effected by any consent in writing by such stockholders.</w:t>
      </w:r>
    </w:p>
    <w:p>
      <w:pPr>
        <w:spacing w:after="0" w:line="162" w:lineRule="exact"/>
        <w:rPr>
          <w:rFonts w:ascii="Arial" w:cs="Arial" w:eastAsia="Arial" w:hAnsi="Arial"/>
          <w:sz w:val="15"/>
          <w:szCs w:val="15"/>
          <w:color w:val="auto"/>
        </w:rPr>
      </w:pPr>
    </w:p>
    <w:p>
      <w:pPr>
        <w:ind w:right="160" w:firstLine="326"/>
        <w:spacing w:after="0" w:line="255" w:lineRule="auto"/>
        <w:tabs>
          <w:tab w:leader="none" w:pos="549" w:val="left"/>
        </w:tabs>
        <w:numPr>
          <w:ilvl w:val="1"/>
          <w:numId w:val="147"/>
        </w:numPr>
        <w:rPr>
          <w:rFonts w:ascii="Arial" w:cs="Arial" w:eastAsia="Arial" w:hAnsi="Arial"/>
          <w:sz w:val="15"/>
          <w:szCs w:val="15"/>
          <w:color w:val="auto"/>
        </w:rPr>
      </w:pPr>
      <w:r>
        <w:rPr>
          <w:rFonts w:ascii="Arial" w:cs="Arial" w:eastAsia="Arial" w:hAnsi="Arial"/>
          <w:sz w:val="15"/>
          <w:szCs w:val="15"/>
          <w:u w:val="single" w:color="auto"/>
          <w:color w:val="auto"/>
        </w:rPr>
        <w:t>Special Meetings of Stockholders</w:t>
      </w:r>
      <w:r>
        <w:rPr>
          <w:rFonts w:ascii="Arial" w:cs="Arial" w:eastAsia="Arial" w:hAnsi="Arial"/>
          <w:sz w:val="15"/>
          <w:szCs w:val="15"/>
          <w:color w:val="auto"/>
        </w:rPr>
        <w:t>. Subject to any special rights of the holders of any series of Preferred Stock, and to the requirements of applicable law, special meetings of stockholders of the Corporation may be called only by either (a) the Chairman or Vice Chairman of the Board of Directors or the President of the Corporation</w:t>
      </w:r>
      <w:r>
        <w:rPr>
          <w:rFonts w:ascii="Arial" w:cs="Arial" w:eastAsia="Arial" w:hAnsi="Arial"/>
          <w:sz w:val="15"/>
          <w:szCs w:val="15"/>
          <w:b w:val="1"/>
          <w:bCs w:val="1"/>
          <w:color w:val="auto"/>
          <w:strike w:val="1"/>
        </w:rPr>
        <w:t>,</w:t>
      </w:r>
      <w:r>
        <w:rPr>
          <w:rFonts w:ascii="Arial" w:cs="Arial" w:eastAsia="Arial" w:hAnsi="Arial"/>
          <w:sz w:val="15"/>
          <w:szCs w:val="15"/>
          <w:color w:val="auto"/>
        </w:rPr>
        <w:t xml:space="preserve"> </w:t>
      </w:r>
      <w:r>
        <w:rPr>
          <w:rFonts w:ascii="Arial" w:cs="Arial" w:eastAsia="Arial" w:hAnsi="Arial"/>
          <w:sz w:val="15"/>
          <w:szCs w:val="15"/>
          <w:b w:val="1"/>
          <w:bCs w:val="1"/>
          <w:i w:val="1"/>
          <w:iCs w:val="1"/>
          <w:u w:val="single" w:color="auto"/>
          <w:color w:val="auto"/>
        </w:rPr>
        <w:t>or</w:t>
      </w:r>
    </w:p>
    <w:p>
      <w:pPr>
        <w:ind w:right="60" w:firstLine="7"/>
        <w:spacing w:after="0" w:line="248" w:lineRule="auto"/>
        <w:tabs>
          <w:tab w:leader="none" w:pos="230" w:val="left"/>
        </w:tabs>
        <w:numPr>
          <w:ilvl w:val="0"/>
          <w:numId w:val="148"/>
        </w:numPr>
        <w:rPr>
          <w:rFonts w:ascii="Arial" w:cs="Arial" w:eastAsia="Arial" w:hAnsi="Arial"/>
          <w:sz w:val="15"/>
          <w:szCs w:val="15"/>
          <w:color w:val="auto"/>
        </w:rPr>
      </w:pPr>
      <w:r>
        <w:rPr>
          <w:rFonts w:ascii="Arial" w:cs="Arial" w:eastAsia="Arial" w:hAnsi="Arial"/>
          <w:sz w:val="15"/>
          <w:szCs w:val="15"/>
          <w:color w:val="auto"/>
        </w:rPr>
        <w:t xml:space="preserve">the Board of Directors pursuant to a written resolution adopted by a majority of the total number of directors which the Corporation would have if there were no vacancies </w:t>
      </w:r>
      <w:r>
        <w:rPr>
          <w:rFonts w:ascii="Arial" w:cs="Arial" w:eastAsia="Arial" w:hAnsi="Arial"/>
          <w:sz w:val="15"/>
          <w:szCs w:val="15"/>
          <w:b w:val="1"/>
          <w:bCs w:val="1"/>
          <w:i w:val="1"/>
          <w:iCs w:val="1"/>
          <w:color w:val="auto"/>
        </w:rPr>
        <w:t>or (c) prior to the Trigger Date, the Secretary of the</w:t>
      </w:r>
    </w:p>
    <w:p>
      <w:pPr>
        <w:ind w:right="660"/>
        <w:spacing w:after="0" w:line="279" w:lineRule="auto"/>
        <w:rPr>
          <w:rFonts w:ascii="Arial" w:cs="Arial" w:eastAsia="Arial" w:hAnsi="Arial"/>
          <w:sz w:val="15"/>
          <w:szCs w:val="15"/>
          <w:color w:val="auto"/>
        </w:rPr>
      </w:pPr>
      <w:r>
        <w:rPr>
          <w:rFonts w:ascii="Arial" w:cs="Arial" w:eastAsia="Arial" w:hAnsi="Arial"/>
          <w:sz w:val="15"/>
          <w:szCs w:val="15"/>
          <w:b w:val="1"/>
          <w:bCs w:val="1"/>
          <w:i w:val="1"/>
          <w:iCs w:val="1"/>
          <w:color w:val="auto"/>
          <w:strike w:val="1"/>
        </w:rPr>
        <w:t>Corporation at the request of the holders of forty percent (40%) or more of the outstanding shares of Common Stock</w:t>
      </w:r>
      <w:r>
        <w:rPr>
          <w:rFonts w:ascii="Arial" w:cs="Arial" w:eastAsia="Arial" w:hAnsi="Arial"/>
          <w:sz w:val="15"/>
          <w:szCs w:val="15"/>
          <w:color w:val="auto"/>
          <w:strike w:val="1"/>
        </w:rPr>
        <w:t>.</w:t>
      </w:r>
    </w:p>
    <w:p>
      <w:pPr>
        <w:spacing w:after="0" w:line="146" w:lineRule="exact"/>
        <w:rPr>
          <w:rFonts w:ascii="Arial" w:cs="Arial" w:eastAsia="Arial" w:hAnsi="Arial"/>
          <w:sz w:val="15"/>
          <w:szCs w:val="15"/>
          <w:color w:val="auto"/>
        </w:rPr>
      </w:pPr>
    </w:p>
    <w:p>
      <w:pPr>
        <w:ind w:left="540" w:hanging="214"/>
        <w:spacing w:after="0"/>
        <w:tabs>
          <w:tab w:leader="none" w:pos="540" w:val="left"/>
        </w:tabs>
        <w:numPr>
          <w:ilvl w:val="1"/>
          <w:numId w:val="148"/>
        </w:numPr>
        <w:rPr>
          <w:rFonts w:ascii="Arial" w:cs="Arial" w:eastAsia="Arial" w:hAnsi="Arial"/>
          <w:sz w:val="15"/>
          <w:szCs w:val="15"/>
          <w:color w:val="auto"/>
        </w:rPr>
      </w:pPr>
      <w:r>
        <w:rPr>
          <w:rFonts w:ascii="Arial" w:cs="Arial" w:eastAsia="Arial" w:hAnsi="Arial"/>
          <w:sz w:val="15"/>
          <w:szCs w:val="15"/>
          <w:u w:val="single" w:color="auto"/>
          <w:color w:val="auto"/>
        </w:rPr>
        <w:t>Election of Directors by Written Ballot</w:t>
      </w:r>
      <w:r>
        <w:rPr>
          <w:rFonts w:ascii="Arial" w:cs="Arial" w:eastAsia="Arial" w:hAnsi="Arial"/>
          <w:sz w:val="15"/>
          <w:szCs w:val="15"/>
          <w:color w:val="auto"/>
        </w:rPr>
        <w:t>. Election of directors need not be by written ballot.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2350770</wp:posOffset>
            </wp:positionH>
            <wp:positionV relativeFrom="paragraph">
              <wp:posOffset>-514350</wp:posOffset>
            </wp:positionV>
            <wp:extent cx="2370455" cy="825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2370455" cy="8255"/>
                    </a:xfrm>
                    <a:prstGeom prst="rect">
                      <a:avLst/>
                    </a:prstGeom>
                    <a:noFill/>
                  </pic:spPr>
                </pic:pic>
              </a:graphicData>
            </a:graphic>
          </wp:anchor>
        </w:drawing>
      </w:r>
    </w:p>
    <w:p>
      <w:pPr>
        <w:spacing w:after="0" w:line="2266" w:lineRule="exact"/>
        <w:rPr>
          <w:sz w:val="20"/>
          <w:szCs w:val="20"/>
          <w:color w:val="auto"/>
        </w:rPr>
      </w:pPr>
    </w:p>
    <w:p>
      <w:pPr>
        <w:sectPr>
          <w:pgSz w:w="11900" w:h="16838" w:orient="portrait"/>
          <w:cols w:equalWidth="0" w:num="2">
            <w:col w:w="2160" w:space="560"/>
            <w:col w:w="7980"/>
          </w:cols>
          <w:pgMar w:left="320" w:top="464" w:right="879" w:bottom="1440" w:gutter="0" w:footer="0" w:header="0"/>
        </w:sectPr>
      </w:pPr>
    </w:p>
    <w:p>
      <w:pPr>
        <w:spacing w:after="0" w:line="200" w:lineRule="exact"/>
        <w:rPr>
          <w:sz w:val="20"/>
          <w:szCs w:val="20"/>
          <w:color w:val="auto"/>
        </w:rPr>
      </w:pPr>
    </w:p>
    <w:p>
      <w:pPr>
        <w:spacing w:after="0" w:line="359" w:lineRule="exact"/>
        <w:rPr>
          <w:sz w:val="20"/>
          <w:szCs w:val="20"/>
          <w:color w:val="auto"/>
        </w:rPr>
      </w:pPr>
    </w:p>
    <w:p>
      <w:pPr>
        <w:ind w:left="420"/>
        <w:spacing w:after="0"/>
        <w:tabs>
          <w:tab w:leader="none" w:pos="2380" w:val="left"/>
          <w:tab w:leader="none" w:pos="2800" w:val="left"/>
        </w:tabs>
        <w:rPr>
          <w:sz w:val="20"/>
          <w:szCs w:val="20"/>
          <w:color w:val="auto"/>
        </w:rPr>
      </w:pPr>
      <w:r>
        <w:rPr>
          <w:rFonts w:ascii="Arial" w:cs="Arial" w:eastAsia="Arial" w:hAnsi="Arial"/>
          <w:sz w:val="30"/>
          <w:szCs w:val="30"/>
          <w:color w:val="000000"/>
          <w:vertAlign w:val="superscript"/>
        </w:rPr>
        <w:t xml:space="preserve">             </w:t>
      </w:r>
      <w:r>
        <w:rPr>
          <w:sz w:val="20"/>
          <w:szCs w:val="20"/>
          <w:color w:val="auto"/>
        </w:rPr>
        <w:tab/>
      </w:r>
      <w:r>
        <w:rPr>
          <w:rFonts w:ascii="Arial" w:cs="Arial" w:eastAsia="Arial" w:hAnsi="Arial"/>
          <w:sz w:val="31"/>
          <w:szCs w:val="31"/>
          <w:color w:val="auto"/>
          <w:vertAlign w:val="superscript"/>
        </w:rPr>
        <w:t xml:space="preserve">    </w:t>
      </w:r>
      <w:r>
        <w:rPr>
          <w:sz w:val="20"/>
          <w:szCs w:val="20"/>
          <w:color w:val="auto"/>
        </w:rPr>
        <w:tab/>
      </w:r>
      <w:r>
        <w:rPr>
          <w:rFonts w:ascii="Arial" w:cs="Arial" w:eastAsia="Arial" w:hAnsi="Arial"/>
          <w:sz w:val="15"/>
          <w:szCs w:val="15"/>
          <w:b w:val="1"/>
          <w:bCs w:val="1"/>
          <w:color w:val="002B5F"/>
        </w:rPr>
        <w:t xml:space="preserve">102  </w:t>
      </w:r>
      <w:r>
        <w:rPr>
          <w:rFonts w:ascii="Arial" w:cs="Arial" w:eastAsia="Arial" w:hAnsi="Arial"/>
          <w:sz w:val="19"/>
          <w:szCs w:val="19"/>
          <w:color w:val="002B5F"/>
        </w:rPr>
        <w:t>|</w:t>
      </w:r>
      <w:r>
        <w:rPr>
          <w:rFonts w:ascii="Arial" w:cs="Arial" w:eastAsia="Arial" w:hAnsi="Arial"/>
          <w:sz w:val="15"/>
          <w:szCs w:val="15"/>
          <w:b w:val="1"/>
          <w:bCs w:val="1"/>
          <w:color w:val="002B5F"/>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6111875</wp:posOffset>
            </wp:positionH>
            <wp:positionV relativeFrom="paragraph">
              <wp:posOffset>-208915</wp:posOffset>
            </wp:positionV>
            <wp:extent cx="769620" cy="9715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69620" cy="97155"/>
                    </a:xfrm>
                    <a:prstGeom prst="rect">
                      <a:avLst/>
                    </a:prstGeom>
                    <a:noFill/>
                  </pic:spPr>
                </pic:pic>
              </a:graphicData>
            </a:graphic>
          </wp:anchor>
        </w:drawing>
      </w:r>
    </w:p>
    <w:p>
      <w:pPr>
        <w:sectPr>
          <w:pgSz w:w="11900" w:h="16838" w:orient="portrait"/>
          <w:cols w:equalWidth="0" w:num="1">
            <w:col w:w="10700"/>
          </w:cols>
          <w:pgMar w:left="320" w:top="464" w:right="879" w:bottom="1440" w:gutter="0" w:footer="0" w:header="0"/>
          <w:type w:val="continuous"/>
        </w:sectPr>
      </w:pPr>
    </w:p>
    <w:bookmarkStart w:id="110" w:name="page111"/>
    <w:bookmarkEnd w:id="110"/>
    <w:tbl>
      <w:tblPr>
        <w:tblLayout w:type="fixed"/>
        <w:tblInd w:w="0" w:type="dxa"/>
        <w:tblCellMar>
          <w:top w:w="0" w:type="dxa"/>
          <w:left w:w="0" w:type="dxa"/>
          <w:bottom w:w="0" w:type="dxa"/>
          <w:right w:w="0" w:type="dxa"/>
        </w:tblCellMar>
      </w:tblPr>
      <w:tr>
        <w:trPr>
          <w:trHeight w:val="195"/>
        </w:trPr>
        <w:tc>
          <w:tcPr>
            <w:tcW w:w="8640" w:type="dxa"/>
            <w:vAlign w:val="bottom"/>
            <w:gridSpan w:val="14"/>
          </w:tcPr>
          <w:p>
            <w:pPr>
              <w:spacing w:after="0"/>
              <w:rPr>
                <w:sz w:val="20"/>
                <w:szCs w:val="20"/>
                <w:color w:val="auto"/>
              </w:rPr>
            </w:pPr>
            <w:r>
              <w:rPr>
                <w:rFonts w:ascii="Times New Roman" w:cs="Times New Roman" w:eastAsia="Times New Roman" w:hAnsi="Times New Roman"/>
                <w:sz w:val="17"/>
                <w:szCs w:val="17"/>
                <w:b w:val="1"/>
                <w:bCs w:val="1"/>
                <w:color w:val="0000EE"/>
              </w:rPr>
              <w:t>Table of Contents</w:t>
            </w:r>
          </w:p>
        </w:tc>
        <w:tc>
          <w:tcPr>
            <w:tcW w:w="4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52"/>
        </w:trPr>
        <w:tc>
          <w:tcPr>
            <w:tcW w:w="54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20" w:type="dxa"/>
            <w:vAlign w:val="bottom"/>
            <w:gridSpan w:val="5"/>
          </w:tcPr>
          <w:p>
            <w:pPr>
              <w:jc w:val="center"/>
              <w:ind w:right="3223"/>
              <w:spacing w:after="0"/>
              <w:rPr>
                <w:sz w:val="20"/>
                <w:szCs w:val="20"/>
                <w:color w:val="auto"/>
              </w:rPr>
            </w:pPr>
            <w:r>
              <w:rPr>
                <w:rFonts w:ascii="Arial" w:cs="Arial" w:eastAsia="Arial" w:hAnsi="Arial"/>
                <w:sz w:val="17"/>
                <w:szCs w:val="17"/>
                <w:b w:val="1"/>
                <w:bCs w:val="1"/>
                <w:i w:val="1"/>
                <w:iCs w:val="1"/>
                <w:color w:val="auto"/>
              </w:rPr>
              <w:t>ARTICLE VIII</w:t>
            </w:r>
          </w:p>
        </w:tc>
        <w:tc>
          <w:tcPr>
            <w:tcW w:w="4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540" w:type="dxa"/>
            <w:vAlign w:val="bottom"/>
          </w:tcPr>
          <w:p>
            <w:pPr>
              <w:spacing w:after="0"/>
              <w:rPr>
                <w:sz w:val="15"/>
                <w:szCs w:val="15"/>
                <w:color w:val="auto"/>
              </w:rPr>
            </w:pPr>
          </w:p>
        </w:tc>
        <w:tc>
          <w:tcPr>
            <w:tcW w:w="1960" w:type="dxa"/>
            <w:vAlign w:val="bottom"/>
            <w:gridSpan w:val="5"/>
          </w:tcPr>
          <w:p>
            <w:pPr>
              <w:ind w:left="20"/>
              <w:spacing w:after="0" w:line="183" w:lineRule="exact"/>
              <w:rPr>
                <w:sz w:val="20"/>
                <w:szCs w:val="20"/>
                <w:color w:val="auto"/>
              </w:rPr>
            </w:pPr>
            <w:r>
              <w:rPr>
                <w:rFonts w:ascii="Arial" w:cs="Arial" w:eastAsia="Arial" w:hAnsi="Arial"/>
                <w:sz w:val="17"/>
                <w:szCs w:val="17"/>
                <w:b w:val="1"/>
                <w:bCs w:val="1"/>
                <w:i w:val="1"/>
                <w:iCs w:val="1"/>
                <w:color w:val="auto"/>
              </w:rPr>
              <w:t>AMENDMENTS TO THE</w:t>
            </w:r>
          </w:p>
        </w:tc>
        <w:tc>
          <w:tcPr>
            <w:tcW w:w="760" w:type="dxa"/>
            <w:vAlign w:val="bottom"/>
            <w:tcBorders>
              <w:bottom w:val="single" w:sz="8" w:color="auto"/>
            </w:tcBorders>
            <w:gridSpan w:val="2"/>
          </w:tcPr>
          <w:p>
            <w:pPr>
              <w:spacing w:after="0" w:line="163" w:lineRule="exact"/>
              <w:rPr>
                <w:sz w:val="20"/>
                <w:szCs w:val="20"/>
                <w:color w:val="auto"/>
              </w:rPr>
            </w:pPr>
            <w:r>
              <w:rPr>
                <w:rFonts w:ascii="Arial" w:cs="Arial" w:eastAsia="Arial" w:hAnsi="Arial"/>
                <w:sz w:val="17"/>
                <w:szCs w:val="17"/>
                <w:b w:val="1"/>
                <w:bCs w:val="1"/>
                <w:i w:val="1"/>
                <w:iCs w:val="1"/>
                <w:color w:val="auto"/>
              </w:rPr>
              <w:t>SECOND</w:t>
            </w:r>
          </w:p>
        </w:tc>
        <w:tc>
          <w:tcPr>
            <w:tcW w:w="5380" w:type="dxa"/>
            <w:vAlign w:val="bottom"/>
            <w:gridSpan w:val="6"/>
          </w:tcPr>
          <w:p>
            <w:pPr>
              <w:spacing w:after="0" w:line="183" w:lineRule="exact"/>
              <w:rPr>
                <w:sz w:val="20"/>
                <w:szCs w:val="20"/>
                <w:color w:val="auto"/>
              </w:rPr>
            </w:pPr>
            <w:r>
              <w:rPr>
                <w:rFonts w:ascii="Arial" w:cs="Arial" w:eastAsia="Arial" w:hAnsi="Arial"/>
                <w:sz w:val="17"/>
                <w:szCs w:val="17"/>
                <w:b w:val="1"/>
                <w:bCs w:val="1"/>
                <w:i w:val="1"/>
                <w:iCs w:val="1"/>
                <w:color w:val="auto"/>
              </w:rPr>
              <w:t>AMENDED AND RESTATED CERTIFICATE OF INCORPORATION</w:t>
            </w:r>
          </w:p>
        </w:tc>
        <w:tc>
          <w:tcPr>
            <w:tcW w:w="440" w:type="dxa"/>
            <w:vAlign w:val="bottom"/>
          </w:tcPr>
          <w:p>
            <w:pPr>
              <w:ind w:left="240"/>
              <w:spacing w:after="0"/>
              <w:rPr>
                <w:sz w:val="20"/>
                <w:szCs w:val="20"/>
                <w:color w:val="auto"/>
              </w:rPr>
            </w:pPr>
            <w:r>
              <w:rPr>
                <w:rFonts w:ascii="Arial" w:cs="Arial" w:eastAsia="Arial" w:hAnsi="Arial"/>
                <w:sz w:val="15"/>
                <w:szCs w:val="15"/>
                <w:color w:val="auto"/>
              </w:rPr>
              <w:t> </w:t>
            </w:r>
          </w:p>
        </w:tc>
        <w:tc>
          <w:tcPr>
            <w:tcW w:w="1280" w:type="dxa"/>
            <w:vAlign w:val="bottom"/>
          </w:tcPr>
          <w:p>
            <w:pPr>
              <w:ind w:left="140"/>
              <w:spacing w:after="0"/>
              <w:rPr>
                <w:sz w:val="20"/>
                <w:szCs w:val="20"/>
                <w:color w:val="auto"/>
              </w:rPr>
            </w:pPr>
            <w:r>
              <w:rPr>
                <w:rFonts w:ascii="Arial" w:cs="Arial" w:eastAsia="Arial" w:hAnsi="Arial"/>
                <w:sz w:val="12"/>
                <w:szCs w:val="12"/>
                <w:color w:val="FFFFFF"/>
              </w:rPr>
              <w:t>General</w:t>
            </w:r>
          </w:p>
        </w:tc>
        <w:tc>
          <w:tcPr>
            <w:tcW w:w="440" w:type="dxa"/>
            <w:vAlign w:val="bottom"/>
          </w:tcPr>
          <w:p>
            <w:pPr>
              <w:ind w:left="80"/>
              <w:spacing w:after="0"/>
              <w:rPr>
                <w:sz w:val="20"/>
                <w:szCs w:val="20"/>
                <w:color w:val="auto"/>
              </w:rPr>
            </w:pPr>
            <w:r>
              <w:rPr>
                <w:rFonts w:ascii="Arial" w:cs="Arial" w:eastAsia="Arial" w:hAnsi="Arial"/>
                <w:sz w:val="15"/>
                <w:szCs w:val="15"/>
                <w:color w:val="auto"/>
              </w:rPr>
              <w:t xml:space="preserve">       </w:t>
            </w:r>
          </w:p>
        </w:tc>
        <w:tc>
          <w:tcPr>
            <w:tcW w:w="0" w:type="dxa"/>
            <w:vAlign w:val="bottom"/>
          </w:tcPr>
          <w:p>
            <w:pPr>
              <w:spacing w:after="0"/>
              <w:rPr>
                <w:sz w:val="1"/>
                <w:szCs w:val="1"/>
                <w:color w:val="auto"/>
              </w:rPr>
            </w:pPr>
          </w:p>
        </w:tc>
      </w:tr>
      <w:tr>
        <w:trPr>
          <w:trHeight w:val="232"/>
        </w:trPr>
        <w:tc>
          <w:tcPr>
            <w:tcW w:w="5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020" w:type="dxa"/>
            <w:vAlign w:val="bottom"/>
            <w:gridSpan w:val="5"/>
          </w:tcPr>
          <w:p>
            <w:pPr>
              <w:jc w:val="center"/>
              <w:ind w:right="3223"/>
              <w:spacing w:after="0"/>
              <w:rPr>
                <w:sz w:val="20"/>
                <w:szCs w:val="20"/>
                <w:color w:val="auto"/>
              </w:rPr>
            </w:pPr>
            <w:r>
              <w:rPr>
                <w:rFonts w:ascii="Arial" w:cs="Arial" w:eastAsia="Arial" w:hAnsi="Arial"/>
                <w:sz w:val="17"/>
                <w:szCs w:val="17"/>
                <w:b w:val="1"/>
                <w:bCs w:val="1"/>
                <w:i w:val="1"/>
                <w:iCs w:val="1"/>
                <w:color w:val="auto"/>
              </w:rPr>
              <w:t>AND BYLAWS</w:t>
            </w:r>
          </w:p>
        </w:tc>
        <w:tc>
          <w:tcPr>
            <w:tcW w:w="440" w:type="dxa"/>
            <w:vAlign w:val="bottom"/>
          </w:tcPr>
          <w:p>
            <w:pPr>
              <w:spacing w:after="0"/>
              <w:rPr>
                <w:sz w:val="20"/>
                <w:szCs w:val="20"/>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Information</w:t>
            </w: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7"/>
        </w:trPr>
        <w:tc>
          <w:tcPr>
            <w:tcW w:w="540" w:type="dxa"/>
            <w:vAlign w:val="bottom"/>
          </w:tcPr>
          <w:p>
            <w:pPr>
              <w:spacing w:after="0"/>
              <w:rPr>
                <w:sz w:val="15"/>
                <w:szCs w:val="15"/>
                <w:color w:val="auto"/>
              </w:rPr>
            </w:pPr>
          </w:p>
        </w:tc>
        <w:tc>
          <w:tcPr>
            <w:tcW w:w="8100" w:type="dxa"/>
            <w:vAlign w:val="bottom"/>
            <w:gridSpan w:val="13"/>
            <w:vMerge w:val="restart"/>
          </w:tcPr>
          <w:p>
            <w:pPr>
              <w:ind w:left="320"/>
              <w:spacing w:after="0"/>
              <w:rPr>
                <w:sz w:val="20"/>
                <w:szCs w:val="20"/>
                <w:color w:val="auto"/>
              </w:rPr>
            </w:pPr>
            <w:r>
              <w:rPr>
                <w:rFonts w:ascii="Arial" w:cs="Arial" w:eastAsia="Arial" w:hAnsi="Arial"/>
                <w:sz w:val="15"/>
                <w:szCs w:val="15"/>
                <w:color w:val="auto"/>
              </w:rPr>
              <w:t>(a) Bylaws. In furtherance and not in limitation of the powers conferred by law, the Board of Directors is</w:t>
            </w:r>
          </w:p>
        </w:tc>
        <w:tc>
          <w:tcPr>
            <w:tcW w:w="440" w:type="dxa"/>
            <w:vAlign w:val="bottom"/>
          </w:tcPr>
          <w:p>
            <w:pPr>
              <w:spacing w:after="0"/>
              <w:rPr>
                <w:sz w:val="15"/>
                <w:szCs w:val="15"/>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General Information</w:t>
            </w: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540" w:type="dxa"/>
            <w:vAlign w:val="bottom"/>
          </w:tcPr>
          <w:p>
            <w:pPr>
              <w:spacing w:after="0"/>
              <w:rPr>
                <w:sz w:val="11"/>
                <w:szCs w:val="11"/>
                <w:color w:val="auto"/>
              </w:rPr>
            </w:pPr>
          </w:p>
        </w:tc>
        <w:tc>
          <w:tcPr>
            <w:tcW w:w="8100" w:type="dxa"/>
            <w:vAlign w:val="bottom"/>
            <w:gridSpan w:val="13"/>
            <w:vMerge w:val="continue"/>
          </w:tcPr>
          <w:p>
            <w:pPr>
              <w:spacing w:after="0"/>
              <w:rPr>
                <w:sz w:val="11"/>
                <w:szCs w:val="11"/>
                <w:color w:val="auto"/>
              </w:rPr>
            </w:pPr>
          </w:p>
        </w:tc>
        <w:tc>
          <w:tcPr>
            <w:tcW w:w="440" w:type="dxa"/>
            <w:vAlign w:val="bottom"/>
          </w:tcPr>
          <w:p>
            <w:pPr>
              <w:spacing w:after="0"/>
              <w:rPr>
                <w:sz w:val="11"/>
                <w:szCs w:val="11"/>
                <w:color w:val="auto"/>
              </w:rPr>
            </w:pPr>
          </w:p>
        </w:tc>
        <w:tc>
          <w:tcPr>
            <w:tcW w:w="1280" w:type="dxa"/>
            <w:vAlign w:val="bottom"/>
          </w:tcPr>
          <w:p>
            <w:pPr>
              <w:ind w:left="140"/>
              <w:spacing w:after="0" w:line="133" w:lineRule="exact"/>
              <w:rPr>
                <w:sz w:val="20"/>
                <w:szCs w:val="20"/>
                <w:color w:val="auto"/>
              </w:rPr>
            </w:pPr>
            <w:r>
              <w:rPr>
                <w:rFonts w:ascii="Arial" w:cs="Arial" w:eastAsia="Arial" w:hAnsi="Arial"/>
                <w:sz w:val="12"/>
                <w:szCs w:val="12"/>
                <w:color w:val="FFFFFF"/>
              </w:rPr>
              <w:t>About Corporate</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
        </w:trPr>
        <w:tc>
          <w:tcPr>
            <w:tcW w:w="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gridSpan w:val="2"/>
            <w:shd w:val="clear" w:color="auto" w:fill="000000"/>
          </w:tcPr>
          <w:p>
            <w:pPr>
              <w:spacing w:after="0"/>
              <w:rPr>
                <w:sz w:val="2"/>
                <w:szCs w:val="2"/>
                <w:color w:val="auto"/>
              </w:rPr>
            </w:pPr>
          </w:p>
        </w:tc>
        <w:tc>
          <w:tcPr>
            <w:tcW w:w="1340" w:type="dxa"/>
            <w:vAlign w:val="bottom"/>
            <w:gridSpan w:val="2"/>
          </w:tcPr>
          <w:p>
            <w:pPr>
              <w:spacing w:after="0"/>
              <w:rPr>
                <w:sz w:val="2"/>
                <w:szCs w:val="2"/>
                <w:color w:val="auto"/>
              </w:rPr>
            </w:pPr>
          </w:p>
        </w:tc>
        <w:tc>
          <w:tcPr>
            <w:tcW w:w="720" w:type="dxa"/>
            <w:vAlign w:val="bottom"/>
            <w:gridSpan w:val="2"/>
          </w:tcPr>
          <w:p>
            <w:pPr>
              <w:spacing w:after="0"/>
              <w:rPr>
                <w:sz w:val="2"/>
                <w:szCs w:val="2"/>
                <w:color w:val="auto"/>
              </w:rPr>
            </w:pPr>
          </w:p>
        </w:tc>
        <w:tc>
          <w:tcPr>
            <w:tcW w:w="1500" w:type="dxa"/>
            <w:vAlign w:val="bottom"/>
          </w:tcPr>
          <w:p>
            <w:pPr>
              <w:spacing w:after="0"/>
              <w:rPr>
                <w:sz w:val="2"/>
                <w:szCs w:val="2"/>
                <w:color w:val="auto"/>
              </w:rPr>
            </w:pPr>
          </w:p>
        </w:tc>
        <w:tc>
          <w:tcPr>
            <w:tcW w:w="5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9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80" w:type="dxa"/>
            <w:vAlign w:val="bottom"/>
            <w:vMerge w:val="restart"/>
          </w:tcPr>
          <w:p>
            <w:pPr>
              <w:ind w:left="140"/>
              <w:spacing w:after="0"/>
              <w:rPr>
                <w:sz w:val="20"/>
                <w:szCs w:val="20"/>
                <w:color w:val="auto"/>
              </w:rPr>
            </w:pPr>
            <w:r>
              <w:rPr>
                <w:rFonts w:ascii="Arial" w:cs="Arial" w:eastAsia="Arial" w:hAnsi="Arial"/>
                <w:sz w:val="12"/>
                <w:szCs w:val="12"/>
                <w:color w:val="FFFFFF"/>
              </w:rPr>
              <w:t>Governance</w:t>
            </w: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3"/>
        </w:trPr>
        <w:tc>
          <w:tcPr>
            <w:tcW w:w="540" w:type="dxa"/>
            <w:vAlign w:val="bottom"/>
          </w:tcPr>
          <w:p>
            <w:pPr>
              <w:spacing w:after="0"/>
              <w:rPr>
                <w:sz w:val="13"/>
                <w:szCs w:val="13"/>
                <w:color w:val="auto"/>
              </w:rPr>
            </w:pPr>
          </w:p>
        </w:tc>
        <w:tc>
          <w:tcPr>
            <w:tcW w:w="8100" w:type="dxa"/>
            <w:vAlign w:val="bottom"/>
            <w:gridSpan w:val="13"/>
          </w:tcPr>
          <w:p>
            <w:pPr>
              <w:spacing w:after="0" w:line="154" w:lineRule="exact"/>
              <w:rPr>
                <w:sz w:val="20"/>
                <w:szCs w:val="20"/>
                <w:color w:val="auto"/>
              </w:rPr>
            </w:pPr>
            <w:r>
              <w:rPr>
                <w:rFonts w:ascii="Arial" w:cs="Arial" w:eastAsia="Arial" w:hAnsi="Arial"/>
                <w:sz w:val="15"/>
                <w:szCs w:val="15"/>
                <w:color w:val="auto"/>
              </w:rPr>
              <w:t>expressly authorized to make, alter, amend or repeal the bylaws of the Corporation subject to the power of the</w:t>
            </w:r>
          </w:p>
        </w:tc>
        <w:tc>
          <w:tcPr>
            <w:tcW w:w="440" w:type="dxa"/>
            <w:vAlign w:val="bottom"/>
          </w:tcPr>
          <w:p>
            <w:pPr>
              <w:spacing w:after="0"/>
              <w:rPr>
                <w:sz w:val="13"/>
                <w:szCs w:val="13"/>
                <w:color w:val="auto"/>
              </w:rPr>
            </w:pPr>
          </w:p>
        </w:tc>
        <w:tc>
          <w:tcPr>
            <w:tcW w:w="1280" w:type="dxa"/>
            <w:vAlign w:val="bottom"/>
            <w:vMerge w:val="continue"/>
          </w:tcPr>
          <w:p>
            <w:pPr>
              <w:spacing w:after="0"/>
              <w:rPr>
                <w:sz w:val="13"/>
                <w:szCs w:val="13"/>
                <w:color w:val="auto"/>
              </w:rPr>
            </w:pP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2"/>
        </w:trPr>
        <w:tc>
          <w:tcPr>
            <w:tcW w:w="540" w:type="dxa"/>
            <w:vAlign w:val="bottom"/>
          </w:tcPr>
          <w:p>
            <w:pPr>
              <w:spacing w:after="0"/>
              <w:rPr>
                <w:sz w:val="6"/>
                <w:szCs w:val="6"/>
                <w:color w:val="auto"/>
              </w:rPr>
            </w:pPr>
          </w:p>
        </w:tc>
        <w:tc>
          <w:tcPr>
            <w:tcW w:w="8100" w:type="dxa"/>
            <w:vAlign w:val="bottom"/>
            <w:gridSpan w:val="13"/>
            <w:vMerge w:val="restart"/>
          </w:tcPr>
          <w:p>
            <w:pPr>
              <w:spacing w:after="0" w:line="172" w:lineRule="exact"/>
              <w:rPr>
                <w:sz w:val="20"/>
                <w:szCs w:val="20"/>
                <w:color w:val="auto"/>
              </w:rPr>
            </w:pPr>
            <w:r>
              <w:rPr>
                <w:rFonts w:ascii="Arial" w:cs="Arial" w:eastAsia="Arial" w:hAnsi="Arial"/>
                <w:sz w:val="15"/>
                <w:szCs w:val="15"/>
                <w:color w:val="auto"/>
              </w:rPr>
              <w:t>stockholders of the Corporation to make, alter, amend or repeal the bylaws; provided, that with respect to the</w:t>
            </w:r>
          </w:p>
        </w:tc>
        <w:tc>
          <w:tcPr>
            <w:tcW w:w="440" w:type="dxa"/>
            <w:vAlign w:val="bottom"/>
          </w:tcPr>
          <w:p>
            <w:pPr>
              <w:spacing w:after="0"/>
              <w:rPr>
                <w:sz w:val="6"/>
                <w:szCs w:val="6"/>
                <w:color w:val="auto"/>
              </w:rPr>
            </w:pPr>
          </w:p>
        </w:tc>
        <w:tc>
          <w:tcPr>
            <w:tcW w:w="1280" w:type="dxa"/>
            <w:vAlign w:val="bottom"/>
          </w:tcPr>
          <w:p>
            <w:pPr>
              <w:ind w:left="140"/>
              <w:spacing w:after="0" w:line="72" w:lineRule="exact"/>
              <w:rPr>
                <w:sz w:val="20"/>
                <w:szCs w:val="20"/>
                <w:color w:val="auto"/>
              </w:rPr>
            </w:pPr>
            <w:r>
              <w:rPr>
                <w:rFonts w:ascii="Arial" w:cs="Arial" w:eastAsia="Arial" w:hAnsi="Arial"/>
                <w:sz w:val="8"/>
                <w:szCs w:val="8"/>
                <w:color w:val="FFFFFF"/>
              </w:rPr>
              <w:t>and the Board of</w:t>
            </w:r>
          </w:p>
        </w:tc>
        <w:tc>
          <w:tcPr>
            <w:tcW w:w="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0"/>
        </w:trPr>
        <w:tc>
          <w:tcPr>
            <w:tcW w:w="540" w:type="dxa"/>
            <w:vAlign w:val="bottom"/>
          </w:tcPr>
          <w:p>
            <w:pPr>
              <w:spacing w:after="0"/>
              <w:rPr>
                <w:sz w:val="10"/>
                <w:szCs w:val="10"/>
                <w:color w:val="auto"/>
              </w:rPr>
            </w:pPr>
          </w:p>
        </w:tc>
        <w:tc>
          <w:tcPr>
            <w:tcW w:w="8100" w:type="dxa"/>
            <w:vAlign w:val="bottom"/>
            <w:gridSpan w:val="13"/>
            <w:vMerge w:val="continue"/>
          </w:tcPr>
          <w:p>
            <w:pPr>
              <w:spacing w:after="0"/>
              <w:rPr>
                <w:sz w:val="10"/>
                <w:szCs w:val="10"/>
                <w:color w:val="auto"/>
              </w:rPr>
            </w:pPr>
          </w:p>
        </w:tc>
        <w:tc>
          <w:tcPr>
            <w:tcW w:w="440" w:type="dxa"/>
            <w:vAlign w:val="bottom"/>
          </w:tcPr>
          <w:p>
            <w:pPr>
              <w:spacing w:after="0"/>
              <w:rPr>
                <w:sz w:val="10"/>
                <w:szCs w:val="10"/>
                <w:color w:val="auto"/>
              </w:rPr>
            </w:pPr>
          </w:p>
        </w:tc>
        <w:tc>
          <w:tcPr>
            <w:tcW w:w="1280" w:type="dxa"/>
            <w:vAlign w:val="bottom"/>
          </w:tcPr>
          <w:p>
            <w:pPr>
              <w:ind w:left="140"/>
              <w:spacing w:after="0" w:line="100" w:lineRule="exact"/>
              <w:rPr>
                <w:sz w:val="20"/>
                <w:szCs w:val="20"/>
                <w:color w:val="auto"/>
              </w:rPr>
            </w:pPr>
            <w:r>
              <w:rPr>
                <w:rFonts w:ascii="Arial" w:cs="Arial" w:eastAsia="Arial" w:hAnsi="Arial"/>
                <w:sz w:val="11"/>
                <w:szCs w:val="11"/>
                <w:color w:val="FFFFFF"/>
              </w:rPr>
              <w:t>Directors</w:t>
            </w: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960" w:type="dxa"/>
            <w:vAlign w:val="bottom"/>
            <w:gridSpan w:val="5"/>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540" w:type="dxa"/>
            <w:vAlign w:val="bottom"/>
          </w:tcPr>
          <w:p>
            <w:pPr>
              <w:spacing w:after="0"/>
              <w:rPr>
                <w:sz w:val="14"/>
                <w:szCs w:val="14"/>
                <w:color w:val="auto"/>
              </w:rPr>
            </w:pPr>
          </w:p>
        </w:tc>
        <w:tc>
          <w:tcPr>
            <w:tcW w:w="4580" w:type="dxa"/>
            <w:vAlign w:val="bottom"/>
            <w:gridSpan w:val="9"/>
          </w:tcPr>
          <w:p>
            <w:pPr>
              <w:spacing w:after="0"/>
              <w:rPr>
                <w:sz w:val="20"/>
                <w:szCs w:val="20"/>
                <w:color w:val="auto"/>
              </w:rPr>
            </w:pPr>
            <w:r>
              <w:rPr>
                <w:rFonts w:ascii="Arial" w:cs="Arial" w:eastAsia="Arial" w:hAnsi="Arial"/>
                <w:sz w:val="15"/>
                <w:szCs w:val="15"/>
                <w:color w:val="auto"/>
              </w:rPr>
              <w:t>powers of stockholders to make, alter, amend or repeal the bylaws,</w:t>
            </w:r>
          </w:p>
        </w:tc>
        <w:tc>
          <w:tcPr>
            <w:tcW w:w="3520" w:type="dxa"/>
            <w:vAlign w:val="bottom"/>
            <w:gridSpan w:val="4"/>
          </w:tcPr>
          <w:p>
            <w:pPr>
              <w:spacing w:after="0"/>
              <w:rPr>
                <w:sz w:val="20"/>
                <w:szCs w:val="20"/>
                <w:color w:val="auto"/>
              </w:rPr>
            </w:pPr>
            <w:r>
              <w:rPr>
                <w:rFonts w:ascii="Arial" w:cs="Arial" w:eastAsia="Arial" w:hAnsi="Arial"/>
                <w:sz w:val="15"/>
                <w:szCs w:val="15"/>
                <w:b w:val="1"/>
                <w:bCs w:val="1"/>
                <w:i w:val="1"/>
                <w:iCs w:val="1"/>
                <w:color w:val="auto"/>
                <w:strike w:val="1"/>
              </w:rPr>
              <w:t>from and after the first date on which the</w:t>
            </w:r>
          </w:p>
        </w:tc>
        <w:tc>
          <w:tcPr>
            <w:tcW w:w="440" w:type="dxa"/>
            <w:vAlign w:val="bottom"/>
          </w:tcPr>
          <w:p>
            <w:pPr>
              <w:spacing w:after="0"/>
              <w:rPr>
                <w:sz w:val="14"/>
                <w:szCs w:val="14"/>
                <w:color w:val="auto"/>
              </w:rPr>
            </w:pPr>
          </w:p>
        </w:tc>
        <w:tc>
          <w:tcPr>
            <w:tcW w:w="1280" w:type="dxa"/>
            <w:vAlign w:val="bottom"/>
            <w:vMerge w:val="restart"/>
          </w:tcPr>
          <w:p>
            <w:pPr>
              <w:ind w:left="140"/>
              <w:spacing w:after="0"/>
              <w:rPr>
                <w:sz w:val="20"/>
                <w:szCs w:val="20"/>
                <w:color w:val="auto"/>
              </w:rPr>
            </w:pPr>
            <w:r>
              <w:rPr>
                <w:rFonts w:ascii="Arial" w:cs="Arial" w:eastAsia="Arial" w:hAnsi="Arial"/>
                <w:sz w:val="12"/>
                <w:szCs w:val="12"/>
                <w:color w:val="FFFFFF"/>
              </w:rPr>
              <w:t>Proposal 1</w:t>
            </w: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540" w:type="dxa"/>
            <w:vAlign w:val="bottom"/>
          </w:tcPr>
          <w:p>
            <w:pPr>
              <w:spacing w:after="0"/>
              <w:rPr>
                <w:sz w:val="15"/>
                <w:szCs w:val="15"/>
                <w:color w:val="auto"/>
              </w:rPr>
            </w:pPr>
          </w:p>
        </w:tc>
        <w:tc>
          <w:tcPr>
            <w:tcW w:w="8100" w:type="dxa"/>
            <w:vAlign w:val="bottom"/>
            <w:gridSpan w:val="13"/>
          </w:tcPr>
          <w:p>
            <w:pPr>
              <w:spacing w:after="0"/>
              <w:rPr>
                <w:sz w:val="20"/>
                <w:szCs w:val="20"/>
                <w:color w:val="auto"/>
              </w:rPr>
            </w:pPr>
            <w:r>
              <w:rPr>
                <w:rFonts w:ascii="Arial" w:cs="Arial" w:eastAsia="Arial" w:hAnsi="Arial"/>
                <w:sz w:val="15"/>
                <w:szCs w:val="15"/>
                <w:b w:val="1"/>
                <w:bCs w:val="1"/>
                <w:i w:val="1"/>
                <w:iCs w:val="1"/>
                <w:color w:val="auto"/>
                <w:strike w:val="1"/>
              </w:rPr>
              <w:t>Sponsor Holders cease collectively to beneficially own (directly or indirectly) shares of capital stock</w:t>
            </w:r>
          </w:p>
        </w:tc>
        <w:tc>
          <w:tcPr>
            <w:tcW w:w="440" w:type="dxa"/>
            <w:vAlign w:val="bottom"/>
          </w:tcPr>
          <w:p>
            <w:pPr>
              <w:spacing w:after="0"/>
              <w:rPr>
                <w:sz w:val="15"/>
                <w:szCs w:val="15"/>
                <w:color w:val="auto"/>
              </w:rPr>
            </w:pPr>
          </w:p>
        </w:tc>
        <w:tc>
          <w:tcPr>
            <w:tcW w:w="1280" w:type="dxa"/>
            <w:vAlign w:val="bottom"/>
            <w:vMerge w:val="continue"/>
          </w:tcPr>
          <w:p>
            <w:pPr>
              <w:spacing w:after="0"/>
              <w:rPr>
                <w:sz w:val="15"/>
                <w:szCs w:val="15"/>
                <w:color w:val="auto"/>
              </w:rPr>
            </w:pP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8100" w:type="dxa"/>
            <w:vAlign w:val="bottom"/>
            <w:gridSpan w:val="13"/>
          </w:tcPr>
          <w:p>
            <w:pPr>
              <w:spacing w:after="0"/>
              <w:rPr>
                <w:sz w:val="20"/>
                <w:szCs w:val="20"/>
                <w:color w:val="auto"/>
              </w:rPr>
            </w:pPr>
            <w:r>
              <w:rPr>
                <w:rFonts w:ascii="Arial" w:cs="Arial" w:eastAsia="Arial" w:hAnsi="Arial"/>
                <w:sz w:val="15"/>
                <w:szCs w:val="15"/>
                <w:b w:val="1"/>
                <w:bCs w:val="1"/>
                <w:i w:val="1"/>
                <w:iCs w:val="1"/>
                <w:color w:val="auto"/>
                <w:strike w:val="1"/>
              </w:rPr>
              <w:t>representing more than fifty percent (50%) of the voting power of the outstanding shares of capital stock of</w:t>
            </w:r>
          </w:p>
        </w:tc>
        <w:tc>
          <w:tcPr>
            <w:tcW w:w="440" w:type="dxa"/>
            <w:vAlign w:val="bottom"/>
          </w:tcPr>
          <w:p>
            <w:pPr>
              <w:spacing w:after="0"/>
              <w:rPr>
                <w:sz w:val="18"/>
                <w:szCs w:val="18"/>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Information</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540" w:type="dxa"/>
            <w:vAlign w:val="bottom"/>
          </w:tcPr>
          <w:p>
            <w:pPr>
              <w:spacing w:after="0"/>
              <w:rPr>
                <w:sz w:val="11"/>
                <w:szCs w:val="11"/>
                <w:color w:val="auto"/>
              </w:rPr>
            </w:pPr>
          </w:p>
        </w:tc>
        <w:tc>
          <w:tcPr>
            <w:tcW w:w="8100" w:type="dxa"/>
            <w:vAlign w:val="bottom"/>
            <w:gridSpan w:val="13"/>
          </w:tcPr>
          <w:p>
            <w:pPr>
              <w:spacing w:after="0" w:line="136" w:lineRule="exact"/>
              <w:rPr>
                <w:sz w:val="20"/>
                <w:szCs w:val="20"/>
                <w:color w:val="auto"/>
              </w:rPr>
            </w:pPr>
            <w:r>
              <w:rPr>
                <w:rFonts w:ascii="Arial" w:cs="Arial" w:eastAsia="Arial" w:hAnsi="Arial"/>
                <w:sz w:val="15"/>
                <w:szCs w:val="15"/>
                <w:b w:val="1"/>
                <w:bCs w:val="1"/>
                <w:i w:val="1"/>
                <w:iCs w:val="1"/>
                <w:color w:val="auto"/>
                <w:strike w:val="1"/>
              </w:rPr>
              <w:t>the Corporation entitled to vote generally on the making, alteration, amendment or repeal of the bylaws,</w:t>
            </w:r>
          </w:p>
        </w:tc>
        <w:tc>
          <w:tcPr>
            <w:tcW w:w="440" w:type="dxa"/>
            <w:vAlign w:val="bottom"/>
          </w:tcPr>
          <w:p>
            <w:pPr>
              <w:spacing w:after="0"/>
              <w:rPr>
                <w:sz w:val="11"/>
                <w:szCs w:val="11"/>
                <w:color w:val="auto"/>
              </w:rPr>
            </w:pPr>
          </w:p>
        </w:tc>
        <w:tc>
          <w:tcPr>
            <w:tcW w:w="1280" w:type="dxa"/>
            <w:vAlign w:val="bottom"/>
          </w:tcPr>
          <w:p>
            <w:pPr>
              <w:ind w:left="140"/>
              <w:spacing w:after="0" w:line="136" w:lineRule="exact"/>
              <w:rPr>
                <w:sz w:val="20"/>
                <w:szCs w:val="20"/>
                <w:color w:val="auto"/>
              </w:rPr>
            </w:pPr>
            <w:r>
              <w:rPr>
                <w:rFonts w:ascii="Arial" w:cs="Arial" w:eastAsia="Arial" w:hAnsi="Arial"/>
                <w:sz w:val="12"/>
                <w:szCs w:val="12"/>
                <w:color w:val="FFFFFF"/>
              </w:rPr>
              <w:t>Regarding Board</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540" w:type="dxa"/>
            <w:vAlign w:val="bottom"/>
          </w:tcPr>
          <w:p>
            <w:pPr>
              <w:spacing w:after="0"/>
              <w:rPr>
                <w:sz w:val="13"/>
                <w:szCs w:val="13"/>
                <w:color w:val="auto"/>
              </w:rPr>
            </w:pPr>
          </w:p>
        </w:tc>
        <w:tc>
          <w:tcPr>
            <w:tcW w:w="400" w:type="dxa"/>
            <w:vAlign w:val="bottom"/>
          </w:tcPr>
          <w:p>
            <w:pPr>
              <w:spacing w:after="0" w:line="158" w:lineRule="exact"/>
              <w:rPr>
                <w:sz w:val="20"/>
                <w:szCs w:val="20"/>
                <w:color w:val="auto"/>
              </w:rPr>
            </w:pPr>
            <w:r>
              <w:rPr>
                <w:rFonts w:ascii="Arial" w:cs="Arial" w:eastAsia="Arial" w:hAnsi="Arial"/>
                <w:sz w:val="15"/>
                <w:szCs w:val="15"/>
                <w:b w:val="1"/>
                <w:bCs w:val="1"/>
                <w:i w:val="1"/>
                <w:iCs w:val="1"/>
                <w:color w:val="auto"/>
                <w:strike w:val="1"/>
              </w:rPr>
              <w:t>then,</w:t>
            </w:r>
          </w:p>
        </w:tc>
        <w:tc>
          <w:tcPr>
            <w:tcW w:w="6760" w:type="dxa"/>
            <w:vAlign w:val="bottom"/>
            <w:gridSpan w:val="11"/>
          </w:tcPr>
          <w:p>
            <w:pPr>
              <w:spacing w:after="0" w:line="158" w:lineRule="exact"/>
              <w:rPr>
                <w:sz w:val="20"/>
                <w:szCs w:val="20"/>
                <w:color w:val="auto"/>
              </w:rPr>
            </w:pPr>
            <w:r>
              <w:rPr>
                <w:rFonts w:ascii="Arial" w:cs="Arial" w:eastAsia="Arial" w:hAnsi="Arial"/>
                <w:sz w:val="15"/>
                <w:szCs w:val="15"/>
                <w:color w:val="auto"/>
              </w:rPr>
              <w:t>in addition to any other vote otherwise required by law, the affirmative vote of the holders of at least</w:t>
            </w:r>
          </w:p>
        </w:tc>
        <w:tc>
          <w:tcPr>
            <w:tcW w:w="940" w:type="dxa"/>
            <w:vAlign w:val="bottom"/>
          </w:tcPr>
          <w:p>
            <w:pPr>
              <w:spacing w:after="0" w:line="158" w:lineRule="exact"/>
              <w:rPr>
                <w:sz w:val="20"/>
                <w:szCs w:val="20"/>
                <w:color w:val="auto"/>
              </w:rPr>
            </w:pPr>
            <w:r>
              <w:rPr>
                <w:rFonts w:ascii="Arial" w:cs="Arial" w:eastAsia="Arial" w:hAnsi="Arial"/>
                <w:sz w:val="15"/>
                <w:szCs w:val="15"/>
                <w:b w:val="1"/>
                <w:bCs w:val="1"/>
                <w:i w:val="1"/>
                <w:iCs w:val="1"/>
                <w:color w:val="auto"/>
                <w:strike w:val="1"/>
              </w:rPr>
              <w:t>sixty-six</w:t>
            </w:r>
          </w:p>
        </w:tc>
        <w:tc>
          <w:tcPr>
            <w:tcW w:w="440" w:type="dxa"/>
            <w:vAlign w:val="bottom"/>
          </w:tcPr>
          <w:p>
            <w:pPr>
              <w:spacing w:after="0"/>
              <w:rPr>
                <w:sz w:val="13"/>
                <w:szCs w:val="13"/>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and Committee</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540" w:type="dxa"/>
            <w:vAlign w:val="bottom"/>
          </w:tcPr>
          <w:p>
            <w:pPr>
              <w:spacing w:after="0"/>
              <w:rPr>
                <w:sz w:val="11"/>
                <w:szCs w:val="11"/>
                <w:color w:val="auto"/>
              </w:rPr>
            </w:pPr>
          </w:p>
        </w:tc>
        <w:tc>
          <w:tcPr>
            <w:tcW w:w="2360" w:type="dxa"/>
            <w:vAlign w:val="bottom"/>
            <w:gridSpan w:val="6"/>
            <w:vMerge w:val="restart"/>
          </w:tcPr>
          <w:p>
            <w:pPr>
              <w:spacing w:after="0"/>
              <w:rPr>
                <w:sz w:val="20"/>
                <w:szCs w:val="20"/>
                <w:color w:val="auto"/>
              </w:rPr>
            </w:pPr>
            <w:r>
              <w:rPr>
                <w:rFonts w:ascii="Arial" w:cs="Arial" w:eastAsia="Arial" w:hAnsi="Arial"/>
                <w:sz w:val="15"/>
                <w:szCs w:val="15"/>
                <w:b w:val="1"/>
                <w:bCs w:val="1"/>
                <w:i w:val="1"/>
                <w:iCs w:val="1"/>
                <w:color w:val="auto"/>
                <w:strike w:val="1"/>
              </w:rPr>
              <w:t>and two-thirds percent (66 2/3%)</w:t>
            </w:r>
          </w:p>
        </w:tc>
        <w:tc>
          <w:tcPr>
            <w:tcW w:w="5740" w:type="dxa"/>
            <w:vAlign w:val="bottom"/>
            <w:gridSpan w:val="7"/>
            <w:vMerge w:val="restart"/>
          </w:tcPr>
          <w:p>
            <w:pPr>
              <w:spacing w:after="0"/>
              <w:rPr>
                <w:sz w:val="20"/>
                <w:szCs w:val="20"/>
                <w:color w:val="auto"/>
              </w:rPr>
            </w:pPr>
            <w:r>
              <w:rPr>
                <w:rFonts w:ascii="Arial" w:cs="Arial" w:eastAsia="Arial" w:hAnsi="Arial"/>
                <w:sz w:val="15"/>
                <w:szCs w:val="15"/>
                <w:b w:val="1"/>
                <w:bCs w:val="1"/>
                <w:i w:val="1"/>
                <w:iCs w:val="1"/>
                <w:color w:val="auto"/>
              </w:rPr>
              <w:t xml:space="preserve">a majority </w:t>
            </w:r>
            <w:r>
              <w:rPr>
                <w:rFonts w:ascii="Arial" w:cs="Arial" w:eastAsia="Arial" w:hAnsi="Arial"/>
                <w:sz w:val="15"/>
                <w:szCs w:val="15"/>
                <w:color w:val="auto"/>
              </w:rPr>
              <w:t>of the voting power of the outstanding shares of Common Stock shall</w:t>
            </w:r>
          </w:p>
        </w:tc>
        <w:tc>
          <w:tcPr>
            <w:tcW w:w="440" w:type="dxa"/>
            <w:vAlign w:val="bottom"/>
          </w:tcPr>
          <w:p>
            <w:pPr>
              <w:spacing w:after="0"/>
              <w:rPr>
                <w:sz w:val="11"/>
                <w:szCs w:val="11"/>
                <w:color w:val="auto"/>
              </w:rPr>
            </w:pPr>
          </w:p>
        </w:tc>
        <w:tc>
          <w:tcPr>
            <w:tcW w:w="1280" w:type="dxa"/>
            <w:vAlign w:val="bottom"/>
          </w:tcPr>
          <w:p>
            <w:pPr>
              <w:ind w:left="140"/>
              <w:spacing w:after="0" w:line="128" w:lineRule="exact"/>
              <w:rPr>
                <w:sz w:val="20"/>
                <w:szCs w:val="20"/>
                <w:color w:val="auto"/>
              </w:rPr>
            </w:pPr>
            <w:r>
              <w:rPr>
                <w:rFonts w:ascii="Arial" w:cs="Arial" w:eastAsia="Arial" w:hAnsi="Arial"/>
                <w:sz w:val="12"/>
                <w:szCs w:val="12"/>
                <w:color w:val="FFFFFF"/>
              </w:rPr>
              <w:t>Structure</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4"/>
        </w:trPr>
        <w:tc>
          <w:tcPr>
            <w:tcW w:w="540" w:type="dxa"/>
            <w:vAlign w:val="bottom"/>
          </w:tcPr>
          <w:p>
            <w:pPr>
              <w:spacing w:after="0"/>
              <w:rPr>
                <w:sz w:val="5"/>
                <w:szCs w:val="5"/>
                <w:color w:val="auto"/>
              </w:rPr>
            </w:pPr>
          </w:p>
        </w:tc>
        <w:tc>
          <w:tcPr>
            <w:tcW w:w="2360" w:type="dxa"/>
            <w:vAlign w:val="bottom"/>
            <w:gridSpan w:val="6"/>
            <w:vMerge w:val="continue"/>
          </w:tcPr>
          <w:p>
            <w:pPr>
              <w:spacing w:after="0"/>
              <w:rPr>
                <w:sz w:val="5"/>
                <w:szCs w:val="5"/>
                <w:color w:val="auto"/>
              </w:rPr>
            </w:pPr>
          </w:p>
        </w:tc>
        <w:tc>
          <w:tcPr>
            <w:tcW w:w="5740" w:type="dxa"/>
            <w:vAlign w:val="bottom"/>
            <w:gridSpan w:val="7"/>
            <w:vMerge w:val="continue"/>
          </w:tcPr>
          <w:p>
            <w:pPr>
              <w:spacing w:after="0"/>
              <w:rPr>
                <w:sz w:val="5"/>
                <w:szCs w:val="5"/>
                <w:color w:val="auto"/>
              </w:rPr>
            </w:pPr>
          </w:p>
        </w:tc>
        <w:tc>
          <w:tcPr>
            <w:tcW w:w="440" w:type="dxa"/>
            <w:vAlign w:val="bottom"/>
          </w:tcPr>
          <w:p>
            <w:pPr>
              <w:spacing w:after="0"/>
              <w:rPr>
                <w:sz w:val="5"/>
                <w:szCs w:val="5"/>
                <w:color w:val="auto"/>
              </w:rPr>
            </w:pPr>
          </w:p>
        </w:tc>
        <w:tc>
          <w:tcPr>
            <w:tcW w:w="1280" w:type="dxa"/>
            <w:vAlign w:val="bottom"/>
          </w:tcPr>
          <w:p>
            <w:pPr>
              <w:spacing w:after="0"/>
              <w:rPr>
                <w:sz w:val="5"/>
                <w:szCs w:val="5"/>
                <w:color w:val="auto"/>
              </w:rPr>
            </w:pPr>
          </w:p>
        </w:tc>
        <w:tc>
          <w:tcPr>
            <w:tcW w:w="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2360" w:type="dxa"/>
            <w:vAlign w:val="bottom"/>
            <w:gridSpan w:val="6"/>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520" w:type="dxa"/>
            <w:vAlign w:val="bottom"/>
            <w:gridSpan w:val="4"/>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540" w:type="dxa"/>
            <w:vAlign w:val="bottom"/>
          </w:tcPr>
          <w:p>
            <w:pPr>
              <w:spacing w:after="0"/>
              <w:rPr>
                <w:sz w:val="15"/>
                <w:szCs w:val="15"/>
                <w:color w:val="auto"/>
              </w:rPr>
            </w:pPr>
          </w:p>
        </w:tc>
        <w:tc>
          <w:tcPr>
            <w:tcW w:w="8100" w:type="dxa"/>
            <w:vAlign w:val="bottom"/>
            <w:gridSpan w:val="13"/>
          </w:tcPr>
          <w:p>
            <w:pPr>
              <w:spacing w:after="0"/>
              <w:rPr>
                <w:sz w:val="20"/>
                <w:szCs w:val="20"/>
                <w:color w:val="auto"/>
              </w:rPr>
            </w:pPr>
            <w:r>
              <w:rPr>
                <w:rFonts w:ascii="Arial" w:cs="Arial" w:eastAsia="Arial" w:hAnsi="Arial"/>
                <w:sz w:val="15"/>
                <w:szCs w:val="15"/>
                <w:color w:val="auto"/>
              </w:rPr>
              <w:t>be required to make, alter, amend or repeal the bylaws of the Corporation.</w:t>
            </w:r>
          </w:p>
        </w:tc>
        <w:tc>
          <w:tcPr>
            <w:tcW w:w="440" w:type="dxa"/>
            <w:vAlign w:val="bottom"/>
          </w:tcPr>
          <w:p>
            <w:pPr>
              <w:spacing w:after="0"/>
              <w:rPr>
                <w:sz w:val="15"/>
                <w:szCs w:val="15"/>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Board of Directors</w:t>
            </w: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8"/>
        </w:trPr>
        <w:tc>
          <w:tcPr>
            <w:tcW w:w="5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Compensation</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5334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181215" cy="53340"/>
                    </a:xfrm>
                    <a:prstGeom prst="rect">
                      <a:avLst/>
                    </a:prstGeom>
                    <a:noFill/>
                  </pic:spPr>
                </pic:pic>
              </a:graphicData>
            </a:graphic>
          </wp:anchor>
        </w:drawing>
        <w:drawing>
          <wp:anchor simplePos="0" relativeHeight="251657728" behindDoc="1" locked="0" layoutInCell="0" allowOverlap="1">
            <wp:simplePos x="0" y="0"/>
            <wp:positionH relativeFrom="column">
              <wp:posOffset>5617845</wp:posOffset>
            </wp:positionH>
            <wp:positionV relativeFrom="paragraph">
              <wp:posOffset>-1781810</wp:posOffset>
            </wp:positionV>
            <wp:extent cx="1256030" cy="747204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1256030" cy="7472045"/>
                    </a:xfrm>
                    <a:prstGeom prst="rect">
                      <a:avLst/>
                    </a:prstGeom>
                    <a:noFill/>
                  </pic:spPr>
                </pic:pic>
              </a:graphicData>
            </a:graphic>
          </wp:anchor>
        </w:drawing>
      </w:r>
    </w:p>
    <w:p>
      <w:pPr>
        <w:sectPr>
          <w:pgSz w:w="11900" w:h="16838" w:orient="portrait"/>
          <w:cols w:equalWidth="0" w:num="1">
            <w:col w:w="10800"/>
          </w:cols>
          <w:pgMar w:left="320" w:top="454" w:right="779" w:bottom="1440" w:gutter="0" w:footer="0" w:header="0"/>
        </w:sectPr>
      </w:pPr>
    </w:p>
    <w:p>
      <w:pPr>
        <w:spacing w:after="0" w:line="39" w:lineRule="exact"/>
        <w:rPr>
          <w:sz w:val="20"/>
          <w:szCs w:val="20"/>
          <w:color w:val="auto"/>
        </w:rPr>
      </w:pPr>
    </w:p>
    <w:p>
      <w:pPr>
        <w:ind w:left="540" w:right="140" w:firstLine="314"/>
        <w:spacing w:after="0" w:line="252" w:lineRule="auto"/>
        <w:tabs>
          <w:tab w:leader="none" w:pos="1085" w:val="left"/>
        </w:tabs>
        <w:numPr>
          <w:ilvl w:val="0"/>
          <w:numId w:val="149"/>
        </w:numPr>
        <w:rPr>
          <w:rFonts w:ascii="Arial" w:cs="Arial" w:eastAsia="Arial" w:hAnsi="Arial"/>
          <w:sz w:val="15"/>
          <w:szCs w:val="15"/>
          <w:color w:val="auto"/>
        </w:rPr>
      </w:pPr>
      <w:r>
        <w:rPr>
          <w:rFonts w:ascii="Arial" w:cs="Arial" w:eastAsia="Arial" w:hAnsi="Arial"/>
          <w:sz w:val="15"/>
          <w:szCs w:val="15"/>
          <w:u w:val="single" w:color="auto"/>
          <w:color w:val="auto"/>
        </w:rPr>
        <w:t>Amendments to the Certificate of Incorporation</w:t>
      </w:r>
      <w:r>
        <w:rPr>
          <w:rFonts w:ascii="Arial" w:cs="Arial" w:eastAsia="Arial" w:hAnsi="Arial"/>
          <w:sz w:val="15"/>
          <w:szCs w:val="15"/>
          <w:color w:val="auto"/>
        </w:rPr>
        <w:t xml:space="preserve">. Notwithstanding anything to the contrary contained in this </w:t>
      </w:r>
      <w:r>
        <w:rPr>
          <w:rFonts w:ascii="Arial" w:cs="Arial" w:eastAsia="Arial" w:hAnsi="Arial"/>
          <w:sz w:val="15"/>
          <w:szCs w:val="15"/>
          <w:b w:val="1"/>
          <w:bCs w:val="1"/>
          <w:i w:val="1"/>
          <w:iCs w:val="1"/>
          <w:u w:val="single" w:color="auto"/>
          <w:color w:val="auto"/>
        </w:rPr>
        <w:t>Second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Amended and Restated Certificate of Incorporation, and notwithstanding that a lesser percentage may be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 xml:space="preserve">permitted from time to time by applicable law, no provision of Article V, paragraphs (a) and (b) of Article VII, Article VIII and Article IX may be altered, amended or repealed in any respect, nor may any provision or bylaw inconsistent therewith be adopted, unless in addition to any other vote required by this </w:t>
      </w:r>
      <w:r>
        <w:rPr>
          <w:rFonts w:ascii="Arial" w:cs="Arial" w:eastAsia="Arial" w:hAnsi="Arial"/>
          <w:sz w:val="15"/>
          <w:szCs w:val="15"/>
          <w:b w:val="1"/>
          <w:bCs w:val="1"/>
          <w:i w:val="1"/>
          <w:iCs w:val="1"/>
          <w:u w:val="single" w:color="auto"/>
          <w:color w:val="auto"/>
        </w:rPr>
        <w:t>Second</w:t>
      </w:r>
      <w:r>
        <w:rPr>
          <w:rFonts w:ascii="Arial" w:cs="Arial" w:eastAsia="Arial" w:hAnsi="Arial"/>
          <w:sz w:val="15"/>
          <w:szCs w:val="15"/>
          <w:color w:val="auto"/>
        </w:rPr>
        <w:t xml:space="preserve"> Amended and Restated Certificate of Incorporation or otherwise required by law</w:t>
      </w:r>
      <w:r>
        <w:rPr>
          <w:rFonts w:ascii="Arial" w:cs="Arial" w:eastAsia="Arial" w:hAnsi="Arial"/>
          <w:sz w:val="15"/>
          <w:szCs w:val="15"/>
          <w:b w:val="1"/>
          <w:bCs w:val="1"/>
          <w:i w:val="1"/>
          <w:iCs w:val="1"/>
          <w:color w:val="auto"/>
          <w:strike w:val="1"/>
        </w:rPr>
        <w:t>, (i) so long as the Sponsor Holders collectively</w:t>
      </w:r>
      <w:r>
        <w:rPr>
          <w:rFonts w:ascii="Arial" w:cs="Arial" w:eastAsia="Arial" w:hAnsi="Arial"/>
          <w:sz w:val="15"/>
          <w:szCs w:val="15"/>
          <w:color w:val="auto"/>
        </w:rPr>
        <w:t xml:space="preserve"> </w:t>
      </w:r>
      <w:r>
        <w:rPr>
          <w:rFonts w:ascii="Arial" w:cs="Arial" w:eastAsia="Arial" w:hAnsi="Arial"/>
          <w:sz w:val="15"/>
          <w:szCs w:val="15"/>
          <w:b w:val="1"/>
          <w:bCs w:val="1"/>
          <w:i w:val="1"/>
          <w:iCs w:val="1"/>
          <w:color w:val="auto"/>
          <w:strike w:val="1"/>
        </w:rPr>
        <w:t>beneficially own (directly or indirectly) more than fifty percent (50%) of the outstanding shares of Common Stock, such alteration, amendment, repeal or adoption is approved by, in addition to any other vote otherwise required by law, the affirmative vote of the holders of a majority of the voting power of the outstanding shares of Common Stock and (ii) from and after the date on which the Sponsor Holders cease collectively to beneficially own (directly or indirectly) more than fifty percent (50%) of the outstanding shares of Common Stock</w:t>
      </w:r>
      <w:r>
        <w:rPr>
          <w:rFonts w:ascii="Arial" w:cs="Arial" w:eastAsia="Arial" w:hAnsi="Arial"/>
          <w:sz w:val="15"/>
          <w:szCs w:val="15"/>
          <w:color w:val="auto"/>
          <w:strike w:val="1"/>
        </w:rPr>
        <w:t>, such alteration, amendment, repeal or adoption is approved by, in addition to any other</w:t>
      </w:r>
      <w:r>
        <w:rPr>
          <w:rFonts w:ascii="Arial" w:cs="Arial" w:eastAsia="Arial" w:hAnsi="Arial"/>
          <w:sz w:val="15"/>
          <w:szCs w:val="15"/>
          <w:b w:val="1"/>
          <w:bCs w:val="1"/>
          <w:i w:val="1"/>
          <w:iCs w:val="1"/>
          <w:color w:val="auto"/>
          <w:strike w:val="1"/>
        </w:rPr>
        <w:t xml:space="preserve"> </w:t>
      </w:r>
      <w:r>
        <w:rPr>
          <w:rFonts w:ascii="Arial" w:cs="Arial" w:eastAsia="Arial" w:hAnsi="Arial"/>
          <w:sz w:val="15"/>
          <w:szCs w:val="15"/>
          <w:color w:val="auto"/>
          <w:strike w:val="1"/>
        </w:rPr>
        <w:t xml:space="preserve">vote otherwise required by law, the affirmative vote of the holders of at least </w:t>
      </w:r>
      <w:r>
        <w:rPr>
          <w:rFonts w:ascii="Arial" w:cs="Arial" w:eastAsia="Arial" w:hAnsi="Arial"/>
          <w:sz w:val="15"/>
          <w:szCs w:val="15"/>
          <w:b w:val="1"/>
          <w:bCs w:val="1"/>
          <w:i w:val="1"/>
          <w:iCs w:val="1"/>
          <w:color w:val="auto"/>
          <w:strike w:val="1"/>
        </w:rPr>
        <w:t>sixty-six and two-thirds percent (66</w:t>
      </w:r>
      <w:r>
        <w:rPr>
          <w:rFonts w:ascii="Arial" w:cs="Arial" w:eastAsia="Arial" w:hAnsi="Arial"/>
          <w:sz w:val="15"/>
          <w:szCs w:val="15"/>
          <w:color w:val="auto"/>
          <w:strike w:val="1"/>
        </w:rPr>
        <w:t xml:space="preserve"> </w:t>
      </w:r>
      <w:r>
        <w:rPr>
          <w:rFonts w:ascii="Arial" w:cs="Arial" w:eastAsia="Arial" w:hAnsi="Arial"/>
          <w:sz w:val="15"/>
          <w:szCs w:val="15"/>
          <w:b w:val="1"/>
          <w:bCs w:val="1"/>
          <w:i w:val="1"/>
          <w:iCs w:val="1"/>
          <w:color w:val="auto"/>
          <w:strike w:val="1"/>
        </w:rPr>
        <w:t>2/3%)</w:t>
      </w:r>
      <w:r>
        <w:rPr>
          <w:rFonts w:ascii="Arial" w:cs="Arial" w:eastAsia="Arial" w:hAnsi="Arial"/>
          <w:sz w:val="15"/>
          <w:szCs w:val="15"/>
          <w:b w:val="1"/>
          <w:bCs w:val="1"/>
          <w:i w:val="1"/>
          <w:iCs w:val="1"/>
          <w:u w:val="single" w:color="auto"/>
          <w:color w:val="auto"/>
          <w:strike w:val="1"/>
        </w:rPr>
        <w:t>a majority</w:t>
      </w:r>
      <w:r>
        <w:rPr>
          <w:rFonts w:ascii="Arial" w:cs="Arial" w:eastAsia="Arial" w:hAnsi="Arial"/>
          <w:sz w:val="15"/>
          <w:szCs w:val="15"/>
          <w:b w:val="1"/>
          <w:bCs w:val="1"/>
          <w:i w:val="1"/>
          <w:iCs w:val="1"/>
          <w:color w:val="auto"/>
          <w:strike w:val="1"/>
        </w:rPr>
        <w:t xml:space="preserve"> </w:t>
      </w:r>
      <w:r>
        <w:rPr>
          <w:rFonts w:ascii="Arial" w:cs="Arial" w:eastAsia="Arial" w:hAnsi="Arial"/>
          <w:sz w:val="15"/>
          <w:szCs w:val="15"/>
          <w:color w:val="auto"/>
          <w:strike w:val="1"/>
        </w:rPr>
        <w:t>of the voting power of the outstanding shares of Common Stock.</w:t>
      </w:r>
    </w:p>
    <w:p>
      <w:pPr>
        <w:spacing w:after="0" w:line="166" w:lineRule="exact"/>
        <w:rPr>
          <w:sz w:val="20"/>
          <w:szCs w:val="20"/>
          <w:color w:val="auto"/>
        </w:rPr>
      </w:pPr>
    </w:p>
    <w:p>
      <w:pPr>
        <w:jc w:val="center"/>
        <w:ind w:left="460"/>
        <w:spacing w:after="0"/>
        <w:rPr>
          <w:sz w:val="20"/>
          <w:szCs w:val="20"/>
          <w:color w:val="auto"/>
        </w:rPr>
      </w:pPr>
      <w:r>
        <w:rPr>
          <w:rFonts w:ascii="Arial" w:cs="Arial" w:eastAsia="Arial" w:hAnsi="Arial"/>
          <w:sz w:val="17"/>
          <w:szCs w:val="17"/>
          <w:b w:val="1"/>
          <w:bCs w:val="1"/>
          <w:i w:val="1"/>
          <w:iCs w:val="1"/>
          <w:color w:val="auto"/>
        </w:rPr>
        <w:t>ARTICLE IX</w:t>
      </w:r>
    </w:p>
    <w:p>
      <w:pPr>
        <w:spacing w:after="0" w:line="12" w:lineRule="exact"/>
        <w:rPr>
          <w:sz w:val="20"/>
          <w:szCs w:val="20"/>
          <w:color w:val="auto"/>
        </w:rPr>
      </w:pPr>
    </w:p>
    <w:p>
      <w:pPr>
        <w:jc w:val="center"/>
        <w:ind w:left="460"/>
        <w:spacing w:after="0"/>
        <w:rPr>
          <w:sz w:val="20"/>
          <w:szCs w:val="20"/>
          <w:color w:val="auto"/>
        </w:rPr>
      </w:pPr>
      <w:r>
        <w:rPr>
          <w:rFonts w:ascii="Arial" w:cs="Arial" w:eastAsia="Arial" w:hAnsi="Arial"/>
          <w:sz w:val="17"/>
          <w:szCs w:val="17"/>
          <w:b w:val="1"/>
          <w:bCs w:val="1"/>
          <w:i w:val="1"/>
          <w:iCs w:val="1"/>
          <w:color w:val="auto"/>
        </w:rPr>
        <w:t>BUSINESS COMBINATIONS</w:t>
      </w:r>
    </w:p>
    <w:p>
      <w:pPr>
        <w:spacing w:after="0" w:line="189" w:lineRule="exact"/>
        <w:rPr>
          <w:sz w:val="20"/>
          <w:szCs w:val="20"/>
          <w:color w:val="auto"/>
        </w:rPr>
      </w:pPr>
    </w:p>
    <w:p>
      <w:pPr>
        <w:ind w:left="860"/>
        <w:spacing w:after="0"/>
        <w:rPr>
          <w:sz w:val="20"/>
          <w:szCs w:val="20"/>
          <w:color w:val="auto"/>
        </w:rPr>
      </w:pPr>
      <w:r>
        <w:rPr>
          <w:rFonts w:ascii="Arial" w:cs="Arial" w:eastAsia="Arial" w:hAnsi="Arial"/>
          <w:sz w:val="15"/>
          <w:szCs w:val="15"/>
          <w:color w:val="auto"/>
        </w:rPr>
        <w:t>The Corporation hereby expressly elects not to be governed by Section 203 of the DGCL.</w:t>
      </w:r>
    </w:p>
    <w:p>
      <w:pPr>
        <w:spacing w:after="0" w:line="206" w:lineRule="exact"/>
        <w:rPr>
          <w:sz w:val="20"/>
          <w:szCs w:val="20"/>
          <w:color w:val="auto"/>
        </w:rPr>
      </w:pPr>
    </w:p>
    <w:p>
      <w:pPr>
        <w:jc w:val="center"/>
        <w:ind w:left="460"/>
        <w:spacing w:after="0"/>
        <w:rPr>
          <w:sz w:val="20"/>
          <w:szCs w:val="20"/>
          <w:color w:val="auto"/>
        </w:rPr>
      </w:pPr>
      <w:r>
        <w:rPr>
          <w:rFonts w:ascii="Arial" w:cs="Arial" w:eastAsia="Arial" w:hAnsi="Arial"/>
          <w:sz w:val="17"/>
          <w:szCs w:val="17"/>
          <w:b w:val="1"/>
          <w:bCs w:val="1"/>
          <w:i w:val="1"/>
          <w:iCs w:val="1"/>
          <w:color w:val="auto"/>
        </w:rPr>
        <w:t>ARTICLE X</w:t>
      </w:r>
    </w:p>
    <w:p>
      <w:pPr>
        <w:spacing w:after="0" w:line="12" w:lineRule="exact"/>
        <w:rPr>
          <w:sz w:val="20"/>
          <w:szCs w:val="20"/>
          <w:color w:val="auto"/>
        </w:rPr>
      </w:pPr>
    </w:p>
    <w:p>
      <w:pPr>
        <w:jc w:val="center"/>
        <w:ind w:left="460"/>
        <w:spacing w:after="0"/>
        <w:rPr>
          <w:sz w:val="20"/>
          <w:szCs w:val="20"/>
          <w:color w:val="auto"/>
        </w:rPr>
      </w:pPr>
      <w:r>
        <w:rPr>
          <w:rFonts w:ascii="Arial" w:cs="Arial" w:eastAsia="Arial" w:hAnsi="Arial"/>
          <w:sz w:val="17"/>
          <w:szCs w:val="17"/>
          <w:b w:val="1"/>
          <w:bCs w:val="1"/>
          <w:i w:val="1"/>
          <w:iCs w:val="1"/>
          <w:color w:val="auto"/>
          <w:strike w:val="1"/>
        </w:rPr>
        <w:t>RENOUNCEMENT OF CORPORATE OPPORTUNITY</w:t>
      </w:r>
      <w:r>
        <w:rPr>
          <w:rFonts w:ascii="Arial" w:cs="Arial" w:eastAsia="Arial" w:hAnsi="Arial"/>
          <w:sz w:val="17"/>
          <w:szCs w:val="17"/>
          <w:b w:val="1"/>
          <w:bCs w:val="1"/>
          <w:i w:val="1"/>
          <w:iCs w:val="1"/>
          <w:u w:val="single" w:color="auto"/>
          <w:color w:val="auto"/>
          <w:strike w:val="1"/>
        </w:rPr>
        <w:t>[RESERVED]</w:t>
      </w:r>
    </w:p>
    <w:p>
      <w:pPr>
        <w:spacing w:after="0" w:line="189" w:lineRule="exact"/>
        <w:rPr>
          <w:sz w:val="20"/>
          <w:szCs w:val="20"/>
          <w:color w:val="auto"/>
        </w:rPr>
      </w:pPr>
    </w:p>
    <w:p>
      <w:pPr>
        <w:ind w:left="540" w:right="80" w:firstLine="314"/>
        <w:spacing w:after="0" w:line="256" w:lineRule="auto"/>
        <w:tabs>
          <w:tab w:leader="none" w:pos="1085" w:val="left"/>
        </w:tabs>
        <w:numPr>
          <w:ilvl w:val="0"/>
          <w:numId w:val="150"/>
        </w:numPr>
        <w:rPr>
          <w:rFonts w:ascii="Arial" w:cs="Arial" w:eastAsia="Arial" w:hAnsi="Arial"/>
          <w:sz w:val="15"/>
          <w:szCs w:val="15"/>
          <w:b w:val="1"/>
          <w:bCs w:val="1"/>
          <w:i w:val="1"/>
          <w:iCs w:val="1"/>
          <w:color w:val="auto"/>
          <w:strike w:val="1"/>
        </w:rPr>
      </w:pPr>
      <w:r>
        <w:rPr>
          <w:rFonts w:ascii="Arial" w:cs="Arial" w:eastAsia="Arial" w:hAnsi="Arial"/>
          <w:sz w:val="15"/>
          <w:szCs w:val="15"/>
          <w:b w:val="1"/>
          <w:bCs w:val="1"/>
          <w:i w:val="1"/>
          <w:iCs w:val="1"/>
          <w:u w:val="single" w:color="auto"/>
          <w:color w:val="auto"/>
          <w:strike w:val="1"/>
        </w:rPr>
        <w:t>Scope</w:t>
      </w:r>
      <w:r>
        <w:rPr>
          <w:rFonts w:ascii="Arial" w:cs="Arial" w:eastAsia="Arial" w:hAnsi="Arial"/>
          <w:sz w:val="15"/>
          <w:szCs w:val="15"/>
          <w:b w:val="1"/>
          <w:bCs w:val="1"/>
          <w:i w:val="1"/>
          <w:iCs w:val="1"/>
          <w:color w:val="auto"/>
          <w:strike w:val="1"/>
        </w:rPr>
        <w:t>. The provisions of this Article X are set forth to define, to the extent permitted by applicable</w:t>
      </w:r>
      <w:r>
        <w:rPr>
          <w:rFonts w:ascii="Arial" w:cs="Arial" w:eastAsia="Arial" w:hAnsi="Arial"/>
          <w:sz w:val="15"/>
          <w:szCs w:val="15"/>
          <w:b w:val="1"/>
          <w:bCs w:val="1"/>
          <w:i w:val="1"/>
          <w:iCs w:val="1"/>
          <w:u w:val="single" w:color="auto"/>
          <w:color w:val="auto"/>
          <w:strike w:val="1"/>
        </w:rPr>
        <w:t xml:space="preserve"> </w:t>
      </w:r>
      <w:r>
        <w:rPr>
          <w:rFonts w:ascii="Arial" w:cs="Arial" w:eastAsia="Arial" w:hAnsi="Arial"/>
          <w:sz w:val="15"/>
          <w:szCs w:val="15"/>
          <w:b w:val="1"/>
          <w:bCs w:val="1"/>
          <w:i w:val="1"/>
          <w:iCs w:val="1"/>
          <w:color w:val="auto"/>
          <w:strike w:val="1"/>
        </w:rPr>
        <w:t>law, the duties of Exempted Persons (as defined below) to the Corporation with respect to certain classes or categories of business opportunities. “</w:t>
      </w:r>
      <w:r>
        <w:rPr>
          <w:rFonts w:ascii="Arial" w:cs="Arial" w:eastAsia="Arial" w:hAnsi="Arial"/>
          <w:sz w:val="15"/>
          <w:szCs w:val="15"/>
          <w:b w:val="1"/>
          <w:bCs w:val="1"/>
          <w:i w:val="1"/>
          <w:iCs w:val="1"/>
          <w:u w:val="single" w:color="auto"/>
          <w:color w:val="auto"/>
          <w:strike w:val="1"/>
        </w:rPr>
        <w:t>Exempted Persons</w:t>
      </w:r>
      <w:r>
        <w:rPr>
          <w:rFonts w:ascii="Arial" w:cs="Arial" w:eastAsia="Arial" w:hAnsi="Arial"/>
          <w:sz w:val="15"/>
          <w:szCs w:val="15"/>
          <w:b w:val="1"/>
          <w:bCs w:val="1"/>
          <w:i w:val="1"/>
          <w:iCs w:val="1"/>
          <w:color w:val="auto"/>
          <w:strike w:val="1"/>
        </w:rPr>
        <w:t>” means each director of the Corporation who is not an employee of the Corporation or any of its subsidiaries (a “</w:t>
      </w:r>
      <w:r>
        <w:rPr>
          <w:rFonts w:ascii="Arial" w:cs="Arial" w:eastAsia="Arial" w:hAnsi="Arial"/>
          <w:sz w:val="15"/>
          <w:szCs w:val="15"/>
          <w:b w:val="1"/>
          <w:bCs w:val="1"/>
          <w:i w:val="1"/>
          <w:iCs w:val="1"/>
          <w:u w:val="single" w:color="auto"/>
          <w:color w:val="auto"/>
          <w:strike w:val="1"/>
        </w:rPr>
        <w:t>Non-Employee Director</w:t>
      </w:r>
      <w:r>
        <w:rPr>
          <w:rFonts w:ascii="Arial" w:cs="Arial" w:eastAsia="Arial" w:hAnsi="Arial"/>
          <w:sz w:val="15"/>
          <w:szCs w:val="15"/>
          <w:b w:val="1"/>
          <w:bCs w:val="1"/>
          <w:i w:val="1"/>
          <w:iCs w:val="1"/>
          <w:color w:val="auto"/>
          <w:strike w:val="1"/>
        </w:rPr>
        <w:t>”) and each Sponsor Holder and their respective Affiliates (other than the Corporation and its subsidiaries) and all of their respective partners, principals, directors, officers, members, managers and/or employees, including any of the foregoing who serve as officers or directors of the Corporation.</w:t>
      </w:r>
    </w:p>
    <w:p>
      <w:pPr>
        <w:spacing w:after="0" w:line="167" w:lineRule="exact"/>
        <w:rPr>
          <w:rFonts w:ascii="Arial" w:cs="Arial" w:eastAsia="Arial" w:hAnsi="Arial"/>
          <w:sz w:val="15"/>
          <w:szCs w:val="15"/>
          <w:b w:val="1"/>
          <w:bCs w:val="1"/>
          <w:i w:val="1"/>
          <w:iCs w:val="1"/>
          <w:color w:val="auto"/>
          <w:strike w:val="1"/>
        </w:rPr>
      </w:pPr>
    </w:p>
    <w:p>
      <w:pPr>
        <w:ind w:left="540" w:right="180" w:firstLine="314"/>
        <w:spacing w:after="0" w:line="255" w:lineRule="auto"/>
        <w:tabs>
          <w:tab w:leader="none" w:pos="1093" w:val="left"/>
        </w:tabs>
        <w:numPr>
          <w:ilvl w:val="0"/>
          <w:numId w:val="150"/>
        </w:numPr>
        <w:rPr>
          <w:rFonts w:ascii="Arial" w:cs="Arial" w:eastAsia="Arial" w:hAnsi="Arial"/>
          <w:sz w:val="15"/>
          <w:szCs w:val="15"/>
          <w:b w:val="1"/>
          <w:bCs w:val="1"/>
          <w:i w:val="1"/>
          <w:iCs w:val="1"/>
          <w:color w:val="auto"/>
          <w:strike w:val="1"/>
        </w:rPr>
      </w:pPr>
      <w:r>
        <w:rPr>
          <w:rFonts w:ascii="Arial" w:cs="Arial" w:eastAsia="Arial" w:hAnsi="Arial"/>
          <w:sz w:val="15"/>
          <w:szCs w:val="15"/>
          <w:b w:val="1"/>
          <w:bCs w:val="1"/>
          <w:i w:val="1"/>
          <w:iCs w:val="1"/>
          <w:u w:val="single" w:color="auto"/>
          <w:color w:val="auto"/>
          <w:strike w:val="1"/>
        </w:rPr>
        <w:t>Competition and Allocation of Corporate Opportunities</w:t>
      </w:r>
      <w:r>
        <w:rPr>
          <w:rFonts w:ascii="Arial" w:cs="Arial" w:eastAsia="Arial" w:hAnsi="Arial"/>
          <w:sz w:val="15"/>
          <w:szCs w:val="15"/>
          <w:b w:val="1"/>
          <w:bCs w:val="1"/>
          <w:i w:val="1"/>
          <w:iCs w:val="1"/>
          <w:color w:val="auto"/>
          <w:strike w:val="1"/>
        </w:rPr>
        <w:t>. The Exempted Persons shall not have any</w:t>
      </w:r>
      <w:r>
        <w:rPr>
          <w:rFonts w:ascii="Arial" w:cs="Arial" w:eastAsia="Arial" w:hAnsi="Arial"/>
          <w:sz w:val="15"/>
          <w:szCs w:val="15"/>
          <w:b w:val="1"/>
          <w:bCs w:val="1"/>
          <w:i w:val="1"/>
          <w:iCs w:val="1"/>
          <w:u w:val="single" w:color="auto"/>
          <w:color w:val="auto"/>
          <w:strike w:val="1"/>
        </w:rPr>
        <w:t xml:space="preserve"> </w:t>
      </w:r>
      <w:r>
        <w:rPr>
          <w:rFonts w:ascii="Arial" w:cs="Arial" w:eastAsia="Arial" w:hAnsi="Arial"/>
          <w:sz w:val="15"/>
          <w:szCs w:val="15"/>
          <w:b w:val="1"/>
          <w:bCs w:val="1"/>
          <w:i w:val="1"/>
          <w:iCs w:val="1"/>
          <w:color w:val="auto"/>
          <w:strike w:val="1"/>
        </w:rPr>
        <w:t>fiduciary duty to refrain from engaging directly or indirectly in the same or similar business activities or lines of business as the Corporation or any of its subsidiaries. To the fullest extent permitted by applicable law, the Corporation, on behalf of itself and its subsidiaries, renounces any interest or expectancy of the Corporation and its subsidiaries in, or in being offered an opportunity to participate in, business opportunities that are from time to time presented to the Exempted Persons, even if the opportunity is one that the Corporation or its subsidiaries might reasonably be deemed to have pursued or had the ability or desire to pursue if granted the opportunity to do so, and each such Exempted Person shall have no duty</w:t>
      </w:r>
    </w:p>
    <w:p>
      <w:pPr>
        <w:spacing w:after="0" w:line="20" w:lineRule="exact"/>
        <w:rPr>
          <w:sz w:val="20"/>
          <w:szCs w:val="20"/>
          <w:color w:val="auto"/>
        </w:rPr>
      </w:pPr>
      <w:r>
        <w:rPr>
          <w:sz w:val="20"/>
          <w:szCs w:val="20"/>
          <w:color w:val="auto"/>
        </w:rPr>
        <w:br w:type="column"/>
      </w:r>
    </w:p>
    <w:p>
      <w:pPr>
        <w:spacing w:after="0" w:line="116" w:lineRule="exact"/>
        <w:rPr>
          <w:sz w:val="20"/>
          <w:szCs w:val="20"/>
          <w:color w:val="auto"/>
        </w:rPr>
      </w:pPr>
    </w:p>
    <w:p>
      <w:pPr>
        <w:spacing w:after="0"/>
        <w:rPr>
          <w:sz w:val="20"/>
          <w:szCs w:val="20"/>
          <w:color w:val="auto"/>
        </w:rPr>
      </w:pPr>
      <w:r>
        <w:rPr>
          <w:rFonts w:ascii="Arial" w:cs="Arial" w:eastAsia="Arial" w:hAnsi="Arial"/>
          <w:sz w:val="12"/>
          <w:szCs w:val="12"/>
          <w:color w:val="FFFFFF"/>
        </w:rPr>
        <w:t>Compensation</w:t>
      </w:r>
    </w:p>
    <w:p>
      <w:pPr>
        <w:spacing w:after="0" w:line="224" w:lineRule="auto"/>
        <w:rPr>
          <w:sz w:val="20"/>
          <w:szCs w:val="20"/>
          <w:color w:val="auto"/>
        </w:rPr>
      </w:pPr>
      <w:r>
        <w:rPr>
          <w:rFonts w:ascii="Arial" w:cs="Arial" w:eastAsia="Arial" w:hAnsi="Arial"/>
          <w:sz w:val="12"/>
          <w:szCs w:val="12"/>
          <w:color w:val="FFFFFF"/>
        </w:rPr>
        <w:t>Discussion and</w:t>
      </w:r>
    </w:p>
    <w:p>
      <w:pPr>
        <w:spacing w:after="0"/>
        <w:rPr>
          <w:sz w:val="20"/>
          <w:szCs w:val="20"/>
          <w:color w:val="auto"/>
        </w:rPr>
      </w:pPr>
      <w:r>
        <w:rPr>
          <w:rFonts w:ascii="Arial" w:cs="Arial" w:eastAsia="Arial" w:hAnsi="Arial"/>
          <w:sz w:val="12"/>
          <w:szCs w:val="12"/>
          <w:color w:val="FFFFFF"/>
        </w:rPr>
        <w:t>Analysis</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Report of the</w:t>
      </w:r>
    </w:p>
    <w:p>
      <w:pPr>
        <w:spacing w:after="0" w:line="224" w:lineRule="auto"/>
        <w:rPr>
          <w:sz w:val="20"/>
          <w:szCs w:val="20"/>
          <w:color w:val="auto"/>
        </w:rPr>
      </w:pPr>
      <w:r>
        <w:rPr>
          <w:rFonts w:ascii="Arial" w:cs="Arial" w:eastAsia="Arial" w:hAnsi="Arial"/>
          <w:sz w:val="12"/>
          <w:szCs w:val="12"/>
          <w:color w:val="FFFFFF"/>
        </w:rPr>
        <w:t>Compensation</w:t>
      </w:r>
    </w:p>
    <w:p>
      <w:pPr>
        <w:spacing w:after="0" w:line="222" w:lineRule="auto"/>
        <w:rPr>
          <w:sz w:val="20"/>
          <w:szCs w:val="20"/>
          <w:color w:val="auto"/>
        </w:rPr>
      </w:pPr>
      <w:r>
        <w:rPr>
          <w:rFonts w:ascii="Arial" w:cs="Arial" w:eastAsia="Arial" w:hAnsi="Arial"/>
          <w:sz w:val="12"/>
          <w:szCs w:val="12"/>
          <w:color w:val="FFFFFF"/>
        </w:rPr>
        <w:t>and Human</w:t>
      </w:r>
    </w:p>
    <w:p>
      <w:pPr>
        <w:spacing w:after="0" w:line="222" w:lineRule="auto"/>
        <w:rPr>
          <w:sz w:val="20"/>
          <w:szCs w:val="20"/>
          <w:color w:val="auto"/>
        </w:rPr>
      </w:pPr>
      <w:r>
        <w:rPr>
          <w:rFonts w:ascii="Arial" w:cs="Arial" w:eastAsia="Arial" w:hAnsi="Arial"/>
          <w:sz w:val="12"/>
          <w:szCs w:val="12"/>
          <w:color w:val="FFFFFF"/>
        </w:rPr>
        <w:t>Resources</w:t>
      </w:r>
    </w:p>
    <w:p>
      <w:pPr>
        <w:spacing w:after="0" w:line="222" w:lineRule="auto"/>
        <w:rPr>
          <w:sz w:val="20"/>
          <w:szCs w:val="20"/>
          <w:color w:val="auto"/>
        </w:rPr>
      </w:pPr>
      <w:r>
        <w:rPr>
          <w:rFonts w:ascii="Arial" w:cs="Arial" w:eastAsia="Arial" w:hAnsi="Arial"/>
          <w:sz w:val="12"/>
          <w:szCs w:val="12"/>
          <w:color w:val="FFFFFF"/>
        </w:rPr>
        <w:t>Committee of the</w:t>
      </w:r>
    </w:p>
    <w:p>
      <w:pPr>
        <w:spacing w:after="0"/>
        <w:rPr>
          <w:sz w:val="20"/>
          <w:szCs w:val="20"/>
          <w:color w:val="auto"/>
        </w:rPr>
      </w:pPr>
      <w:r>
        <w:rPr>
          <w:rFonts w:ascii="Arial" w:cs="Arial" w:eastAsia="Arial" w:hAnsi="Arial"/>
          <w:sz w:val="11"/>
          <w:szCs w:val="11"/>
          <w:color w:val="FFFFFF"/>
        </w:rPr>
        <w:t>Board of Directors</w:t>
      </w:r>
    </w:p>
    <w:p>
      <w:pPr>
        <w:spacing w:after="0" w:line="155" w:lineRule="exact"/>
        <w:rPr>
          <w:sz w:val="20"/>
          <w:szCs w:val="20"/>
          <w:color w:val="auto"/>
        </w:rPr>
      </w:pPr>
    </w:p>
    <w:p>
      <w:pPr>
        <w:spacing w:after="0"/>
        <w:rPr>
          <w:sz w:val="20"/>
          <w:szCs w:val="20"/>
          <w:color w:val="auto"/>
        </w:rPr>
      </w:pPr>
      <w:r>
        <w:rPr>
          <w:rFonts w:ascii="Arial" w:cs="Arial" w:eastAsia="Arial" w:hAnsi="Arial"/>
          <w:sz w:val="12"/>
          <w:szCs w:val="12"/>
          <w:color w:val="FFFFFF"/>
        </w:rPr>
        <w:t>Compensation of</w:t>
      </w:r>
    </w:p>
    <w:p>
      <w:pPr>
        <w:spacing w:after="0" w:line="224" w:lineRule="auto"/>
        <w:rPr>
          <w:sz w:val="20"/>
          <w:szCs w:val="20"/>
          <w:color w:val="auto"/>
        </w:rPr>
      </w:pPr>
      <w:r>
        <w:rPr>
          <w:rFonts w:ascii="Arial" w:cs="Arial" w:eastAsia="Arial" w:hAnsi="Arial"/>
          <w:sz w:val="12"/>
          <w:szCs w:val="12"/>
          <w:color w:val="FFFFFF"/>
        </w:rPr>
        <w:t>Named Executive</w:t>
      </w:r>
    </w:p>
    <w:p>
      <w:pPr>
        <w:spacing w:after="0"/>
        <w:rPr>
          <w:sz w:val="20"/>
          <w:szCs w:val="20"/>
          <w:color w:val="auto"/>
        </w:rPr>
      </w:pPr>
      <w:r>
        <w:rPr>
          <w:rFonts w:ascii="Arial" w:cs="Arial" w:eastAsia="Arial" w:hAnsi="Arial"/>
          <w:sz w:val="12"/>
          <w:szCs w:val="12"/>
          <w:color w:val="FFFFFF"/>
        </w:rPr>
        <w:t>Officers</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Pay Versus</w:t>
      </w:r>
    </w:p>
    <w:p>
      <w:pPr>
        <w:spacing w:after="0" w:line="224" w:lineRule="auto"/>
        <w:rPr>
          <w:sz w:val="20"/>
          <w:szCs w:val="20"/>
          <w:color w:val="auto"/>
        </w:rPr>
      </w:pPr>
      <w:r>
        <w:rPr>
          <w:rFonts w:ascii="Arial" w:cs="Arial" w:eastAsia="Arial" w:hAnsi="Arial"/>
          <w:sz w:val="12"/>
          <w:szCs w:val="12"/>
          <w:color w:val="FFFFFF"/>
        </w:rPr>
        <w:t>Performance</w:t>
      </w:r>
    </w:p>
    <w:p>
      <w:pPr>
        <w:spacing w:after="0"/>
        <w:rPr>
          <w:sz w:val="20"/>
          <w:szCs w:val="20"/>
          <w:color w:val="auto"/>
        </w:rPr>
      </w:pPr>
      <w:r>
        <w:rPr>
          <w:rFonts w:ascii="Arial" w:cs="Arial" w:eastAsia="Arial" w:hAnsi="Arial"/>
          <w:sz w:val="12"/>
          <w:szCs w:val="12"/>
          <w:color w:val="FFFFFF"/>
        </w:rPr>
        <w:t>Disclosure</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Security</w:t>
      </w:r>
    </w:p>
    <w:p>
      <w:pPr>
        <w:spacing w:after="0" w:line="224" w:lineRule="auto"/>
        <w:rPr>
          <w:sz w:val="20"/>
          <w:szCs w:val="20"/>
          <w:color w:val="auto"/>
        </w:rPr>
      </w:pPr>
      <w:r>
        <w:rPr>
          <w:rFonts w:ascii="Arial" w:cs="Arial" w:eastAsia="Arial" w:hAnsi="Arial"/>
          <w:sz w:val="12"/>
          <w:szCs w:val="12"/>
          <w:color w:val="FFFFFF"/>
        </w:rPr>
        <w:t>Ownership of</w:t>
      </w:r>
    </w:p>
    <w:p>
      <w:pPr>
        <w:spacing w:after="0" w:line="222" w:lineRule="auto"/>
        <w:rPr>
          <w:sz w:val="20"/>
          <w:szCs w:val="20"/>
          <w:color w:val="auto"/>
        </w:rPr>
      </w:pPr>
      <w:r>
        <w:rPr>
          <w:rFonts w:ascii="Arial" w:cs="Arial" w:eastAsia="Arial" w:hAnsi="Arial"/>
          <w:sz w:val="12"/>
          <w:szCs w:val="12"/>
          <w:color w:val="FFFFFF"/>
        </w:rPr>
        <w:t>Certain Beneficial</w:t>
      </w:r>
    </w:p>
    <w:p>
      <w:pPr>
        <w:spacing w:after="0" w:line="222" w:lineRule="auto"/>
        <w:rPr>
          <w:sz w:val="20"/>
          <w:szCs w:val="20"/>
          <w:color w:val="auto"/>
        </w:rPr>
      </w:pPr>
      <w:r>
        <w:rPr>
          <w:rFonts w:ascii="Arial" w:cs="Arial" w:eastAsia="Arial" w:hAnsi="Arial"/>
          <w:sz w:val="12"/>
          <w:szCs w:val="12"/>
          <w:color w:val="FFFFFF"/>
        </w:rPr>
        <w:t>Owners and</w:t>
      </w:r>
    </w:p>
    <w:p>
      <w:pPr>
        <w:spacing w:after="0"/>
        <w:rPr>
          <w:sz w:val="20"/>
          <w:szCs w:val="20"/>
          <w:color w:val="auto"/>
        </w:rPr>
      </w:pPr>
      <w:r>
        <w:rPr>
          <w:rFonts w:ascii="Arial" w:cs="Arial" w:eastAsia="Arial" w:hAnsi="Arial"/>
          <w:sz w:val="12"/>
          <w:szCs w:val="12"/>
          <w:color w:val="FFFFFF"/>
        </w:rPr>
        <w:t>Management</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Certain</w:t>
      </w:r>
    </w:p>
    <w:p>
      <w:pPr>
        <w:spacing w:after="0" w:line="224" w:lineRule="auto"/>
        <w:rPr>
          <w:sz w:val="20"/>
          <w:szCs w:val="20"/>
          <w:color w:val="auto"/>
        </w:rPr>
      </w:pPr>
      <w:r>
        <w:rPr>
          <w:rFonts w:ascii="Arial" w:cs="Arial" w:eastAsia="Arial" w:hAnsi="Arial"/>
          <w:sz w:val="12"/>
          <w:szCs w:val="12"/>
          <w:color w:val="FFFFFF"/>
        </w:rPr>
        <w:t>Relationships and</w:t>
      </w:r>
    </w:p>
    <w:p>
      <w:pPr>
        <w:spacing w:after="0" w:line="222" w:lineRule="auto"/>
        <w:rPr>
          <w:sz w:val="20"/>
          <w:szCs w:val="20"/>
          <w:color w:val="auto"/>
        </w:rPr>
      </w:pPr>
      <w:r>
        <w:rPr>
          <w:rFonts w:ascii="Arial" w:cs="Arial" w:eastAsia="Arial" w:hAnsi="Arial"/>
          <w:sz w:val="12"/>
          <w:szCs w:val="12"/>
          <w:color w:val="FFFFFF"/>
        </w:rPr>
        <w:t>Related Party</w:t>
      </w:r>
    </w:p>
    <w:p>
      <w:pPr>
        <w:spacing w:after="0"/>
        <w:rPr>
          <w:sz w:val="20"/>
          <w:szCs w:val="20"/>
          <w:color w:val="auto"/>
        </w:rPr>
      </w:pPr>
      <w:r>
        <w:rPr>
          <w:rFonts w:ascii="Arial" w:cs="Arial" w:eastAsia="Arial" w:hAnsi="Arial"/>
          <w:sz w:val="12"/>
          <w:szCs w:val="12"/>
          <w:color w:val="FFFFFF"/>
        </w:rPr>
        <w:t>Transactions</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Proposal 2</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FFFFFF"/>
        </w:rPr>
        <w:t>Report of the</w:t>
      </w:r>
    </w:p>
    <w:p>
      <w:pPr>
        <w:spacing w:after="0" w:line="224" w:lineRule="auto"/>
        <w:rPr>
          <w:sz w:val="20"/>
          <w:szCs w:val="20"/>
          <w:color w:val="auto"/>
        </w:rPr>
      </w:pPr>
      <w:r>
        <w:rPr>
          <w:rFonts w:ascii="Arial" w:cs="Arial" w:eastAsia="Arial" w:hAnsi="Arial"/>
          <w:sz w:val="12"/>
          <w:szCs w:val="12"/>
          <w:color w:val="FFFFFF"/>
        </w:rPr>
        <w:t>Audit and Risk</w:t>
      </w:r>
    </w:p>
    <w:p>
      <w:pPr>
        <w:spacing w:after="0" w:line="222" w:lineRule="auto"/>
        <w:rPr>
          <w:sz w:val="20"/>
          <w:szCs w:val="20"/>
          <w:color w:val="auto"/>
        </w:rPr>
      </w:pPr>
      <w:r>
        <w:rPr>
          <w:rFonts w:ascii="Arial" w:cs="Arial" w:eastAsia="Arial" w:hAnsi="Arial"/>
          <w:sz w:val="12"/>
          <w:szCs w:val="12"/>
          <w:color w:val="FFFFFF"/>
        </w:rPr>
        <w:t>Committee of the</w:t>
      </w:r>
    </w:p>
    <w:p>
      <w:pPr>
        <w:spacing w:after="0"/>
        <w:rPr>
          <w:sz w:val="20"/>
          <w:szCs w:val="20"/>
          <w:color w:val="auto"/>
        </w:rPr>
      </w:pPr>
      <w:r>
        <w:rPr>
          <w:rFonts w:ascii="Arial" w:cs="Arial" w:eastAsia="Arial" w:hAnsi="Arial"/>
          <w:sz w:val="11"/>
          <w:szCs w:val="11"/>
          <w:color w:val="FFFFFF"/>
        </w:rPr>
        <w:t>Board of Directors</w:t>
      </w:r>
    </w:p>
    <w:p>
      <w:pPr>
        <w:spacing w:after="0" w:line="155" w:lineRule="exact"/>
        <w:rPr>
          <w:sz w:val="20"/>
          <w:szCs w:val="20"/>
          <w:color w:val="auto"/>
        </w:rPr>
      </w:pPr>
    </w:p>
    <w:p>
      <w:pPr>
        <w:spacing w:after="0"/>
        <w:rPr>
          <w:sz w:val="20"/>
          <w:szCs w:val="20"/>
          <w:color w:val="auto"/>
        </w:rPr>
      </w:pPr>
      <w:r>
        <w:rPr>
          <w:rFonts w:ascii="Arial" w:cs="Arial" w:eastAsia="Arial" w:hAnsi="Arial"/>
          <w:sz w:val="12"/>
          <w:szCs w:val="12"/>
          <w:color w:val="FFFFFF"/>
        </w:rPr>
        <w:t>Proposal 3</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FFFFFF"/>
        </w:rPr>
        <w:t>Proposal 4</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FFFFFF"/>
        </w:rPr>
        <w:t>Proposal 5</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FFFFFF"/>
        </w:rPr>
        <w:t>Proposal 6</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FFFFFF"/>
        </w:rPr>
        <w:t>Stockholder</w:t>
      </w:r>
    </w:p>
    <w:p>
      <w:pPr>
        <w:spacing w:after="0" w:line="224" w:lineRule="auto"/>
        <w:rPr>
          <w:sz w:val="20"/>
          <w:szCs w:val="20"/>
          <w:color w:val="auto"/>
        </w:rPr>
      </w:pPr>
      <w:r>
        <w:rPr>
          <w:rFonts w:ascii="Arial" w:cs="Arial" w:eastAsia="Arial" w:hAnsi="Arial"/>
          <w:sz w:val="12"/>
          <w:szCs w:val="12"/>
          <w:color w:val="FFFFFF"/>
        </w:rPr>
        <w:t>Proposals and</w:t>
      </w:r>
    </w:p>
    <w:p>
      <w:pPr>
        <w:spacing w:after="0"/>
        <w:rPr>
          <w:sz w:val="20"/>
          <w:szCs w:val="20"/>
          <w:color w:val="auto"/>
        </w:rPr>
      </w:pPr>
      <w:r>
        <w:rPr>
          <w:rFonts w:ascii="Arial" w:cs="Arial" w:eastAsia="Arial" w:hAnsi="Arial"/>
          <w:sz w:val="12"/>
          <w:szCs w:val="12"/>
          <w:color w:val="FFFFFF"/>
        </w:rPr>
        <w:t>Other Matters</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Delinquent</w:t>
      </w:r>
    </w:p>
    <w:p>
      <w:pPr>
        <w:spacing w:after="0" w:line="224" w:lineRule="auto"/>
        <w:rPr>
          <w:sz w:val="20"/>
          <w:szCs w:val="20"/>
          <w:color w:val="auto"/>
        </w:rPr>
      </w:pPr>
      <w:r>
        <w:rPr>
          <w:rFonts w:ascii="Arial" w:cs="Arial" w:eastAsia="Arial" w:hAnsi="Arial"/>
          <w:sz w:val="12"/>
          <w:szCs w:val="12"/>
          <w:color w:val="FFFFFF"/>
        </w:rPr>
        <w:t>Section 16(a)</w:t>
      </w:r>
    </w:p>
    <w:p>
      <w:pPr>
        <w:spacing w:after="0"/>
        <w:rPr>
          <w:sz w:val="20"/>
          <w:szCs w:val="20"/>
          <w:color w:val="auto"/>
        </w:rPr>
      </w:pPr>
      <w:r>
        <w:rPr>
          <w:rFonts w:ascii="Arial" w:cs="Arial" w:eastAsia="Arial" w:hAnsi="Arial"/>
          <w:sz w:val="12"/>
          <w:szCs w:val="12"/>
          <w:color w:val="FFFFFF"/>
        </w:rPr>
        <w:t>Reports</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Other</w:t>
      </w:r>
    </w:p>
    <w:p>
      <w:pPr>
        <w:spacing w:after="0" w:line="2" w:lineRule="exact"/>
        <w:rPr>
          <w:sz w:val="20"/>
          <w:szCs w:val="20"/>
          <w:color w:val="auto"/>
        </w:rPr>
      </w:pPr>
    </w:p>
    <w:p>
      <w:pPr>
        <w:spacing w:after="0"/>
        <w:rPr>
          <w:sz w:val="20"/>
          <w:szCs w:val="20"/>
          <w:color w:val="auto"/>
        </w:rPr>
      </w:pPr>
      <w:r>
        <w:rPr>
          <w:rFonts w:ascii="Arial" w:cs="Arial" w:eastAsia="Arial" w:hAnsi="Arial"/>
          <w:sz w:val="12"/>
          <w:szCs w:val="12"/>
          <w:color w:val="FFFFFF"/>
        </w:rPr>
        <w:t>Information</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Appendix A</w:t>
      </w:r>
    </w:p>
    <w:p>
      <w:pPr>
        <w:spacing w:after="0" w:line="153" w:lineRule="exact"/>
        <w:rPr>
          <w:sz w:val="20"/>
          <w:szCs w:val="20"/>
          <w:color w:val="auto"/>
        </w:rPr>
      </w:pPr>
    </w:p>
    <w:p>
      <w:pPr>
        <w:sectPr>
          <w:pgSz w:w="11900" w:h="16838" w:orient="portrait"/>
          <w:cols w:equalWidth="0" w:num="2">
            <w:col w:w="8500" w:space="720"/>
            <w:col w:w="1580"/>
          </w:cols>
          <w:pgMar w:left="320" w:top="454" w:right="779" w:bottom="1440" w:gutter="0" w:footer="0" w:header="0"/>
          <w:type w:val="continuous"/>
        </w:sectPr>
      </w:pPr>
    </w:p>
    <w:p>
      <w:pPr>
        <w:ind w:left="9080"/>
        <w:spacing w:after="0"/>
        <w:rPr>
          <w:sz w:val="20"/>
          <w:szCs w:val="20"/>
          <w:color w:val="auto"/>
        </w:rPr>
      </w:pPr>
      <w:r>
        <w:rPr>
          <w:sz w:val="1"/>
          <w:szCs w:val="1"/>
          <w:color w:val="auto"/>
        </w:rPr>
        <w:drawing>
          <wp:inline distT="0" distB="0" distL="0" distR="0">
            <wp:extent cx="56515" cy="88900"/>
            <wp:effectExtent l="0" t="0" r="0" b="0"/>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56515" cy="88900"/>
                    </a:xfrm>
                    <a:prstGeom prst="rect">
                      <a:avLst/>
                    </a:prstGeom>
                    <a:noFill/>
                    <a:ln>
                      <a:noFill/>
                    </a:ln>
                  </pic:spPr>
                </pic:pic>
              </a:graphicData>
            </a:graphic>
          </wp:inline>
        </w:drawing>
      </w:r>
      <w:r>
        <w:rPr>
          <w:rFonts w:ascii="Arial" w:cs="Arial" w:eastAsia="Arial" w:hAnsi="Arial"/>
          <w:sz w:val="12"/>
          <w:szCs w:val="12"/>
          <w:b w:val="1"/>
          <w:bCs w:val="1"/>
          <w:color w:val="FFFFFF"/>
        </w:rPr>
        <w:t xml:space="preserve"> Appendix 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300"/>
        <w:spacing w:after="0"/>
        <w:tabs>
          <w:tab w:leader="none" w:pos="8500" w:val="left"/>
          <w:tab w:leader="none" w:pos="9960" w:val="left"/>
        </w:tabs>
        <w:rPr>
          <w:sz w:val="20"/>
          <w:szCs w:val="20"/>
          <w:color w:val="auto"/>
        </w:rPr>
      </w:pPr>
      <w:r>
        <w:rPr>
          <w:rFonts w:ascii="Arial" w:cs="Arial" w:eastAsia="Arial" w:hAnsi="Arial"/>
          <w:sz w:val="15"/>
          <w:szCs w:val="15"/>
          <w:b w:val="1"/>
          <w:bCs w:val="1"/>
          <w:color w:val="002B5F"/>
        </w:rPr>
        <w:t xml:space="preserve">2026 Proxy Statement  </w:t>
      </w:r>
      <w:r>
        <w:rPr>
          <w:rFonts w:ascii="Arial" w:cs="Arial" w:eastAsia="Arial" w:hAnsi="Arial"/>
          <w:sz w:val="20"/>
          <w:szCs w:val="20"/>
          <w:color w:val="002B5F"/>
        </w:rPr>
        <w:t>|</w:t>
      </w:r>
      <w:r>
        <w:rPr>
          <w:rFonts w:ascii="Arial" w:cs="Arial" w:eastAsia="Arial" w:hAnsi="Arial"/>
          <w:sz w:val="15"/>
          <w:szCs w:val="15"/>
          <w:b w:val="1"/>
          <w:bCs w:val="1"/>
          <w:color w:val="002B5F"/>
        </w:rPr>
        <w:t xml:space="preserve">  103</w:t>
      </w:r>
      <w:r>
        <w:rPr>
          <w:sz w:val="20"/>
          <w:szCs w:val="20"/>
          <w:color w:val="auto"/>
        </w:rPr>
        <w:tab/>
      </w:r>
      <w:r>
        <w:rPr>
          <w:rFonts w:ascii="Arial" w:cs="Arial" w:eastAsia="Arial" w:hAnsi="Arial"/>
          <w:sz w:val="17"/>
          <w:szCs w:val="17"/>
          <w:color w:val="auto"/>
        </w:rPr>
        <w:t xml:space="preserve">    </w:t>
      </w:r>
      <w:r>
        <w:rPr>
          <w:sz w:val="20"/>
          <w:szCs w:val="20"/>
          <w:color w:val="auto"/>
        </w:rPr>
        <w:tab/>
      </w:r>
      <w:r>
        <w:rPr>
          <w:rFonts w:ascii="Arial" w:cs="Arial" w:eastAsia="Arial" w:hAnsi="Arial"/>
          <w:sz w:val="17"/>
          <w:szCs w:val="17"/>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268605</wp:posOffset>
            </wp:positionH>
            <wp:positionV relativeFrom="paragraph">
              <wp:posOffset>-128905</wp:posOffset>
            </wp:positionV>
            <wp:extent cx="762000" cy="9715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62000" cy="97155"/>
                    </a:xfrm>
                    <a:prstGeom prst="rect">
                      <a:avLst/>
                    </a:prstGeom>
                    <a:noFill/>
                  </pic:spPr>
                </pic:pic>
              </a:graphicData>
            </a:graphic>
          </wp:anchor>
        </w:drawing>
      </w:r>
    </w:p>
    <w:p>
      <w:pPr>
        <w:sectPr>
          <w:pgSz w:w="11900" w:h="16838" w:orient="portrait"/>
          <w:cols w:equalWidth="0" w:num="1">
            <w:col w:w="10800"/>
          </w:cols>
          <w:pgMar w:left="320" w:top="454" w:right="779" w:bottom="1440" w:gutter="0" w:footer="0" w:header="0"/>
          <w:type w:val="continuous"/>
        </w:sectPr>
      </w:pPr>
    </w:p>
    <w:bookmarkStart w:id="111" w:name="page112"/>
    <w:bookmarkEnd w:id="111"/>
    <w:p>
      <w:pPr>
        <w:spacing w:after="0"/>
        <w:rPr>
          <w:sz w:val="20"/>
          <w:szCs w:val="20"/>
          <w:color w:val="auto"/>
        </w:rPr>
      </w:pPr>
      <w:r>
        <w:rPr>
          <w:rFonts w:ascii="Times New Roman" w:cs="Times New Roman" w:eastAsia="Times New Roman" w:hAnsi="Times New Roman"/>
          <w:sz w:val="17"/>
          <w:szCs w:val="17"/>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268605</wp:posOffset>
            </wp:positionH>
            <wp:positionV relativeFrom="paragraph">
              <wp:posOffset>253365</wp:posOffset>
            </wp:positionV>
            <wp:extent cx="1183005" cy="745617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1183005" cy="7456170"/>
                    </a:xfrm>
                    <a:prstGeom prst="rect">
                      <a:avLst/>
                    </a:prstGeom>
                    <a:noFill/>
                  </pic:spPr>
                </pic:pic>
              </a:graphicData>
            </a:graphic>
          </wp:anchor>
        </w:drawing>
      </w:r>
    </w:p>
    <w:p>
      <w:pPr>
        <w:spacing w:after="0" w:line="200" w:lineRule="exact"/>
        <w:rPr>
          <w:sz w:val="20"/>
          <w:szCs w:val="20"/>
          <w:color w:val="auto"/>
        </w:rPr>
      </w:pPr>
    </w:p>
    <w:p>
      <w:pPr>
        <w:spacing w:after="0" w:line="304" w:lineRule="exact"/>
        <w:rPr>
          <w:sz w:val="20"/>
          <w:szCs w:val="20"/>
          <w:color w:val="auto"/>
        </w:rPr>
      </w:pPr>
    </w:p>
    <w:p>
      <w:pPr>
        <w:ind w:left="1120" w:right="460" w:hanging="672"/>
        <w:spacing w:after="0" w:line="382" w:lineRule="auto"/>
        <w:tabs>
          <w:tab w:leader="none" w:pos="610" w:val="left"/>
        </w:tabs>
        <w:numPr>
          <w:ilvl w:val="0"/>
          <w:numId w:val="151"/>
        </w:numPr>
        <w:rPr>
          <w:rFonts w:ascii="Arial" w:cs="Arial" w:eastAsia="Arial" w:hAnsi="Arial"/>
          <w:sz w:val="24"/>
          <w:szCs w:val="24"/>
          <w:color w:val="auto"/>
          <w:vertAlign w:val="subscript"/>
        </w:rPr>
      </w:pPr>
      <w:r>
        <w:rPr>
          <w:rFonts w:ascii="Arial" w:cs="Arial" w:eastAsia="Arial" w:hAnsi="Arial"/>
          <w:sz w:val="24"/>
          <w:szCs w:val="24"/>
          <w:color w:val="000000"/>
          <w:vertAlign w:val="subscript"/>
        </w:rPr>
        <w:t xml:space="preserve">     </w:t>
      </w:r>
      <w:r>
        <w:rPr>
          <w:rFonts w:ascii="Arial" w:cs="Arial" w:eastAsia="Arial" w:hAnsi="Arial"/>
          <w:sz w:val="10"/>
          <w:szCs w:val="10"/>
          <w:color w:val="FFFFFF"/>
        </w:rPr>
        <w:t xml:space="preserve"> General Information</w:t>
      </w:r>
    </w:p>
    <w:p>
      <w:pPr>
        <w:spacing w:after="0" w:line="1" w:lineRule="exact"/>
        <w:rPr>
          <w:sz w:val="20"/>
          <w:szCs w:val="20"/>
          <w:color w:val="auto"/>
        </w:rPr>
      </w:pPr>
    </w:p>
    <w:p>
      <w:pPr>
        <w:ind w:left="1120"/>
        <w:spacing w:after="0"/>
        <w:rPr>
          <w:sz w:val="20"/>
          <w:szCs w:val="20"/>
          <w:color w:val="auto"/>
        </w:rPr>
      </w:pPr>
      <w:r>
        <w:rPr>
          <w:rFonts w:ascii="Arial" w:cs="Arial" w:eastAsia="Arial" w:hAnsi="Arial"/>
          <w:sz w:val="11"/>
          <w:szCs w:val="11"/>
          <w:color w:val="FFFFFF"/>
        </w:rPr>
        <w:t>General Information</w:t>
      </w:r>
    </w:p>
    <w:p>
      <w:pPr>
        <w:spacing w:after="0" w:line="3"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About Corporate</w:t>
      </w:r>
    </w:p>
    <w:p>
      <w:pPr>
        <w:ind w:left="1120"/>
        <w:spacing w:after="0" w:line="221" w:lineRule="auto"/>
        <w:rPr>
          <w:sz w:val="20"/>
          <w:szCs w:val="20"/>
          <w:color w:val="auto"/>
        </w:rPr>
      </w:pPr>
      <w:r>
        <w:rPr>
          <w:rFonts w:ascii="Arial" w:cs="Arial" w:eastAsia="Arial" w:hAnsi="Arial"/>
          <w:sz w:val="12"/>
          <w:szCs w:val="12"/>
          <w:color w:val="FFFFFF"/>
        </w:rPr>
        <w:t>Governance</w:t>
      </w:r>
    </w:p>
    <w:p>
      <w:pPr>
        <w:ind w:left="1120"/>
        <w:spacing w:after="0" w:line="222" w:lineRule="auto"/>
        <w:rPr>
          <w:sz w:val="20"/>
          <w:szCs w:val="20"/>
          <w:color w:val="auto"/>
        </w:rPr>
      </w:pPr>
      <w:r>
        <w:rPr>
          <w:rFonts w:ascii="Arial" w:cs="Arial" w:eastAsia="Arial" w:hAnsi="Arial"/>
          <w:sz w:val="12"/>
          <w:szCs w:val="12"/>
          <w:color w:val="FFFFFF"/>
        </w:rPr>
        <w:t>and the Board of</w:t>
      </w:r>
    </w:p>
    <w:p>
      <w:pPr>
        <w:spacing w:after="0" w:line="1"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Directors</w:t>
      </w:r>
    </w:p>
    <w:p>
      <w:pPr>
        <w:spacing w:after="0" w:line="144" w:lineRule="exact"/>
        <w:rPr>
          <w:sz w:val="20"/>
          <w:szCs w:val="20"/>
          <w:color w:val="auto"/>
        </w:rPr>
      </w:pPr>
    </w:p>
    <w:p>
      <w:pPr>
        <w:jc w:val="center"/>
        <w:ind w:left="620"/>
        <w:spacing w:after="0"/>
        <w:rPr>
          <w:sz w:val="20"/>
          <w:szCs w:val="20"/>
          <w:color w:val="auto"/>
        </w:rPr>
      </w:pPr>
      <w:r>
        <w:rPr>
          <w:rFonts w:ascii="Arial" w:cs="Arial" w:eastAsia="Arial" w:hAnsi="Arial"/>
          <w:sz w:val="12"/>
          <w:szCs w:val="12"/>
          <w:color w:val="FFFFFF"/>
        </w:rPr>
        <w:t>Proposal 1</w:t>
      </w:r>
    </w:p>
    <w:p>
      <w:pPr>
        <w:spacing w:after="0" w:line="156"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Information</w:t>
      </w:r>
    </w:p>
    <w:p>
      <w:pPr>
        <w:ind w:left="1120"/>
        <w:spacing w:after="0" w:line="224" w:lineRule="auto"/>
        <w:rPr>
          <w:sz w:val="20"/>
          <w:szCs w:val="20"/>
          <w:color w:val="auto"/>
        </w:rPr>
      </w:pPr>
      <w:r>
        <w:rPr>
          <w:rFonts w:ascii="Arial" w:cs="Arial" w:eastAsia="Arial" w:hAnsi="Arial"/>
          <w:sz w:val="12"/>
          <w:szCs w:val="12"/>
          <w:color w:val="FFFFFF"/>
        </w:rPr>
        <w:t>Regarding Board</w:t>
      </w:r>
    </w:p>
    <w:p>
      <w:pPr>
        <w:ind w:left="1120"/>
        <w:spacing w:after="0" w:line="222" w:lineRule="auto"/>
        <w:rPr>
          <w:sz w:val="20"/>
          <w:szCs w:val="20"/>
          <w:color w:val="auto"/>
        </w:rPr>
      </w:pPr>
      <w:r>
        <w:rPr>
          <w:rFonts w:ascii="Arial" w:cs="Arial" w:eastAsia="Arial" w:hAnsi="Arial"/>
          <w:sz w:val="12"/>
          <w:szCs w:val="12"/>
          <w:color w:val="FFFFFF"/>
        </w:rPr>
        <w:t>and Committee</w:t>
      </w:r>
    </w:p>
    <w:p>
      <w:pPr>
        <w:ind w:left="1120"/>
        <w:spacing w:after="0"/>
        <w:rPr>
          <w:sz w:val="20"/>
          <w:szCs w:val="20"/>
          <w:color w:val="auto"/>
        </w:rPr>
      </w:pPr>
      <w:r>
        <w:rPr>
          <w:rFonts w:ascii="Arial" w:cs="Arial" w:eastAsia="Arial" w:hAnsi="Arial"/>
          <w:sz w:val="12"/>
          <w:szCs w:val="12"/>
          <w:color w:val="FFFFFF"/>
        </w:rPr>
        <w:t>Structure</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Board of Directors</w:t>
      </w:r>
    </w:p>
    <w:p>
      <w:pPr>
        <w:spacing w:after="0" w:line="2"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Compensation</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Compensation</w:t>
      </w:r>
    </w:p>
    <w:p>
      <w:pPr>
        <w:ind w:left="1120"/>
        <w:spacing w:after="0" w:line="224" w:lineRule="auto"/>
        <w:rPr>
          <w:sz w:val="20"/>
          <w:szCs w:val="20"/>
          <w:color w:val="auto"/>
        </w:rPr>
      </w:pPr>
      <w:r>
        <w:rPr>
          <w:rFonts w:ascii="Arial" w:cs="Arial" w:eastAsia="Arial" w:hAnsi="Arial"/>
          <w:sz w:val="12"/>
          <w:szCs w:val="12"/>
          <w:color w:val="FFFFFF"/>
        </w:rPr>
        <w:t>Discussion and</w:t>
      </w:r>
    </w:p>
    <w:p>
      <w:pPr>
        <w:ind w:left="1120"/>
        <w:spacing w:after="0"/>
        <w:rPr>
          <w:sz w:val="20"/>
          <w:szCs w:val="20"/>
          <w:color w:val="auto"/>
        </w:rPr>
      </w:pPr>
      <w:r>
        <w:rPr>
          <w:rFonts w:ascii="Arial" w:cs="Arial" w:eastAsia="Arial" w:hAnsi="Arial"/>
          <w:sz w:val="12"/>
          <w:szCs w:val="12"/>
          <w:color w:val="FFFFFF"/>
        </w:rPr>
        <w:t>Analysis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Report of the</w:t>
      </w:r>
    </w:p>
    <w:p>
      <w:pPr>
        <w:ind w:left="1120"/>
        <w:spacing w:after="0" w:line="224" w:lineRule="auto"/>
        <w:rPr>
          <w:sz w:val="20"/>
          <w:szCs w:val="20"/>
          <w:color w:val="auto"/>
        </w:rPr>
      </w:pPr>
      <w:r>
        <w:rPr>
          <w:rFonts w:ascii="Arial" w:cs="Arial" w:eastAsia="Arial" w:hAnsi="Arial"/>
          <w:sz w:val="12"/>
          <w:szCs w:val="12"/>
          <w:color w:val="FFFFFF"/>
        </w:rPr>
        <w:t>Compensation</w:t>
      </w:r>
    </w:p>
    <w:p>
      <w:pPr>
        <w:ind w:left="1120"/>
        <w:spacing w:after="0" w:line="222" w:lineRule="auto"/>
        <w:rPr>
          <w:sz w:val="20"/>
          <w:szCs w:val="20"/>
          <w:color w:val="auto"/>
        </w:rPr>
      </w:pPr>
      <w:r>
        <w:rPr>
          <w:rFonts w:ascii="Arial" w:cs="Arial" w:eastAsia="Arial" w:hAnsi="Arial"/>
          <w:sz w:val="12"/>
          <w:szCs w:val="12"/>
          <w:color w:val="FFFFFF"/>
        </w:rPr>
        <w:t>and Human</w:t>
      </w:r>
    </w:p>
    <w:p>
      <w:pPr>
        <w:ind w:left="1120"/>
        <w:spacing w:after="0" w:line="222" w:lineRule="auto"/>
        <w:rPr>
          <w:sz w:val="20"/>
          <w:szCs w:val="20"/>
          <w:color w:val="auto"/>
        </w:rPr>
      </w:pPr>
      <w:r>
        <w:rPr>
          <w:rFonts w:ascii="Arial" w:cs="Arial" w:eastAsia="Arial" w:hAnsi="Arial"/>
          <w:sz w:val="12"/>
          <w:szCs w:val="12"/>
          <w:color w:val="FFFFFF"/>
        </w:rPr>
        <w:t>Resources</w:t>
      </w:r>
    </w:p>
    <w:p>
      <w:pPr>
        <w:ind w:left="1120"/>
        <w:spacing w:after="0" w:line="222" w:lineRule="auto"/>
        <w:rPr>
          <w:sz w:val="20"/>
          <w:szCs w:val="20"/>
          <w:color w:val="auto"/>
        </w:rPr>
      </w:pPr>
      <w:r>
        <w:rPr>
          <w:rFonts w:ascii="Arial" w:cs="Arial" w:eastAsia="Arial" w:hAnsi="Arial"/>
          <w:sz w:val="12"/>
          <w:szCs w:val="12"/>
          <w:color w:val="FFFFFF"/>
        </w:rPr>
        <w:t>Committee of the</w:t>
      </w:r>
    </w:p>
    <w:p>
      <w:pPr>
        <w:ind w:left="1120"/>
        <w:spacing w:after="0"/>
        <w:rPr>
          <w:sz w:val="20"/>
          <w:szCs w:val="20"/>
          <w:color w:val="auto"/>
        </w:rPr>
      </w:pPr>
      <w:r>
        <w:rPr>
          <w:rFonts w:ascii="Arial" w:cs="Arial" w:eastAsia="Arial" w:hAnsi="Arial"/>
          <w:sz w:val="12"/>
          <w:szCs w:val="12"/>
          <w:color w:val="FFFFFF"/>
        </w:rPr>
        <w:t>Board of Directors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Compensation of</w:t>
      </w:r>
    </w:p>
    <w:p>
      <w:pPr>
        <w:ind w:left="1120"/>
        <w:spacing w:after="0" w:line="224" w:lineRule="auto"/>
        <w:rPr>
          <w:sz w:val="20"/>
          <w:szCs w:val="20"/>
          <w:color w:val="auto"/>
        </w:rPr>
      </w:pPr>
      <w:r>
        <w:rPr>
          <w:rFonts w:ascii="Arial" w:cs="Arial" w:eastAsia="Arial" w:hAnsi="Arial"/>
          <w:sz w:val="12"/>
          <w:szCs w:val="12"/>
          <w:color w:val="FFFFFF"/>
        </w:rPr>
        <w:t>Named Executive</w:t>
      </w:r>
    </w:p>
    <w:p>
      <w:pPr>
        <w:ind w:left="1120"/>
        <w:spacing w:after="0"/>
        <w:rPr>
          <w:sz w:val="20"/>
          <w:szCs w:val="20"/>
          <w:color w:val="auto"/>
        </w:rPr>
      </w:pPr>
      <w:r>
        <w:rPr>
          <w:rFonts w:ascii="Arial" w:cs="Arial" w:eastAsia="Arial" w:hAnsi="Arial"/>
          <w:sz w:val="12"/>
          <w:szCs w:val="12"/>
          <w:color w:val="FFFFFF"/>
        </w:rPr>
        <w:t>Officers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Pay Versus</w:t>
      </w:r>
    </w:p>
    <w:p>
      <w:pPr>
        <w:ind w:left="1120"/>
        <w:spacing w:after="0" w:line="224" w:lineRule="auto"/>
        <w:rPr>
          <w:sz w:val="20"/>
          <w:szCs w:val="20"/>
          <w:color w:val="auto"/>
        </w:rPr>
      </w:pPr>
      <w:r>
        <w:rPr>
          <w:rFonts w:ascii="Arial" w:cs="Arial" w:eastAsia="Arial" w:hAnsi="Arial"/>
          <w:sz w:val="12"/>
          <w:szCs w:val="12"/>
          <w:color w:val="FFFFFF"/>
        </w:rPr>
        <w:t>Performance</w:t>
      </w:r>
    </w:p>
    <w:p>
      <w:pPr>
        <w:ind w:left="1120"/>
        <w:spacing w:after="0"/>
        <w:rPr>
          <w:sz w:val="20"/>
          <w:szCs w:val="20"/>
          <w:color w:val="auto"/>
        </w:rPr>
      </w:pPr>
      <w:r>
        <w:rPr>
          <w:rFonts w:ascii="Arial" w:cs="Arial" w:eastAsia="Arial" w:hAnsi="Arial"/>
          <w:sz w:val="12"/>
          <w:szCs w:val="12"/>
          <w:color w:val="FFFFFF"/>
        </w:rPr>
        <w:t>Disclosure</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Security</w:t>
      </w:r>
    </w:p>
    <w:p>
      <w:pPr>
        <w:ind w:left="1120"/>
        <w:spacing w:after="0" w:line="224" w:lineRule="auto"/>
        <w:rPr>
          <w:sz w:val="20"/>
          <w:szCs w:val="20"/>
          <w:color w:val="auto"/>
        </w:rPr>
      </w:pPr>
      <w:r>
        <w:rPr>
          <w:rFonts w:ascii="Arial" w:cs="Arial" w:eastAsia="Arial" w:hAnsi="Arial"/>
          <w:sz w:val="12"/>
          <w:szCs w:val="12"/>
          <w:color w:val="FFFFFF"/>
        </w:rPr>
        <w:t>Ownership of</w:t>
      </w:r>
    </w:p>
    <w:p>
      <w:pPr>
        <w:ind w:left="1120"/>
        <w:spacing w:after="0" w:line="222" w:lineRule="auto"/>
        <w:rPr>
          <w:sz w:val="20"/>
          <w:szCs w:val="20"/>
          <w:color w:val="auto"/>
        </w:rPr>
      </w:pPr>
      <w:r>
        <w:rPr>
          <w:rFonts w:ascii="Arial" w:cs="Arial" w:eastAsia="Arial" w:hAnsi="Arial"/>
          <w:sz w:val="12"/>
          <w:szCs w:val="12"/>
          <w:color w:val="FFFFFF"/>
        </w:rPr>
        <w:t>Certain Beneficial</w:t>
      </w:r>
    </w:p>
    <w:p>
      <w:pPr>
        <w:ind w:left="1120"/>
        <w:spacing w:after="0" w:line="222" w:lineRule="auto"/>
        <w:rPr>
          <w:sz w:val="20"/>
          <w:szCs w:val="20"/>
          <w:color w:val="auto"/>
        </w:rPr>
      </w:pPr>
      <w:r>
        <w:rPr>
          <w:rFonts w:ascii="Arial" w:cs="Arial" w:eastAsia="Arial" w:hAnsi="Arial"/>
          <w:sz w:val="12"/>
          <w:szCs w:val="12"/>
          <w:color w:val="FFFFFF"/>
        </w:rPr>
        <w:t>Owners and</w:t>
      </w:r>
    </w:p>
    <w:p>
      <w:pPr>
        <w:ind w:left="1120"/>
        <w:spacing w:after="0"/>
        <w:rPr>
          <w:sz w:val="20"/>
          <w:szCs w:val="20"/>
          <w:color w:val="auto"/>
        </w:rPr>
      </w:pPr>
      <w:r>
        <w:rPr>
          <w:rFonts w:ascii="Arial" w:cs="Arial" w:eastAsia="Arial" w:hAnsi="Arial"/>
          <w:sz w:val="12"/>
          <w:szCs w:val="12"/>
          <w:color w:val="FFFFFF"/>
        </w:rPr>
        <w:t>Management</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Certain</w:t>
      </w:r>
    </w:p>
    <w:p>
      <w:pPr>
        <w:ind w:left="1120"/>
        <w:spacing w:after="0" w:line="224" w:lineRule="auto"/>
        <w:rPr>
          <w:sz w:val="20"/>
          <w:szCs w:val="20"/>
          <w:color w:val="auto"/>
        </w:rPr>
      </w:pPr>
      <w:r>
        <w:rPr>
          <w:rFonts w:ascii="Arial" w:cs="Arial" w:eastAsia="Arial" w:hAnsi="Arial"/>
          <w:sz w:val="12"/>
          <w:szCs w:val="12"/>
          <w:color w:val="FFFFFF"/>
        </w:rPr>
        <w:t>Relationships and</w:t>
      </w:r>
    </w:p>
    <w:p>
      <w:pPr>
        <w:ind w:left="1120"/>
        <w:spacing w:after="0" w:line="222" w:lineRule="auto"/>
        <w:rPr>
          <w:sz w:val="20"/>
          <w:szCs w:val="20"/>
          <w:color w:val="auto"/>
        </w:rPr>
      </w:pPr>
      <w:r>
        <w:rPr>
          <w:rFonts w:ascii="Arial" w:cs="Arial" w:eastAsia="Arial" w:hAnsi="Arial"/>
          <w:sz w:val="12"/>
          <w:szCs w:val="12"/>
          <w:color w:val="FFFFFF"/>
        </w:rPr>
        <w:t>Related Party</w:t>
      </w:r>
    </w:p>
    <w:p>
      <w:pPr>
        <w:ind w:left="1120"/>
        <w:spacing w:after="0"/>
        <w:rPr>
          <w:sz w:val="20"/>
          <w:szCs w:val="20"/>
          <w:color w:val="auto"/>
        </w:rPr>
      </w:pPr>
      <w:r>
        <w:rPr>
          <w:rFonts w:ascii="Arial" w:cs="Arial" w:eastAsia="Arial" w:hAnsi="Arial"/>
          <w:sz w:val="12"/>
          <w:szCs w:val="12"/>
          <w:color w:val="FFFFFF"/>
        </w:rPr>
        <w:t>Transactions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Proposal 2</w:t>
      </w:r>
    </w:p>
    <w:p>
      <w:pPr>
        <w:spacing w:after="0" w:line="156"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Report of the</w:t>
      </w:r>
    </w:p>
    <w:p>
      <w:pPr>
        <w:ind w:left="1120"/>
        <w:spacing w:after="0" w:line="224" w:lineRule="auto"/>
        <w:rPr>
          <w:sz w:val="20"/>
          <w:szCs w:val="20"/>
          <w:color w:val="auto"/>
        </w:rPr>
      </w:pPr>
      <w:r>
        <w:rPr>
          <w:rFonts w:ascii="Arial" w:cs="Arial" w:eastAsia="Arial" w:hAnsi="Arial"/>
          <w:sz w:val="12"/>
          <w:szCs w:val="12"/>
          <w:color w:val="FFFFFF"/>
        </w:rPr>
        <w:t>Audit and Risk</w:t>
      </w:r>
    </w:p>
    <w:p>
      <w:pPr>
        <w:ind w:left="1120"/>
        <w:spacing w:after="0" w:line="222" w:lineRule="auto"/>
        <w:rPr>
          <w:sz w:val="20"/>
          <w:szCs w:val="20"/>
          <w:color w:val="auto"/>
        </w:rPr>
      </w:pPr>
      <w:r>
        <w:rPr>
          <w:rFonts w:ascii="Arial" w:cs="Arial" w:eastAsia="Arial" w:hAnsi="Arial"/>
          <w:sz w:val="12"/>
          <w:szCs w:val="12"/>
          <w:color w:val="FFFFFF"/>
        </w:rPr>
        <w:t>Committee of the</w:t>
      </w:r>
    </w:p>
    <w:p>
      <w:pPr>
        <w:ind w:left="1120"/>
        <w:spacing w:after="0"/>
        <w:rPr>
          <w:sz w:val="20"/>
          <w:szCs w:val="20"/>
          <w:color w:val="auto"/>
        </w:rPr>
      </w:pPr>
      <w:r>
        <w:rPr>
          <w:rFonts w:ascii="Arial" w:cs="Arial" w:eastAsia="Arial" w:hAnsi="Arial"/>
          <w:sz w:val="12"/>
          <w:szCs w:val="12"/>
          <w:color w:val="FFFFFF"/>
        </w:rPr>
        <w:t>Board of Directors</w:t>
      </w:r>
    </w:p>
    <w:p>
      <w:pPr>
        <w:spacing w:after="0" w:line="144" w:lineRule="exact"/>
        <w:rPr>
          <w:sz w:val="20"/>
          <w:szCs w:val="20"/>
          <w:color w:val="auto"/>
        </w:rPr>
      </w:pPr>
    </w:p>
    <w:p>
      <w:pPr>
        <w:jc w:val="center"/>
        <w:ind w:left="620"/>
        <w:spacing w:after="0"/>
        <w:rPr>
          <w:sz w:val="20"/>
          <w:szCs w:val="20"/>
          <w:color w:val="auto"/>
        </w:rPr>
      </w:pPr>
      <w:r>
        <w:rPr>
          <w:rFonts w:ascii="Arial" w:cs="Arial" w:eastAsia="Arial" w:hAnsi="Arial"/>
          <w:sz w:val="12"/>
          <w:szCs w:val="12"/>
          <w:color w:val="FFFFFF"/>
        </w:rPr>
        <w:t>Proposal 3</w:t>
      </w:r>
    </w:p>
    <w:p>
      <w:pPr>
        <w:spacing w:after="0" w:line="156" w:lineRule="exact"/>
        <w:rPr>
          <w:sz w:val="20"/>
          <w:szCs w:val="20"/>
          <w:color w:val="auto"/>
        </w:rPr>
      </w:pPr>
    </w:p>
    <w:p>
      <w:pPr>
        <w:jc w:val="center"/>
        <w:ind w:left="620"/>
        <w:spacing w:after="0"/>
        <w:rPr>
          <w:sz w:val="20"/>
          <w:szCs w:val="20"/>
          <w:color w:val="auto"/>
        </w:rPr>
      </w:pPr>
      <w:r>
        <w:rPr>
          <w:rFonts w:ascii="Arial" w:cs="Arial" w:eastAsia="Arial" w:hAnsi="Arial"/>
          <w:sz w:val="12"/>
          <w:szCs w:val="12"/>
          <w:color w:val="FFFFFF"/>
        </w:rPr>
        <w:t>Proposal 4</w:t>
      </w:r>
    </w:p>
    <w:p>
      <w:pPr>
        <w:spacing w:after="0" w:line="156" w:lineRule="exact"/>
        <w:rPr>
          <w:sz w:val="20"/>
          <w:szCs w:val="20"/>
          <w:color w:val="auto"/>
        </w:rPr>
      </w:pPr>
    </w:p>
    <w:p>
      <w:pPr>
        <w:jc w:val="center"/>
        <w:ind w:left="620"/>
        <w:spacing w:after="0"/>
        <w:rPr>
          <w:sz w:val="20"/>
          <w:szCs w:val="20"/>
          <w:color w:val="auto"/>
        </w:rPr>
      </w:pPr>
      <w:r>
        <w:rPr>
          <w:rFonts w:ascii="Arial" w:cs="Arial" w:eastAsia="Arial" w:hAnsi="Arial"/>
          <w:sz w:val="12"/>
          <w:szCs w:val="12"/>
          <w:color w:val="FFFFFF"/>
        </w:rPr>
        <w:t>Proposal 5</w:t>
      </w:r>
    </w:p>
    <w:p>
      <w:pPr>
        <w:spacing w:after="0" w:line="156"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Proposal 6</w:t>
      </w:r>
    </w:p>
    <w:p>
      <w:pPr>
        <w:spacing w:after="0" w:line="156"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Stockholder</w:t>
      </w:r>
    </w:p>
    <w:p>
      <w:pPr>
        <w:ind w:left="1120"/>
        <w:spacing w:after="0" w:line="224" w:lineRule="auto"/>
        <w:rPr>
          <w:sz w:val="20"/>
          <w:szCs w:val="20"/>
          <w:color w:val="auto"/>
        </w:rPr>
      </w:pPr>
      <w:r>
        <w:rPr>
          <w:rFonts w:ascii="Arial" w:cs="Arial" w:eastAsia="Arial" w:hAnsi="Arial"/>
          <w:sz w:val="12"/>
          <w:szCs w:val="12"/>
          <w:color w:val="FFFFFF"/>
        </w:rPr>
        <w:t>Proposals and</w:t>
      </w:r>
    </w:p>
    <w:p>
      <w:pPr>
        <w:ind w:left="1120"/>
        <w:spacing w:after="0"/>
        <w:rPr>
          <w:sz w:val="20"/>
          <w:szCs w:val="20"/>
          <w:color w:val="auto"/>
        </w:rPr>
      </w:pPr>
      <w:r>
        <w:rPr>
          <w:rFonts w:ascii="Arial" w:cs="Arial" w:eastAsia="Arial" w:hAnsi="Arial"/>
          <w:sz w:val="12"/>
          <w:szCs w:val="12"/>
          <w:color w:val="FFFFFF"/>
        </w:rPr>
        <w:t>Other Matters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Delinquent</w:t>
      </w:r>
    </w:p>
    <w:p>
      <w:pPr>
        <w:ind w:left="1120"/>
        <w:spacing w:after="0" w:line="224" w:lineRule="auto"/>
        <w:rPr>
          <w:sz w:val="20"/>
          <w:szCs w:val="20"/>
          <w:color w:val="auto"/>
        </w:rPr>
      </w:pPr>
      <w:r>
        <w:rPr>
          <w:rFonts w:ascii="Arial" w:cs="Arial" w:eastAsia="Arial" w:hAnsi="Arial"/>
          <w:sz w:val="12"/>
          <w:szCs w:val="12"/>
          <w:color w:val="FFFFFF"/>
        </w:rPr>
        <w:t>Section 16(a)</w:t>
      </w:r>
    </w:p>
    <w:p>
      <w:pPr>
        <w:ind w:left="1120"/>
        <w:spacing w:after="0"/>
        <w:rPr>
          <w:sz w:val="20"/>
          <w:szCs w:val="20"/>
          <w:color w:val="auto"/>
        </w:rPr>
      </w:pPr>
      <w:r>
        <w:rPr>
          <w:rFonts w:ascii="Arial" w:cs="Arial" w:eastAsia="Arial" w:hAnsi="Arial"/>
          <w:sz w:val="12"/>
          <w:szCs w:val="12"/>
          <w:color w:val="FFFFFF"/>
        </w:rPr>
        <w:t>Reports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Other</w:t>
      </w:r>
    </w:p>
    <w:p>
      <w:pPr>
        <w:spacing w:after="0" w:line="2"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Information</w:t>
      </w:r>
    </w:p>
    <w:p>
      <w:pPr>
        <w:spacing w:after="0" w:line="144" w:lineRule="exact"/>
        <w:rPr>
          <w:sz w:val="20"/>
          <w:szCs w:val="20"/>
          <w:color w:val="auto"/>
        </w:rPr>
      </w:pPr>
    </w:p>
    <w:p>
      <w:pPr>
        <w:jc w:val="center"/>
        <w:ind w:left="660"/>
        <w:spacing w:after="0"/>
        <w:rPr>
          <w:sz w:val="20"/>
          <w:szCs w:val="20"/>
          <w:color w:val="auto"/>
        </w:rPr>
      </w:pPr>
      <w:r>
        <w:rPr>
          <w:rFonts w:ascii="Arial" w:cs="Arial" w:eastAsia="Arial" w:hAnsi="Arial"/>
          <w:sz w:val="12"/>
          <w:szCs w:val="12"/>
          <w:color w:val="FFFFFF"/>
        </w:rPr>
        <w:t>Appendix A</w:t>
      </w:r>
    </w:p>
    <w:p>
      <w:pPr>
        <w:spacing w:after="0" w:line="153" w:lineRule="exact"/>
        <w:rPr>
          <w:sz w:val="20"/>
          <w:szCs w:val="20"/>
          <w:color w:val="auto"/>
        </w:rPr>
      </w:pPr>
    </w:p>
    <w:p>
      <w:pPr>
        <w:jc w:val="center"/>
        <w:ind w:left="600"/>
        <w:spacing w:after="0"/>
        <w:rPr>
          <w:sz w:val="20"/>
          <w:szCs w:val="20"/>
          <w:color w:val="auto"/>
        </w:rPr>
      </w:pPr>
      <w:r>
        <w:rPr>
          <w:sz w:val="1"/>
          <w:szCs w:val="1"/>
          <w:color w:val="auto"/>
        </w:rPr>
        <w:drawing>
          <wp:inline distT="0" distB="0" distL="0" distR="0">
            <wp:extent cx="56515" cy="88900"/>
            <wp:effectExtent l="0" t="0" r="0" b="0"/>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56515" cy="88900"/>
                    </a:xfrm>
                    <a:prstGeom prst="rect">
                      <a:avLst/>
                    </a:prstGeom>
                    <a:noFill/>
                    <a:ln>
                      <a:noFill/>
                    </a:ln>
                  </pic:spPr>
                </pic:pic>
              </a:graphicData>
            </a:graphic>
          </wp:inline>
        </w:drawing>
      </w:r>
      <w:r>
        <w:rPr>
          <w:rFonts w:ascii="Arial" w:cs="Arial" w:eastAsia="Arial" w:hAnsi="Arial"/>
          <w:sz w:val="12"/>
          <w:szCs w:val="12"/>
          <w:b w:val="1"/>
          <w:bCs w:val="1"/>
          <w:color w:val="FFFFFF"/>
        </w:rPr>
        <w:t xml:space="preserve"> Appendix 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right="80"/>
        <w:spacing w:after="0" w:line="258" w:lineRule="auto"/>
        <w:rPr>
          <w:sz w:val="20"/>
          <w:szCs w:val="20"/>
          <w:color w:val="auto"/>
        </w:rPr>
      </w:pPr>
      <w:r>
        <w:rPr>
          <w:rFonts w:ascii="Arial" w:cs="Arial" w:eastAsia="Arial" w:hAnsi="Arial"/>
          <w:sz w:val="15"/>
          <w:szCs w:val="15"/>
          <w:b w:val="1"/>
          <w:bCs w:val="1"/>
          <w:i w:val="1"/>
          <w:iCs w:val="1"/>
          <w:color w:val="auto"/>
          <w:strike w:val="1"/>
        </w:rPr>
        <w:t>to communicate or offer such business opportunity to the Corporation and, to the fullest extent permitted by applicable law, shall not be liable to the Corporation or any of its subsidiaries for breach of any fiduciary or other duty, as a director or officer or otherwise, by reason of the fact that such Exempted Person pursues or acquires such business opportunity, directs such business opportunity to another person or fails to present such business opportunity, or information regarding such business opportunity, to the Corporation or its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-1737995</wp:posOffset>
            </wp:positionH>
            <wp:positionV relativeFrom="paragraph">
              <wp:posOffset>-1337945</wp:posOffset>
            </wp:positionV>
            <wp:extent cx="7181215" cy="5334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181215" cy="53340"/>
                    </a:xfrm>
                    <a:prstGeom prst="rect">
                      <a:avLst/>
                    </a:prstGeom>
                    <a:noFill/>
                  </pic:spPr>
                </pic:pic>
              </a:graphicData>
            </a:graphic>
          </wp:anchor>
        </w:drawing>
      </w:r>
    </w:p>
    <w:p>
      <w:pPr>
        <w:spacing w:after="0" w:line="144" w:lineRule="exact"/>
        <w:rPr>
          <w:sz w:val="20"/>
          <w:szCs w:val="20"/>
          <w:color w:val="auto"/>
        </w:rPr>
      </w:pPr>
    </w:p>
    <w:p>
      <w:pPr>
        <w:ind w:right="80" w:firstLine="326"/>
        <w:spacing w:after="0" w:line="259" w:lineRule="auto"/>
        <w:tabs>
          <w:tab w:leader="none" w:pos="549" w:val="left"/>
        </w:tabs>
        <w:numPr>
          <w:ilvl w:val="0"/>
          <w:numId w:val="152"/>
        </w:numPr>
        <w:rPr>
          <w:rFonts w:ascii="Arial" w:cs="Arial" w:eastAsia="Arial" w:hAnsi="Arial"/>
          <w:sz w:val="15"/>
          <w:szCs w:val="15"/>
          <w:b w:val="1"/>
          <w:bCs w:val="1"/>
          <w:i w:val="1"/>
          <w:iCs w:val="1"/>
          <w:color w:val="auto"/>
          <w:strike w:val="1"/>
        </w:rPr>
      </w:pPr>
      <w:r>
        <w:rPr>
          <w:rFonts w:ascii="Arial" w:cs="Arial" w:eastAsia="Arial" w:hAnsi="Arial"/>
          <w:sz w:val="15"/>
          <w:szCs w:val="15"/>
          <w:b w:val="1"/>
          <w:bCs w:val="1"/>
          <w:i w:val="1"/>
          <w:iCs w:val="1"/>
          <w:u w:val="single" w:color="auto"/>
          <w:color w:val="auto"/>
          <w:strike w:val="1"/>
        </w:rPr>
        <w:t>Certain Matters Deemed Not Corporate Opportunities</w:t>
      </w:r>
      <w:r>
        <w:rPr>
          <w:rFonts w:ascii="Arial" w:cs="Arial" w:eastAsia="Arial" w:hAnsi="Arial"/>
          <w:sz w:val="15"/>
          <w:szCs w:val="15"/>
          <w:b w:val="1"/>
          <w:bCs w:val="1"/>
          <w:i w:val="1"/>
          <w:iCs w:val="1"/>
          <w:color w:val="auto"/>
          <w:strike w:val="1"/>
        </w:rPr>
        <w:t>. In addition to and notwithstanding the</w:t>
      </w:r>
      <w:r>
        <w:rPr>
          <w:rFonts w:ascii="Arial" w:cs="Arial" w:eastAsia="Arial" w:hAnsi="Arial"/>
          <w:sz w:val="15"/>
          <w:szCs w:val="15"/>
          <w:b w:val="1"/>
          <w:bCs w:val="1"/>
          <w:i w:val="1"/>
          <w:iCs w:val="1"/>
          <w:u w:val="single" w:color="auto"/>
          <w:color w:val="auto"/>
          <w:strike w:val="1"/>
        </w:rPr>
        <w:t xml:space="preserve"> </w:t>
      </w:r>
      <w:r>
        <w:rPr>
          <w:rFonts w:ascii="Arial" w:cs="Arial" w:eastAsia="Arial" w:hAnsi="Arial"/>
          <w:sz w:val="15"/>
          <w:szCs w:val="15"/>
          <w:b w:val="1"/>
          <w:bCs w:val="1"/>
          <w:i w:val="1"/>
          <w:iCs w:val="1"/>
          <w:color w:val="auto"/>
          <w:strike w:val="1"/>
        </w:rPr>
        <w:t>foregoing provisions of this Article X, a corporate opportunity shall not be deemed to belong to the Corporation if it is a business opportunity that the Corporation is not financially able or contractually permitted or legally able to undertake, or that is, from its nature, not in the line of the Corporation’s business or is of no practical advantage to it or that is one in which the Corporation has no interest or reasonable expectancy.</w:t>
      </w:r>
    </w:p>
    <w:p>
      <w:pPr>
        <w:spacing w:after="0" w:line="345" w:lineRule="exact"/>
        <w:rPr>
          <w:rFonts w:ascii="Arial" w:cs="Arial" w:eastAsia="Arial" w:hAnsi="Arial"/>
          <w:sz w:val="15"/>
          <w:szCs w:val="15"/>
          <w:b w:val="1"/>
          <w:bCs w:val="1"/>
          <w:i w:val="1"/>
          <w:iCs w:val="1"/>
          <w:color w:val="auto"/>
          <w:strike w:val="1"/>
        </w:rPr>
      </w:pPr>
    </w:p>
    <w:p>
      <w:pPr>
        <w:ind w:firstLine="326"/>
        <w:spacing w:after="0" w:line="255" w:lineRule="auto"/>
        <w:tabs>
          <w:tab w:leader="none" w:pos="557" w:val="left"/>
        </w:tabs>
        <w:numPr>
          <w:ilvl w:val="0"/>
          <w:numId w:val="152"/>
        </w:numPr>
        <w:rPr>
          <w:rFonts w:ascii="Arial" w:cs="Arial" w:eastAsia="Arial" w:hAnsi="Arial"/>
          <w:sz w:val="15"/>
          <w:szCs w:val="15"/>
          <w:b w:val="1"/>
          <w:bCs w:val="1"/>
          <w:i w:val="1"/>
          <w:iCs w:val="1"/>
          <w:color w:val="auto"/>
          <w:strike w:val="1"/>
        </w:rPr>
      </w:pPr>
      <w:r>
        <w:rPr>
          <w:rFonts w:ascii="Arial" w:cs="Arial" w:eastAsia="Arial" w:hAnsi="Arial"/>
          <w:sz w:val="15"/>
          <w:szCs w:val="15"/>
          <w:b w:val="1"/>
          <w:bCs w:val="1"/>
          <w:i w:val="1"/>
          <w:iCs w:val="1"/>
          <w:u w:val="single" w:color="auto"/>
          <w:color w:val="auto"/>
          <w:strike w:val="1"/>
        </w:rPr>
        <w:t>Amendment of this Article</w:t>
      </w:r>
      <w:r>
        <w:rPr>
          <w:rFonts w:ascii="Arial" w:cs="Arial" w:eastAsia="Arial" w:hAnsi="Arial"/>
          <w:sz w:val="15"/>
          <w:szCs w:val="15"/>
          <w:b w:val="1"/>
          <w:bCs w:val="1"/>
          <w:i w:val="1"/>
          <w:iCs w:val="1"/>
          <w:color w:val="auto"/>
          <w:strike w:val="1"/>
        </w:rPr>
        <w:t>. Notwithstanding anything to the contrary elsewhere contained in this</w:t>
      </w:r>
      <w:r>
        <w:rPr>
          <w:rFonts w:ascii="Arial" w:cs="Arial" w:eastAsia="Arial" w:hAnsi="Arial"/>
          <w:sz w:val="15"/>
          <w:szCs w:val="15"/>
          <w:b w:val="1"/>
          <w:bCs w:val="1"/>
          <w:i w:val="1"/>
          <w:iCs w:val="1"/>
          <w:u w:val="single" w:color="auto"/>
          <w:color w:val="auto"/>
          <w:strike w:val="1"/>
        </w:rPr>
        <w:t xml:space="preserve"> </w:t>
      </w:r>
      <w:r>
        <w:rPr>
          <w:rFonts w:ascii="Arial" w:cs="Arial" w:eastAsia="Arial" w:hAnsi="Arial"/>
          <w:sz w:val="15"/>
          <w:szCs w:val="15"/>
          <w:b w:val="1"/>
          <w:bCs w:val="1"/>
          <w:i w:val="1"/>
          <w:iCs w:val="1"/>
          <w:color w:val="auto"/>
          <w:strike w:val="1"/>
        </w:rPr>
        <w:t>Amended and Restated Certificate of Incorporation and in addition to any vote required by the DGCL, the affirmative vote of eighty percent (80%) of the voting power of the outstanding shares of capital stock entitled to vote on the adoption, alteration, amendment or repeal of amendments to this Amended and Restated Certificate of Incorporation, voting together as a single class, shall be required to alter, amend or repeal, or to adopt any provision inconsistent with, this Article X. No amendment or repeal of this Article X shall apply to or have any effect on the liability or alleged liability of any Exempted Person for or with respect to any activities or opportunities of which such Exempted Person becomes aware prior to such amendment or repeal.</w:t>
      </w: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i w:val="1"/>
          <w:iCs w:val="1"/>
          <w:color w:val="auto"/>
        </w:rPr>
        <w:t>ARTICLE XI</w:t>
      </w:r>
    </w:p>
    <w:p>
      <w:pPr>
        <w:spacing w:after="0" w:line="1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i w:val="1"/>
          <w:iCs w:val="1"/>
          <w:color w:val="auto"/>
        </w:rPr>
        <w:t>EXCLUSIVE JURISDICTION OF CERTAIN ACTIONS</w:t>
      </w:r>
    </w:p>
    <w:p>
      <w:pPr>
        <w:spacing w:after="0" w:line="189" w:lineRule="exact"/>
        <w:rPr>
          <w:sz w:val="20"/>
          <w:szCs w:val="20"/>
          <w:color w:val="auto"/>
        </w:rPr>
      </w:pPr>
    </w:p>
    <w:p>
      <w:pPr>
        <w:ind w:right="300" w:firstLine="319"/>
        <w:spacing w:after="0" w:line="252" w:lineRule="auto"/>
        <w:rPr>
          <w:sz w:val="20"/>
          <w:szCs w:val="20"/>
          <w:color w:val="auto"/>
        </w:rPr>
      </w:pPr>
      <w:r>
        <w:rPr>
          <w:rFonts w:ascii="Arial" w:cs="Arial" w:eastAsia="Arial" w:hAnsi="Arial"/>
          <w:sz w:val="15"/>
          <w:szCs w:val="15"/>
          <w:color w:val="auto"/>
        </w:rPr>
        <w:t xml:space="preserve">The Court of Chancery of the State of Delaware shall, to the fullest extent permitted by applicable law, be the sole and exclusive forum for (i) any derivative action or proceeding brought on behalf of the Corporation, (ii) any action asserting a claim of breach of a fiduciary duty owed by any director, officer or other employee of the Corporation to the Corporation or the Corporation’s stockholders, (iii) any action asserting a claim against the Corporation arising pursuant to any provision of the DGCL or the Corporation’s </w:t>
      </w:r>
      <w:r>
        <w:rPr>
          <w:rFonts w:ascii="Arial" w:cs="Arial" w:eastAsia="Arial" w:hAnsi="Arial"/>
          <w:sz w:val="15"/>
          <w:szCs w:val="15"/>
          <w:b w:val="1"/>
          <w:bCs w:val="1"/>
          <w:i w:val="1"/>
          <w:iCs w:val="1"/>
          <w:u w:val="single" w:color="auto"/>
          <w:color w:val="auto"/>
        </w:rPr>
        <w:t>Second</w:t>
      </w:r>
      <w:r>
        <w:rPr>
          <w:rFonts w:ascii="Arial" w:cs="Arial" w:eastAsia="Arial" w:hAnsi="Arial"/>
          <w:sz w:val="15"/>
          <w:szCs w:val="15"/>
          <w:color w:val="auto"/>
        </w:rPr>
        <w:t xml:space="preserve"> Amended and Restated Certificate of Incorporation or bylaws or (iv) any action asserting a claim against the Corporation governed by the internal affairs doctrine, in each such case subject to said Court of Chancery having personal jurisdiction over the indispensable parties named as defendants therein. Any person or entity purchasing or otherwise acquiring any interest in shares of capital stock of the Corporation shall be deemed to have notice of and consented to the provisions of this Article XI.</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i w:val="1"/>
          <w:iCs w:val="1"/>
          <w:color w:val="auto"/>
        </w:rPr>
        <w:t>ARTICLE XII</w:t>
      </w:r>
    </w:p>
    <w:p>
      <w:pPr>
        <w:spacing w:after="0" w:line="1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i w:val="1"/>
          <w:iCs w:val="1"/>
          <w:color w:val="auto"/>
        </w:rPr>
        <w:t>SEVERABILITY</w:t>
      </w:r>
    </w:p>
    <w:p>
      <w:pPr>
        <w:spacing w:after="0" w:line="189" w:lineRule="exact"/>
        <w:rPr>
          <w:sz w:val="20"/>
          <w:szCs w:val="20"/>
          <w:color w:val="auto"/>
        </w:rPr>
      </w:pPr>
    </w:p>
    <w:p>
      <w:pPr>
        <w:ind w:right="40" w:firstLine="319"/>
        <w:spacing w:after="0" w:line="252" w:lineRule="auto"/>
        <w:rPr>
          <w:sz w:val="20"/>
          <w:szCs w:val="20"/>
          <w:color w:val="auto"/>
        </w:rPr>
      </w:pPr>
      <w:r>
        <w:rPr>
          <w:rFonts w:ascii="Arial" w:cs="Arial" w:eastAsia="Arial" w:hAnsi="Arial"/>
          <w:sz w:val="15"/>
          <w:szCs w:val="15"/>
          <w:color w:val="auto"/>
        </w:rPr>
        <w:t xml:space="preserve">If any provision or provisions of this </w:t>
      </w:r>
      <w:r>
        <w:rPr>
          <w:rFonts w:ascii="Arial" w:cs="Arial" w:eastAsia="Arial" w:hAnsi="Arial"/>
          <w:sz w:val="15"/>
          <w:szCs w:val="15"/>
          <w:b w:val="1"/>
          <w:bCs w:val="1"/>
          <w:i w:val="1"/>
          <w:iCs w:val="1"/>
          <w:u w:val="single" w:color="auto"/>
          <w:color w:val="auto"/>
        </w:rPr>
        <w:t>Second</w:t>
      </w:r>
      <w:r>
        <w:rPr>
          <w:rFonts w:ascii="Arial" w:cs="Arial" w:eastAsia="Arial" w:hAnsi="Arial"/>
          <w:sz w:val="15"/>
          <w:szCs w:val="15"/>
          <w:color w:val="auto"/>
        </w:rPr>
        <w:t xml:space="preserve"> Amended and Restated Certificate of Incorporation shall be held to be invalid, illegal or unenforceable as applied to any circumstance for any reason whatsoever: (i) the validity, legality and enforceability of such provisions in any other circumstance and of the remaining provisions of this </w:t>
      </w:r>
      <w:r>
        <w:rPr>
          <w:rFonts w:ascii="Arial" w:cs="Arial" w:eastAsia="Arial" w:hAnsi="Arial"/>
          <w:sz w:val="15"/>
          <w:szCs w:val="15"/>
          <w:b w:val="1"/>
          <w:bCs w:val="1"/>
          <w:i w:val="1"/>
          <w:iCs w:val="1"/>
          <w:u w:val="single" w:color="auto"/>
          <w:color w:val="auto"/>
        </w:rPr>
        <w:t>Second</w:t>
      </w:r>
      <w:r>
        <w:rPr>
          <w:rFonts w:ascii="Arial" w:cs="Arial" w:eastAsia="Arial" w:hAnsi="Arial"/>
          <w:sz w:val="15"/>
          <w:szCs w:val="15"/>
          <w:color w:val="auto"/>
        </w:rPr>
        <w:t xml:space="preserve"> Amended and Restated Certificate of Incorporation (including, without limitation, each portion of any paragraph of this </w:t>
      </w:r>
      <w:r>
        <w:rPr>
          <w:rFonts w:ascii="Arial" w:cs="Arial" w:eastAsia="Arial" w:hAnsi="Arial"/>
          <w:sz w:val="15"/>
          <w:szCs w:val="15"/>
          <w:b w:val="1"/>
          <w:bCs w:val="1"/>
          <w:i w:val="1"/>
          <w:iCs w:val="1"/>
          <w:u w:val="single" w:color="auto"/>
          <w:color w:val="auto"/>
        </w:rPr>
        <w:t>Second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Amended and Restated Certificate of Incorporation containing any such provision held to be invalid, illegal or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 xml:space="preserve">unenforceable that is not itself held to be invalid, illegal or unenforceable) shall not in any way be affected or impaired thereby and (ii) to the fullest extent possible, the provisions of this </w:t>
      </w:r>
      <w:r>
        <w:rPr>
          <w:rFonts w:ascii="Arial" w:cs="Arial" w:eastAsia="Arial" w:hAnsi="Arial"/>
          <w:sz w:val="15"/>
          <w:szCs w:val="15"/>
          <w:b w:val="1"/>
          <w:bCs w:val="1"/>
          <w:i w:val="1"/>
          <w:iCs w:val="1"/>
          <w:u w:val="single" w:color="auto"/>
          <w:color w:val="auto"/>
        </w:rPr>
        <w:t>Second</w:t>
      </w:r>
      <w:r>
        <w:rPr>
          <w:rFonts w:ascii="Arial" w:cs="Arial" w:eastAsia="Arial" w:hAnsi="Arial"/>
          <w:sz w:val="15"/>
          <w:szCs w:val="15"/>
          <w:color w:val="auto"/>
        </w:rPr>
        <w:t xml:space="preserve"> Amended and Restated Certificate of Incorporation (including, without limitation, each such portion of any paragraph of this </w:t>
      </w:r>
      <w:r>
        <w:rPr>
          <w:rFonts w:ascii="Arial" w:cs="Arial" w:eastAsia="Arial" w:hAnsi="Arial"/>
          <w:sz w:val="15"/>
          <w:szCs w:val="15"/>
          <w:b w:val="1"/>
          <w:bCs w:val="1"/>
          <w:i w:val="1"/>
          <w:iCs w:val="1"/>
          <w:u w:val="single" w:color="auto"/>
          <w:color w:val="auto"/>
        </w:rPr>
        <w:t>Second</w:t>
      </w:r>
      <w:r>
        <w:rPr>
          <w:rFonts w:ascii="Arial" w:cs="Arial" w:eastAsia="Arial" w:hAnsi="Arial"/>
          <w:sz w:val="15"/>
          <w:szCs w:val="15"/>
          <w:color w:val="auto"/>
        </w:rPr>
        <w:t xml:space="preserve"> Amended and Restated Certificate of Incorporation containing any such provision held to be invalid, illegal or unenforceable) shall be construed so as to permit the Corporation to protect its directors, officers, employees and agents from personal liability in respect of their good faith service to or for the benefit of the Corporation to the fullest extent permitted by law.</w:t>
      </w:r>
    </w:p>
    <w:p>
      <w:pPr>
        <w:spacing w:after="0" w:line="352" w:lineRule="exact"/>
        <w:rPr>
          <w:sz w:val="20"/>
          <w:szCs w:val="20"/>
          <w:color w:val="auto"/>
        </w:rPr>
      </w:pPr>
    </w:p>
    <w:p>
      <w:pPr>
        <w:ind w:left="1440"/>
        <w:spacing w:after="0"/>
        <w:rPr>
          <w:sz w:val="20"/>
          <w:szCs w:val="20"/>
          <w:color w:val="auto"/>
        </w:rPr>
      </w:pPr>
      <w:r>
        <w:rPr>
          <w:rFonts w:ascii="Arial" w:cs="Arial" w:eastAsia="Arial" w:hAnsi="Arial"/>
          <w:sz w:val="17"/>
          <w:szCs w:val="17"/>
          <w:color w:val="auto"/>
        </w:rPr>
        <w:t>[remainder of page intentionally left blank — signature page follows]</w:t>
      </w:r>
    </w:p>
    <w:p>
      <w:pPr>
        <w:spacing w:after="0" w:line="1175" w:lineRule="exact"/>
        <w:rPr>
          <w:sz w:val="20"/>
          <w:szCs w:val="20"/>
          <w:color w:val="auto"/>
        </w:rPr>
      </w:pPr>
    </w:p>
    <w:p>
      <w:pPr>
        <w:sectPr>
          <w:pgSz w:w="11900" w:h="16838" w:orient="portrait"/>
          <w:cols w:equalWidth="0" w:num="2">
            <w:col w:w="2160" w:space="560"/>
            <w:col w:w="7980"/>
          </w:cols>
          <w:pgMar w:left="320" w:top="464" w:right="879" w:bottom="1440" w:gutter="0" w:footer="0" w:header="0"/>
        </w:sectPr>
      </w:pPr>
    </w:p>
    <w:p>
      <w:pPr>
        <w:spacing w:after="0" w:line="200" w:lineRule="exact"/>
        <w:rPr>
          <w:sz w:val="20"/>
          <w:szCs w:val="20"/>
          <w:color w:val="auto"/>
        </w:rPr>
      </w:pPr>
    </w:p>
    <w:p>
      <w:pPr>
        <w:spacing w:after="0" w:line="359" w:lineRule="exact"/>
        <w:rPr>
          <w:sz w:val="20"/>
          <w:szCs w:val="20"/>
          <w:color w:val="auto"/>
        </w:rPr>
      </w:pPr>
    </w:p>
    <w:p>
      <w:pPr>
        <w:ind w:left="420"/>
        <w:spacing w:after="0"/>
        <w:tabs>
          <w:tab w:leader="none" w:pos="2380" w:val="left"/>
          <w:tab w:leader="none" w:pos="2800" w:val="left"/>
        </w:tabs>
        <w:rPr>
          <w:sz w:val="20"/>
          <w:szCs w:val="20"/>
          <w:color w:val="auto"/>
        </w:rPr>
      </w:pPr>
      <w:r>
        <w:rPr>
          <w:rFonts w:ascii="Arial" w:cs="Arial" w:eastAsia="Arial" w:hAnsi="Arial"/>
          <w:sz w:val="30"/>
          <w:szCs w:val="30"/>
          <w:color w:val="000000"/>
          <w:vertAlign w:val="superscript"/>
        </w:rPr>
        <w:t xml:space="preserve">             </w:t>
      </w:r>
      <w:r>
        <w:rPr>
          <w:sz w:val="20"/>
          <w:szCs w:val="20"/>
          <w:color w:val="auto"/>
        </w:rPr>
        <w:tab/>
      </w:r>
      <w:r>
        <w:rPr>
          <w:rFonts w:ascii="Arial" w:cs="Arial" w:eastAsia="Arial" w:hAnsi="Arial"/>
          <w:sz w:val="31"/>
          <w:szCs w:val="31"/>
          <w:color w:val="auto"/>
          <w:vertAlign w:val="superscript"/>
        </w:rPr>
        <w:t xml:space="preserve">    </w:t>
      </w:r>
      <w:r>
        <w:rPr>
          <w:sz w:val="20"/>
          <w:szCs w:val="20"/>
          <w:color w:val="auto"/>
        </w:rPr>
        <w:tab/>
      </w:r>
      <w:r>
        <w:rPr>
          <w:rFonts w:ascii="Arial" w:cs="Arial" w:eastAsia="Arial" w:hAnsi="Arial"/>
          <w:sz w:val="15"/>
          <w:szCs w:val="15"/>
          <w:b w:val="1"/>
          <w:bCs w:val="1"/>
          <w:color w:val="002B5F"/>
        </w:rPr>
        <w:t xml:space="preserve">104  </w:t>
      </w:r>
      <w:r>
        <w:rPr>
          <w:rFonts w:ascii="Arial" w:cs="Arial" w:eastAsia="Arial" w:hAnsi="Arial"/>
          <w:sz w:val="19"/>
          <w:szCs w:val="19"/>
          <w:color w:val="002B5F"/>
        </w:rPr>
        <w:t>|</w:t>
      </w:r>
      <w:r>
        <w:rPr>
          <w:rFonts w:ascii="Arial" w:cs="Arial" w:eastAsia="Arial" w:hAnsi="Arial"/>
          <w:sz w:val="15"/>
          <w:szCs w:val="15"/>
          <w:b w:val="1"/>
          <w:bCs w:val="1"/>
          <w:color w:val="002B5F"/>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6111875</wp:posOffset>
            </wp:positionH>
            <wp:positionV relativeFrom="paragraph">
              <wp:posOffset>-208915</wp:posOffset>
            </wp:positionV>
            <wp:extent cx="769620" cy="9715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69620" cy="97155"/>
                    </a:xfrm>
                    <a:prstGeom prst="rect">
                      <a:avLst/>
                    </a:prstGeom>
                    <a:noFill/>
                  </pic:spPr>
                </pic:pic>
              </a:graphicData>
            </a:graphic>
          </wp:anchor>
        </w:drawing>
      </w:r>
    </w:p>
    <w:p>
      <w:pPr>
        <w:sectPr>
          <w:pgSz w:w="11900" w:h="16838" w:orient="portrait"/>
          <w:cols w:equalWidth="0" w:num="1">
            <w:col w:w="10700"/>
          </w:cols>
          <w:pgMar w:left="320" w:top="464" w:right="879" w:bottom="1440" w:gutter="0" w:footer="0" w:header="0"/>
          <w:type w:val="continuous"/>
        </w:sectPr>
      </w:pPr>
    </w:p>
    <w:bookmarkStart w:id="112" w:name="page113"/>
    <w:bookmarkEnd w:id="11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5334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181215" cy="5334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5617845</wp:posOffset>
            </wp:positionH>
            <wp:positionV relativeFrom="paragraph">
              <wp:posOffset>253365</wp:posOffset>
            </wp:positionV>
            <wp:extent cx="1256030" cy="747204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1256030" cy="7472045"/>
                    </a:xfrm>
                    <a:prstGeom prst="rect">
                      <a:avLst/>
                    </a:prstGeom>
                    <a:noFill/>
                  </pic:spPr>
                </pic:pic>
              </a:graphicData>
            </a:graphic>
          </wp:anchor>
        </w:drawing>
      </w:r>
    </w:p>
    <w:p>
      <w:pPr>
        <w:spacing w:after="0" w:line="200" w:lineRule="exact"/>
        <w:rPr>
          <w:sz w:val="20"/>
          <w:szCs w:val="20"/>
          <w:color w:val="auto"/>
        </w:rPr>
      </w:pPr>
    </w:p>
    <w:p>
      <w:pPr>
        <w:spacing w:after="0" w:line="249" w:lineRule="exact"/>
        <w:rPr>
          <w:sz w:val="20"/>
          <w:szCs w:val="20"/>
          <w:color w:val="auto"/>
        </w:rPr>
      </w:pPr>
    </w:p>
    <w:p>
      <w:pPr>
        <w:ind w:left="860"/>
        <w:spacing w:after="0"/>
        <w:rPr>
          <w:sz w:val="20"/>
          <w:szCs w:val="20"/>
          <w:color w:val="auto"/>
        </w:rPr>
      </w:pPr>
      <w:r>
        <w:rPr>
          <w:rFonts w:ascii="Arial" w:cs="Arial" w:eastAsia="Arial" w:hAnsi="Arial"/>
          <w:sz w:val="15"/>
          <w:szCs w:val="15"/>
          <w:color w:val="auto"/>
        </w:rPr>
        <w:t xml:space="preserve">IN WITNESS WHEREOF, the undersigned has caused this </w:t>
      </w:r>
      <w:r>
        <w:rPr>
          <w:rFonts w:ascii="Arial" w:cs="Arial" w:eastAsia="Arial" w:hAnsi="Arial"/>
          <w:sz w:val="15"/>
          <w:szCs w:val="15"/>
          <w:b w:val="1"/>
          <w:bCs w:val="1"/>
          <w:i w:val="1"/>
          <w:iCs w:val="1"/>
          <w:color w:val="auto"/>
        </w:rPr>
        <w:t>Second</w:t>
      </w:r>
      <w:r>
        <w:rPr>
          <w:rFonts w:ascii="Arial" w:cs="Arial" w:eastAsia="Arial" w:hAnsi="Arial"/>
          <w:sz w:val="15"/>
          <w:szCs w:val="15"/>
          <w:color w:val="auto"/>
        </w:rPr>
        <w:t xml:space="preserve"> Amended and Restated Certificate of</w:t>
      </w:r>
    </w:p>
    <w:p>
      <w:pPr>
        <w:spacing w:after="0" w:line="20" w:lineRule="exact"/>
        <w:rPr>
          <w:sz w:val="20"/>
          <w:szCs w:val="20"/>
          <w:color w:val="auto"/>
        </w:rPr>
      </w:pPr>
    </w:p>
    <w:tbl>
      <w:tblPr>
        <w:tblLayout w:type="fixed"/>
        <w:tblInd w:w="540" w:type="dxa"/>
        <w:tblCellMar>
          <w:top w:w="0" w:type="dxa"/>
          <w:left w:w="0" w:type="dxa"/>
          <w:bottom w:w="0" w:type="dxa"/>
          <w:right w:w="0" w:type="dxa"/>
        </w:tblCellMar>
      </w:tblPr>
      <w:tr>
        <w:trPr>
          <w:trHeight w:val="20"/>
        </w:trPr>
        <w:tc>
          <w:tcPr>
            <w:tcW w:w="40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5080" w:type="dxa"/>
            <w:vAlign w:val="bottom"/>
            <w:gridSpan w:val="6"/>
          </w:tcPr>
          <w:p>
            <w:pPr>
              <w:spacing w:after="0" w:line="138" w:lineRule="exact"/>
              <w:rPr>
                <w:sz w:val="20"/>
                <w:szCs w:val="20"/>
                <w:color w:val="auto"/>
              </w:rPr>
            </w:pPr>
            <w:r>
              <w:rPr>
                <w:rFonts w:ascii="Arial" w:cs="Arial" w:eastAsia="Arial" w:hAnsi="Arial"/>
                <w:sz w:val="15"/>
                <w:szCs w:val="15"/>
                <w:color w:val="auto"/>
              </w:rPr>
              <w:t>Incorporation to be executed by the officer below this day of                   ,</w:t>
            </w:r>
          </w:p>
        </w:tc>
        <w:tc>
          <w:tcPr>
            <w:tcW w:w="340" w:type="dxa"/>
            <w:vAlign w:val="bottom"/>
          </w:tcPr>
          <w:p>
            <w:pPr>
              <w:jc w:val="right"/>
              <w:spacing w:after="0" w:line="138" w:lineRule="exact"/>
              <w:rPr>
                <w:sz w:val="20"/>
                <w:szCs w:val="20"/>
                <w:color w:val="auto"/>
              </w:rPr>
            </w:pPr>
            <w:r>
              <w:rPr>
                <w:rFonts w:ascii="Arial" w:cs="Arial" w:eastAsia="Arial" w:hAnsi="Arial"/>
                <w:sz w:val="15"/>
                <w:szCs w:val="15"/>
                <w:b w:val="1"/>
                <w:bCs w:val="1"/>
                <w:i w:val="1"/>
                <w:iCs w:val="1"/>
                <w:color w:val="auto"/>
                <w:strike w:val="1"/>
                <w:w w:val="95"/>
              </w:rPr>
              <w:t>2010</w:t>
            </w:r>
          </w:p>
        </w:tc>
        <w:tc>
          <w:tcPr>
            <w:tcW w:w="2460" w:type="dxa"/>
            <w:vAlign w:val="bottom"/>
            <w:gridSpan w:val="2"/>
          </w:tcPr>
          <w:p>
            <w:pPr>
              <w:jc w:val="right"/>
              <w:ind w:right="2060"/>
              <w:spacing w:after="0" w:line="138" w:lineRule="exact"/>
              <w:rPr>
                <w:sz w:val="20"/>
                <w:szCs w:val="20"/>
                <w:color w:val="auto"/>
              </w:rPr>
            </w:pPr>
            <w:r>
              <w:rPr>
                <w:rFonts w:ascii="Arial" w:cs="Arial" w:eastAsia="Arial" w:hAnsi="Arial"/>
                <w:sz w:val="15"/>
                <w:szCs w:val="15"/>
                <w:b w:val="1"/>
                <w:bCs w:val="1"/>
                <w:i w:val="1"/>
                <w:iCs w:val="1"/>
                <w:color w:val="auto"/>
              </w:rPr>
              <w:t>2026</w:t>
            </w:r>
            <w:r>
              <w:rPr>
                <w:rFonts w:ascii="Arial" w:cs="Arial" w:eastAsia="Arial" w:hAnsi="Arial"/>
                <w:sz w:val="15"/>
                <w:szCs w:val="15"/>
                <w:color w:val="auto"/>
              </w:rPr>
              <w:t>.</w:t>
            </w:r>
          </w:p>
        </w:tc>
        <w:tc>
          <w:tcPr>
            <w:tcW w:w="660" w:type="dxa"/>
            <w:vAlign w:val="bottom"/>
            <w:vMerge w:val="restart"/>
          </w:tcPr>
          <w:p>
            <w:pPr>
              <w:ind w:left="460"/>
              <w:spacing w:after="0"/>
              <w:rPr>
                <w:sz w:val="20"/>
                <w:szCs w:val="20"/>
                <w:color w:val="auto"/>
              </w:rPr>
            </w:pPr>
            <w:r>
              <w:rPr>
                <w:rFonts w:ascii="Arial" w:cs="Arial" w:eastAsia="Arial" w:hAnsi="Arial"/>
                <w:sz w:val="15"/>
                <w:szCs w:val="15"/>
                <w:color w:val="auto"/>
              </w:rPr>
              <w:t> </w:t>
            </w:r>
          </w:p>
        </w:tc>
        <w:tc>
          <w:tcPr>
            <w:tcW w:w="1280" w:type="dxa"/>
            <w:vAlign w:val="bottom"/>
            <w:vMerge w:val="restart"/>
          </w:tcPr>
          <w:p>
            <w:pPr>
              <w:ind w:left="140"/>
              <w:spacing w:after="0"/>
              <w:rPr>
                <w:sz w:val="20"/>
                <w:szCs w:val="20"/>
                <w:color w:val="auto"/>
              </w:rPr>
            </w:pPr>
            <w:r>
              <w:rPr>
                <w:rFonts w:ascii="Arial" w:cs="Arial" w:eastAsia="Arial" w:hAnsi="Arial"/>
                <w:sz w:val="12"/>
                <w:szCs w:val="12"/>
                <w:color w:val="FFFFFF"/>
              </w:rPr>
              <w:t>General</w:t>
            </w:r>
          </w:p>
        </w:tc>
        <w:tc>
          <w:tcPr>
            <w:tcW w:w="440" w:type="dxa"/>
            <w:vAlign w:val="bottom"/>
            <w:vMerge w:val="restart"/>
          </w:tcPr>
          <w:p>
            <w:pPr>
              <w:ind w:left="80"/>
              <w:spacing w:after="0"/>
              <w:rPr>
                <w:sz w:val="20"/>
                <w:szCs w:val="20"/>
                <w:color w:val="auto"/>
              </w:rPr>
            </w:pPr>
            <w:r>
              <w:rPr>
                <w:rFonts w:ascii="Arial" w:cs="Arial" w:eastAsia="Arial" w:hAnsi="Arial"/>
                <w:sz w:val="15"/>
                <w:szCs w:val="15"/>
                <w:color w:val="auto"/>
              </w:rPr>
              <w:t xml:space="preserve">       </w:t>
            </w:r>
          </w:p>
        </w:tc>
        <w:tc>
          <w:tcPr>
            <w:tcW w:w="0" w:type="dxa"/>
            <w:vAlign w:val="bottom"/>
          </w:tcPr>
          <w:p>
            <w:pPr>
              <w:spacing w:after="0"/>
              <w:rPr>
                <w:sz w:val="1"/>
                <w:szCs w:val="1"/>
                <w:color w:val="auto"/>
              </w:rPr>
            </w:pPr>
          </w:p>
        </w:tc>
      </w:tr>
      <w:tr>
        <w:trPr>
          <w:trHeight w:val="44"/>
        </w:trPr>
        <w:tc>
          <w:tcPr>
            <w:tcW w:w="4080" w:type="dxa"/>
            <w:vAlign w:val="bottom"/>
          </w:tcPr>
          <w:p>
            <w:pPr>
              <w:spacing w:after="0"/>
              <w:rPr>
                <w:sz w:val="3"/>
                <w:szCs w:val="3"/>
                <w:color w:val="auto"/>
              </w:rPr>
            </w:pPr>
          </w:p>
        </w:tc>
        <w:tc>
          <w:tcPr>
            <w:tcW w:w="260" w:type="dxa"/>
            <w:vAlign w:val="bottom"/>
            <w:tcBorders>
              <w:top w:val="single" w:sz="8" w:color="auto"/>
            </w:tcBorders>
          </w:tcPr>
          <w:p>
            <w:pPr>
              <w:spacing w:after="0"/>
              <w:rPr>
                <w:sz w:val="3"/>
                <w:szCs w:val="3"/>
                <w:color w:val="auto"/>
              </w:rPr>
            </w:pPr>
          </w:p>
        </w:tc>
        <w:tc>
          <w:tcPr>
            <w:tcW w:w="60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340" w:type="dxa"/>
            <w:vAlign w:val="bottom"/>
            <w:tcBorders>
              <w:top w:val="single" w:sz="8" w:color="auto"/>
            </w:tcBorders>
          </w:tcPr>
          <w:p>
            <w:pPr>
              <w:spacing w:after="0"/>
              <w:rPr>
                <w:sz w:val="3"/>
                <w:szCs w:val="3"/>
                <w:color w:val="auto"/>
              </w:rPr>
            </w:pPr>
          </w:p>
        </w:tc>
        <w:tc>
          <w:tcPr>
            <w:tcW w:w="212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1280" w:type="dxa"/>
            <w:vAlign w:val="bottom"/>
            <w:vMerge w:val="continue"/>
          </w:tcPr>
          <w:p>
            <w:pPr>
              <w:spacing w:after="0"/>
              <w:rPr>
                <w:sz w:val="3"/>
                <w:szCs w:val="3"/>
                <w:color w:val="auto"/>
              </w:rPr>
            </w:pPr>
          </w:p>
        </w:tc>
        <w:tc>
          <w:tcPr>
            <w:tcW w:w="4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58"/>
        </w:trPr>
        <w:tc>
          <w:tcPr>
            <w:tcW w:w="40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Information</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3"/>
        </w:trPr>
        <w:tc>
          <w:tcPr>
            <w:tcW w:w="40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540" w:type="dxa"/>
            <w:vAlign w:val="bottom"/>
            <w:gridSpan w:val="7"/>
          </w:tcPr>
          <w:p>
            <w:pPr>
              <w:ind w:left="400"/>
              <w:spacing w:after="0"/>
              <w:rPr>
                <w:sz w:val="20"/>
                <w:szCs w:val="20"/>
                <w:color w:val="auto"/>
              </w:rPr>
            </w:pPr>
            <w:r>
              <w:rPr>
                <w:rFonts w:ascii="Arial" w:cs="Arial" w:eastAsia="Arial" w:hAnsi="Arial"/>
                <w:sz w:val="15"/>
                <w:szCs w:val="15"/>
                <w:color w:val="auto"/>
              </w:rPr>
              <w:t>LPL FINANCIAL HOLDINGS INC.</w:t>
            </w:r>
          </w:p>
        </w:tc>
        <w:tc>
          <w:tcPr>
            <w:tcW w:w="660" w:type="dxa"/>
            <w:vAlign w:val="bottom"/>
          </w:tcPr>
          <w:p>
            <w:pPr>
              <w:spacing w:after="0"/>
              <w:rPr>
                <w:sz w:val="20"/>
                <w:szCs w:val="20"/>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General Information</w:t>
            </w: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8"/>
        </w:trPr>
        <w:tc>
          <w:tcPr>
            <w:tcW w:w="40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80" w:type="dxa"/>
            <w:vAlign w:val="bottom"/>
          </w:tcPr>
          <w:p>
            <w:pPr>
              <w:ind w:left="140"/>
              <w:spacing w:after="0" w:line="128" w:lineRule="exact"/>
              <w:rPr>
                <w:sz w:val="20"/>
                <w:szCs w:val="20"/>
                <w:color w:val="auto"/>
              </w:rPr>
            </w:pPr>
            <w:r>
              <w:rPr>
                <w:rFonts w:ascii="Arial" w:cs="Arial" w:eastAsia="Arial" w:hAnsi="Arial"/>
                <w:sz w:val="12"/>
                <w:szCs w:val="12"/>
                <w:color w:val="FFFFFF"/>
              </w:rPr>
              <w:t>About Corporate</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40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540" w:type="dxa"/>
            <w:vAlign w:val="bottom"/>
            <w:gridSpan w:val="7"/>
            <w:vMerge w:val="restart"/>
          </w:tcPr>
          <w:p>
            <w:pPr>
              <w:ind w:left="400"/>
              <w:spacing w:after="0"/>
              <w:rPr>
                <w:sz w:val="20"/>
                <w:szCs w:val="20"/>
                <w:color w:val="auto"/>
              </w:rPr>
            </w:pPr>
            <w:r>
              <w:rPr>
                <w:rFonts w:ascii="Arial" w:cs="Arial" w:eastAsia="Arial" w:hAnsi="Arial"/>
                <w:sz w:val="15"/>
                <w:szCs w:val="15"/>
                <w:color w:val="auto"/>
              </w:rPr>
              <w:t>By:</w:t>
            </w:r>
          </w:p>
        </w:tc>
        <w:tc>
          <w:tcPr>
            <w:tcW w:w="660" w:type="dxa"/>
            <w:vAlign w:val="bottom"/>
          </w:tcPr>
          <w:p>
            <w:pPr>
              <w:spacing w:after="0"/>
              <w:rPr>
                <w:sz w:val="11"/>
                <w:szCs w:val="11"/>
                <w:color w:val="auto"/>
              </w:rPr>
            </w:pPr>
          </w:p>
        </w:tc>
        <w:tc>
          <w:tcPr>
            <w:tcW w:w="1280" w:type="dxa"/>
            <w:vAlign w:val="bottom"/>
          </w:tcPr>
          <w:p>
            <w:pPr>
              <w:ind w:left="140"/>
              <w:spacing w:after="0" w:line="128" w:lineRule="exact"/>
              <w:rPr>
                <w:sz w:val="20"/>
                <w:szCs w:val="20"/>
                <w:color w:val="auto"/>
              </w:rPr>
            </w:pPr>
            <w:r>
              <w:rPr>
                <w:rFonts w:ascii="Arial" w:cs="Arial" w:eastAsia="Arial" w:hAnsi="Arial"/>
                <w:sz w:val="12"/>
                <w:szCs w:val="12"/>
                <w:color w:val="FFFFFF"/>
              </w:rPr>
              <w:t>Governance</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40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540" w:type="dxa"/>
            <w:vAlign w:val="bottom"/>
            <w:gridSpan w:val="7"/>
            <w:vMerge w:val="continue"/>
          </w:tcPr>
          <w:p>
            <w:pPr>
              <w:spacing w:after="0"/>
              <w:rPr>
                <w:sz w:val="10"/>
                <w:szCs w:val="10"/>
                <w:color w:val="auto"/>
              </w:rPr>
            </w:pPr>
          </w:p>
        </w:tc>
        <w:tc>
          <w:tcPr>
            <w:tcW w:w="660" w:type="dxa"/>
            <w:vAlign w:val="bottom"/>
          </w:tcPr>
          <w:p>
            <w:pPr>
              <w:spacing w:after="0"/>
              <w:rPr>
                <w:sz w:val="10"/>
                <w:szCs w:val="10"/>
                <w:color w:val="auto"/>
              </w:rPr>
            </w:pPr>
          </w:p>
        </w:tc>
        <w:tc>
          <w:tcPr>
            <w:tcW w:w="1280" w:type="dxa"/>
            <w:vAlign w:val="bottom"/>
          </w:tcPr>
          <w:p>
            <w:pPr>
              <w:ind w:left="140"/>
              <w:spacing w:after="0" w:line="100" w:lineRule="exact"/>
              <w:rPr>
                <w:sz w:val="20"/>
                <w:szCs w:val="20"/>
                <w:color w:val="auto"/>
              </w:rPr>
            </w:pPr>
            <w:r>
              <w:rPr>
                <w:rFonts w:ascii="Arial" w:cs="Arial" w:eastAsia="Arial" w:hAnsi="Arial"/>
                <w:sz w:val="11"/>
                <w:szCs w:val="11"/>
                <w:color w:val="FFFFFF"/>
              </w:rPr>
              <w:t>and the Board of</w:t>
            </w: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40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2880" w:type="dxa"/>
            <w:vAlign w:val="bottom"/>
            <w:tcBorders>
              <w:top w:val="single" w:sz="8" w:color="auto"/>
            </w:tcBorders>
            <w:gridSpan w:val="4"/>
          </w:tcPr>
          <w:p>
            <w:pPr>
              <w:ind w:left="20"/>
              <w:spacing w:after="0" w:line="159" w:lineRule="exact"/>
              <w:rPr>
                <w:sz w:val="20"/>
                <w:szCs w:val="20"/>
                <w:color w:val="auto"/>
              </w:rPr>
            </w:pPr>
            <w:r>
              <w:rPr>
                <w:rFonts w:ascii="Arial" w:cs="Arial" w:eastAsia="Arial" w:hAnsi="Arial"/>
                <w:sz w:val="15"/>
                <w:szCs w:val="15"/>
                <w:color w:val="auto"/>
              </w:rPr>
              <w:t>Name:</w:t>
            </w:r>
          </w:p>
        </w:tc>
        <w:tc>
          <w:tcPr>
            <w:tcW w:w="660" w:type="dxa"/>
            <w:vAlign w:val="bottom"/>
          </w:tcPr>
          <w:p>
            <w:pPr>
              <w:spacing w:after="0"/>
              <w:rPr>
                <w:sz w:val="13"/>
                <w:szCs w:val="13"/>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Directors</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1"/>
        </w:trPr>
        <w:tc>
          <w:tcPr>
            <w:tcW w:w="4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80" w:type="dxa"/>
            <w:vAlign w:val="bottom"/>
            <w:gridSpan w:val="4"/>
          </w:tcPr>
          <w:p>
            <w:pPr>
              <w:ind w:left="20"/>
              <w:spacing w:after="0"/>
              <w:rPr>
                <w:sz w:val="20"/>
                <w:szCs w:val="20"/>
                <w:color w:val="auto"/>
              </w:rPr>
            </w:pPr>
            <w:r>
              <w:rPr>
                <w:rFonts w:ascii="Arial" w:cs="Arial" w:eastAsia="Arial" w:hAnsi="Arial"/>
                <w:sz w:val="15"/>
                <w:szCs w:val="15"/>
                <w:color w:val="auto"/>
              </w:rPr>
              <w:t>Title:</w:t>
            </w:r>
          </w:p>
        </w:tc>
        <w:tc>
          <w:tcPr>
            <w:tcW w:w="660" w:type="dxa"/>
            <w:vAlign w:val="bottom"/>
          </w:tcPr>
          <w:p>
            <w:pPr>
              <w:spacing w:after="0"/>
              <w:rPr>
                <w:sz w:val="17"/>
                <w:szCs w:val="17"/>
                <w:color w:val="auto"/>
              </w:rPr>
            </w:pPr>
          </w:p>
        </w:tc>
        <w:tc>
          <w:tcPr>
            <w:tcW w:w="1280" w:type="dxa"/>
            <w:vAlign w:val="bottom"/>
            <w:vMerge w:val="restart"/>
          </w:tcPr>
          <w:p>
            <w:pPr>
              <w:ind w:left="140"/>
              <w:spacing w:after="0"/>
              <w:rPr>
                <w:sz w:val="20"/>
                <w:szCs w:val="20"/>
                <w:color w:val="auto"/>
              </w:rPr>
            </w:pPr>
            <w:r>
              <w:rPr>
                <w:rFonts w:ascii="Arial" w:cs="Arial" w:eastAsia="Arial" w:hAnsi="Arial"/>
                <w:sz w:val="12"/>
                <w:szCs w:val="12"/>
                <w:color w:val="FFFFFF"/>
              </w:rPr>
              <w:t>Proposal 1</w:t>
            </w: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9"/>
        </w:trPr>
        <w:tc>
          <w:tcPr>
            <w:tcW w:w="4080" w:type="dxa"/>
            <w:vAlign w:val="bottom"/>
          </w:tcPr>
          <w:p>
            <w:pPr>
              <w:spacing w:after="0"/>
              <w:rPr>
                <w:sz w:val="6"/>
                <w:szCs w:val="6"/>
                <w:color w:val="auto"/>
              </w:rPr>
            </w:pPr>
          </w:p>
        </w:tc>
        <w:tc>
          <w:tcPr>
            <w:tcW w:w="26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340" w:type="dxa"/>
            <w:vAlign w:val="bottom"/>
          </w:tcPr>
          <w:p>
            <w:pPr>
              <w:spacing w:after="0"/>
              <w:rPr>
                <w:sz w:val="6"/>
                <w:szCs w:val="6"/>
                <w:color w:val="auto"/>
              </w:rPr>
            </w:pPr>
          </w:p>
        </w:tc>
        <w:tc>
          <w:tcPr>
            <w:tcW w:w="2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63"/>
        </w:trPr>
        <w:tc>
          <w:tcPr>
            <w:tcW w:w="40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Information</w:t>
            </w:r>
          </w:p>
        </w:tc>
        <w:tc>
          <w:tcPr>
            <w:tcW w:w="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8"/>
        </w:trPr>
        <w:tc>
          <w:tcPr>
            <w:tcW w:w="40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80" w:type="dxa"/>
            <w:vAlign w:val="bottom"/>
          </w:tcPr>
          <w:p>
            <w:pPr>
              <w:ind w:left="140"/>
              <w:spacing w:after="0" w:line="128" w:lineRule="exact"/>
              <w:rPr>
                <w:sz w:val="20"/>
                <w:szCs w:val="20"/>
                <w:color w:val="auto"/>
              </w:rPr>
            </w:pPr>
            <w:r>
              <w:rPr>
                <w:rFonts w:ascii="Arial" w:cs="Arial" w:eastAsia="Arial" w:hAnsi="Arial"/>
                <w:sz w:val="12"/>
                <w:szCs w:val="12"/>
                <w:color w:val="FFFFFF"/>
              </w:rPr>
              <w:t>Regarding Board</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40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80" w:type="dxa"/>
            <w:vAlign w:val="bottom"/>
          </w:tcPr>
          <w:p>
            <w:pPr>
              <w:ind w:left="140"/>
              <w:spacing w:after="0" w:line="128" w:lineRule="exact"/>
              <w:rPr>
                <w:sz w:val="20"/>
                <w:szCs w:val="20"/>
                <w:color w:val="auto"/>
              </w:rPr>
            </w:pPr>
            <w:r>
              <w:rPr>
                <w:rFonts w:ascii="Arial" w:cs="Arial" w:eastAsia="Arial" w:hAnsi="Arial"/>
                <w:sz w:val="12"/>
                <w:szCs w:val="12"/>
                <w:color w:val="FFFFFF"/>
              </w:rPr>
              <w:t>and Committee</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40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Structure</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40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Board of Directors</w:t>
            </w:r>
          </w:p>
        </w:tc>
        <w:tc>
          <w:tcPr>
            <w:tcW w:w="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8"/>
        </w:trPr>
        <w:tc>
          <w:tcPr>
            <w:tcW w:w="40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Compensation</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40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Compensation</w:t>
            </w:r>
          </w:p>
        </w:tc>
        <w:tc>
          <w:tcPr>
            <w:tcW w:w="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8"/>
        </w:trPr>
        <w:tc>
          <w:tcPr>
            <w:tcW w:w="40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80" w:type="dxa"/>
            <w:vAlign w:val="bottom"/>
          </w:tcPr>
          <w:p>
            <w:pPr>
              <w:ind w:left="140"/>
              <w:spacing w:after="0" w:line="128" w:lineRule="exact"/>
              <w:rPr>
                <w:sz w:val="20"/>
                <w:szCs w:val="20"/>
                <w:color w:val="auto"/>
              </w:rPr>
            </w:pPr>
            <w:r>
              <w:rPr>
                <w:rFonts w:ascii="Arial" w:cs="Arial" w:eastAsia="Arial" w:hAnsi="Arial"/>
                <w:sz w:val="12"/>
                <w:szCs w:val="12"/>
                <w:color w:val="FFFFFF"/>
              </w:rPr>
              <w:t>Discussion and</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40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Analysis</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40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Report of the</w:t>
            </w:r>
          </w:p>
        </w:tc>
        <w:tc>
          <w:tcPr>
            <w:tcW w:w="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8"/>
        </w:trPr>
        <w:tc>
          <w:tcPr>
            <w:tcW w:w="40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80" w:type="dxa"/>
            <w:vAlign w:val="bottom"/>
          </w:tcPr>
          <w:p>
            <w:pPr>
              <w:ind w:left="140"/>
              <w:spacing w:after="0" w:line="128" w:lineRule="exact"/>
              <w:rPr>
                <w:sz w:val="20"/>
                <w:szCs w:val="20"/>
                <w:color w:val="auto"/>
              </w:rPr>
            </w:pPr>
            <w:r>
              <w:rPr>
                <w:rFonts w:ascii="Arial" w:cs="Arial" w:eastAsia="Arial" w:hAnsi="Arial"/>
                <w:sz w:val="12"/>
                <w:szCs w:val="12"/>
                <w:color w:val="FFFFFF"/>
              </w:rPr>
              <w:t>Compensation</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40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80" w:type="dxa"/>
            <w:vAlign w:val="bottom"/>
          </w:tcPr>
          <w:p>
            <w:pPr>
              <w:ind w:left="140"/>
              <w:spacing w:after="0" w:line="128" w:lineRule="exact"/>
              <w:rPr>
                <w:sz w:val="20"/>
                <w:szCs w:val="20"/>
                <w:color w:val="auto"/>
              </w:rPr>
            </w:pPr>
            <w:r>
              <w:rPr>
                <w:rFonts w:ascii="Arial" w:cs="Arial" w:eastAsia="Arial" w:hAnsi="Arial"/>
                <w:sz w:val="12"/>
                <w:szCs w:val="12"/>
                <w:color w:val="FFFFFF"/>
              </w:rPr>
              <w:t>and Human</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40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80" w:type="dxa"/>
            <w:vAlign w:val="bottom"/>
          </w:tcPr>
          <w:p>
            <w:pPr>
              <w:ind w:left="140"/>
              <w:spacing w:after="0" w:line="128" w:lineRule="exact"/>
              <w:rPr>
                <w:sz w:val="20"/>
                <w:szCs w:val="20"/>
                <w:color w:val="auto"/>
              </w:rPr>
            </w:pPr>
            <w:r>
              <w:rPr>
                <w:rFonts w:ascii="Arial" w:cs="Arial" w:eastAsia="Arial" w:hAnsi="Arial"/>
                <w:sz w:val="12"/>
                <w:szCs w:val="12"/>
                <w:color w:val="FFFFFF"/>
              </w:rPr>
              <w:t>Resources</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40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80" w:type="dxa"/>
            <w:vAlign w:val="bottom"/>
          </w:tcPr>
          <w:p>
            <w:pPr>
              <w:ind w:left="140"/>
              <w:spacing w:after="0" w:line="128" w:lineRule="exact"/>
              <w:rPr>
                <w:sz w:val="20"/>
                <w:szCs w:val="20"/>
                <w:color w:val="auto"/>
              </w:rPr>
            </w:pPr>
            <w:r>
              <w:rPr>
                <w:rFonts w:ascii="Arial" w:cs="Arial" w:eastAsia="Arial" w:hAnsi="Arial"/>
                <w:sz w:val="12"/>
                <w:szCs w:val="12"/>
                <w:color w:val="FFFFFF"/>
              </w:rPr>
              <w:t>Committee of the</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40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Board of Directors</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40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Compensation of</w:t>
            </w:r>
          </w:p>
        </w:tc>
        <w:tc>
          <w:tcPr>
            <w:tcW w:w="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8"/>
        </w:trPr>
        <w:tc>
          <w:tcPr>
            <w:tcW w:w="40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80" w:type="dxa"/>
            <w:vAlign w:val="bottom"/>
          </w:tcPr>
          <w:p>
            <w:pPr>
              <w:ind w:left="140"/>
              <w:spacing w:after="0" w:line="128" w:lineRule="exact"/>
              <w:rPr>
                <w:sz w:val="20"/>
                <w:szCs w:val="20"/>
                <w:color w:val="auto"/>
              </w:rPr>
            </w:pPr>
            <w:r>
              <w:rPr>
                <w:rFonts w:ascii="Arial" w:cs="Arial" w:eastAsia="Arial" w:hAnsi="Arial"/>
                <w:sz w:val="12"/>
                <w:szCs w:val="12"/>
                <w:color w:val="FFFFFF"/>
              </w:rPr>
              <w:t>Named Executive</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40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Officers</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40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Pay Versus</w:t>
            </w:r>
          </w:p>
        </w:tc>
        <w:tc>
          <w:tcPr>
            <w:tcW w:w="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8"/>
        </w:trPr>
        <w:tc>
          <w:tcPr>
            <w:tcW w:w="40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80" w:type="dxa"/>
            <w:vAlign w:val="bottom"/>
          </w:tcPr>
          <w:p>
            <w:pPr>
              <w:ind w:left="140"/>
              <w:spacing w:after="0" w:line="128" w:lineRule="exact"/>
              <w:rPr>
                <w:sz w:val="20"/>
                <w:szCs w:val="20"/>
                <w:color w:val="auto"/>
              </w:rPr>
            </w:pPr>
            <w:r>
              <w:rPr>
                <w:rFonts w:ascii="Arial" w:cs="Arial" w:eastAsia="Arial" w:hAnsi="Arial"/>
                <w:sz w:val="12"/>
                <w:szCs w:val="12"/>
                <w:color w:val="FFFFFF"/>
              </w:rPr>
              <w:t>Performance</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40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Disclosure</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40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Security</w:t>
            </w:r>
          </w:p>
        </w:tc>
        <w:tc>
          <w:tcPr>
            <w:tcW w:w="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8"/>
        </w:trPr>
        <w:tc>
          <w:tcPr>
            <w:tcW w:w="40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80" w:type="dxa"/>
            <w:vAlign w:val="bottom"/>
          </w:tcPr>
          <w:p>
            <w:pPr>
              <w:ind w:left="140"/>
              <w:spacing w:after="0" w:line="128" w:lineRule="exact"/>
              <w:rPr>
                <w:sz w:val="20"/>
                <w:szCs w:val="20"/>
                <w:color w:val="auto"/>
              </w:rPr>
            </w:pPr>
            <w:r>
              <w:rPr>
                <w:rFonts w:ascii="Arial" w:cs="Arial" w:eastAsia="Arial" w:hAnsi="Arial"/>
                <w:sz w:val="12"/>
                <w:szCs w:val="12"/>
                <w:color w:val="FFFFFF"/>
              </w:rPr>
              <w:t>Ownership of</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40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80" w:type="dxa"/>
            <w:vAlign w:val="bottom"/>
          </w:tcPr>
          <w:p>
            <w:pPr>
              <w:ind w:left="140"/>
              <w:spacing w:after="0" w:line="128" w:lineRule="exact"/>
              <w:rPr>
                <w:sz w:val="20"/>
                <w:szCs w:val="20"/>
                <w:color w:val="auto"/>
              </w:rPr>
            </w:pPr>
            <w:r>
              <w:rPr>
                <w:rFonts w:ascii="Arial" w:cs="Arial" w:eastAsia="Arial" w:hAnsi="Arial"/>
                <w:sz w:val="12"/>
                <w:szCs w:val="12"/>
                <w:color w:val="FFFFFF"/>
              </w:rPr>
              <w:t>Certain Beneficial</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40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80" w:type="dxa"/>
            <w:vAlign w:val="bottom"/>
          </w:tcPr>
          <w:p>
            <w:pPr>
              <w:ind w:left="140"/>
              <w:spacing w:after="0" w:line="128" w:lineRule="exact"/>
              <w:rPr>
                <w:sz w:val="20"/>
                <w:szCs w:val="20"/>
                <w:color w:val="auto"/>
              </w:rPr>
            </w:pPr>
            <w:r>
              <w:rPr>
                <w:rFonts w:ascii="Arial" w:cs="Arial" w:eastAsia="Arial" w:hAnsi="Arial"/>
                <w:sz w:val="12"/>
                <w:szCs w:val="12"/>
                <w:color w:val="FFFFFF"/>
              </w:rPr>
              <w:t>Owners and</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40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Management</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40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Certain</w:t>
            </w:r>
          </w:p>
        </w:tc>
        <w:tc>
          <w:tcPr>
            <w:tcW w:w="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8"/>
        </w:trPr>
        <w:tc>
          <w:tcPr>
            <w:tcW w:w="40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80" w:type="dxa"/>
            <w:vAlign w:val="bottom"/>
          </w:tcPr>
          <w:p>
            <w:pPr>
              <w:ind w:left="140"/>
              <w:spacing w:after="0" w:line="128" w:lineRule="exact"/>
              <w:rPr>
                <w:sz w:val="20"/>
                <w:szCs w:val="20"/>
                <w:color w:val="auto"/>
              </w:rPr>
            </w:pPr>
            <w:r>
              <w:rPr>
                <w:rFonts w:ascii="Arial" w:cs="Arial" w:eastAsia="Arial" w:hAnsi="Arial"/>
                <w:sz w:val="12"/>
                <w:szCs w:val="12"/>
                <w:color w:val="FFFFFF"/>
              </w:rPr>
              <w:t>Relationships and</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40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80" w:type="dxa"/>
            <w:vAlign w:val="bottom"/>
          </w:tcPr>
          <w:p>
            <w:pPr>
              <w:ind w:left="140"/>
              <w:spacing w:after="0" w:line="128" w:lineRule="exact"/>
              <w:rPr>
                <w:sz w:val="20"/>
                <w:szCs w:val="20"/>
                <w:color w:val="auto"/>
              </w:rPr>
            </w:pPr>
            <w:r>
              <w:rPr>
                <w:rFonts w:ascii="Arial" w:cs="Arial" w:eastAsia="Arial" w:hAnsi="Arial"/>
                <w:sz w:val="12"/>
                <w:szCs w:val="12"/>
                <w:color w:val="FFFFFF"/>
              </w:rPr>
              <w:t>Related Party</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40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Transactions</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4"/>
        </w:trPr>
        <w:tc>
          <w:tcPr>
            <w:tcW w:w="4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Proposal 2</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40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Report of the</w:t>
            </w:r>
          </w:p>
        </w:tc>
        <w:tc>
          <w:tcPr>
            <w:tcW w:w="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8"/>
        </w:trPr>
        <w:tc>
          <w:tcPr>
            <w:tcW w:w="40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80" w:type="dxa"/>
            <w:vAlign w:val="bottom"/>
          </w:tcPr>
          <w:p>
            <w:pPr>
              <w:ind w:left="140"/>
              <w:spacing w:after="0" w:line="128" w:lineRule="exact"/>
              <w:rPr>
                <w:sz w:val="20"/>
                <w:szCs w:val="20"/>
                <w:color w:val="auto"/>
              </w:rPr>
            </w:pPr>
            <w:r>
              <w:rPr>
                <w:rFonts w:ascii="Arial" w:cs="Arial" w:eastAsia="Arial" w:hAnsi="Arial"/>
                <w:sz w:val="12"/>
                <w:szCs w:val="12"/>
                <w:color w:val="FFFFFF"/>
              </w:rPr>
              <w:t>Audit and Risk</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40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80" w:type="dxa"/>
            <w:vAlign w:val="bottom"/>
          </w:tcPr>
          <w:p>
            <w:pPr>
              <w:ind w:left="140"/>
              <w:spacing w:after="0" w:line="128" w:lineRule="exact"/>
              <w:rPr>
                <w:sz w:val="20"/>
                <w:szCs w:val="20"/>
                <w:color w:val="auto"/>
              </w:rPr>
            </w:pPr>
            <w:r>
              <w:rPr>
                <w:rFonts w:ascii="Arial" w:cs="Arial" w:eastAsia="Arial" w:hAnsi="Arial"/>
                <w:sz w:val="12"/>
                <w:szCs w:val="12"/>
                <w:color w:val="FFFFFF"/>
              </w:rPr>
              <w:t>Committee of the</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40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Board of Directors</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4"/>
        </w:trPr>
        <w:tc>
          <w:tcPr>
            <w:tcW w:w="4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Proposal 3</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4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Proposal 4</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4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Proposal 5</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4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Proposal 6</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40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Stockholder</w:t>
            </w:r>
          </w:p>
        </w:tc>
        <w:tc>
          <w:tcPr>
            <w:tcW w:w="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8"/>
        </w:trPr>
        <w:tc>
          <w:tcPr>
            <w:tcW w:w="40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80" w:type="dxa"/>
            <w:vAlign w:val="bottom"/>
          </w:tcPr>
          <w:p>
            <w:pPr>
              <w:ind w:left="140"/>
              <w:spacing w:after="0" w:line="128" w:lineRule="exact"/>
              <w:rPr>
                <w:sz w:val="20"/>
                <w:szCs w:val="20"/>
                <w:color w:val="auto"/>
              </w:rPr>
            </w:pPr>
            <w:r>
              <w:rPr>
                <w:rFonts w:ascii="Arial" w:cs="Arial" w:eastAsia="Arial" w:hAnsi="Arial"/>
                <w:sz w:val="12"/>
                <w:szCs w:val="12"/>
                <w:color w:val="FFFFFF"/>
              </w:rPr>
              <w:t>Proposals and</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40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Other Matters</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40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Delinquent</w:t>
            </w:r>
          </w:p>
        </w:tc>
        <w:tc>
          <w:tcPr>
            <w:tcW w:w="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8"/>
        </w:trPr>
        <w:tc>
          <w:tcPr>
            <w:tcW w:w="40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80" w:type="dxa"/>
            <w:vAlign w:val="bottom"/>
          </w:tcPr>
          <w:p>
            <w:pPr>
              <w:ind w:left="140"/>
              <w:spacing w:after="0" w:line="128" w:lineRule="exact"/>
              <w:rPr>
                <w:sz w:val="20"/>
                <w:szCs w:val="20"/>
                <w:color w:val="auto"/>
              </w:rPr>
            </w:pPr>
            <w:r>
              <w:rPr>
                <w:rFonts w:ascii="Arial" w:cs="Arial" w:eastAsia="Arial" w:hAnsi="Arial"/>
                <w:sz w:val="12"/>
                <w:szCs w:val="12"/>
                <w:color w:val="FFFFFF"/>
              </w:rPr>
              <w:t>Section 16(a)</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40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Reports</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40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Other</w:t>
            </w:r>
          </w:p>
        </w:tc>
        <w:tc>
          <w:tcPr>
            <w:tcW w:w="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8"/>
        </w:trPr>
        <w:tc>
          <w:tcPr>
            <w:tcW w:w="40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Information</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4"/>
        </w:trPr>
        <w:tc>
          <w:tcPr>
            <w:tcW w:w="4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Appendix A</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4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80" w:type="dxa"/>
            <w:vAlign w:val="bottom"/>
          </w:tcPr>
          <w:p>
            <w:pPr>
              <w:ind w:left="140"/>
              <w:spacing w:after="0"/>
              <w:rPr>
                <w:sz w:val="20"/>
                <w:szCs w:val="20"/>
                <w:color w:val="auto"/>
              </w:rPr>
            </w:pPr>
            <w:r>
              <w:rPr>
                <w:rFonts w:ascii="Arial" w:cs="Arial" w:eastAsia="Arial" w:hAnsi="Arial"/>
                <w:sz w:val="12"/>
                <w:szCs w:val="12"/>
                <w:b w:val="1"/>
                <w:bCs w:val="1"/>
                <w:color w:val="FFFFFF"/>
              </w:rPr>
              <w:t>Appendix B</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300"/>
        <w:spacing w:after="0"/>
        <w:tabs>
          <w:tab w:leader="none" w:pos="8500" w:val="left"/>
          <w:tab w:leader="none" w:pos="9960" w:val="left"/>
        </w:tabs>
        <w:rPr>
          <w:sz w:val="20"/>
          <w:szCs w:val="20"/>
          <w:color w:val="auto"/>
        </w:rPr>
      </w:pPr>
      <w:r>
        <w:rPr>
          <w:rFonts w:ascii="Arial" w:cs="Arial" w:eastAsia="Arial" w:hAnsi="Arial"/>
          <w:sz w:val="15"/>
          <w:szCs w:val="15"/>
          <w:b w:val="1"/>
          <w:bCs w:val="1"/>
          <w:color w:val="002B5F"/>
        </w:rPr>
        <w:t xml:space="preserve">2026 Proxy Statement  </w:t>
      </w:r>
      <w:r>
        <w:rPr>
          <w:rFonts w:ascii="Arial" w:cs="Arial" w:eastAsia="Arial" w:hAnsi="Arial"/>
          <w:sz w:val="20"/>
          <w:szCs w:val="20"/>
          <w:color w:val="002B5F"/>
        </w:rPr>
        <w:t>|</w:t>
      </w:r>
      <w:r>
        <w:rPr>
          <w:rFonts w:ascii="Arial" w:cs="Arial" w:eastAsia="Arial" w:hAnsi="Arial"/>
          <w:sz w:val="15"/>
          <w:szCs w:val="15"/>
          <w:b w:val="1"/>
          <w:bCs w:val="1"/>
          <w:color w:val="002B5F"/>
        </w:rPr>
        <w:t xml:space="preserve">  105</w:t>
      </w:r>
      <w:r>
        <w:rPr>
          <w:sz w:val="20"/>
          <w:szCs w:val="20"/>
          <w:color w:val="auto"/>
        </w:rPr>
        <w:tab/>
      </w:r>
      <w:r>
        <w:rPr>
          <w:rFonts w:ascii="Arial" w:cs="Arial" w:eastAsia="Arial" w:hAnsi="Arial"/>
          <w:sz w:val="17"/>
          <w:szCs w:val="17"/>
          <w:color w:val="auto"/>
        </w:rPr>
        <w:t xml:space="preserve">    </w:t>
      </w:r>
      <w:r>
        <w:rPr>
          <w:sz w:val="20"/>
          <w:szCs w:val="20"/>
          <w:color w:val="auto"/>
        </w:rPr>
        <w:tab/>
      </w:r>
      <w:r>
        <w:rPr>
          <w:rFonts w:ascii="Arial" w:cs="Arial" w:eastAsia="Arial" w:hAnsi="Arial"/>
          <w:sz w:val="17"/>
          <w:szCs w:val="17"/>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268605</wp:posOffset>
            </wp:positionH>
            <wp:positionV relativeFrom="paragraph">
              <wp:posOffset>-128905</wp:posOffset>
            </wp:positionV>
            <wp:extent cx="762000" cy="9715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62000" cy="97155"/>
                    </a:xfrm>
                    <a:prstGeom prst="rect">
                      <a:avLst/>
                    </a:prstGeom>
                    <a:noFill/>
                  </pic:spPr>
                </pic:pic>
              </a:graphicData>
            </a:graphic>
          </wp:anchor>
        </w:drawing>
      </w:r>
    </w:p>
    <w:p>
      <w:pPr>
        <w:sectPr>
          <w:pgSz w:w="11900" w:h="16838" w:orient="portrait"/>
          <w:cols w:equalWidth="0" w:num="1">
            <w:col w:w="10800"/>
          </w:cols>
          <w:pgMar w:left="320" w:top="463" w:right="77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5334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181215" cy="53340"/>
                    </a:xfrm>
                    <a:prstGeom prst="rect">
                      <a:avLst/>
                    </a:prstGeom>
                    <a:noFill/>
                  </pic:spPr>
                </pic:pic>
              </a:graphicData>
            </a:graphic>
          </wp:anchor>
        </w:drawing>
        <w:t>Table of Contents</w:t>
      </w:r>
    </w:p>
    <w:p>
      <w:pPr>
        <w:spacing w:after="0" w:line="359" w:lineRule="exact"/>
        <w:rPr>
          <w:sz w:val="20"/>
          <w:szCs w:val="20"/>
          <w:color w:val="auto"/>
        </w:rPr>
      </w:pPr>
    </w:p>
    <w:p>
      <w:pPr>
        <w:ind w:left="660"/>
        <w:spacing w:after="0"/>
        <w:rPr>
          <w:sz w:val="20"/>
          <w:szCs w:val="20"/>
          <w:color w:val="auto"/>
        </w:rPr>
      </w:pPr>
      <w:r>
        <w:rPr>
          <w:rFonts w:ascii="Arial" w:cs="Arial" w:eastAsia="Arial" w:hAnsi="Arial"/>
          <w:sz w:val="17"/>
          <w:szCs w:val="17"/>
          <w:i w:val="1"/>
          <w:iCs w:val="1"/>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3761740</wp:posOffset>
            </wp:positionH>
            <wp:positionV relativeFrom="paragraph">
              <wp:posOffset>-114300</wp:posOffset>
            </wp:positionV>
            <wp:extent cx="1969135" cy="52705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1969135" cy="527050"/>
                    </a:xfrm>
                    <a:prstGeom prst="rect">
                      <a:avLst/>
                    </a:prstGeom>
                    <a:noFill/>
                  </pic:spPr>
                </pic:pic>
              </a:graphicData>
            </a:graphic>
          </wp:anchor>
        </w:drawing>
      </w:r>
    </w:p>
    <w:p>
      <w:pPr>
        <w:ind w:left="660"/>
        <w:spacing w:after="0"/>
        <w:rPr>
          <w:sz w:val="20"/>
          <w:szCs w:val="20"/>
          <w:color w:val="auto"/>
        </w:rPr>
      </w:pPr>
      <w:r>
        <w:rPr>
          <w:rFonts w:ascii="Arial" w:cs="Arial" w:eastAsia="Arial" w:hAnsi="Arial"/>
          <w:sz w:val="9"/>
          <w:szCs w:val="9"/>
          <w:i w:val="1"/>
          <w:iCs w:val="1"/>
          <w:color w:val="auto"/>
        </w:rPr>
        <w:t>LPL FINANCIAL HOLDINGS INC.</w:t>
      </w:r>
    </w:p>
    <w:p>
      <w:pPr>
        <w:spacing w:after="0" w:line="11" w:lineRule="exact"/>
        <w:rPr>
          <w:sz w:val="20"/>
          <w:szCs w:val="20"/>
          <w:color w:val="auto"/>
        </w:rPr>
      </w:pPr>
    </w:p>
    <w:p>
      <w:pPr>
        <w:ind w:left="660"/>
        <w:spacing w:after="0"/>
        <w:rPr>
          <w:sz w:val="20"/>
          <w:szCs w:val="20"/>
          <w:color w:val="auto"/>
        </w:rPr>
      </w:pPr>
      <w:r>
        <w:rPr>
          <w:rFonts w:ascii="Arial" w:cs="Arial" w:eastAsia="Arial" w:hAnsi="Arial"/>
          <w:sz w:val="9"/>
          <w:szCs w:val="9"/>
          <w:i w:val="1"/>
          <w:iCs w:val="1"/>
          <w:color w:val="auto"/>
        </w:rPr>
        <w:t>1055 LPL WAY</w:t>
      </w:r>
    </w:p>
    <w:p>
      <w:pPr>
        <w:spacing w:after="0" w:line="11" w:lineRule="exact"/>
        <w:rPr>
          <w:sz w:val="20"/>
          <w:szCs w:val="20"/>
          <w:color w:val="auto"/>
        </w:rPr>
      </w:pPr>
    </w:p>
    <w:p>
      <w:pPr>
        <w:ind w:left="660"/>
        <w:spacing w:after="0"/>
        <w:rPr>
          <w:sz w:val="20"/>
          <w:szCs w:val="20"/>
          <w:color w:val="auto"/>
        </w:rPr>
      </w:pPr>
      <w:r>
        <w:rPr>
          <w:rFonts w:ascii="Arial" w:cs="Arial" w:eastAsia="Arial" w:hAnsi="Arial"/>
          <w:sz w:val="9"/>
          <w:szCs w:val="9"/>
          <w:i w:val="1"/>
          <w:iCs w:val="1"/>
          <w:color w:val="auto"/>
        </w:rPr>
        <w:t>FORT MILL, SOUTH CAROLINA 29715</w:t>
      </w:r>
    </w:p>
    <w:p>
      <w:pPr>
        <w:spacing w:after="0" w:line="96"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color w:val="auto"/>
        </w:rPr>
        <w:t>  </w:t>
      </w:r>
    </w:p>
    <w:p>
      <w:pPr>
        <w:spacing w:after="0" w:line="47" w:lineRule="exact"/>
        <w:rPr>
          <w:sz w:val="20"/>
          <w:szCs w:val="20"/>
          <w:color w:val="auto"/>
        </w:rPr>
      </w:pPr>
    </w:p>
    <w:p>
      <w:pPr>
        <w:ind w:left="5720"/>
        <w:spacing w:after="0"/>
        <w:rPr>
          <w:sz w:val="20"/>
          <w:szCs w:val="20"/>
          <w:color w:val="auto"/>
        </w:rPr>
      </w:pPr>
      <w:r>
        <w:rPr>
          <w:rFonts w:ascii="Arial" w:cs="Arial" w:eastAsia="Arial" w:hAnsi="Arial"/>
          <w:sz w:val="9"/>
          <w:szCs w:val="9"/>
          <w:b w:val="1"/>
          <w:bCs w:val="1"/>
          <w:color w:val="auto"/>
        </w:rPr>
        <w:t xml:space="preserve">VOTE BY INTERNET - </w:t>
      </w:r>
      <w:r>
        <w:rPr>
          <w:rFonts w:ascii="Arial" w:cs="Arial" w:eastAsia="Arial" w:hAnsi="Arial"/>
          <w:sz w:val="9"/>
          <w:szCs w:val="9"/>
          <w:b w:val="1"/>
          <w:bCs w:val="1"/>
          <w:u w:val="single" w:color="auto"/>
          <w:color w:val="auto"/>
        </w:rPr>
        <w:t>www.proxyvote.com</w:t>
      </w:r>
      <w:r>
        <w:rPr>
          <w:rFonts w:ascii="Arial" w:cs="Arial" w:eastAsia="Arial" w:hAnsi="Arial"/>
          <w:sz w:val="9"/>
          <w:szCs w:val="9"/>
          <w:b w:val="1"/>
          <w:bCs w:val="1"/>
          <w:color w:val="auto"/>
        </w:rPr>
        <w:t xml:space="preserve"> or scan the QR Barcode above</w:t>
      </w:r>
    </w:p>
    <w:p>
      <w:pPr>
        <w:spacing w:after="0" w:line="19" w:lineRule="exact"/>
        <w:rPr>
          <w:sz w:val="20"/>
          <w:szCs w:val="20"/>
          <w:color w:val="auto"/>
        </w:rPr>
      </w:pPr>
    </w:p>
    <w:p>
      <w:pPr>
        <w:ind w:left="5720"/>
        <w:spacing w:after="0"/>
        <w:rPr>
          <w:sz w:val="20"/>
          <w:szCs w:val="20"/>
          <w:color w:val="auto"/>
        </w:rPr>
      </w:pPr>
      <w:r>
        <w:rPr>
          <w:rFonts w:ascii="Arial" w:cs="Arial" w:eastAsia="Arial" w:hAnsi="Arial"/>
          <w:sz w:val="9"/>
          <w:szCs w:val="9"/>
          <w:color w:val="auto"/>
        </w:rPr>
        <w:t>Use the Internet to transmit your voting instructions and for electronic delivery of information until 11:59</w:t>
      </w:r>
    </w:p>
    <w:p>
      <w:pPr>
        <w:spacing w:after="0" w:line="11" w:lineRule="exact"/>
        <w:rPr>
          <w:sz w:val="20"/>
          <w:szCs w:val="20"/>
          <w:color w:val="auto"/>
        </w:rPr>
      </w:pPr>
    </w:p>
    <w:p>
      <w:pPr>
        <w:ind w:left="5720"/>
        <w:spacing w:after="0"/>
        <w:rPr>
          <w:sz w:val="20"/>
          <w:szCs w:val="20"/>
          <w:color w:val="auto"/>
        </w:rPr>
      </w:pPr>
      <w:r>
        <w:rPr>
          <w:rFonts w:ascii="Arial" w:cs="Arial" w:eastAsia="Arial" w:hAnsi="Arial"/>
          <w:sz w:val="9"/>
          <w:szCs w:val="9"/>
          <w:color w:val="auto"/>
        </w:rPr>
        <w:t>p.m. Eastern Time on May 13, 2026. Follow the instructions to obtain your records and to create an</w:t>
      </w:r>
    </w:p>
    <w:p>
      <w:pPr>
        <w:spacing w:after="0" w:line="11" w:lineRule="exact"/>
        <w:rPr>
          <w:sz w:val="20"/>
          <w:szCs w:val="20"/>
          <w:color w:val="auto"/>
        </w:rPr>
      </w:pPr>
    </w:p>
    <w:p>
      <w:pPr>
        <w:ind w:left="5720"/>
        <w:spacing w:after="0"/>
        <w:rPr>
          <w:sz w:val="20"/>
          <w:szCs w:val="20"/>
          <w:color w:val="auto"/>
        </w:rPr>
      </w:pPr>
      <w:r>
        <w:rPr>
          <w:rFonts w:ascii="Arial" w:cs="Arial" w:eastAsia="Arial" w:hAnsi="Arial"/>
          <w:sz w:val="9"/>
          <w:szCs w:val="9"/>
          <w:color w:val="auto"/>
        </w:rPr>
        <w:t>electronic voting instruction form.</w:t>
      </w:r>
    </w:p>
    <w:p>
      <w:pPr>
        <w:spacing w:after="0" w:line="80" w:lineRule="exact"/>
        <w:rPr>
          <w:sz w:val="20"/>
          <w:szCs w:val="20"/>
          <w:color w:val="auto"/>
        </w:rPr>
      </w:pPr>
    </w:p>
    <w:p>
      <w:pPr>
        <w:ind w:left="5720"/>
        <w:spacing w:after="0"/>
        <w:rPr>
          <w:sz w:val="20"/>
          <w:szCs w:val="20"/>
          <w:color w:val="auto"/>
        </w:rPr>
      </w:pPr>
      <w:r>
        <w:rPr>
          <w:rFonts w:ascii="Arial" w:cs="Arial" w:eastAsia="Arial" w:hAnsi="Arial"/>
          <w:sz w:val="9"/>
          <w:szCs w:val="9"/>
          <w:b w:val="1"/>
          <w:bCs w:val="1"/>
          <w:color w:val="auto"/>
        </w:rPr>
        <w:t>ELECTRONIC DELIVERY OF FUTURE PROXY MATERIALS</w:t>
      </w:r>
    </w:p>
    <w:p>
      <w:pPr>
        <w:spacing w:after="0" w:line="19" w:lineRule="exact"/>
        <w:rPr>
          <w:sz w:val="20"/>
          <w:szCs w:val="20"/>
          <w:color w:val="auto"/>
        </w:rPr>
      </w:pPr>
    </w:p>
    <w:p>
      <w:pPr>
        <w:ind w:left="5720"/>
        <w:spacing w:after="0"/>
        <w:rPr>
          <w:sz w:val="20"/>
          <w:szCs w:val="20"/>
          <w:color w:val="auto"/>
        </w:rPr>
      </w:pPr>
      <w:r>
        <w:rPr>
          <w:rFonts w:ascii="Arial" w:cs="Arial" w:eastAsia="Arial" w:hAnsi="Arial"/>
          <w:sz w:val="9"/>
          <w:szCs w:val="9"/>
          <w:color w:val="auto"/>
        </w:rPr>
        <w:t>If you would like to reduce the costs incurred by our company in mailing proxy materials, you can</w:t>
      </w:r>
    </w:p>
    <w:p>
      <w:pPr>
        <w:spacing w:after="0" w:line="11" w:lineRule="exact"/>
        <w:rPr>
          <w:sz w:val="20"/>
          <w:szCs w:val="20"/>
          <w:color w:val="auto"/>
        </w:rPr>
      </w:pPr>
    </w:p>
    <w:p>
      <w:pPr>
        <w:ind w:left="5720"/>
        <w:spacing w:after="0"/>
        <w:rPr>
          <w:sz w:val="20"/>
          <w:szCs w:val="20"/>
          <w:color w:val="auto"/>
        </w:rPr>
      </w:pPr>
      <w:r>
        <w:rPr>
          <w:rFonts w:ascii="Arial" w:cs="Arial" w:eastAsia="Arial" w:hAnsi="Arial"/>
          <w:sz w:val="9"/>
          <w:szCs w:val="9"/>
          <w:color w:val="auto"/>
        </w:rPr>
        <w:t>consent to receiving all future proxy statements, proxy cards and annual reports electronically via</w:t>
      </w:r>
    </w:p>
    <w:p>
      <w:pPr>
        <w:spacing w:after="0" w:line="11" w:lineRule="exact"/>
        <w:rPr>
          <w:sz w:val="20"/>
          <w:szCs w:val="20"/>
          <w:color w:val="auto"/>
        </w:rPr>
      </w:pPr>
    </w:p>
    <w:p>
      <w:pPr>
        <w:ind w:left="5720"/>
        <w:spacing w:after="0"/>
        <w:rPr>
          <w:sz w:val="20"/>
          <w:szCs w:val="20"/>
          <w:color w:val="auto"/>
        </w:rPr>
      </w:pPr>
      <w:r>
        <w:rPr>
          <w:rFonts w:ascii="Arial" w:cs="Arial" w:eastAsia="Arial" w:hAnsi="Arial"/>
          <w:sz w:val="9"/>
          <w:szCs w:val="9"/>
          <w:color w:val="auto"/>
        </w:rPr>
        <w:t>e-mail or the Internet. To sign up for electronic delivery, please follow the instructions above to vote</w:t>
      </w:r>
    </w:p>
    <w:p>
      <w:pPr>
        <w:spacing w:after="0" w:line="11" w:lineRule="exact"/>
        <w:rPr>
          <w:sz w:val="20"/>
          <w:szCs w:val="20"/>
          <w:color w:val="auto"/>
        </w:rPr>
      </w:pPr>
    </w:p>
    <w:p>
      <w:pPr>
        <w:ind w:left="5720"/>
        <w:spacing w:after="0"/>
        <w:rPr>
          <w:sz w:val="20"/>
          <w:szCs w:val="20"/>
          <w:color w:val="auto"/>
        </w:rPr>
      </w:pPr>
      <w:r>
        <w:rPr>
          <w:rFonts w:ascii="Arial" w:cs="Arial" w:eastAsia="Arial" w:hAnsi="Arial"/>
          <w:sz w:val="9"/>
          <w:szCs w:val="9"/>
          <w:color w:val="auto"/>
        </w:rPr>
        <w:t>using the Internet and, when prompted, indicate that you agree to receive or access proxy materials</w:t>
      </w:r>
    </w:p>
    <w:p>
      <w:pPr>
        <w:spacing w:after="0" w:line="11" w:lineRule="exact"/>
        <w:rPr>
          <w:sz w:val="20"/>
          <w:szCs w:val="20"/>
          <w:color w:val="auto"/>
        </w:rPr>
      </w:pPr>
    </w:p>
    <w:p>
      <w:pPr>
        <w:ind w:left="5720"/>
        <w:spacing w:after="0"/>
        <w:rPr>
          <w:sz w:val="20"/>
          <w:szCs w:val="20"/>
          <w:color w:val="auto"/>
        </w:rPr>
      </w:pPr>
      <w:r>
        <w:rPr>
          <w:rFonts w:ascii="Arial" w:cs="Arial" w:eastAsia="Arial" w:hAnsi="Arial"/>
          <w:sz w:val="9"/>
          <w:szCs w:val="9"/>
          <w:color w:val="auto"/>
        </w:rPr>
        <w:t>electronically in future years.</w:t>
      </w:r>
    </w:p>
    <w:p>
      <w:pPr>
        <w:spacing w:after="0" w:line="67" w:lineRule="exact"/>
        <w:rPr>
          <w:sz w:val="20"/>
          <w:szCs w:val="20"/>
          <w:color w:val="auto"/>
        </w:rPr>
      </w:pPr>
    </w:p>
    <w:p>
      <w:pPr>
        <w:ind w:left="5720"/>
        <w:spacing w:after="0"/>
        <w:rPr>
          <w:sz w:val="20"/>
          <w:szCs w:val="20"/>
          <w:color w:val="auto"/>
        </w:rPr>
      </w:pPr>
      <w:r>
        <w:rPr>
          <w:rFonts w:ascii="Arial" w:cs="Arial" w:eastAsia="Arial" w:hAnsi="Arial"/>
          <w:sz w:val="9"/>
          <w:szCs w:val="9"/>
          <w:b w:val="1"/>
          <w:bCs w:val="1"/>
          <w:color w:val="auto"/>
        </w:rPr>
        <w:t>VOTE BY PHONE - 1-800-690-6903</w:t>
      </w:r>
    </w:p>
    <w:p>
      <w:pPr>
        <w:spacing w:after="0" w:line="19" w:lineRule="exact"/>
        <w:rPr>
          <w:sz w:val="20"/>
          <w:szCs w:val="20"/>
          <w:color w:val="auto"/>
        </w:rPr>
      </w:pPr>
    </w:p>
    <w:p>
      <w:pPr>
        <w:ind w:left="5720"/>
        <w:spacing w:after="0"/>
        <w:rPr>
          <w:sz w:val="20"/>
          <w:szCs w:val="20"/>
          <w:color w:val="auto"/>
        </w:rPr>
      </w:pPr>
      <w:r>
        <w:rPr>
          <w:rFonts w:ascii="Arial" w:cs="Arial" w:eastAsia="Arial" w:hAnsi="Arial"/>
          <w:sz w:val="9"/>
          <w:szCs w:val="9"/>
          <w:color w:val="auto"/>
        </w:rPr>
        <w:t>Use any touch-tone telephone to transmit your voting instructions until 11:59 p.m. Eastern Time on</w:t>
      </w:r>
    </w:p>
    <w:p>
      <w:pPr>
        <w:spacing w:after="0" w:line="11" w:lineRule="exact"/>
        <w:rPr>
          <w:sz w:val="20"/>
          <w:szCs w:val="20"/>
          <w:color w:val="auto"/>
        </w:rPr>
      </w:pPr>
    </w:p>
    <w:p>
      <w:pPr>
        <w:ind w:left="5720"/>
        <w:spacing w:after="0"/>
        <w:rPr>
          <w:sz w:val="20"/>
          <w:szCs w:val="20"/>
          <w:color w:val="auto"/>
        </w:rPr>
      </w:pPr>
      <w:r>
        <w:rPr>
          <w:rFonts w:ascii="Arial" w:cs="Arial" w:eastAsia="Arial" w:hAnsi="Arial"/>
          <w:sz w:val="9"/>
          <w:szCs w:val="9"/>
          <w:color w:val="auto"/>
        </w:rPr>
        <w:t>May 13, 2026. Have your proxy card in hand when you call and then follow the instructions.</w:t>
      </w:r>
    </w:p>
    <w:p>
      <w:pPr>
        <w:spacing w:after="0" w:line="67" w:lineRule="exact"/>
        <w:rPr>
          <w:sz w:val="20"/>
          <w:szCs w:val="20"/>
          <w:color w:val="auto"/>
        </w:rPr>
      </w:pPr>
    </w:p>
    <w:p>
      <w:pPr>
        <w:ind w:left="5720"/>
        <w:spacing w:after="0"/>
        <w:rPr>
          <w:sz w:val="20"/>
          <w:szCs w:val="20"/>
          <w:color w:val="auto"/>
        </w:rPr>
      </w:pPr>
      <w:r>
        <w:rPr>
          <w:rFonts w:ascii="Arial" w:cs="Arial" w:eastAsia="Arial" w:hAnsi="Arial"/>
          <w:sz w:val="9"/>
          <w:szCs w:val="9"/>
          <w:b w:val="1"/>
          <w:bCs w:val="1"/>
          <w:color w:val="auto"/>
        </w:rPr>
        <w:t>VOTE BY MAIL</w:t>
      </w:r>
    </w:p>
    <w:p>
      <w:pPr>
        <w:spacing w:after="0" w:line="19" w:lineRule="exact"/>
        <w:rPr>
          <w:sz w:val="20"/>
          <w:szCs w:val="20"/>
          <w:color w:val="auto"/>
        </w:rPr>
      </w:pPr>
    </w:p>
    <w:p>
      <w:pPr>
        <w:ind w:left="5720"/>
        <w:spacing w:after="0"/>
        <w:rPr>
          <w:sz w:val="20"/>
          <w:szCs w:val="20"/>
          <w:color w:val="auto"/>
        </w:rPr>
      </w:pPr>
      <w:r>
        <w:rPr>
          <w:rFonts w:ascii="Arial" w:cs="Arial" w:eastAsia="Arial" w:hAnsi="Arial"/>
          <w:sz w:val="9"/>
          <w:szCs w:val="9"/>
          <w:color w:val="auto"/>
        </w:rPr>
        <w:t>Mark, sign and date your proxy card and return it in the postage-paid envelope we have provided or</w:t>
      </w:r>
    </w:p>
    <w:p>
      <w:pPr>
        <w:spacing w:after="0" w:line="11" w:lineRule="exact"/>
        <w:rPr>
          <w:sz w:val="20"/>
          <w:szCs w:val="20"/>
          <w:color w:val="auto"/>
        </w:rPr>
      </w:pPr>
    </w:p>
    <w:p>
      <w:pPr>
        <w:ind w:left="5720"/>
        <w:spacing w:after="0"/>
        <w:rPr>
          <w:sz w:val="20"/>
          <w:szCs w:val="20"/>
          <w:color w:val="auto"/>
        </w:rPr>
      </w:pPr>
      <w:r>
        <w:rPr>
          <w:rFonts w:ascii="Arial" w:cs="Arial" w:eastAsia="Arial" w:hAnsi="Arial"/>
          <w:sz w:val="9"/>
          <w:szCs w:val="9"/>
          <w:color w:val="auto"/>
        </w:rPr>
        <w:t>return it to Vote Processing, c/o Broadridge, 51 Mercedes Way, Edgewood, NY 11717.</w:t>
      </w:r>
    </w:p>
    <w:p>
      <w:pPr>
        <w:spacing w:after="0" w:line="7" w:lineRule="exact"/>
        <w:rPr>
          <w:sz w:val="20"/>
          <w:szCs w:val="20"/>
          <w:color w:val="auto"/>
        </w:rPr>
      </w:pPr>
    </w:p>
    <w:p>
      <w:pPr>
        <w:ind w:left="5720"/>
        <w:spacing w:after="0"/>
        <w:rPr>
          <w:sz w:val="20"/>
          <w:szCs w:val="20"/>
          <w:color w:val="auto"/>
        </w:rPr>
      </w:pPr>
      <w:r>
        <w:rPr>
          <w:rFonts w:ascii="Arial" w:cs="Arial" w:eastAsia="Arial" w:hAnsi="Arial"/>
          <w:sz w:val="41"/>
          <w:szCs w:val="41"/>
          <w:color w:val="auto"/>
        </w:rPr>
        <w: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TO VOTE, MARK BLOCKS BELOW IN BLUE OR BLACK INK AS FOLLOWS:</w:t>
      </w:r>
    </w:p>
    <w:p>
      <w:pPr>
        <w:ind w:left="6800"/>
        <w:spacing w:after="0" w:line="200" w:lineRule="auto"/>
        <w:tabs>
          <w:tab w:leader="none" w:pos="8300" w:val="left"/>
        </w:tabs>
        <w:rPr>
          <w:sz w:val="20"/>
          <w:szCs w:val="20"/>
          <w:color w:val="auto"/>
        </w:rPr>
      </w:pPr>
      <w:r>
        <w:rPr>
          <w:rFonts w:ascii="Arial" w:cs="Arial" w:eastAsia="Arial" w:hAnsi="Arial"/>
          <w:sz w:val="6"/>
          <w:szCs w:val="6"/>
          <w:color w:val="auto"/>
        </w:rPr>
        <w:t xml:space="preserve">V85876-P41760              </w:t>
      </w:r>
      <w:r>
        <w:rPr>
          <w:sz w:val="20"/>
          <w:szCs w:val="20"/>
          <w:color w:val="auto"/>
        </w:rPr>
        <w:tab/>
      </w:r>
      <w:r>
        <w:rPr>
          <w:rFonts w:ascii="Arial" w:cs="Arial" w:eastAsia="Arial" w:hAnsi="Arial"/>
          <w:sz w:val="6"/>
          <w:szCs w:val="6"/>
          <w:color w:val="auto"/>
        </w:rPr>
        <w:t>KEEP THIS PORTION FOR YOUR RECORDS</w:t>
      </w:r>
    </w:p>
    <w:p>
      <w:pPr>
        <w:jc w:val="right"/>
        <w:spacing w:after="0" w:line="182" w:lineRule="auto"/>
        <w:rPr>
          <w:sz w:val="20"/>
          <w:szCs w:val="20"/>
          <w:color w:val="auto"/>
        </w:rPr>
      </w:pPr>
      <w:r>
        <w:rPr>
          <w:rFonts w:ascii="Arial" w:cs="Arial" w:eastAsia="Arial" w:hAnsi="Arial"/>
          <w:sz w:val="17"/>
          <w:szCs w:val="17"/>
          <w:color w:val="auto"/>
        </w:rPr>
        <w:t>— — — — — — — — — — — — — — — — — — — — — — — — — — — — — — — — — — — — — — — — — — — — — — — — — — —</w:t>
      </w:r>
    </w:p>
    <w:p>
      <w:pPr>
        <w:jc w:val="right"/>
        <w:spacing w:after="0"/>
        <w:rPr>
          <w:sz w:val="20"/>
          <w:szCs w:val="20"/>
          <w:color w:val="auto"/>
        </w:rPr>
      </w:pPr>
      <w:r>
        <w:rPr>
          <w:rFonts w:ascii="Arial" w:cs="Arial" w:eastAsia="Arial" w:hAnsi="Arial"/>
          <w:sz w:val="12"/>
          <w:szCs w:val="12"/>
          <w:color w:val="auto"/>
        </w:rPr>
        <w:t>DETACH AND RETURN THIS PORTION ONLY</w:t>
      </w:r>
    </w:p>
    <w:p>
      <w:pPr>
        <w:ind w:left="3560"/>
        <w:spacing w:after="0"/>
        <w:rPr>
          <w:sz w:val="20"/>
          <w:szCs w:val="20"/>
          <w:color w:val="auto"/>
        </w:rPr>
      </w:pPr>
      <w:r>
        <w:rPr>
          <w:rFonts w:ascii="Arial" w:cs="Arial" w:eastAsia="Arial" w:hAnsi="Arial"/>
          <w:sz w:val="14"/>
          <w:szCs w:val="14"/>
          <w:b w:val="1"/>
          <w:bCs w:val="1"/>
          <w:color w:val="auto"/>
        </w:rPr>
        <w:t>THIS PROXY CARD IS VALID ONLY WHEN SIGNED AND 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wp:posOffset>
            </wp:positionH>
            <wp:positionV relativeFrom="paragraph">
              <wp:posOffset>40005</wp:posOffset>
            </wp:positionV>
            <wp:extent cx="6614160" cy="376936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6614160" cy="3769360"/>
                    </a:xfrm>
                    <a:prstGeom prst="rect">
                      <a:avLst/>
                    </a:prstGeom>
                    <a:noFill/>
                  </pic:spPr>
                </pic:pic>
              </a:graphicData>
            </a:graphic>
          </wp:anchor>
        </w:drawing>
      </w:r>
    </w:p>
    <w:p>
      <w:pPr>
        <w:spacing w:after="0" w:line="180" w:lineRule="exact"/>
        <w:rPr>
          <w:sz w:val="20"/>
          <w:szCs w:val="20"/>
          <w:color w:val="auto"/>
        </w:rPr>
      </w:pPr>
    </w:p>
    <w:p>
      <w:pPr>
        <w:ind w:left="560"/>
        <w:spacing w:after="0"/>
        <w:rPr>
          <w:sz w:val="20"/>
          <w:szCs w:val="20"/>
          <w:color w:val="auto"/>
        </w:rPr>
      </w:pPr>
      <w:r>
        <w:rPr>
          <w:rFonts w:ascii="Arial" w:cs="Arial" w:eastAsia="Arial" w:hAnsi="Arial"/>
          <w:sz w:val="12"/>
          <w:szCs w:val="12"/>
          <w:b w:val="1"/>
          <w:bCs w:val="1"/>
          <w:color w:val="auto"/>
        </w:rPr>
        <w:t>LPL FINANCIAL HOLDINGS INC.</w:t>
      </w:r>
    </w:p>
    <w:p>
      <w:pPr>
        <w:sectPr>
          <w:pgSz w:w="11900" w:h="16838" w:orient="portrait"/>
          <w:cols w:equalWidth="0" w:num="1">
            <w:col w:w="10800"/>
          </w:cols>
          <w:pgMar w:left="320" w:top="463" w:right="779" w:bottom="1440" w:gutter="0" w:footer="0" w:header="0"/>
        </w:sectPr>
      </w:pPr>
    </w:p>
    <w:p>
      <w:pPr>
        <w:spacing w:after="0" w:line="132" w:lineRule="exact"/>
        <w:rPr>
          <w:sz w:val="20"/>
          <w:szCs w:val="20"/>
          <w:color w:val="auto"/>
        </w:rPr>
      </w:pPr>
    </w:p>
    <w:p>
      <w:pPr>
        <w:ind w:left="700"/>
        <w:spacing w:after="0" w:line="320" w:lineRule="auto"/>
        <w:rPr>
          <w:sz w:val="20"/>
          <w:szCs w:val="20"/>
          <w:color w:val="auto"/>
        </w:rPr>
      </w:pPr>
      <w:r>
        <w:rPr>
          <w:rFonts w:ascii="Arial" w:cs="Arial" w:eastAsia="Arial" w:hAnsi="Arial"/>
          <w:sz w:val="9"/>
          <w:szCs w:val="9"/>
          <w:b w:val="1"/>
          <w:bCs w:val="1"/>
          <w:color w:val="auto"/>
        </w:rPr>
        <w:t>The Board of Directors recommends you vote FOR each of the nominees listed in Proposal 1 and FOR Proposals 2, 3, 4, 5 and 6.</w:t>
      </w:r>
    </w:p>
    <w:p>
      <w:pPr>
        <w:spacing w:after="0" w:line="69" w:lineRule="exact"/>
        <w:rPr>
          <w:sz w:val="20"/>
          <w:szCs w:val="20"/>
          <w:color w:val="auto"/>
        </w:rPr>
      </w:pPr>
    </w:p>
    <w:p>
      <w:pPr>
        <w:ind w:left="980" w:right="40" w:hanging="291"/>
        <w:spacing w:after="0" w:line="310" w:lineRule="auto"/>
        <w:tabs>
          <w:tab w:leader="none" w:pos="980" w:val="left"/>
        </w:tabs>
        <w:numPr>
          <w:ilvl w:val="0"/>
          <w:numId w:val="153"/>
        </w:numPr>
        <w:rPr>
          <w:rFonts w:ascii="Arial" w:cs="Arial" w:eastAsia="Arial" w:hAnsi="Arial"/>
          <w:sz w:val="9"/>
          <w:szCs w:val="9"/>
          <w:color w:val="auto"/>
        </w:rPr>
      </w:pPr>
      <w:r>
        <w:rPr>
          <w:rFonts w:ascii="Arial" w:cs="Arial" w:eastAsia="Arial" w:hAnsi="Arial"/>
          <w:sz w:val="9"/>
          <w:szCs w:val="9"/>
          <w:color w:val="auto"/>
        </w:rPr>
        <w:t>Elect the eleven nominees named in the proxy statement to the Board of Directors of LPL Financial Holdings Inc. (the “Company”).</w:t>
      </w:r>
    </w:p>
    <w:p>
      <w:pPr>
        <w:spacing w:after="0" w:line="90" w:lineRule="exact"/>
        <w:rPr>
          <w:sz w:val="20"/>
          <w:szCs w:val="20"/>
          <w:color w:val="auto"/>
        </w:rPr>
      </w:pPr>
    </w:p>
    <w:p>
      <w:pPr>
        <w:ind w:left="1020"/>
        <w:spacing w:after="0"/>
        <w:rPr>
          <w:sz w:val="20"/>
          <w:szCs w:val="20"/>
          <w:color w:val="auto"/>
        </w:rPr>
      </w:pPr>
      <w:r>
        <w:rPr>
          <w:rFonts w:ascii="Arial" w:cs="Arial" w:eastAsia="Arial" w:hAnsi="Arial"/>
          <w:sz w:val="9"/>
          <w:szCs w:val="9"/>
          <w:b w:val="1"/>
          <w:bCs w:val="1"/>
          <w:color w:val="auto"/>
        </w:rPr>
        <w:t>Nominees: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For Against Abstain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4"/>
          <w:szCs w:val="4"/>
          <w:color w:val="auto"/>
        </w:rPr>
        <w:t> </w:t>
      </w:r>
    </w:p>
    <w:p>
      <w:pPr>
        <w:spacing w:after="0" w:line="385" w:lineRule="exact"/>
        <w:rPr>
          <w:sz w:val="20"/>
          <w:szCs w:val="20"/>
          <w:color w:val="auto"/>
        </w:rPr>
      </w:pPr>
    </w:p>
    <w:p>
      <w:pPr>
        <w:sectPr>
          <w:pgSz w:w="11900" w:h="16838" w:orient="portrait"/>
          <w:cols w:equalWidth="0" w:num="3">
            <w:col w:w="4060" w:space="140"/>
            <w:col w:w="5380" w:space="720"/>
            <w:col w:w="500"/>
          </w:cols>
          <w:pgMar w:left="320" w:top="463" w:right="779" w:bottom="1440" w:gutter="0" w:footer="0" w:header="0"/>
          <w:type w:val="continuous"/>
        </w:sectPr>
      </w:pPr>
    </w:p>
    <w:p>
      <w:pPr>
        <w:spacing w:after="0" w:line="106" w:lineRule="exact"/>
        <w:rPr>
          <w:sz w:val="20"/>
          <w:szCs w:val="20"/>
          <w:color w:val="auto"/>
        </w:rPr>
      </w:pPr>
    </w:p>
    <w:p>
      <w:pPr>
        <w:ind w:left="1020"/>
        <w:spacing w:after="0"/>
        <w:tabs>
          <w:tab w:leader="none" w:pos="1260" w:val="left"/>
        </w:tabs>
        <w:rPr>
          <w:sz w:val="20"/>
          <w:szCs w:val="20"/>
          <w:color w:val="auto"/>
        </w:rPr>
      </w:pPr>
      <w:r>
        <w:rPr>
          <w:rFonts w:ascii="Arial" w:cs="Arial" w:eastAsia="Arial" w:hAnsi="Arial"/>
          <w:sz w:val="9"/>
          <w:szCs w:val="9"/>
          <w:color w:val="auto"/>
        </w:rPr>
        <w:t>1a. </w:t>
        <w:tab/>
        <w:t>Edward C. Bernard</w:t>
      </w:r>
    </w:p>
    <w:p>
      <w:pPr>
        <w:spacing w:after="0" w:line="203" w:lineRule="exact"/>
        <w:rPr>
          <w:sz w:val="20"/>
          <w:szCs w:val="20"/>
          <w:color w:val="auto"/>
        </w:rPr>
      </w:pPr>
    </w:p>
    <w:p>
      <w:pPr>
        <w:ind w:left="1020"/>
        <w:spacing w:after="0"/>
        <w:tabs>
          <w:tab w:leader="none" w:pos="1260" w:val="left"/>
        </w:tabs>
        <w:rPr>
          <w:sz w:val="20"/>
          <w:szCs w:val="20"/>
          <w:color w:val="auto"/>
        </w:rPr>
      </w:pPr>
      <w:r>
        <w:rPr>
          <w:rFonts w:ascii="Arial" w:cs="Arial" w:eastAsia="Arial" w:hAnsi="Arial"/>
          <w:sz w:val="9"/>
          <w:szCs w:val="9"/>
          <w:color w:val="auto"/>
        </w:rPr>
        <w:t>1b.</w:t>
        <w:tab/>
        <w:t>H. Paulett Eberhart</w:t>
      </w:r>
    </w:p>
    <w:p>
      <w:pPr>
        <w:spacing w:after="0" w:line="203" w:lineRule="exact"/>
        <w:rPr>
          <w:sz w:val="20"/>
          <w:szCs w:val="20"/>
          <w:color w:val="auto"/>
        </w:rPr>
      </w:pPr>
    </w:p>
    <w:p>
      <w:pPr>
        <w:ind w:left="1020"/>
        <w:spacing w:after="0"/>
        <w:tabs>
          <w:tab w:leader="none" w:pos="1260" w:val="left"/>
        </w:tabs>
        <w:rPr>
          <w:sz w:val="20"/>
          <w:szCs w:val="20"/>
          <w:color w:val="auto"/>
        </w:rPr>
      </w:pPr>
      <w:r>
        <w:rPr>
          <w:rFonts w:ascii="Arial" w:cs="Arial" w:eastAsia="Arial" w:hAnsi="Arial"/>
          <w:sz w:val="9"/>
          <w:szCs w:val="9"/>
          <w:color w:val="auto"/>
        </w:rPr>
        <w:t>1c.</w:t>
        <w:tab/>
        <w:t>William F. Glavin Jr.</w:t>
      </w:r>
    </w:p>
    <w:p>
      <w:pPr>
        <w:spacing w:after="0" w:line="203" w:lineRule="exact"/>
        <w:rPr>
          <w:sz w:val="20"/>
          <w:szCs w:val="20"/>
          <w:color w:val="auto"/>
        </w:rPr>
      </w:pPr>
    </w:p>
    <w:p>
      <w:pPr>
        <w:ind w:left="1020"/>
        <w:spacing w:after="0"/>
        <w:tabs>
          <w:tab w:leader="none" w:pos="1260" w:val="left"/>
        </w:tabs>
        <w:rPr>
          <w:sz w:val="20"/>
          <w:szCs w:val="20"/>
          <w:color w:val="auto"/>
        </w:rPr>
      </w:pPr>
      <w:r>
        <w:rPr>
          <w:rFonts w:ascii="Arial" w:cs="Arial" w:eastAsia="Arial" w:hAnsi="Arial"/>
          <w:sz w:val="9"/>
          <w:szCs w:val="9"/>
          <w:color w:val="auto"/>
        </w:rPr>
        <w:t>1d.</w:t>
        <w:tab/>
        <w:t>Somesh Khanna</w:t>
      </w:r>
    </w:p>
    <w:p>
      <w:pPr>
        <w:spacing w:after="0" w:line="203" w:lineRule="exact"/>
        <w:rPr>
          <w:sz w:val="20"/>
          <w:szCs w:val="20"/>
          <w:color w:val="auto"/>
        </w:rPr>
      </w:pPr>
    </w:p>
    <w:p>
      <w:pPr>
        <w:ind w:left="1020"/>
        <w:spacing w:after="0"/>
        <w:tabs>
          <w:tab w:leader="none" w:pos="1260" w:val="left"/>
        </w:tabs>
        <w:rPr>
          <w:sz w:val="20"/>
          <w:szCs w:val="20"/>
          <w:color w:val="auto"/>
        </w:rPr>
      </w:pPr>
      <w:r>
        <w:rPr>
          <w:rFonts w:ascii="Arial" w:cs="Arial" w:eastAsia="Arial" w:hAnsi="Arial"/>
          <w:sz w:val="9"/>
          <w:szCs w:val="9"/>
          <w:color w:val="auto"/>
        </w:rPr>
        <w:t>1e.</w:t>
        <w:tab/>
        <w:t>Albert J. Ko</w:t>
      </w:r>
    </w:p>
    <w:p>
      <w:pPr>
        <w:spacing w:after="0" w:line="203" w:lineRule="exact"/>
        <w:rPr>
          <w:sz w:val="20"/>
          <w:szCs w:val="20"/>
          <w:color w:val="auto"/>
        </w:rPr>
      </w:pPr>
    </w:p>
    <w:p>
      <w:pPr>
        <w:ind w:left="1020"/>
        <w:spacing w:after="0"/>
        <w:tabs>
          <w:tab w:leader="none" w:pos="1260" w:val="left"/>
        </w:tabs>
        <w:rPr>
          <w:sz w:val="20"/>
          <w:szCs w:val="20"/>
          <w:color w:val="auto"/>
        </w:rPr>
      </w:pPr>
      <w:r>
        <w:rPr>
          <w:rFonts w:ascii="Arial" w:cs="Arial" w:eastAsia="Arial" w:hAnsi="Arial"/>
          <w:sz w:val="9"/>
          <w:szCs w:val="9"/>
          <w:color w:val="auto"/>
        </w:rPr>
        <w:t>1f.</w:t>
      </w:r>
      <w:r>
        <w:rPr>
          <w:sz w:val="20"/>
          <w:szCs w:val="20"/>
          <w:color w:val="auto"/>
        </w:rPr>
        <w:tab/>
      </w:r>
      <w:r>
        <w:rPr>
          <w:rFonts w:ascii="Arial" w:cs="Arial" w:eastAsia="Arial" w:hAnsi="Arial"/>
          <w:sz w:val="9"/>
          <w:szCs w:val="9"/>
          <w:color w:val="auto"/>
        </w:rPr>
        <w:t>Allison H. Mnookin</w:t>
      </w:r>
    </w:p>
    <w:p>
      <w:pPr>
        <w:spacing w:after="0" w:line="20" w:lineRule="exact"/>
        <w:rPr>
          <w:sz w:val="20"/>
          <w:szCs w:val="20"/>
          <w:color w:val="auto"/>
        </w:rPr>
      </w:pPr>
      <w:r>
        <w:rPr>
          <w:sz w:val="20"/>
          <w:szCs w:val="20"/>
          <w:color w:val="auto"/>
        </w:rPr>
        <w:br w:type="column"/>
      </w:r>
    </w:p>
    <w:p>
      <w:pPr>
        <w:spacing w:after="0" w:line="181" w:lineRule="exact"/>
        <w:tabs>
          <w:tab w:leader="none" w:pos="880" w:val="left"/>
        </w:tabs>
        <w:rPr>
          <w:sz w:val="20"/>
          <w:szCs w:val="20"/>
          <w:color w:val="auto"/>
        </w:rPr>
      </w:pPr>
      <w:r>
        <w:rPr>
          <w:rFonts w:ascii="MS PGothic" w:cs="MS PGothic" w:eastAsia="MS PGothic" w:hAnsi="MS PGothic"/>
          <w:sz w:val="20"/>
          <w:szCs w:val="20"/>
          <w:color w:val="auto"/>
        </w:rPr>
        <w:t>☐  ☐</w:t>
      </w:r>
      <w:r>
        <w:rPr>
          <w:sz w:val="20"/>
          <w:szCs w:val="20"/>
          <w:color w:val="auto"/>
        </w:rPr>
        <w:tab/>
      </w:r>
      <w:r>
        <w:rPr>
          <w:rFonts w:ascii="MS PGothic" w:cs="MS PGothic" w:eastAsia="MS PGothic" w:hAnsi="MS PGothic"/>
          <w:sz w:val="18"/>
          <w:szCs w:val="18"/>
          <w:color w:val="auto"/>
        </w:rPr>
        <w:t>☐</w:t>
      </w:r>
    </w:p>
    <w:p>
      <w:pPr>
        <w:spacing w:after="0" w:line="131" w:lineRule="exact"/>
        <w:rPr>
          <w:sz w:val="20"/>
          <w:szCs w:val="20"/>
          <w:color w:val="auto"/>
        </w:rPr>
      </w:pPr>
    </w:p>
    <w:p>
      <w:pPr>
        <w:spacing w:after="0" w:line="201" w:lineRule="exact"/>
        <w:tabs>
          <w:tab w:leader="none" w:pos="880" w:val="left"/>
        </w:tabs>
        <w:rPr>
          <w:sz w:val="20"/>
          <w:szCs w:val="20"/>
          <w:color w:val="auto"/>
        </w:rPr>
      </w:pPr>
      <w:r>
        <w:rPr>
          <w:rFonts w:ascii="MS PGothic" w:cs="MS PGothic" w:eastAsia="MS PGothic" w:hAnsi="MS PGothic"/>
          <w:sz w:val="20"/>
          <w:szCs w:val="20"/>
          <w:color w:val="auto"/>
        </w:rPr>
        <w:t>☐  ☐</w:t>
      </w:r>
      <w:r>
        <w:rPr>
          <w:sz w:val="20"/>
          <w:szCs w:val="20"/>
          <w:color w:val="auto"/>
        </w:rPr>
        <w:tab/>
      </w:r>
      <w:r>
        <w:rPr>
          <w:rFonts w:ascii="MS PGothic" w:cs="MS PGothic" w:eastAsia="MS PGothic" w:hAnsi="MS PGothic"/>
          <w:sz w:val="18"/>
          <w:szCs w:val="18"/>
          <w:color w:val="auto"/>
        </w:rPr>
        <w:t>☐</w:t>
      </w:r>
    </w:p>
    <w:p>
      <w:pPr>
        <w:spacing w:after="0" w:line="106" w:lineRule="exact"/>
        <w:rPr>
          <w:sz w:val="20"/>
          <w:szCs w:val="20"/>
          <w:color w:val="auto"/>
        </w:rPr>
      </w:pPr>
    </w:p>
    <w:p>
      <w:pPr>
        <w:spacing w:after="0" w:line="201" w:lineRule="exact"/>
        <w:tabs>
          <w:tab w:leader="none" w:pos="880" w:val="left"/>
        </w:tabs>
        <w:rPr>
          <w:sz w:val="20"/>
          <w:szCs w:val="20"/>
          <w:color w:val="auto"/>
        </w:rPr>
      </w:pPr>
      <w:r>
        <w:rPr>
          <w:rFonts w:ascii="MS PGothic" w:cs="MS PGothic" w:eastAsia="MS PGothic" w:hAnsi="MS PGothic"/>
          <w:sz w:val="20"/>
          <w:szCs w:val="20"/>
          <w:color w:val="auto"/>
        </w:rPr>
        <w:t>☐  ☐</w:t>
      </w:r>
      <w:r>
        <w:rPr>
          <w:sz w:val="20"/>
          <w:szCs w:val="20"/>
          <w:color w:val="auto"/>
        </w:rPr>
        <w:tab/>
      </w:r>
      <w:r>
        <w:rPr>
          <w:rFonts w:ascii="MS PGothic" w:cs="MS PGothic" w:eastAsia="MS PGothic" w:hAnsi="MS PGothic"/>
          <w:sz w:val="18"/>
          <w:szCs w:val="18"/>
          <w:color w:val="auto"/>
        </w:rPr>
        <w:t>☐</w:t>
      </w:r>
    </w:p>
    <w:p>
      <w:pPr>
        <w:spacing w:after="0" w:line="106" w:lineRule="exact"/>
        <w:rPr>
          <w:sz w:val="20"/>
          <w:szCs w:val="20"/>
          <w:color w:val="auto"/>
        </w:rPr>
      </w:pPr>
    </w:p>
    <w:p>
      <w:pPr>
        <w:spacing w:after="0" w:line="201" w:lineRule="exact"/>
        <w:tabs>
          <w:tab w:leader="none" w:pos="880" w:val="left"/>
        </w:tabs>
        <w:rPr>
          <w:sz w:val="20"/>
          <w:szCs w:val="20"/>
          <w:color w:val="auto"/>
        </w:rPr>
      </w:pPr>
      <w:r>
        <w:rPr>
          <w:rFonts w:ascii="MS PGothic" w:cs="MS PGothic" w:eastAsia="MS PGothic" w:hAnsi="MS PGothic"/>
          <w:sz w:val="20"/>
          <w:szCs w:val="20"/>
          <w:color w:val="auto"/>
        </w:rPr>
        <w:t>☐  ☐</w:t>
      </w:r>
      <w:r>
        <w:rPr>
          <w:sz w:val="20"/>
          <w:szCs w:val="20"/>
          <w:color w:val="auto"/>
        </w:rPr>
        <w:tab/>
      </w:r>
      <w:r>
        <w:rPr>
          <w:rFonts w:ascii="MS PGothic" w:cs="MS PGothic" w:eastAsia="MS PGothic" w:hAnsi="MS PGothic"/>
          <w:sz w:val="18"/>
          <w:szCs w:val="18"/>
          <w:color w:val="auto"/>
        </w:rPr>
        <w:t>☐</w:t>
      </w:r>
    </w:p>
    <w:p>
      <w:pPr>
        <w:spacing w:after="0" w:line="106" w:lineRule="exact"/>
        <w:rPr>
          <w:sz w:val="20"/>
          <w:szCs w:val="20"/>
          <w:color w:val="auto"/>
        </w:rPr>
      </w:pPr>
    </w:p>
    <w:p>
      <w:pPr>
        <w:spacing w:after="0" w:line="201" w:lineRule="exact"/>
        <w:tabs>
          <w:tab w:leader="none" w:pos="880" w:val="left"/>
        </w:tabs>
        <w:rPr>
          <w:sz w:val="20"/>
          <w:szCs w:val="20"/>
          <w:color w:val="auto"/>
        </w:rPr>
      </w:pPr>
      <w:r>
        <w:rPr>
          <w:rFonts w:ascii="MS PGothic" w:cs="MS PGothic" w:eastAsia="MS PGothic" w:hAnsi="MS PGothic"/>
          <w:sz w:val="20"/>
          <w:szCs w:val="20"/>
          <w:color w:val="auto"/>
        </w:rPr>
        <w:t>☐  ☐</w:t>
      </w:r>
      <w:r>
        <w:rPr>
          <w:sz w:val="20"/>
          <w:szCs w:val="20"/>
          <w:color w:val="auto"/>
        </w:rPr>
        <w:tab/>
      </w:r>
      <w:r>
        <w:rPr>
          <w:rFonts w:ascii="MS PGothic" w:cs="MS PGothic" w:eastAsia="MS PGothic" w:hAnsi="MS PGothic"/>
          <w:sz w:val="18"/>
          <w:szCs w:val="18"/>
          <w:color w:val="auto"/>
        </w:rPr>
        <w:t>☐</w:t>
      </w:r>
    </w:p>
    <w:p>
      <w:pPr>
        <w:spacing w:after="0" w:line="106" w:lineRule="exact"/>
        <w:rPr>
          <w:sz w:val="20"/>
          <w:szCs w:val="20"/>
          <w:color w:val="auto"/>
        </w:rPr>
      </w:pPr>
    </w:p>
    <w:p>
      <w:pPr>
        <w:spacing w:after="0" w:line="201" w:lineRule="exact"/>
        <w:tabs>
          <w:tab w:leader="none" w:pos="880" w:val="left"/>
        </w:tabs>
        <w:rPr>
          <w:sz w:val="20"/>
          <w:szCs w:val="20"/>
          <w:color w:val="auto"/>
        </w:rPr>
      </w:pPr>
      <w:r>
        <w:rPr>
          <w:rFonts w:ascii="MS PGothic" w:cs="MS PGothic" w:eastAsia="MS PGothic" w:hAnsi="MS PGothic"/>
          <w:sz w:val="20"/>
          <w:szCs w:val="20"/>
          <w:color w:val="auto"/>
        </w:rPr>
        <w:t>☐  ☐</w:t>
      </w:r>
      <w:r>
        <w:rPr>
          <w:sz w:val="20"/>
          <w:szCs w:val="20"/>
          <w:color w:val="auto"/>
        </w:rPr>
        <w:tab/>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br w:type="column"/>
      </w:r>
    </w:p>
    <w:p>
      <w:pPr>
        <w:spacing w:after="0" w:line="328" w:lineRule="exact"/>
        <w:rPr>
          <w:sz w:val="20"/>
          <w:szCs w:val="20"/>
          <w:color w:val="auto"/>
        </w:rPr>
      </w:pPr>
    </w:p>
    <w:p>
      <w:pPr>
        <w:spacing w:after="0"/>
        <w:tabs>
          <w:tab w:leader="none" w:pos="260" w:val="left"/>
        </w:tabs>
        <w:rPr>
          <w:sz w:val="20"/>
          <w:szCs w:val="20"/>
          <w:color w:val="auto"/>
        </w:rPr>
      </w:pPr>
      <w:r>
        <w:rPr>
          <w:rFonts w:ascii="Arial" w:cs="Arial" w:eastAsia="Arial" w:hAnsi="Arial"/>
          <w:sz w:val="9"/>
          <w:szCs w:val="9"/>
          <w:color w:val="auto"/>
        </w:rPr>
        <w:t>2. </w:t>
      </w:r>
      <w:r>
        <w:rPr>
          <w:sz w:val="20"/>
          <w:szCs w:val="20"/>
          <w:color w:val="auto"/>
        </w:rPr>
        <w:tab/>
      </w:r>
      <w:r>
        <w:rPr>
          <w:rFonts w:ascii="Arial" w:cs="Arial" w:eastAsia="Arial" w:hAnsi="Arial"/>
          <w:sz w:val="9"/>
          <w:szCs w:val="9"/>
          <w:color w:val="auto"/>
        </w:rPr>
        <w:t>Ratify the appointment of Deloitte &amp; Touche LLP by the Audit and Risk</w:t>
      </w:r>
    </w:p>
    <w:p>
      <w:pPr>
        <w:spacing w:after="0" w:line="19" w:lineRule="exact"/>
        <w:rPr>
          <w:sz w:val="20"/>
          <w:szCs w:val="20"/>
          <w:color w:val="auto"/>
        </w:rPr>
      </w:pPr>
    </w:p>
    <w:p>
      <w:pPr>
        <w:spacing w:after="0"/>
        <w:tabs>
          <w:tab w:leader="none" w:pos="260" w:val="left"/>
        </w:tabs>
        <w:rPr>
          <w:sz w:val="20"/>
          <w:szCs w:val="20"/>
          <w:color w:val="auto"/>
        </w:rPr>
      </w:pPr>
      <w:r>
        <w:rPr>
          <w:rFonts w:ascii="Arial" w:cs="Arial" w:eastAsia="Arial" w:hAnsi="Arial"/>
          <w:sz w:val="9"/>
          <w:szCs w:val="9"/>
          <w:color w:val="auto"/>
        </w:rPr>
        <w:t> </w:t>
      </w:r>
      <w:r>
        <w:rPr>
          <w:sz w:val="20"/>
          <w:szCs w:val="20"/>
          <w:color w:val="auto"/>
        </w:rPr>
        <w:tab/>
      </w:r>
      <w:r>
        <w:rPr>
          <w:rFonts w:ascii="Arial" w:cs="Arial" w:eastAsia="Arial" w:hAnsi="Arial"/>
          <w:sz w:val="9"/>
          <w:szCs w:val="9"/>
          <w:color w:val="auto"/>
        </w:rPr>
        <w:t>Committee  of  the  Board  of  Directors  as  the  Company’s  independent</w:t>
      </w:r>
    </w:p>
    <w:p>
      <w:pPr>
        <w:spacing w:after="0" w:line="11" w:lineRule="exact"/>
        <w:rPr>
          <w:sz w:val="20"/>
          <w:szCs w:val="20"/>
          <w:color w:val="auto"/>
        </w:rPr>
      </w:pPr>
    </w:p>
    <w:p>
      <w:pPr>
        <w:ind w:left="280" w:hanging="273"/>
        <w:spacing w:after="0"/>
        <w:tabs>
          <w:tab w:leader="none" w:pos="280" w:val="left"/>
        </w:tabs>
        <w:numPr>
          <w:ilvl w:val="0"/>
          <w:numId w:val="154"/>
        </w:numPr>
        <w:rPr>
          <w:rFonts w:ascii="Arial" w:cs="Arial" w:eastAsia="Arial" w:hAnsi="Arial"/>
          <w:sz w:val="9"/>
          <w:szCs w:val="9"/>
          <w:color w:val="auto"/>
        </w:rPr>
      </w:pPr>
      <w:r>
        <w:rPr>
          <w:rFonts w:ascii="Arial" w:cs="Arial" w:eastAsia="Arial" w:hAnsi="Arial"/>
          <w:sz w:val="9"/>
          <w:szCs w:val="9"/>
          <w:color w:val="auto"/>
        </w:rPr>
        <w:t>registered public accounting firm for the fiscal year ending December 31,</w:t>
      </w:r>
    </w:p>
    <w:p>
      <w:pPr>
        <w:spacing w:after="0" w:line="11" w:lineRule="exact"/>
        <w:rPr>
          <w:rFonts w:ascii="Arial" w:cs="Arial" w:eastAsia="Arial" w:hAnsi="Arial"/>
          <w:sz w:val="9"/>
          <w:szCs w:val="9"/>
          <w:color w:val="auto"/>
        </w:rPr>
      </w:pPr>
    </w:p>
    <w:p>
      <w:pPr>
        <w:ind w:left="280" w:hanging="273"/>
        <w:spacing w:after="0"/>
        <w:tabs>
          <w:tab w:leader="none" w:pos="280" w:val="left"/>
        </w:tabs>
        <w:numPr>
          <w:ilvl w:val="0"/>
          <w:numId w:val="154"/>
        </w:numPr>
        <w:rPr>
          <w:rFonts w:ascii="Arial" w:cs="Arial" w:eastAsia="Arial" w:hAnsi="Arial"/>
          <w:sz w:val="9"/>
          <w:szCs w:val="9"/>
          <w:color w:val="auto"/>
        </w:rPr>
      </w:pPr>
      <w:r>
        <w:rPr>
          <w:rFonts w:ascii="Arial" w:cs="Arial" w:eastAsia="Arial" w:hAnsi="Arial"/>
          <w:sz w:val="9"/>
          <w:szCs w:val="9"/>
          <w:color w:val="auto"/>
        </w:rPr>
        <w:t>2026.</w:t>
      </w:r>
    </w:p>
    <w:p>
      <w:pPr>
        <w:spacing w:after="0" w:line="131" w:lineRule="exact"/>
        <w:rPr>
          <w:sz w:val="20"/>
          <w:szCs w:val="20"/>
          <w:color w:val="auto"/>
        </w:rPr>
      </w:pPr>
    </w:p>
    <w:p>
      <w:pPr>
        <w:spacing w:after="0"/>
        <w:tabs>
          <w:tab w:leader="none" w:pos="260" w:val="left"/>
        </w:tabs>
        <w:rPr>
          <w:sz w:val="20"/>
          <w:szCs w:val="20"/>
          <w:color w:val="auto"/>
        </w:rPr>
      </w:pPr>
      <w:r>
        <w:rPr>
          <w:rFonts w:ascii="Arial" w:cs="Arial" w:eastAsia="Arial" w:hAnsi="Arial"/>
          <w:sz w:val="9"/>
          <w:szCs w:val="9"/>
          <w:color w:val="auto"/>
        </w:rPr>
        <w:t>3.</w:t>
      </w:r>
      <w:r>
        <w:rPr>
          <w:sz w:val="20"/>
          <w:szCs w:val="20"/>
          <w:color w:val="auto"/>
        </w:rPr>
        <w:tab/>
      </w:r>
      <w:r>
        <w:rPr>
          <w:rFonts w:ascii="Arial" w:cs="Arial" w:eastAsia="Arial" w:hAnsi="Arial"/>
          <w:sz w:val="9"/>
          <w:szCs w:val="9"/>
          <w:color w:val="auto"/>
        </w:rPr>
        <w:t>Approve, in an advisory vote, the compensation paid to the Company’s</w:t>
      </w:r>
    </w:p>
    <w:p>
      <w:pPr>
        <w:spacing w:after="0" w:line="19" w:lineRule="exact"/>
        <w:rPr>
          <w:sz w:val="20"/>
          <w:szCs w:val="20"/>
          <w:color w:val="auto"/>
        </w:rPr>
      </w:pPr>
    </w:p>
    <w:p>
      <w:pPr>
        <w:ind w:left="280" w:hanging="273"/>
        <w:spacing w:after="0"/>
        <w:tabs>
          <w:tab w:leader="none" w:pos="280" w:val="left"/>
        </w:tabs>
        <w:numPr>
          <w:ilvl w:val="0"/>
          <w:numId w:val="155"/>
        </w:numPr>
        <w:rPr>
          <w:rFonts w:ascii="Arial" w:cs="Arial" w:eastAsia="Arial" w:hAnsi="Arial"/>
          <w:sz w:val="9"/>
          <w:szCs w:val="9"/>
          <w:color w:val="auto"/>
        </w:rPr>
      </w:pPr>
      <w:r>
        <w:rPr>
          <w:rFonts w:ascii="Arial" w:cs="Arial" w:eastAsia="Arial" w:hAnsi="Arial"/>
          <w:sz w:val="9"/>
          <w:szCs w:val="9"/>
          <w:color w:val="auto"/>
        </w:rPr>
        <w:t>named executive officers.</w:t>
      </w:r>
    </w:p>
    <w:p>
      <w:pPr>
        <w:spacing w:after="0" w:line="131" w:lineRule="exact"/>
        <w:rPr>
          <w:sz w:val="20"/>
          <w:szCs w:val="20"/>
          <w:color w:val="auto"/>
        </w:rPr>
      </w:pPr>
    </w:p>
    <w:p>
      <w:pPr>
        <w:ind w:left="280" w:hanging="273"/>
        <w:spacing w:after="0"/>
        <w:tabs>
          <w:tab w:leader="none" w:pos="280" w:val="left"/>
        </w:tabs>
        <w:numPr>
          <w:ilvl w:val="0"/>
          <w:numId w:val="156"/>
        </w:numPr>
        <w:rPr>
          <w:rFonts w:ascii="Arial" w:cs="Arial" w:eastAsia="Arial" w:hAnsi="Arial"/>
          <w:sz w:val="9"/>
          <w:szCs w:val="9"/>
          <w:color w:val="auto"/>
        </w:rPr>
      </w:pPr>
      <w:r>
        <w:rPr>
          <w:rFonts w:ascii="Arial" w:cs="Arial" w:eastAsia="Arial" w:hAnsi="Arial"/>
          <w:sz w:val="9"/>
          <w:szCs w:val="9"/>
          <w:color w:val="auto"/>
        </w:rPr>
        <w:t>Adopt an amendment and restatement of the Company’s Amended and</w:t>
      </w:r>
    </w:p>
    <w:p>
      <w:pPr>
        <w:spacing w:after="0" w:line="19" w:lineRule="exact"/>
        <w:rPr>
          <w:rFonts w:ascii="Arial" w:cs="Arial" w:eastAsia="Arial" w:hAnsi="Arial"/>
          <w:sz w:val="9"/>
          <w:szCs w:val="9"/>
          <w:color w:val="auto"/>
        </w:rPr>
      </w:pPr>
    </w:p>
    <w:p>
      <w:pPr>
        <w:ind w:left="280" w:hanging="268"/>
        <w:spacing w:after="0" w:line="279" w:lineRule="auto"/>
        <w:rPr>
          <w:rFonts w:ascii="Arial" w:cs="Arial" w:eastAsia="Arial" w:hAnsi="Arial"/>
          <w:sz w:val="9"/>
          <w:szCs w:val="9"/>
          <w:color w:val="auto"/>
        </w:rPr>
      </w:pPr>
      <w:r>
        <w:rPr>
          <w:rFonts w:ascii="Arial" w:cs="Arial" w:eastAsia="Arial" w:hAnsi="Arial"/>
          <w:sz w:val="9"/>
          <w:szCs w:val="9"/>
          <w:color w:val="auto"/>
        </w:rPr>
        <w:t> Restated Certificate of Incorporation, as amended (the “Charter”), to eliminate supermajority voting requirements, eliminate obsolete provisions and make certain non-substantive changes.</w:t>
      </w:r>
    </w:p>
    <w:p>
      <w:pPr>
        <w:spacing w:after="0" w:line="20" w:lineRule="exact"/>
        <w:rPr>
          <w:sz w:val="20"/>
          <w:szCs w:val="20"/>
          <w:color w:val="auto"/>
        </w:rPr>
      </w:pPr>
      <w:r>
        <w:rPr>
          <w:sz w:val="20"/>
          <w:szCs w:val="20"/>
          <w:color w:val="auto"/>
        </w:rPr>
        <w:br w:type="column"/>
      </w:r>
    </w:p>
    <w:p>
      <w:pPr>
        <w:spacing w:after="0" w:line="84" w:lineRule="exact"/>
        <w:rPr>
          <w:sz w:val="20"/>
          <w:szCs w:val="20"/>
          <w:color w:val="auto"/>
        </w:rPr>
      </w:pPr>
    </w:p>
    <w:p>
      <w:pPr>
        <w:spacing w:after="0"/>
        <w:tabs>
          <w:tab w:leader="none" w:pos="280" w:val="left"/>
        </w:tabs>
        <w:rPr>
          <w:sz w:val="20"/>
          <w:szCs w:val="20"/>
          <w:color w:val="auto"/>
        </w:rPr>
      </w:pPr>
      <w:r>
        <w:rPr>
          <w:rFonts w:ascii="Arial" w:cs="Arial" w:eastAsia="Arial" w:hAnsi="Arial"/>
          <w:sz w:val="12"/>
          <w:szCs w:val="12"/>
          <w:b w:val="1"/>
          <w:bCs w:val="1"/>
          <w:color w:val="auto"/>
        </w:rPr>
        <w:t>For</w:t>
        <w:tab/>
        <w:t>Against  Abstain</w:t>
      </w:r>
    </w:p>
    <w:p>
      <w:pPr>
        <w:spacing w:after="0" w:line="49" w:lineRule="exact"/>
        <w:rPr>
          <w:sz w:val="20"/>
          <w:szCs w:val="20"/>
          <w:color w:val="auto"/>
        </w:rPr>
      </w:pPr>
    </w:p>
    <w:p>
      <w:pPr>
        <w:spacing w:after="0" w:line="201" w:lineRule="exact"/>
        <w:tabs>
          <w:tab w:leader="none" w:pos="400" w:val="left"/>
          <w:tab w:leader="none" w:pos="940" w:val="left"/>
        </w:tabs>
        <w:rPr>
          <w:sz w:val="20"/>
          <w:szCs w:val="20"/>
          <w:color w:val="auto"/>
        </w:rPr>
      </w:pPr>
      <w:r>
        <w:rPr>
          <w:rFonts w:ascii="MS PGothic" w:cs="MS PGothic" w:eastAsia="MS PGothic" w:hAnsi="MS PGothic"/>
          <w:sz w:val="20"/>
          <w:szCs w:val="20"/>
          <w:color w:val="auto"/>
        </w:rPr>
        <w:t>☐</w:t>
        <w:tab/>
        <w:t>☐</w:t>
      </w:r>
      <w:r>
        <w:rPr>
          <w:sz w:val="20"/>
          <w:szCs w:val="20"/>
          <w:color w:val="auto"/>
        </w:rPr>
        <w:tab/>
      </w:r>
      <w:r>
        <w:rPr>
          <w:rFonts w:ascii="MS PGothic" w:cs="MS PGothic" w:eastAsia="MS PGothic" w:hAnsi="MS PGothic"/>
          <w:sz w:val="18"/>
          <w:szCs w:val="18"/>
          <w:color w:val="auto"/>
        </w:rPr>
        <w:t>☐</w:t>
      </w:r>
    </w:p>
    <w:p>
      <w:pPr>
        <w:spacing w:after="0" w:line="387" w:lineRule="exact"/>
        <w:rPr>
          <w:sz w:val="20"/>
          <w:szCs w:val="20"/>
          <w:color w:val="auto"/>
        </w:rPr>
      </w:pPr>
    </w:p>
    <w:p>
      <w:pPr>
        <w:spacing w:after="0" w:line="201" w:lineRule="exact"/>
        <w:tabs>
          <w:tab w:leader="none" w:pos="400" w:val="left"/>
          <w:tab w:leader="none" w:pos="940" w:val="left"/>
        </w:tabs>
        <w:rPr>
          <w:sz w:val="20"/>
          <w:szCs w:val="20"/>
          <w:color w:val="auto"/>
        </w:rPr>
      </w:pPr>
      <w:r>
        <w:rPr>
          <w:rFonts w:ascii="MS PGothic" w:cs="MS PGothic" w:eastAsia="MS PGothic" w:hAnsi="MS PGothic"/>
          <w:sz w:val="20"/>
          <w:szCs w:val="20"/>
          <w:color w:val="auto"/>
        </w:rPr>
        <w:t>☐</w:t>
        <w:tab/>
        <w:t>☐</w:t>
      </w:r>
      <w:r>
        <w:rPr>
          <w:sz w:val="20"/>
          <w:szCs w:val="20"/>
          <w:color w:val="auto"/>
        </w:rPr>
        <w:tab/>
      </w:r>
      <w:r>
        <w:rPr>
          <w:rFonts w:ascii="MS PGothic" w:cs="MS PGothic" w:eastAsia="MS PGothic" w:hAnsi="MS PGothic"/>
          <w:sz w:val="18"/>
          <w:szCs w:val="18"/>
          <w:color w:val="auto"/>
        </w:rPr>
        <w:t>☐</w:t>
      </w:r>
    </w:p>
    <w:p>
      <w:pPr>
        <w:spacing w:after="0" w:line="157" w:lineRule="exact"/>
        <w:rPr>
          <w:sz w:val="20"/>
          <w:szCs w:val="20"/>
          <w:color w:val="auto"/>
        </w:rPr>
      </w:pPr>
    </w:p>
    <w:p>
      <w:pPr>
        <w:spacing w:after="0" w:line="201" w:lineRule="exact"/>
        <w:tabs>
          <w:tab w:leader="none" w:pos="400" w:val="left"/>
          <w:tab w:leader="none" w:pos="940" w:val="left"/>
        </w:tabs>
        <w:rPr>
          <w:sz w:val="20"/>
          <w:szCs w:val="20"/>
          <w:color w:val="auto"/>
        </w:rPr>
      </w:pPr>
      <w:r>
        <w:rPr>
          <w:rFonts w:ascii="MS PGothic" w:cs="MS PGothic" w:eastAsia="MS PGothic" w:hAnsi="MS PGothic"/>
          <w:sz w:val="20"/>
          <w:szCs w:val="20"/>
          <w:color w:val="auto"/>
        </w:rPr>
        <w:t>☐</w:t>
        <w:tab/>
        <w:t>☐</w:t>
      </w:r>
      <w:r>
        <w:rPr>
          <w:sz w:val="20"/>
          <w:szCs w:val="20"/>
          <w:color w:val="auto"/>
        </w:rPr>
        <w:tab/>
      </w:r>
      <w:r>
        <w:rPr>
          <w:rFonts w:ascii="MS PGothic" w:cs="MS PGothic" w:eastAsia="MS PGothic" w:hAnsi="MS PGothic"/>
          <w:sz w:val="18"/>
          <w:szCs w:val="18"/>
          <w:color w:val="auto"/>
        </w:rPr>
        <w:t>☐</w:t>
      </w:r>
    </w:p>
    <w:p>
      <w:pPr>
        <w:spacing w:after="0" w:line="341" w:lineRule="exact"/>
        <w:rPr>
          <w:sz w:val="20"/>
          <w:szCs w:val="20"/>
          <w:color w:val="auto"/>
        </w:rPr>
      </w:pPr>
    </w:p>
    <w:p>
      <w:pPr>
        <w:sectPr>
          <w:pgSz w:w="11900" w:h="16838" w:orient="portrait"/>
          <w:cols w:equalWidth="0" w:num="4">
            <w:col w:w="3480" w:space="720"/>
            <w:col w:w="1080" w:space="440"/>
            <w:col w:w="3460" w:space="180"/>
            <w:col w:w="1440"/>
          </w:cols>
          <w:pgMar w:left="320" w:top="463" w:right="779" w:bottom="1440" w:gutter="0" w:footer="0" w:header="0"/>
          <w:type w:val="continuous"/>
        </w:sectPr>
      </w:pPr>
    </w:p>
    <w:p>
      <w:pPr>
        <w:spacing w:after="0" w:line="166" w:lineRule="exact"/>
        <w:rPr>
          <w:sz w:val="20"/>
          <w:szCs w:val="20"/>
          <w:color w:val="auto"/>
        </w:rPr>
      </w:pPr>
    </w:p>
    <w:p>
      <w:pPr>
        <w:ind w:left="1020"/>
        <w:spacing w:after="0"/>
        <w:tabs>
          <w:tab w:leader="none" w:pos="1260" w:val="left"/>
        </w:tabs>
        <w:rPr>
          <w:sz w:val="20"/>
          <w:szCs w:val="20"/>
          <w:color w:val="auto"/>
        </w:rPr>
      </w:pPr>
      <w:r>
        <w:rPr>
          <w:rFonts w:ascii="Arial" w:cs="Arial" w:eastAsia="Arial" w:hAnsi="Arial"/>
          <w:sz w:val="9"/>
          <w:szCs w:val="9"/>
          <w:color w:val="auto"/>
        </w:rPr>
        <w:t>1g.</w:t>
        <w:tab/>
        <w:t>Anne M. Mulcahy</w:t>
      </w:r>
    </w:p>
    <w:p>
      <w:pPr>
        <w:spacing w:after="0" w:line="203" w:lineRule="exact"/>
        <w:rPr>
          <w:sz w:val="20"/>
          <w:szCs w:val="20"/>
          <w:color w:val="auto"/>
        </w:rPr>
      </w:pPr>
    </w:p>
    <w:p>
      <w:pPr>
        <w:ind w:left="1020"/>
        <w:spacing w:after="0"/>
        <w:tabs>
          <w:tab w:leader="none" w:pos="1260" w:val="left"/>
        </w:tabs>
        <w:rPr>
          <w:sz w:val="20"/>
          <w:szCs w:val="20"/>
          <w:color w:val="auto"/>
        </w:rPr>
      </w:pPr>
      <w:r>
        <w:rPr>
          <w:rFonts w:ascii="Arial" w:cs="Arial" w:eastAsia="Arial" w:hAnsi="Arial"/>
          <w:sz w:val="9"/>
          <w:szCs w:val="9"/>
          <w:color w:val="auto"/>
        </w:rPr>
        <w:t>1h.</w:t>
        <w:tab/>
        <w:t>James S. Putnam</w:t>
      </w:r>
    </w:p>
    <w:p>
      <w:pPr>
        <w:spacing w:after="0" w:line="203" w:lineRule="exact"/>
        <w:rPr>
          <w:sz w:val="20"/>
          <w:szCs w:val="20"/>
          <w:color w:val="auto"/>
        </w:rPr>
      </w:pPr>
    </w:p>
    <w:p>
      <w:pPr>
        <w:ind w:left="1020"/>
        <w:spacing w:after="0"/>
        <w:tabs>
          <w:tab w:leader="none" w:pos="1260" w:val="left"/>
        </w:tabs>
        <w:rPr>
          <w:sz w:val="20"/>
          <w:szCs w:val="20"/>
          <w:color w:val="auto"/>
        </w:rPr>
      </w:pPr>
      <w:r>
        <w:rPr>
          <w:rFonts w:ascii="Arial" w:cs="Arial" w:eastAsia="Arial" w:hAnsi="Arial"/>
          <w:sz w:val="9"/>
          <w:szCs w:val="9"/>
          <w:color w:val="auto"/>
        </w:rPr>
        <w:t>1i.</w:t>
      </w:r>
      <w:r>
        <w:rPr>
          <w:sz w:val="20"/>
          <w:szCs w:val="20"/>
          <w:color w:val="auto"/>
        </w:rPr>
        <w:tab/>
      </w:r>
      <w:r>
        <w:rPr>
          <w:rFonts w:ascii="Arial" w:cs="Arial" w:eastAsia="Arial" w:hAnsi="Arial"/>
          <w:sz w:val="9"/>
          <w:szCs w:val="9"/>
          <w:color w:val="auto"/>
        </w:rPr>
        <w:t>Richard P. Schifter</w:t>
      </w:r>
    </w:p>
    <w:p>
      <w:pPr>
        <w:spacing w:after="0" w:line="203" w:lineRule="exact"/>
        <w:rPr>
          <w:sz w:val="20"/>
          <w:szCs w:val="20"/>
          <w:color w:val="auto"/>
        </w:rPr>
      </w:pPr>
    </w:p>
    <w:p>
      <w:pPr>
        <w:ind w:left="1020"/>
        <w:spacing w:after="0"/>
        <w:tabs>
          <w:tab w:leader="none" w:pos="1260" w:val="left"/>
        </w:tabs>
        <w:rPr>
          <w:sz w:val="20"/>
          <w:szCs w:val="20"/>
          <w:color w:val="auto"/>
        </w:rPr>
      </w:pPr>
      <w:r>
        <w:rPr>
          <w:rFonts w:ascii="Arial" w:cs="Arial" w:eastAsia="Arial" w:hAnsi="Arial"/>
          <w:sz w:val="9"/>
          <w:szCs w:val="9"/>
          <w:color w:val="auto"/>
        </w:rPr>
        <w:t>1j.</w:t>
      </w:r>
      <w:r>
        <w:rPr>
          <w:sz w:val="20"/>
          <w:szCs w:val="20"/>
          <w:color w:val="auto"/>
        </w:rPr>
        <w:tab/>
      </w:r>
      <w:r>
        <w:rPr>
          <w:rFonts w:ascii="Arial" w:cs="Arial" w:eastAsia="Arial" w:hAnsi="Arial"/>
          <w:sz w:val="9"/>
          <w:szCs w:val="9"/>
          <w:color w:val="auto"/>
        </w:rPr>
        <w:t>Richard Steinmeier</w:t>
      </w:r>
    </w:p>
    <w:p>
      <w:pPr>
        <w:spacing w:after="0" w:line="203" w:lineRule="exact"/>
        <w:rPr>
          <w:sz w:val="20"/>
          <w:szCs w:val="20"/>
          <w:color w:val="auto"/>
        </w:rPr>
      </w:pPr>
    </w:p>
    <w:p>
      <w:pPr>
        <w:ind w:left="1020"/>
        <w:spacing w:after="0"/>
        <w:tabs>
          <w:tab w:leader="none" w:pos="1260" w:val="left"/>
        </w:tabs>
        <w:rPr>
          <w:sz w:val="20"/>
          <w:szCs w:val="20"/>
          <w:color w:val="auto"/>
        </w:rPr>
      </w:pPr>
      <w:r>
        <w:rPr>
          <w:rFonts w:ascii="Arial" w:cs="Arial" w:eastAsia="Arial" w:hAnsi="Arial"/>
          <w:sz w:val="9"/>
          <w:szCs w:val="9"/>
          <w:color w:val="auto"/>
        </w:rPr>
        <w:t>1k.</w:t>
        <w:tab/>
        <w:t>Corey E. Thomas</w:t>
      </w:r>
    </w:p>
    <w:p>
      <w:pPr>
        <w:spacing w:after="0" w:line="20" w:lineRule="exact"/>
        <w:rPr>
          <w:sz w:val="20"/>
          <w:szCs w:val="20"/>
          <w:color w:val="auto"/>
        </w:rPr>
      </w:pPr>
      <w:r>
        <w:rPr>
          <w:sz w:val="20"/>
          <w:szCs w:val="20"/>
          <w:color w:val="auto"/>
        </w:rPr>
        <w:br w:type="column"/>
      </w:r>
    </w:p>
    <w:p>
      <w:pPr>
        <w:spacing w:after="0" w:line="65" w:lineRule="exact"/>
        <w:rPr>
          <w:sz w:val="20"/>
          <w:szCs w:val="20"/>
          <w:color w:val="auto"/>
        </w:rPr>
      </w:pPr>
    </w:p>
    <w:p>
      <w:pPr>
        <w:spacing w:after="0" w:line="201" w:lineRule="exact"/>
        <w:tabs>
          <w:tab w:leader="none" w:pos="880" w:val="left"/>
        </w:tabs>
        <w:rPr>
          <w:sz w:val="20"/>
          <w:szCs w:val="20"/>
          <w:color w:val="auto"/>
        </w:rPr>
      </w:pPr>
      <w:r>
        <w:rPr>
          <w:rFonts w:ascii="MS PGothic" w:cs="MS PGothic" w:eastAsia="MS PGothic" w:hAnsi="MS PGothic"/>
          <w:sz w:val="20"/>
          <w:szCs w:val="20"/>
          <w:color w:val="auto"/>
        </w:rPr>
        <w:t>☐  ☐</w:t>
      </w:r>
      <w:r>
        <w:rPr>
          <w:sz w:val="20"/>
          <w:szCs w:val="20"/>
          <w:color w:val="auto"/>
        </w:rPr>
        <w:tab/>
      </w:r>
      <w:r>
        <w:rPr>
          <w:rFonts w:ascii="MS PGothic" w:cs="MS PGothic" w:eastAsia="MS PGothic" w:hAnsi="MS PGothic"/>
          <w:sz w:val="18"/>
          <w:szCs w:val="18"/>
          <w:color w:val="auto"/>
        </w:rPr>
        <w:t>☐</w:t>
      </w:r>
    </w:p>
    <w:p>
      <w:pPr>
        <w:spacing w:after="0" w:line="106" w:lineRule="exact"/>
        <w:rPr>
          <w:sz w:val="20"/>
          <w:szCs w:val="20"/>
          <w:color w:val="auto"/>
        </w:rPr>
      </w:pPr>
    </w:p>
    <w:p>
      <w:pPr>
        <w:spacing w:after="0" w:line="201" w:lineRule="exact"/>
        <w:tabs>
          <w:tab w:leader="none" w:pos="880" w:val="left"/>
        </w:tabs>
        <w:rPr>
          <w:sz w:val="20"/>
          <w:szCs w:val="20"/>
          <w:color w:val="auto"/>
        </w:rPr>
      </w:pPr>
      <w:r>
        <w:rPr>
          <w:rFonts w:ascii="MS PGothic" w:cs="MS PGothic" w:eastAsia="MS PGothic" w:hAnsi="MS PGothic"/>
          <w:sz w:val="20"/>
          <w:szCs w:val="20"/>
          <w:color w:val="auto"/>
        </w:rPr>
        <w:t>☐  ☐</w:t>
      </w:r>
      <w:r>
        <w:rPr>
          <w:sz w:val="20"/>
          <w:szCs w:val="20"/>
          <w:color w:val="auto"/>
        </w:rPr>
        <w:tab/>
      </w:r>
      <w:r>
        <w:rPr>
          <w:rFonts w:ascii="MS PGothic" w:cs="MS PGothic" w:eastAsia="MS PGothic" w:hAnsi="MS PGothic"/>
          <w:sz w:val="18"/>
          <w:szCs w:val="18"/>
          <w:color w:val="auto"/>
        </w:rPr>
        <w:t>☐</w:t>
      </w:r>
    </w:p>
    <w:p>
      <w:pPr>
        <w:spacing w:after="0" w:line="106" w:lineRule="exact"/>
        <w:rPr>
          <w:sz w:val="20"/>
          <w:szCs w:val="20"/>
          <w:color w:val="auto"/>
        </w:rPr>
      </w:pPr>
    </w:p>
    <w:p>
      <w:pPr>
        <w:spacing w:after="0" w:line="201" w:lineRule="exact"/>
        <w:tabs>
          <w:tab w:leader="none" w:pos="880" w:val="left"/>
        </w:tabs>
        <w:rPr>
          <w:sz w:val="20"/>
          <w:szCs w:val="20"/>
          <w:color w:val="auto"/>
        </w:rPr>
      </w:pPr>
      <w:r>
        <w:rPr>
          <w:rFonts w:ascii="MS PGothic" w:cs="MS PGothic" w:eastAsia="MS PGothic" w:hAnsi="MS PGothic"/>
          <w:sz w:val="20"/>
          <w:szCs w:val="20"/>
          <w:color w:val="auto"/>
        </w:rPr>
        <w:t>☐  ☐</w:t>
      </w:r>
      <w:r>
        <w:rPr>
          <w:sz w:val="20"/>
          <w:szCs w:val="20"/>
          <w:color w:val="auto"/>
        </w:rPr>
        <w:tab/>
      </w:r>
      <w:r>
        <w:rPr>
          <w:rFonts w:ascii="MS PGothic" w:cs="MS PGothic" w:eastAsia="MS PGothic" w:hAnsi="MS PGothic"/>
          <w:sz w:val="18"/>
          <w:szCs w:val="18"/>
          <w:color w:val="auto"/>
        </w:rPr>
        <w:t>☐</w:t>
      </w:r>
    </w:p>
    <w:p>
      <w:pPr>
        <w:spacing w:after="0" w:line="106" w:lineRule="exact"/>
        <w:rPr>
          <w:sz w:val="20"/>
          <w:szCs w:val="20"/>
          <w:color w:val="auto"/>
        </w:rPr>
      </w:pPr>
    </w:p>
    <w:p>
      <w:pPr>
        <w:spacing w:after="0" w:line="201" w:lineRule="exact"/>
        <w:tabs>
          <w:tab w:leader="none" w:pos="880" w:val="left"/>
        </w:tabs>
        <w:rPr>
          <w:sz w:val="20"/>
          <w:szCs w:val="20"/>
          <w:color w:val="auto"/>
        </w:rPr>
      </w:pPr>
      <w:r>
        <w:rPr>
          <w:rFonts w:ascii="MS PGothic" w:cs="MS PGothic" w:eastAsia="MS PGothic" w:hAnsi="MS PGothic"/>
          <w:sz w:val="20"/>
          <w:szCs w:val="20"/>
          <w:color w:val="auto"/>
        </w:rPr>
        <w:t>☐  ☐</w:t>
      </w:r>
      <w:r>
        <w:rPr>
          <w:sz w:val="20"/>
          <w:szCs w:val="20"/>
          <w:color w:val="auto"/>
        </w:rPr>
        <w:tab/>
      </w:r>
      <w:r>
        <w:rPr>
          <w:rFonts w:ascii="MS PGothic" w:cs="MS PGothic" w:eastAsia="MS PGothic" w:hAnsi="MS PGothic"/>
          <w:sz w:val="18"/>
          <w:szCs w:val="18"/>
          <w:color w:val="auto"/>
        </w:rPr>
        <w:t>☐</w:t>
      </w:r>
    </w:p>
    <w:p>
      <w:pPr>
        <w:spacing w:after="0" w:line="106" w:lineRule="exact"/>
        <w:rPr>
          <w:sz w:val="20"/>
          <w:szCs w:val="20"/>
          <w:color w:val="auto"/>
        </w:rPr>
      </w:pPr>
    </w:p>
    <w:p>
      <w:pPr>
        <w:spacing w:after="0" w:line="201" w:lineRule="exact"/>
        <w:tabs>
          <w:tab w:leader="none" w:pos="880" w:val="left"/>
        </w:tabs>
        <w:rPr>
          <w:sz w:val="20"/>
          <w:szCs w:val="20"/>
          <w:color w:val="auto"/>
        </w:rPr>
      </w:pPr>
      <w:r>
        <w:rPr>
          <w:rFonts w:ascii="MS PGothic" w:cs="MS PGothic" w:eastAsia="MS PGothic" w:hAnsi="MS PGothic"/>
          <w:sz w:val="20"/>
          <w:szCs w:val="20"/>
          <w:color w:val="auto"/>
        </w:rPr>
        <w:t>☐  ☐</w:t>
      </w:r>
      <w:r>
        <w:rPr>
          <w:sz w:val="20"/>
          <w:szCs w:val="20"/>
          <w:color w:val="auto"/>
        </w:rPr>
        <w:tab/>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12"/>
        </w:trPr>
        <w:tc>
          <w:tcPr>
            <w:tcW w:w="180" w:type="dxa"/>
            <w:vAlign w:val="bottom"/>
          </w:tcPr>
          <w:p>
            <w:pPr>
              <w:spacing w:after="0"/>
              <w:rPr>
                <w:sz w:val="20"/>
                <w:szCs w:val="20"/>
                <w:color w:val="auto"/>
              </w:rPr>
            </w:pPr>
            <w:r>
              <w:rPr>
                <w:rFonts w:ascii="Arial" w:cs="Arial" w:eastAsia="Arial" w:hAnsi="Arial"/>
                <w:sz w:val="9"/>
                <w:szCs w:val="9"/>
                <w:color w:val="auto"/>
              </w:rPr>
              <w:t> </w:t>
            </w:r>
          </w:p>
        </w:tc>
        <w:tc>
          <w:tcPr>
            <w:tcW w:w="3360" w:type="dxa"/>
            <w:vAlign w:val="bottom"/>
            <w:vMerge w:val="restart"/>
          </w:tcPr>
          <w:p>
            <w:pPr>
              <w:ind w:left="100"/>
              <w:spacing w:after="0"/>
              <w:rPr>
                <w:sz w:val="20"/>
                <w:szCs w:val="20"/>
                <w:color w:val="auto"/>
              </w:rPr>
            </w:pPr>
            <w:r>
              <w:rPr>
                <w:rFonts w:ascii="Arial" w:cs="Arial" w:eastAsia="Arial" w:hAnsi="Arial"/>
                <w:sz w:val="9"/>
                <w:szCs w:val="9"/>
                <w:color w:val="auto"/>
              </w:rPr>
              <w:t>Adopt amendments to the Charter to provide for officer exculpation.</w:t>
            </w:r>
          </w:p>
        </w:tc>
        <w:tc>
          <w:tcPr>
            <w:tcW w:w="400" w:type="dxa"/>
            <w:vAlign w:val="bottom"/>
          </w:tcPr>
          <w:p>
            <w:pPr>
              <w:ind w:left="100"/>
              <w:spacing w:after="0" w:line="112" w:lineRule="exact"/>
              <w:rPr>
                <w:sz w:val="20"/>
                <w:szCs w:val="20"/>
                <w:color w:val="auto"/>
              </w:rPr>
            </w:pPr>
            <w:r>
              <w:rPr>
                <w:rFonts w:ascii="MS PGothic" w:cs="MS PGothic" w:eastAsia="MS PGothic" w:hAnsi="MS PGothic"/>
                <w:sz w:val="14"/>
                <w:szCs w:val="14"/>
                <w:color w:val="auto"/>
              </w:rPr>
              <w:t>☐</w:t>
            </w:r>
          </w:p>
        </w:tc>
        <w:tc>
          <w:tcPr>
            <w:tcW w:w="480" w:type="dxa"/>
            <w:vAlign w:val="bottom"/>
          </w:tcPr>
          <w:p>
            <w:pPr>
              <w:ind w:left="120"/>
              <w:spacing w:after="0" w:line="112" w:lineRule="exact"/>
              <w:rPr>
                <w:sz w:val="20"/>
                <w:szCs w:val="20"/>
                <w:color w:val="auto"/>
              </w:rPr>
            </w:pPr>
            <w:r>
              <w:rPr>
                <w:rFonts w:ascii="MS PGothic" w:cs="MS PGothic" w:eastAsia="MS PGothic" w:hAnsi="MS PGothic"/>
                <w:sz w:val="14"/>
                <w:szCs w:val="14"/>
                <w:color w:val="auto"/>
              </w:rPr>
              <w:t>☐</w:t>
            </w:r>
          </w:p>
        </w:tc>
        <w:tc>
          <w:tcPr>
            <w:tcW w:w="360" w:type="dxa"/>
            <w:vAlign w:val="bottom"/>
          </w:tcPr>
          <w:p>
            <w:pPr>
              <w:ind w:left="180"/>
              <w:spacing w:after="0" w:line="112" w:lineRule="exact"/>
              <w:rPr>
                <w:sz w:val="20"/>
                <w:szCs w:val="20"/>
                <w:color w:val="auto"/>
              </w:rPr>
            </w:pP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r>
        <w:trPr>
          <w:trHeight w:val="123"/>
        </w:trPr>
        <w:tc>
          <w:tcPr>
            <w:tcW w:w="180" w:type="dxa"/>
            <w:vAlign w:val="bottom"/>
          </w:tcPr>
          <w:p>
            <w:pPr>
              <w:spacing w:after="0"/>
              <w:rPr>
                <w:sz w:val="20"/>
                <w:szCs w:val="20"/>
                <w:color w:val="auto"/>
              </w:rPr>
            </w:pPr>
            <w:r>
              <w:rPr>
                <w:rFonts w:ascii="Arial" w:cs="Arial" w:eastAsia="Arial" w:hAnsi="Arial"/>
                <w:sz w:val="9"/>
                <w:szCs w:val="9"/>
                <w:color w:val="auto"/>
              </w:rPr>
              <w:t>5.</w:t>
            </w:r>
          </w:p>
        </w:tc>
        <w:tc>
          <w:tcPr>
            <w:tcW w:w="3360" w:type="dxa"/>
            <w:vAlign w:val="bottom"/>
            <w:vMerge w:val="continue"/>
          </w:tcPr>
          <w:p>
            <w:pPr>
              <w:spacing w:after="0"/>
              <w:rPr>
                <w:sz w:val="10"/>
                <w:szCs w:val="10"/>
                <w:color w:val="auto"/>
              </w:rPr>
            </w:pPr>
          </w:p>
        </w:tc>
        <w:tc>
          <w:tcPr>
            <w:tcW w:w="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7"/>
        </w:trPr>
        <w:tc>
          <w:tcPr>
            <w:tcW w:w="180" w:type="dxa"/>
            <w:vAlign w:val="bottom"/>
          </w:tcPr>
          <w:p>
            <w:pPr>
              <w:spacing w:after="0"/>
              <w:rPr>
                <w:sz w:val="20"/>
                <w:szCs w:val="20"/>
                <w:color w:val="auto"/>
              </w:rPr>
            </w:pPr>
            <w:r>
              <w:rPr>
                <w:rFonts w:ascii="Arial" w:cs="Arial" w:eastAsia="Arial" w:hAnsi="Arial"/>
                <w:sz w:val="9"/>
                <w:szCs w:val="9"/>
                <w:color w:val="auto"/>
              </w:rPr>
              <w:t>6.</w:t>
            </w:r>
          </w:p>
        </w:tc>
        <w:tc>
          <w:tcPr>
            <w:tcW w:w="3360" w:type="dxa"/>
            <w:vAlign w:val="bottom"/>
          </w:tcPr>
          <w:p>
            <w:pPr>
              <w:ind w:left="100"/>
              <w:spacing w:after="0"/>
              <w:rPr>
                <w:sz w:val="20"/>
                <w:szCs w:val="20"/>
                <w:color w:val="auto"/>
              </w:rPr>
            </w:pPr>
            <w:r>
              <w:rPr>
                <w:rFonts w:ascii="Arial" w:cs="Arial" w:eastAsia="Arial" w:hAnsi="Arial"/>
                <w:sz w:val="9"/>
                <w:szCs w:val="9"/>
                <w:color w:val="auto"/>
              </w:rPr>
              <w:t>Adopt amendments to the Charter to remove the corporate opportunities</w:t>
            </w:r>
          </w:p>
        </w:tc>
        <w:tc>
          <w:tcPr>
            <w:tcW w:w="400" w:type="dxa"/>
            <w:vAlign w:val="bottom"/>
            <w:vMerge w:val="restart"/>
          </w:tcPr>
          <w:p>
            <w:pPr>
              <w:ind w:left="100"/>
              <w:spacing w:after="0" w:line="201" w:lineRule="exact"/>
              <w:rPr>
                <w:sz w:val="20"/>
                <w:szCs w:val="20"/>
                <w:color w:val="auto"/>
              </w:rPr>
            </w:pPr>
            <w:r>
              <w:rPr>
                <w:rFonts w:ascii="MS PGothic" w:cs="MS PGothic" w:eastAsia="MS PGothic" w:hAnsi="MS PGothic"/>
                <w:sz w:val="20"/>
                <w:szCs w:val="20"/>
                <w:color w:val="auto"/>
              </w:rPr>
              <w:t>☐</w:t>
            </w:r>
          </w:p>
        </w:tc>
        <w:tc>
          <w:tcPr>
            <w:tcW w:w="480" w:type="dxa"/>
            <w:vAlign w:val="bottom"/>
            <w:vMerge w:val="restart"/>
          </w:tcPr>
          <w:p>
            <w:pPr>
              <w:ind w:left="120"/>
              <w:spacing w:after="0" w:line="201" w:lineRule="exact"/>
              <w:rPr>
                <w:sz w:val="20"/>
                <w:szCs w:val="20"/>
                <w:color w:val="auto"/>
              </w:rPr>
            </w:pPr>
            <w:r>
              <w:rPr>
                <w:rFonts w:ascii="MS PGothic" w:cs="MS PGothic" w:eastAsia="MS PGothic" w:hAnsi="MS PGothic"/>
                <w:sz w:val="20"/>
                <w:szCs w:val="20"/>
                <w:color w:val="auto"/>
              </w:rPr>
              <w:t>☐</w:t>
            </w:r>
          </w:p>
        </w:tc>
        <w:tc>
          <w:tcPr>
            <w:tcW w:w="360" w:type="dxa"/>
            <w:vAlign w:val="bottom"/>
            <w:vMerge w:val="restart"/>
          </w:tcPr>
          <w:p>
            <w:pPr>
              <w:ind w:left="180"/>
              <w:spacing w:after="0" w:line="201" w:lineRule="exact"/>
              <w:rPr>
                <w:sz w:val="20"/>
                <w:szCs w:val="20"/>
                <w:color w:val="auto"/>
              </w:rPr>
            </w:pPr>
            <w:r>
              <w:rPr>
                <w:rFonts w:ascii="MS PGothic" w:cs="MS PGothic" w:eastAsia="MS PGothic" w:hAnsi="MS PGothic"/>
                <w:sz w:val="20"/>
                <w:szCs w:val="20"/>
                <w:color w:val="auto"/>
                <w:w w:val="79"/>
              </w:rPr>
              <w:t>☐</w:t>
            </w:r>
          </w:p>
        </w:tc>
        <w:tc>
          <w:tcPr>
            <w:tcW w:w="0" w:type="dxa"/>
            <w:vAlign w:val="bottom"/>
          </w:tcPr>
          <w:p>
            <w:pPr>
              <w:spacing w:after="0"/>
              <w:rPr>
                <w:sz w:val="1"/>
                <w:szCs w:val="1"/>
                <w:color w:val="auto"/>
              </w:rPr>
            </w:pPr>
          </w:p>
        </w:tc>
      </w:tr>
      <w:tr>
        <w:trPr>
          <w:trHeight w:val="174"/>
        </w:trPr>
        <w:tc>
          <w:tcPr>
            <w:tcW w:w="180" w:type="dxa"/>
            <w:vAlign w:val="bottom"/>
          </w:tcPr>
          <w:p>
            <w:pPr>
              <w:spacing w:after="0"/>
              <w:rPr>
                <w:sz w:val="20"/>
                <w:szCs w:val="20"/>
                <w:color w:val="auto"/>
              </w:rPr>
            </w:pPr>
            <w:r>
              <w:rPr>
                <w:rFonts w:ascii="Arial" w:cs="Arial" w:eastAsia="Arial" w:hAnsi="Arial"/>
                <w:sz w:val="9"/>
                <w:szCs w:val="9"/>
                <w:color w:val="auto"/>
              </w:rPr>
              <w:t> </w:t>
            </w:r>
          </w:p>
        </w:tc>
        <w:tc>
          <w:tcPr>
            <w:tcW w:w="3360" w:type="dxa"/>
            <w:vAlign w:val="bottom"/>
          </w:tcPr>
          <w:p>
            <w:pPr>
              <w:ind w:left="100"/>
              <w:spacing w:after="0"/>
              <w:rPr>
                <w:sz w:val="20"/>
                <w:szCs w:val="20"/>
                <w:color w:val="auto"/>
              </w:rPr>
            </w:pPr>
            <w:r>
              <w:rPr>
                <w:rFonts w:ascii="Arial" w:cs="Arial" w:eastAsia="Arial" w:hAnsi="Arial"/>
                <w:sz w:val="9"/>
                <w:szCs w:val="9"/>
                <w:color w:val="auto"/>
              </w:rPr>
              <w:t>provision.</w:t>
            </w:r>
          </w:p>
        </w:tc>
        <w:tc>
          <w:tcPr>
            <w:tcW w:w="400" w:type="dxa"/>
            <w:vAlign w:val="bottom"/>
            <w:vMerge w:val="continue"/>
          </w:tcPr>
          <w:p>
            <w:pPr>
              <w:spacing w:after="0"/>
              <w:rPr>
                <w:sz w:val="15"/>
                <w:szCs w:val="15"/>
                <w:color w:val="auto"/>
              </w:rPr>
            </w:pPr>
          </w:p>
        </w:tc>
        <w:tc>
          <w:tcPr>
            <w:tcW w:w="480" w:type="dxa"/>
            <w:vAlign w:val="bottom"/>
            <w:vMerge w:val="continue"/>
          </w:tcPr>
          <w:p>
            <w:pPr>
              <w:spacing w:after="0"/>
              <w:rPr>
                <w:sz w:val="15"/>
                <w:szCs w:val="15"/>
                <w:color w:val="auto"/>
              </w:rPr>
            </w:pPr>
          </w:p>
        </w:tc>
        <w:tc>
          <w:tcPr>
            <w:tcW w:w="3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56" w:lineRule="exact"/>
        <w:rPr>
          <w:sz w:val="20"/>
          <w:szCs w:val="20"/>
          <w:color w:val="auto"/>
        </w:rPr>
      </w:pPr>
    </w:p>
    <w:p>
      <w:pPr>
        <w:ind w:right="60"/>
        <w:spacing w:after="0" w:line="310" w:lineRule="auto"/>
        <w:rPr>
          <w:sz w:val="20"/>
          <w:szCs w:val="20"/>
          <w:color w:val="auto"/>
        </w:rPr>
      </w:pPr>
      <w:r>
        <w:rPr>
          <w:rFonts w:ascii="Arial" w:cs="Arial" w:eastAsia="Arial" w:hAnsi="Arial"/>
          <w:sz w:val="9"/>
          <w:szCs w:val="9"/>
          <w:b w:val="1"/>
          <w:bCs w:val="1"/>
          <w:color w:val="auto"/>
        </w:rPr>
        <w:t xml:space="preserve">NOTE: </w:t>
      </w:r>
      <w:r>
        <w:rPr>
          <w:rFonts w:ascii="Arial" w:cs="Arial" w:eastAsia="Arial" w:hAnsi="Arial"/>
          <w:sz w:val="9"/>
          <w:szCs w:val="9"/>
          <w:color w:val="auto"/>
        </w:rPr>
        <w:t>Such other business as may properly come before the meeting or any adjournment thereof will be voted on by the</w:t>
      </w:r>
      <w:r>
        <w:rPr>
          <w:rFonts w:ascii="Arial" w:cs="Arial" w:eastAsia="Arial" w:hAnsi="Arial"/>
          <w:sz w:val="9"/>
          <w:szCs w:val="9"/>
          <w:b w:val="1"/>
          <w:bCs w:val="1"/>
          <w:color w:val="auto"/>
        </w:rPr>
        <w:t xml:space="preserve"> </w:t>
      </w:r>
      <w:r>
        <w:rPr>
          <w:rFonts w:ascii="Arial" w:cs="Arial" w:eastAsia="Arial" w:hAnsi="Arial"/>
          <w:sz w:val="9"/>
          <w:szCs w:val="9"/>
          <w:color w:val="auto"/>
        </w:rPr>
        <w:t>proxy holders in their discretion.</w:t>
      </w:r>
    </w:p>
    <w:p>
      <w:pPr>
        <w:spacing w:after="0" w:line="753" w:lineRule="exact"/>
        <w:rPr>
          <w:sz w:val="20"/>
          <w:szCs w:val="20"/>
          <w:color w:val="auto"/>
        </w:rPr>
      </w:pPr>
    </w:p>
    <w:p>
      <w:pPr>
        <w:sectPr>
          <w:pgSz w:w="11900" w:h="16838" w:orient="portrait"/>
          <w:cols w:equalWidth="0" w:num="3">
            <w:col w:w="3480" w:space="720"/>
            <w:col w:w="1080" w:space="440"/>
            <w:col w:w="5080"/>
          </w:cols>
          <w:pgMar w:left="320" w:top="463" w:right="779" w:bottom="1440" w:gutter="0" w:footer="0" w:header="0"/>
          <w:type w:val="continuous"/>
        </w:sectPr>
      </w:pPr>
    </w:p>
    <w:p>
      <w:pPr>
        <w:spacing w:after="0" w:line="141" w:lineRule="exact"/>
        <w:rPr>
          <w:sz w:val="20"/>
          <w:szCs w:val="20"/>
          <w:color w:val="auto"/>
        </w:rPr>
      </w:pPr>
    </w:p>
    <w:p>
      <w:pPr>
        <w:ind w:left="760"/>
        <w:spacing w:after="0"/>
        <w:rPr>
          <w:sz w:val="20"/>
          <w:szCs w:val="20"/>
          <w:color w:val="auto"/>
        </w:rPr>
      </w:pPr>
      <w:r>
        <w:rPr>
          <w:rFonts w:ascii="Arial" w:cs="Arial" w:eastAsia="Arial" w:hAnsi="Arial"/>
          <w:sz w:val="9"/>
          <w:szCs w:val="9"/>
          <w:color w:val="auto"/>
        </w:rPr>
        <w:t>Please sign exactly as your name(s) appear(s) hereon. When signing as attorney, executor, administrator, or other fiduciary, please give full title as such. Joint owners should each sign personally.</w:t>
      </w:r>
    </w:p>
    <w:p>
      <w:pPr>
        <w:spacing w:after="0" w:line="19" w:lineRule="exact"/>
        <w:rPr>
          <w:sz w:val="20"/>
          <w:szCs w:val="20"/>
          <w:color w:val="auto"/>
        </w:rPr>
      </w:pPr>
    </w:p>
    <w:p>
      <w:pPr>
        <w:ind w:left="760"/>
        <w:spacing w:after="0"/>
        <w:rPr>
          <w:sz w:val="20"/>
          <w:szCs w:val="20"/>
          <w:color w:val="auto"/>
        </w:rPr>
      </w:pPr>
      <w:r>
        <w:rPr>
          <w:rFonts w:ascii="Arial" w:cs="Arial" w:eastAsia="Arial" w:hAnsi="Arial"/>
          <w:sz w:val="9"/>
          <w:szCs w:val="9"/>
          <w:color w:val="auto"/>
        </w:rPr>
        <w:t>All holders must sign. If a corporation or partnership, please sign in full corporate or partnership name by authorized officer.</w:t>
      </w:r>
    </w:p>
    <w:p>
      <w:pPr>
        <w:sectPr>
          <w:pgSz w:w="11900" w:h="16838" w:orient="portrait"/>
          <w:cols w:equalWidth="0" w:num="1">
            <w:col w:w="10800"/>
          </w:cols>
          <w:pgMar w:left="320" w:top="463" w:right="779" w:bottom="1440" w:gutter="0" w:footer="0" w:header="0"/>
          <w:type w:val="continuous"/>
        </w:sectPr>
      </w:pPr>
    </w:p>
    <w:p>
      <w:pPr>
        <w:spacing w:after="0" w:line="313" w:lineRule="exact"/>
        <w:rPr>
          <w:sz w:val="20"/>
          <w:szCs w:val="20"/>
          <w:color w:val="auto"/>
        </w:rPr>
      </w:pPr>
    </w:p>
    <w:tbl>
      <w:tblPr>
        <w:tblLayout w:type="fixed"/>
        <w:tblInd w:w="780" w:type="dxa"/>
        <w:tblCellMar>
          <w:top w:w="0" w:type="dxa"/>
          <w:left w:w="0" w:type="dxa"/>
          <w:bottom w:w="0" w:type="dxa"/>
          <w:right w:w="0" w:type="dxa"/>
        </w:tblCellMar>
      </w:tblPr>
      <w:tr>
        <w:trPr>
          <w:trHeight w:val="271"/>
        </w:trPr>
        <w:tc>
          <w:tcPr>
            <w:tcW w:w="2380" w:type="dxa"/>
            <w:vAlign w:val="bottom"/>
          </w:tcPr>
          <w:p>
            <w:pPr>
              <w:ind w:left="140"/>
              <w:spacing w:after="0"/>
              <w:rPr>
                <w:sz w:val="20"/>
                <w:szCs w:val="20"/>
                <w:color w:val="auto"/>
              </w:rPr>
            </w:pPr>
            <w:r>
              <w:rPr>
                <w:rFonts w:ascii="Arial" w:cs="Arial" w:eastAsia="Arial" w:hAnsi="Arial"/>
                <w:sz w:val="20"/>
                <w:szCs w:val="20"/>
                <w:color w:val="auto"/>
              </w:rPr>
              <w:t xml:space="preserve">    </w:t>
            </w:r>
          </w:p>
        </w:tc>
        <w:tc>
          <w:tcPr>
            <w:tcW w:w="580" w:type="dxa"/>
            <w:vAlign w:val="bottom"/>
          </w:tcPr>
          <w:p>
            <w:pPr>
              <w:ind w:left="320"/>
              <w:spacing w:after="0"/>
              <w:rPr>
                <w:sz w:val="20"/>
                <w:szCs w:val="20"/>
                <w:color w:val="auto"/>
              </w:rPr>
            </w:pPr>
            <w:r>
              <w:rPr>
                <w:rFonts w:ascii="Arial" w:cs="Arial" w:eastAsia="Arial" w:hAnsi="Arial"/>
                <w:sz w:val="20"/>
                <w:szCs w:val="20"/>
                <w:color w:val="auto"/>
              </w:rPr>
              <w:t xml:space="preserve">    </w:t>
            </w:r>
          </w:p>
        </w:tc>
      </w:tr>
      <w:tr>
        <w:trPr>
          <w:trHeight w:val="176"/>
        </w:trPr>
        <w:tc>
          <w:tcPr>
            <w:tcW w:w="2380" w:type="dxa"/>
            <w:vAlign w:val="bottom"/>
          </w:tcPr>
          <w:p>
            <w:pPr>
              <w:spacing w:after="0"/>
              <w:rPr>
                <w:sz w:val="20"/>
                <w:szCs w:val="20"/>
                <w:color w:val="auto"/>
              </w:rPr>
            </w:pPr>
            <w:r>
              <w:rPr>
                <w:rFonts w:ascii="Arial" w:cs="Arial" w:eastAsia="Arial" w:hAnsi="Arial"/>
                <w:sz w:val="12"/>
                <w:szCs w:val="12"/>
                <w:color w:val="auto"/>
              </w:rPr>
              <w:t>Signature [PLEASE SIGN WITHIN BOX]</w:t>
            </w:r>
          </w:p>
        </w:tc>
        <w:tc>
          <w:tcPr>
            <w:tcW w:w="580" w:type="dxa"/>
            <w:vAlign w:val="bottom"/>
          </w:tcPr>
          <w:p>
            <w:pPr>
              <w:ind w:left="240"/>
              <w:spacing w:after="0"/>
              <w:rPr>
                <w:sz w:val="20"/>
                <w:szCs w:val="20"/>
                <w:color w:val="auto"/>
              </w:rPr>
            </w:pPr>
            <w:r>
              <w:rPr>
                <w:rFonts w:ascii="Arial" w:cs="Arial" w:eastAsia="Arial" w:hAnsi="Arial"/>
                <w:sz w:val="12"/>
                <w:szCs w:val="12"/>
                <w:color w:val="auto"/>
              </w:rPr>
              <w:t>Date</w:t>
            </w:r>
          </w:p>
        </w:tc>
      </w:tr>
    </w:tbl>
    <w:p>
      <w:pPr>
        <w:spacing w:after="0" w:line="20" w:lineRule="exact"/>
        <w:rPr>
          <w:sz w:val="20"/>
          <w:szCs w:val="20"/>
          <w:color w:val="auto"/>
        </w:rPr>
      </w:pPr>
      <w:r>
        <w:rPr>
          <w:sz w:val="20"/>
          <w:szCs w:val="20"/>
          <w:color w:val="auto"/>
        </w:rPr>
        <w:br w:type="column"/>
      </w:r>
    </w:p>
    <w:p>
      <w:pPr>
        <w:spacing w:after="0" w:line="293" w:lineRule="exact"/>
        <w:rPr>
          <w:sz w:val="20"/>
          <w:szCs w:val="20"/>
          <w:color w:val="auto"/>
        </w:rPr>
      </w:pPr>
    </w:p>
    <w:p>
      <w:pPr>
        <w:ind w:left="2620"/>
        <w:spacing w:after="0"/>
        <w:rPr>
          <w:sz w:val="20"/>
          <w:szCs w:val="20"/>
          <w:color w:val="auto"/>
        </w:rPr>
      </w:pPr>
      <w:r>
        <w:rPr>
          <w:rFonts w:ascii="Arial" w:cs="Arial" w:eastAsia="Arial" w:hAnsi="Arial"/>
          <w:sz w:val="20"/>
          <w:szCs w:val="20"/>
          <w:color w:val="auto"/>
        </w:rPr>
        <w:t xml:space="preserve">     </w:t>
      </w:r>
    </w:p>
    <w:p>
      <w:pPr>
        <w:spacing w:after="0" w:line="59" w:lineRule="exact"/>
        <w:rPr>
          <w:sz w:val="20"/>
          <w:szCs w:val="20"/>
          <w:color w:val="auto"/>
        </w:rPr>
      </w:pPr>
    </w:p>
    <w:p>
      <w:pPr>
        <w:spacing w:after="0"/>
        <w:tabs>
          <w:tab w:leader="none" w:pos="2580" w:val="left"/>
        </w:tabs>
        <w:rPr>
          <w:sz w:val="20"/>
          <w:szCs w:val="20"/>
          <w:color w:val="auto"/>
        </w:rPr>
      </w:pPr>
      <w:r>
        <w:rPr>
          <w:rFonts w:ascii="Arial" w:cs="Arial" w:eastAsia="Arial" w:hAnsi="Arial"/>
          <w:sz w:val="12"/>
          <w:szCs w:val="12"/>
          <w:color w:val="auto"/>
        </w:rPr>
        <w:t>Signature (Joint Owners)</w:t>
      </w:r>
      <w:r>
        <w:rPr>
          <w:sz w:val="20"/>
          <w:szCs w:val="20"/>
          <w:color w:val="auto"/>
        </w:rPr>
        <w:tab/>
      </w:r>
      <w:r>
        <w:rPr>
          <w:rFonts w:ascii="Arial" w:cs="Arial" w:eastAsia="Arial" w:hAnsi="Arial"/>
          <w:sz w:val="12"/>
          <w:szCs w:val="12"/>
          <w:color w:val="auto"/>
        </w:rPr>
        <w:t>Date</w:t>
      </w:r>
    </w:p>
    <w:p>
      <w:pPr>
        <w:sectPr>
          <w:pgSz w:w="11900" w:h="16838" w:orient="portrait"/>
          <w:cols w:equalWidth="0" w:num="2">
            <w:col w:w="4980" w:space="720"/>
            <w:col w:w="5100"/>
          </w:cols>
          <w:pgMar w:left="320" w:top="463" w:right="779" w:bottom="1440" w:gutter="0" w:footer="0" w:header="0"/>
          <w:type w:val="continuous"/>
        </w:sectPr>
      </w:pPr>
    </w:p>
    <w:bookmarkStart w:id="114" w:name="page115"/>
    <w:bookmarkEnd w:id="11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5334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181215" cy="53340"/>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Important Notice Regarding the Availability of Proxy Materials for the Annual Meeting:</w:t>
      </w:r>
    </w:p>
    <w:p>
      <w:pPr>
        <w:spacing w:after="0" w:line="12" w:lineRule="exact"/>
        <w:rPr>
          <w:sz w:val="20"/>
          <w:szCs w:val="20"/>
          <w:color w:val="auto"/>
        </w:rPr>
      </w:pPr>
    </w:p>
    <w:p>
      <w:pPr>
        <w:ind w:left="1720"/>
        <w:spacing w:after="0"/>
        <w:rPr>
          <w:sz w:val="20"/>
          <w:szCs w:val="20"/>
          <w:color w:val="auto"/>
        </w:rPr>
      </w:pPr>
      <w:r>
        <w:rPr>
          <w:rFonts w:ascii="Arial" w:cs="Arial" w:eastAsia="Arial" w:hAnsi="Arial"/>
          <w:sz w:val="17"/>
          <w:szCs w:val="17"/>
          <w:color w:val="auto"/>
        </w:rPr>
        <w:t>The Notice and Proxy Statement and Annual Report on Form 10-K are available at www.proxyvote.com.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420"/>
        <w:spacing w:after="0"/>
        <w:rPr>
          <w:sz w:val="20"/>
          <w:szCs w:val="20"/>
          <w:color w:val="auto"/>
        </w:rPr>
      </w:pPr>
      <w:r>
        <w:rPr>
          <w:rFonts w:ascii="Arial" w:cs="Arial" w:eastAsia="Arial" w:hAnsi="Arial"/>
          <w:sz w:val="17"/>
          <w:szCs w:val="17"/>
          <w:color w:val="auto"/>
        </w:rPr>
        <w:t>— — — — — — — — — — — — — — — — — — — — — — — — — — — — — — — — — — — — — — — — — — — — — — — — — — —</w:t>
      </w:r>
    </w:p>
    <w:p>
      <w:pPr>
        <w:spacing w:after="0" w:line="33" w:lineRule="exact"/>
        <w:rPr>
          <w:sz w:val="20"/>
          <w:szCs w:val="20"/>
          <w:color w:val="auto"/>
        </w:rPr>
      </w:pPr>
    </w:p>
    <w:p>
      <w:pPr>
        <w:ind w:left="9580"/>
        <w:spacing w:after="0"/>
        <w:rPr>
          <w:sz w:val="20"/>
          <w:szCs w:val="20"/>
          <w:color w:val="auto"/>
        </w:rPr>
      </w:pPr>
      <w:r>
        <w:rPr>
          <w:rFonts w:ascii="Arial" w:cs="Arial" w:eastAsia="Arial" w:hAnsi="Arial"/>
          <w:sz w:val="12"/>
          <w:szCs w:val="12"/>
          <w:color w:val="auto"/>
        </w:rPr>
        <w:t xml:space="preserve">V85877-P41760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264160</wp:posOffset>
            </wp:positionH>
            <wp:positionV relativeFrom="paragraph">
              <wp:posOffset>24130</wp:posOffset>
            </wp:positionV>
            <wp:extent cx="6622415" cy="355092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6622415" cy="3550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459"/>
        <w:spacing w:after="0"/>
        <w:rPr>
          <w:sz w:val="20"/>
          <w:szCs w:val="20"/>
          <w:color w:val="auto"/>
        </w:rPr>
      </w:pPr>
      <w:r>
        <w:rPr>
          <w:rFonts w:ascii="Arial" w:cs="Arial" w:eastAsia="Arial" w:hAnsi="Arial"/>
          <w:sz w:val="20"/>
          <w:szCs w:val="20"/>
          <w:b w:val="1"/>
          <w:bCs w:val="1"/>
          <w:color w:val="auto"/>
        </w:rPr>
        <w:t>LPL Financial Holdings Inc.</w:t>
      </w:r>
    </w:p>
    <w:p>
      <w:pPr>
        <w:spacing w:after="0" w:line="204" w:lineRule="exact"/>
        <w:rPr>
          <w:sz w:val="20"/>
          <w:szCs w:val="20"/>
          <w:color w:val="auto"/>
        </w:rPr>
      </w:pPr>
    </w:p>
    <w:p>
      <w:pPr>
        <w:jc w:val="center"/>
        <w:ind w:right="-459"/>
        <w:spacing w:after="0"/>
        <w:rPr>
          <w:sz w:val="20"/>
          <w:szCs w:val="20"/>
          <w:color w:val="auto"/>
        </w:rPr>
      </w:pPr>
      <w:r>
        <w:rPr>
          <w:rFonts w:ascii="Arial" w:cs="Arial" w:eastAsia="Arial" w:hAnsi="Arial"/>
          <w:sz w:val="20"/>
          <w:szCs w:val="20"/>
          <w:b w:val="1"/>
          <w:bCs w:val="1"/>
          <w:color w:val="auto"/>
        </w:rPr>
        <w:t>Notice of 2026 Annual Meeting of Stockholders</w:t>
      </w:r>
    </w:p>
    <w:p>
      <w:pPr>
        <w:spacing w:after="0" w:line="242"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Proxy Solicited by the Board of Directors for the 2026 Annual Meeting of Stockholders — May 14, 2026</w:t>
      </w:r>
    </w:p>
    <w:p>
      <w:pPr>
        <w:spacing w:after="0" w:line="116" w:lineRule="exact"/>
        <w:rPr>
          <w:sz w:val="20"/>
          <w:szCs w:val="20"/>
          <w:color w:val="auto"/>
        </w:rPr>
      </w:pPr>
    </w:p>
    <w:p>
      <w:pPr>
        <w:jc w:val="both"/>
        <w:ind w:left="660" w:right="220"/>
        <w:spacing w:after="0" w:line="261" w:lineRule="auto"/>
        <w:rPr>
          <w:sz w:val="20"/>
          <w:szCs w:val="20"/>
          <w:color w:val="auto"/>
        </w:rPr>
      </w:pPr>
      <w:r>
        <w:rPr>
          <w:rFonts w:ascii="Arial" w:cs="Arial" w:eastAsia="Arial" w:hAnsi="Arial"/>
          <w:sz w:val="15"/>
          <w:szCs w:val="15"/>
          <w:color w:val="auto"/>
        </w:rPr>
        <w:t>Matthew Audette and Robert S. Hatfield III, and each of them with power to act without the other and with power of substitution (the “Proxies”), are hereby authorized to represent and vote the shares of the undersigned, with all the powers which the undersigned would possess if personally present, at the 2026 Annual Meeting of Stockholders (the “Annual Meeting”) of LPL Financial Holdings Inc. (the “Company”) to be held on May 14, 2026 or at any postponement or adjournment thereof.</w:t>
      </w:r>
    </w:p>
    <w:p>
      <w:pPr>
        <w:spacing w:after="0" w:line="65" w:lineRule="exact"/>
        <w:rPr>
          <w:sz w:val="20"/>
          <w:szCs w:val="20"/>
          <w:color w:val="auto"/>
        </w:rPr>
      </w:pPr>
    </w:p>
    <w:p>
      <w:pPr>
        <w:jc w:val="both"/>
        <w:ind w:left="660" w:right="220"/>
        <w:spacing w:after="0" w:line="301" w:lineRule="auto"/>
        <w:rPr>
          <w:sz w:val="20"/>
          <w:szCs w:val="20"/>
          <w:color w:val="auto"/>
        </w:rPr>
      </w:pPr>
      <w:r>
        <w:rPr>
          <w:rFonts w:ascii="Arial" w:cs="Arial" w:eastAsia="Arial" w:hAnsi="Arial"/>
          <w:sz w:val="15"/>
          <w:szCs w:val="15"/>
          <w:b w:val="1"/>
          <w:bCs w:val="1"/>
          <w:color w:val="auto"/>
        </w:rPr>
        <w:t xml:space="preserve">Shares represented by this proxy will be voted as directed by the stockholder. If no such directions are indicated, the Proxies will have authority to vote </w:t>
      </w:r>
      <w:r>
        <w:rPr>
          <w:rFonts w:ascii="Arial" w:cs="Arial" w:eastAsia="Arial" w:hAnsi="Arial"/>
          <w:sz w:val="15"/>
          <w:szCs w:val="15"/>
          <w:b w:val="1"/>
          <w:bCs w:val="1"/>
          <w:u w:val="single" w:color="auto"/>
          <w:color w:val="auto"/>
        </w:rPr>
        <w:t>FOR</w:t>
      </w:r>
      <w:r>
        <w:rPr>
          <w:rFonts w:ascii="Arial" w:cs="Arial" w:eastAsia="Arial" w:hAnsi="Arial"/>
          <w:sz w:val="15"/>
          <w:szCs w:val="15"/>
          <w:b w:val="1"/>
          <w:bCs w:val="1"/>
          <w:color w:val="auto"/>
        </w:rPr>
        <w:t xml:space="preserve"> all nominees in Proposal 1 and </w:t>
      </w:r>
      <w:r>
        <w:rPr>
          <w:rFonts w:ascii="Arial" w:cs="Arial" w:eastAsia="Arial" w:hAnsi="Arial"/>
          <w:sz w:val="15"/>
          <w:szCs w:val="15"/>
          <w:b w:val="1"/>
          <w:bCs w:val="1"/>
          <w:u w:val="single" w:color="auto"/>
          <w:color w:val="auto"/>
        </w:rPr>
        <w:t>FOR</w:t>
      </w:r>
      <w:r>
        <w:rPr>
          <w:rFonts w:ascii="Arial" w:cs="Arial" w:eastAsia="Arial" w:hAnsi="Arial"/>
          <w:sz w:val="15"/>
          <w:szCs w:val="15"/>
          <w:b w:val="1"/>
          <w:bCs w:val="1"/>
          <w:color w:val="auto"/>
        </w:rPr>
        <w:t xml:space="preserve"> Proposals 2, 3, 4, 5 and 6.</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5"/>
          <w:szCs w:val="15"/>
          <w:b w:val="1"/>
          <w:bCs w:val="1"/>
          <w:color w:val="auto"/>
        </w:rPr>
        <w:t>In their discretion, the Proxies are authorized to vote upon such other business as may properly come before the Annual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3920"/>
        <w:spacing w:after="0"/>
        <w:rPr>
          <w:sz w:val="20"/>
          <w:szCs w:val="20"/>
          <w:color w:val="auto"/>
        </w:rPr>
      </w:pPr>
      <w:r>
        <w:rPr>
          <w:rFonts w:ascii="Arial" w:cs="Arial" w:eastAsia="Arial" w:hAnsi="Arial"/>
          <w:sz w:val="17"/>
          <w:szCs w:val="17"/>
          <w:b w:val="1"/>
          <w:bCs w:val="1"/>
          <w:color w:val="auto"/>
        </w:rPr>
        <w:t>(Items to be voted appear on reverse side)</w:t>
      </w:r>
    </w:p>
    <w:sectPr>
      <w:pgSz w:w="11900" w:h="16838" w:orient="portrait"/>
      <w:cols w:equalWidth="0" w:num="1">
        <w:col w:w="10800"/>
      </w:cols>
      <w:pgMar w:left="320" w:top="464" w:right="7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F2B15E"/>
    <w:multiLevelType w:val="hybridMultilevel"/>
    <w:lvl w:ilvl="0">
      <w:lvlJc w:val="left"/>
      <w:lvlText w:val="☒"/>
      <w:numFmt w:val="bullet"/>
      <w:start w:val="1"/>
    </w:lvl>
  </w:abstractNum>
  <w:abstractNum w:abstractNumId="1">
    <w:nsid w:val="1A32234B"/>
    <w:multiLevelType w:val="hybridMultilevel"/>
    <w:lvl w:ilvl="0">
      <w:lvlJc w:val="left"/>
      <w:lvlText w:val="☐"/>
      <w:numFmt w:val="bullet"/>
      <w:start w:val="1"/>
    </w:lvl>
  </w:abstractNum>
  <w:abstractNum w:abstractNumId="2">
    <w:nsid w:val="3B0FD379"/>
    <w:multiLevelType w:val="hybridMultilevel"/>
    <w:lvl w:ilvl="0">
      <w:lvlJc w:val="left"/>
      <w:lvlText w:val="☒"/>
      <w:numFmt w:val="bullet"/>
      <w:start w:val="1"/>
    </w:lvl>
  </w:abstractNum>
  <w:abstractNum w:abstractNumId="3">
    <w:nsid w:val="68EB2F63"/>
    <w:multiLevelType w:val="hybridMultilevel"/>
    <w:lvl w:ilvl="0">
      <w:lvlJc w:val="left"/>
      <w:lvlText w:val="☐"/>
      <w:numFmt w:val="bullet"/>
      <w:start w:val="1"/>
    </w:lvl>
  </w:abstractNum>
  <w:abstractNum w:abstractNumId="4">
    <w:nsid w:val="4962813B"/>
    <w:multiLevelType w:val="hybridMultilevel"/>
    <w:lvl w:ilvl="0">
      <w:lvlJc w:val="left"/>
      <w:lvlText w:val="1"/>
      <w:numFmt w:val="bullet"/>
      <w:start w:val="1"/>
    </w:lvl>
  </w:abstractNum>
  <w:abstractNum w:abstractNumId="5">
    <w:nsid w:val="60B6DF70"/>
    <w:multiLevelType w:val="hybridMultilevel"/>
    <w:lvl w:ilvl="0">
      <w:lvlJc w:val="left"/>
      <w:lvlText w:val="2"/>
      <w:numFmt w:val="bullet"/>
      <w:start w:val="1"/>
    </w:lvl>
  </w:abstractNum>
  <w:abstractNum w:abstractNumId="6">
    <w:nsid w:val="6A5EE64"/>
    <w:multiLevelType w:val="hybridMultilevel"/>
    <w:lvl w:ilvl="0">
      <w:lvlJc w:val="left"/>
      <w:lvlText w:val="3"/>
      <w:numFmt w:val="bullet"/>
      <w:start w:val="1"/>
    </w:lvl>
  </w:abstractNum>
  <w:abstractNum w:abstractNumId="7">
    <w:nsid w:val="14330624"/>
    <w:multiLevelType w:val="hybridMultilevel"/>
    <w:lvl w:ilvl="0">
      <w:lvlJc w:val="left"/>
      <w:lvlText w:val="4"/>
      <w:numFmt w:val="bullet"/>
      <w:start w:val="1"/>
    </w:lvl>
  </w:abstractNum>
  <w:abstractNum w:abstractNumId="8">
    <w:nsid w:val="7FFFCA11"/>
    <w:multiLevelType w:val="hybridMultilevel"/>
    <w:lvl w:ilvl="0">
      <w:lvlJc w:val="left"/>
      <w:lvlText w:val="5"/>
      <w:numFmt w:val="bullet"/>
      <w:start w:val="1"/>
    </w:lvl>
  </w:abstractNum>
  <w:abstractNum w:abstractNumId="9">
    <w:nsid w:val="1A27709E"/>
    <w:multiLevelType w:val="hybridMultilevel"/>
    <w:lvl w:ilvl="0">
      <w:lvlJc w:val="left"/>
      <w:lvlText w:val="6"/>
      <w:numFmt w:val="bullet"/>
      <w:start w:val="1"/>
    </w:lvl>
  </w:abstractNum>
  <w:abstractNum w:abstractNumId="10">
    <w:nsid w:val="71EA1109"/>
    <w:multiLevelType w:val="hybridMultilevel"/>
    <w:lvl w:ilvl="0">
      <w:lvlJc w:val="left"/>
      <w:lvlText w:val="7"/>
      <w:numFmt w:val="bullet"/>
      <w:start w:val="1"/>
    </w:lvl>
  </w:abstractNum>
  <w:abstractNum w:abstractNumId="11">
    <w:nsid w:val="100F59DC"/>
    <w:multiLevelType w:val="hybridMultilevel"/>
    <w:lvl w:ilvl="0">
      <w:lvlJc w:val="left"/>
      <w:lvlText w:val="%1"/>
      <w:numFmt w:val="decimal"/>
      <w:start w:val="22"/>
    </w:lvl>
  </w:abstractNum>
  <w:abstractNum w:abstractNumId="12">
    <w:nsid w:val="7FB7E0AA"/>
    <w:multiLevelType w:val="hybridMultilevel"/>
    <w:lvl w:ilvl="0">
      <w:lvlJc w:val="left"/>
      <w:lvlText w:val="%1"/>
      <w:numFmt w:val="decimal"/>
      <w:start w:val="82"/>
    </w:lvl>
  </w:abstractNum>
  <w:abstractNum w:abstractNumId="13">
    <w:nsid w:val="6EB5BD4"/>
    <w:multiLevelType w:val="hybridMultilevel"/>
    <w:lvl w:ilvl="0">
      <w:lvlJc w:val="left"/>
      <w:lvlText w:val=" "/>
      <w:numFmt w:val="bullet"/>
      <w:start w:val="1"/>
    </w:lvl>
  </w:abstractNum>
  <w:abstractNum w:abstractNumId="14">
    <w:nsid w:val="6F6DD9AC"/>
    <w:multiLevelType w:val="hybridMultilevel"/>
    <w:lvl w:ilvl="0">
      <w:lvlJc w:val="left"/>
      <w:lvlText w:val="•"/>
      <w:numFmt w:val="bullet"/>
      <w:start w:val="1"/>
    </w:lvl>
  </w:abstractNum>
  <w:abstractNum w:abstractNumId="15">
    <w:nsid w:val="94211F2"/>
    <w:multiLevelType w:val="hybridMultilevel"/>
    <w:lvl w:ilvl="0">
      <w:lvlJc w:val="left"/>
      <w:lvlText w:val=" "/>
      <w:numFmt w:val="bullet"/>
      <w:start w:val="1"/>
    </w:lvl>
  </w:abstractNum>
  <w:abstractNum w:abstractNumId="16">
    <w:nsid w:val="885E1B"/>
    <w:multiLevelType w:val="hybridMultilevel"/>
    <w:lvl w:ilvl="0">
      <w:lvlJc w:val="left"/>
      <w:lvlText w:val=" "/>
      <w:numFmt w:val="bullet"/>
      <w:start w:val="1"/>
    </w:lvl>
  </w:abstractNum>
  <w:abstractNum w:abstractNumId="17">
    <w:nsid w:val="76272110"/>
    <w:multiLevelType w:val="hybridMultilevel"/>
    <w:lvl w:ilvl="0">
      <w:lvlJc w:val="left"/>
      <w:lvlText w:val=" "/>
      <w:numFmt w:val="bullet"/>
      <w:start w:val="1"/>
    </w:lvl>
  </w:abstractNum>
  <w:abstractNum w:abstractNumId="18">
    <w:nsid w:val="4C04A8AF"/>
    <w:multiLevelType w:val="hybridMultilevel"/>
    <w:lvl w:ilvl="0">
      <w:lvlJc w:val="left"/>
      <w:lvlText w:val="•"/>
      <w:numFmt w:val="bullet"/>
      <w:start w:val="1"/>
    </w:lvl>
  </w:abstractNum>
  <w:abstractNum w:abstractNumId="19">
    <w:nsid w:val="1716703B"/>
    <w:multiLevelType w:val="hybridMultilevel"/>
    <w:lvl w:ilvl="0">
      <w:lvlJc w:val="left"/>
      <w:lvlText w:val=" "/>
      <w:numFmt w:val="bullet"/>
      <w:start w:val="1"/>
    </w:lvl>
  </w:abstractNum>
  <w:abstractNum w:abstractNumId="20">
    <w:nsid w:val="14E17E33"/>
    <w:multiLevelType w:val="hybridMultilevel"/>
    <w:lvl w:ilvl="0">
      <w:lvlJc w:val="left"/>
      <w:lvlText w:val="•"/>
      <w:numFmt w:val="bullet"/>
      <w:start w:val="1"/>
    </w:lvl>
  </w:abstractNum>
  <w:abstractNum w:abstractNumId="21">
    <w:nsid w:val="3222E7CD"/>
    <w:multiLevelType w:val="hybridMultilevel"/>
    <w:lvl w:ilvl="0">
      <w:lvlJc w:val="left"/>
      <w:lvlText w:val="•"/>
      <w:numFmt w:val="bullet"/>
      <w:start w:val="1"/>
    </w:lvl>
  </w:abstractNum>
  <w:abstractNum w:abstractNumId="22">
    <w:nsid w:val="74DE0EE3"/>
    <w:multiLevelType w:val="hybridMultilevel"/>
    <w:lvl w:ilvl="0">
      <w:lvlJc w:val="left"/>
      <w:lvlText w:val="•"/>
      <w:numFmt w:val="bullet"/>
      <w:start w:val="1"/>
    </w:lvl>
  </w:abstractNum>
  <w:abstractNum w:abstractNumId="23">
    <w:nsid w:val="68EBC550"/>
    <w:multiLevelType w:val="hybridMultilevel"/>
    <w:lvl w:ilvl="0">
      <w:lvlJc w:val="left"/>
      <w:lvlText w:val=" "/>
      <w:numFmt w:val="bullet"/>
      <w:start w:val="1"/>
    </w:lvl>
  </w:abstractNum>
  <w:abstractNum w:abstractNumId="24">
    <w:nsid w:val="2DF6D648"/>
    <w:multiLevelType w:val="hybridMultilevel"/>
    <w:lvl w:ilvl="0">
      <w:lvlJc w:val="left"/>
      <w:lvlText w:val="•"/>
      <w:numFmt w:val="bullet"/>
      <w:start w:val="1"/>
    </w:lvl>
  </w:abstractNum>
  <w:abstractNum w:abstractNumId="25">
    <w:nsid w:val="46B7D447"/>
    <w:multiLevelType w:val="hybridMultilevel"/>
    <w:lvl w:ilvl="0">
      <w:lvlJc w:val="left"/>
      <w:lvlText w:val="•"/>
      <w:numFmt w:val="bullet"/>
      <w:start w:val="1"/>
    </w:lvl>
  </w:abstractNum>
  <w:abstractNum w:abstractNumId="26">
    <w:nsid w:val="4A2AC315"/>
    <w:multiLevelType w:val="hybridMultilevel"/>
    <w:lvl w:ilvl="0">
      <w:lvlJc w:val="left"/>
      <w:lvlText w:val=" "/>
      <w:numFmt w:val="bullet"/>
      <w:start w:val="1"/>
    </w:lvl>
  </w:abstractNum>
  <w:abstractNum w:abstractNumId="27">
    <w:nsid w:val="39EE015C"/>
    <w:multiLevelType w:val="hybridMultilevel"/>
    <w:lvl w:ilvl="0">
      <w:lvlJc w:val="left"/>
      <w:lvlText w:val="•"/>
      <w:numFmt w:val="bullet"/>
      <w:start w:val="1"/>
    </w:lvl>
  </w:abstractNum>
  <w:abstractNum w:abstractNumId="28">
    <w:nsid w:val="57FC4FBB"/>
    <w:multiLevelType w:val="hybridMultilevel"/>
    <w:lvl w:ilvl="0">
      <w:lvlJc w:val="left"/>
      <w:lvlText w:val=" "/>
      <w:numFmt w:val="bullet"/>
      <w:start w:val="1"/>
    </w:lvl>
  </w:abstractNum>
  <w:abstractNum w:abstractNumId="29">
    <w:nsid w:val="CC1016F"/>
    <w:multiLevelType w:val="hybridMultilevel"/>
    <w:lvl w:ilvl="0">
      <w:lvlJc w:val="left"/>
      <w:lvlText w:val="•"/>
      <w:numFmt w:val="bullet"/>
      <w:start w:val="1"/>
    </w:lvl>
  </w:abstractNum>
  <w:abstractNum w:abstractNumId="30">
    <w:nsid w:val="43F18422"/>
    <w:multiLevelType w:val="hybridMultilevel"/>
    <w:lvl w:ilvl="0">
      <w:lvlJc w:val="left"/>
      <w:lvlText w:val="•"/>
      <w:numFmt w:val="bullet"/>
      <w:start w:val="1"/>
    </w:lvl>
  </w:abstractNum>
  <w:abstractNum w:abstractNumId="31">
    <w:nsid w:val="60EF0119"/>
    <w:multiLevelType w:val="hybridMultilevel"/>
    <w:lvl w:ilvl="0">
      <w:lvlJc w:val="left"/>
      <w:lvlText w:val="•"/>
      <w:numFmt w:val="bullet"/>
      <w:start w:val="1"/>
    </w:lvl>
  </w:abstractNum>
  <w:abstractNum w:abstractNumId="32">
    <w:nsid w:val="26F324BA"/>
    <w:multiLevelType w:val="hybridMultilevel"/>
    <w:lvl w:ilvl="0">
      <w:lvlJc w:val="left"/>
      <w:lvlText w:val="•"/>
      <w:numFmt w:val="bullet"/>
      <w:start w:val="1"/>
    </w:lvl>
  </w:abstractNum>
  <w:abstractNum w:abstractNumId="33">
    <w:nsid w:val="7F01579B"/>
    <w:multiLevelType w:val="hybridMultilevel"/>
    <w:lvl w:ilvl="0">
      <w:lvlJc w:val="left"/>
      <w:lvlText w:val=" "/>
      <w:numFmt w:val="bullet"/>
      <w:start w:val="1"/>
    </w:lvl>
  </w:abstractNum>
  <w:abstractNum w:abstractNumId="34">
    <w:nsid w:val="49DA307D"/>
    <w:multiLevelType w:val="hybridMultilevel"/>
    <w:lvl w:ilvl="0">
      <w:lvlJc w:val="left"/>
      <w:lvlText w:val=" "/>
      <w:numFmt w:val="bullet"/>
      <w:start w:val="1"/>
    </w:lvl>
  </w:abstractNum>
  <w:abstractNum w:abstractNumId="35">
    <w:nsid w:val="7055A5F5"/>
    <w:multiLevelType w:val="hybridMultilevel"/>
    <w:lvl w:ilvl="0">
      <w:lvlJc w:val="left"/>
      <w:lvlText w:val="•"/>
      <w:numFmt w:val="bullet"/>
      <w:start w:val="1"/>
    </w:lvl>
  </w:abstractNum>
  <w:abstractNum w:abstractNumId="36">
    <w:nsid w:val="5FB8370B"/>
    <w:multiLevelType w:val="hybridMultilevel"/>
    <w:lvl w:ilvl="0">
      <w:lvlJc w:val="left"/>
      <w:lvlText w:val="•"/>
      <w:numFmt w:val="bullet"/>
      <w:start w:val="1"/>
    </w:lvl>
  </w:abstractNum>
  <w:abstractNum w:abstractNumId="37">
    <w:nsid w:val="50801EE1"/>
    <w:multiLevelType w:val="hybridMultilevel"/>
    <w:lvl w:ilvl="0">
      <w:lvlJc w:val="left"/>
      <w:lvlText w:val=" "/>
      <w:numFmt w:val="bullet"/>
      <w:start w:val="1"/>
    </w:lvl>
  </w:abstractNum>
  <w:abstractNum w:abstractNumId="38">
    <w:nsid w:val="488AC1A"/>
    <w:multiLevelType w:val="hybridMultilevel"/>
    <w:lvl w:ilvl="0">
      <w:lvlJc w:val="left"/>
      <w:lvlText w:val="•"/>
      <w:numFmt w:val="bullet"/>
      <w:start w:val="1"/>
    </w:lvl>
  </w:abstractNum>
  <w:abstractNum w:abstractNumId="39">
    <w:nsid w:val="5FB8011C"/>
    <w:multiLevelType w:val="hybridMultilevel"/>
    <w:lvl w:ilvl="0">
      <w:lvlJc w:val="left"/>
      <w:lvlText w:val="•"/>
      <w:numFmt w:val="bullet"/>
      <w:start w:val="1"/>
    </w:lvl>
  </w:abstractNum>
  <w:abstractNum w:abstractNumId="40">
    <w:nsid w:val="6AA78F7F"/>
    <w:multiLevelType w:val="hybridMultilevel"/>
    <w:lvl w:ilvl="0">
      <w:lvlJc w:val="left"/>
      <w:lvlText w:val=" "/>
      <w:numFmt w:val="bullet"/>
      <w:start w:val="1"/>
    </w:lvl>
  </w:abstractNum>
  <w:abstractNum w:abstractNumId="41">
    <w:nsid w:val="7672BD23"/>
    <w:multiLevelType w:val="hybridMultilevel"/>
    <w:lvl w:ilvl="0">
      <w:lvlJc w:val="left"/>
      <w:lvlText w:val="•"/>
      <w:numFmt w:val="bullet"/>
      <w:start w:val="1"/>
    </w:lvl>
  </w:abstractNum>
  <w:abstractNum w:abstractNumId="42">
    <w:nsid w:val="6FC75AF8"/>
    <w:multiLevelType w:val="hybridMultilevel"/>
    <w:lvl w:ilvl="0">
      <w:lvlJc w:val="left"/>
      <w:lvlText w:val="•"/>
      <w:numFmt w:val="bullet"/>
      <w:start w:val="1"/>
    </w:lvl>
  </w:abstractNum>
  <w:abstractNum w:abstractNumId="43">
    <w:nsid w:val="6A5F7029"/>
    <w:multiLevelType w:val="hybridMultilevel"/>
    <w:lvl w:ilvl="0">
      <w:lvlJc w:val="left"/>
      <w:lvlText w:val="•"/>
      <w:numFmt w:val="bullet"/>
      <w:start w:val="1"/>
    </w:lvl>
  </w:abstractNum>
  <w:abstractNum w:abstractNumId="44">
    <w:nsid w:val="7D5E18F8"/>
    <w:multiLevelType w:val="hybridMultilevel"/>
    <w:lvl w:ilvl="0">
      <w:lvlJc w:val="left"/>
      <w:lvlText w:val=" "/>
      <w:numFmt w:val="bullet"/>
      <w:start w:val="1"/>
    </w:lvl>
  </w:abstractNum>
  <w:abstractNum w:abstractNumId="45">
    <w:nsid w:val="5F3534A4"/>
    <w:multiLevelType w:val="hybridMultilevel"/>
    <w:lvl w:ilvl="0">
      <w:lvlJc w:val="left"/>
      <w:lvlText w:val="•"/>
      <w:numFmt w:val="bullet"/>
      <w:start w:val="1"/>
    </w:lvl>
  </w:abstractNum>
  <w:abstractNum w:abstractNumId="46">
    <w:nsid w:val="73A1821B"/>
    <w:multiLevelType w:val="hybridMultilevel"/>
    <w:lvl w:ilvl="0">
      <w:lvlJc w:val="left"/>
      <w:lvlText w:val=" "/>
      <w:numFmt w:val="bullet"/>
      <w:start w:val="1"/>
    </w:lvl>
  </w:abstractNum>
  <w:abstractNum w:abstractNumId="47">
    <w:nsid w:val="7DE67713"/>
    <w:multiLevelType w:val="hybridMultilevel"/>
    <w:lvl w:ilvl="0">
      <w:lvlJc w:val="left"/>
      <w:lvlText w:val="•"/>
      <w:numFmt w:val="bullet"/>
      <w:start w:val="1"/>
    </w:lvl>
  </w:abstractNum>
  <w:abstractNum w:abstractNumId="48">
    <w:nsid w:val="555C55B5"/>
    <w:multiLevelType w:val="hybridMultilevel"/>
    <w:lvl w:ilvl="0">
      <w:lvlJc w:val="left"/>
      <w:lvlText w:val="•"/>
      <w:numFmt w:val="bullet"/>
      <w:start w:val="1"/>
    </w:lvl>
  </w:abstractNum>
  <w:abstractNum w:abstractNumId="49">
    <w:nsid w:val="3FA62ACA"/>
    <w:multiLevelType w:val="hybridMultilevel"/>
    <w:lvl w:ilvl="0">
      <w:lvlJc w:val="left"/>
      <w:lvlText w:val="•"/>
      <w:numFmt w:val="bullet"/>
      <w:start w:val="1"/>
    </w:lvl>
  </w:abstractNum>
  <w:abstractNum w:abstractNumId="50">
    <w:nsid w:val="14FCE74E"/>
    <w:multiLevelType w:val="hybridMultilevel"/>
    <w:lvl w:ilvl="0">
      <w:lvlJc w:val="left"/>
      <w:lvlText w:val=" "/>
      <w:numFmt w:val="bullet"/>
      <w:start w:val="1"/>
    </w:lvl>
  </w:abstractNum>
  <w:abstractNum w:abstractNumId="51">
    <w:nsid w:val="6A3DD3E8"/>
    <w:multiLevelType w:val="hybridMultilevel"/>
    <w:lvl w:ilvl="0">
      <w:lvlJc w:val="left"/>
      <w:lvlText w:val="•"/>
      <w:numFmt w:val="bullet"/>
      <w:start w:val="1"/>
    </w:lvl>
  </w:abstractNum>
  <w:abstractNum w:abstractNumId="52">
    <w:nsid w:val="71C91298"/>
    <w:multiLevelType w:val="hybridMultilevel"/>
    <w:lvl w:ilvl="0">
      <w:lvlJc w:val="left"/>
      <w:lvlText w:val="•"/>
      <w:numFmt w:val="bullet"/>
      <w:start w:val="1"/>
    </w:lvl>
  </w:abstractNum>
  <w:abstractNum w:abstractNumId="53">
    <w:nsid w:val="9DAF632"/>
    <w:multiLevelType w:val="hybridMultilevel"/>
    <w:lvl w:ilvl="0">
      <w:lvlJc w:val="left"/>
      <w:lvlText w:val=" "/>
      <w:numFmt w:val="bullet"/>
      <w:start w:val="1"/>
    </w:lvl>
  </w:abstractNum>
  <w:abstractNum w:abstractNumId="54">
    <w:nsid w:val="53299938"/>
    <w:multiLevelType w:val="hybridMultilevel"/>
    <w:lvl w:ilvl="0">
      <w:lvlJc w:val="left"/>
      <w:lvlText w:val="•"/>
      <w:numFmt w:val="bullet"/>
      <w:start w:val="1"/>
    </w:lvl>
  </w:abstractNum>
  <w:abstractNum w:abstractNumId="55">
    <w:nsid w:val="1FBFE8E0"/>
    <w:multiLevelType w:val="hybridMultilevel"/>
    <w:lvl w:ilvl="0">
      <w:lvlJc w:val="left"/>
      <w:lvlText w:val="•"/>
      <w:numFmt w:val="bullet"/>
      <w:start w:val="1"/>
    </w:lvl>
  </w:abstractNum>
  <w:abstractNum w:abstractNumId="56">
    <w:nsid w:val="5092CA79"/>
    <w:multiLevelType w:val="hybridMultilevel"/>
    <w:lvl w:ilvl="0">
      <w:lvlJc w:val="left"/>
      <w:lvlText w:val="•"/>
      <w:numFmt w:val="bullet"/>
      <w:start w:val="1"/>
    </w:lvl>
  </w:abstractNum>
  <w:abstractNum w:abstractNumId="57">
    <w:nsid w:val="1D545C4D"/>
    <w:multiLevelType w:val="hybridMultilevel"/>
    <w:lvl w:ilvl="0">
      <w:lvlJc w:val="left"/>
      <w:lvlText w:val=" "/>
      <w:numFmt w:val="bullet"/>
      <w:start w:val="1"/>
    </w:lvl>
  </w:abstractNum>
  <w:abstractNum w:abstractNumId="58">
    <w:nsid w:val="59ADEA3D"/>
    <w:multiLevelType w:val="hybridMultilevel"/>
    <w:lvl w:ilvl="0">
      <w:lvlJc w:val="left"/>
      <w:lvlText w:val="•"/>
      <w:numFmt w:val="bullet"/>
      <w:start w:val="1"/>
    </w:lvl>
  </w:abstractNum>
  <w:abstractNum w:abstractNumId="59">
    <w:nsid w:val="288F1A34"/>
    <w:multiLevelType w:val="hybridMultilevel"/>
    <w:lvl w:ilvl="0">
      <w:lvlJc w:val="left"/>
      <w:lvlText w:val=" "/>
      <w:numFmt w:val="bullet"/>
      <w:start w:val="1"/>
    </w:lvl>
  </w:abstractNum>
  <w:abstractNum w:abstractNumId="60">
    <w:nsid w:val="2A155DBC"/>
    <w:multiLevelType w:val="hybridMultilevel"/>
    <w:lvl w:ilvl="0">
      <w:lvlJc w:val="left"/>
      <w:lvlText w:val="(%1)"/>
      <w:numFmt w:val="decimal"/>
      <w:start w:val="1"/>
    </w:lvl>
  </w:abstractNum>
  <w:abstractNum w:abstractNumId="61">
    <w:nsid w:val="1D9F6E5F"/>
    <w:multiLevelType w:val="hybridMultilevel"/>
    <w:lvl w:ilvl="0">
      <w:lvlJc w:val="left"/>
      <w:lvlText w:val="(%1)"/>
      <w:numFmt w:val="decimal"/>
      <w:start w:val="3"/>
    </w:lvl>
  </w:abstractNum>
  <w:abstractNum w:abstractNumId="62">
    <w:nsid w:val="97E1B4E"/>
    <w:multiLevelType w:val="hybridMultilevel"/>
    <w:lvl w:ilvl="0">
      <w:lvlJc w:val="left"/>
      <w:lvlText w:val=" "/>
      <w:numFmt w:val="bullet"/>
      <w:start w:val="1"/>
    </w:lvl>
  </w:abstractNum>
  <w:abstractNum w:abstractNumId="63">
    <w:nsid w:val="51088277"/>
    <w:multiLevelType w:val="hybridMultilevel"/>
    <w:lvl w:ilvl="0">
      <w:lvlJc w:val="left"/>
      <w:lvlText w:val=" "/>
      <w:numFmt w:val="bullet"/>
      <w:start w:val="1"/>
    </w:lvl>
  </w:abstractNum>
  <w:abstractNum w:abstractNumId="64">
    <w:nsid w:val="1CA0C5FA"/>
    <w:multiLevelType w:val="hybridMultilevel"/>
    <w:lvl w:ilvl="0">
      <w:lvlJc w:val="left"/>
      <w:lvlText w:val="•"/>
      <w:numFmt w:val="bullet"/>
      <w:start w:val="1"/>
    </w:lvl>
  </w:abstractNum>
  <w:abstractNum w:abstractNumId="65">
    <w:nsid w:val="53584BCB"/>
    <w:multiLevelType w:val="hybridMultilevel"/>
    <w:lvl w:ilvl="0">
      <w:lvlJc w:val="left"/>
      <w:lvlText w:val="•"/>
      <w:numFmt w:val="bullet"/>
      <w:start w:val="1"/>
    </w:lvl>
  </w:abstractNum>
  <w:abstractNum w:abstractNumId="66">
    <w:nsid w:val="415E286C"/>
    <w:multiLevelType w:val="hybridMultilevel"/>
    <w:lvl w:ilvl="0">
      <w:lvlJc w:val="left"/>
      <w:lvlText w:val="•"/>
      <w:numFmt w:val="bullet"/>
      <w:start w:val="1"/>
    </w:lvl>
  </w:abstractNum>
  <w:abstractNum w:abstractNumId="67">
    <w:nsid w:val="7C58FD05"/>
    <w:multiLevelType w:val="hybridMultilevel"/>
    <w:lvl w:ilvl="0">
      <w:lvlJc w:val="left"/>
      <w:lvlText w:val=" "/>
      <w:numFmt w:val="bullet"/>
      <w:start w:val="1"/>
    </w:lvl>
  </w:abstractNum>
  <w:abstractNum w:abstractNumId="68">
    <w:nsid w:val="23D86AAC"/>
    <w:multiLevelType w:val="hybridMultilevel"/>
    <w:lvl w:ilvl="0">
      <w:lvlJc w:val="left"/>
      <w:lvlText w:val="•"/>
      <w:numFmt w:val="bullet"/>
      <w:start w:val="1"/>
    </w:lvl>
  </w:abstractNum>
  <w:abstractNum w:abstractNumId="69">
    <w:nsid w:val="45E6D486"/>
    <w:multiLevelType w:val="hybridMultilevel"/>
    <w:lvl w:ilvl="0">
      <w:lvlJc w:val="left"/>
      <w:lvlText w:val="•"/>
      <w:numFmt w:val="bullet"/>
      <w:start w:val="1"/>
    </w:lvl>
  </w:abstractNum>
  <w:abstractNum w:abstractNumId="70">
    <w:nsid w:val="5C10FE21"/>
    <w:multiLevelType w:val="hybridMultilevel"/>
    <w:lvl w:ilvl="0">
      <w:lvlJc w:val="left"/>
      <w:lvlText w:val=" "/>
      <w:numFmt w:val="bullet"/>
      <w:start w:val="1"/>
    </w:lvl>
  </w:abstractNum>
  <w:abstractNum w:abstractNumId="71">
    <w:nsid w:val="E7FFA2B"/>
    <w:multiLevelType w:val="hybridMultilevel"/>
    <w:lvl w:ilvl="0">
      <w:lvlJc w:val="left"/>
      <w:lvlText w:val="•"/>
      <w:numFmt w:val="bullet"/>
      <w:start w:val="1"/>
    </w:lvl>
  </w:abstractNum>
  <w:abstractNum w:abstractNumId="72">
    <w:nsid w:val="3C5991AA"/>
    <w:multiLevelType w:val="hybridMultilevel"/>
    <w:lvl w:ilvl="0">
      <w:lvlJc w:val="left"/>
      <w:lvlText w:val=" "/>
      <w:numFmt w:val="bullet"/>
      <w:start w:val="1"/>
    </w:lvl>
  </w:abstractNum>
  <w:abstractNum w:abstractNumId="73">
    <w:nsid w:val="4BD8591A"/>
    <w:multiLevelType w:val="hybridMultilevel"/>
    <w:lvl w:ilvl="0">
      <w:lvlJc w:val="left"/>
      <w:lvlText w:val="•"/>
      <w:numFmt w:val="bullet"/>
      <w:start w:val="1"/>
    </w:lvl>
  </w:abstractNum>
  <w:abstractNum w:abstractNumId="74">
    <w:nsid w:val="78DF6A55"/>
    <w:multiLevelType w:val="hybridMultilevel"/>
    <w:lvl w:ilvl="0">
      <w:lvlJc w:val="left"/>
      <w:lvlText w:val="•"/>
      <w:numFmt w:val="bullet"/>
      <w:start w:val="1"/>
    </w:lvl>
  </w:abstractNum>
  <w:abstractNum w:abstractNumId="75">
    <w:nsid w:val="39B7AAA2"/>
    <w:multiLevelType w:val="hybridMultilevel"/>
    <w:lvl w:ilvl="0">
      <w:lvlJc w:val="left"/>
      <w:lvlText w:val=" "/>
      <w:numFmt w:val="bullet"/>
      <w:start w:val="1"/>
    </w:lvl>
  </w:abstractNum>
  <w:abstractNum w:abstractNumId="76">
    <w:nsid w:val="2B0D8DBE"/>
    <w:multiLevelType w:val="hybridMultilevel"/>
    <w:lvl w:ilvl="0">
      <w:lvlJc w:val="left"/>
      <w:lvlText w:val="•"/>
      <w:numFmt w:val="bullet"/>
      <w:start w:val="1"/>
    </w:lvl>
  </w:abstractNum>
  <w:abstractNum w:abstractNumId="77">
    <w:nsid w:val="6C80EC70"/>
    <w:multiLevelType w:val="hybridMultilevel"/>
    <w:lvl w:ilvl="0">
      <w:lvlJc w:val="left"/>
      <w:lvlText w:val=" "/>
      <w:numFmt w:val="bullet"/>
      <w:start w:val="1"/>
    </w:lvl>
  </w:abstractNum>
  <w:abstractNum w:abstractNumId="78">
    <w:nsid w:val="379E21B5"/>
    <w:multiLevelType w:val="hybridMultilevel"/>
    <w:lvl w:ilvl="0">
      <w:lvlJc w:val="left"/>
      <w:lvlText w:val="(%1)"/>
      <w:numFmt w:val="decimal"/>
      <w:start w:val="1"/>
    </w:lvl>
  </w:abstractNum>
  <w:abstractNum w:abstractNumId="79">
    <w:nsid w:val="69E373"/>
    <w:multiLevelType w:val="hybridMultilevel"/>
    <w:lvl w:ilvl="0">
      <w:lvlJc w:val="left"/>
      <w:lvlText w:val=" "/>
      <w:numFmt w:val="bullet"/>
      <w:start w:val="1"/>
    </w:lvl>
  </w:abstractNum>
  <w:abstractNum w:abstractNumId="80">
    <w:nsid w:val="2C27173B"/>
    <w:multiLevelType w:val="hybridMultilevel"/>
    <w:lvl w:ilvl="0">
      <w:lvlJc w:val="left"/>
      <w:lvlText w:val="(%1)"/>
      <w:numFmt w:val="decimal"/>
      <w:start w:val="1"/>
    </w:lvl>
  </w:abstractNum>
  <w:abstractNum w:abstractNumId="81">
    <w:nsid w:val="4C9B0904"/>
    <w:multiLevelType w:val="hybridMultilevel"/>
    <w:lvl w:ilvl="0">
      <w:lvlJc w:val="left"/>
      <w:lvlText w:val="•"/>
      <w:numFmt w:val="bullet"/>
      <w:start w:val="1"/>
    </w:lvl>
  </w:abstractNum>
  <w:abstractNum w:abstractNumId="82">
    <w:nsid w:val="6AA7B75C"/>
    <w:multiLevelType w:val="hybridMultilevel"/>
    <w:lvl w:ilvl="0">
      <w:lvlJc w:val="left"/>
      <w:lvlText w:val=" "/>
      <w:numFmt w:val="bullet"/>
      <w:start w:val="1"/>
    </w:lvl>
  </w:abstractNum>
  <w:abstractNum w:abstractNumId="83">
    <w:nsid w:val="1DF029D3"/>
    <w:multiLevelType w:val="hybridMultilevel"/>
    <w:lvl w:ilvl="0">
      <w:lvlJc w:val="left"/>
      <w:lvlText w:val=" "/>
      <w:numFmt w:val="bullet"/>
      <w:start w:val="1"/>
    </w:lvl>
  </w:abstractNum>
  <w:abstractNum w:abstractNumId="84">
    <w:nsid w:val="5675FF36"/>
    <w:multiLevelType w:val="hybridMultilevel"/>
    <w:lvl w:ilvl="0">
      <w:lvlJc w:val="left"/>
      <w:lvlText w:val=" "/>
      <w:numFmt w:val="bullet"/>
      <w:start w:val="1"/>
    </w:lvl>
  </w:abstractNum>
  <w:abstractNum w:abstractNumId="85">
    <w:nsid w:val="3DD15094"/>
    <w:multiLevelType w:val="hybridMultilevel"/>
    <w:lvl w:ilvl="0">
      <w:lvlJc w:val="left"/>
      <w:lvlText w:val="(%1)"/>
      <w:numFmt w:val="decimal"/>
      <w:start w:val="1"/>
    </w:lvl>
    <w:lvl w:ilvl="1">
      <w:lvlJc w:val="left"/>
      <w:lvlText w:val="•"/>
      <w:numFmt w:val="bullet"/>
      <w:start w:val="1"/>
    </w:lvl>
  </w:abstractNum>
  <w:abstractNum w:abstractNumId="86">
    <w:nsid w:val="3DB012B3"/>
    <w:multiLevelType w:val="hybridMultilevel"/>
    <w:lvl w:ilvl="0">
      <w:lvlJc w:val="left"/>
      <w:lvlText w:val=" "/>
      <w:numFmt w:val="bullet"/>
      <w:start w:val="1"/>
    </w:lvl>
  </w:abstractNum>
  <w:abstractNum w:abstractNumId="87">
    <w:nsid w:val="2708C9AF"/>
    <w:multiLevelType w:val="hybridMultilevel"/>
    <w:lvl w:ilvl="0">
      <w:lvlJc w:val="left"/>
      <w:lvlText w:val="(%1)"/>
      <w:numFmt w:val="decimal"/>
      <w:start w:val="3"/>
    </w:lvl>
  </w:abstractNum>
  <w:abstractNum w:abstractNumId="88">
    <w:nsid w:val="5B25ACE2"/>
    <w:multiLevelType w:val="hybridMultilevel"/>
    <w:lvl w:ilvl="0">
      <w:lvlJc w:val="left"/>
      <w:lvlText w:val="(%1)"/>
      <w:numFmt w:val="decimal"/>
      <w:start w:val="4"/>
    </w:lvl>
  </w:abstractNum>
  <w:abstractNum w:abstractNumId="89">
    <w:nsid w:val="175DFCF0"/>
    <w:multiLevelType w:val="hybridMultilevel"/>
    <w:lvl w:ilvl="0">
      <w:lvlJc w:val="left"/>
      <w:lvlText w:val=" "/>
      <w:numFmt w:val="bullet"/>
      <w:start w:val="1"/>
    </w:lvl>
  </w:abstractNum>
  <w:abstractNum w:abstractNumId="90">
    <w:nsid w:val="4F97E3E4"/>
    <w:multiLevelType w:val="hybridMultilevel"/>
    <w:lvl w:ilvl="0">
      <w:lvlJc w:val="left"/>
      <w:lvlText w:val=" "/>
      <w:numFmt w:val="bullet"/>
      <w:start w:val="1"/>
    </w:lvl>
  </w:abstractNum>
  <w:abstractNum w:abstractNumId="91">
    <w:nsid w:val="53B0A9E"/>
    <w:multiLevelType w:val="hybridMultilevel"/>
    <w:lvl w:ilvl="0">
      <w:lvlJc w:val="left"/>
      <w:lvlText w:val="(%1)"/>
      <w:numFmt w:val="decimal"/>
      <w:start w:val="1"/>
    </w:lvl>
  </w:abstractNum>
  <w:abstractNum w:abstractNumId="92">
    <w:nsid w:val="34FD6B4F"/>
    <w:multiLevelType w:val="hybridMultilevel"/>
    <w:lvl w:ilvl="0">
      <w:lvlJc w:val="left"/>
      <w:lvlText w:val="(%1)"/>
      <w:numFmt w:val="decimal"/>
      <w:start w:val="2"/>
    </w:lvl>
  </w:abstractNum>
  <w:abstractNum w:abstractNumId="93">
    <w:nsid w:val="5915FF32"/>
    <w:multiLevelType w:val="hybridMultilevel"/>
    <w:lvl w:ilvl="0">
      <w:lvlJc w:val="left"/>
      <w:lvlText w:val="(%1)"/>
      <w:numFmt w:val="decimal"/>
      <w:start w:val="4"/>
    </w:lvl>
  </w:abstractNum>
  <w:abstractNum w:abstractNumId="94">
    <w:nsid w:val="56438D15"/>
    <w:multiLevelType w:val="hybridMultilevel"/>
    <w:lvl w:ilvl="0">
      <w:lvlJc w:val="left"/>
      <w:lvlText w:val=" "/>
      <w:numFmt w:val="bullet"/>
      <w:start w:val="1"/>
    </w:lvl>
  </w:abstractNum>
  <w:abstractNum w:abstractNumId="95">
    <w:nsid w:val="519E3149"/>
    <w:multiLevelType w:val="hybridMultilevel"/>
    <w:lvl w:ilvl="0">
      <w:lvlJc w:val="left"/>
      <w:lvlText w:val="(%1)"/>
      <w:numFmt w:val="decimal"/>
      <w:start w:val="1"/>
    </w:lvl>
  </w:abstractNum>
  <w:abstractNum w:abstractNumId="96">
    <w:nsid w:val="2C6E4AFD"/>
    <w:multiLevelType w:val="hybridMultilevel"/>
    <w:lvl w:ilvl="0">
      <w:lvlJc w:val="left"/>
      <w:lvlText w:val="(%1)"/>
      <w:numFmt w:val="decimal"/>
      <w:start w:val="1"/>
    </w:lvl>
  </w:abstractNum>
  <w:abstractNum w:abstractNumId="97">
    <w:nsid w:val="17A1B582"/>
    <w:multiLevelType w:val="hybridMultilevel"/>
    <w:lvl w:ilvl="0">
      <w:lvlJc w:val="left"/>
      <w:lvlText w:val=" "/>
      <w:numFmt w:val="bullet"/>
      <w:start w:val="1"/>
    </w:lvl>
  </w:abstractNum>
  <w:abstractNum w:abstractNumId="98">
    <w:nsid w:val="4DF72E4E"/>
    <w:multiLevelType w:val="hybridMultilevel"/>
    <w:lvl w:ilvl="0">
      <w:lvlJc w:val="left"/>
      <w:lvlText w:val=" "/>
      <w:numFmt w:val="bullet"/>
      <w:start w:val="1"/>
    </w:lvl>
  </w:abstractNum>
  <w:abstractNum w:abstractNumId="99">
    <w:nsid w:val="5046B5A9"/>
    <w:multiLevelType w:val="hybridMultilevel"/>
    <w:lvl w:ilvl="0">
      <w:lvlJc w:val="left"/>
      <w:lvlText w:val="(%1)"/>
      <w:numFmt w:val="decimal"/>
      <w:start w:val="1"/>
    </w:lvl>
  </w:abstractNum>
  <w:abstractNum w:abstractNumId="100">
    <w:nsid w:val="5D888A08"/>
    <w:multiLevelType w:val="hybridMultilevel"/>
    <w:lvl w:ilvl="0">
      <w:lvlJc w:val="left"/>
      <w:lvlText w:val="(%1)"/>
      <w:numFmt w:val="decimal"/>
      <w:start w:val="1"/>
    </w:lvl>
  </w:abstractNum>
  <w:abstractNum w:abstractNumId="101">
    <w:nsid w:val="2A082C70"/>
    <w:multiLevelType w:val="hybridMultilevel"/>
    <w:lvl w:ilvl="0">
      <w:lvlJc w:val="left"/>
      <w:lvlText w:val=" "/>
      <w:numFmt w:val="bullet"/>
      <w:start w:val="1"/>
    </w:lvl>
  </w:abstractNum>
  <w:abstractNum w:abstractNumId="102">
    <w:nsid w:val="5EC6AFD4"/>
    <w:multiLevelType w:val="hybridMultilevel"/>
    <w:lvl w:ilvl="0">
      <w:lvlJc w:val="left"/>
      <w:lvlText w:val="(%1)"/>
      <w:numFmt w:val="decimal"/>
      <w:start w:val="1"/>
    </w:lvl>
  </w:abstractNum>
  <w:abstractNum w:abstractNumId="103">
    <w:nsid w:val="19E21BB2"/>
    <w:multiLevelType w:val="hybridMultilevel"/>
    <w:lvl w:ilvl="0">
      <w:lvlJc w:val="left"/>
      <w:lvlText w:val="(%1)"/>
      <w:numFmt w:val="decimal"/>
      <w:start w:val="5"/>
    </w:lvl>
  </w:abstractNum>
  <w:abstractNum w:abstractNumId="104">
    <w:nsid w:val="75E0858A"/>
    <w:multiLevelType w:val="hybridMultilevel"/>
    <w:lvl w:ilvl="0">
      <w:lvlJc w:val="left"/>
      <w:lvlText w:val="(%1)"/>
      <w:numFmt w:val="decimal"/>
      <w:start w:val="12"/>
    </w:lvl>
  </w:abstractNum>
  <w:abstractNum w:abstractNumId="105">
    <w:nsid w:val="57A61A29"/>
    <w:multiLevelType w:val="hybridMultilevel"/>
    <w:lvl w:ilvl="0">
      <w:lvlJc w:val="left"/>
      <w:lvlText w:val="•"/>
      <w:numFmt w:val="bullet"/>
      <w:start w:val="1"/>
    </w:lvl>
  </w:abstractNum>
  <w:abstractNum w:abstractNumId="106">
    <w:nsid w:val="5399C654"/>
    <w:multiLevelType w:val="hybridMultilevel"/>
    <w:lvl w:ilvl="0">
      <w:lvlJc w:val="left"/>
      <w:lvlText w:val=" "/>
      <w:numFmt w:val="bullet"/>
      <w:start w:val="1"/>
    </w:lvl>
  </w:abstractNum>
  <w:abstractNum w:abstractNumId="107">
    <w:nsid w:val="20EE1348"/>
    <w:multiLevelType w:val="hybridMultilevel"/>
    <w:lvl w:ilvl="0">
      <w:lvlJc w:val="left"/>
      <w:lvlText w:val="•"/>
      <w:numFmt w:val="bullet"/>
      <w:start w:val="1"/>
    </w:lvl>
  </w:abstractNum>
  <w:abstractNum w:abstractNumId="108">
    <w:nsid w:val="4427069A"/>
    <w:multiLevelType w:val="hybridMultilevel"/>
    <w:lvl w:ilvl="0">
      <w:lvlJc w:val="left"/>
      <w:lvlText w:val="•"/>
      <w:numFmt w:val="bullet"/>
      <w:start w:val="1"/>
    </w:lvl>
  </w:abstractNum>
  <w:abstractNum w:abstractNumId="109">
    <w:nsid w:val="B37E80A"/>
    <w:multiLevelType w:val="hybridMultilevel"/>
    <w:lvl w:ilvl="0">
      <w:lvlJc w:val="left"/>
      <w:lvlText w:val="•"/>
      <w:numFmt w:val="bullet"/>
      <w:start w:val="1"/>
    </w:lvl>
  </w:abstractNum>
  <w:abstractNum w:abstractNumId="110">
    <w:nsid w:val="2157F6BC"/>
    <w:multiLevelType w:val="hybridMultilevel"/>
    <w:lvl w:ilvl="0">
      <w:lvlJc w:val="left"/>
      <w:lvlText w:val="•"/>
      <w:numFmt w:val="bullet"/>
      <w:start w:val="1"/>
    </w:lvl>
  </w:abstractNum>
  <w:abstractNum w:abstractNumId="111">
    <w:nsid w:val="704E1DD5"/>
    <w:multiLevelType w:val="hybridMultilevel"/>
    <w:lvl w:ilvl="0">
      <w:lvlJc w:val="left"/>
      <w:lvlText w:val=" "/>
      <w:numFmt w:val="bullet"/>
      <w:start w:val="1"/>
    </w:lvl>
  </w:abstractNum>
  <w:abstractNum w:abstractNumId="112">
    <w:nsid w:val="57D2F10E"/>
    <w:multiLevelType w:val="hybridMultilevel"/>
    <w:lvl w:ilvl="0">
      <w:lvlJc w:val="left"/>
      <w:lvlText w:val="•"/>
      <w:numFmt w:val="bullet"/>
      <w:start w:val="1"/>
    </w:lvl>
  </w:abstractNum>
  <w:abstractNum w:abstractNumId="113">
    <w:nsid w:val="BFFAE18"/>
    <w:multiLevelType w:val="hybridMultilevel"/>
    <w:lvl w:ilvl="0">
      <w:lvlJc w:val="left"/>
      <w:lvlText w:val="•"/>
      <w:numFmt w:val="bullet"/>
      <w:start w:val="1"/>
    </w:lvl>
  </w:abstractNum>
  <w:abstractNum w:abstractNumId="114">
    <w:nsid w:val="E3E47A8"/>
    <w:multiLevelType w:val="hybridMultilevel"/>
    <w:lvl w:ilvl="0">
      <w:lvlJc w:val="left"/>
      <w:lvlText w:val="•"/>
      <w:numFmt w:val="bullet"/>
      <w:start w:val="1"/>
    </w:lvl>
  </w:abstractNum>
  <w:abstractNum w:abstractNumId="115">
    <w:nsid w:val="2E48F044"/>
    <w:multiLevelType w:val="hybridMultilevel"/>
    <w:lvl w:ilvl="0">
      <w:lvlJc w:val="left"/>
      <w:lvlText w:val="•"/>
      <w:numFmt w:val="bullet"/>
      <w:start w:val="1"/>
    </w:lvl>
  </w:abstractNum>
  <w:abstractNum w:abstractNumId="116">
    <w:nsid w:val="49D0FEAC"/>
    <w:multiLevelType w:val="hybridMultilevel"/>
    <w:lvl w:ilvl="0">
      <w:lvlJc w:val="left"/>
      <w:lvlText w:val="•"/>
      <w:numFmt w:val="bullet"/>
      <w:start w:val="1"/>
    </w:lvl>
  </w:abstractNum>
  <w:abstractNum w:abstractNumId="117">
    <w:nsid w:val="4BEE5A5B"/>
    <w:multiLevelType w:val="hybridMultilevel"/>
    <w:lvl w:ilvl="0">
      <w:lvlJc w:val="left"/>
      <w:lvlText w:val=" "/>
      <w:numFmt w:val="bullet"/>
      <w:start w:val="1"/>
    </w:lvl>
  </w:abstractNum>
  <w:abstractNum w:abstractNumId="118">
    <w:nsid w:val="5551B9F3"/>
    <w:multiLevelType w:val="hybridMultilevel"/>
    <w:lvl w:ilvl="0">
      <w:lvlJc w:val="left"/>
      <w:lvlText w:val="•"/>
      <w:numFmt w:val="bullet"/>
      <w:start w:val="1"/>
    </w:lvl>
  </w:abstractNum>
  <w:abstractNum w:abstractNumId="119">
    <w:nsid w:val="24F6AB8E"/>
    <w:multiLevelType w:val="hybridMultilevel"/>
    <w:lvl w:ilvl="0">
      <w:lvlJc w:val="left"/>
      <w:lvlText w:val="•"/>
      <w:numFmt w:val="bullet"/>
      <w:start w:val="1"/>
    </w:lvl>
  </w:abstractNum>
  <w:abstractNum w:abstractNumId="120">
    <w:nsid w:val="634C574C"/>
    <w:multiLevelType w:val="hybridMultilevel"/>
    <w:lvl w:ilvl="0">
      <w:lvlJc w:val="left"/>
      <w:lvlText w:val=" "/>
      <w:numFmt w:val="bullet"/>
      <w:start w:val="1"/>
    </w:lvl>
  </w:abstractNum>
  <w:abstractNum w:abstractNumId="121">
    <w:nsid w:val="24E99DD7"/>
    <w:multiLevelType w:val="hybridMultilevel"/>
    <w:lvl w:ilvl="0">
      <w:lvlJc w:val="left"/>
      <w:lvlText w:val="*"/>
      <w:numFmt w:val="bullet"/>
      <w:start w:val="1"/>
    </w:lvl>
  </w:abstractNum>
  <w:abstractNum w:abstractNumId="122">
    <w:nsid w:val="2A31B62D"/>
    <w:multiLevelType w:val="hybridMultilevel"/>
    <w:lvl w:ilvl="0">
      <w:lvlJc w:val="left"/>
      <w:lvlText w:val="(%1)"/>
      <w:numFmt w:val="decimal"/>
      <w:start w:val="1"/>
    </w:lvl>
  </w:abstractNum>
  <w:abstractNum w:abstractNumId="123">
    <w:nsid w:val="1849C29B"/>
    <w:multiLevelType w:val="hybridMultilevel"/>
    <w:lvl w:ilvl="0">
      <w:lvlJc w:val="left"/>
      <w:lvlText w:val="•"/>
      <w:numFmt w:val="bullet"/>
      <w:start w:val="1"/>
    </w:lvl>
  </w:abstractNum>
  <w:abstractNum w:abstractNumId="124">
    <w:nsid w:val="7DFF9D09"/>
    <w:multiLevelType w:val="hybridMultilevel"/>
    <w:lvl w:ilvl="0">
      <w:lvlJc w:val="left"/>
      <w:lvlText w:val="•"/>
      <w:numFmt w:val="bullet"/>
      <w:start w:val="1"/>
    </w:lvl>
  </w:abstractNum>
  <w:abstractNum w:abstractNumId="125">
    <w:nsid w:val="754342"/>
    <w:multiLevelType w:val="hybridMultilevel"/>
    <w:lvl w:ilvl="0">
      <w:lvlJc w:val="left"/>
      <w:lvlText w:val=" "/>
      <w:numFmt w:val="bullet"/>
      <w:start w:val="1"/>
    </w:lvl>
  </w:abstractNum>
  <w:abstractNum w:abstractNumId="126">
    <w:nsid w:val="69E7F3E5"/>
    <w:multiLevelType w:val="hybridMultilevel"/>
    <w:lvl w:ilvl="0">
      <w:lvlJc w:val="left"/>
      <w:lvlText w:val="(%1)"/>
      <w:numFmt w:val="decimal"/>
      <w:start w:val="2"/>
    </w:lvl>
  </w:abstractNum>
  <w:abstractNum w:abstractNumId="127">
    <w:nsid w:val="2A6DE806"/>
    <w:multiLevelType w:val="hybridMultilevel"/>
    <w:lvl w:ilvl="0">
      <w:lvlJc w:val="left"/>
      <w:lvlText w:val="•"/>
      <w:numFmt w:val="bullet"/>
      <w:start w:val="1"/>
    </w:lvl>
  </w:abstractNum>
  <w:abstractNum w:abstractNumId="128">
    <w:nsid w:val="1816F8C4"/>
    <w:multiLevelType w:val="hybridMultilevel"/>
    <w:lvl w:ilvl="0">
      <w:lvlJc w:val="left"/>
      <w:lvlText w:val=" "/>
      <w:numFmt w:val="bullet"/>
      <w:start w:val="1"/>
    </w:lvl>
  </w:abstractNum>
  <w:abstractNum w:abstractNumId="129">
    <w:nsid w:val="37DF2233"/>
    <w:multiLevelType w:val="hybridMultilevel"/>
    <w:lvl w:ilvl="0">
      <w:lvlJc w:val="left"/>
      <w:lvlText w:val=" "/>
      <w:numFmt w:val="bullet"/>
      <w:start w:val="1"/>
    </w:lvl>
  </w:abstractNum>
  <w:abstractNum w:abstractNumId="130">
    <w:nsid w:val="7AB49DAF"/>
    <w:multiLevelType w:val="hybridMultilevel"/>
    <w:lvl w:ilvl="0">
      <w:lvlJc w:val="left"/>
      <w:lvlText w:val="•"/>
      <w:numFmt w:val="bullet"/>
      <w:start w:val="1"/>
    </w:lvl>
  </w:abstractNum>
  <w:abstractNum w:abstractNumId="131">
    <w:nsid w:val="759F82CD"/>
    <w:multiLevelType w:val="hybridMultilevel"/>
    <w:lvl w:ilvl="0">
      <w:lvlJc w:val="left"/>
      <w:lvlText w:val=" "/>
      <w:numFmt w:val="bullet"/>
      <w:start w:val="1"/>
    </w:lvl>
  </w:abstractNum>
  <w:abstractNum w:abstractNumId="132">
    <w:nsid w:val="61E74EA3"/>
    <w:multiLevelType w:val="hybridMultilevel"/>
    <w:lvl w:ilvl="0">
      <w:lvlJc w:val="left"/>
      <w:lvlText w:val=" "/>
      <w:numFmt w:val="bullet"/>
      <w:start w:val="1"/>
    </w:lvl>
  </w:abstractNum>
  <w:abstractNum w:abstractNumId="133">
    <w:nsid w:val="597B4D84"/>
    <w:multiLevelType w:val="hybridMultilevel"/>
    <w:lvl w:ilvl="0">
      <w:lvlJc w:val="left"/>
      <w:lvlText w:val=" "/>
      <w:numFmt w:val="bullet"/>
      <w:start w:val="1"/>
    </w:lvl>
  </w:abstractNum>
  <w:abstractNum w:abstractNumId="134">
    <w:nsid w:val="F819E7F"/>
    <w:multiLevelType w:val="hybridMultilevel"/>
    <w:lvl w:ilvl="0">
      <w:lvlJc w:val="left"/>
      <w:lvlText w:val="•"/>
      <w:numFmt w:val="bullet"/>
      <w:start w:val="1"/>
    </w:lvl>
  </w:abstractNum>
  <w:abstractNum w:abstractNumId="135">
    <w:nsid w:val="57C7D42D"/>
    <w:multiLevelType w:val="hybridMultilevel"/>
    <w:lvl w:ilvl="0">
      <w:lvlJc w:val="left"/>
      <w:lvlText w:val=" "/>
      <w:numFmt w:val="bullet"/>
      <w:start w:val="1"/>
    </w:lvl>
  </w:abstractNum>
  <w:abstractNum w:abstractNumId="136">
    <w:nsid w:val="312167AD"/>
    <w:multiLevelType w:val="hybridMultilevel"/>
    <w:lvl w:ilvl="0">
      <w:lvlJc w:val="left"/>
      <w:lvlText w:val="•"/>
      <w:numFmt w:val="bullet"/>
      <w:start w:val="1"/>
    </w:lvl>
  </w:abstractNum>
  <w:abstractNum w:abstractNumId="137">
    <w:nsid w:val="631B64D4"/>
    <w:multiLevelType w:val="hybridMultilevel"/>
    <w:lvl w:ilvl="0">
      <w:lvlJc w:val="left"/>
      <w:lvlText w:val=" "/>
      <w:numFmt w:val="bullet"/>
      <w:start w:val="1"/>
    </w:lvl>
  </w:abstractNum>
  <w:abstractNum w:abstractNumId="138">
    <w:nsid w:val="78B5E776"/>
    <w:multiLevelType w:val="hybridMultilevel"/>
    <w:lvl w:ilvl="0">
      <w:lvlJc w:val="left"/>
      <w:lvlText w:val=" "/>
      <w:numFmt w:val="bullet"/>
      <w:start w:val="1"/>
    </w:lvl>
  </w:abstractNum>
  <w:abstractNum w:abstractNumId="139">
    <w:nsid w:val="75486E47"/>
    <w:multiLevelType w:val="hybridMultilevel"/>
    <w:lvl w:ilvl="0">
      <w:lvlJc w:val="left"/>
      <w:lvlText w:val="(%1)"/>
      <w:numFmt w:val="decimal"/>
      <w:start w:val="1"/>
    </w:lvl>
  </w:abstractNum>
  <w:abstractNum w:abstractNumId="140">
    <w:nsid w:val="6E534CDE"/>
    <w:multiLevelType w:val="hybridMultilevel"/>
    <w:lvl w:ilvl="0">
      <w:lvlJc w:val="left"/>
      <w:lvlText w:val=" "/>
      <w:numFmt w:val="bullet"/>
      <w:start w:val="1"/>
    </w:lvl>
  </w:abstractNum>
  <w:abstractNum w:abstractNumId="141">
    <w:nsid w:val="1A0DDE32"/>
    <w:multiLevelType w:val="hybridMultilevel"/>
    <w:lvl w:ilvl="0">
      <w:lvlJc w:val="left"/>
      <w:lvlText w:val="1"/>
      <w:numFmt w:val="bullet"/>
      <w:start w:val="1"/>
    </w:lvl>
  </w:abstractNum>
  <w:abstractNum w:abstractNumId="142">
    <w:nsid w:val="65968C1C"/>
    <w:multiLevelType w:val="hybridMultilevel"/>
    <w:lvl w:ilvl="0">
      <w:lvlJc w:val="left"/>
      <w:lvlText w:val="(%1)"/>
      <w:numFmt w:val="lowerLetter"/>
      <w:start w:val="1"/>
    </w:lvl>
  </w:abstractNum>
  <w:abstractNum w:abstractNumId="143">
    <w:nsid w:val="46263DEC"/>
    <w:multiLevelType w:val="hybridMultilevel"/>
    <w:lvl w:ilvl="0">
      <w:lvlJc w:val="left"/>
      <w:lvlText w:val="(%1)"/>
      <w:numFmt w:val="lowerLetter"/>
      <w:start w:val="1"/>
    </w:lvl>
  </w:abstractNum>
  <w:abstractNum w:abstractNumId="144">
    <w:nsid w:val="260D8C4A"/>
    <w:multiLevelType w:val="hybridMultilevel"/>
    <w:lvl w:ilvl="0">
      <w:lvlJc w:val="left"/>
      <w:lvlText w:val=" "/>
      <w:numFmt w:val="bullet"/>
      <w:start w:val="1"/>
    </w:lvl>
  </w:abstractNum>
  <w:abstractNum w:abstractNumId="145">
    <w:nsid w:val="73D4D3C4"/>
    <w:multiLevelType w:val="hybridMultilevel"/>
    <w:lvl w:ilvl="0">
      <w:lvlJc w:val="left"/>
      <w:lvlText w:val="(%1)"/>
      <w:numFmt w:val="lowerLetter"/>
      <w:start w:val="2"/>
    </w:lvl>
  </w:abstractNum>
  <w:abstractNum w:abstractNumId="146">
    <w:nsid w:val="746F2E30"/>
    <w:multiLevelType w:val="hybridMultilevel"/>
    <w:lvl w:ilvl="0">
      <w:lvlJc w:val="left"/>
      <w:lvlText w:val="%1"/>
      <w:numFmt w:val="lowerLetter"/>
      <w:start w:val="1"/>
    </w:lvl>
    <w:lvl w:ilvl="1">
      <w:lvlJc w:val="left"/>
      <w:lvlText w:val="(%2)"/>
      <w:numFmt w:val="lowerLetter"/>
      <w:start w:val="1"/>
    </w:lvl>
  </w:abstractNum>
  <w:abstractNum w:abstractNumId="147">
    <w:nsid w:val="6FDE8AF6"/>
    <w:multiLevelType w:val="hybridMultilevel"/>
    <w:lvl w:ilvl="0">
      <w:lvlJc w:val="left"/>
      <w:lvlText w:val="(%1)"/>
      <w:numFmt w:val="lowerLetter"/>
      <w:start w:val="2"/>
    </w:lvl>
    <w:lvl w:ilvl="1">
      <w:lvlJc w:val="left"/>
      <w:lvlText w:val="(%2)"/>
      <w:numFmt w:val="lowerLetter"/>
      <w:start w:val="3"/>
    </w:lvl>
  </w:abstractNum>
  <w:abstractNum w:abstractNumId="148">
    <w:nsid w:val="3FC32E20"/>
    <w:multiLevelType w:val="hybridMultilevel"/>
    <w:lvl w:ilvl="0">
      <w:lvlJc w:val="left"/>
      <w:lvlText w:val="(%1)"/>
      <w:numFmt w:val="lowerLetter"/>
      <w:start w:val="2"/>
    </w:lvl>
  </w:abstractNum>
  <w:abstractNum w:abstractNumId="149">
    <w:nsid w:val="49C0E823"/>
    <w:multiLevelType w:val="hybridMultilevel"/>
    <w:lvl w:ilvl="0">
      <w:lvlJc w:val="left"/>
      <w:lvlText w:val="(%1)"/>
      <w:numFmt w:val="lowerLetter"/>
      <w:start w:val="1"/>
    </w:lvl>
  </w:abstractNum>
  <w:abstractNum w:abstractNumId="150">
    <w:nsid w:val="14D53685"/>
    <w:multiLevelType w:val="hybridMultilevel"/>
    <w:lvl w:ilvl="0">
      <w:lvlJc w:val="left"/>
      <w:lvlText w:val=" "/>
      <w:numFmt w:val="bullet"/>
      <w:start w:val="1"/>
    </w:lvl>
  </w:abstractNum>
  <w:abstractNum w:abstractNumId="151">
    <w:nsid w:val="230F856C"/>
    <w:multiLevelType w:val="hybridMultilevel"/>
    <w:lvl w:ilvl="0">
      <w:lvlJc w:val="left"/>
      <w:lvlText w:val="(%1)"/>
      <w:numFmt w:val="lowerLetter"/>
      <w:start w:val="3"/>
    </w:lvl>
  </w:abstractNum>
  <w:abstractNum w:abstractNumId="152">
    <w:nsid w:val="6EAA85FB"/>
    <w:multiLevelType w:val="hybridMultilevel"/>
    <w:lvl w:ilvl="0">
      <w:lvlJc w:val="left"/>
      <w:lvlText w:val="%1."/>
      <w:numFmt w:val="decimal"/>
      <w:start w:val="1"/>
    </w:lvl>
  </w:abstractNum>
  <w:abstractNum w:abstractNumId="153">
    <w:nsid w:val="3F06ECB2"/>
    <w:multiLevelType w:val="hybridMultilevel"/>
    <w:lvl w:ilvl="0">
      <w:lvlJc w:val="left"/>
      <w:lvlText w:val=" "/>
      <w:numFmt w:val="bullet"/>
      <w:start w:val="1"/>
    </w:lvl>
  </w:abstractNum>
  <w:abstractNum w:abstractNumId="154">
    <w:nsid w:val="3B594807"/>
    <w:multiLevelType w:val="hybridMultilevel"/>
    <w:lvl w:ilvl="0">
      <w:lvlJc w:val="left"/>
      <w:lvlText w:val=" "/>
      <w:numFmt w:val="bullet"/>
      <w:start w:val="1"/>
    </w:lvl>
  </w:abstractNum>
  <w:abstractNum w:abstractNumId="155">
    <w:nsid w:val="6CAA2304"/>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jpeg"/><Relationship Id="rId58" Type="http://schemas.openxmlformats.org/officeDocument/2006/relationships/image" Target="media/image51.jpe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jpe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jpe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jpeg"/><Relationship Id="rId84" Type="http://schemas.openxmlformats.org/officeDocument/2006/relationships/image" Target="media/image77.png"/><Relationship Id="rId85" Type="http://schemas.openxmlformats.org/officeDocument/2006/relationships/image" Target="media/image78.jpeg"/><Relationship Id="rId86" Type="http://schemas.openxmlformats.org/officeDocument/2006/relationships/image" Target="media/image79.jpeg"/><Relationship Id="rId87" Type="http://schemas.openxmlformats.org/officeDocument/2006/relationships/image" Target="media/image80.png"/><Relationship Id="rId88" Type="http://schemas.openxmlformats.org/officeDocument/2006/relationships/image" Target="media/image81.jpeg"/><Relationship Id="rId89" Type="http://schemas.openxmlformats.org/officeDocument/2006/relationships/image" Target="media/image82.jpeg"/><Relationship Id="rId90" Type="http://schemas.openxmlformats.org/officeDocument/2006/relationships/image" Target="media/image83.png"/><Relationship Id="rId91" Type="http://schemas.openxmlformats.org/officeDocument/2006/relationships/image" Target="media/image84.jpeg"/><Relationship Id="rId92" Type="http://schemas.openxmlformats.org/officeDocument/2006/relationships/image" Target="media/image85.png"/><Relationship Id="rId93" Type="http://schemas.openxmlformats.org/officeDocument/2006/relationships/image" Target="media/image86.jpeg"/><Relationship Id="rId94" Type="http://schemas.openxmlformats.org/officeDocument/2006/relationships/image" Target="media/image87.jpe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jpeg"/><Relationship Id="rId98" Type="http://schemas.openxmlformats.org/officeDocument/2006/relationships/image" Target="media/image91.jpe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jpeg"/><Relationship Id="rId103" Type="http://schemas.openxmlformats.org/officeDocument/2006/relationships/image" Target="media/image96.jpeg"/><Relationship Id="rId104" Type="http://schemas.openxmlformats.org/officeDocument/2006/relationships/image" Target="media/image97.jpe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jpeg"/><Relationship Id="rId108" Type="http://schemas.openxmlformats.org/officeDocument/2006/relationships/image" Target="media/image101.jpe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jpeg"/><Relationship Id="rId113" Type="http://schemas.openxmlformats.org/officeDocument/2006/relationships/image" Target="media/image106.jpeg"/><Relationship Id="rId114" Type="http://schemas.openxmlformats.org/officeDocument/2006/relationships/image" Target="media/image107.jpeg"/><Relationship Id="rId115" Type="http://schemas.openxmlformats.org/officeDocument/2006/relationships/image" Target="media/image108.png"/><Relationship Id="rId116" Type="http://schemas.openxmlformats.org/officeDocument/2006/relationships/image" Target="media/image109.jpeg"/><Relationship Id="rId117" Type="http://schemas.openxmlformats.org/officeDocument/2006/relationships/image" Target="media/image110.jpeg"/><Relationship Id="rId118" Type="http://schemas.openxmlformats.org/officeDocument/2006/relationships/image" Target="media/image111.jpe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jpeg"/><Relationship Id="rId123" Type="http://schemas.openxmlformats.org/officeDocument/2006/relationships/image" Target="media/image116.jpeg"/><Relationship Id="rId124" Type="http://schemas.openxmlformats.org/officeDocument/2006/relationships/image" Target="media/image117.jpe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jpeg"/><Relationship Id="rId128" Type="http://schemas.openxmlformats.org/officeDocument/2006/relationships/image" Target="media/image121.jpeg"/><Relationship Id="rId129" Type="http://schemas.openxmlformats.org/officeDocument/2006/relationships/image" Target="media/image122.png"/><Relationship Id="rId130" Type="http://schemas.openxmlformats.org/officeDocument/2006/relationships/image" Target="media/image123.jpe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jpeg"/><Relationship Id="rId134" Type="http://schemas.openxmlformats.org/officeDocument/2006/relationships/image" Target="media/image127.jpe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jpeg"/><Relationship Id="rId138" Type="http://schemas.openxmlformats.org/officeDocument/2006/relationships/image" Target="media/image131.jpe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jpeg"/><Relationship Id="rId143" Type="http://schemas.openxmlformats.org/officeDocument/2006/relationships/image" Target="media/image136.jpeg"/><Relationship Id="rId144" Type="http://schemas.openxmlformats.org/officeDocument/2006/relationships/image" Target="media/image137.jpe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jpeg"/><Relationship Id="rId148" Type="http://schemas.openxmlformats.org/officeDocument/2006/relationships/image" Target="media/image141.jpe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jpe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jpe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jpe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jpe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jpe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jpeg"/><Relationship Id="rId168" Type="http://schemas.openxmlformats.org/officeDocument/2006/relationships/image" Target="media/image161.jpe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jpe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jpe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jpe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jpe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jpe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jpe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jpe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jpe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jpe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jpeg"/><Relationship Id="rId202" Type="http://schemas.openxmlformats.org/officeDocument/2006/relationships/image" Target="media/image195.jpe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jpe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jpeg"/><Relationship Id="rId210" Type="http://schemas.openxmlformats.org/officeDocument/2006/relationships/image" Target="media/image203.jpeg"/><Relationship Id="rId211" Type="http://schemas.openxmlformats.org/officeDocument/2006/relationships/image" Target="media/image204.jpeg"/><Relationship Id="rId212" Type="http://schemas.openxmlformats.org/officeDocument/2006/relationships/image" Target="media/image205.jpeg"/><Relationship Id="rId213" Type="http://schemas.openxmlformats.org/officeDocument/2006/relationships/image" Target="media/image206.jpeg"/><Relationship Id="rId214" Type="http://schemas.openxmlformats.org/officeDocument/2006/relationships/image" Target="media/image207.jpe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jpe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jpe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jpeg"/><Relationship Id="rId225" Type="http://schemas.openxmlformats.org/officeDocument/2006/relationships/image" Target="media/image218.jpeg"/><Relationship Id="rId226" Type="http://schemas.openxmlformats.org/officeDocument/2006/relationships/image" Target="media/image219.jpe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jpe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jpe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jpeg"/><Relationship Id="rId236" Type="http://schemas.openxmlformats.org/officeDocument/2006/relationships/image" Target="media/image229.jpe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jpe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jpe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jpe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jpe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jpeg"/><Relationship Id="rId255" Type="http://schemas.openxmlformats.org/officeDocument/2006/relationships/image" Target="media/image248.jpe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jpeg"/><Relationship Id="rId260" Type="http://schemas.openxmlformats.org/officeDocument/2006/relationships/image" Target="media/image253.png"/><Relationship Id="rId261" Type="http://schemas.openxmlformats.org/officeDocument/2006/relationships/image" Target="media/image254.jpeg"/><Relationship Id="rId262" Type="http://schemas.openxmlformats.org/officeDocument/2006/relationships/image" Target="media/image255.png"/><Relationship Id="rId263" Type="http://schemas.openxmlformats.org/officeDocument/2006/relationships/image" Target="media/image256.jpeg"/><Relationship Id="rId264" Type="http://schemas.openxmlformats.org/officeDocument/2006/relationships/image" Target="media/image257.jpe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jpe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jpe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jpe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jpe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jpe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jpe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jpe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jpe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jpeg"/><Relationship Id="rId295" Type="http://schemas.openxmlformats.org/officeDocument/2006/relationships/image" Target="media/image288.jpe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jpeg"/><Relationship Id="rId299" Type="http://schemas.openxmlformats.org/officeDocument/2006/relationships/image" Target="media/image292.jpeg"/><Relationship Id="rId300" Type="http://schemas.openxmlformats.org/officeDocument/2006/relationships/image" Target="media/image293.jpe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jpe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jpe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jpe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jpe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jpe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jpeg"/><Relationship Id="rId320" Type="http://schemas.openxmlformats.org/officeDocument/2006/relationships/image" Target="media/image313.png"/><Relationship Id="rId321" Type="http://schemas.openxmlformats.org/officeDocument/2006/relationships/image" Target="media/image314.jpeg"/><Relationship Id="rId322" Type="http://schemas.openxmlformats.org/officeDocument/2006/relationships/image" Target="media/image315.jpe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jpe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jpe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jpe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jpe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jpe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jpe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jpe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jpe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jpe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jpe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jpe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jpeg"/><Relationship Id="rId361" Type="http://schemas.openxmlformats.org/officeDocument/2006/relationships/image" Target="media/image354.png"/><Relationship Id="rId362" Type="http://schemas.openxmlformats.org/officeDocument/2006/relationships/image" Target="media/image355.jpe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jpe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jpeg"/><Relationship Id="rId369" Type="http://schemas.openxmlformats.org/officeDocument/2006/relationships/image" Target="media/image362.jpe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jpe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jpeg"/><Relationship Id="rId377" Type="http://schemas.openxmlformats.org/officeDocument/2006/relationships/image" Target="media/image370.png"/><Relationship Id="rId378" Type="http://schemas.openxmlformats.org/officeDocument/2006/relationships/image" Target="media/image371.jpe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jpe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jpeg"/><Relationship Id="rId386" Type="http://schemas.openxmlformats.org/officeDocument/2006/relationships/image" Target="media/image379.jpeg"/><Relationship Id="rId387" Type="http://schemas.openxmlformats.org/officeDocument/2006/relationships/image" Target="media/image380.png"/><Relationship Id="rId388" Type="http://schemas.openxmlformats.org/officeDocument/2006/relationships/image" Target="media/image381.jpe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jpe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jpeg"/><Relationship Id="rId397" Type="http://schemas.openxmlformats.org/officeDocument/2006/relationships/image" Target="media/image390.png"/><Relationship Id="rId398" Type="http://schemas.openxmlformats.org/officeDocument/2006/relationships/image" Target="media/image391.jpe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jpe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jpeg"/><Relationship Id="rId406" Type="http://schemas.openxmlformats.org/officeDocument/2006/relationships/image" Target="media/image399.png"/><Relationship Id="rId407" Type="http://schemas.openxmlformats.org/officeDocument/2006/relationships/image" Target="media/image400.jpe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jpe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jpe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jpeg"/><Relationship Id="rId418" Type="http://schemas.openxmlformats.org/officeDocument/2006/relationships/image" Target="media/image411.png"/><Relationship Id="rId419" Type="http://schemas.openxmlformats.org/officeDocument/2006/relationships/image" Target="media/image412.jpeg"/><Relationship Id="rId420" Type="http://schemas.openxmlformats.org/officeDocument/2006/relationships/image" Target="media/image413.jpe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jpe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jpeg"/><Relationship Id="rId428" Type="http://schemas.openxmlformats.org/officeDocument/2006/relationships/image" Target="media/image421.jpeg"/><Relationship Id="rId429" Type="http://schemas.openxmlformats.org/officeDocument/2006/relationships/image" Target="media/image422.png"/><Relationship Id="rId430" Type="http://schemas.openxmlformats.org/officeDocument/2006/relationships/image" Target="media/image423.jpe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jpe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jpeg"/><Relationship Id="rId437" Type="http://schemas.openxmlformats.org/officeDocument/2006/relationships/image" Target="media/image430.jpeg"/><Relationship Id="rId438" Type="http://schemas.openxmlformats.org/officeDocument/2006/relationships/image" Target="media/image431.png"/><Relationship Id="rId439" Type="http://schemas.openxmlformats.org/officeDocument/2006/relationships/image" Target="media/image432.jpe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jpe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jpeg"/><Relationship Id="rId447" Type="http://schemas.openxmlformats.org/officeDocument/2006/relationships/image" Target="media/image440.jpeg"/><Relationship Id="rId448" Type="http://schemas.openxmlformats.org/officeDocument/2006/relationships/image" Target="media/image441.png"/><Relationship Id="rId449" Type="http://schemas.openxmlformats.org/officeDocument/2006/relationships/image" Target="media/image442.jpe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jpe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jpeg"/><Relationship Id="rId459" Type="http://schemas.openxmlformats.org/officeDocument/2006/relationships/image" Target="media/image452.jpeg"/><Relationship Id="rId460" Type="http://schemas.openxmlformats.org/officeDocument/2006/relationships/image" Target="media/image453.png"/><Relationship Id="rId461" Type="http://schemas.openxmlformats.org/officeDocument/2006/relationships/image" Target="media/image454.jpeg"/><Relationship Id="rId462" Type="http://schemas.openxmlformats.org/officeDocument/2006/relationships/image" Target="media/image455.png"/><Relationship Id="rId463" Type="http://schemas.openxmlformats.org/officeDocument/2006/relationships/image" Target="media/image456.jpe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jpeg"/><Relationship Id="rId467" Type="http://schemas.openxmlformats.org/officeDocument/2006/relationships/image" Target="media/image460.png"/><Relationship Id="rId468" Type="http://schemas.openxmlformats.org/officeDocument/2006/relationships/image" Target="media/image461.jpe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2026-03-19T16:31:15Z</dcterms:created>
  <dcterms:modified xsi:type="dcterms:W3CDTF">2026-03-19T16:31:15Z</dcterms:modified>
</cp:coreProperties>
</file>